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8945">
      <w:pPr>
        <w:autoSpaceDE w:val="0"/>
        <w:autoSpaceDN w:val="0"/>
        <w:adjustRightInd w:val="0"/>
        <w:spacing w:line="276" w:lineRule="auto"/>
        <w:ind w:left="1766" w:leftChars="170" w:right="-23" w:rightChars="-11" w:hanging="1409"/>
        <w:jc w:val="center"/>
        <w:rPr>
          <w:rFonts w:ascii="宋体" w:hAnsi="宋体" w:eastAsia="宋体" w:cs="宋体"/>
          <w:b/>
          <w:bCs/>
          <w:color w:val="auto"/>
          <w:kern w:val="0"/>
          <w:sz w:val="52"/>
          <w:szCs w:val="52"/>
          <w:lang w:val="zh-CN"/>
        </w:rPr>
      </w:pPr>
    </w:p>
    <w:p w14:paraId="753EE139">
      <w:pPr>
        <w:autoSpaceDE w:val="0"/>
        <w:autoSpaceDN w:val="0"/>
        <w:adjustRightInd w:val="0"/>
        <w:spacing w:line="276" w:lineRule="auto"/>
        <w:jc w:val="center"/>
        <w:rPr>
          <w:rFonts w:ascii="宋体" w:hAnsi="宋体" w:eastAsia="宋体" w:cs="宋体"/>
          <w:b/>
          <w:bCs/>
          <w:color w:val="auto"/>
          <w:kern w:val="0"/>
          <w:sz w:val="56"/>
          <w:szCs w:val="56"/>
          <w:lang w:val="zh-CN"/>
        </w:rPr>
      </w:pPr>
      <w:r>
        <w:rPr>
          <w:rFonts w:hint="eastAsia" w:ascii="宋体" w:hAnsi="宋体" w:eastAsia="宋体" w:cs="宋体"/>
          <w:b/>
          <w:bCs/>
          <w:color w:val="auto"/>
          <w:kern w:val="0"/>
          <w:sz w:val="56"/>
          <w:szCs w:val="56"/>
          <w:lang w:val="zh-CN"/>
        </w:rPr>
        <w:t>东莞市水务集团管网有限公司2025年</w:t>
      </w:r>
      <w:r>
        <w:rPr>
          <w:rFonts w:hint="eastAsia" w:ascii="宋体" w:hAnsi="宋体" w:eastAsia="宋体" w:cs="宋体"/>
          <w:b/>
          <w:bCs/>
          <w:color w:val="auto"/>
          <w:kern w:val="0"/>
          <w:sz w:val="56"/>
          <w:szCs w:val="56"/>
        </w:rPr>
        <w:t>度</w:t>
      </w:r>
      <w:r>
        <w:rPr>
          <w:rFonts w:hint="eastAsia" w:ascii="宋体" w:hAnsi="宋体" w:eastAsia="宋体" w:cs="宋体"/>
          <w:b/>
          <w:bCs/>
          <w:color w:val="auto"/>
          <w:kern w:val="0"/>
          <w:sz w:val="56"/>
          <w:szCs w:val="56"/>
          <w:lang w:val="zh-CN"/>
        </w:rPr>
        <w:t>机电设备维修定点服务单位采购项目</w:t>
      </w:r>
    </w:p>
    <w:p w14:paraId="08533AA7">
      <w:pPr>
        <w:autoSpaceDE w:val="0"/>
        <w:autoSpaceDN w:val="0"/>
        <w:adjustRightInd w:val="0"/>
        <w:spacing w:line="276" w:lineRule="auto"/>
        <w:ind w:left="1550" w:leftChars="170" w:right="-23" w:rightChars="-11" w:hanging="1193"/>
        <w:jc w:val="center"/>
        <w:rPr>
          <w:rFonts w:ascii="宋体" w:hAnsi="宋体" w:eastAsia="宋体" w:cs="宋体"/>
          <w:b/>
          <w:bCs/>
          <w:color w:val="auto"/>
          <w:kern w:val="0"/>
          <w:sz w:val="44"/>
          <w:szCs w:val="44"/>
          <w:lang w:val="zh-CN"/>
        </w:rPr>
      </w:pPr>
    </w:p>
    <w:p w14:paraId="7BFDBE5B">
      <w:pPr>
        <w:autoSpaceDE w:val="0"/>
        <w:autoSpaceDN w:val="0"/>
        <w:adjustRightInd w:val="0"/>
        <w:ind w:left="983" w:right="-23" w:rightChars="-11" w:hanging="1193"/>
        <w:jc w:val="left"/>
        <w:rPr>
          <w:rFonts w:ascii="宋体" w:hAnsi="宋体" w:eastAsia="宋体" w:cs="宋体"/>
          <w:b/>
          <w:bCs/>
          <w:color w:val="auto"/>
          <w:sz w:val="44"/>
          <w:szCs w:val="44"/>
          <w:lang w:val="zh-CN"/>
        </w:rPr>
      </w:pPr>
    </w:p>
    <w:p w14:paraId="507C90E9">
      <w:pPr>
        <w:autoSpaceDE w:val="0"/>
        <w:autoSpaceDN w:val="0"/>
        <w:adjustRightInd w:val="0"/>
        <w:ind w:left="1742" w:right="-23" w:rightChars="-11" w:hanging="1952"/>
        <w:jc w:val="center"/>
        <w:rPr>
          <w:rFonts w:ascii="宋体" w:hAnsi="宋体" w:eastAsia="宋体" w:cs="宋体"/>
          <w:b/>
          <w:bCs/>
          <w:color w:val="auto"/>
          <w:sz w:val="72"/>
          <w:szCs w:val="72"/>
          <w:lang w:val="zh-CN"/>
        </w:rPr>
      </w:pPr>
    </w:p>
    <w:p w14:paraId="55D00B31">
      <w:pPr>
        <w:autoSpaceDE w:val="0"/>
        <w:autoSpaceDN w:val="0"/>
        <w:adjustRightInd w:val="0"/>
        <w:ind w:left="1742" w:right="-23" w:rightChars="-11" w:hanging="1952"/>
        <w:jc w:val="center"/>
        <w:rPr>
          <w:rFonts w:ascii="宋体" w:hAnsi="宋体" w:eastAsia="宋体" w:cs="宋体"/>
          <w:b/>
          <w:bCs/>
          <w:color w:val="auto"/>
          <w:sz w:val="72"/>
          <w:szCs w:val="72"/>
          <w:lang w:val="zh-CN"/>
        </w:rPr>
      </w:pPr>
      <w:r>
        <w:rPr>
          <w:rFonts w:hint="eastAsia" w:ascii="宋体" w:hAnsi="宋体" w:eastAsia="宋体" w:cs="宋体"/>
          <w:b/>
          <w:bCs/>
          <w:color w:val="auto"/>
          <w:sz w:val="72"/>
          <w:szCs w:val="72"/>
          <w:lang w:val="zh-CN"/>
        </w:rPr>
        <w:t>招</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标</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文</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件</w:t>
      </w:r>
    </w:p>
    <w:p w14:paraId="294A3AC2">
      <w:pPr>
        <w:autoSpaceDE w:val="0"/>
        <w:autoSpaceDN w:val="0"/>
        <w:adjustRightInd w:val="0"/>
        <w:ind w:left="657" w:right="-23" w:rightChars="-11" w:hanging="867"/>
        <w:jc w:val="center"/>
        <w:rPr>
          <w:rFonts w:ascii="宋体" w:hAnsi="宋体" w:eastAsia="宋体" w:cs="宋体"/>
          <w:b/>
          <w:bCs/>
          <w:color w:val="auto"/>
          <w:sz w:val="32"/>
          <w:szCs w:val="32"/>
          <w:lang w:val="zh-CN"/>
        </w:rPr>
      </w:pPr>
    </w:p>
    <w:p w14:paraId="1FBCE3CB">
      <w:pPr>
        <w:autoSpaceDE w:val="0"/>
        <w:autoSpaceDN w:val="0"/>
        <w:adjustRightInd w:val="0"/>
        <w:ind w:left="983" w:right="-23" w:rightChars="-11" w:hanging="1193"/>
        <w:jc w:val="center"/>
        <w:rPr>
          <w:rFonts w:ascii="宋体" w:hAnsi="宋体" w:eastAsia="宋体" w:cs="宋体"/>
          <w:b/>
          <w:bCs/>
          <w:color w:val="auto"/>
          <w:sz w:val="44"/>
          <w:szCs w:val="44"/>
          <w:lang w:val="zh-CN"/>
        </w:rPr>
      </w:pPr>
    </w:p>
    <w:p w14:paraId="2C7BA8E1">
      <w:pPr>
        <w:autoSpaceDE w:val="0"/>
        <w:autoSpaceDN w:val="0"/>
        <w:adjustRightInd w:val="0"/>
        <w:ind w:left="657" w:right="-23" w:rightChars="-11" w:hanging="867"/>
        <w:jc w:val="left"/>
        <w:rPr>
          <w:rFonts w:ascii="宋体" w:hAnsi="宋体" w:eastAsia="宋体" w:cs="宋体"/>
          <w:b/>
          <w:bCs/>
          <w:color w:val="auto"/>
          <w:sz w:val="32"/>
          <w:szCs w:val="32"/>
          <w:u w:val="single"/>
          <w:lang w:val="zh-CN"/>
        </w:rPr>
      </w:pPr>
    </w:p>
    <w:p w14:paraId="1F0A9A2E">
      <w:pPr>
        <w:tabs>
          <w:tab w:val="left" w:pos="9240"/>
        </w:tabs>
        <w:autoSpaceDE w:val="0"/>
        <w:autoSpaceDN w:val="0"/>
        <w:adjustRightInd w:val="0"/>
        <w:spacing w:line="700" w:lineRule="exact"/>
        <w:ind w:left="657" w:right="-23" w:rightChars="-11" w:hanging="867"/>
        <w:jc w:val="left"/>
        <w:rPr>
          <w:rFonts w:ascii="宋体" w:hAnsi="宋体" w:eastAsia="宋体" w:cs="宋体"/>
          <w:b/>
          <w:bCs/>
          <w:color w:val="auto"/>
          <w:sz w:val="32"/>
          <w:szCs w:val="32"/>
          <w:lang w:val="zh-CN"/>
        </w:rPr>
      </w:pPr>
    </w:p>
    <w:p w14:paraId="74C99366">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编</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号：广建咨询（东招）2024-0131号</w:t>
      </w:r>
    </w:p>
    <w:p w14:paraId="7428B533">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人：东莞市水务集团管网有限公司</w:t>
      </w:r>
    </w:p>
    <w:p w14:paraId="58BC5D30">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招标代理机构：建成工程咨询股份有限公司</w:t>
      </w:r>
    </w:p>
    <w:p w14:paraId="4D4FD76C">
      <w:pPr>
        <w:autoSpaceDE w:val="0"/>
        <w:autoSpaceDN w:val="0"/>
        <w:adjustRightInd w:val="0"/>
        <w:ind w:left="657" w:right="-23" w:rightChars="-11" w:hanging="867"/>
        <w:jc w:val="left"/>
        <w:rPr>
          <w:rFonts w:ascii="宋体" w:hAnsi="宋体" w:eastAsia="宋体" w:cs="宋体"/>
          <w:b/>
          <w:bCs/>
          <w:color w:val="auto"/>
          <w:kern w:val="0"/>
          <w:sz w:val="32"/>
          <w:szCs w:val="32"/>
          <w:lang w:val="zh-CN"/>
        </w:rPr>
      </w:pPr>
    </w:p>
    <w:p w14:paraId="0B083409">
      <w:pPr>
        <w:autoSpaceDE w:val="0"/>
        <w:autoSpaceDN w:val="0"/>
        <w:adjustRightInd w:val="0"/>
        <w:ind w:left="2067" w:right="-23" w:rightChars="-11" w:hanging="2277"/>
        <w:jc w:val="center"/>
        <w:rPr>
          <w:rFonts w:ascii="宋体" w:hAnsi="宋体" w:eastAsia="宋体" w:cs="宋体"/>
          <w:b/>
          <w:bCs/>
          <w:color w:val="auto"/>
          <w:kern w:val="0"/>
          <w:sz w:val="84"/>
          <w:szCs w:val="84"/>
          <w:lang w:val="zh-CN"/>
        </w:rPr>
      </w:pPr>
    </w:p>
    <w:p w14:paraId="54C10307">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t>2024年</w:t>
      </w:r>
      <w:r>
        <w:rPr>
          <w:rFonts w:hint="eastAsia" w:ascii="宋体" w:hAnsi="宋体" w:eastAsia="宋体" w:cs="宋体"/>
          <w:b/>
          <w:bCs/>
          <w:color w:val="auto"/>
          <w:sz w:val="32"/>
          <w:szCs w:val="32"/>
          <w:lang w:val="en-US" w:eastAsia="zh-CN"/>
        </w:rPr>
        <w:t xml:space="preserve"> 12 </w:t>
      </w:r>
      <w:r>
        <w:rPr>
          <w:rFonts w:hint="eastAsia" w:ascii="宋体" w:hAnsi="宋体" w:eastAsia="宋体" w:cs="宋体"/>
          <w:b/>
          <w:bCs/>
          <w:color w:val="auto"/>
          <w:sz w:val="32"/>
          <w:szCs w:val="32"/>
          <w:lang w:val="zh-CN"/>
        </w:rPr>
        <w:t>月</w:t>
      </w:r>
      <w:r>
        <w:rPr>
          <w:rFonts w:hint="eastAsia" w:ascii="宋体" w:hAnsi="宋体" w:eastAsia="宋体" w:cs="宋体"/>
          <w:b/>
          <w:bCs/>
          <w:color w:val="auto"/>
          <w:sz w:val="32"/>
          <w:szCs w:val="32"/>
          <w:lang w:val="en-US" w:eastAsia="zh-CN"/>
        </w:rPr>
        <w:t xml:space="preserve"> 16 </w:t>
      </w:r>
      <w:r>
        <w:rPr>
          <w:rFonts w:hint="eastAsia" w:ascii="宋体" w:hAnsi="宋体" w:eastAsia="宋体" w:cs="宋体"/>
          <w:b/>
          <w:bCs/>
          <w:color w:val="auto"/>
          <w:sz w:val="32"/>
          <w:szCs w:val="32"/>
          <w:lang w:val="zh-CN"/>
        </w:rPr>
        <w:t>日</w:t>
      </w:r>
    </w:p>
    <w:p w14:paraId="0B9E0182">
      <w:pPr>
        <w:rPr>
          <w:rFonts w:ascii="宋体" w:hAnsi="宋体" w:eastAsia="宋体" w:cs="宋体"/>
          <w:b/>
          <w:bCs/>
          <w:color w:val="auto"/>
          <w:sz w:val="32"/>
          <w:szCs w:val="32"/>
          <w:lang w:val="zh-CN"/>
        </w:rPr>
      </w:pPr>
      <w:r>
        <w:rPr>
          <w:rFonts w:hint="eastAsia" w:ascii="宋体" w:hAnsi="宋体" w:eastAsia="宋体" w:cs="宋体"/>
          <w:b/>
          <w:bCs/>
          <w:color w:val="auto"/>
          <w:sz w:val="32"/>
          <w:szCs w:val="32"/>
          <w:lang w:val="zh-CN"/>
        </w:rPr>
        <w:br w:type="page"/>
      </w:r>
    </w:p>
    <w:p w14:paraId="47AC8329">
      <w:pPr>
        <w:pStyle w:val="45"/>
        <w:rPr>
          <w:rFonts w:hAnsi="宋体" w:eastAsia="宋体" w:cs="宋体"/>
          <w:color w:val="auto"/>
        </w:rPr>
      </w:pPr>
    </w:p>
    <w:sdt>
      <w:sdtPr>
        <w:rPr>
          <w:rFonts w:hint="eastAsia" w:ascii="宋体" w:hAnsi="宋体" w:eastAsia="宋体" w:cs="宋体"/>
          <w:color w:val="auto"/>
          <w:sz w:val="24"/>
          <w:szCs w:val="24"/>
        </w:rPr>
        <w:id w:val="147457492"/>
        <w:docPartObj>
          <w:docPartGallery w:val="Table of Contents"/>
          <w:docPartUnique/>
        </w:docPartObj>
      </w:sdtPr>
      <w:sdtEndPr>
        <w:rPr>
          <w:rFonts w:hint="eastAsia" w:ascii="宋体" w:hAnsi="宋体" w:eastAsia="宋体" w:cs="宋体"/>
          <w:color w:val="auto"/>
          <w:sz w:val="24"/>
          <w:szCs w:val="24"/>
        </w:rPr>
      </w:sdtEndPr>
      <w:sdtContent>
        <w:p w14:paraId="403098CE">
          <w:pPr>
            <w:ind w:left="438" w:hanging="648"/>
            <w:jc w:val="center"/>
            <w:rPr>
              <w:rFonts w:ascii="宋体" w:hAnsi="宋体" w:eastAsia="宋体" w:cs="宋体"/>
              <w:color w:val="auto"/>
              <w:sz w:val="24"/>
              <w:szCs w:val="24"/>
            </w:rPr>
          </w:pPr>
          <w:r>
            <w:rPr>
              <w:rFonts w:hint="eastAsia" w:ascii="宋体" w:hAnsi="宋体" w:eastAsia="宋体" w:cs="宋体"/>
              <w:color w:val="auto"/>
              <w:sz w:val="24"/>
              <w:szCs w:val="24"/>
            </w:rPr>
            <w:t>目录</w:t>
          </w:r>
        </w:p>
        <w:p w14:paraId="2362F9AB">
          <w:pPr>
            <w:pStyle w:val="29"/>
            <w:tabs>
              <w:tab w:val="right" w:leader="dot" w:pos="10154"/>
            </w:tabs>
            <w:spacing w:line="360" w:lineRule="auto"/>
            <w:rPr>
              <w:rFonts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TOC \o "1-3" \h \u </w:instrText>
          </w:r>
          <w:r>
            <w:rPr>
              <w:rFonts w:hint="eastAsia" w:ascii="宋体" w:hAnsi="宋体" w:eastAsia="宋体" w:cs="宋体"/>
              <w:color w:val="auto"/>
            </w:rPr>
            <w:fldChar w:fldCharType="separate"/>
          </w:r>
          <w:r>
            <w:rPr>
              <w:color w:val="auto"/>
            </w:rPr>
            <w:fldChar w:fldCharType="begin"/>
          </w:r>
          <w:r>
            <w:rPr>
              <w:color w:val="auto"/>
            </w:rPr>
            <w:instrText xml:space="preserve"> HYPERLINK \l "_Toc17522" </w:instrText>
          </w:r>
          <w:r>
            <w:rPr>
              <w:color w:val="auto"/>
            </w:rPr>
            <w:fldChar w:fldCharType="separate"/>
          </w:r>
          <w:r>
            <w:rPr>
              <w:rFonts w:hint="eastAsia" w:ascii="宋体" w:hAnsi="宋体" w:eastAsia="宋体" w:cs="宋体"/>
              <w:bCs/>
              <w:color w:val="auto"/>
              <w:kern w:val="44"/>
              <w:szCs w:val="32"/>
              <w:lang w:val="zh-CN"/>
            </w:rPr>
            <w:t>第一篇 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_Toc17522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710DF01">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"_Toc31930" </w:instrText>
          </w:r>
          <w:r>
            <w:rPr>
              <w:color w:val="auto"/>
            </w:rPr>
            <w:fldChar w:fldCharType="separate"/>
          </w:r>
          <w:r>
            <w:rPr>
              <w:rFonts w:hint="eastAsia" w:ascii="宋体" w:hAnsi="宋体" w:eastAsia="宋体" w:cs="宋体"/>
              <w:bCs/>
              <w:color w:val="auto"/>
              <w:kern w:val="44"/>
              <w:szCs w:val="32"/>
              <w:lang w:val="zh-CN"/>
            </w:rPr>
            <w:t>第二篇</w:t>
          </w:r>
          <w:r>
            <w:rPr>
              <w:rFonts w:hint="eastAsia" w:ascii="宋体" w:hAnsi="宋体" w:eastAsia="宋体" w:cs="宋体"/>
              <w:bCs/>
              <w:color w:val="auto"/>
              <w:kern w:val="44"/>
              <w:szCs w:val="32"/>
            </w:rPr>
            <w:t xml:space="preserve"> </w:t>
          </w:r>
          <w:r>
            <w:rPr>
              <w:rFonts w:hint="eastAsia" w:ascii="宋体" w:hAnsi="宋体" w:eastAsia="宋体" w:cs="宋体"/>
              <w:bCs/>
              <w:color w:val="auto"/>
              <w:kern w:val="44"/>
              <w:szCs w:val="32"/>
              <w:lang w:val="zh-CN"/>
            </w:rPr>
            <w:t>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_Toc31930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D47E096">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"_Toc28686" </w:instrText>
          </w:r>
          <w:r>
            <w:rPr>
              <w:color w:val="auto"/>
            </w:rPr>
            <w:fldChar w:fldCharType="separate"/>
          </w:r>
          <w:r>
            <w:rPr>
              <w:rFonts w:hint="eastAsia" w:ascii="宋体" w:hAnsi="宋体" w:eastAsia="宋体" w:cs="宋体"/>
              <w:bCs/>
              <w:color w:val="auto"/>
              <w:kern w:val="44"/>
              <w:szCs w:val="21"/>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_Toc28686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97FAF4F">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"_Toc5690" </w:instrText>
          </w:r>
          <w:r>
            <w:rPr>
              <w:color w:val="auto"/>
            </w:rPr>
            <w:fldChar w:fldCharType="separate"/>
          </w:r>
          <w:r>
            <w:rPr>
              <w:rFonts w:hint="eastAsia" w:ascii="宋体" w:hAnsi="宋体" w:eastAsia="宋体" w:cs="宋体"/>
              <w:color w:val="auto"/>
              <w:szCs w:val="21"/>
              <w:lang w:val="zh-CN"/>
            </w:rPr>
            <w:t>1 资金来源：企业自筹资金。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_Toc5690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2755B3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"_Toc25904" </w:instrText>
          </w:r>
          <w:r>
            <w:rPr>
              <w:color w:val="auto"/>
            </w:rPr>
            <w:fldChar w:fldCharType="separate"/>
          </w:r>
          <w:r>
            <w:rPr>
              <w:rFonts w:hint="eastAsia" w:ascii="宋体" w:hAnsi="宋体" w:eastAsia="宋体" w:cs="宋体"/>
              <w:color w:val="auto"/>
              <w:szCs w:val="21"/>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_Toc25904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B392DF0">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"_Toc11795" </w:instrText>
          </w:r>
          <w:r>
            <w:rPr>
              <w:color w:val="auto"/>
            </w:rPr>
            <w:fldChar w:fldCharType="separate"/>
          </w:r>
          <w:r>
            <w:rPr>
              <w:rFonts w:hint="eastAsia" w:ascii="宋体" w:hAnsi="宋体" w:eastAsia="宋体" w:cs="宋体"/>
              <w:color w:val="auto"/>
              <w:szCs w:val="21"/>
              <w:lang w:val="zh-CN"/>
            </w:rPr>
            <w:t>3 合格的</w:t>
          </w:r>
          <w:r>
            <w:rPr>
              <w:rFonts w:hint="eastAsia" w:ascii="宋体" w:hAnsi="宋体" w:eastAsia="宋体" w:cs="宋体"/>
              <w:color w:val="auto"/>
              <w:szCs w:val="21"/>
            </w:rPr>
            <w:t>服务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_Toc11795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BA42BAD">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"_Toc904" </w:instrText>
          </w:r>
          <w:r>
            <w:rPr>
              <w:color w:val="auto"/>
            </w:rPr>
            <w:fldChar w:fldCharType="separate"/>
          </w:r>
          <w:r>
            <w:rPr>
              <w:rFonts w:hint="eastAsia" w:ascii="宋体" w:hAnsi="宋体" w:eastAsia="宋体" w:cs="宋体"/>
              <w:color w:val="auto"/>
              <w:szCs w:val="21"/>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_Toc904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42C5D60">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"_Toc15995" </w:instrText>
          </w:r>
          <w:r>
            <w:rPr>
              <w:color w:val="auto"/>
            </w:rPr>
            <w:fldChar w:fldCharType="separate"/>
          </w:r>
          <w:r>
            <w:rPr>
              <w:rFonts w:hint="eastAsia" w:ascii="宋体" w:hAnsi="宋体" w:eastAsia="宋体" w:cs="宋体"/>
              <w:bCs/>
              <w:color w:val="auto"/>
              <w:kern w:val="44"/>
              <w:szCs w:val="21"/>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_Toc15995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506D0F7">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"_Toc14492" </w:instrText>
          </w:r>
          <w:r>
            <w:rPr>
              <w:color w:val="auto"/>
            </w:rPr>
            <w:fldChar w:fldCharType="separate"/>
          </w:r>
          <w:r>
            <w:rPr>
              <w:rFonts w:hint="eastAsia" w:ascii="宋体" w:hAnsi="宋体" w:eastAsia="宋体" w:cs="宋体"/>
              <w:color w:val="auto"/>
              <w:szCs w:val="21"/>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_Toc14492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18B6A32">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"_Toc29311" </w:instrText>
          </w:r>
          <w:r>
            <w:rPr>
              <w:color w:val="auto"/>
            </w:rPr>
            <w:fldChar w:fldCharType="separate"/>
          </w:r>
          <w:r>
            <w:rPr>
              <w:rFonts w:hint="eastAsia" w:ascii="宋体" w:hAnsi="宋体" w:eastAsia="宋体" w:cs="宋体"/>
              <w:color w:val="auto"/>
              <w:szCs w:val="21"/>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_Toc29311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C75F18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"_Toc4212" </w:instrText>
          </w:r>
          <w:r>
            <w:rPr>
              <w:color w:val="auto"/>
            </w:rPr>
            <w:fldChar w:fldCharType="separate"/>
          </w:r>
          <w:r>
            <w:rPr>
              <w:rFonts w:hint="eastAsia" w:ascii="宋体" w:hAnsi="宋体" w:eastAsia="宋体" w:cs="宋体"/>
              <w:color w:val="auto"/>
              <w:szCs w:val="21"/>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_Toc4212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3BFC16E">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"_Toc18029" </w:instrText>
          </w:r>
          <w:r>
            <w:rPr>
              <w:color w:val="auto"/>
            </w:rPr>
            <w:fldChar w:fldCharType="separate"/>
          </w:r>
          <w:r>
            <w:rPr>
              <w:rFonts w:hint="eastAsia" w:ascii="宋体" w:hAnsi="宋体" w:eastAsia="宋体" w:cs="宋体"/>
              <w:bCs/>
              <w:color w:val="auto"/>
              <w:kern w:val="44"/>
              <w:szCs w:val="21"/>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_Toc18029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E6C5654">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"_Toc23781" </w:instrText>
          </w:r>
          <w:r>
            <w:rPr>
              <w:color w:val="auto"/>
            </w:rPr>
            <w:fldChar w:fldCharType="separate"/>
          </w:r>
          <w:r>
            <w:rPr>
              <w:rFonts w:hint="eastAsia" w:ascii="宋体" w:hAnsi="宋体" w:eastAsia="宋体" w:cs="宋体"/>
              <w:color w:val="auto"/>
              <w:szCs w:val="21"/>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_Toc23781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D38A549">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"_Toc30848" </w:instrText>
          </w:r>
          <w:r>
            <w:rPr>
              <w:color w:val="auto"/>
            </w:rPr>
            <w:fldChar w:fldCharType="separate"/>
          </w:r>
          <w:r>
            <w:rPr>
              <w:rFonts w:hint="eastAsia" w:ascii="宋体" w:hAnsi="宋体" w:eastAsia="宋体" w:cs="宋体"/>
              <w:color w:val="auto"/>
              <w:szCs w:val="21"/>
              <w:lang w:val="zh-CN"/>
            </w:rPr>
            <w:t>9</w:t>
          </w:r>
          <w:r>
            <w:rPr>
              <w:rFonts w:hint="eastAsia" w:ascii="宋体" w:hAnsi="宋体" w:eastAsia="宋体" w:cs="宋体"/>
              <w:color w:val="auto"/>
              <w:szCs w:val="24"/>
              <w:lang w:val="zh-CN"/>
            </w:rPr>
            <w:t xml:space="preserve"> </w:t>
          </w:r>
          <w:r>
            <w:rPr>
              <w:rFonts w:hint="eastAsia" w:ascii="宋体" w:hAnsi="宋体" w:eastAsia="宋体" w:cs="宋体"/>
              <w:color w:val="auto"/>
              <w:szCs w:val="21"/>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_Toc30848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129DA61">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"_Toc12312" </w:instrText>
          </w:r>
          <w:r>
            <w:rPr>
              <w:color w:val="auto"/>
            </w:rPr>
            <w:fldChar w:fldCharType="separate"/>
          </w:r>
          <w:r>
            <w:rPr>
              <w:rFonts w:hint="eastAsia" w:ascii="宋体" w:hAnsi="宋体" w:eastAsia="宋体" w:cs="宋体"/>
              <w:color w:val="auto"/>
              <w:szCs w:val="21"/>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_Toc12312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DAB948E">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"_Toc13259" </w:instrText>
          </w:r>
          <w:r>
            <w:rPr>
              <w:color w:val="auto"/>
            </w:rPr>
            <w:fldChar w:fldCharType="separate"/>
          </w:r>
          <w:r>
            <w:rPr>
              <w:rFonts w:hint="eastAsia" w:ascii="宋体" w:hAnsi="宋体" w:eastAsia="宋体" w:cs="宋体"/>
              <w:color w:val="auto"/>
              <w:szCs w:val="21"/>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_Toc13259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A6ED2D7">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"_Toc3116" </w:instrText>
          </w:r>
          <w:r>
            <w:rPr>
              <w:color w:val="auto"/>
            </w:rPr>
            <w:fldChar w:fldCharType="separate"/>
          </w:r>
          <w:r>
            <w:rPr>
              <w:rFonts w:hint="eastAsia" w:ascii="宋体" w:hAnsi="宋体" w:eastAsia="宋体" w:cs="宋体"/>
              <w:color w:val="auto"/>
              <w:szCs w:val="21"/>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_Toc3116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89B7857">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"_Toc28614" </w:instrText>
          </w:r>
          <w:r>
            <w:rPr>
              <w:color w:val="auto"/>
            </w:rPr>
            <w:fldChar w:fldCharType="separate"/>
          </w:r>
          <w:r>
            <w:rPr>
              <w:rFonts w:hint="eastAsia" w:ascii="宋体" w:hAnsi="宋体" w:eastAsia="宋体" w:cs="宋体"/>
              <w:color w:val="auto"/>
              <w:szCs w:val="21"/>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_Toc28614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F649393">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"_Toc31030" </w:instrText>
          </w:r>
          <w:r>
            <w:rPr>
              <w:color w:val="auto"/>
            </w:rPr>
            <w:fldChar w:fldCharType="separate"/>
          </w:r>
          <w:r>
            <w:rPr>
              <w:rFonts w:hint="eastAsia" w:ascii="宋体" w:hAnsi="宋体" w:eastAsia="宋体" w:cs="宋体"/>
              <w:color w:val="auto"/>
              <w:szCs w:val="21"/>
              <w:lang w:val="zh-CN"/>
            </w:rPr>
            <w:t>14 证明服务的合格性并符合招标文件规定的声明文件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_Toc31030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07E2C71">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"_Toc4318" </w:instrText>
          </w:r>
          <w:r>
            <w:rPr>
              <w:color w:val="auto"/>
            </w:rPr>
            <w:fldChar w:fldCharType="separate"/>
          </w:r>
          <w:r>
            <w:rPr>
              <w:rFonts w:hint="eastAsia" w:ascii="宋体" w:hAnsi="宋体" w:eastAsia="宋体" w:cs="宋体"/>
              <w:color w:val="auto"/>
              <w:szCs w:val="21"/>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_Toc4318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37BD42D">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"_Toc31718" </w:instrText>
          </w:r>
          <w:r>
            <w:rPr>
              <w:color w:val="auto"/>
            </w:rPr>
            <w:fldChar w:fldCharType="separate"/>
          </w:r>
          <w:r>
            <w:rPr>
              <w:rFonts w:hint="eastAsia" w:ascii="宋体" w:hAnsi="宋体" w:eastAsia="宋体" w:cs="宋体"/>
              <w:color w:val="auto"/>
              <w:szCs w:val="21"/>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_Toc31718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087961F">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"_Toc31488" </w:instrText>
          </w:r>
          <w:r>
            <w:rPr>
              <w:color w:val="auto"/>
            </w:rPr>
            <w:fldChar w:fldCharType="separate"/>
          </w:r>
          <w:r>
            <w:rPr>
              <w:rFonts w:hint="eastAsia" w:ascii="宋体" w:hAnsi="宋体" w:eastAsia="宋体" w:cs="宋体"/>
              <w:color w:val="auto"/>
              <w:szCs w:val="21"/>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_Toc31488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C96D995">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"_Toc31378" </w:instrText>
          </w:r>
          <w:r>
            <w:rPr>
              <w:color w:val="auto"/>
            </w:rPr>
            <w:fldChar w:fldCharType="separate"/>
          </w:r>
          <w:r>
            <w:rPr>
              <w:rFonts w:hint="eastAsia" w:ascii="宋体" w:hAnsi="宋体" w:eastAsia="宋体" w:cs="宋体"/>
              <w:bCs/>
              <w:color w:val="auto"/>
              <w:kern w:val="44"/>
              <w:szCs w:val="21"/>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_Toc31378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2261D6B">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"_Toc3313" </w:instrText>
          </w:r>
          <w:r>
            <w:rPr>
              <w:color w:val="auto"/>
            </w:rPr>
            <w:fldChar w:fldCharType="separate"/>
          </w:r>
          <w:r>
            <w:rPr>
              <w:rFonts w:hint="eastAsia" w:ascii="宋体" w:hAnsi="宋体" w:eastAsia="宋体" w:cs="宋体"/>
              <w:color w:val="auto"/>
              <w:szCs w:val="21"/>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_Toc3313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B4373A7">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"_Toc19330" </w:instrText>
          </w:r>
          <w:r>
            <w:rPr>
              <w:color w:val="auto"/>
            </w:rPr>
            <w:fldChar w:fldCharType="separate"/>
          </w:r>
          <w:r>
            <w:rPr>
              <w:rFonts w:hint="eastAsia" w:ascii="宋体" w:hAnsi="宋体" w:eastAsia="宋体" w:cs="宋体"/>
              <w:color w:val="auto"/>
              <w:szCs w:val="21"/>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_Toc19330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5B8A92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"_Toc29682" </w:instrText>
          </w:r>
          <w:r>
            <w:rPr>
              <w:color w:val="auto"/>
            </w:rPr>
            <w:fldChar w:fldCharType="separate"/>
          </w:r>
          <w:r>
            <w:rPr>
              <w:rFonts w:hint="eastAsia" w:ascii="宋体" w:hAnsi="宋体" w:eastAsia="宋体" w:cs="宋体"/>
              <w:color w:val="auto"/>
              <w:szCs w:val="21"/>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_Toc29682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3E350E">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"_Toc16046" </w:instrText>
          </w:r>
          <w:r>
            <w:rPr>
              <w:color w:val="auto"/>
            </w:rPr>
            <w:fldChar w:fldCharType="separate"/>
          </w:r>
          <w:r>
            <w:rPr>
              <w:rFonts w:hint="eastAsia" w:ascii="宋体" w:hAnsi="宋体" w:eastAsia="宋体" w:cs="宋体"/>
              <w:color w:val="auto"/>
              <w:szCs w:val="21"/>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_Toc16046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586258A">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"_Toc261" </w:instrText>
          </w:r>
          <w:r>
            <w:rPr>
              <w:color w:val="auto"/>
            </w:rPr>
            <w:fldChar w:fldCharType="separate"/>
          </w:r>
          <w:r>
            <w:rPr>
              <w:rFonts w:hint="eastAsia" w:ascii="宋体" w:hAnsi="宋体" w:eastAsia="宋体" w:cs="宋体"/>
              <w:bCs/>
              <w:color w:val="auto"/>
              <w:kern w:val="44"/>
              <w:szCs w:val="21"/>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65AF59A">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"_Toc13767" </w:instrText>
          </w:r>
          <w:r>
            <w:rPr>
              <w:color w:val="auto"/>
            </w:rPr>
            <w:fldChar w:fldCharType="separate"/>
          </w:r>
          <w:r>
            <w:rPr>
              <w:rFonts w:hint="eastAsia" w:ascii="宋体" w:hAnsi="宋体" w:eastAsia="宋体" w:cs="宋体"/>
              <w:color w:val="auto"/>
              <w:szCs w:val="21"/>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_Toc13767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A8CDFF3">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"_Toc15576" </w:instrText>
          </w:r>
          <w:r>
            <w:rPr>
              <w:color w:val="auto"/>
            </w:rPr>
            <w:fldChar w:fldCharType="separate"/>
          </w:r>
          <w:r>
            <w:rPr>
              <w:rFonts w:hint="eastAsia" w:ascii="宋体" w:hAnsi="宋体" w:eastAsia="宋体" w:cs="宋体"/>
              <w:color w:val="auto"/>
              <w:szCs w:val="21"/>
              <w:lang w:val="zh-CN"/>
            </w:rPr>
            <w:t xml:space="preserve">23 </w:t>
          </w:r>
          <w:r>
            <w:rPr>
              <w:rFonts w:hint="eastAsia" w:ascii="宋体" w:hAnsi="宋体" w:eastAsia="宋体" w:cs="宋体"/>
              <w:color w:val="auto"/>
              <w:kern w:val="0"/>
              <w:szCs w:val="24"/>
            </w:rPr>
            <w:t>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_Toc15576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978404B">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"_Toc11462" </w:instrText>
          </w:r>
          <w:r>
            <w:rPr>
              <w:color w:val="auto"/>
            </w:rPr>
            <w:fldChar w:fldCharType="separate"/>
          </w:r>
          <w:r>
            <w:rPr>
              <w:rFonts w:hint="eastAsia" w:ascii="宋体" w:hAnsi="宋体" w:eastAsia="宋体" w:cs="宋体"/>
              <w:color w:val="auto"/>
              <w:szCs w:val="21"/>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_Toc11462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547875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"_Toc31887" </w:instrText>
          </w:r>
          <w:r>
            <w:rPr>
              <w:color w:val="auto"/>
            </w:rPr>
            <w:fldChar w:fldCharType="separate"/>
          </w:r>
          <w:r>
            <w:rPr>
              <w:rFonts w:hint="eastAsia" w:ascii="宋体" w:hAnsi="宋体" w:eastAsia="宋体" w:cs="宋体"/>
              <w:color w:val="auto"/>
              <w:szCs w:val="21"/>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_Toc31887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41FE573">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"_Toc25001" </w:instrText>
          </w:r>
          <w:r>
            <w:rPr>
              <w:color w:val="auto"/>
            </w:rPr>
            <w:fldChar w:fldCharType="separate"/>
          </w:r>
          <w:r>
            <w:rPr>
              <w:rFonts w:hint="eastAsia" w:ascii="宋体" w:hAnsi="宋体" w:eastAsia="宋体" w:cs="宋体"/>
              <w:color w:val="auto"/>
              <w:szCs w:val="21"/>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_Toc25001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6B26C9C">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"_Toc23398" </w:instrText>
          </w:r>
          <w:r>
            <w:rPr>
              <w:color w:val="auto"/>
            </w:rPr>
            <w:fldChar w:fldCharType="separate"/>
          </w:r>
          <w:r>
            <w:rPr>
              <w:rFonts w:hint="eastAsia" w:ascii="宋体" w:hAnsi="宋体" w:eastAsia="宋体" w:cs="宋体"/>
              <w:color w:val="auto"/>
              <w:szCs w:val="21"/>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_Toc23398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5FD4BA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"_Toc16317" </w:instrText>
          </w:r>
          <w:r>
            <w:rPr>
              <w:color w:val="auto"/>
            </w:rPr>
            <w:fldChar w:fldCharType="separate"/>
          </w:r>
          <w:r>
            <w:rPr>
              <w:rFonts w:hint="eastAsia" w:ascii="宋体" w:hAnsi="宋体" w:eastAsia="宋体" w:cs="宋体"/>
              <w:color w:val="auto"/>
              <w:szCs w:val="21"/>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_Toc16317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14C1B3C">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"_Toc30721" </w:instrText>
          </w:r>
          <w:r>
            <w:rPr>
              <w:color w:val="auto"/>
            </w:rPr>
            <w:fldChar w:fldCharType="separate"/>
          </w:r>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_Toc30721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FBDB745">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"_Toc20880" </w:instrText>
          </w:r>
          <w:r>
            <w:rPr>
              <w:color w:val="auto"/>
            </w:rPr>
            <w:fldChar w:fldCharType="separate"/>
          </w:r>
          <w:r>
            <w:rPr>
              <w:rFonts w:hint="eastAsia" w:ascii="宋体" w:hAnsi="宋体" w:eastAsia="宋体" w:cs="宋体"/>
              <w:color w:val="auto"/>
              <w:szCs w:val="21"/>
            </w:rPr>
            <w:t>30</w:t>
          </w:r>
          <w:r>
            <w:rPr>
              <w:rFonts w:hint="eastAsia" w:ascii="宋体" w:hAnsi="宋体" w:eastAsia="宋体" w:cs="宋体"/>
              <w:color w:val="auto"/>
              <w:szCs w:val="21"/>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_Toc20880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C2CB02D">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"_Toc26433" </w:instrText>
          </w:r>
          <w:r>
            <w:rPr>
              <w:color w:val="auto"/>
            </w:rPr>
            <w:fldChar w:fldCharType="separate"/>
          </w:r>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_Toc26433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96F8D96">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"_Toc710" </w:instrText>
          </w:r>
          <w:r>
            <w:rPr>
              <w:color w:val="auto"/>
            </w:rPr>
            <w:fldChar w:fldCharType="separate"/>
          </w:r>
          <w:r>
            <w:rPr>
              <w:rFonts w:hint="eastAsia" w:ascii="宋体" w:hAnsi="宋体" w:eastAsia="宋体" w:cs="宋体"/>
              <w:bCs/>
              <w:color w:val="auto"/>
              <w:kern w:val="44"/>
              <w:szCs w:val="21"/>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_Toc710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79761E0">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"_Toc3932" </w:instrText>
          </w:r>
          <w:r>
            <w:rPr>
              <w:color w:val="auto"/>
            </w:rPr>
            <w:fldChar w:fldCharType="separate"/>
          </w:r>
          <w:r>
            <w:rPr>
              <w:rFonts w:hint="eastAsia" w:ascii="宋体" w:hAnsi="宋体" w:eastAsia="宋体" w:cs="宋体"/>
              <w:color w:val="auto"/>
              <w:szCs w:val="21"/>
            </w:rPr>
            <w:t>32</w:t>
          </w:r>
          <w:r>
            <w:rPr>
              <w:rFonts w:hint="eastAsia" w:ascii="宋体" w:hAnsi="宋体" w:eastAsia="宋体" w:cs="宋体"/>
              <w:color w:val="auto"/>
              <w:szCs w:val="21"/>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_Toc3932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5929290">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"_Toc11607" </w:instrText>
          </w:r>
          <w:r>
            <w:rPr>
              <w:color w:val="auto"/>
            </w:rPr>
            <w:fldChar w:fldCharType="separate"/>
          </w:r>
          <w:r>
            <w:rPr>
              <w:rFonts w:hint="eastAsia" w:ascii="宋体" w:hAnsi="宋体" w:eastAsia="宋体" w:cs="宋体"/>
              <w:color w:val="auto"/>
              <w:szCs w:val="21"/>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_Toc11607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30D5D0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"_Toc9376" </w:instrText>
          </w:r>
          <w:r>
            <w:rPr>
              <w:color w:val="auto"/>
            </w:rPr>
            <w:fldChar w:fldCharType="separate"/>
          </w:r>
          <w:r>
            <w:rPr>
              <w:rFonts w:hint="eastAsia" w:ascii="宋体" w:hAnsi="宋体" w:eastAsia="宋体" w:cs="宋体"/>
              <w:color w:val="auto"/>
              <w:szCs w:val="21"/>
            </w:rPr>
            <w:t>34</w:t>
          </w:r>
          <w:r>
            <w:rPr>
              <w:rFonts w:hint="eastAsia" w:ascii="宋体" w:hAnsi="宋体" w:eastAsia="宋体" w:cs="宋体"/>
              <w:color w:val="auto"/>
              <w:szCs w:val="21"/>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_Toc9376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2B6B0A8">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"_Toc13765" </w:instrText>
          </w:r>
          <w:r>
            <w:rPr>
              <w:color w:val="auto"/>
            </w:rPr>
            <w:fldChar w:fldCharType="separate"/>
          </w:r>
          <w:r>
            <w:rPr>
              <w:rFonts w:hint="eastAsia" w:ascii="宋体" w:hAnsi="宋体" w:eastAsia="宋体" w:cs="宋体"/>
              <w:color w:val="auto"/>
              <w:szCs w:val="21"/>
            </w:rPr>
            <w:t xml:space="preserve">35 </w:t>
          </w:r>
          <w:r>
            <w:rPr>
              <w:rFonts w:hint="eastAsia" w:ascii="宋体" w:hAnsi="宋体" w:eastAsia="宋体" w:cs="宋体"/>
              <w:color w:val="auto"/>
              <w:szCs w:val="21"/>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_Toc13765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5A3F214">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"_Toc7497" </w:instrText>
          </w:r>
          <w:r>
            <w:rPr>
              <w:color w:val="auto"/>
            </w:rPr>
            <w:fldChar w:fldCharType="separate"/>
          </w:r>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_Toc7497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D8AB9F7">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"_Toc22037" </w:instrText>
          </w:r>
          <w:r>
            <w:rPr>
              <w:color w:val="auto"/>
            </w:rPr>
            <w:fldChar w:fldCharType="separate"/>
          </w:r>
          <w:r>
            <w:rPr>
              <w:rFonts w:hint="eastAsia" w:ascii="宋体" w:hAnsi="宋体" w:eastAsia="宋体" w:cs="宋体"/>
              <w:color w:val="auto"/>
              <w:szCs w:val="21"/>
            </w:rPr>
            <w:t>37</w:t>
          </w:r>
          <w:r>
            <w:rPr>
              <w:rFonts w:hint="eastAsia" w:ascii="宋体" w:hAnsi="宋体" w:eastAsia="宋体" w:cs="宋体"/>
              <w:color w:val="auto"/>
              <w:szCs w:val="21"/>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_Toc22037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E0D0441">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"_Toc23830" </w:instrText>
          </w:r>
          <w:r>
            <w:rPr>
              <w:color w:val="auto"/>
            </w:rPr>
            <w:fldChar w:fldCharType="separate"/>
          </w:r>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_Toc23830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469356B">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"_Toc30101" </w:instrText>
          </w:r>
          <w:r>
            <w:rPr>
              <w:color w:val="auto"/>
            </w:rPr>
            <w:fldChar w:fldCharType="separate"/>
          </w:r>
          <w:r>
            <w:rPr>
              <w:rFonts w:hint="eastAsia" w:ascii="宋体" w:hAnsi="宋体" w:eastAsia="宋体" w:cs="宋体"/>
              <w:color w:val="auto"/>
              <w:szCs w:val="21"/>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_Toc30101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332EA77">
          <w:pPr>
            <w:pStyle w:val="22"/>
            <w:tabs>
              <w:tab w:val="right" w:leader="dot" w:pos="10154"/>
              <w:tab w:val="clear" w:pos="10144"/>
            </w:tabs>
            <w:spacing w:line="360" w:lineRule="auto"/>
            <w:rPr>
              <w:rFonts w:ascii="宋体" w:hAnsi="宋体" w:eastAsia="宋体" w:cs="宋体"/>
              <w:color w:val="auto"/>
            </w:rPr>
          </w:pPr>
          <w:r>
            <w:rPr>
              <w:color w:val="auto"/>
            </w:rPr>
            <w:fldChar w:fldCharType="begin"/>
          </w:r>
          <w:r>
            <w:rPr>
              <w:color w:val="auto"/>
            </w:rPr>
            <w:instrText xml:space="preserve"> HYPERLINK \l "_Toc7811" </w:instrText>
          </w:r>
          <w:r>
            <w:rPr>
              <w:color w:val="auto"/>
            </w:rPr>
            <w:fldChar w:fldCharType="separate"/>
          </w:r>
          <w:r>
            <w:rPr>
              <w:rFonts w:hint="eastAsia" w:ascii="宋体" w:hAnsi="宋体" w:eastAsia="宋体" w:cs="宋体"/>
              <w:color w:val="auto"/>
              <w:szCs w:val="21"/>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_Toc7811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359B198">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"_Toc7082" </w:instrText>
          </w:r>
          <w:r>
            <w:rPr>
              <w:color w:val="auto"/>
            </w:rPr>
            <w:fldChar w:fldCharType="separate"/>
          </w:r>
          <w:r>
            <w:rPr>
              <w:rFonts w:hint="eastAsia" w:ascii="宋体" w:hAnsi="宋体" w:eastAsia="宋体" w:cs="宋体"/>
              <w:bCs/>
              <w:color w:val="auto"/>
              <w:kern w:val="44"/>
              <w:szCs w:val="32"/>
              <w:lang w:val="zh-CN"/>
            </w:rPr>
            <w:t>第三篇 用户需求书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_Toc7082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2FEF04F">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"_Toc16923" </w:instrText>
          </w:r>
          <w:r>
            <w:rPr>
              <w:color w:val="auto"/>
            </w:rPr>
            <w:fldChar w:fldCharType="separate"/>
          </w:r>
          <w:r>
            <w:rPr>
              <w:rFonts w:hint="eastAsia" w:ascii="宋体" w:hAnsi="宋体" w:eastAsia="宋体" w:cs="宋体"/>
              <w:bCs/>
              <w:color w:val="auto"/>
              <w:kern w:val="44"/>
              <w:szCs w:val="32"/>
              <w:lang w:val="zh-CN"/>
            </w:rPr>
            <w:t>第四篇 合同条款格式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_Toc16923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955C33F">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"_Toc26937" </w:instrText>
          </w:r>
          <w:r>
            <w:rPr>
              <w:color w:val="auto"/>
            </w:rPr>
            <w:fldChar w:fldCharType="separate"/>
          </w:r>
          <w:r>
            <w:rPr>
              <w:rFonts w:hint="eastAsia" w:ascii="宋体" w:hAnsi="宋体" w:eastAsia="宋体" w:cs="宋体"/>
              <w:bCs/>
              <w:color w:val="auto"/>
              <w:kern w:val="44"/>
              <w:szCs w:val="32"/>
              <w:lang w:val="zh-CN"/>
            </w:rPr>
            <w:t>第五篇 相关保函格式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_Toc26937 \h </w:instrText>
          </w:r>
          <w:r>
            <w:rPr>
              <w:rFonts w:hint="eastAsia" w:ascii="宋体" w:hAnsi="宋体" w:eastAsia="宋体" w:cs="宋体"/>
              <w:color w:val="auto"/>
            </w:rPr>
            <w:fldChar w:fldCharType="separate"/>
          </w:r>
          <w:r>
            <w:rPr>
              <w:rFonts w:hint="eastAsia" w:ascii="宋体" w:hAnsi="宋体" w:eastAsia="宋体" w:cs="宋体"/>
              <w:color w:val="auto"/>
            </w:rPr>
            <w:t>134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A2FF260">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"_Toc18489" </w:instrText>
          </w:r>
          <w:r>
            <w:rPr>
              <w:color w:val="auto"/>
            </w:rPr>
            <w:fldChar w:fldCharType="separate"/>
          </w:r>
          <w:r>
            <w:rPr>
              <w:rFonts w:hint="eastAsia" w:ascii="宋体" w:hAnsi="宋体" w:eastAsia="宋体" w:cs="宋体"/>
              <w:bCs/>
              <w:color w:val="auto"/>
              <w:kern w:val="44"/>
              <w:szCs w:val="32"/>
              <w:lang w:val="zh-CN"/>
            </w:rPr>
            <w:t>第六篇 投标文件格式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_Toc18489 \h </w:instrText>
          </w:r>
          <w:r>
            <w:rPr>
              <w:rFonts w:hint="eastAsia" w:ascii="宋体" w:hAnsi="宋体" w:eastAsia="宋体" w:cs="宋体"/>
              <w:color w:val="auto"/>
            </w:rPr>
            <w:fldChar w:fldCharType="separate"/>
          </w:r>
          <w:r>
            <w:rPr>
              <w:rFonts w:hint="eastAsia" w:ascii="宋体" w:hAnsi="宋体" w:eastAsia="宋体" w:cs="宋体"/>
              <w:color w:val="auto"/>
            </w:rPr>
            <w:t>137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C7216F8">
          <w:pPr>
            <w:pStyle w:val="29"/>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"_Toc1130" </w:instrText>
          </w:r>
          <w:r>
            <w:rPr>
              <w:color w:val="auto"/>
            </w:rPr>
            <w:fldChar w:fldCharType="separate"/>
          </w:r>
          <w:r>
            <w:rPr>
              <w:rFonts w:hint="eastAsia" w:ascii="宋体" w:hAnsi="宋体" w:eastAsia="宋体" w:cs="宋体"/>
              <w:bCs/>
              <w:color w:val="auto"/>
              <w:kern w:val="44"/>
              <w:szCs w:val="32"/>
              <w:lang w:val="zh-CN"/>
            </w:rPr>
            <w:t>附件一：评标工作大纲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_Toc1130 \h </w:instrText>
          </w:r>
          <w:r>
            <w:rPr>
              <w:rFonts w:hint="eastAsia" w:ascii="宋体" w:hAnsi="宋体" w:eastAsia="宋体" w:cs="宋体"/>
              <w:color w:val="auto"/>
            </w:rPr>
            <w:fldChar w:fldCharType="separate"/>
          </w:r>
          <w:r>
            <w:rPr>
              <w:rFonts w:hint="eastAsia" w:ascii="宋体" w:hAnsi="宋体" w:eastAsia="宋体" w:cs="宋体"/>
              <w:color w:val="auto"/>
            </w:rPr>
            <w:t>174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FE80B4D">
          <w:pPr>
            <w:rPr>
              <w:rFonts w:ascii="宋体" w:hAnsi="宋体" w:eastAsia="宋体" w:cs="宋体"/>
              <w:color w:val="auto"/>
            </w:rPr>
          </w:pPr>
          <w:r>
            <w:rPr>
              <w:rFonts w:hint="eastAsia" w:ascii="宋体" w:hAnsi="宋体" w:eastAsia="宋体" w:cs="宋体"/>
              <w:color w:val="auto"/>
            </w:rPr>
            <w:fldChar w:fldCharType="end"/>
          </w:r>
        </w:p>
      </w:sdtContent>
    </w:sdt>
    <w:p w14:paraId="24064F55">
      <w:pPr>
        <w:keepNext/>
        <w:keepLines/>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44"/>
          <w:szCs w:val="44"/>
          <w:lang w:val="zh-CN"/>
        </w:rPr>
      </w:pPr>
      <w:bookmarkStart w:id="0" w:name="_Toc142508310"/>
      <w:bookmarkStart w:id="1" w:name="_Toc17326"/>
      <w:bookmarkStart w:id="2" w:name="_Toc2723_WPSOffice_Level1"/>
      <w:bookmarkStart w:id="3" w:name="_Toc17522"/>
      <w:bookmarkStart w:id="4" w:name="_Toc486167660"/>
      <w:bookmarkStart w:id="5" w:name="_Toc450662846"/>
      <w:bookmarkStart w:id="6" w:name="_Toc4869"/>
      <w:r>
        <w:rPr>
          <w:rFonts w:hint="eastAsia" w:ascii="宋体" w:hAnsi="宋体" w:eastAsia="宋体" w:cs="宋体"/>
          <w:b/>
          <w:bCs/>
          <w:color w:val="auto"/>
          <w:kern w:val="44"/>
          <w:sz w:val="32"/>
          <w:szCs w:val="32"/>
          <w:lang w:val="zh-CN"/>
        </w:rPr>
        <w:t>第一篇 招标公告</w:t>
      </w:r>
      <w:bookmarkEnd w:id="0"/>
      <w:bookmarkEnd w:id="1"/>
      <w:bookmarkEnd w:id="2"/>
      <w:bookmarkEnd w:id="3"/>
      <w:bookmarkEnd w:id="4"/>
      <w:bookmarkEnd w:id="5"/>
      <w:bookmarkEnd w:id="6"/>
    </w:p>
    <w:p w14:paraId="211E38DC">
      <w:pPr>
        <w:autoSpaceDE w:val="0"/>
        <w:autoSpaceDN w:val="0"/>
        <w:adjustRightInd w:val="0"/>
        <w:snapToGrid w:val="0"/>
        <w:spacing w:line="360" w:lineRule="auto"/>
        <w:ind w:left="-210" w:right="-34"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建成工程咨询股份有限公司（以下简称“招标代理机构”）受东莞市水务集团管网有限公司（以下简称“招标人”）的委托，对</w:t>
      </w:r>
      <w:bookmarkStart w:id="7" w:name="_Hlk41903390"/>
      <w:r>
        <w:rPr>
          <w:rFonts w:hint="eastAsia" w:ascii="宋体" w:hAnsi="宋体" w:eastAsia="宋体" w:cs="宋体"/>
          <w:color w:val="auto"/>
          <w:kern w:val="0"/>
          <w:szCs w:val="21"/>
          <w:lang w:val="zh-CN"/>
        </w:rPr>
        <w:t>东莞市水务集团管网有限公司2025年</w:t>
      </w:r>
      <w:r>
        <w:rPr>
          <w:rFonts w:hint="eastAsia" w:ascii="宋体" w:hAnsi="宋体" w:eastAsia="宋体" w:cs="宋体"/>
          <w:color w:val="auto"/>
          <w:kern w:val="0"/>
          <w:szCs w:val="21"/>
        </w:rPr>
        <w:t>度</w:t>
      </w:r>
      <w:r>
        <w:rPr>
          <w:rFonts w:hint="eastAsia" w:ascii="宋体" w:hAnsi="宋体" w:eastAsia="宋体" w:cs="宋体"/>
          <w:color w:val="auto"/>
          <w:kern w:val="0"/>
          <w:szCs w:val="21"/>
          <w:lang w:val="zh-CN"/>
        </w:rPr>
        <w:t>机电设备维修定点服务单位采购项目(招标编号：广建咨询（东招）2024-0131号)</w:t>
      </w:r>
      <w:bookmarkEnd w:id="7"/>
      <w:r>
        <w:rPr>
          <w:rFonts w:hint="eastAsia" w:ascii="宋体" w:hAnsi="宋体" w:eastAsia="宋体" w:cs="宋体"/>
          <w:color w:val="auto"/>
          <w:kern w:val="0"/>
          <w:szCs w:val="21"/>
          <w:lang w:val="zh-CN"/>
        </w:rPr>
        <w:t>进行国内公开招标，详情请参见本招标文件。欢迎符合条件的合格投标人参加投标，有关事项如下：</w:t>
      </w:r>
    </w:p>
    <w:p w14:paraId="1F78269E">
      <w:pPr>
        <w:autoSpaceDE w:val="0"/>
        <w:autoSpaceDN w:val="0"/>
        <w:adjustRightInd w:val="0"/>
        <w:spacing w:line="360" w:lineRule="auto"/>
        <w:ind w:left="-210" w:right="-29" w:rightChars="-14" w:firstLine="420" w:firstLineChars="200"/>
        <w:rPr>
          <w:rFonts w:ascii="宋体" w:hAnsi="宋体" w:eastAsia="宋体" w:cs="宋体"/>
          <w:color w:val="auto"/>
          <w:szCs w:val="21"/>
          <w:lang w:val="zh-CN"/>
        </w:rPr>
      </w:pPr>
    </w:p>
    <w:p w14:paraId="5F6E34F1">
      <w:pPr>
        <w:numPr>
          <w:ilvl w:val="0"/>
          <w:numId w:val="2"/>
        </w:numPr>
        <w:autoSpaceDE w:val="0"/>
        <w:autoSpaceDN w:val="0"/>
        <w:adjustRightInd w:val="0"/>
        <w:snapToGrid w:val="0"/>
        <w:spacing w:line="360" w:lineRule="auto"/>
        <w:ind w:left="357" w:right="-34" w:hanging="357" w:hangingChars="170"/>
        <w:jc w:val="left"/>
        <w:rPr>
          <w:rFonts w:ascii="宋体" w:hAnsi="宋体" w:eastAsia="宋体" w:cs="宋体"/>
          <w:color w:val="auto"/>
          <w:szCs w:val="21"/>
          <w:lang w:val="zh-CN"/>
        </w:rPr>
      </w:pPr>
      <w:r>
        <w:rPr>
          <w:rFonts w:hint="eastAsia" w:ascii="宋体" w:hAnsi="宋体" w:eastAsia="宋体" w:cs="宋体"/>
          <w:color w:val="auto"/>
          <w:szCs w:val="21"/>
          <w:lang w:val="zh-CN"/>
        </w:rPr>
        <w:t>招标范围：</w:t>
      </w:r>
    </w:p>
    <w:p w14:paraId="21F1EE93">
      <w:pPr>
        <w:spacing w:line="360" w:lineRule="auto"/>
        <w:ind w:right="-34" w:firstLine="420" w:firstLineChars="200"/>
        <w:rPr>
          <w:rFonts w:ascii="宋体" w:hAnsi="宋体" w:eastAsia="宋体" w:cs="宋体"/>
          <w:color w:val="auto"/>
          <w:szCs w:val="21"/>
        </w:rPr>
      </w:pPr>
      <w:r>
        <w:rPr>
          <w:rFonts w:hint="eastAsia" w:ascii="宋体" w:hAnsi="宋体" w:eastAsia="宋体" w:cs="宋体"/>
          <w:color w:val="auto"/>
          <w:szCs w:val="21"/>
        </w:rPr>
        <w:t>承接单项项目限额为估算（或预算）200万元（不含）以下的机电设备维修项目：招标人（含招标人下属分公司、项目公司）运营的东莞市排水管网及配套泵站等附属设施的机电设备维修项目，内容主要包括但以机电设备的维修、技术改造、重置、应急抢修、设备拆卸、零配件加工及修复等技术服务项目（</w:t>
      </w:r>
      <w:r>
        <w:rPr>
          <w:rFonts w:hint="eastAsia" w:ascii="宋体" w:hAnsi="宋体" w:eastAsia="宋体" w:cs="宋体"/>
          <w:b/>
          <w:bCs/>
          <w:color w:val="auto"/>
          <w:szCs w:val="21"/>
        </w:rPr>
        <w:t>指机电设备专业维修为主的设备设施委外技术服务，也包括雨棚及停车棚、围栏等设施维修，不包括全土建专业的或以土建专业为主的设施委外技术服务</w:t>
      </w:r>
      <w:r>
        <w:rPr>
          <w:rFonts w:hint="eastAsia" w:ascii="宋体" w:hAnsi="宋体" w:eastAsia="宋体" w:cs="宋体"/>
          <w:color w:val="auto"/>
          <w:szCs w:val="21"/>
        </w:rPr>
        <w:t>），对于上述工作而引发的开挖、井室修复及改造管道接合以及水下封堵作业等工作也在本采购服务范围内。</w:t>
      </w:r>
    </w:p>
    <w:p w14:paraId="595A3BE4">
      <w:pPr>
        <w:spacing w:line="360" w:lineRule="auto"/>
        <w:ind w:right="-34" w:firstLine="420" w:firstLineChars="200"/>
        <w:rPr>
          <w:rFonts w:ascii="宋体" w:hAnsi="宋体" w:eastAsia="宋体" w:cs="宋体"/>
          <w:color w:val="auto"/>
          <w:szCs w:val="21"/>
        </w:rPr>
      </w:pPr>
      <w:r>
        <w:rPr>
          <w:rFonts w:hint="eastAsia" w:ascii="宋体" w:hAnsi="宋体" w:eastAsia="宋体" w:cs="宋体"/>
          <w:color w:val="auto"/>
          <w:szCs w:val="21"/>
        </w:rPr>
        <w:t>本项目以公开招标方式，</w:t>
      </w:r>
      <w:r>
        <w:rPr>
          <w:rFonts w:hint="eastAsia" w:ascii="宋体" w:hAnsi="宋体" w:eastAsia="宋体" w:cs="宋体"/>
          <w:b/>
          <w:bCs/>
          <w:color w:val="auto"/>
          <w:szCs w:val="21"/>
        </w:rPr>
        <w:t>划分3个包组分别选取1家机电设备维修服务单位，</w:t>
      </w:r>
      <w:r>
        <w:rPr>
          <w:rFonts w:hint="eastAsia" w:ascii="宋体" w:hAnsi="宋体" w:eastAsia="宋体" w:cs="宋体"/>
          <w:color w:val="auto"/>
          <w:szCs w:val="21"/>
        </w:rPr>
        <w:t>在服务期限内，按招标人委派规则直接承接对应包组内的机电设备维修服务项目。本次招标的3个包组，具体划分如下：</w:t>
      </w:r>
    </w:p>
    <w:tbl>
      <w:tblPr>
        <w:tblStyle w:val="3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5992"/>
        <w:gridCol w:w="1078"/>
        <w:gridCol w:w="1437"/>
      </w:tblGrid>
      <w:tr w14:paraId="3E66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75B88665">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包号</w:t>
            </w:r>
          </w:p>
        </w:tc>
        <w:tc>
          <w:tcPr>
            <w:tcW w:w="3229" w:type="pct"/>
            <w:vAlign w:val="center"/>
          </w:tcPr>
          <w:p w14:paraId="4308D876">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服务范围</w:t>
            </w:r>
          </w:p>
        </w:tc>
        <w:tc>
          <w:tcPr>
            <w:tcW w:w="581" w:type="pct"/>
            <w:vAlign w:val="center"/>
          </w:tcPr>
          <w:p w14:paraId="456505CD">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服务单位数量</w:t>
            </w:r>
          </w:p>
        </w:tc>
        <w:tc>
          <w:tcPr>
            <w:tcW w:w="774" w:type="pct"/>
            <w:vAlign w:val="center"/>
          </w:tcPr>
          <w:p w14:paraId="4F9C68A2">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服务期</w:t>
            </w:r>
          </w:p>
        </w:tc>
      </w:tr>
      <w:tr w14:paraId="7E1B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Merge w:val="restart"/>
            <w:vAlign w:val="center"/>
          </w:tcPr>
          <w:p w14:paraId="0B27F4ED">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A</w:t>
            </w:r>
          </w:p>
        </w:tc>
        <w:tc>
          <w:tcPr>
            <w:tcW w:w="3229" w:type="pct"/>
          </w:tcPr>
          <w:p w14:paraId="16EBEA90">
            <w:pPr>
              <w:autoSpaceDE w:val="0"/>
              <w:autoSpaceDN w:val="0"/>
              <w:adjustRightInd w:val="0"/>
              <w:spacing w:line="360" w:lineRule="auto"/>
              <w:rPr>
                <w:rFonts w:ascii="宋体" w:hAnsi="宋体" w:eastAsia="宋体" w:cs="宋体"/>
                <w:color w:val="auto"/>
              </w:rPr>
            </w:pPr>
            <w:r>
              <w:rPr>
                <w:rFonts w:hint="eastAsia" w:ascii="宋体" w:hAnsi="宋体" w:eastAsia="宋体" w:cs="宋体"/>
                <w:b/>
                <w:bCs/>
                <w:color w:val="auto"/>
                <w:szCs w:val="21"/>
              </w:rPr>
              <w:t>第一片区：</w:t>
            </w:r>
            <w:r>
              <w:rPr>
                <w:rFonts w:hint="eastAsia" w:ascii="宋体" w:hAnsi="宋体" w:eastAsia="宋体" w:cs="宋体"/>
                <w:color w:val="auto"/>
                <w:szCs w:val="21"/>
              </w:rPr>
              <w:t>东城、南城、莞城、万江、石龙、石碣、高埗</w:t>
            </w:r>
          </w:p>
        </w:tc>
        <w:tc>
          <w:tcPr>
            <w:tcW w:w="581" w:type="pct"/>
            <w:vMerge w:val="restart"/>
            <w:vAlign w:val="center"/>
          </w:tcPr>
          <w:p w14:paraId="73924E35">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一家</w:t>
            </w:r>
          </w:p>
        </w:tc>
        <w:tc>
          <w:tcPr>
            <w:tcW w:w="774" w:type="pct"/>
            <w:vMerge w:val="restart"/>
            <w:vAlign w:val="center"/>
          </w:tcPr>
          <w:p w14:paraId="4ECF346D">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自合同生效之日起至2025年12月31日止。</w:t>
            </w:r>
          </w:p>
        </w:tc>
      </w:tr>
      <w:tr w14:paraId="3BFF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Merge w:val="continue"/>
            <w:vAlign w:val="center"/>
          </w:tcPr>
          <w:p w14:paraId="6DC5D860">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c>
          <w:tcPr>
            <w:tcW w:w="3229" w:type="pct"/>
          </w:tcPr>
          <w:p w14:paraId="5A0ADF46">
            <w:pPr>
              <w:pStyle w:val="18"/>
              <w:jc w:val="left"/>
              <w:rPr>
                <w:rFonts w:hAnsi="宋体" w:cs="宋体"/>
                <w:color w:val="auto"/>
                <w:sz w:val="21"/>
                <w:szCs w:val="21"/>
              </w:rPr>
            </w:pPr>
            <w:r>
              <w:rPr>
                <w:rFonts w:hint="eastAsia" w:hAnsi="宋体" w:cs="宋体"/>
                <w:color w:val="auto"/>
                <w:sz w:val="21"/>
                <w:szCs w:val="21"/>
              </w:rPr>
              <w:t>第</w:t>
            </w:r>
            <w:r>
              <w:rPr>
                <w:rFonts w:hint="eastAsia" w:hAnsi="宋体" w:cs="宋体"/>
                <w:color w:val="auto"/>
                <w:sz w:val="21"/>
                <w:szCs w:val="21"/>
                <w:lang w:val="en-US"/>
              </w:rPr>
              <w:t>二</w:t>
            </w:r>
            <w:r>
              <w:rPr>
                <w:rFonts w:hint="eastAsia" w:hAnsi="宋体" w:cs="宋体"/>
                <w:color w:val="auto"/>
                <w:sz w:val="21"/>
                <w:szCs w:val="21"/>
              </w:rPr>
              <w:t>片区：</w:t>
            </w:r>
            <w:r>
              <w:rPr>
                <w:rFonts w:hint="eastAsia" w:hAnsi="宋体" w:cs="宋体"/>
                <w:b w:val="0"/>
                <w:bCs w:val="0"/>
                <w:color w:val="auto"/>
                <w:sz w:val="21"/>
                <w:szCs w:val="21"/>
              </w:rPr>
              <w:t>松山湖（生态园）、大岭山、大朗、寮步、茶山、石排</w:t>
            </w:r>
          </w:p>
        </w:tc>
        <w:tc>
          <w:tcPr>
            <w:tcW w:w="581" w:type="pct"/>
            <w:vMerge w:val="continue"/>
            <w:vAlign w:val="center"/>
          </w:tcPr>
          <w:p w14:paraId="6E2458C5">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c>
          <w:tcPr>
            <w:tcW w:w="774" w:type="pct"/>
            <w:vMerge w:val="continue"/>
            <w:vAlign w:val="center"/>
          </w:tcPr>
          <w:p w14:paraId="036E5D54">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r>
      <w:tr w14:paraId="7DD9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Merge w:val="restart"/>
            <w:vAlign w:val="center"/>
          </w:tcPr>
          <w:p w14:paraId="445762A2">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B</w:t>
            </w:r>
          </w:p>
        </w:tc>
        <w:tc>
          <w:tcPr>
            <w:tcW w:w="3229" w:type="pct"/>
          </w:tcPr>
          <w:p w14:paraId="676FC46E">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b/>
                <w:bCs/>
                <w:color w:val="auto"/>
                <w:szCs w:val="21"/>
              </w:rPr>
              <w:t>第三片区：</w:t>
            </w:r>
            <w:r>
              <w:rPr>
                <w:rFonts w:hint="eastAsia" w:ascii="宋体" w:hAnsi="宋体" w:eastAsia="宋体" w:cs="宋体"/>
                <w:color w:val="auto"/>
                <w:szCs w:val="21"/>
              </w:rPr>
              <w:t>滨海湾、虎门、长安、厚街、沙田（虎门港）</w:t>
            </w:r>
          </w:p>
        </w:tc>
        <w:tc>
          <w:tcPr>
            <w:tcW w:w="581" w:type="pct"/>
            <w:vMerge w:val="restart"/>
            <w:vAlign w:val="center"/>
          </w:tcPr>
          <w:p w14:paraId="45CF9929">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一家</w:t>
            </w:r>
          </w:p>
        </w:tc>
        <w:tc>
          <w:tcPr>
            <w:tcW w:w="774" w:type="pct"/>
            <w:vMerge w:val="continue"/>
            <w:vAlign w:val="center"/>
          </w:tcPr>
          <w:p w14:paraId="483394A2">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r>
      <w:tr w14:paraId="79D6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Merge w:val="continue"/>
            <w:vAlign w:val="center"/>
          </w:tcPr>
          <w:p w14:paraId="2AF64E2C">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c>
          <w:tcPr>
            <w:tcW w:w="3229" w:type="pct"/>
          </w:tcPr>
          <w:p w14:paraId="4621C0C8">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b/>
                <w:bCs/>
                <w:color w:val="auto"/>
                <w:szCs w:val="21"/>
              </w:rPr>
              <w:t>第四片区：</w:t>
            </w:r>
            <w:r>
              <w:rPr>
                <w:rFonts w:hint="eastAsia" w:ascii="宋体" w:hAnsi="宋体" w:eastAsia="宋体" w:cs="宋体"/>
                <w:color w:val="auto"/>
                <w:szCs w:val="21"/>
              </w:rPr>
              <w:t>麻涌、中堂、望牛墩、道滘、洪梅</w:t>
            </w:r>
          </w:p>
        </w:tc>
        <w:tc>
          <w:tcPr>
            <w:tcW w:w="581" w:type="pct"/>
            <w:vMerge w:val="continue"/>
            <w:vAlign w:val="center"/>
          </w:tcPr>
          <w:p w14:paraId="17ED877C">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c>
          <w:tcPr>
            <w:tcW w:w="774" w:type="pct"/>
            <w:vMerge w:val="continue"/>
            <w:vAlign w:val="center"/>
          </w:tcPr>
          <w:p w14:paraId="0E7356D3">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r>
      <w:tr w14:paraId="206E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Merge w:val="restart"/>
            <w:vAlign w:val="center"/>
          </w:tcPr>
          <w:p w14:paraId="361F4246">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C</w:t>
            </w:r>
          </w:p>
        </w:tc>
        <w:tc>
          <w:tcPr>
            <w:tcW w:w="3229" w:type="pct"/>
          </w:tcPr>
          <w:p w14:paraId="683E5636">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b/>
                <w:bCs/>
                <w:color w:val="auto"/>
                <w:szCs w:val="21"/>
              </w:rPr>
              <w:t>第五片区：</w:t>
            </w:r>
            <w:r>
              <w:rPr>
                <w:rFonts w:hint="eastAsia" w:ascii="宋体" w:hAnsi="宋体" w:eastAsia="宋体" w:cs="宋体"/>
                <w:color w:val="auto"/>
                <w:szCs w:val="21"/>
              </w:rPr>
              <w:t>常平、桥头、企石、横沥、东坑、黄江</w:t>
            </w:r>
          </w:p>
        </w:tc>
        <w:tc>
          <w:tcPr>
            <w:tcW w:w="581" w:type="pct"/>
            <w:vMerge w:val="restart"/>
            <w:vAlign w:val="center"/>
          </w:tcPr>
          <w:p w14:paraId="3A7E4D34">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一家</w:t>
            </w:r>
          </w:p>
        </w:tc>
        <w:tc>
          <w:tcPr>
            <w:tcW w:w="774" w:type="pct"/>
            <w:vMerge w:val="continue"/>
            <w:vAlign w:val="center"/>
          </w:tcPr>
          <w:p w14:paraId="1A6499D6">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r>
      <w:tr w14:paraId="75BE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Merge w:val="continue"/>
            <w:vAlign w:val="center"/>
          </w:tcPr>
          <w:p w14:paraId="467EF162">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c>
          <w:tcPr>
            <w:tcW w:w="3229" w:type="pct"/>
          </w:tcPr>
          <w:p w14:paraId="0EFF1DB6">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b/>
                <w:bCs/>
                <w:color w:val="auto"/>
                <w:szCs w:val="21"/>
              </w:rPr>
              <w:t>第六片区</w:t>
            </w:r>
            <w:r>
              <w:rPr>
                <w:rFonts w:hint="eastAsia" w:ascii="宋体" w:hAnsi="宋体" w:eastAsia="宋体" w:cs="宋体"/>
                <w:color w:val="auto"/>
                <w:szCs w:val="21"/>
              </w:rPr>
              <w:t>：谢岗、樟木头、塘厦、清溪、凤岗</w:t>
            </w:r>
          </w:p>
        </w:tc>
        <w:tc>
          <w:tcPr>
            <w:tcW w:w="581" w:type="pct"/>
            <w:vMerge w:val="continue"/>
            <w:vAlign w:val="center"/>
          </w:tcPr>
          <w:p w14:paraId="6C23922D">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c>
          <w:tcPr>
            <w:tcW w:w="774" w:type="pct"/>
            <w:vMerge w:val="continue"/>
            <w:vAlign w:val="center"/>
          </w:tcPr>
          <w:p w14:paraId="2BABB7FE">
            <w:pPr>
              <w:pStyle w:val="129"/>
              <w:autoSpaceDE w:val="0"/>
              <w:autoSpaceDN w:val="0"/>
              <w:adjustRightInd w:val="0"/>
              <w:spacing w:line="360" w:lineRule="auto"/>
              <w:ind w:right="-34" w:firstLine="0" w:firstLineChars="0"/>
              <w:jc w:val="center"/>
              <w:rPr>
                <w:rFonts w:ascii="宋体" w:hAnsi="宋体" w:eastAsia="宋体" w:cs="宋体"/>
                <w:color w:val="auto"/>
                <w:szCs w:val="21"/>
                <w:lang w:val="zh-CN"/>
              </w:rPr>
            </w:pPr>
          </w:p>
        </w:tc>
      </w:tr>
    </w:tbl>
    <w:p w14:paraId="2234727D">
      <w:pPr>
        <w:snapToGrid w:val="0"/>
        <w:spacing w:line="360" w:lineRule="auto"/>
        <w:rPr>
          <w:rFonts w:ascii="宋体" w:hAnsi="宋体" w:eastAsia="宋体" w:cs="宋体"/>
          <w:color w:val="auto"/>
          <w:szCs w:val="21"/>
        </w:rPr>
      </w:pPr>
      <w:r>
        <w:rPr>
          <w:rFonts w:hint="eastAsia" w:ascii="宋体" w:hAnsi="宋体" w:eastAsia="宋体" w:cs="宋体"/>
          <w:color w:val="auto"/>
          <w:szCs w:val="21"/>
        </w:rPr>
        <w:t>（具体内容详见：第三篇用户需求书）</w:t>
      </w:r>
    </w:p>
    <w:p w14:paraId="5118E579">
      <w:pPr>
        <w:snapToGrid w:val="0"/>
        <w:spacing w:line="360" w:lineRule="auto"/>
        <w:rPr>
          <w:rFonts w:ascii="宋体" w:hAnsi="宋体" w:eastAsia="宋体" w:cs="宋体"/>
          <w:color w:val="auto"/>
          <w:szCs w:val="21"/>
        </w:rPr>
      </w:pPr>
      <w:r>
        <w:rPr>
          <w:rFonts w:hint="eastAsia" w:ascii="宋体" w:hAnsi="宋体" w:eastAsia="宋体" w:cs="宋体"/>
          <w:color w:val="auto"/>
          <w:szCs w:val="21"/>
        </w:rPr>
        <w:t>注：（1）本项目</w:t>
      </w:r>
      <w:r>
        <w:rPr>
          <w:rFonts w:hint="eastAsia" w:ascii="宋体" w:hAnsi="宋体" w:eastAsia="宋体" w:cs="宋体"/>
          <w:color w:val="auto"/>
          <w:szCs w:val="21"/>
          <w:lang w:val="zh-CN"/>
        </w:rPr>
        <w:t>兼投不兼中，</w:t>
      </w:r>
      <w:r>
        <w:rPr>
          <w:rFonts w:hint="eastAsia" w:ascii="宋体" w:hAnsi="宋体" w:eastAsia="宋体" w:cs="宋体"/>
          <w:color w:val="auto"/>
          <w:szCs w:val="21"/>
        </w:rPr>
        <w:t>项目分3个包组采购，分别为</w:t>
      </w:r>
      <w:r>
        <w:rPr>
          <w:rFonts w:hint="eastAsia" w:ascii="宋体" w:hAnsi="宋体" w:eastAsia="宋体" w:cs="宋体"/>
          <w:b/>
          <w:bCs/>
          <w:color w:val="auto"/>
          <w:szCs w:val="21"/>
        </w:rPr>
        <w:t>A包、B包、C包</w:t>
      </w:r>
      <w:r>
        <w:rPr>
          <w:rFonts w:hint="eastAsia" w:ascii="宋体" w:hAnsi="宋体" w:eastAsia="宋体" w:cs="宋体"/>
          <w:color w:val="auto"/>
          <w:szCs w:val="21"/>
        </w:rPr>
        <w:t>。投标人可参加</w:t>
      </w:r>
      <w:r>
        <w:rPr>
          <w:rFonts w:hint="eastAsia" w:ascii="宋体" w:hAnsi="宋体" w:eastAsia="宋体" w:cs="宋体"/>
          <w:color w:val="auto"/>
          <w:szCs w:val="21"/>
          <w:lang w:val="zh-CN"/>
        </w:rPr>
        <w:t>东莞市水务集团管网有限公司2025年度机电设备维修</w:t>
      </w:r>
      <w:r>
        <w:rPr>
          <w:rFonts w:hint="eastAsia" w:ascii="宋体" w:hAnsi="宋体" w:eastAsia="宋体" w:cs="宋体"/>
          <w:color w:val="auto"/>
          <w:szCs w:val="21"/>
        </w:rPr>
        <w:t>定点</w:t>
      </w:r>
      <w:r>
        <w:rPr>
          <w:rFonts w:hint="eastAsia" w:ascii="宋体" w:hAnsi="宋体" w:eastAsia="宋体" w:cs="宋体"/>
          <w:color w:val="auto"/>
          <w:szCs w:val="21"/>
          <w:lang w:val="zh-CN"/>
        </w:rPr>
        <w:t>服务</w:t>
      </w:r>
      <w:r>
        <w:rPr>
          <w:rFonts w:hint="eastAsia" w:ascii="宋体" w:hAnsi="宋体" w:eastAsia="宋体" w:cs="宋体"/>
          <w:color w:val="auto"/>
          <w:szCs w:val="21"/>
        </w:rPr>
        <w:t>单位</w:t>
      </w:r>
      <w:r>
        <w:rPr>
          <w:rFonts w:hint="eastAsia" w:ascii="宋体" w:hAnsi="宋体" w:eastAsia="宋体" w:cs="宋体"/>
          <w:color w:val="auto"/>
          <w:szCs w:val="21"/>
          <w:lang w:val="zh-CN"/>
        </w:rPr>
        <w:t>采购项目</w:t>
      </w:r>
      <w:r>
        <w:rPr>
          <w:rFonts w:hint="eastAsia" w:ascii="宋体" w:hAnsi="宋体" w:eastAsia="宋体" w:cs="宋体"/>
          <w:color w:val="auto"/>
          <w:szCs w:val="21"/>
        </w:rPr>
        <w:t>一个包或多个包组的投标，但仅可承担其中一个包组的</w:t>
      </w:r>
      <w:r>
        <w:rPr>
          <w:rFonts w:hint="eastAsia" w:ascii="宋体" w:hAnsi="宋体" w:eastAsia="宋体" w:cs="宋体"/>
          <w:color w:val="auto"/>
          <w:szCs w:val="21"/>
          <w:lang w:val="zh-CN"/>
        </w:rPr>
        <w:t>机电设备维修服务。</w:t>
      </w:r>
      <w:r>
        <w:rPr>
          <w:rFonts w:hint="eastAsia" w:ascii="宋体" w:hAnsi="宋体" w:eastAsia="宋体" w:cs="宋体"/>
          <w:color w:val="auto"/>
          <w:szCs w:val="21"/>
        </w:rPr>
        <w:t>本项目依次从A包到C包的顺序进行评审，若投标人已在A包的评审中被推荐为第一中标候选人，则在其他包组的评审时，该投标人不可被推荐为中标候选人，由其他得分次高的投标人替代，以此类推。</w:t>
      </w:r>
    </w:p>
    <w:p w14:paraId="43283869">
      <w:pPr>
        <w:pStyle w:val="129"/>
        <w:numPr>
          <w:ilvl w:val="0"/>
          <w:numId w:val="3"/>
        </w:numPr>
        <w:spacing w:line="360" w:lineRule="auto"/>
        <w:rPr>
          <w:rFonts w:ascii="宋体" w:hAnsi="宋体" w:eastAsia="宋体" w:cs="宋体"/>
          <w:color w:val="auto"/>
          <w:szCs w:val="21"/>
        </w:rPr>
      </w:pPr>
      <w:r>
        <w:rPr>
          <w:rFonts w:hint="eastAsia" w:ascii="宋体" w:hAnsi="宋体" w:eastAsia="宋体" w:cs="宋体"/>
          <w:color w:val="auto"/>
          <w:szCs w:val="21"/>
        </w:rPr>
        <w:t>上述3个包组范围不作为招标人最终服务范围及机电设备维修服务项目承接数量的保证，招标人有权根据自身经营情况及实际维修工程量进行优化调整（含增加服务范围外及减少服务范围内的机电设备维修服务），最终服务费用按实际发生工程量结算。在服务期内中标人不得因服务范围调整、实际机电设备维修服务项目数量及服务费用的增减而要求招标人提供任何形式的补偿或赔偿，或只按招标人暂定的机电设备维修服务项目费用提供相应的维修服务。</w:t>
      </w:r>
    </w:p>
    <w:p w14:paraId="7908EBBC">
      <w:pPr>
        <w:snapToGrid w:val="0"/>
        <w:spacing w:line="360" w:lineRule="auto"/>
        <w:ind w:firstLine="422" w:firstLineChars="200"/>
        <w:rPr>
          <w:rFonts w:ascii="宋体" w:hAnsi="宋体" w:eastAsia="宋体" w:cs="宋体"/>
          <w:color w:val="auto"/>
          <w:szCs w:val="21"/>
        </w:rPr>
      </w:pPr>
      <w:r>
        <w:rPr>
          <w:rFonts w:hint="eastAsia" w:ascii="宋体" w:hAnsi="宋体" w:eastAsia="宋体" w:cs="宋体"/>
          <w:b/>
          <w:bCs/>
          <w:color w:val="auto"/>
          <w:szCs w:val="21"/>
        </w:rPr>
        <w:t>（3）要求每个包组独立编制、密封、标明包号提交投标文件。</w:t>
      </w:r>
    </w:p>
    <w:p w14:paraId="66487219">
      <w:pPr>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（4）如无特殊说明，招标文件规定的条款同时适用所有包组。</w:t>
      </w:r>
    </w:p>
    <w:p w14:paraId="044E0B04">
      <w:pPr>
        <w:autoSpaceDE w:val="0"/>
        <w:autoSpaceDN w:val="0"/>
        <w:adjustRightInd w:val="0"/>
        <w:spacing w:line="360" w:lineRule="auto"/>
        <w:ind w:right="-29" w:rightChars="-14"/>
        <w:rPr>
          <w:rFonts w:ascii="宋体" w:hAnsi="宋体" w:eastAsia="宋体" w:cs="宋体"/>
          <w:color w:val="auto"/>
          <w:szCs w:val="21"/>
          <w:lang w:val="zh-CN"/>
        </w:rPr>
      </w:pPr>
    </w:p>
    <w:p w14:paraId="41095B70">
      <w:pPr>
        <w:numPr>
          <w:ilvl w:val="0"/>
          <w:numId w:val="2"/>
        </w:numPr>
        <w:autoSpaceDE w:val="0"/>
        <w:autoSpaceDN w:val="0"/>
        <w:adjustRightInd w:val="0"/>
        <w:snapToGrid w:val="0"/>
        <w:spacing w:line="360" w:lineRule="auto"/>
        <w:ind w:left="357" w:right="-34" w:hanging="357" w:hangingChars="170"/>
        <w:jc w:val="left"/>
        <w:rPr>
          <w:rFonts w:ascii="宋体" w:hAnsi="宋体" w:eastAsia="宋体" w:cs="宋体"/>
          <w:color w:val="auto"/>
          <w:szCs w:val="21"/>
          <w:lang w:val="zh-CN"/>
        </w:rPr>
      </w:pPr>
      <w:r>
        <w:rPr>
          <w:rFonts w:hint="eastAsia" w:ascii="宋体" w:hAnsi="宋体" w:eastAsia="宋体" w:cs="宋体"/>
          <w:color w:val="auto"/>
          <w:szCs w:val="21"/>
          <w:lang w:val="zh-CN"/>
        </w:rPr>
        <w:t>合格投标人资格要求：</w:t>
      </w:r>
    </w:p>
    <w:p w14:paraId="1F05C05D">
      <w:pPr>
        <w:pStyle w:val="159"/>
        <w:spacing w:line="360" w:lineRule="auto"/>
        <w:ind w:right="-29" w:rightChars="-14" w:firstLine="0" w:firstLineChars="0"/>
        <w:jc w:val="both"/>
        <w:rPr>
          <w:rFonts w:hAnsi="宋体" w:eastAsia="宋体" w:cs="宋体"/>
          <w:b/>
          <w:color w:val="auto"/>
          <w:sz w:val="21"/>
          <w:szCs w:val="21"/>
          <w:lang w:val="zh-CN"/>
        </w:rPr>
      </w:pPr>
      <w:bookmarkStart w:id="8" w:name="_Toc25819"/>
      <w:r>
        <w:rPr>
          <w:rFonts w:hint="eastAsia" w:hAnsi="宋体" w:eastAsia="宋体" w:cs="宋体"/>
          <w:b/>
          <w:color w:val="auto"/>
          <w:sz w:val="21"/>
          <w:szCs w:val="21"/>
          <w:lang w:val="zh-CN"/>
        </w:rPr>
        <w:t>2.1</w:t>
      </w:r>
      <w:r>
        <w:rPr>
          <w:rFonts w:hint="eastAsia" w:hAnsi="宋体" w:eastAsia="宋体" w:cs="宋体"/>
          <w:b/>
          <w:color w:val="auto"/>
          <w:sz w:val="21"/>
          <w:szCs w:val="21"/>
        </w:rPr>
        <w:t xml:space="preserve"> </w:t>
      </w:r>
      <w:r>
        <w:rPr>
          <w:rFonts w:hint="eastAsia" w:hAnsi="宋体" w:eastAsia="宋体" w:cs="宋体"/>
          <w:b/>
          <w:color w:val="auto"/>
          <w:sz w:val="21"/>
          <w:szCs w:val="21"/>
          <w:lang w:val="zh-CN"/>
        </w:rPr>
        <w:t>投标人是在中华人民共和国境内登记注册的、合法存续、正常经营且具有独立承担民事责任能</w:t>
      </w:r>
    </w:p>
    <w:p w14:paraId="3AB1801C">
      <w:pPr>
        <w:pStyle w:val="159"/>
        <w:spacing w:line="360" w:lineRule="auto"/>
        <w:ind w:right="-29" w:rightChars="-14" w:firstLine="422"/>
        <w:jc w:val="both"/>
        <w:rPr>
          <w:rFonts w:hAnsi="宋体" w:eastAsia="宋体" w:cs="宋体"/>
          <w:b/>
          <w:color w:val="auto"/>
          <w:sz w:val="21"/>
          <w:szCs w:val="21"/>
          <w:lang w:val="zh-CN"/>
        </w:rPr>
      </w:pPr>
      <w:r>
        <w:rPr>
          <w:rFonts w:hint="eastAsia" w:hAnsi="宋体" w:eastAsia="宋体" w:cs="宋体"/>
          <w:b/>
          <w:color w:val="auto"/>
          <w:sz w:val="21"/>
          <w:szCs w:val="21"/>
          <w:lang w:val="zh-CN"/>
        </w:rPr>
        <w:t>力的法人或其他组织；</w:t>
      </w:r>
    </w:p>
    <w:p w14:paraId="468C8139">
      <w:pPr>
        <w:pStyle w:val="159"/>
        <w:spacing w:line="360" w:lineRule="auto"/>
        <w:ind w:left="422" w:right="-29" w:rightChars="-14" w:hanging="422" w:hangingChars="200"/>
        <w:jc w:val="both"/>
        <w:rPr>
          <w:rFonts w:hAnsi="宋体" w:eastAsia="宋体" w:cs="宋体"/>
          <w:b/>
          <w:color w:val="auto"/>
          <w:sz w:val="21"/>
          <w:szCs w:val="21"/>
          <w:lang w:val="zh-CN"/>
        </w:rPr>
      </w:pPr>
      <w:r>
        <w:rPr>
          <w:rFonts w:hint="eastAsia" w:hAnsi="宋体" w:eastAsia="宋体" w:cs="宋体"/>
          <w:b/>
          <w:color w:val="auto"/>
          <w:sz w:val="21"/>
          <w:szCs w:val="21"/>
          <w:lang w:val="zh-CN"/>
        </w:rPr>
        <w:t>2.2 具有建设行政主管部门核发的且在有效期内的建筑机电工程专业承包乙级（或以上）资质证书或机电工程施工总承包乙级（或以上）资质证书【或更换资质证书前有效期内：建筑机电安装工程专业承包三级（或以上）资质证书或机电工程施工总承包三级（或以上）资质证书】；</w:t>
      </w:r>
    </w:p>
    <w:p w14:paraId="33DA3276">
      <w:pPr>
        <w:pStyle w:val="159"/>
        <w:spacing w:line="360" w:lineRule="auto"/>
        <w:ind w:right="-29" w:rightChars="-14" w:firstLine="0" w:firstLineChars="0"/>
        <w:jc w:val="both"/>
        <w:rPr>
          <w:rFonts w:hAnsi="宋体" w:eastAsia="宋体" w:cs="宋体"/>
          <w:b/>
          <w:color w:val="auto"/>
          <w:sz w:val="21"/>
          <w:szCs w:val="21"/>
          <w:lang w:val="zh-CN"/>
        </w:rPr>
      </w:pPr>
      <w:r>
        <w:rPr>
          <w:rFonts w:hint="eastAsia" w:hAnsi="宋体" w:eastAsia="宋体" w:cs="宋体"/>
          <w:b/>
          <w:color w:val="auto"/>
          <w:sz w:val="21"/>
          <w:szCs w:val="21"/>
          <w:lang w:val="zh-CN"/>
        </w:rPr>
        <w:t>2.3 具有建设行政主管部门核发的且在有效期内的安全生产许可证证书；</w:t>
      </w:r>
    </w:p>
    <w:p w14:paraId="407B9E5A">
      <w:pPr>
        <w:pStyle w:val="159"/>
        <w:spacing w:line="360" w:lineRule="auto"/>
        <w:ind w:left="422" w:right="-29" w:rightChars="-14" w:hanging="422" w:hangingChars="200"/>
        <w:jc w:val="both"/>
        <w:rPr>
          <w:rFonts w:hAnsi="宋体" w:eastAsia="宋体" w:cs="宋体"/>
          <w:b/>
          <w:color w:val="auto"/>
          <w:sz w:val="21"/>
          <w:szCs w:val="21"/>
        </w:rPr>
      </w:pPr>
      <w:r>
        <w:rPr>
          <w:rFonts w:hint="eastAsia" w:hAnsi="宋体" w:eastAsia="宋体" w:cs="宋体"/>
          <w:b/>
          <w:color w:val="auto"/>
          <w:sz w:val="21"/>
          <w:szCs w:val="21"/>
          <w:lang w:val="zh-CN"/>
        </w:rPr>
        <w:t xml:space="preserve">2.4 </w:t>
      </w:r>
      <w:r>
        <w:rPr>
          <w:rFonts w:hint="eastAsia" w:hAnsi="宋体" w:eastAsia="宋体" w:cs="宋体"/>
          <w:b/>
          <w:color w:val="auto"/>
          <w:sz w:val="21"/>
          <w:szCs w:val="21"/>
        </w:rPr>
        <w:t>投标人2021年1月1日（以合同签订时间为准）至今，至少承接过1项已完成排水泵站</w:t>
      </w:r>
      <w:r>
        <w:rPr>
          <w:rFonts w:hint="eastAsia" w:hAnsi="宋体" w:eastAsia="宋体" w:cs="宋体"/>
          <w:b/>
          <w:bCs/>
          <w:color w:val="auto"/>
          <w:sz w:val="21"/>
          <w:szCs w:val="21"/>
          <w:lang w:val="en-US" w:eastAsia="zh-CN"/>
        </w:rPr>
        <w:t>或排涝泵站或</w:t>
      </w:r>
      <w:r>
        <w:rPr>
          <w:rFonts w:hint="eastAsia" w:hAnsi="宋体" w:eastAsia="宋体" w:cs="宋体"/>
          <w:b/>
          <w:color w:val="auto"/>
          <w:sz w:val="21"/>
          <w:szCs w:val="21"/>
          <w:lang w:val="en-US" w:eastAsia="zh-CN"/>
        </w:rPr>
        <w:t>污水厂</w:t>
      </w:r>
      <w:r>
        <w:rPr>
          <w:rFonts w:hint="eastAsia" w:hAnsi="宋体" w:eastAsia="宋体" w:cs="宋体"/>
          <w:b/>
          <w:color w:val="auto"/>
          <w:sz w:val="21"/>
          <w:szCs w:val="21"/>
        </w:rPr>
        <w:t>设备维修（或重置或改造）或机电设备安装项目业绩；</w:t>
      </w:r>
    </w:p>
    <w:p w14:paraId="465B51BA">
      <w:pPr>
        <w:pStyle w:val="159"/>
        <w:spacing w:line="360" w:lineRule="auto"/>
        <w:ind w:right="-29" w:rightChars="-14" w:firstLine="0" w:firstLineChars="0"/>
        <w:jc w:val="both"/>
        <w:rPr>
          <w:rFonts w:hAnsi="宋体" w:eastAsia="宋体" w:cs="宋体"/>
          <w:b/>
          <w:color w:val="auto"/>
          <w:sz w:val="21"/>
          <w:szCs w:val="21"/>
          <w:lang w:val="zh-CN"/>
        </w:rPr>
      </w:pPr>
      <w:r>
        <w:rPr>
          <w:rFonts w:hint="eastAsia" w:hAnsi="宋体" w:eastAsia="宋体" w:cs="宋体"/>
          <w:b/>
          <w:color w:val="auto"/>
          <w:sz w:val="21"/>
          <w:szCs w:val="21"/>
        </w:rPr>
        <w:t xml:space="preserve">2.5 </w:t>
      </w:r>
      <w:r>
        <w:rPr>
          <w:rFonts w:hint="eastAsia" w:hAnsi="宋体" w:eastAsia="宋体" w:cs="宋体"/>
          <w:b/>
          <w:color w:val="auto"/>
          <w:sz w:val="21"/>
          <w:szCs w:val="21"/>
          <w:lang w:val="zh-CN"/>
        </w:rPr>
        <w:t>本项目不接受联合体报名。</w:t>
      </w:r>
      <w:bookmarkEnd w:id="8"/>
    </w:p>
    <w:p w14:paraId="385B176D">
      <w:pPr>
        <w:autoSpaceDE w:val="0"/>
        <w:autoSpaceDN w:val="0"/>
        <w:adjustRightInd w:val="0"/>
        <w:spacing w:line="360" w:lineRule="auto"/>
        <w:ind w:left="-210" w:right="-29" w:rightChars="-14" w:firstLine="420" w:firstLineChars="200"/>
        <w:rPr>
          <w:rFonts w:ascii="宋体" w:hAnsi="宋体" w:eastAsia="宋体" w:cs="宋体"/>
          <w:color w:val="auto"/>
          <w:szCs w:val="21"/>
          <w:lang w:val="zh-CN"/>
        </w:rPr>
      </w:pPr>
    </w:p>
    <w:p w14:paraId="199E75AF">
      <w:pPr>
        <w:numPr>
          <w:ilvl w:val="0"/>
          <w:numId w:val="2"/>
        </w:numPr>
        <w:autoSpaceDE w:val="0"/>
        <w:autoSpaceDN w:val="0"/>
        <w:adjustRightInd w:val="0"/>
        <w:snapToGrid w:val="0"/>
        <w:spacing w:line="360" w:lineRule="auto"/>
        <w:ind w:left="357" w:right="-34" w:hanging="357" w:hangingChars="170"/>
        <w:jc w:val="left"/>
        <w:rPr>
          <w:rFonts w:ascii="宋体" w:hAnsi="宋体" w:eastAsia="宋体" w:cs="宋体"/>
          <w:color w:val="auto"/>
          <w:szCs w:val="21"/>
          <w:lang w:val="zh-CN"/>
        </w:rPr>
      </w:pPr>
      <w:r>
        <w:rPr>
          <w:rFonts w:hint="eastAsia" w:ascii="宋体" w:hAnsi="宋体" w:eastAsia="宋体" w:cs="宋体"/>
          <w:color w:val="auto"/>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6F15802E">
      <w:pPr>
        <w:autoSpaceDE w:val="0"/>
        <w:autoSpaceDN w:val="0"/>
        <w:adjustRightInd w:val="0"/>
        <w:spacing w:line="360" w:lineRule="auto"/>
        <w:ind w:left="630" w:leftChars="100" w:right="-29" w:rightChars="-14" w:hanging="420" w:hangingChars="200"/>
        <w:rPr>
          <w:rFonts w:ascii="宋体" w:hAnsi="宋体" w:eastAsia="宋体" w:cs="宋体"/>
          <w:color w:val="auto"/>
          <w:szCs w:val="21"/>
          <w:lang w:val="zh-CN"/>
        </w:rPr>
      </w:pPr>
    </w:p>
    <w:p w14:paraId="26E35B19">
      <w:pPr>
        <w:numPr>
          <w:ilvl w:val="0"/>
          <w:numId w:val="2"/>
        </w:numPr>
        <w:autoSpaceDE w:val="0"/>
        <w:autoSpaceDN w:val="0"/>
        <w:adjustRightInd w:val="0"/>
        <w:snapToGrid w:val="0"/>
        <w:spacing w:line="360" w:lineRule="auto"/>
        <w:ind w:left="357" w:right="-34" w:hanging="357" w:hangingChars="170"/>
        <w:jc w:val="left"/>
        <w:rPr>
          <w:rFonts w:ascii="宋体" w:hAnsi="宋体" w:eastAsia="宋体" w:cs="宋体"/>
          <w:color w:val="auto"/>
          <w:szCs w:val="21"/>
          <w:lang w:val="zh-CN"/>
        </w:rPr>
      </w:pPr>
      <w:r>
        <w:rPr>
          <w:rFonts w:hint="eastAsia" w:ascii="宋体" w:hAnsi="宋体" w:eastAsia="宋体" w:cs="宋体"/>
          <w:color w:val="auto"/>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p>
    <w:p w14:paraId="7B2AA79E">
      <w:pPr>
        <w:autoSpaceDE w:val="0"/>
        <w:autoSpaceDN w:val="0"/>
        <w:adjustRightInd w:val="0"/>
        <w:spacing w:line="360" w:lineRule="auto"/>
        <w:ind w:right="-29" w:rightChars="-14" w:hanging="567"/>
        <w:rPr>
          <w:rFonts w:ascii="宋体" w:hAnsi="宋体" w:eastAsia="宋体" w:cs="宋体"/>
          <w:color w:val="auto"/>
          <w:szCs w:val="21"/>
          <w:lang w:val="zh-CN"/>
        </w:rPr>
      </w:pPr>
    </w:p>
    <w:p w14:paraId="2E6D5AED">
      <w:pPr>
        <w:numPr>
          <w:ilvl w:val="0"/>
          <w:numId w:val="2"/>
        </w:numPr>
        <w:autoSpaceDE w:val="0"/>
        <w:autoSpaceDN w:val="0"/>
        <w:adjustRightInd w:val="0"/>
        <w:snapToGrid w:val="0"/>
        <w:spacing w:line="360" w:lineRule="auto"/>
        <w:ind w:left="357" w:right="-34" w:hanging="357" w:hangingChars="170"/>
        <w:jc w:val="left"/>
        <w:rPr>
          <w:rFonts w:ascii="宋体" w:hAnsi="宋体" w:eastAsia="宋体" w:cs="宋体"/>
          <w:color w:val="auto"/>
          <w:szCs w:val="21"/>
          <w:lang w:val="zh-CN"/>
        </w:rPr>
      </w:pPr>
      <w:r>
        <w:rPr>
          <w:rFonts w:hint="eastAsia" w:ascii="宋体" w:hAnsi="宋体" w:eastAsia="宋体" w:cs="宋体"/>
          <w:color w:val="auto"/>
          <w:szCs w:val="21"/>
          <w:lang w:val="zh-CN"/>
        </w:rPr>
        <w:t>投标、开标时间及地点：</w:t>
      </w:r>
    </w:p>
    <w:p w14:paraId="3445F9C2">
      <w:pPr>
        <w:autoSpaceDE w:val="0"/>
        <w:autoSpaceDN w:val="0"/>
        <w:adjustRightInd w:val="0"/>
        <w:spacing w:line="360" w:lineRule="auto"/>
        <w:ind w:right="-29" w:rightChars="-14"/>
        <w:rPr>
          <w:rFonts w:ascii="宋体" w:hAnsi="宋体" w:eastAsia="宋体" w:cs="宋体"/>
          <w:color w:val="auto"/>
          <w:szCs w:val="21"/>
          <w:lang w:val="zh-CN"/>
        </w:rPr>
      </w:pPr>
      <w:r>
        <w:rPr>
          <w:rFonts w:hint="eastAsia" w:ascii="宋体" w:hAnsi="宋体" w:eastAsia="宋体" w:cs="宋体"/>
          <w:color w:val="auto"/>
          <w:szCs w:val="21"/>
          <w:lang w:val="zh-CN"/>
        </w:rPr>
        <w:t>5.1 投标文件递交时间：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bCs/>
          <w:color w:val="auto"/>
          <w:kern w:val="0"/>
          <w:szCs w:val="21"/>
        </w:rPr>
        <w:t>月</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7</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日</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09</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u w:val="single"/>
        </w:rPr>
        <w:t>:</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rPr>
        <w:t>0</w:t>
      </w:r>
      <w:r>
        <w:rPr>
          <w:rFonts w:hint="eastAsia" w:ascii="宋体" w:hAnsi="宋体" w:eastAsia="宋体" w:cs="宋体"/>
          <w:color w:val="auto"/>
          <w:szCs w:val="21"/>
          <w:u w:val="single"/>
          <w:lang w:val="zh-CN"/>
        </w:rPr>
        <w:t xml:space="preserve">0 </w:t>
      </w:r>
      <w:r>
        <w:rPr>
          <w:rFonts w:hint="eastAsia" w:ascii="宋体" w:hAnsi="宋体" w:eastAsia="宋体" w:cs="宋体"/>
          <w:bCs/>
          <w:color w:val="auto"/>
          <w:kern w:val="0"/>
          <w:szCs w:val="21"/>
        </w:rPr>
        <w:t>～</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09</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u w:val="single"/>
        </w:rPr>
        <w:t>:</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rPr>
        <w:t>3</w:t>
      </w:r>
      <w:r>
        <w:rPr>
          <w:rFonts w:hint="eastAsia" w:ascii="宋体" w:hAnsi="宋体" w:eastAsia="宋体" w:cs="宋体"/>
          <w:color w:val="auto"/>
          <w:szCs w:val="21"/>
          <w:u w:val="single"/>
          <w:lang w:val="zh-CN"/>
        </w:rPr>
        <w:t xml:space="preserve">0 </w:t>
      </w:r>
      <w:r>
        <w:rPr>
          <w:rFonts w:hint="eastAsia" w:ascii="宋体" w:hAnsi="宋体" w:eastAsia="宋体" w:cs="宋体"/>
          <w:bCs/>
          <w:color w:val="auto"/>
          <w:kern w:val="0"/>
          <w:szCs w:val="21"/>
        </w:rPr>
        <w:t>；</w:t>
      </w:r>
    </w:p>
    <w:p w14:paraId="7B8B6223">
      <w:pPr>
        <w:autoSpaceDE w:val="0"/>
        <w:autoSpaceDN w:val="0"/>
        <w:adjustRightInd w:val="0"/>
        <w:spacing w:line="360" w:lineRule="auto"/>
        <w:ind w:right="-29" w:rightChars="-14"/>
        <w:rPr>
          <w:rFonts w:ascii="宋体" w:hAnsi="宋体" w:eastAsia="宋体" w:cs="宋体"/>
          <w:color w:val="auto"/>
          <w:szCs w:val="21"/>
          <w:lang w:val="zh-CN"/>
        </w:rPr>
      </w:pPr>
      <w:r>
        <w:rPr>
          <w:rFonts w:hint="eastAsia" w:ascii="宋体" w:hAnsi="宋体" w:eastAsia="宋体" w:cs="宋体"/>
          <w:color w:val="auto"/>
          <w:szCs w:val="21"/>
          <w:lang w:val="zh-CN"/>
        </w:rPr>
        <w:t>5.2 投标截止及开标时间：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月</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7</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rPr>
        <w:t>日</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09</w:t>
      </w:r>
      <w:r>
        <w:rPr>
          <w:rFonts w:hint="eastAsia" w:ascii="宋体" w:hAnsi="宋体" w:eastAsia="宋体" w:cs="宋体"/>
          <w:color w:val="auto"/>
          <w:szCs w:val="21"/>
          <w:u w:val="single"/>
          <w:lang w:val="zh-CN"/>
        </w:rPr>
        <w:t xml:space="preserve"> </w:t>
      </w:r>
      <w:r>
        <w:rPr>
          <w:rFonts w:hint="eastAsia" w:ascii="宋体" w:hAnsi="宋体" w:eastAsia="宋体" w:cs="宋体"/>
          <w:bCs/>
          <w:color w:val="auto"/>
          <w:kern w:val="0"/>
          <w:szCs w:val="21"/>
          <w:u w:val="single"/>
        </w:rPr>
        <w:t>:</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rPr>
        <w:t>3</w:t>
      </w:r>
      <w:r>
        <w:rPr>
          <w:rFonts w:hint="eastAsia" w:ascii="宋体" w:hAnsi="宋体" w:eastAsia="宋体" w:cs="宋体"/>
          <w:color w:val="auto"/>
          <w:szCs w:val="21"/>
          <w:u w:val="single"/>
          <w:lang w:val="zh-CN"/>
        </w:rPr>
        <w:t xml:space="preserve">0 </w:t>
      </w:r>
      <w:r>
        <w:rPr>
          <w:rFonts w:hint="eastAsia" w:ascii="宋体" w:hAnsi="宋体" w:eastAsia="宋体" w:cs="宋体"/>
          <w:bCs/>
          <w:color w:val="auto"/>
          <w:kern w:val="0"/>
          <w:szCs w:val="21"/>
        </w:rPr>
        <w:t>；</w:t>
      </w:r>
    </w:p>
    <w:p w14:paraId="2D40D0AD">
      <w:pPr>
        <w:autoSpaceDE w:val="0"/>
        <w:autoSpaceDN w:val="0"/>
        <w:adjustRightInd w:val="0"/>
        <w:spacing w:line="360" w:lineRule="auto"/>
        <w:ind w:left="420" w:right="-29" w:rightChars="-14" w:hanging="420" w:hangingChars="200"/>
        <w:rPr>
          <w:rFonts w:ascii="宋体" w:hAnsi="宋体" w:eastAsia="宋体" w:cs="宋体"/>
          <w:color w:val="auto"/>
          <w:kern w:val="0"/>
          <w:szCs w:val="21"/>
        </w:rPr>
      </w:pPr>
      <w:r>
        <w:rPr>
          <w:rFonts w:hint="eastAsia" w:ascii="宋体" w:hAnsi="宋体" w:eastAsia="宋体" w:cs="宋体"/>
          <w:color w:val="auto"/>
          <w:szCs w:val="21"/>
          <w:lang w:val="zh-CN"/>
        </w:rPr>
        <w:t>5.3 投标及开标地点：</w:t>
      </w:r>
      <w:r>
        <w:rPr>
          <w:rFonts w:hint="eastAsia" w:ascii="宋体" w:hAnsi="宋体" w:eastAsia="宋体" w:cs="宋体"/>
          <w:color w:val="auto"/>
          <w:kern w:val="0"/>
          <w:szCs w:val="21"/>
          <w:u w:val="single"/>
        </w:rPr>
        <w:t>广东省东莞市南城街道西平社区宏伟三路45号东莞市公共资源交易中心开标</w:t>
      </w:r>
      <w:r>
        <w:rPr>
          <w:rFonts w:hint="eastAsia" w:ascii="宋体" w:hAnsi="宋体" w:eastAsia="宋体" w:cs="宋体"/>
          <w:color w:val="auto"/>
          <w:kern w:val="0"/>
          <w:szCs w:val="21"/>
        </w:rPr>
        <w:t xml:space="preserve"> </w:t>
      </w:r>
      <w:bookmarkStart w:id="673" w:name="_GoBack"/>
      <w:r>
        <w:rPr>
          <w:rFonts w:hint="eastAsia" w:ascii="宋体" w:hAnsi="宋体" w:eastAsia="宋体" w:cs="宋体"/>
          <w:color w:val="auto"/>
          <w:kern w:val="0"/>
          <w:szCs w:val="21"/>
          <w:u w:val="single"/>
          <w:lang w:val="en-US" w:eastAsia="zh-CN"/>
        </w:rPr>
        <w:t xml:space="preserve">5 </w:t>
      </w:r>
      <w:r>
        <w:rPr>
          <w:rFonts w:hint="eastAsia" w:ascii="宋体" w:hAnsi="宋体" w:eastAsia="宋体" w:cs="宋体"/>
          <w:color w:val="auto"/>
          <w:kern w:val="0"/>
          <w:szCs w:val="21"/>
          <w:u w:val="single"/>
        </w:rPr>
        <w:t>室</w:t>
      </w:r>
      <w:r>
        <w:rPr>
          <w:rFonts w:hint="eastAsia" w:ascii="宋体" w:hAnsi="宋体" w:eastAsia="宋体" w:cs="宋体"/>
          <w:color w:val="auto"/>
          <w:kern w:val="0"/>
          <w:szCs w:val="21"/>
        </w:rPr>
        <w:t>。</w:t>
      </w:r>
    </w:p>
    <w:bookmarkEnd w:id="673"/>
    <w:p w14:paraId="2A924F58">
      <w:pPr>
        <w:autoSpaceDE w:val="0"/>
        <w:autoSpaceDN w:val="0"/>
        <w:adjustRightInd w:val="0"/>
        <w:spacing w:line="360" w:lineRule="auto"/>
        <w:ind w:left="-210" w:right="-29" w:rightChars="-14" w:firstLine="210" w:firstLineChars="100"/>
        <w:rPr>
          <w:rFonts w:ascii="宋体" w:hAnsi="宋体" w:eastAsia="宋体" w:cs="宋体"/>
          <w:color w:val="auto"/>
          <w:kern w:val="0"/>
          <w:szCs w:val="21"/>
        </w:rPr>
      </w:pPr>
    </w:p>
    <w:p w14:paraId="49FABC48">
      <w:pPr>
        <w:numPr>
          <w:ilvl w:val="0"/>
          <w:numId w:val="2"/>
        </w:numPr>
        <w:autoSpaceDE w:val="0"/>
        <w:autoSpaceDN w:val="0"/>
        <w:adjustRightInd w:val="0"/>
        <w:snapToGrid w:val="0"/>
        <w:spacing w:line="360" w:lineRule="auto"/>
        <w:ind w:left="357" w:right="-34" w:hanging="357" w:hangingChars="170"/>
        <w:jc w:val="left"/>
        <w:rPr>
          <w:rFonts w:ascii="宋体" w:hAnsi="宋体" w:eastAsia="宋体" w:cs="宋体"/>
          <w:color w:val="auto"/>
          <w:szCs w:val="21"/>
          <w:lang w:val="zh-CN"/>
        </w:rPr>
      </w:pPr>
      <w:r>
        <w:rPr>
          <w:rFonts w:hint="eastAsia" w:ascii="宋体" w:hAnsi="宋体" w:eastAsia="宋体" w:cs="宋体"/>
          <w:color w:val="auto"/>
          <w:szCs w:val="21"/>
          <w:lang w:val="zh-CN"/>
        </w:rPr>
        <w:t>招标代理机构只接受在递交投标文件截止日当天由投标人法定代表人或其授权代表于递交投标文件截止时间前亲自递交的投标文件。电报、传真形式的投标概不接受。</w:t>
      </w:r>
    </w:p>
    <w:p w14:paraId="331603C7">
      <w:pPr>
        <w:autoSpaceDE w:val="0"/>
        <w:autoSpaceDN w:val="0"/>
        <w:adjustRightInd w:val="0"/>
        <w:spacing w:line="360" w:lineRule="auto"/>
        <w:ind w:left="210" w:leftChars="100" w:right="-29" w:rightChars="-14"/>
        <w:rPr>
          <w:rFonts w:ascii="宋体" w:hAnsi="宋体" w:eastAsia="宋体" w:cs="宋体"/>
          <w:color w:val="auto"/>
          <w:szCs w:val="21"/>
          <w:lang w:val="zh-CN"/>
        </w:rPr>
      </w:pPr>
    </w:p>
    <w:p w14:paraId="6E9BB92A">
      <w:pPr>
        <w:numPr>
          <w:ilvl w:val="0"/>
          <w:numId w:val="2"/>
        </w:numPr>
        <w:autoSpaceDE w:val="0"/>
        <w:autoSpaceDN w:val="0"/>
        <w:adjustRightInd w:val="0"/>
        <w:snapToGrid w:val="0"/>
        <w:spacing w:line="360" w:lineRule="auto"/>
        <w:ind w:left="357" w:right="-34" w:hanging="357" w:hangingChars="170"/>
        <w:jc w:val="left"/>
        <w:rPr>
          <w:rFonts w:ascii="宋体" w:hAnsi="宋体" w:eastAsia="宋体" w:cs="宋体"/>
          <w:color w:val="auto"/>
          <w:szCs w:val="21"/>
          <w:lang w:val="zh-CN"/>
        </w:rPr>
      </w:pPr>
      <w:r>
        <w:rPr>
          <w:rFonts w:hint="eastAsia" w:ascii="宋体" w:hAnsi="宋体" w:eastAsia="宋体" w:cs="宋体"/>
          <w:color w:val="auto"/>
          <w:szCs w:val="21"/>
          <w:lang w:val="zh-CN"/>
        </w:rPr>
        <w:t>本项目相关公告在以下媒介发布：广东省公共资源交易平台（ygp.gdzwfw.gov.cn）、中国招标投标公共服务平台（www.cebpubservice.com）、东莞市水务集团有限公司网（www.dgswjt.cn）、招标代理机构网站（www.gzjc.com.cn）。</w:t>
      </w:r>
    </w:p>
    <w:p w14:paraId="671B7239">
      <w:pPr>
        <w:autoSpaceDE w:val="0"/>
        <w:autoSpaceDN w:val="0"/>
        <w:adjustRightInd w:val="0"/>
        <w:spacing w:line="360" w:lineRule="auto"/>
        <w:ind w:left="-210" w:right="-29" w:rightChars="-14" w:firstLine="210" w:firstLineChars="100"/>
        <w:rPr>
          <w:rFonts w:ascii="宋体" w:hAnsi="宋体" w:eastAsia="宋体" w:cs="宋体"/>
          <w:color w:val="auto"/>
          <w:kern w:val="0"/>
          <w:szCs w:val="21"/>
        </w:rPr>
      </w:pPr>
    </w:p>
    <w:p w14:paraId="22F9D930">
      <w:pPr>
        <w:numPr>
          <w:ilvl w:val="0"/>
          <w:numId w:val="2"/>
        </w:numPr>
        <w:autoSpaceDE w:val="0"/>
        <w:autoSpaceDN w:val="0"/>
        <w:adjustRightInd w:val="0"/>
        <w:snapToGrid w:val="0"/>
        <w:spacing w:line="360" w:lineRule="auto"/>
        <w:ind w:left="357" w:right="-34" w:hanging="357" w:hangingChars="170"/>
        <w:jc w:val="left"/>
        <w:rPr>
          <w:rFonts w:ascii="宋体" w:hAnsi="宋体" w:eastAsia="宋体" w:cs="宋体"/>
          <w:color w:val="auto"/>
          <w:szCs w:val="21"/>
          <w:lang w:val="zh-CN"/>
        </w:rPr>
      </w:pPr>
      <w:r>
        <w:rPr>
          <w:rFonts w:hint="eastAsia" w:ascii="宋体" w:hAnsi="宋体" w:eastAsia="宋体" w:cs="宋体"/>
          <w:color w:val="auto"/>
          <w:szCs w:val="21"/>
          <w:lang w:val="zh-CN"/>
        </w:rPr>
        <w:t>招标人联系方式</w:t>
      </w:r>
    </w:p>
    <w:p w14:paraId="660DD02A">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招标人：东莞市水务集团管网有限公司</w:t>
      </w:r>
    </w:p>
    <w:p w14:paraId="3AF7D145">
      <w:pPr>
        <w:autoSpaceDE w:val="0"/>
        <w:autoSpaceDN w:val="0"/>
        <w:adjustRightInd w:val="0"/>
        <w:spacing w:line="360" w:lineRule="auto"/>
        <w:ind w:left="567" w:leftChars="200" w:right="-29" w:rightChars="-14" w:hanging="147" w:hangingChars="70"/>
        <w:rPr>
          <w:rFonts w:ascii="宋体" w:hAnsi="宋体" w:eastAsia="宋体" w:cs="宋体"/>
          <w:color w:val="auto"/>
          <w:kern w:val="0"/>
          <w:szCs w:val="21"/>
        </w:rPr>
      </w:pPr>
      <w:r>
        <w:rPr>
          <w:rFonts w:hint="eastAsia" w:ascii="宋体" w:hAnsi="宋体" w:eastAsia="宋体" w:cs="宋体"/>
          <w:color w:val="auto"/>
          <w:kern w:val="0"/>
          <w:szCs w:val="21"/>
        </w:rPr>
        <w:t>地址：东莞市东城街道东城运河路5号</w:t>
      </w:r>
    </w:p>
    <w:p w14:paraId="50242120">
      <w:pPr>
        <w:autoSpaceDE w:val="0"/>
        <w:autoSpaceDN w:val="0"/>
        <w:adjustRightInd w:val="0"/>
        <w:spacing w:line="360" w:lineRule="auto"/>
        <w:ind w:left="567" w:leftChars="200" w:right="-29" w:rightChars="-14" w:hanging="147" w:hangingChars="70"/>
        <w:rPr>
          <w:rFonts w:ascii="宋体" w:hAnsi="宋体" w:eastAsia="宋体" w:cs="宋体"/>
          <w:color w:val="auto"/>
          <w:kern w:val="0"/>
          <w:szCs w:val="21"/>
        </w:rPr>
      </w:pPr>
      <w:r>
        <w:rPr>
          <w:rFonts w:hint="eastAsia" w:ascii="宋体" w:hAnsi="宋体" w:eastAsia="宋体" w:cs="宋体"/>
          <w:color w:val="auto"/>
          <w:kern w:val="0"/>
          <w:szCs w:val="21"/>
        </w:rPr>
        <w:t>联系人：许丽明</w:t>
      </w:r>
    </w:p>
    <w:p w14:paraId="1517B965">
      <w:pPr>
        <w:autoSpaceDE w:val="0"/>
        <w:autoSpaceDN w:val="0"/>
        <w:adjustRightInd w:val="0"/>
        <w:spacing w:line="360" w:lineRule="auto"/>
        <w:ind w:left="567" w:leftChars="200" w:right="-29" w:rightChars="-14" w:hanging="147" w:hangingChars="70"/>
        <w:rPr>
          <w:rFonts w:ascii="宋体" w:hAnsi="宋体" w:eastAsia="宋体" w:cs="宋体"/>
          <w:color w:val="auto"/>
          <w:kern w:val="0"/>
          <w:szCs w:val="21"/>
        </w:rPr>
      </w:pPr>
      <w:r>
        <w:rPr>
          <w:rFonts w:hint="eastAsia" w:ascii="宋体" w:hAnsi="宋体" w:eastAsia="宋体" w:cs="宋体"/>
          <w:color w:val="auto"/>
          <w:kern w:val="0"/>
          <w:szCs w:val="21"/>
        </w:rPr>
        <w:t>电话：0769-23308061</w:t>
      </w:r>
    </w:p>
    <w:p w14:paraId="4A301954">
      <w:pPr>
        <w:pStyle w:val="19"/>
        <w:ind w:firstLine="210"/>
        <w:rPr>
          <w:rFonts w:ascii="宋体" w:hAnsi="宋体" w:eastAsia="宋体" w:cs="宋体"/>
          <w:color w:val="auto"/>
        </w:rPr>
      </w:pPr>
    </w:p>
    <w:p w14:paraId="324889DA">
      <w:pPr>
        <w:numPr>
          <w:ilvl w:val="0"/>
          <w:numId w:val="2"/>
        </w:numPr>
        <w:autoSpaceDE w:val="0"/>
        <w:autoSpaceDN w:val="0"/>
        <w:adjustRightInd w:val="0"/>
        <w:snapToGrid w:val="0"/>
        <w:spacing w:line="360" w:lineRule="auto"/>
        <w:ind w:left="357" w:right="-34" w:hanging="357" w:hangingChars="170"/>
        <w:jc w:val="left"/>
        <w:rPr>
          <w:rFonts w:ascii="宋体" w:hAnsi="宋体" w:eastAsia="宋体" w:cs="宋体"/>
          <w:color w:val="auto"/>
          <w:szCs w:val="21"/>
          <w:lang w:val="zh-CN"/>
        </w:rPr>
      </w:pPr>
      <w:r>
        <w:rPr>
          <w:rFonts w:hint="eastAsia" w:ascii="宋体" w:hAnsi="宋体" w:eastAsia="宋体" w:cs="宋体"/>
          <w:color w:val="auto"/>
          <w:szCs w:val="21"/>
          <w:lang w:val="zh-CN"/>
        </w:rPr>
        <w:t>招标代理机构</w:t>
      </w:r>
      <w:r>
        <w:rPr>
          <w:rFonts w:hint="eastAsia" w:ascii="宋体" w:hAnsi="宋体" w:eastAsia="宋体" w:cs="宋体"/>
          <w:color w:val="auto"/>
          <w:szCs w:val="21"/>
        </w:rPr>
        <w:t>及异议受理</w:t>
      </w:r>
      <w:r>
        <w:rPr>
          <w:rFonts w:hint="eastAsia" w:ascii="宋体" w:hAnsi="宋体" w:eastAsia="宋体" w:cs="宋体"/>
          <w:color w:val="auto"/>
          <w:szCs w:val="21"/>
          <w:lang w:val="zh-CN"/>
        </w:rPr>
        <w:t>联系方式</w:t>
      </w:r>
    </w:p>
    <w:p w14:paraId="23DD3DF9">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bookmarkStart w:id="9" w:name="_Toc31764_WPSOffice_Level1"/>
      <w:bookmarkStart w:id="10" w:name="_Toc486167661"/>
      <w:bookmarkStart w:id="11" w:name="_Toc450662847"/>
      <w:r>
        <w:rPr>
          <w:rFonts w:hint="eastAsia" w:ascii="宋体" w:hAnsi="宋体" w:eastAsia="宋体" w:cs="宋体"/>
          <w:color w:val="auto"/>
          <w:kern w:val="0"/>
          <w:szCs w:val="21"/>
        </w:rPr>
        <w:t>招标代理机构：建成工程咨询股份有限公司</w:t>
      </w:r>
    </w:p>
    <w:p w14:paraId="799F41C2">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地  址：广东省东莞市南城街道西平宏伟三路39号联景商业大厦16层</w:t>
      </w:r>
    </w:p>
    <w:p w14:paraId="6DAABA8A">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联系人：梁广财</w:t>
      </w:r>
    </w:p>
    <w:p w14:paraId="49C34521">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电  话：0769-22801999</w:t>
      </w:r>
    </w:p>
    <w:p w14:paraId="633FECB6">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rPr>
      </w:pPr>
      <w:bookmarkStart w:id="12" w:name="_Toc15111"/>
      <w:bookmarkStart w:id="13" w:name="_Toc18212"/>
      <w:bookmarkStart w:id="14" w:name="_Toc31930"/>
      <w:bookmarkStart w:id="15" w:name="_Toc142508311"/>
      <w:r>
        <w:rPr>
          <w:rFonts w:hint="eastAsia" w:ascii="宋体" w:hAnsi="宋体" w:eastAsia="宋体" w:cs="宋体"/>
          <w:b/>
          <w:bCs/>
          <w:color w:val="auto"/>
          <w:kern w:val="44"/>
          <w:sz w:val="32"/>
          <w:szCs w:val="32"/>
          <w:lang w:val="zh-CN"/>
        </w:rPr>
        <w:t>第二篇</w:t>
      </w:r>
      <w:r>
        <w:rPr>
          <w:rFonts w:hint="eastAsia" w:ascii="宋体" w:hAnsi="宋体" w:eastAsia="宋体" w:cs="宋体"/>
          <w:b/>
          <w:bCs/>
          <w:color w:val="auto"/>
          <w:kern w:val="44"/>
          <w:sz w:val="32"/>
          <w:szCs w:val="32"/>
        </w:rPr>
        <w:t xml:space="preserve"> </w:t>
      </w:r>
      <w:r>
        <w:rPr>
          <w:rFonts w:hint="eastAsia" w:ascii="宋体" w:hAnsi="宋体" w:eastAsia="宋体" w:cs="宋体"/>
          <w:b/>
          <w:bCs/>
          <w:color w:val="auto"/>
          <w:kern w:val="44"/>
          <w:sz w:val="32"/>
          <w:szCs w:val="32"/>
          <w:lang w:val="zh-CN"/>
        </w:rPr>
        <w:t>投标人须知</w:t>
      </w:r>
      <w:bookmarkEnd w:id="9"/>
      <w:bookmarkEnd w:id="10"/>
      <w:bookmarkEnd w:id="11"/>
      <w:bookmarkEnd w:id="12"/>
      <w:bookmarkEnd w:id="13"/>
      <w:bookmarkEnd w:id="14"/>
      <w:bookmarkEnd w:id="15"/>
    </w:p>
    <w:p w14:paraId="2668E746">
      <w:pPr>
        <w:keepNext/>
        <w:keepLine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16" w:name="_Toc28686"/>
      <w:bookmarkStart w:id="17" w:name="_Toc24479"/>
      <w:bookmarkStart w:id="18" w:name="_Toc9555"/>
      <w:bookmarkStart w:id="19" w:name="_Toc450662848"/>
      <w:bookmarkStart w:id="20" w:name="_Toc142508312"/>
      <w:bookmarkStart w:id="21" w:name="_Toc140596871"/>
      <w:bookmarkStart w:id="22" w:name="_Toc15366_WPSOffice_Level2"/>
      <w:bookmarkStart w:id="23" w:name="_Toc486167662"/>
      <w:r>
        <w:rPr>
          <w:rFonts w:hint="eastAsia" w:ascii="宋体" w:hAnsi="宋体" w:eastAsia="宋体" w:cs="宋体"/>
          <w:b/>
          <w:bCs/>
          <w:color w:val="auto"/>
          <w:kern w:val="44"/>
          <w:szCs w:val="21"/>
          <w:lang w:val="zh-CN"/>
        </w:rPr>
        <w:t>一、总则</w:t>
      </w:r>
      <w:bookmarkEnd w:id="16"/>
      <w:bookmarkEnd w:id="17"/>
      <w:bookmarkEnd w:id="18"/>
      <w:bookmarkEnd w:id="19"/>
      <w:bookmarkEnd w:id="20"/>
      <w:bookmarkEnd w:id="21"/>
      <w:bookmarkEnd w:id="22"/>
      <w:bookmarkEnd w:id="23"/>
    </w:p>
    <w:p w14:paraId="217D242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4" w:name="_Toc5690"/>
      <w:bookmarkStart w:id="25" w:name="_Toc486167663"/>
      <w:bookmarkStart w:id="26" w:name="_Toc23333"/>
      <w:bookmarkStart w:id="27" w:name="_Toc9608"/>
      <w:bookmarkStart w:id="28" w:name="_Toc21710_WPSOffice_Level3"/>
      <w:bookmarkStart w:id="29" w:name="_Toc142508313"/>
      <w:bookmarkStart w:id="30" w:name="_Toc450662849"/>
      <w:r>
        <w:rPr>
          <w:rFonts w:hint="eastAsia" w:ascii="宋体" w:hAnsi="宋体" w:eastAsia="宋体" w:cs="宋体"/>
          <w:color w:val="auto"/>
          <w:szCs w:val="21"/>
          <w:lang w:val="zh-CN"/>
        </w:rPr>
        <w:t>1 资金来源：企业自筹资金。</w:t>
      </w:r>
      <w:bookmarkEnd w:id="24"/>
      <w:bookmarkEnd w:id="25"/>
      <w:bookmarkEnd w:id="26"/>
      <w:bookmarkEnd w:id="27"/>
      <w:bookmarkEnd w:id="28"/>
      <w:bookmarkEnd w:id="29"/>
      <w:bookmarkEnd w:id="30"/>
    </w:p>
    <w:p w14:paraId="58E096BA">
      <w:pPr>
        <w:autoSpaceDE w:val="0"/>
        <w:autoSpaceDN w:val="0"/>
        <w:adjustRightInd w:val="0"/>
        <w:ind w:left="438" w:hanging="648"/>
        <w:jc w:val="left"/>
        <w:rPr>
          <w:rFonts w:ascii="宋体" w:hAnsi="宋体" w:eastAsia="宋体" w:cs="宋体"/>
          <w:color w:val="auto"/>
          <w:kern w:val="0"/>
          <w:sz w:val="24"/>
          <w:szCs w:val="24"/>
        </w:rPr>
      </w:pPr>
    </w:p>
    <w:p w14:paraId="3B033E01">
      <w:pPr>
        <w:tabs>
          <w:tab w:val="left" w:pos="570"/>
        </w:tabs>
        <w:autoSpaceDE w:val="0"/>
        <w:autoSpaceDN w:val="0"/>
        <w:adjustRightInd w:val="0"/>
        <w:spacing w:line="360" w:lineRule="auto"/>
        <w:ind w:left="359" w:leftChars="-100" w:hanging="569"/>
        <w:jc w:val="left"/>
        <w:outlineLvl w:val="2"/>
        <w:rPr>
          <w:rFonts w:ascii="宋体" w:hAnsi="宋体" w:eastAsia="宋体" w:cs="宋体"/>
          <w:b/>
          <w:color w:val="auto"/>
          <w:szCs w:val="21"/>
          <w:lang w:val="zh-CN"/>
        </w:rPr>
      </w:pPr>
      <w:bookmarkStart w:id="31" w:name="_Toc32244"/>
      <w:bookmarkStart w:id="32" w:name="_Toc450662850"/>
      <w:bookmarkStart w:id="33" w:name="_Toc80_WPSOffice_Level3"/>
      <w:bookmarkStart w:id="34" w:name="_Toc18557"/>
      <w:bookmarkStart w:id="35" w:name="_Toc486167664"/>
      <w:bookmarkStart w:id="36" w:name="_Toc142508314"/>
      <w:bookmarkStart w:id="37" w:name="_Toc25904"/>
      <w:r>
        <w:rPr>
          <w:rFonts w:hint="eastAsia" w:ascii="宋体" w:hAnsi="宋体" w:eastAsia="宋体" w:cs="宋体"/>
          <w:b/>
          <w:color w:val="auto"/>
          <w:szCs w:val="21"/>
          <w:lang w:val="zh-CN"/>
        </w:rPr>
        <w:t>2 合格的投标人</w:t>
      </w:r>
      <w:bookmarkEnd w:id="31"/>
      <w:bookmarkEnd w:id="32"/>
      <w:bookmarkEnd w:id="33"/>
      <w:bookmarkEnd w:id="34"/>
      <w:bookmarkEnd w:id="35"/>
      <w:bookmarkEnd w:id="36"/>
      <w:bookmarkEnd w:id="37"/>
    </w:p>
    <w:p w14:paraId="066E7D71">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szCs w:val="21"/>
          <w:lang w:val="zh-CN"/>
        </w:rPr>
        <w:t>2.1  合格的投标人条件见第一篇《招标公告》中第2条的“合格投标人资格要求”及本条以下2.2款至2.</w:t>
      </w:r>
      <w:r>
        <w:rPr>
          <w:rFonts w:hint="eastAsia" w:ascii="宋体" w:hAnsi="宋体" w:eastAsia="宋体" w:cs="宋体"/>
          <w:b/>
          <w:color w:val="auto"/>
          <w:szCs w:val="21"/>
        </w:rPr>
        <w:t>6</w:t>
      </w:r>
      <w:r>
        <w:rPr>
          <w:rFonts w:hint="eastAsia" w:ascii="宋体" w:hAnsi="宋体" w:eastAsia="宋体" w:cs="宋体"/>
          <w:b/>
          <w:color w:val="auto"/>
          <w:szCs w:val="21"/>
          <w:lang w:val="zh-CN"/>
        </w:rPr>
        <w:t>款的通用要求。</w:t>
      </w:r>
    </w:p>
    <w:p w14:paraId="57CEF9B1">
      <w:pPr>
        <w:autoSpaceDE w:val="0"/>
        <w:autoSpaceDN w:val="0"/>
        <w:adjustRightInd w:val="0"/>
        <w:spacing w:line="360" w:lineRule="auto"/>
        <w:ind w:left="359" w:leftChars="-100" w:hanging="569" w:hangingChars="270"/>
        <w:rPr>
          <w:rFonts w:ascii="宋体" w:hAnsi="宋体" w:eastAsia="宋体" w:cs="宋体"/>
          <w:b/>
          <w:color w:val="auto"/>
          <w:kern w:val="0"/>
          <w:szCs w:val="21"/>
        </w:rPr>
      </w:pPr>
      <w:r>
        <w:rPr>
          <w:rFonts w:hint="eastAsia" w:ascii="宋体" w:hAnsi="宋体" w:eastAsia="宋体" w:cs="宋体"/>
          <w:b/>
          <w:color w:val="auto"/>
          <w:kern w:val="0"/>
          <w:szCs w:val="24"/>
        </w:rPr>
        <w:t xml:space="preserve">2.2  </w:t>
      </w:r>
      <w:r>
        <w:rPr>
          <w:rFonts w:hint="eastAsia" w:ascii="宋体" w:hAnsi="宋体" w:eastAsia="宋体" w:cs="宋体"/>
          <w:b/>
          <w:color w:val="auto"/>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lang w:val="zh-CN"/>
        </w:rPr>
        <w:t>处罚说明</w:t>
      </w:r>
      <w:r>
        <w:rPr>
          <w:rFonts w:hint="eastAsia" w:ascii="宋体" w:hAnsi="宋体" w:eastAsia="宋体" w:cs="宋体"/>
          <w:b/>
          <w:color w:val="auto"/>
          <w:kern w:val="0"/>
          <w:szCs w:val="21"/>
        </w:rPr>
        <w:t>”，如果不主动填报而被事后发现的，将取消其投标（中标）资格，并按有关规定从重处理。</w:t>
      </w:r>
    </w:p>
    <w:p w14:paraId="3A4DEA7F">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kern w:val="0"/>
          <w:szCs w:val="21"/>
          <w:lang w:val="zh-CN"/>
        </w:rPr>
        <w:t>2.3  投标人</w:t>
      </w:r>
      <w:r>
        <w:rPr>
          <w:rFonts w:hint="eastAsia" w:ascii="宋体" w:hAnsi="宋体" w:eastAsia="宋体" w:cs="宋体"/>
          <w:b/>
          <w:color w:val="auto"/>
          <w:szCs w:val="21"/>
          <w:lang w:val="zh-CN"/>
        </w:rPr>
        <w:t>符合《中华人民共和国招标投标法》第二十六条规定。</w:t>
      </w:r>
    </w:p>
    <w:p w14:paraId="5A29D2E4">
      <w:pPr>
        <w:autoSpaceDE w:val="0"/>
        <w:autoSpaceDN w:val="0"/>
        <w:adjustRightInd w:val="0"/>
        <w:spacing w:line="360" w:lineRule="auto"/>
        <w:ind w:left="359" w:leftChars="-99" w:hanging="567" w:hangingChars="269"/>
        <w:rPr>
          <w:rFonts w:ascii="宋体" w:hAnsi="宋体" w:eastAsia="宋体" w:cs="宋体"/>
          <w:b/>
          <w:color w:val="auto"/>
          <w:kern w:val="0"/>
          <w:szCs w:val="21"/>
        </w:rPr>
      </w:pPr>
      <w:r>
        <w:rPr>
          <w:rFonts w:hint="eastAsia" w:ascii="宋体" w:hAnsi="宋体" w:eastAsia="宋体" w:cs="宋体"/>
          <w:b/>
          <w:color w:val="auto"/>
          <w:kern w:val="0"/>
          <w:szCs w:val="21"/>
        </w:rPr>
        <w:t>2.4  投标人（含其不具有独立法人资格的分支机构）未被列入“信用中国”网站（ www.creditchina.gov.cn）失信被执行人、重大税收违法失信主体、政府采购严重违法失信行为记录名单（处罚期限届满的除外）。</w:t>
      </w:r>
    </w:p>
    <w:p w14:paraId="118C5CFB">
      <w:pPr>
        <w:autoSpaceDE w:val="0"/>
        <w:autoSpaceDN w:val="0"/>
        <w:adjustRightInd w:val="0"/>
        <w:spacing w:line="360" w:lineRule="auto"/>
        <w:ind w:left="317" w:leftChars="-100" w:hanging="527" w:hangingChars="250"/>
        <w:rPr>
          <w:rFonts w:ascii="宋体" w:hAnsi="宋体" w:eastAsia="宋体" w:cs="宋体"/>
          <w:b/>
          <w:color w:val="auto"/>
          <w:kern w:val="0"/>
          <w:szCs w:val="21"/>
          <w:lang w:val="zh-CN"/>
        </w:rPr>
      </w:pPr>
      <w:r>
        <w:rPr>
          <w:rFonts w:hint="eastAsia" w:ascii="宋体" w:hAnsi="宋体" w:eastAsia="宋体" w:cs="宋体"/>
          <w:b/>
          <w:color w:val="auto"/>
          <w:szCs w:val="21"/>
          <w:lang w:val="zh-CN"/>
        </w:rPr>
        <w:t xml:space="preserve">2.5  </w:t>
      </w:r>
      <w:r>
        <w:rPr>
          <w:rFonts w:hint="eastAsia" w:ascii="宋体" w:hAnsi="宋体" w:eastAsia="宋体" w:cs="宋体"/>
          <w:b/>
          <w:color w:val="auto"/>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lang w:val="zh-CN"/>
        </w:rPr>
        <w:t>。</w:t>
      </w:r>
    </w:p>
    <w:p w14:paraId="50D7CF17">
      <w:pPr>
        <w:autoSpaceDE w:val="0"/>
        <w:autoSpaceDN w:val="0"/>
        <w:adjustRightInd w:val="0"/>
        <w:spacing w:line="360" w:lineRule="auto"/>
        <w:ind w:left="317" w:leftChars="-100" w:hanging="527" w:hangingChars="250"/>
        <w:jc w:val="left"/>
        <w:rPr>
          <w:rFonts w:ascii="宋体" w:hAnsi="宋体" w:eastAsia="宋体" w:cs="宋体"/>
          <w:b/>
          <w:color w:val="auto"/>
          <w:kern w:val="0"/>
          <w:szCs w:val="21"/>
        </w:rPr>
      </w:pPr>
      <w:r>
        <w:rPr>
          <w:rFonts w:hint="eastAsia" w:ascii="宋体" w:hAnsi="宋体" w:eastAsia="宋体" w:cs="宋体"/>
          <w:b/>
          <w:color w:val="auto"/>
          <w:kern w:val="0"/>
          <w:szCs w:val="21"/>
        </w:rPr>
        <w:t>2.6 本项目兼投不兼中，项目分3个包组采购，分别为A包、B包、C包。投标人可参加东莞市水务集团管网有限公司2025年度机电设备维修定点服务单位采购项目一个包或多个包组的投标，但仅可承担其中一个包组的机电设备维修服务。本项目依次从A包到C包的顺序进行评审，若投标人已在A包的评审中被推荐为第一中标候选人，则在其他包组的评审时，该投标人不可被推荐为中标候选人，由其他得分次高的投标人替代，以此类推。</w:t>
      </w:r>
    </w:p>
    <w:p w14:paraId="02309142">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rPr>
      </w:pPr>
    </w:p>
    <w:p w14:paraId="1C4133AC">
      <w:pPr>
        <w:tabs>
          <w:tab w:val="left" w:pos="570"/>
        </w:tabs>
        <w:autoSpaceDE w:val="0"/>
        <w:autoSpaceDN w:val="0"/>
        <w:adjustRightInd w:val="0"/>
        <w:spacing w:line="360" w:lineRule="auto"/>
        <w:ind w:left="359" w:leftChars="-100" w:hanging="569"/>
        <w:jc w:val="left"/>
        <w:outlineLvl w:val="2"/>
        <w:rPr>
          <w:rFonts w:ascii="宋体" w:hAnsi="宋体" w:eastAsia="宋体" w:cs="宋体"/>
          <w:b/>
          <w:color w:val="auto"/>
          <w:szCs w:val="21"/>
        </w:rPr>
      </w:pPr>
      <w:bookmarkStart w:id="38" w:name="_Toc142508315"/>
      <w:bookmarkStart w:id="39" w:name="_Toc23847_WPSOffice_Level3"/>
      <w:bookmarkStart w:id="40" w:name="_Toc11689"/>
      <w:bookmarkStart w:id="41" w:name="_Toc11795"/>
      <w:bookmarkStart w:id="42" w:name="_Toc19774"/>
      <w:bookmarkStart w:id="43" w:name="_Toc450662851"/>
      <w:bookmarkStart w:id="44" w:name="_Toc486167665"/>
      <w:r>
        <w:rPr>
          <w:rFonts w:hint="eastAsia" w:ascii="宋体" w:hAnsi="宋体" w:eastAsia="宋体" w:cs="宋体"/>
          <w:b/>
          <w:color w:val="auto"/>
          <w:szCs w:val="21"/>
          <w:lang w:val="zh-CN"/>
        </w:rPr>
        <w:t>3 合格的</w:t>
      </w:r>
      <w:bookmarkEnd w:id="38"/>
      <w:bookmarkEnd w:id="39"/>
      <w:r>
        <w:rPr>
          <w:rFonts w:hint="eastAsia" w:ascii="宋体" w:hAnsi="宋体" w:eastAsia="宋体" w:cs="宋体"/>
          <w:b/>
          <w:color w:val="auto"/>
          <w:szCs w:val="21"/>
        </w:rPr>
        <w:t>服务</w:t>
      </w:r>
      <w:bookmarkEnd w:id="40"/>
      <w:bookmarkEnd w:id="41"/>
      <w:bookmarkEnd w:id="42"/>
    </w:p>
    <w:p w14:paraId="0C6804CA">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3.1</w:t>
      </w:r>
      <w:r>
        <w:rPr>
          <w:rFonts w:hint="eastAsia" w:ascii="宋体" w:hAnsi="宋体" w:eastAsia="宋体" w:cs="宋体"/>
          <w:color w:val="auto"/>
          <w:szCs w:val="21"/>
        </w:rPr>
        <w:t xml:space="preserve"> “服务”是指投标人按招标文件规定完成的全部服务内容，其中包括完成服务所需的货物和工程，及须承担的技术支持、培训和其它伴随服务。</w:t>
      </w:r>
    </w:p>
    <w:p w14:paraId="0D8C5F73">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5" w:name="_Toc1977663"/>
      <w:bookmarkStart w:id="46" w:name="_Toc533708063"/>
      <w:r>
        <w:rPr>
          <w:rFonts w:hint="eastAsia" w:ascii="宋体" w:hAnsi="宋体" w:eastAsia="宋体" w:cs="宋体"/>
          <w:color w:val="auto"/>
          <w:szCs w:val="21"/>
          <w:lang w:val="zh-CN"/>
        </w:rPr>
        <w:t xml:space="preserve">3.2  </w:t>
      </w:r>
      <w:bookmarkEnd w:id="45"/>
      <w:bookmarkEnd w:id="46"/>
      <w:bookmarkStart w:id="47" w:name="_Toc1977665"/>
      <w:bookmarkStart w:id="48" w:name="_Toc533708065"/>
      <w:r>
        <w:rPr>
          <w:rFonts w:hint="eastAsia" w:ascii="宋体" w:hAnsi="宋体" w:eastAsia="宋体" w:cs="宋体"/>
          <w:color w:val="auto"/>
          <w:szCs w:val="21"/>
          <w:lang w:val="zh-CN"/>
        </w:rPr>
        <w:t>投标人必须保证提供的所有</w:t>
      </w:r>
      <w:r>
        <w:rPr>
          <w:rFonts w:hint="eastAsia" w:ascii="宋体" w:hAnsi="宋体" w:eastAsia="宋体" w:cs="宋体"/>
          <w:color w:val="auto"/>
          <w:szCs w:val="21"/>
        </w:rPr>
        <w:t>服务</w:t>
      </w:r>
      <w:r>
        <w:rPr>
          <w:rFonts w:hint="eastAsia" w:ascii="宋体" w:hAnsi="宋体" w:eastAsia="宋体" w:cs="宋体"/>
          <w:color w:val="auto"/>
          <w:szCs w:val="21"/>
          <w:lang w:val="zh-CN"/>
        </w:rPr>
        <w:t>或</w:t>
      </w:r>
      <w:r>
        <w:rPr>
          <w:rFonts w:hint="eastAsia" w:ascii="宋体" w:hAnsi="宋体" w:eastAsia="宋体" w:cs="宋体"/>
          <w:color w:val="auto"/>
          <w:szCs w:val="21"/>
        </w:rPr>
        <w:t>服务</w:t>
      </w:r>
      <w:r>
        <w:rPr>
          <w:rFonts w:hint="eastAsia" w:ascii="宋体" w:hAnsi="宋体" w:eastAsia="宋体" w:cs="宋体"/>
          <w:color w:val="auto"/>
          <w:szCs w:val="21"/>
          <w:lang w:val="zh-CN"/>
        </w:rPr>
        <w:t>的任何部分均为最新正式版本。</w:t>
      </w:r>
      <w:bookmarkEnd w:id="47"/>
      <w:bookmarkEnd w:id="48"/>
    </w:p>
    <w:p w14:paraId="5D367CBE">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9" w:name="_Toc1977666"/>
      <w:bookmarkStart w:id="50" w:name="_Toc533708066"/>
      <w:r>
        <w:rPr>
          <w:rFonts w:hint="eastAsia" w:ascii="宋体" w:hAnsi="宋体" w:eastAsia="宋体" w:cs="宋体"/>
          <w:color w:val="auto"/>
          <w:szCs w:val="21"/>
          <w:lang w:val="zh-CN"/>
        </w:rPr>
        <w:t>3.</w:t>
      </w:r>
      <w:r>
        <w:rPr>
          <w:rFonts w:hint="eastAsia" w:ascii="宋体" w:hAnsi="宋体" w:eastAsia="宋体" w:cs="宋体"/>
          <w:color w:val="auto"/>
          <w:szCs w:val="21"/>
        </w:rPr>
        <w:t>3</w:t>
      </w:r>
      <w:r>
        <w:rPr>
          <w:rFonts w:hint="eastAsia" w:ascii="宋体" w:hAnsi="宋体" w:eastAsia="宋体" w:cs="宋体"/>
          <w:color w:val="auto"/>
          <w:szCs w:val="21"/>
          <w:lang w:val="zh-CN"/>
        </w:rPr>
        <w:t xml:space="preserve">  </w:t>
      </w:r>
      <w:bookmarkEnd w:id="49"/>
      <w:bookmarkEnd w:id="50"/>
      <w:bookmarkStart w:id="51" w:name="_Toc533708067"/>
      <w:bookmarkStart w:id="52" w:name="_Toc1977667"/>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lang w:val="zh-CN"/>
        </w:rPr>
        <w:t>。</w:t>
      </w:r>
      <w:bookmarkEnd w:id="51"/>
      <w:bookmarkEnd w:id="52"/>
    </w:p>
    <w:p w14:paraId="0E5C672F">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3" w:name="_Toc533708068"/>
      <w:bookmarkStart w:id="54" w:name="_Toc1977668"/>
      <w:r>
        <w:rPr>
          <w:rFonts w:hint="eastAsia" w:ascii="宋体" w:hAnsi="宋体" w:eastAsia="宋体" w:cs="宋体"/>
          <w:color w:val="auto"/>
          <w:szCs w:val="21"/>
          <w:lang w:val="zh-CN"/>
        </w:rPr>
        <w:t>3.</w:t>
      </w:r>
      <w:r>
        <w:rPr>
          <w:rFonts w:hint="eastAsia" w:ascii="宋体" w:hAnsi="宋体" w:eastAsia="宋体" w:cs="宋体"/>
          <w:color w:val="auto"/>
          <w:szCs w:val="21"/>
        </w:rPr>
        <w:t>4</w:t>
      </w:r>
      <w:r>
        <w:rPr>
          <w:rFonts w:hint="eastAsia" w:ascii="宋体" w:hAnsi="宋体" w:eastAsia="宋体" w:cs="宋体"/>
          <w:color w:val="auto"/>
          <w:szCs w:val="21"/>
          <w:lang w:val="zh-CN"/>
        </w:rPr>
        <w:t xml:space="preserve"> </w:t>
      </w:r>
      <w:bookmarkEnd w:id="53"/>
      <w:bookmarkEnd w:id="54"/>
      <w:r>
        <w:rPr>
          <w:rFonts w:hint="eastAsia" w:ascii="宋体" w:hAnsi="宋体" w:eastAsia="宋体" w:cs="宋体"/>
          <w:color w:val="auto"/>
          <w:szCs w:val="21"/>
          <w:lang w:val="zh-CN"/>
        </w:rPr>
        <w:t>无论投标人</w:t>
      </w:r>
      <w:r>
        <w:rPr>
          <w:rFonts w:hint="eastAsia" w:ascii="宋体" w:hAnsi="宋体" w:eastAsia="宋体" w:cs="宋体"/>
          <w:color w:val="auto"/>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lang w:val="zh-CN"/>
        </w:rPr>
        <w:t>。</w:t>
      </w:r>
    </w:p>
    <w:p w14:paraId="09EF279B">
      <w:pPr>
        <w:autoSpaceDE w:val="0"/>
        <w:autoSpaceDN w:val="0"/>
        <w:adjustRightInd w:val="0"/>
        <w:spacing w:line="360" w:lineRule="auto"/>
        <w:jc w:val="left"/>
        <w:rPr>
          <w:rFonts w:ascii="宋体" w:hAnsi="宋体" w:eastAsia="宋体" w:cs="宋体"/>
          <w:color w:val="auto"/>
          <w:szCs w:val="21"/>
          <w:lang w:val="zh-CN"/>
        </w:rPr>
      </w:pPr>
    </w:p>
    <w:p w14:paraId="36CF1B4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55" w:name="_Toc904"/>
      <w:bookmarkStart w:id="56" w:name="_Toc9658_WPSOffice_Level3"/>
      <w:bookmarkStart w:id="57" w:name="_Toc11533"/>
      <w:bookmarkStart w:id="58" w:name="_Toc3404"/>
      <w:bookmarkStart w:id="59" w:name="_Toc142508316"/>
      <w:r>
        <w:rPr>
          <w:rFonts w:hint="eastAsia" w:ascii="宋体" w:hAnsi="宋体" w:eastAsia="宋体" w:cs="宋体"/>
          <w:color w:val="auto"/>
          <w:szCs w:val="21"/>
          <w:lang w:val="zh-CN"/>
        </w:rPr>
        <w:t>4 其它说明</w:t>
      </w:r>
      <w:bookmarkEnd w:id="55"/>
      <w:bookmarkEnd w:id="56"/>
      <w:bookmarkEnd w:id="57"/>
      <w:bookmarkEnd w:id="58"/>
      <w:bookmarkEnd w:id="59"/>
    </w:p>
    <w:p w14:paraId="4255846C">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0" w:name="_Toc1977670"/>
      <w:bookmarkStart w:id="61" w:name="_Toc533708070"/>
      <w:r>
        <w:rPr>
          <w:rFonts w:hint="eastAsia" w:ascii="宋体" w:hAnsi="宋体" w:eastAsia="宋体" w:cs="宋体"/>
          <w:color w:val="auto"/>
          <w:szCs w:val="21"/>
          <w:lang w:val="zh-CN"/>
        </w:rPr>
        <w:t>4.1  投标费用</w:t>
      </w:r>
      <w:bookmarkEnd w:id="60"/>
      <w:bookmarkEnd w:id="61"/>
    </w:p>
    <w:p w14:paraId="65C60E15">
      <w:pPr>
        <w:autoSpaceDE w:val="0"/>
        <w:autoSpaceDN w:val="0"/>
        <w:adjustRightInd w:val="0"/>
        <w:spacing w:line="360" w:lineRule="auto"/>
        <w:ind w:left="210" w:leftChars="100" w:firstLine="420" w:firstLineChars="200"/>
        <w:rPr>
          <w:rFonts w:ascii="宋体" w:hAnsi="宋体" w:eastAsia="宋体" w:cs="宋体"/>
          <w:color w:val="auto"/>
          <w:szCs w:val="21"/>
          <w:lang w:val="zh-CN"/>
        </w:rPr>
      </w:pPr>
      <w:bookmarkStart w:id="62" w:name="_Toc533708072"/>
      <w:bookmarkStart w:id="63" w:name="_Toc1977672"/>
      <w:r>
        <w:rPr>
          <w:rFonts w:hint="eastAsia" w:ascii="宋体" w:hAnsi="宋体" w:eastAsia="宋体" w:cs="宋体"/>
          <w:color w:val="auto"/>
          <w:szCs w:val="21"/>
          <w:lang w:val="zh-CN"/>
        </w:rPr>
        <w:t>无论招标过程中的做法和结果如何，投标人须承担所有与编写和递交投标文件有关的费用，招标人和招标代理机构在任何情况下不负担这些费用。</w:t>
      </w:r>
      <w:bookmarkEnd w:id="62"/>
      <w:bookmarkEnd w:id="63"/>
    </w:p>
    <w:p w14:paraId="7A171637">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4" w:name="_Toc1977673"/>
      <w:bookmarkStart w:id="65" w:name="_Toc533708073"/>
      <w:r>
        <w:rPr>
          <w:rFonts w:hint="eastAsia" w:ascii="宋体" w:hAnsi="宋体" w:eastAsia="宋体" w:cs="宋体"/>
          <w:color w:val="auto"/>
          <w:szCs w:val="21"/>
          <w:lang w:val="zh-CN"/>
        </w:rPr>
        <w:t>4.2  踏勘现场</w:t>
      </w:r>
      <w:bookmarkEnd w:id="64"/>
      <w:bookmarkEnd w:id="65"/>
    </w:p>
    <w:p w14:paraId="62BC2CF8">
      <w:pPr>
        <w:autoSpaceDE w:val="0"/>
        <w:autoSpaceDN w:val="0"/>
        <w:adjustRightInd w:val="0"/>
        <w:spacing w:line="360" w:lineRule="auto"/>
        <w:ind w:left="300" w:leftChars="-59" w:hanging="424" w:hangingChars="202"/>
        <w:jc w:val="left"/>
        <w:rPr>
          <w:rFonts w:ascii="宋体" w:hAnsi="宋体" w:eastAsia="宋体" w:cs="宋体"/>
          <w:color w:val="auto"/>
          <w:kern w:val="0"/>
          <w:szCs w:val="21"/>
        </w:rPr>
      </w:pPr>
      <w:bookmarkStart w:id="66" w:name="_Toc1977676"/>
      <w:bookmarkStart w:id="67" w:name="_Toc533708076"/>
      <w:r>
        <w:rPr>
          <w:rFonts w:hint="eastAsia" w:ascii="宋体" w:hAnsi="宋体" w:eastAsia="宋体" w:cs="宋体"/>
          <w:color w:val="auto"/>
          <w:kern w:val="0"/>
          <w:szCs w:val="21"/>
        </w:rPr>
        <w:t>（1）本项目不组织集中踏勘现场和答疑，投标人应自行到实地踏勘考察。</w:t>
      </w:r>
    </w:p>
    <w:p w14:paraId="681622FF">
      <w:pPr>
        <w:autoSpaceDE w:val="0"/>
        <w:autoSpaceDN w:val="0"/>
        <w:adjustRightInd w:val="0"/>
        <w:spacing w:line="360" w:lineRule="auto"/>
        <w:ind w:left="300" w:leftChars="-59" w:hanging="424" w:hangingChars="202"/>
        <w:jc w:val="left"/>
        <w:rPr>
          <w:rFonts w:ascii="宋体" w:hAnsi="宋体" w:eastAsia="宋体" w:cs="宋体"/>
          <w:color w:val="auto"/>
          <w:kern w:val="0"/>
          <w:szCs w:val="21"/>
        </w:rPr>
      </w:pPr>
      <w:r>
        <w:rPr>
          <w:rFonts w:hint="eastAsia" w:ascii="宋体" w:hAnsi="宋体" w:eastAsia="宋体" w:cs="宋体"/>
          <w:color w:val="auto"/>
          <w:kern w:val="0"/>
          <w:szCs w:val="21"/>
        </w:rPr>
        <w:t>（2）潜在投标人应承担踏勘现场自身所发生的费用。</w:t>
      </w:r>
    </w:p>
    <w:p w14:paraId="344988F9">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（3）招标人和招标代理机构在踏勘现场中介绍的有关现场和相关的周边环境情况，供投标人在编制投标文件时参考，招标人不对投标人据此作出的判断和决策负责。</w:t>
      </w:r>
    </w:p>
    <w:p w14:paraId="0418875C">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（4）潜在投标人可为踏勘需要而进入招标人的项目现场，但潜在投标人不得因此使招标人承担有关的责任和蒙受损失。潜在投标人应承担踏勘现场的责任和风险。</w:t>
      </w:r>
    </w:p>
    <w:p w14:paraId="3C0D922A">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4.3</w:t>
      </w:r>
      <w:r>
        <w:rPr>
          <w:rFonts w:hint="eastAsia" w:ascii="宋体" w:hAnsi="宋体" w:eastAsia="宋体" w:cs="宋体"/>
          <w:color w:val="auto"/>
          <w:szCs w:val="21"/>
          <w:lang w:val="zh-CN"/>
        </w:rPr>
        <w:tab/>
      </w:r>
      <w:r>
        <w:rPr>
          <w:rFonts w:hint="eastAsia" w:ascii="宋体" w:hAnsi="宋体" w:eastAsia="宋体" w:cs="宋体"/>
          <w:color w:val="auto"/>
          <w:szCs w:val="21"/>
          <w:lang w:val="zh-CN"/>
        </w:rPr>
        <w:t>纪律与保密事项</w:t>
      </w:r>
      <w:bookmarkEnd w:id="43"/>
      <w:bookmarkEnd w:id="44"/>
      <w:bookmarkEnd w:id="66"/>
      <w:bookmarkEnd w:id="67"/>
    </w:p>
    <w:p w14:paraId="6FAD2282">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（1）获得本招标文件的投标人，不得用作本次投标以外的任何用途。</w:t>
      </w:r>
    </w:p>
    <w:p w14:paraId="6011B97B">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lang w:val="zh-CN"/>
        </w:rPr>
        <w:t>（2</w:t>
      </w:r>
      <w:r>
        <w:rPr>
          <w:rFonts w:hint="eastAsia" w:ascii="宋体" w:hAnsi="宋体" w:eastAsia="宋体" w:cs="宋体"/>
          <w:color w:val="auto"/>
          <w:kern w:val="0"/>
          <w:szCs w:val="21"/>
        </w:rPr>
        <w:t>）凡参与招标工作的有关人员均应自觉接受有关主管部门的监督，不得向他人透露可能影响公平竞争的情况。</w:t>
      </w:r>
    </w:p>
    <w:p w14:paraId="23057F06">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（3）开标后，直至向中标人授予合同期间，凡与审查、澄清、评价和比较报价的有关资料以及授标意见等，参与评标工作的有关人员均不得向投标人及与评标无关的其他人透露。</w:t>
      </w:r>
    </w:p>
    <w:p w14:paraId="24E6CCC4">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（4）除投标人被要求对投标文件进行澄清外，从递交投标文件截止之时起至授予合同期间，投标人不得就与其投标文件有关的事项主动与评标委员会、招标代理机构以及招标人联系。</w:t>
      </w:r>
    </w:p>
    <w:p w14:paraId="454A4EE6">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EC1A346">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（6）投标人不得串通作弊，以不正当的手段妨碍、排挤其他投标人，扰乱采购市场，破坏公平竞争原则。</w:t>
      </w:r>
    </w:p>
    <w:p w14:paraId="75A18679">
      <w:pPr>
        <w:autoSpaceDE w:val="0"/>
        <w:autoSpaceDN w:val="0"/>
        <w:adjustRightInd w:val="0"/>
        <w:spacing w:line="360" w:lineRule="auto"/>
        <w:ind w:left="315" w:leftChars="-100" w:hanging="525" w:hangingChars="250"/>
        <w:rPr>
          <w:rFonts w:ascii="宋体" w:hAnsi="宋体" w:eastAsia="宋体" w:cs="宋体"/>
          <w:color w:val="auto"/>
          <w:szCs w:val="21"/>
        </w:rPr>
      </w:pPr>
    </w:p>
    <w:p w14:paraId="50B0CC30">
      <w:pPr>
        <w:keepNext/>
        <w:keepLine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68" w:name="_Toc1565"/>
      <w:bookmarkStart w:id="69" w:name="_Toc15995"/>
      <w:bookmarkStart w:id="70" w:name="_Toc486167667"/>
      <w:bookmarkStart w:id="71" w:name="_Toc5395"/>
      <w:bookmarkStart w:id="72" w:name="_Toc450662853"/>
      <w:bookmarkStart w:id="73" w:name="_Toc30507_WPSOffice_Level2"/>
      <w:bookmarkStart w:id="74" w:name="_Toc140596876"/>
      <w:bookmarkStart w:id="75" w:name="_Toc142508317"/>
      <w:r>
        <w:rPr>
          <w:rFonts w:hint="eastAsia" w:ascii="宋体" w:hAnsi="宋体" w:eastAsia="宋体" w:cs="宋体"/>
          <w:b/>
          <w:bCs/>
          <w:color w:val="auto"/>
          <w:kern w:val="44"/>
          <w:szCs w:val="21"/>
          <w:lang w:val="zh-CN"/>
        </w:rPr>
        <w:t>二、招标文件</w:t>
      </w:r>
      <w:bookmarkEnd w:id="68"/>
      <w:bookmarkEnd w:id="69"/>
      <w:bookmarkEnd w:id="70"/>
      <w:bookmarkEnd w:id="71"/>
      <w:bookmarkEnd w:id="72"/>
      <w:bookmarkEnd w:id="73"/>
      <w:bookmarkEnd w:id="74"/>
      <w:bookmarkEnd w:id="75"/>
    </w:p>
    <w:p w14:paraId="29962D9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76" w:name="_Toc486167668"/>
      <w:bookmarkStart w:id="77" w:name="_Toc28893"/>
      <w:bookmarkStart w:id="78" w:name="_Toc142508318"/>
      <w:bookmarkStart w:id="79" w:name="_Toc2406"/>
      <w:bookmarkStart w:id="80" w:name="_Toc14492"/>
      <w:bookmarkStart w:id="81" w:name="_Toc26635_WPSOffice_Level3"/>
      <w:bookmarkStart w:id="82" w:name="_Toc450662854"/>
      <w:r>
        <w:rPr>
          <w:rFonts w:hint="eastAsia" w:ascii="宋体" w:hAnsi="宋体" w:eastAsia="宋体" w:cs="宋体"/>
          <w:color w:val="auto"/>
          <w:szCs w:val="21"/>
          <w:lang w:val="zh-CN"/>
        </w:rPr>
        <w:t>5 招标文件的构成</w:t>
      </w:r>
      <w:bookmarkEnd w:id="76"/>
      <w:bookmarkEnd w:id="77"/>
      <w:bookmarkEnd w:id="78"/>
      <w:bookmarkEnd w:id="79"/>
      <w:bookmarkEnd w:id="80"/>
      <w:bookmarkEnd w:id="81"/>
      <w:bookmarkEnd w:id="82"/>
    </w:p>
    <w:p w14:paraId="015F159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5.1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招标文件包括：</w:t>
      </w:r>
    </w:p>
    <w:p w14:paraId="37CC8D70">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第一篇 招标公告</w:t>
      </w:r>
    </w:p>
    <w:p w14:paraId="3D5AC905">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第二篇 投标人须知</w:t>
      </w:r>
    </w:p>
    <w:p w14:paraId="5EDEA71F">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第三篇 用户需求书</w:t>
      </w:r>
    </w:p>
    <w:p w14:paraId="1EBE3617">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第四篇 合同条款</w:t>
      </w:r>
    </w:p>
    <w:p w14:paraId="022DE46E">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第五篇 相关保函格式</w:t>
      </w:r>
    </w:p>
    <w:p w14:paraId="35A0FBCC">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第六篇 投标文件格式</w:t>
      </w:r>
    </w:p>
    <w:p w14:paraId="7BE87E8D">
      <w:pPr>
        <w:tabs>
          <w:tab w:val="left" w:pos="1890"/>
        </w:tabs>
        <w:autoSpaceDE w:val="0"/>
        <w:autoSpaceDN w:val="0"/>
        <w:adjustRightInd w:val="0"/>
        <w:spacing w:line="360" w:lineRule="auto"/>
        <w:ind w:left="-210"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附件一：评标工作大纲</w:t>
      </w:r>
    </w:p>
    <w:p w14:paraId="214BD5F8">
      <w:pPr>
        <w:autoSpaceDE w:val="0"/>
        <w:autoSpaceDN w:val="0"/>
        <w:adjustRightInd w:val="0"/>
        <w:spacing w:line="360" w:lineRule="auto"/>
        <w:ind w:left="356" w:leftChars="-99" w:hanging="564" w:hangingChars="269"/>
        <w:rPr>
          <w:rFonts w:ascii="宋体" w:hAnsi="宋体" w:eastAsia="宋体" w:cs="宋体"/>
          <w:b/>
          <w:bCs/>
          <w:color w:val="auto"/>
          <w:szCs w:val="21"/>
          <w:u w:val="single"/>
          <w:lang w:val="zh-CN"/>
        </w:rPr>
      </w:pPr>
      <w:r>
        <w:rPr>
          <w:rFonts w:hint="eastAsia" w:ascii="宋体" w:hAnsi="宋体" w:eastAsia="宋体" w:cs="宋体"/>
          <w:bCs/>
          <w:color w:val="auto"/>
          <w:szCs w:val="21"/>
          <w:lang w:val="zh-CN"/>
        </w:rPr>
        <w:t>5.2</w:t>
      </w:r>
      <w:r>
        <w:rPr>
          <w:rFonts w:hint="eastAsia" w:ascii="宋体" w:hAnsi="宋体" w:eastAsia="宋体" w:cs="宋体"/>
          <w:b/>
          <w:bCs/>
          <w:color w:val="auto"/>
          <w:szCs w:val="21"/>
          <w:lang w:val="zh-CN"/>
        </w:rPr>
        <w:tab/>
      </w:r>
      <w:r>
        <w:rPr>
          <w:rFonts w:hint="eastAsia" w:ascii="宋体" w:hAnsi="宋体" w:eastAsia="宋体" w:cs="宋体"/>
          <w:b/>
          <w:bCs/>
          <w:color w:val="auto"/>
          <w:szCs w:val="21"/>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755C508D">
      <w:pPr>
        <w:autoSpaceDE w:val="0"/>
        <w:autoSpaceDN w:val="0"/>
        <w:adjustRightInd w:val="0"/>
        <w:spacing w:line="360" w:lineRule="auto"/>
        <w:ind w:left="356" w:leftChars="-99" w:hanging="564" w:hangingChars="269"/>
        <w:rPr>
          <w:rFonts w:ascii="宋体" w:hAnsi="宋体" w:eastAsia="宋体" w:cs="宋体"/>
          <w:b/>
          <w:bCs/>
          <w:color w:val="auto"/>
          <w:szCs w:val="21"/>
          <w:u w:val="single"/>
        </w:rPr>
      </w:pPr>
      <w:r>
        <w:rPr>
          <w:rFonts w:hint="eastAsia" w:ascii="宋体" w:hAnsi="宋体" w:eastAsia="宋体" w:cs="宋体"/>
          <w:color w:val="auto"/>
          <w:szCs w:val="21"/>
          <w:lang w:val="zh-CN"/>
        </w:rPr>
        <w:t>5.3  本招标文件使用的词语有如下定义：</w:t>
      </w:r>
    </w:p>
    <w:p w14:paraId="718B19AC">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（1）“招标人”指东莞市水务集团管网有限公司；</w:t>
      </w:r>
    </w:p>
    <w:p w14:paraId="0064BD6B">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（2）“招标代理机构”指建成工程咨询股份有限公司；</w:t>
      </w:r>
    </w:p>
    <w:p w14:paraId="33C374EF">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（3）“投标人”指参加东莞市水务集团管网有限公司2025年度机电设备维修定点服务单位采购项目所需的服务的投标，并向招标代理机构提交投标文件的当事人；</w:t>
      </w:r>
    </w:p>
    <w:p w14:paraId="6C69BE1A">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（4）“评标委员会”是依照《中华人民共和国招标投标法》等法规组建的专门负责本次评标工作的临时性机构；</w:t>
      </w:r>
    </w:p>
    <w:p w14:paraId="2FAEEC66">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（5）“中标人”指其投标被招标人接受，并与招标人签订合同的当事人；</w:t>
      </w:r>
    </w:p>
    <w:p w14:paraId="64AFCFC2">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（6）“甲方”指在合同条款中指明的购买服务的单位，即东莞市水务集团管网有限公司（含其下属子公司）；</w:t>
      </w:r>
    </w:p>
    <w:p w14:paraId="47C222FD">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（7）“乙方”指在合同条款中指明的本合同项下提供服务的公司或实体；</w:t>
      </w:r>
    </w:p>
    <w:p w14:paraId="7DC511C2">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（8）“招标文件”指由招标代理机构发出的本招标文件，包括全部章节和附件；</w:t>
      </w:r>
    </w:p>
    <w:p w14:paraId="0C47351E">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（9）“投标文件”指投标人根据本招标文件向招标代理机构提交的全部文件；</w:t>
      </w:r>
    </w:p>
    <w:p w14:paraId="22CD7A45">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（10）“书面函件”指手写、打字或印刷的函件，包括电传、电报和传真；</w:t>
      </w:r>
    </w:p>
    <w:p w14:paraId="3FD86FA6">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（11）“合同”指由本次招标所产生的合同或合约文件；</w:t>
      </w:r>
    </w:p>
    <w:p w14:paraId="6D401130">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（12）“日期”指公历日，“时间”指北京时间；</w:t>
      </w:r>
    </w:p>
    <w:p w14:paraId="4DE04F21">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（13）本招标文件中的“境内”特指中华人民共和国海关关境以内，“境外”特指中华人民共和国海关关境以外；</w:t>
      </w:r>
    </w:p>
    <w:p w14:paraId="31488606">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464A5046">
      <w:pPr>
        <w:autoSpaceDE w:val="0"/>
        <w:autoSpaceDN w:val="0"/>
        <w:adjustRightInd w:val="0"/>
        <w:spacing w:line="360" w:lineRule="auto"/>
        <w:ind w:left="951" w:leftChars="78" w:hanging="787" w:hangingChars="375"/>
        <w:rPr>
          <w:rFonts w:ascii="宋体" w:hAnsi="宋体" w:eastAsia="宋体" w:cs="宋体"/>
          <w:color w:val="auto"/>
          <w:szCs w:val="21"/>
          <w:lang w:val="zh-CN"/>
        </w:rPr>
      </w:pPr>
    </w:p>
    <w:p w14:paraId="2BF65AD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83" w:name="_Toc3727"/>
      <w:bookmarkStart w:id="84" w:name="_Toc29311"/>
      <w:bookmarkStart w:id="85" w:name="_Toc450662855"/>
      <w:bookmarkStart w:id="86" w:name="_Toc11346"/>
      <w:bookmarkStart w:id="87" w:name="_Toc486167669"/>
      <w:bookmarkStart w:id="88" w:name="_Toc29125_WPSOffice_Level3"/>
      <w:bookmarkStart w:id="89" w:name="_Toc142508319"/>
      <w:r>
        <w:rPr>
          <w:rFonts w:hint="eastAsia" w:ascii="宋体" w:hAnsi="宋体" w:eastAsia="宋体" w:cs="宋体"/>
          <w:color w:val="auto"/>
          <w:szCs w:val="21"/>
          <w:lang w:val="zh-CN"/>
        </w:rPr>
        <w:t>6 招标文件的异议</w:t>
      </w:r>
      <w:bookmarkEnd w:id="83"/>
      <w:bookmarkEnd w:id="84"/>
      <w:bookmarkEnd w:id="85"/>
      <w:bookmarkEnd w:id="86"/>
      <w:bookmarkEnd w:id="87"/>
      <w:bookmarkEnd w:id="88"/>
      <w:bookmarkEnd w:id="89"/>
    </w:p>
    <w:p w14:paraId="25076935">
      <w:pPr>
        <w:autoSpaceDE w:val="0"/>
        <w:autoSpaceDN w:val="0"/>
        <w:adjustRightInd w:val="0"/>
        <w:spacing w:line="360" w:lineRule="auto"/>
        <w:ind w:left="288" w:leftChars="137" w:firstLine="420" w:firstLineChars="200"/>
        <w:rPr>
          <w:rFonts w:ascii="宋体" w:hAnsi="宋体" w:eastAsia="宋体" w:cs="宋体"/>
          <w:bCs/>
          <w:color w:val="auto"/>
          <w:szCs w:val="21"/>
          <w:lang w:val="zh-CN"/>
        </w:rPr>
      </w:pPr>
      <w:r>
        <w:rPr>
          <w:rFonts w:hint="eastAsia" w:ascii="宋体" w:hAnsi="宋体" w:eastAsia="宋体" w:cs="宋体"/>
          <w:bCs/>
          <w:color w:val="auto"/>
          <w:szCs w:val="21"/>
          <w:lang w:val="zh-CN"/>
        </w:rPr>
        <w:t>投标人或者其他利害关系人对招标文件有异议的，应当在投标截止时间10日前</w:t>
      </w:r>
      <w:r>
        <w:rPr>
          <w:rFonts w:hint="eastAsia" w:ascii="宋体" w:hAnsi="宋体" w:eastAsia="宋体" w:cs="宋体"/>
          <w:color w:val="auto"/>
          <w:szCs w:val="21"/>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lang w:val="zh-CN"/>
        </w:rPr>
        <w:t>异议</w:t>
      </w:r>
      <w:r>
        <w:rPr>
          <w:rFonts w:hint="eastAsia" w:ascii="宋体" w:hAnsi="宋体" w:eastAsia="宋体" w:cs="宋体"/>
          <w:color w:val="auto"/>
          <w:szCs w:val="21"/>
          <w:lang w:val="zh-CN"/>
        </w:rPr>
        <w:t>书面材料必须加盖投标人法人公章，并注明联系人、联系电话、联系地址。</w:t>
      </w:r>
      <w:r>
        <w:rPr>
          <w:rFonts w:hint="eastAsia" w:ascii="宋体" w:hAnsi="宋体" w:eastAsia="宋体" w:cs="宋体"/>
          <w:bCs/>
          <w:color w:val="auto"/>
          <w:szCs w:val="21"/>
          <w:lang w:val="zh-CN"/>
        </w:rPr>
        <w:t>超出</w:t>
      </w:r>
      <w:r>
        <w:rPr>
          <w:rFonts w:hint="eastAsia" w:ascii="宋体" w:hAnsi="宋体" w:eastAsia="宋体" w:cs="宋体"/>
          <w:color w:val="auto"/>
          <w:szCs w:val="21"/>
          <w:lang w:val="zh-CN"/>
        </w:rPr>
        <w:t>提交接收异议截止时间而</w:t>
      </w:r>
      <w:r>
        <w:rPr>
          <w:rFonts w:hint="eastAsia" w:ascii="宋体" w:hAnsi="宋体" w:eastAsia="宋体" w:cs="宋体"/>
          <w:bCs/>
          <w:color w:val="auto"/>
          <w:szCs w:val="21"/>
          <w:lang w:val="zh-CN"/>
        </w:rPr>
        <w:t>提出的任何疑问，招标代理机构可不予答复。</w:t>
      </w:r>
      <w:r>
        <w:rPr>
          <w:rFonts w:hint="eastAsia" w:ascii="宋体" w:hAnsi="宋体" w:eastAsia="宋体" w:cs="宋体"/>
          <w:b/>
          <w:bCs/>
          <w:color w:val="auto"/>
          <w:szCs w:val="21"/>
          <w:u w:val="single"/>
          <w:lang w:val="zh-CN"/>
        </w:rPr>
        <w:t>投标人必须在投标文件中提供投标承诺书（格式详见第六篇投标文件格式）</w:t>
      </w:r>
      <w:r>
        <w:rPr>
          <w:rFonts w:hint="eastAsia" w:ascii="宋体" w:hAnsi="宋体" w:eastAsia="宋体" w:cs="宋体"/>
          <w:b/>
          <w:bCs/>
          <w:color w:val="auto"/>
          <w:szCs w:val="21"/>
          <w:lang w:val="zh-CN"/>
        </w:rPr>
        <w:t>。</w:t>
      </w:r>
    </w:p>
    <w:p w14:paraId="285BE934">
      <w:pPr>
        <w:autoSpaceDE w:val="0"/>
        <w:autoSpaceDN w:val="0"/>
        <w:adjustRightInd w:val="0"/>
        <w:spacing w:line="360" w:lineRule="auto"/>
        <w:ind w:left="290" w:leftChars="137" w:hanging="2" w:hangingChars="1"/>
        <w:rPr>
          <w:rFonts w:ascii="宋体" w:hAnsi="宋体" w:eastAsia="宋体" w:cs="宋体"/>
          <w:b/>
          <w:bCs/>
          <w:color w:val="auto"/>
          <w:szCs w:val="21"/>
          <w:lang w:val="zh-CN"/>
        </w:rPr>
      </w:pPr>
    </w:p>
    <w:p w14:paraId="690E264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90" w:name="_Toc450662856"/>
      <w:bookmarkStart w:id="91" w:name="_Toc17145"/>
      <w:bookmarkStart w:id="92" w:name="_Toc23483_WPSOffice_Level3"/>
      <w:bookmarkStart w:id="93" w:name="_Toc4212"/>
      <w:bookmarkStart w:id="94" w:name="_Toc29864"/>
      <w:bookmarkStart w:id="95" w:name="_Toc142508320"/>
      <w:bookmarkStart w:id="96" w:name="_Toc486167670"/>
      <w:r>
        <w:rPr>
          <w:rFonts w:hint="eastAsia" w:ascii="宋体" w:hAnsi="宋体" w:eastAsia="宋体" w:cs="宋体"/>
          <w:color w:val="auto"/>
          <w:szCs w:val="21"/>
          <w:lang w:val="zh-CN"/>
        </w:rPr>
        <w:t>7 招标文件的澄清及修改</w:t>
      </w:r>
      <w:bookmarkEnd w:id="90"/>
      <w:bookmarkEnd w:id="91"/>
      <w:bookmarkEnd w:id="92"/>
      <w:bookmarkEnd w:id="93"/>
      <w:bookmarkEnd w:id="94"/>
      <w:bookmarkEnd w:id="95"/>
      <w:bookmarkEnd w:id="96"/>
    </w:p>
    <w:p w14:paraId="5EDFB9C6">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47E6D96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项目特定情况下，招标代理机构必须延长投标截止时间和开标时间时，将在招标文件要求提交投标文件的截止时间前，在招标信息发布媒介上发布变更公告。</w:t>
      </w:r>
    </w:p>
    <w:p w14:paraId="7E2F945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7.3  招标文件的修改、补充通知在</w:t>
      </w:r>
      <w:r>
        <w:rPr>
          <w:rFonts w:hint="eastAsia" w:ascii="宋体" w:hAnsi="宋体" w:eastAsia="宋体" w:cs="宋体"/>
          <w:bCs/>
          <w:color w:val="auto"/>
          <w:szCs w:val="21"/>
        </w:rPr>
        <w:t>广东省公共资源交易平台（ygp.gdzwfw.gov.cn）、</w:t>
      </w:r>
      <w:r>
        <w:rPr>
          <w:rFonts w:hint="eastAsia" w:ascii="宋体" w:hAnsi="宋体" w:eastAsia="宋体" w:cs="宋体"/>
          <w:color w:val="auto"/>
          <w:szCs w:val="21"/>
          <w:lang w:val="zh-CN"/>
        </w:rPr>
        <w:t>中国招标投标公共服务平台</w:t>
      </w:r>
      <w:r>
        <w:rPr>
          <w:rFonts w:hint="eastAsia" w:ascii="宋体" w:hAnsi="宋体" w:eastAsia="宋体" w:cs="宋体"/>
          <w:color w:val="auto"/>
          <w:szCs w:val="21"/>
        </w:rPr>
        <w:t>（</w:t>
      </w:r>
      <w:r>
        <w:rPr>
          <w:color w:val="auto"/>
        </w:rPr>
        <w:fldChar w:fldCharType="begin"/>
      </w:r>
      <w:r>
        <w:rPr>
          <w:color w:val="auto"/>
        </w:rPr>
        <w:instrText xml:space="preserve"> HYPERLINK "http://www.cebpubservice.com）、广东省招标投标监管" </w:instrText>
      </w:r>
      <w:r>
        <w:rPr>
          <w:color w:val="auto"/>
        </w:rPr>
        <w:fldChar w:fldCharType="separate"/>
      </w:r>
      <w:r>
        <w:rPr>
          <w:rFonts w:hint="eastAsia" w:ascii="宋体" w:hAnsi="宋体" w:eastAsia="宋体" w:cs="宋体"/>
          <w:color w:val="auto"/>
          <w:szCs w:val="21"/>
        </w:rPr>
        <w:t>www.cebpubservice.com）</w:t>
      </w:r>
      <w:r>
        <w:rPr>
          <w:rFonts w:hint="eastAsia" w:ascii="宋体" w:hAnsi="宋体" w:eastAsia="宋体" w:cs="宋体"/>
          <w:color w:val="auto"/>
          <w:szCs w:val="21"/>
          <w:lang w:val="zh-CN"/>
        </w:rPr>
        <w:t>、</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东莞市水务集团有限公司网</w:t>
      </w:r>
      <w:r>
        <w:rPr>
          <w:rFonts w:hint="eastAsia" w:ascii="宋体" w:hAnsi="宋体" w:eastAsia="宋体" w:cs="宋体"/>
          <w:color w:val="auto"/>
          <w:szCs w:val="21"/>
        </w:rPr>
        <w:t>（</w:t>
      </w:r>
      <w:r>
        <w:rPr>
          <w:color w:val="auto"/>
        </w:rPr>
        <w:fldChar w:fldCharType="begin"/>
      </w:r>
      <w:r>
        <w:rPr>
          <w:color w:val="auto"/>
        </w:rPr>
        <w:instrText xml:space="preserve"> HYPERLINK "www.dgswjt.cn）、招标代理公司网站（http://%20%20%20%20%20%20%20%20%20%20%20%20%20%20）" </w:instrText>
      </w:r>
      <w:r>
        <w:rPr>
          <w:color w:val="auto"/>
        </w:rPr>
        <w:fldChar w:fldCharType="separate"/>
      </w:r>
      <w:r>
        <w:rPr>
          <w:rStyle w:val="43"/>
          <w:rFonts w:hint="eastAsia" w:ascii="宋体" w:hAnsi="宋体" w:eastAsia="宋体" w:cs="宋体"/>
          <w:color w:val="auto"/>
          <w:sz w:val="21"/>
          <w:szCs w:val="21"/>
        </w:rPr>
        <w:t>www.dgswjt.cn）</w:t>
      </w:r>
      <w:r>
        <w:rPr>
          <w:rStyle w:val="43"/>
          <w:rFonts w:hint="eastAsia" w:ascii="宋体" w:hAnsi="宋体" w:eastAsia="宋体" w:cs="宋体"/>
          <w:color w:val="auto"/>
          <w:sz w:val="21"/>
          <w:szCs w:val="21"/>
          <w:lang w:val="zh-CN"/>
        </w:rPr>
        <w:t>、</w:t>
      </w:r>
      <w:r>
        <w:rPr>
          <w:rStyle w:val="43"/>
          <w:rFonts w:hint="eastAsia" w:ascii="宋体" w:hAnsi="宋体" w:eastAsia="宋体" w:cs="宋体"/>
          <w:bCs/>
          <w:color w:val="auto"/>
          <w:kern w:val="0"/>
          <w:sz w:val="21"/>
          <w:szCs w:val="21"/>
        </w:rPr>
        <w:t>招标代理机构网站（www.gzjc.com.cn）</w:t>
      </w:r>
      <w:r>
        <w:rPr>
          <w:rStyle w:val="43"/>
          <w:rFonts w:hint="eastAsia" w:ascii="宋体" w:hAnsi="宋体" w:eastAsia="宋体" w:cs="宋体"/>
          <w:bCs/>
          <w:color w:val="auto"/>
          <w:kern w:val="0"/>
          <w:sz w:val="21"/>
          <w:szCs w:val="21"/>
        </w:rPr>
        <w:fldChar w:fldCharType="end"/>
      </w:r>
      <w:r>
        <w:rPr>
          <w:rFonts w:hint="eastAsia" w:ascii="宋体" w:hAnsi="宋体" w:eastAsia="宋体" w:cs="宋体"/>
          <w:color w:val="auto"/>
          <w:szCs w:val="21"/>
          <w:lang w:val="zh-CN"/>
        </w:rPr>
        <w:t>公布，请各投标人密切留意。</w:t>
      </w:r>
    </w:p>
    <w:p w14:paraId="025ACFD6">
      <w:pPr>
        <w:autoSpaceDE w:val="0"/>
        <w:autoSpaceDN w:val="0"/>
        <w:adjustRightInd w:val="0"/>
        <w:spacing w:line="360" w:lineRule="auto"/>
        <w:ind w:left="357" w:leftChars="-100" w:hanging="567"/>
        <w:rPr>
          <w:rFonts w:ascii="宋体" w:hAnsi="宋体" w:eastAsia="宋体" w:cs="宋体"/>
          <w:color w:val="auto"/>
          <w:szCs w:val="21"/>
        </w:rPr>
      </w:pPr>
    </w:p>
    <w:p w14:paraId="70E3EC87">
      <w:pPr>
        <w:keepNext/>
        <w:keepLines/>
        <w:tabs>
          <w:tab w:val="left" w:pos="509"/>
        </w:tab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97" w:name="_Toc29659_WPSOffice_Level2"/>
      <w:bookmarkStart w:id="98" w:name="_Toc486167671"/>
      <w:bookmarkStart w:id="99" w:name="_Toc140596880"/>
      <w:bookmarkStart w:id="100" w:name="_Toc142508321"/>
      <w:bookmarkStart w:id="101" w:name="_Toc450662857"/>
      <w:bookmarkStart w:id="102" w:name="_Toc18029"/>
      <w:bookmarkStart w:id="103" w:name="_Toc23342"/>
      <w:bookmarkStart w:id="104" w:name="_Toc8711"/>
      <w:r>
        <w:rPr>
          <w:rFonts w:hint="eastAsia" w:ascii="宋体" w:hAnsi="宋体" w:eastAsia="宋体" w:cs="宋体"/>
          <w:b/>
          <w:bCs/>
          <w:color w:val="auto"/>
          <w:kern w:val="44"/>
          <w:szCs w:val="21"/>
          <w:lang w:val="zh-CN"/>
        </w:rPr>
        <w:t>三、投标文件的编制</w:t>
      </w:r>
      <w:bookmarkEnd w:id="97"/>
      <w:bookmarkEnd w:id="98"/>
      <w:bookmarkEnd w:id="99"/>
      <w:bookmarkEnd w:id="100"/>
      <w:bookmarkEnd w:id="101"/>
      <w:bookmarkEnd w:id="102"/>
      <w:bookmarkEnd w:id="103"/>
      <w:bookmarkEnd w:id="104"/>
    </w:p>
    <w:p w14:paraId="72F5E231">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05" w:name="_Toc10015_WPSOffice_Level3"/>
      <w:bookmarkStart w:id="106" w:name="_Toc450662858"/>
      <w:bookmarkStart w:id="107" w:name="_Toc486167672"/>
      <w:bookmarkStart w:id="108" w:name="_Toc142508322"/>
      <w:bookmarkStart w:id="109" w:name="_Toc23781"/>
      <w:bookmarkStart w:id="110" w:name="_Toc31162"/>
      <w:bookmarkStart w:id="111" w:name="_Toc6244"/>
      <w:r>
        <w:rPr>
          <w:rFonts w:hint="eastAsia" w:ascii="宋体" w:hAnsi="宋体" w:eastAsia="宋体" w:cs="宋体"/>
          <w:color w:val="auto"/>
          <w:szCs w:val="21"/>
          <w:lang w:val="zh-CN"/>
        </w:rPr>
        <w:t>8 投标使用的文字及度量衡单位</w:t>
      </w:r>
      <w:bookmarkEnd w:id="105"/>
      <w:bookmarkEnd w:id="106"/>
      <w:bookmarkEnd w:id="107"/>
      <w:bookmarkEnd w:id="108"/>
      <w:bookmarkEnd w:id="109"/>
      <w:bookmarkEnd w:id="110"/>
      <w:bookmarkEnd w:id="111"/>
    </w:p>
    <w:p w14:paraId="5DF358FA">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8.1  投标人的投标文件以及投标人与招标代理机构就有关投标的所有往来函电均应使用简体中文。</w:t>
      </w:r>
    </w:p>
    <w:p w14:paraId="5BA94D4E">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8.2  投标文件使用的度量衡单位采用中华人民共和国法定计量单位。</w:t>
      </w:r>
    </w:p>
    <w:p w14:paraId="0907850D">
      <w:pPr>
        <w:autoSpaceDE w:val="0"/>
        <w:autoSpaceDN w:val="0"/>
        <w:adjustRightInd w:val="0"/>
        <w:spacing w:line="360" w:lineRule="auto"/>
        <w:rPr>
          <w:rFonts w:ascii="宋体" w:hAnsi="宋体" w:eastAsia="宋体" w:cs="宋体"/>
          <w:color w:val="auto"/>
          <w:szCs w:val="21"/>
          <w:lang w:val="zh-CN"/>
        </w:rPr>
      </w:pPr>
    </w:p>
    <w:p w14:paraId="008803CA">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lang w:val="zh-CN"/>
        </w:rPr>
      </w:pPr>
      <w:bookmarkStart w:id="112" w:name="_Toc14943"/>
      <w:bookmarkStart w:id="113" w:name="_Toc450662859"/>
      <w:bookmarkStart w:id="114" w:name="_Toc7348"/>
      <w:bookmarkStart w:id="115" w:name="_Toc24916_WPSOffice_Level3"/>
      <w:bookmarkStart w:id="116" w:name="_Toc486167673"/>
      <w:bookmarkStart w:id="117" w:name="_Toc142508323"/>
      <w:bookmarkStart w:id="118" w:name="_Toc30848"/>
      <w:r>
        <w:rPr>
          <w:rFonts w:hint="eastAsia" w:ascii="宋体" w:hAnsi="宋体" w:eastAsia="宋体" w:cs="宋体"/>
          <w:color w:val="auto"/>
          <w:szCs w:val="21"/>
          <w:lang w:val="zh-CN"/>
        </w:rPr>
        <w:t>9</w:t>
      </w:r>
      <w:r>
        <w:rPr>
          <w:rFonts w:hint="eastAsia" w:ascii="宋体" w:hAnsi="宋体" w:eastAsia="宋体" w:cs="宋体"/>
          <w:color w:val="auto"/>
          <w:sz w:val="24"/>
          <w:szCs w:val="24"/>
          <w:lang w:val="zh-CN"/>
        </w:rPr>
        <w:t xml:space="preserve"> </w:t>
      </w:r>
      <w:r>
        <w:rPr>
          <w:rFonts w:hint="eastAsia" w:ascii="宋体" w:hAnsi="宋体" w:eastAsia="宋体" w:cs="宋体"/>
          <w:color w:val="auto"/>
          <w:szCs w:val="21"/>
          <w:lang w:val="zh-CN"/>
        </w:rPr>
        <w:t>投标文件的组成</w:t>
      </w:r>
      <w:bookmarkEnd w:id="112"/>
      <w:bookmarkEnd w:id="113"/>
      <w:bookmarkEnd w:id="114"/>
      <w:bookmarkEnd w:id="115"/>
      <w:bookmarkEnd w:id="116"/>
      <w:bookmarkEnd w:id="117"/>
      <w:bookmarkEnd w:id="118"/>
    </w:p>
    <w:p w14:paraId="7D061B78">
      <w:pPr>
        <w:autoSpaceDE w:val="0"/>
        <w:autoSpaceDN w:val="0"/>
        <w:adjustRightInd w:val="0"/>
        <w:spacing w:line="360" w:lineRule="auto"/>
        <w:ind w:left="422" w:leftChars="-100" w:hanging="632" w:hangingChars="300"/>
        <w:rPr>
          <w:rFonts w:ascii="宋体" w:hAnsi="宋体" w:eastAsia="宋体" w:cs="宋体"/>
          <w:b/>
          <w:color w:val="auto"/>
          <w:kern w:val="0"/>
          <w:szCs w:val="21"/>
        </w:rPr>
      </w:pPr>
      <w:r>
        <w:rPr>
          <w:rFonts w:hint="eastAsia" w:ascii="宋体" w:hAnsi="宋体" w:eastAsia="宋体" w:cs="宋体"/>
          <w:b/>
          <w:color w:val="auto"/>
          <w:kern w:val="0"/>
          <w:szCs w:val="24"/>
        </w:rPr>
        <w:t xml:space="preserve">9.1  </w:t>
      </w:r>
      <w:r>
        <w:rPr>
          <w:rFonts w:hint="eastAsia" w:ascii="宋体" w:hAnsi="宋体" w:eastAsia="宋体" w:cs="宋体"/>
          <w:color w:val="auto"/>
          <w:kern w:val="0"/>
          <w:szCs w:val="24"/>
        </w:rPr>
        <w:t>投标文件的组成：</w:t>
      </w:r>
      <w:r>
        <w:rPr>
          <w:rFonts w:hint="eastAsia" w:ascii="宋体" w:hAnsi="宋体" w:eastAsia="宋体" w:cs="宋体"/>
          <w:b/>
          <w:color w:val="auto"/>
          <w:kern w:val="0"/>
          <w:szCs w:val="21"/>
          <w:u w:val="single"/>
        </w:rPr>
        <w:t>商务文件、技术文件由投标人根据各自文件的实际情况决定是否分册装订，招标文件不做限制</w:t>
      </w:r>
      <w:r>
        <w:rPr>
          <w:rFonts w:hint="eastAsia" w:ascii="宋体" w:hAnsi="宋体" w:eastAsia="宋体" w:cs="宋体"/>
          <w:b/>
          <w:color w:val="auto"/>
          <w:kern w:val="0"/>
          <w:szCs w:val="21"/>
        </w:rPr>
        <w:t>。</w:t>
      </w:r>
    </w:p>
    <w:p w14:paraId="6E58C88C">
      <w:pPr>
        <w:autoSpaceDE w:val="0"/>
        <w:autoSpaceDN w:val="0"/>
        <w:adjustRightInd w:val="0"/>
        <w:spacing w:line="360" w:lineRule="auto"/>
        <w:ind w:left="422" w:leftChars="-100" w:hanging="632" w:hangingChars="300"/>
        <w:rPr>
          <w:rFonts w:ascii="宋体" w:hAnsi="宋体" w:eastAsia="宋体" w:cs="宋体"/>
          <w:b/>
          <w:color w:val="auto"/>
          <w:kern w:val="0"/>
          <w:szCs w:val="21"/>
        </w:rPr>
      </w:pPr>
      <w:r>
        <w:rPr>
          <w:rFonts w:hint="eastAsia" w:ascii="宋体" w:hAnsi="宋体" w:eastAsia="宋体" w:cs="宋体"/>
          <w:b/>
          <w:color w:val="auto"/>
          <w:kern w:val="0"/>
          <w:szCs w:val="24"/>
        </w:rPr>
        <w:t>9.1.1 商务文件：</w:t>
      </w:r>
    </w:p>
    <w:p w14:paraId="5F129546">
      <w:pPr>
        <w:autoSpaceDE w:val="0"/>
        <w:autoSpaceDN w:val="0"/>
        <w:adjustRightInd w:val="0"/>
        <w:spacing w:line="360" w:lineRule="auto"/>
        <w:ind w:left="438" w:hanging="648"/>
        <w:jc w:val="left"/>
        <w:rPr>
          <w:rFonts w:ascii="宋体" w:hAnsi="宋体" w:eastAsia="宋体" w:cs="宋体"/>
          <w:b/>
          <w:color w:val="auto"/>
          <w:kern w:val="0"/>
          <w:szCs w:val="21"/>
          <w:lang w:val="zh-CN"/>
        </w:rPr>
      </w:pPr>
      <w:r>
        <w:rPr>
          <w:rFonts w:hint="eastAsia" w:ascii="宋体" w:hAnsi="宋体" w:eastAsia="宋体" w:cs="宋体"/>
          <w:color w:val="auto"/>
          <w:kern w:val="0"/>
          <w:sz w:val="24"/>
          <w:szCs w:val="24"/>
          <w:lang w:val="zh-CN"/>
        </w:rPr>
        <w:t xml:space="preserve">   </w:t>
      </w:r>
      <w:r>
        <w:rPr>
          <w:rFonts w:hint="eastAsia" w:ascii="宋体" w:hAnsi="宋体" w:eastAsia="宋体" w:cs="宋体"/>
          <w:b/>
          <w:color w:val="auto"/>
          <w:kern w:val="0"/>
          <w:szCs w:val="21"/>
          <w:lang w:val="zh-CN"/>
        </w:rPr>
        <w:t>目录：</w:t>
      </w:r>
    </w:p>
    <w:p w14:paraId="66F5865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（1）投标函；</w:t>
      </w:r>
    </w:p>
    <w:p w14:paraId="7430286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（2）投标承诺书；</w:t>
      </w:r>
    </w:p>
    <w:p w14:paraId="768BAF7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（3）供货及/或提供服务过程承诺函；</w:t>
      </w:r>
    </w:p>
    <w:p w14:paraId="67D8632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）投标报价响应表；</w:t>
      </w:r>
    </w:p>
    <w:p w14:paraId="73604B5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5</w:t>
      </w:r>
      <w:r>
        <w:rPr>
          <w:rFonts w:hint="eastAsia" w:ascii="宋体" w:hAnsi="宋体" w:eastAsia="宋体" w:cs="宋体"/>
          <w:color w:val="auto"/>
          <w:szCs w:val="21"/>
          <w:lang w:val="zh-CN"/>
        </w:rPr>
        <w:t>）投标人资格证明文件：</w:t>
      </w:r>
    </w:p>
    <w:p w14:paraId="5037650E">
      <w:pPr>
        <w:autoSpaceDE w:val="0"/>
        <w:autoSpaceDN w:val="0"/>
        <w:adjustRightInd w:val="0"/>
        <w:spacing w:line="360" w:lineRule="auto"/>
        <w:ind w:left="283" w:hanging="283" w:hangingChars="135"/>
        <w:rPr>
          <w:rFonts w:ascii="宋体" w:hAnsi="宋体" w:eastAsia="宋体" w:cs="宋体"/>
          <w:color w:val="auto"/>
          <w:szCs w:val="21"/>
          <w:lang w:val="zh-CN"/>
        </w:rPr>
      </w:pPr>
      <w:r>
        <w:rPr>
          <w:rFonts w:hint="eastAsia" w:ascii="宋体" w:hAnsi="宋体" w:eastAsia="宋体" w:cs="宋体"/>
          <w:color w:val="auto"/>
          <w:szCs w:val="21"/>
          <w:lang w:val="zh-CN"/>
        </w:rPr>
        <w:t>1）多证合一营业执照</w:t>
      </w:r>
      <w:r>
        <w:rPr>
          <w:rFonts w:hint="eastAsia" w:ascii="宋体" w:hAnsi="宋体" w:eastAsia="宋体" w:cs="宋体"/>
          <w:color w:val="auto"/>
          <w:kern w:val="0"/>
          <w:szCs w:val="21"/>
        </w:rPr>
        <w:t>（或事业单位法人证书）</w:t>
      </w:r>
      <w:r>
        <w:rPr>
          <w:rFonts w:hint="eastAsia" w:ascii="宋体" w:hAnsi="宋体" w:eastAsia="宋体" w:cs="宋体"/>
          <w:color w:val="auto"/>
          <w:szCs w:val="21"/>
          <w:lang w:val="zh-CN"/>
        </w:rPr>
        <w:t>复印件；</w:t>
      </w:r>
    </w:p>
    <w:p w14:paraId="782CAE1D">
      <w:pPr>
        <w:autoSpaceDE w:val="0"/>
        <w:autoSpaceDN w:val="0"/>
        <w:adjustRightInd w:val="0"/>
        <w:spacing w:line="360" w:lineRule="auto"/>
        <w:ind w:left="283" w:hanging="283" w:hangingChars="135"/>
        <w:rPr>
          <w:rFonts w:ascii="宋体" w:hAnsi="宋体" w:eastAsia="宋体" w:cs="宋体"/>
          <w:color w:val="auto"/>
          <w:szCs w:val="21"/>
          <w:lang w:val="zh-CN"/>
        </w:rPr>
      </w:pPr>
      <w:r>
        <w:rPr>
          <w:rFonts w:hint="eastAsia" w:ascii="宋体" w:hAnsi="宋体" w:eastAsia="宋体" w:cs="宋体"/>
          <w:color w:val="auto"/>
          <w:szCs w:val="21"/>
        </w:rPr>
        <w:t>2</w:t>
      </w:r>
      <w:r>
        <w:rPr>
          <w:rFonts w:hint="eastAsia" w:ascii="宋体" w:hAnsi="宋体" w:eastAsia="宋体" w:cs="宋体"/>
          <w:color w:val="auto"/>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65207B2E">
      <w:pPr>
        <w:autoSpaceDE w:val="0"/>
        <w:autoSpaceDN w:val="0"/>
        <w:adjustRightInd w:val="0"/>
        <w:spacing w:line="360" w:lineRule="auto"/>
        <w:ind w:left="283" w:hanging="283" w:hangingChars="135"/>
        <w:rPr>
          <w:rFonts w:ascii="宋体" w:hAnsi="宋体" w:eastAsia="宋体" w:cs="宋体"/>
          <w:color w:val="auto"/>
          <w:szCs w:val="21"/>
          <w:lang w:val="zh-CN"/>
        </w:rPr>
      </w:pPr>
      <w:r>
        <w:rPr>
          <w:rFonts w:hint="eastAsia" w:ascii="宋体" w:hAnsi="宋体" w:eastAsia="宋体" w:cs="宋体"/>
          <w:color w:val="auto"/>
          <w:szCs w:val="21"/>
        </w:rPr>
        <w:t>3</w:t>
      </w:r>
      <w:r>
        <w:rPr>
          <w:rFonts w:hint="eastAsia" w:ascii="宋体" w:hAnsi="宋体" w:eastAsia="宋体" w:cs="宋体"/>
          <w:color w:val="auto"/>
          <w:szCs w:val="21"/>
          <w:lang w:val="zh-CN"/>
        </w:rPr>
        <w:t>）法定代表人身份证明书和法定代表人授权书原件（法定代表人投标时只提供法定代表人身份证明书，委托</w:t>
      </w:r>
      <w:r>
        <w:rPr>
          <w:rFonts w:hint="eastAsia" w:ascii="宋体" w:hAnsi="宋体" w:eastAsia="宋体" w:cs="宋体"/>
          <w:color w:val="auto"/>
          <w:szCs w:val="21"/>
        </w:rPr>
        <w:t>他人</w:t>
      </w:r>
      <w:r>
        <w:rPr>
          <w:rFonts w:hint="eastAsia" w:ascii="宋体" w:hAnsi="宋体" w:eastAsia="宋体" w:cs="宋体"/>
          <w:color w:val="auto"/>
          <w:szCs w:val="21"/>
          <w:lang w:val="zh-CN"/>
        </w:rPr>
        <w:t>为投标代表时同时提供法定代表人授权书）；</w:t>
      </w:r>
    </w:p>
    <w:p w14:paraId="2A227C3D">
      <w:pPr>
        <w:autoSpaceDE w:val="0"/>
        <w:autoSpaceDN w:val="0"/>
        <w:adjustRightInd w:val="0"/>
        <w:spacing w:line="360" w:lineRule="auto"/>
        <w:ind w:left="283" w:hanging="283" w:hangingChars="135"/>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zh-CN"/>
        </w:rPr>
        <w:t>）具有建设行政主管部门核发的且在有效期内的建筑机电工程专业承包乙级（或以上）资质证书或机电工程施工总承包乙级（或以上）资质证书【或更换资质证书前有效期内：建筑机电安装工程专业承包三级（或以上）资质证书或机电工程施工总承包三级（或以上）资质证书】</w:t>
      </w:r>
      <w:r>
        <w:rPr>
          <w:rFonts w:hint="eastAsia" w:ascii="宋体" w:hAnsi="宋体" w:eastAsia="宋体" w:cs="宋体"/>
          <w:color w:val="auto"/>
          <w:szCs w:val="21"/>
        </w:rPr>
        <w:t>；</w:t>
      </w:r>
    </w:p>
    <w:p w14:paraId="0804F28D">
      <w:pPr>
        <w:autoSpaceDE w:val="0"/>
        <w:autoSpaceDN w:val="0"/>
        <w:adjustRightInd w:val="0"/>
        <w:spacing w:line="360" w:lineRule="auto"/>
        <w:ind w:left="283" w:hanging="283" w:hangingChars="135"/>
        <w:rPr>
          <w:rFonts w:ascii="宋体" w:hAnsi="宋体" w:eastAsia="宋体" w:cs="宋体"/>
          <w:color w:val="auto"/>
          <w:szCs w:val="21"/>
          <w:lang w:val="zh-CN"/>
        </w:rPr>
      </w:pPr>
      <w:r>
        <w:rPr>
          <w:rFonts w:hint="eastAsia" w:ascii="宋体" w:hAnsi="宋体" w:eastAsia="宋体" w:cs="宋体"/>
          <w:color w:val="auto"/>
          <w:szCs w:val="21"/>
        </w:rPr>
        <w:t>5）</w:t>
      </w:r>
      <w:r>
        <w:rPr>
          <w:rFonts w:hint="eastAsia" w:ascii="宋体" w:hAnsi="宋体" w:eastAsia="宋体" w:cs="宋体"/>
          <w:color w:val="auto"/>
          <w:szCs w:val="21"/>
          <w:lang w:val="zh-CN"/>
        </w:rPr>
        <w:t>建设行政主管部门核发的且在有效期内的安全生产许可证证书复印件；</w:t>
      </w:r>
    </w:p>
    <w:p w14:paraId="40D9BC27">
      <w:pPr>
        <w:autoSpaceDE w:val="0"/>
        <w:autoSpaceDN w:val="0"/>
        <w:adjustRightInd w:val="0"/>
        <w:spacing w:line="360" w:lineRule="auto"/>
        <w:ind w:left="283" w:hanging="283" w:hangingChars="135"/>
        <w:rPr>
          <w:rFonts w:ascii="宋体" w:hAnsi="宋体" w:eastAsia="宋体" w:cs="宋体"/>
          <w:color w:val="auto"/>
          <w:szCs w:val="21"/>
        </w:rPr>
      </w:pPr>
      <w:r>
        <w:rPr>
          <w:rFonts w:hint="eastAsia" w:ascii="宋体" w:hAnsi="宋体" w:eastAsia="宋体" w:cs="宋体"/>
          <w:color w:val="auto"/>
          <w:szCs w:val="21"/>
        </w:rPr>
        <w:t>6）资格业绩：2021年1月1日（以合同签订时间为准）至今，至少承接过1项已完成排水泵站或排涝泵站或污水厂设备维修（或重置或改造）或机电设备安装项目业绩），资格业绩证明材料提交要求详见招标文件第六篇投标文件格式</w:t>
      </w:r>
      <w:r>
        <w:rPr>
          <w:rFonts w:hint="eastAsia" w:ascii="宋体" w:hAnsi="宋体" w:eastAsia="宋体" w:cs="宋体"/>
          <w:color w:val="auto"/>
          <w:szCs w:val="21"/>
          <w:u w:val="single"/>
        </w:rPr>
        <w:t>5.6</w:t>
      </w:r>
      <w:r>
        <w:rPr>
          <w:rFonts w:hint="eastAsia" w:ascii="宋体" w:hAnsi="宋体" w:eastAsia="宋体" w:cs="宋体"/>
          <w:color w:val="auto"/>
          <w:szCs w:val="21"/>
        </w:rPr>
        <w:t>；</w:t>
      </w:r>
    </w:p>
    <w:p w14:paraId="7C13EF18">
      <w:pPr>
        <w:autoSpaceDE w:val="0"/>
        <w:autoSpaceDN w:val="0"/>
        <w:adjustRightInd w:val="0"/>
        <w:spacing w:line="360" w:lineRule="auto"/>
        <w:ind w:left="913" w:hanging="913" w:hangingChars="435"/>
        <w:rPr>
          <w:rFonts w:ascii="宋体" w:hAnsi="宋体" w:eastAsia="宋体" w:cs="宋体"/>
          <w:color w:val="auto"/>
          <w:szCs w:val="21"/>
          <w:lang w:val="zh-CN"/>
        </w:rPr>
      </w:pPr>
      <w:r>
        <w:rPr>
          <w:rFonts w:hint="eastAsia" w:ascii="宋体" w:hAnsi="宋体" w:eastAsia="宋体" w:cs="宋体"/>
          <w:color w:val="auto"/>
          <w:szCs w:val="21"/>
        </w:rPr>
        <w:t>7）</w:t>
      </w:r>
      <w:r>
        <w:rPr>
          <w:rFonts w:hint="eastAsia" w:ascii="宋体" w:hAnsi="宋体" w:eastAsia="宋体" w:cs="宋体"/>
          <w:color w:val="auto"/>
          <w:szCs w:val="21"/>
          <w:lang w:val="zh-CN"/>
        </w:rPr>
        <w:t>最近3年投标人牵涉的其他（失信和违法）</w:t>
      </w:r>
      <w:r>
        <w:rPr>
          <w:rFonts w:hint="eastAsia" w:ascii="宋体" w:hAnsi="宋体" w:eastAsia="宋体" w:cs="宋体"/>
          <w:color w:val="auto"/>
          <w:kern w:val="0"/>
          <w:szCs w:val="21"/>
        </w:rPr>
        <w:t>处罚说明</w:t>
      </w:r>
      <w:r>
        <w:rPr>
          <w:rFonts w:hint="eastAsia" w:ascii="宋体" w:hAnsi="宋体" w:eastAsia="宋体" w:cs="宋体"/>
          <w:color w:val="auto"/>
          <w:szCs w:val="21"/>
          <w:lang w:val="zh-CN"/>
        </w:rPr>
        <w:t>；</w:t>
      </w:r>
    </w:p>
    <w:p w14:paraId="23C85E2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6</w:t>
      </w:r>
      <w:r>
        <w:rPr>
          <w:rFonts w:hint="eastAsia" w:ascii="宋体" w:hAnsi="宋体" w:eastAsia="宋体" w:cs="宋体"/>
          <w:color w:val="auto"/>
          <w:szCs w:val="21"/>
          <w:lang w:val="zh-CN"/>
        </w:rPr>
        <w:t>）投标人基本情况一览表；</w:t>
      </w:r>
    </w:p>
    <w:p w14:paraId="58D0264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7</w:t>
      </w:r>
      <w:r>
        <w:rPr>
          <w:rFonts w:hint="eastAsia" w:ascii="宋体" w:hAnsi="宋体" w:eastAsia="宋体" w:cs="宋体"/>
          <w:color w:val="auto"/>
          <w:szCs w:val="21"/>
          <w:lang w:val="zh-CN"/>
        </w:rPr>
        <w:t>）投标人财务状况表；</w:t>
      </w:r>
    </w:p>
    <w:p w14:paraId="44594929">
      <w:pPr>
        <w:tabs>
          <w:tab w:val="left" w:pos="567"/>
        </w:tabs>
        <w:autoSpaceDE w:val="0"/>
        <w:autoSpaceDN w:val="0"/>
        <w:adjustRightInd w:val="0"/>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（8）标准化体系认证；</w:t>
      </w:r>
    </w:p>
    <w:p w14:paraId="30587BC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9</w:t>
      </w:r>
      <w:r>
        <w:rPr>
          <w:rFonts w:hint="eastAsia" w:ascii="宋体" w:hAnsi="宋体" w:eastAsia="宋体" w:cs="宋体"/>
          <w:color w:val="auto"/>
          <w:szCs w:val="21"/>
          <w:lang w:val="zh-CN"/>
        </w:rPr>
        <w:t>）</w:t>
      </w:r>
      <w:r>
        <w:rPr>
          <w:rFonts w:hint="eastAsia" w:ascii="宋体" w:hAnsi="宋体" w:eastAsia="宋体" w:cs="宋体"/>
          <w:color w:val="auto"/>
          <w:kern w:val="0"/>
          <w:szCs w:val="21"/>
        </w:rPr>
        <w:t>合同条款响应程度（合同条款偏离表）；</w:t>
      </w:r>
    </w:p>
    <w:p w14:paraId="4D91E2A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10</w:t>
      </w:r>
      <w:r>
        <w:rPr>
          <w:rFonts w:hint="eastAsia" w:ascii="宋体" w:hAnsi="宋体" w:eastAsia="宋体" w:cs="宋体"/>
          <w:color w:val="auto"/>
          <w:szCs w:val="21"/>
          <w:lang w:val="zh-CN"/>
        </w:rPr>
        <w:t>）业绩表；</w:t>
      </w:r>
    </w:p>
    <w:p w14:paraId="70B1EF1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11</w:t>
      </w:r>
      <w:r>
        <w:rPr>
          <w:rFonts w:hint="eastAsia" w:ascii="宋体" w:hAnsi="宋体" w:eastAsia="宋体" w:cs="宋体"/>
          <w:color w:val="auto"/>
          <w:szCs w:val="21"/>
          <w:lang w:val="zh-CN"/>
        </w:rPr>
        <w:t>）投标保证金汇入情况说明；</w:t>
      </w:r>
    </w:p>
    <w:p w14:paraId="752D78C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12</w:t>
      </w:r>
      <w:r>
        <w:rPr>
          <w:rFonts w:hint="eastAsia" w:ascii="宋体" w:hAnsi="宋体" w:eastAsia="宋体" w:cs="宋体"/>
          <w:color w:val="auto"/>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6C7F5237">
      <w:pPr>
        <w:autoSpaceDE w:val="0"/>
        <w:autoSpaceDN w:val="0"/>
        <w:adjustRightInd w:val="0"/>
        <w:spacing w:line="360" w:lineRule="auto"/>
        <w:ind w:left="422" w:leftChars="-100" w:hanging="632" w:hangingChars="300"/>
        <w:rPr>
          <w:rFonts w:ascii="宋体" w:hAnsi="宋体" w:eastAsia="宋体" w:cs="宋体"/>
          <w:b/>
          <w:color w:val="auto"/>
          <w:kern w:val="0"/>
          <w:szCs w:val="24"/>
        </w:rPr>
      </w:pPr>
      <w:r>
        <w:rPr>
          <w:rFonts w:hint="eastAsia" w:ascii="宋体" w:hAnsi="宋体" w:eastAsia="宋体" w:cs="宋体"/>
          <w:b/>
          <w:color w:val="auto"/>
          <w:kern w:val="0"/>
          <w:szCs w:val="24"/>
        </w:rPr>
        <w:t>9.1.2 技术文件：</w:t>
      </w:r>
    </w:p>
    <w:p w14:paraId="6B8205C8">
      <w:pPr>
        <w:autoSpaceDE w:val="0"/>
        <w:autoSpaceDN w:val="0"/>
        <w:adjustRightInd w:val="0"/>
        <w:spacing w:line="360" w:lineRule="auto"/>
        <w:ind w:left="359" w:right="-23" w:rightChars="-11" w:hanging="569"/>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 xml:space="preserve">    目录：</w:t>
      </w:r>
    </w:p>
    <w:p w14:paraId="7624C8F5">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（1）用户需求响应程度（格式见附件13-1 用户需求偏离表格式）；</w:t>
      </w:r>
    </w:p>
    <w:p w14:paraId="7C3E5038">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szCs w:val="21"/>
        </w:rPr>
        <w:t>人员配置方案</w:t>
      </w:r>
      <w:r>
        <w:rPr>
          <w:rFonts w:hint="eastAsia" w:ascii="宋体" w:hAnsi="宋体" w:eastAsia="宋体" w:cs="宋体"/>
          <w:color w:val="auto"/>
          <w:kern w:val="0"/>
          <w:szCs w:val="21"/>
        </w:rPr>
        <w:t>（格式见附件13-2 人员配置方案格式）；</w:t>
      </w:r>
    </w:p>
    <w:p w14:paraId="7D985FDD">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szCs w:val="21"/>
        </w:rPr>
        <w:t>总体实施方案（投标人自行编写）</w:t>
      </w:r>
      <w:r>
        <w:rPr>
          <w:rFonts w:hint="eastAsia" w:ascii="宋体" w:hAnsi="宋体" w:eastAsia="宋体" w:cs="宋体"/>
          <w:color w:val="auto"/>
          <w:kern w:val="0"/>
          <w:szCs w:val="21"/>
          <w:lang w:val="zh-CN"/>
        </w:rPr>
        <w:t>；</w:t>
      </w:r>
    </w:p>
    <w:p w14:paraId="59A2944D">
      <w:pPr>
        <w:autoSpaceDE w:val="0"/>
        <w:autoSpaceDN w:val="0"/>
        <w:adjustRightInd w:val="0"/>
        <w:spacing w:line="360" w:lineRule="auto"/>
        <w:ind w:left="420" w:leftChars="-100" w:hanging="630" w:hangingChars="300"/>
        <w:rPr>
          <w:rFonts w:ascii="宋体" w:hAnsi="宋体" w:eastAsia="宋体" w:cs="宋体"/>
          <w:color w:val="auto"/>
          <w:kern w:val="0"/>
          <w:szCs w:val="21"/>
        </w:rPr>
      </w:pPr>
      <w:r>
        <w:rPr>
          <w:rFonts w:hint="eastAsia" w:ascii="宋体" w:hAnsi="宋体" w:eastAsia="宋体" w:cs="宋体"/>
          <w:color w:val="auto"/>
          <w:kern w:val="0"/>
          <w:szCs w:val="21"/>
        </w:rPr>
        <w:t>（4）</w:t>
      </w:r>
      <w:r>
        <w:rPr>
          <w:rFonts w:hint="eastAsia" w:ascii="宋体" w:hAnsi="宋体" w:eastAsia="宋体" w:cs="宋体"/>
          <w:color w:val="auto"/>
          <w:szCs w:val="21"/>
        </w:rPr>
        <w:t>投标人认为有需要提供的其他文件（不做强制性提交要求）。</w:t>
      </w:r>
    </w:p>
    <w:p w14:paraId="4D2020EB">
      <w:pPr>
        <w:autoSpaceDE w:val="0"/>
        <w:autoSpaceDN w:val="0"/>
        <w:adjustRightInd w:val="0"/>
        <w:spacing w:line="360" w:lineRule="auto"/>
        <w:ind w:left="422" w:leftChars="-100" w:hanging="632" w:hangingChars="300"/>
        <w:rPr>
          <w:rFonts w:ascii="宋体" w:hAnsi="宋体" w:eastAsia="宋体" w:cs="宋体"/>
          <w:color w:val="auto"/>
          <w:kern w:val="0"/>
          <w:szCs w:val="21"/>
          <w:lang w:val="zh-CN"/>
        </w:rPr>
      </w:pPr>
      <w:r>
        <w:rPr>
          <w:rFonts w:hint="eastAsia" w:ascii="宋体" w:hAnsi="宋体" w:eastAsia="宋体" w:cs="宋体"/>
          <w:b/>
          <w:color w:val="auto"/>
          <w:kern w:val="0"/>
          <w:szCs w:val="21"/>
        </w:rPr>
        <w:t xml:space="preserve">9.1.3 </w:t>
      </w:r>
      <w:r>
        <w:rPr>
          <w:rFonts w:hint="eastAsia" w:ascii="宋体" w:hAnsi="宋体" w:eastAsia="宋体" w:cs="宋体"/>
          <w:b/>
          <w:bCs/>
          <w:color w:val="auto"/>
          <w:kern w:val="0"/>
          <w:szCs w:val="21"/>
          <w:lang w:val="zh-CN"/>
        </w:rPr>
        <w:t>投标文件电子文件</w:t>
      </w:r>
      <w:r>
        <w:rPr>
          <w:rFonts w:hint="eastAsia" w:ascii="宋体" w:hAnsi="宋体" w:eastAsia="宋体" w:cs="宋体"/>
          <w:color w:val="auto"/>
          <w:kern w:val="0"/>
          <w:szCs w:val="21"/>
          <w:lang w:val="zh-CN"/>
        </w:rPr>
        <w:t>（详细要求见本篇第17.5款）</w:t>
      </w:r>
    </w:p>
    <w:p w14:paraId="649BB421">
      <w:pPr>
        <w:autoSpaceDE w:val="0"/>
        <w:autoSpaceDN w:val="0"/>
        <w:adjustRightInd w:val="0"/>
        <w:spacing w:line="360" w:lineRule="auto"/>
        <w:ind w:left="35" w:leftChars="-118" w:hanging="283" w:hangingChars="135"/>
        <w:rPr>
          <w:rFonts w:ascii="宋体" w:hAnsi="宋体" w:eastAsia="宋体" w:cs="宋体"/>
          <w:color w:val="auto"/>
          <w:kern w:val="0"/>
          <w:szCs w:val="21"/>
        </w:rPr>
      </w:pPr>
      <w:r>
        <w:rPr>
          <w:rFonts w:hint="eastAsia" w:ascii="宋体" w:hAnsi="宋体" w:eastAsia="宋体" w:cs="宋体"/>
          <w:color w:val="auto"/>
          <w:kern w:val="0"/>
          <w:szCs w:val="21"/>
        </w:rPr>
        <w:t>（1）签字、盖章后的投标文件扫描版PDF格式电子文件。</w:t>
      </w:r>
    </w:p>
    <w:p w14:paraId="445A513F">
      <w:pPr>
        <w:autoSpaceDE w:val="0"/>
        <w:autoSpaceDN w:val="0"/>
        <w:adjustRightInd w:val="0"/>
        <w:spacing w:line="360" w:lineRule="auto"/>
        <w:ind w:left="422" w:leftChars="-100" w:hanging="632" w:hangingChars="300"/>
        <w:rPr>
          <w:rFonts w:ascii="宋体" w:hAnsi="宋体" w:eastAsia="宋体" w:cs="宋体"/>
          <w:b/>
          <w:bCs/>
          <w:color w:val="auto"/>
          <w:szCs w:val="21"/>
          <w:lang w:val="zh-CN"/>
        </w:rPr>
      </w:pPr>
      <w:r>
        <w:rPr>
          <w:rFonts w:hint="eastAsia" w:ascii="宋体" w:hAnsi="宋体" w:eastAsia="宋体" w:cs="宋体"/>
          <w:b/>
          <w:bCs/>
          <w:color w:val="auto"/>
          <w:szCs w:val="21"/>
          <w:lang w:val="zh-CN"/>
        </w:rPr>
        <w:t>9.1.4 唱标信封（单独密封）</w:t>
      </w:r>
    </w:p>
    <w:p w14:paraId="57EBB002">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（1）投标报价表；</w:t>
      </w:r>
    </w:p>
    <w:p w14:paraId="07CC1991">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（2）投标保证金汇入情况说明（一式两份）。</w:t>
      </w:r>
    </w:p>
    <w:p w14:paraId="3BFD852D">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07EADD5A">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9.3  </w:t>
      </w:r>
      <w:r>
        <w:rPr>
          <w:rFonts w:hint="eastAsia" w:ascii="宋体" w:hAnsi="宋体" w:eastAsia="宋体" w:cs="宋体"/>
          <w:b/>
          <w:color w:val="auto"/>
          <w:szCs w:val="21"/>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lang w:val="zh-CN"/>
        </w:rPr>
        <w:t>。</w:t>
      </w:r>
    </w:p>
    <w:p w14:paraId="583A7C8B">
      <w:pPr>
        <w:autoSpaceDE w:val="0"/>
        <w:autoSpaceDN w:val="0"/>
        <w:adjustRightInd w:val="0"/>
        <w:spacing w:line="360" w:lineRule="auto"/>
        <w:ind w:left="315" w:leftChars="-100" w:hanging="525" w:hangingChars="250"/>
        <w:rPr>
          <w:rFonts w:ascii="宋体" w:hAnsi="宋体" w:eastAsia="宋体" w:cs="宋体"/>
          <w:color w:val="auto"/>
          <w:szCs w:val="21"/>
          <w:lang w:val="zh-CN"/>
        </w:rPr>
      </w:pPr>
    </w:p>
    <w:p w14:paraId="56C8B8D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19" w:name="_Toc13214"/>
      <w:bookmarkStart w:id="120" w:name="_Toc8675_WPSOffice_Level3"/>
      <w:bookmarkStart w:id="121" w:name="_Toc450662860"/>
      <w:bookmarkStart w:id="122" w:name="_Toc486167674"/>
      <w:bookmarkStart w:id="123" w:name="_Toc11170"/>
      <w:bookmarkStart w:id="124" w:name="_Toc12312"/>
      <w:bookmarkStart w:id="125" w:name="_Toc142508324"/>
      <w:r>
        <w:rPr>
          <w:rFonts w:hint="eastAsia" w:ascii="宋体" w:hAnsi="宋体" w:eastAsia="宋体" w:cs="宋体"/>
          <w:color w:val="auto"/>
          <w:szCs w:val="21"/>
          <w:lang w:val="zh-CN"/>
        </w:rPr>
        <w:t>10 投标函</w:t>
      </w:r>
      <w:bookmarkEnd w:id="119"/>
      <w:bookmarkEnd w:id="120"/>
      <w:bookmarkEnd w:id="121"/>
      <w:bookmarkEnd w:id="122"/>
      <w:bookmarkEnd w:id="123"/>
      <w:bookmarkEnd w:id="124"/>
      <w:bookmarkEnd w:id="125"/>
    </w:p>
    <w:p w14:paraId="6D67C980">
      <w:pPr>
        <w:autoSpaceDE w:val="0"/>
        <w:autoSpaceDN w:val="0"/>
        <w:adjustRightInd w:val="0"/>
        <w:spacing w:line="360" w:lineRule="auto"/>
        <w:ind w:left="817" w:leftChars="119" w:hanging="567"/>
        <w:rPr>
          <w:rFonts w:ascii="宋体" w:hAnsi="宋体" w:eastAsia="宋体" w:cs="宋体"/>
          <w:color w:val="auto"/>
          <w:szCs w:val="21"/>
          <w:lang w:val="zh-CN"/>
        </w:rPr>
      </w:pPr>
      <w:r>
        <w:rPr>
          <w:rFonts w:hint="eastAsia" w:ascii="宋体" w:hAnsi="宋体" w:eastAsia="宋体" w:cs="宋体"/>
          <w:color w:val="auto"/>
          <w:szCs w:val="21"/>
          <w:lang w:val="zh-CN"/>
        </w:rPr>
        <w:t>投标人应完整填写投标文件格式中规定的投标函。</w:t>
      </w:r>
    </w:p>
    <w:p w14:paraId="41AA1296">
      <w:pPr>
        <w:autoSpaceDE w:val="0"/>
        <w:autoSpaceDN w:val="0"/>
        <w:adjustRightInd w:val="0"/>
        <w:spacing w:line="360" w:lineRule="auto"/>
        <w:ind w:left="817" w:leftChars="119" w:hanging="567"/>
        <w:rPr>
          <w:rFonts w:ascii="宋体" w:hAnsi="宋体" w:eastAsia="宋体" w:cs="宋体"/>
          <w:color w:val="auto"/>
          <w:szCs w:val="21"/>
          <w:lang w:val="zh-CN"/>
        </w:rPr>
      </w:pPr>
    </w:p>
    <w:p w14:paraId="3497CB4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26" w:name="_Toc13259"/>
      <w:bookmarkStart w:id="127" w:name="_Toc15427"/>
      <w:bookmarkStart w:id="128" w:name="_Toc24311"/>
      <w:bookmarkStart w:id="129" w:name="_Toc450662861"/>
      <w:bookmarkStart w:id="130" w:name="_Toc486167675"/>
      <w:bookmarkStart w:id="131" w:name="_Toc142508325"/>
      <w:bookmarkStart w:id="132" w:name="_Toc4385_WPSOffice_Level3"/>
      <w:r>
        <w:rPr>
          <w:rFonts w:hint="eastAsia" w:ascii="宋体" w:hAnsi="宋体" w:eastAsia="宋体" w:cs="宋体"/>
          <w:color w:val="auto"/>
          <w:szCs w:val="21"/>
          <w:lang w:val="zh-CN"/>
        </w:rPr>
        <w:t>11 投标报价</w:t>
      </w:r>
      <w:bookmarkEnd w:id="126"/>
      <w:bookmarkEnd w:id="127"/>
      <w:bookmarkEnd w:id="128"/>
      <w:bookmarkEnd w:id="129"/>
      <w:bookmarkEnd w:id="130"/>
      <w:bookmarkEnd w:id="131"/>
      <w:bookmarkEnd w:id="132"/>
    </w:p>
    <w:p w14:paraId="3E5F156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r>
        <w:rPr>
          <w:rFonts w:hint="eastAsia" w:ascii="宋体" w:hAnsi="宋体" w:eastAsia="宋体" w:cs="宋体"/>
          <w:b/>
          <w:color w:val="auto"/>
          <w:szCs w:val="21"/>
          <w:lang w:val="zh-CN"/>
        </w:rPr>
        <w:t xml:space="preserve">11.1 </w:t>
      </w:r>
      <w:r>
        <w:rPr>
          <w:rFonts w:hint="eastAsia" w:ascii="宋体" w:hAnsi="宋体" w:eastAsia="宋体" w:cs="宋体"/>
          <w:b/>
          <w:color w:val="auto"/>
          <w:szCs w:val="21"/>
          <w:u w:val="single"/>
          <w:lang w:val="zh-CN"/>
        </w:rPr>
        <w:t>本项目无需报价，只需根据招标文件第六篇投标报价响应表内容填报、确认服务期内的定价方式。在服务期期内，对于服务范围内的项目，按固定下浮率5%进行结算。</w:t>
      </w:r>
    </w:p>
    <w:p w14:paraId="60C4CE62">
      <w:pPr>
        <w:autoSpaceDE w:val="0"/>
        <w:autoSpaceDN w:val="0"/>
        <w:adjustRightInd w:val="0"/>
        <w:spacing w:line="360" w:lineRule="auto"/>
        <w:ind w:left="357" w:leftChars="-100" w:hanging="567"/>
        <w:rPr>
          <w:rFonts w:ascii="宋体" w:hAnsi="宋体" w:eastAsia="宋体" w:cs="宋体"/>
          <w:color w:val="auto"/>
          <w:szCs w:val="21"/>
        </w:rPr>
      </w:pPr>
      <w:r>
        <w:rPr>
          <w:rFonts w:hint="eastAsia" w:ascii="宋体" w:hAnsi="宋体" w:eastAsia="宋体" w:cs="宋体"/>
          <w:color w:val="auto"/>
          <w:szCs w:val="21"/>
          <w:lang w:val="zh-CN"/>
        </w:rPr>
        <w:t xml:space="preserve">     </w:t>
      </w:r>
    </w:p>
    <w:p w14:paraId="792E67C1">
      <w:pPr>
        <w:autoSpaceDE w:val="0"/>
        <w:autoSpaceDN w:val="0"/>
        <w:adjustRightInd w:val="0"/>
        <w:spacing w:line="360" w:lineRule="auto"/>
        <w:ind w:left="359" w:leftChars="-100" w:hanging="569"/>
        <w:jc w:val="left"/>
        <w:outlineLvl w:val="2"/>
        <w:rPr>
          <w:rFonts w:ascii="宋体" w:hAnsi="宋体" w:eastAsia="宋体" w:cs="宋体"/>
          <w:b/>
          <w:color w:val="auto"/>
          <w:szCs w:val="21"/>
          <w:lang w:val="zh-CN"/>
        </w:rPr>
      </w:pPr>
      <w:bookmarkStart w:id="133" w:name="_Toc30042_WPSOffice_Level3"/>
      <w:bookmarkStart w:id="134" w:name="_Toc486167676"/>
      <w:bookmarkStart w:id="135" w:name="_Toc142508326"/>
      <w:bookmarkStart w:id="136" w:name="_Toc3116"/>
      <w:bookmarkStart w:id="137" w:name="_Toc450662862"/>
      <w:bookmarkStart w:id="138" w:name="_Toc20312"/>
      <w:bookmarkStart w:id="139" w:name="_Toc3469"/>
      <w:r>
        <w:rPr>
          <w:rFonts w:hint="eastAsia" w:ascii="宋体" w:hAnsi="宋体" w:eastAsia="宋体" w:cs="宋体"/>
          <w:b/>
          <w:color w:val="auto"/>
          <w:szCs w:val="21"/>
          <w:lang w:val="zh-CN"/>
        </w:rPr>
        <w:t>12 投标报价货币</w:t>
      </w:r>
      <w:bookmarkEnd w:id="133"/>
      <w:bookmarkEnd w:id="134"/>
      <w:bookmarkEnd w:id="135"/>
      <w:bookmarkEnd w:id="136"/>
      <w:bookmarkEnd w:id="137"/>
      <w:bookmarkEnd w:id="138"/>
      <w:bookmarkEnd w:id="139"/>
    </w:p>
    <w:p w14:paraId="044F555F">
      <w:pPr>
        <w:autoSpaceDE w:val="0"/>
        <w:autoSpaceDN w:val="0"/>
        <w:adjustRightInd w:val="0"/>
        <w:spacing w:line="360" w:lineRule="auto"/>
        <w:ind w:left="819" w:leftChars="119" w:hanging="569"/>
        <w:rPr>
          <w:rFonts w:ascii="宋体" w:hAnsi="宋体" w:eastAsia="宋体" w:cs="宋体"/>
          <w:b/>
          <w:color w:val="auto"/>
          <w:szCs w:val="21"/>
          <w:lang w:val="zh-CN"/>
        </w:rPr>
      </w:pPr>
      <w:r>
        <w:rPr>
          <w:rFonts w:hint="eastAsia" w:ascii="宋体" w:hAnsi="宋体" w:eastAsia="宋体" w:cs="宋体"/>
          <w:b/>
          <w:color w:val="auto"/>
          <w:szCs w:val="21"/>
          <w:lang w:val="zh-CN"/>
        </w:rPr>
        <w:t>投标报价表上的价格须以人民币报价，以其</w:t>
      </w:r>
      <w:r>
        <w:rPr>
          <w:rFonts w:hint="eastAsia" w:ascii="宋体" w:hAnsi="宋体" w:eastAsia="宋体" w:cs="宋体"/>
          <w:b/>
          <w:color w:val="auto"/>
          <w:szCs w:val="21"/>
        </w:rPr>
        <w:t>他</w:t>
      </w:r>
      <w:r>
        <w:rPr>
          <w:rFonts w:hint="eastAsia" w:ascii="宋体" w:hAnsi="宋体" w:eastAsia="宋体" w:cs="宋体"/>
          <w:b/>
          <w:color w:val="auto"/>
          <w:szCs w:val="21"/>
          <w:lang w:val="zh-CN"/>
        </w:rPr>
        <w:t>货币标价的投标将予以拒绝。</w:t>
      </w:r>
    </w:p>
    <w:p w14:paraId="728AD388">
      <w:pPr>
        <w:autoSpaceDE w:val="0"/>
        <w:autoSpaceDN w:val="0"/>
        <w:adjustRightInd w:val="0"/>
        <w:spacing w:line="360" w:lineRule="auto"/>
        <w:ind w:left="817" w:leftChars="119" w:hanging="567"/>
        <w:rPr>
          <w:rFonts w:ascii="宋体" w:hAnsi="宋体" w:eastAsia="宋体" w:cs="宋体"/>
          <w:color w:val="auto"/>
          <w:szCs w:val="21"/>
        </w:rPr>
      </w:pPr>
    </w:p>
    <w:p w14:paraId="52E2072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40" w:name="_Toc450662863"/>
      <w:bookmarkStart w:id="141" w:name="_Toc20031"/>
      <w:bookmarkStart w:id="142" w:name="_Toc9411_WPSOffice_Level3"/>
      <w:bookmarkStart w:id="143" w:name="_Toc28614"/>
      <w:bookmarkStart w:id="144" w:name="_Toc486167677"/>
      <w:bookmarkStart w:id="145" w:name="_Toc3961"/>
      <w:bookmarkStart w:id="146" w:name="_Toc142508327"/>
      <w:r>
        <w:rPr>
          <w:rFonts w:hint="eastAsia" w:ascii="宋体" w:hAnsi="宋体" w:eastAsia="宋体" w:cs="宋体"/>
          <w:color w:val="auto"/>
          <w:szCs w:val="21"/>
          <w:lang w:val="zh-CN"/>
        </w:rPr>
        <w:t>13 证明投标人的合格性和资格的声明文件</w:t>
      </w:r>
      <w:bookmarkEnd w:id="140"/>
      <w:bookmarkEnd w:id="141"/>
      <w:bookmarkEnd w:id="142"/>
      <w:bookmarkEnd w:id="143"/>
      <w:bookmarkEnd w:id="144"/>
      <w:bookmarkEnd w:id="145"/>
      <w:bookmarkEnd w:id="146"/>
    </w:p>
    <w:p w14:paraId="443A7CC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根据第2条、第13.2款规定，投标人须提交证明其有资格进行投标和有能力履行合同的文件，作为投标文件的一部分。</w:t>
      </w:r>
    </w:p>
    <w:p w14:paraId="12D29F70">
      <w:pPr>
        <w:autoSpaceDE w:val="0"/>
        <w:autoSpaceDN w:val="0"/>
        <w:adjustRightInd w:val="0"/>
        <w:spacing w:line="360" w:lineRule="auto"/>
        <w:ind w:left="357" w:leftChars="-100" w:hanging="567"/>
        <w:rPr>
          <w:rFonts w:ascii="宋体" w:hAnsi="宋体" w:eastAsia="宋体" w:cs="宋体"/>
          <w:color w:val="auto"/>
          <w:szCs w:val="21"/>
          <w:vertAlign w:val="superscript"/>
          <w:lang w:val="zh-CN"/>
        </w:rPr>
      </w:pPr>
      <w:r>
        <w:rPr>
          <w:rFonts w:hint="eastAsia" w:ascii="宋体" w:hAnsi="宋体" w:eastAsia="宋体" w:cs="宋体"/>
          <w:color w:val="auto"/>
          <w:szCs w:val="21"/>
          <w:lang w:val="zh-CN"/>
        </w:rPr>
        <w:t>13.2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投标人提供的履行合同的资格声明文件应符合：</w:t>
      </w:r>
    </w:p>
    <w:p w14:paraId="353B52CC">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（1）符合《中华人民共和国招标投标法》《中华人民共和国招标投标法实施条例》投标人应当具备的条件；</w:t>
      </w:r>
    </w:p>
    <w:p w14:paraId="3FE41E0C">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（2）投标人具有履行本项目所必须的证明文件；</w:t>
      </w:r>
    </w:p>
    <w:p w14:paraId="2D618635">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（3）投标人证明其相应资格符合或优于招标文件要求的其它文件。</w:t>
      </w:r>
    </w:p>
    <w:p w14:paraId="11665C8C">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13.3 投标人根据招标文件载明的相关服务要求的实际情况，拟在中标后将中标项目的非主体、非关键性专业工作交由他人完成的，应当在投标文件中载明，并提供他人的资质、能力证明材料。</w:t>
      </w:r>
    </w:p>
    <w:p w14:paraId="1EF930AB">
      <w:pPr>
        <w:autoSpaceDE w:val="0"/>
        <w:autoSpaceDN w:val="0"/>
        <w:adjustRightInd w:val="0"/>
        <w:spacing w:line="360" w:lineRule="auto"/>
        <w:ind w:left="560" w:leftChars="128" w:hanging="291" w:hangingChars="139"/>
        <w:rPr>
          <w:rFonts w:ascii="宋体" w:hAnsi="宋体" w:eastAsia="宋体" w:cs="宋体"/>
          <w:color w:val="auto"/>
          <w:szCs w:val="21"/>
        </w:rPr>
      </w:pPr>
    </w:p>
    <w:p w14:paraId="58CCC06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47" w:name="_Toc450662864"/>
      <w:bookmarkStart w:id="148" w:name="_Toc142508328"/>
      <w:bookmarkStart w:id="149" w:name="_Toc8615"/>
      <w:bookmarkStart w:id="150" w:name="_Toc486167678"/>
      <w:bookmarkStart w:id="151" w:name="_Toc31030"/>
      <w:bookmarkStart w:id="152" w:name="_Toc29754"/>
      <w:bookmarkStart w:id="153" w:name="_Toc27771_WPSOffice_Level3"/>
      <w:r>
        <w:rPr>
          <w:rFonts w:hint="eastAsia" w:ascii="宋体" w:hAnsi="宋体" w:eastAsia="宋体" w:cs="宋体"/>
          <w:color w:val="auto"/>
          <w:szCs w:val="21"/>
          <w:lang w:val="zh-CN"/>
        </w:rPr>
        <w:t>14 证明服务的合格性并符合招标文件规定的声明文件</w:t>
      </w:r>
      <w:bookmarkEnd w:id="147"/>
      <w:bookmarkEnd w:id="148"/>
      <w:bookmarkEnd w:id="149"/>
      <w:bookmarkEnd w:id="150"/>
      <w:bookmarkEnd w:id="151"/>
      <w:bookmarkEnd w:id="152"/>
      <w:bookmarkEnd w:id="153"/>
    </w:p>
    <w:p w14:paraId="41FCFBD1">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w:t>
      </w:r>
      <w:r>
        <w:rPr>
          <w:rFonts w:hint="eastAsia" w:ascii="宋体" w:hAnsi="宋体" w:eastAsia="宋体" w:cs="宋体"/>
          <w:color w:val="auto"/>
          <w:kern w:val="0"/>
          <w:szCs w:val="21"/>
        </w:rPr>
        <w:t>第9</w:t>
      </w:r>
      <w:r>
        <w:rPr>
          <w:rFonts w:hint="eastAsia" w:ascii="宋体" w:hAnsi="宋体" w:eastAsia="宋体" w:cs="宋体"/>
          <w:color w:val="auto"/>
          <w:szCs w:val="21"/>
          <w:lang w:val="zh-CN"/>
        </w:rPr>
        <w:t>条规定，投标人须提交证明其拟供</w:t>
      </w:r>
      <w:r>
        <w:rPr>
          <w:rFonts w:hint="eastAsia" w:ascii="宋体" w:hAnsi="宋体" w:eastAsia="宋体" w:cs="宋体"/>
          <w:color w:val="auto"/>
          <w:szCs w:val="21"/>
        </w:rPr>
        <w:t>服务</w:t>
      </w:r>
      <w:r>
        <w:rPr>
          <w:rFonts w:hint="eastAsia" w:ascii="宋体" w:hAnsi="宋体" w:eastAsia="宋体" w:cs="宋体"/>
          <w:color w:val="auto"/>
          <w:szCs w:val="21"/>
          <w:lang w:val="zh-CN"/>
        </w:rPr>
        <w:t>的合格性并符合招标文件规定的声明文件，作为投标文件的一部分。</w:t>
      </w:r>
    </w:p>
    <w:p w14:paraId="21554BB5">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14.2 证明</w:t>
      </w:r>
      <w:r>
        <w:rPr>
          <w:rFonts w:hint="eastAsia" w:ascii="宋体" w:hAnsi="宋体" w:eastAsia="宋体" w:cs="宋体"/>
          <w:color w:val="auto"/>
          <w:kern w:val="0"/>
          <w:szCs w:val="21"/>
        </w:rPr>
        <w:t>相关服务</w:t>
      </w:r>
      <w:r>
        <w:rPr>
          <w:rFonts w:hint="eastAsia" w:ascii="宋体" w:hAnsi="宋体" w:eastAsia="宋体" w:cs="宋体"/>
          <w:color w:val="auto"/>
          <w:szCs w:val="21"/>
          <w:lang w:val="zh-CN"/>
        </w:rPr>
        <w:t>与招标文件的要求相一致的文件可以是文字资料、图纸和数据资料。</w:t>
      </w:r>
    </w:p>
    <w:p w14:paraId="60461CDE">
      <w:pPr>
        <w:autoSpaceDE w:val="0"/>
        <w:autoSpaceDN w:val="0"/>
        <w:adjustRightInd w:val="0"/>
        <w:spacing w:line="360" w:lineRule="auto"/>
        <w:ind w:left="317" w:leftChars="-100" w:hanging="527" w:hangingChars="251"/>
        <w:rPr>
          <w:rFonts w:ascii="宋体" w:hAnsi="宋体" w:eastAsia="宋体" w:cs="宋体"/>
          <w:b/>
          <w:color w:val="auto"/>
          <w:szCs w:val="21"/>
          <w:lang w:val="zh-CN"/>
        </w:rPr>
      </w:pPr>
      <w:r>
        <w:rPr>
          <w:rFonts w:hint="eastAsia" w:ascii="宋体" w:hAnsi="宋体" w:eastAsia="宋体" w:cs="宋体"/>
          <w:color w:val="auto"/>
          <w:szCs w:val="21"/>
          <w:lang w:val="zh-CN"/>
        </w:rPr>
        <w:t xml:space="preserve">14.3 </w:t>
      </w:r>
      <w:r>
        <w:rPr>
          <w:rFonts w:hint="eastAsia" w:ascii="宋体" w:hAnsi="宋体" w:eastAsia="宋体" w:cs="宋体"/>
          <w:b/>
          <w:color w:val="auto"/>
          <w:szCs w:val="21"/>
          <w:lang w:val="zh-CN"/>
        </w:rPr>
        <w:t>为说明第14.2款的规定，投标人应注意本招标文件在《用户需求书》中对服务要求</w:t>
      </w:r>
      <w:r>
        <w:rPr>
          <w:rFonts w:hint="eastAsia" w:ascii="宋体" w:hAnsi="宋体" w:eastAsia="宋体" w:cs="宋体"/>
          <w:b/>
          <w:color w:val="auto"/>
          <w:szCs w:val="21"/>
        </w:rPr>
        <w:t>的</w:t>
      </w:r>
      <w:r>
        <w:rPr>
          <w:rFonts w:hint="eastAsia" w:ascii="宋体" w:hAnsi="宋体" w:eastAsia="宋体" w:cs="宋体"/>
          <w:b/>
          <w:color w:val="auto"/>
          <w:szCs w:val="21"/>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7CCE60BD">
      <w:pPr>
        <w:autoSpaceDE w:val="0"/>
        <w:autoSpaceDN w:val="0"/>
        <w:adjustRightInd w:val="0"/>
        <w:spacing w:line="360" w:lineRule="auto"/>
        <w:ind w:left="438" w:hanging="648"/>
        <w:rPr>
          <w:rFonts w:ascii="宋体" w:hAnsi="宋体" w:eastAsia="宋体" w:cs="宋体"/>
          <w:color w:val="auto"/>
          <w:kern w:val="0"/>
          <w:sz w:val="24"/>
          <w:szCs w:val="24"/>
        </w:rPr>
      </w:pPr>
    </w:p>
    <w:p w14:paraId="146228A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54" w:name="_Toc8644"/>
      <w:bookmarkStart w:id="155" w:name="_Toc5356_WPSOffice_Level3"/>
      <w:bookmarkStart w:id="156" w:name="_Toc30555"/>
      <w:bookmarkStart w:id="157" w:name="_Toc142508329"/>
      <w:bookmarkStart w:id="158" w:name="_Toc4318"/>
      <w:bookmarkStart w:id="159" w:name="_Toc486167679"/>
      <w:r>
        <w:rPr>
          <w:rFonts w:hint="eastAsia" w:ascii="宋体" w:hAnsi="宋体" w:eastAsia="宋体" w:cs="宋体"/>
          <w:color w:val="auto"/>
          <w:szCs w:val="21"/>
          <w:lang w:val="zh-CN"/>
        </w:rPr>
        <w:t>15 投标保证金</w:t>
      </w:r>
      <w:bookmarkEnd w:id="154"/>
      <w:bookmarkEnd w:id="155"/>
      <w:bookmarkEnd w:id="156"/>
      <w:bookmarkEnd w:id="157"/>
      <w:bookmarkEnd w:id="158"/>
      <w:bookmarkEnd w:id="159"/>
    </w:p>
    <w:p w14:paraId="14BF2BA0">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rPr>
      </w:pPr>
      <w:r>
        <w:rPr>
          <w:rFonts w:hint="eastAsia" w:ascii="宋体" w:hAnsi="宋体" w:eastAsia="宋体" w:cs="宋体"/>
          <w:bCs/>
          <w:color w:val="auto"/>
          <w:kern w:val="0"/>
          <w:szCs w:val="21"/>
          <w:lang w:val="zh-CN"/>
        </w:rPr>
        <w:t>15.1</w:t>
      </w:r>
      <w:r>
        <w:rPr>
          <w:rFonts w:hint="eastAsia" w:ascii="宋体" w:hAnsi="宋体" w:eastAsia="宋体" w:cs="宋体"/>
          <w:b/>
          <w:bCs/>
          <w:color w:val="auto"/>
          <w:kern w:val="0"/>
          <w:szCs w:val="21"/>
          <w:lang w:val="zh-CN"/>
        </w:rPr>
        <w:t xml:space="preserve"> </w:t>
      </w:r>
      <w:r>
        <w:rPr>
          <w:rFonts w:hint="eastAsia" w:ascii="宋体" w:hAnsi="宋体" w:eastAsia="宋体" w:cs="宋体"/>
          <w:b/>
          <w:bCs/>
          <w:color w:val="auto"/>
          <w:kern w:val="0"/>
          <w:szCs w:val="21"/>
          <w:u w:val="single"/>
          <w:lang w:val="zh-CN"/>
        </w:rPr>
        <w:t>投标人投标时须附有投标保证金</w:t>
      </w:r>
      <w:r>
        <w:rPr>
          <w:rFonts w:hint="eastAsia" w:ascii="宋体" w:hAnsi="宋体" w:eastAsia="宋体" w:cs="宋体"/>
          <w:b/>
          <w:bCs/>
          <w:color w:val="auto"/>
          <w:kern w:val="0"/>
          <w:szCs w:val="21"/>
          <w:u w:val="single"/>
        </w:rPr>
        <w:t>60,000.00</w:t>
      </w:r>
      <w:r>
        <w:rPr>
          <w:rFonts w:hint="eastAsia" w:ascii="宋体" w:hAnsi="宋体" w:eastAsia="宋体" w:cs="宋体"/>
          <w:b/>
          <w:color w:val="auto"/>
          <w:kern w:val="0"/>
          <w:szCs w:val="21"/>
          <w:u w:val="single"/>
        </w:rPr>
        <w:t>元（大写：人民币陆万元整）</w:t>
      </w:r>
      <w:r>
        <w:rPr>
          <w:rFonts w:hint="eastAsia" w:ascii="宋体" w:hAnsi="宋体" w:eastAsia="宋体" w:cs="宋体"/>
          <w:b/>
          <w:color w:val="auto"/>
          <w:kern w:val="0"/>
          <w:szCs w:val="21"/>
        </w:rPr>
        <w:t>。</w:t>
      </w:r>
      <w:r>
        <w:rPr>
          <w:rFonts w:hint="eastAsia" w:ascii="宋体" w:hAnsi="宋体" w:eastAsia="宋体" w:cs="宋体"/>
          <w:b/>
          <w:color w:val="auto"/>
          <w:kern w:val="0"/>
          <w:szCs w:val="21"/>
          <w:lang w:val="zh-CN"/>
        </w:rPr>
        <w:t>投标保证金适用本项目所有</w:t>
      </w:r>
      <w:r>
        <w:rPr>
          <w:rFonts w:hint="eastAsia" w:ascii="宋体" w:hAnsi="宋体" w:eastAsia="宋体" w:cs="宋体"/>
          <w:b/>
          <w:color w:val="auto"/>
          <w:kern w:val="0"/>
          <w:szCs w:val="21"/>
        </w:rPr>
        <w:t>包组</w:t>
      </w:r>
      <w:r>
        <w:rPr>
          <w:rFonts w:hint="eastAsia" w:ascii="宋体" w:hAnsi="宋体" w:eastAsia="宋体" w:cs="宋体"/>
          <w:b/>
          <w:color w:val="auto"/>
          <w:kern w:val="0"/>
          <w:szCs w:val="21"/>
          <w:lang w:val="zh-CN"/>
        </w:rPr>
        <w:t>，投标人参加本项目一个</w:t>
      </w:r>
      <w:r>
        <w:rPr>
          <w:rFonts w:hint="eastAsia" w:ascii="宋体" w:hAnsi="宋体" w:eastAsia="宋体" w:cs="宋体"/>
          <w:b/>
          <w:color w:val="auto"/>
          <w:kern w:val="0"/>
          <w:szCs w:val="21"/>
        </w:rPr>
        <w:t>包组</w:t>
      </w:r>
      <w:r>
        <w:rPr>
          <w:rFonts w:hint="eastAsia" w:ascii="宋体" w:hAnsi="宋体" w:eastAsia="宋体" w:cs="宋体"/>
          <w:b/>
          <w:color w:val="auto"/>
          <w:kern w:val="0"/>
          <w:szCs w:val="21"/>
          <w:lang w:val="zh-CN"/>
        </w:rPr>
        <w:t>或多个</w:t>
      </w:r>
      <w:r>
        <w:rPr>
          <w:rFonts w:hint="eastAsia" w:ascii="宋体" w:hAnsi="宋体" w:eastAsia="宋体" w:cs="宋体"/>
          <w:b/>
          <w:color w:val="auto"/>
          <w:kern w:val="0"/>
          <w:szCs w:val="21"/>
        </w:rPr>
        <w:t>包组</w:t>
      </w:r>
      <w:r>
        <w:rPr>
          <w:rFonts w:hint="eastAsia" w:ascii="宋体" w:hAnsi="宋体" w:eastAsia="宋体" w:cs="宋体"/>
          <w:b/>
          <w:color w:val="auto"/>
          <w:kern w:val="0"/>
          <w:szCs w:val="21"/>
          <w:lang w:val="zh-CN"/>
        </w:rPr>
        <w:t>的投标时，仅须提交一次投标保证金，无须按照本项目</w:t>
      </w:r>
      <w:r>
        <w:rPr>
          <w:rFonts w:hint="eastAsia" w:ascii="宋体" w:hAnsi="宋体" w:eastAsia="宋体" w:cs="宋体"/>
          <w:b/>
          <w:color w:val="auto"/>
          <w:kern w:val="0"/>
          <w:szCs w:val="21"/>
        </w:rPr>
        <w:t>包组</w:t>
      </w:r>
      <w:r>
        <w:rPr>
          <w:rFonts w:hint="eastAsia" w:ascii="宋体" w:hAnsi="宋体" w:eastAsia="宋体" w:cs="宋体"/>
          <w:b/>
          <w:color w:val="auto"/>
          <w:kern w:val="0"/>
          <w:szCs w:val="21"/>
          <w:lang w:val="zh-CN"/>
        </w:rPr>
        <w:t>重复提交投标保证金。</w:t>
      </w:r>
      <w:r>
        <w:rPr>
          <w:rFonts w:hint="eastAsia" w:ascii="宋体" w:hAnsi="宋体" w:eastAsia="宋体" w:cs="宋体"/>
          <w:b/>
          <w:bCs/>
          <w:color w:val="auto"/>
          <w:szCs w:val="21"/>
        </w:rPr>
        <w:t>举例说明：若</w:t>
      </w:r>
      <w:r>
        <w:rPr>
          <w:rFonts w:hint="eastAsia" w:ascii="宋体" w:hAnsi="宋体" w:eastAsia="宋体"/>
          <w:b/>
          <w:color w:val="auto"/>
          <w:szCs w:val="21"/>
        </w:rPr>
        <w:t>投标人</w:t>
      </w:r>
      <w:r>
        <w:rPr>
          <w:rFonts w:hint="eastAsia" w:ascii="宋体" w:hAnsi="宋体" w:eastAsia="宋体" w:cs="宋体"/>
          <w:b/>
          <w:bCs/>
          <w:color w:val="auto"/>
          <w:szCs w:val="21"/>
        </w:rPr>
        <w:t>已在</w:t>
      </w:r>
      <w:r>
        <w:rPr>
          <w:rFonts w:hint="eastAsia" w:ascii="宋体" w:hAnsi="宋体" w:eastAsia="宋体" w:cs="宋体"/>
          <w:b/>
          <w:color w:val="auto"/>
          <w:kern w:val="0"/>
          <w:szCs w:val="21"/>
          <w:lang w:val="zh-CN"/>
        </w:rPr>
        <w:t>东莞市水务集团管网有限公司2025年度机电设备维修定点服务单位采购项目</w:t>
      </w:r>
      <w:r>
        <w:rPr>
          <w:rFonts w:hint="eastAsia" w:ascii="宋体" w:hAnsi="宋体" w:eastAsia="宋体" w:cs="宋体"/>
          <w:b/>
          <w:bCs/>
          <w:color w:val="auto"/>
          <w:szCs w:val="21"/>
        </w:rPr>
        <w:t>（A包）缴纳了投标保证金，参加其他</w:t>
      </w:r>
      <w:r>
        <w:rPr>
          <w:rFonts w:hint="eastAsia" w:ascii="宋体" w:hAnsi="宋体" w:eastAsia="宋体" w:cs="宋体"/>
          <w:b/>
          <w:color w:val="auto"/>
          <w:kern w:val="0"/>
          <w:szCs w:val="21"/>
        </w:rPr>
        <w:t>包组</w:t>
      </w:r>
      <w:r>
        <w:rPr>
          <w:rFonts w:hint="eastAsia" w:ascii="宋体" w:hAnsi="宋体" w:eastAsia="宋体" w:cs="宋体"/>
          <w:b/>
          <w:bCs/>
          <w:color w:val="auto"/>
          <w:szCs w:val="21"/>
        </w:rPr>
        <w:t>的投标时，仅需将已缴纳投标保证金</w:t>
      </w:r>
      <w:r>
        <w:rPr>
          <w:rFonts w:hint="eastAsia" w:ascii="宋体" w:hAnsi="宋体" w:eastAsia="宋体" w:cs="宋体"/>
          <w:b/>
          <w:color w:val="auto"/>
          <w:kern w:val="0"/>
          <w:szCs w:val="21"/>
        </w:rPr>
        <w:t>包组</w:t>
      </w:r>
      <w:r>
        <w:rPr>
          <w:rFonts w:hint="eastAsia" w:ascii="宋体" w:hAnsi="宋体" w:eastAsia="宋体" w:cs="宋体"/>
          <w:b/>
          <w:bCs/>
          <w:color w:val="auto"/>
          <w:szCs w:val="21"/>
        </w:rPr>
        <w:t>项目的相关证明资料附上即可。</w:t>
      </w:r>
    </w:p>
    <w:p w14:paraId="04F94423">
      <w:pPr>
        <w:spacing w:line="360" w:lineRule="auto"/>
        <w:ind w:left="315" w:leftChars="-100" w:hanging="525" w:hangingChars="250"/>
        <w:jc w:val="left"/>
        <w:rPr>
          <w:rFonts w:ascii="宋体" w:hAnsi="宋体" w:eastAsia="宋体" w:cs="宋体"/>
          <w:b/>
          <w:color w:val="auto"/>
          <w:kern w:val="0"/>
          <w:szCs w:val="21"/>
          <w:lang w:val="zh-CN"/>
        </w:rPr>
      </w:pPr>
      <w:r>
        <w:rPr>
          <w:rFonts w:hint="eastAsia" w:ascii="宋体" w:hAnsi="宋体" w:eastAsia="宋体" w:cs="宋体"/>
          <w:bCs/>
          <w:color w:val="auto"/>
          <w:kern w:val="0"/>
          <w:szCs w:val="21"/>
          <w:lang w:val="zh-CN"/>
        </w:rPr>
        <w:t xml:space="preserve">15.2 </w:t>
      </w:r>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应按要求提交投标保证金，</w:t>
      </w:r>
      <w:r>
        <w:rPr>
          <w:rFonts w:hint="eastAsia" w:ascii="宋体" w:hAnsi="宋体" w:eastAsia="宋体" w:cs="宋体"/>
          <w:b/>
          <w:color w:val="auto"/>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rPr>
        <w:t>。</w:t>
      </w:r>
    </w:p>
    <w:p w14:paraId="69B7B03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lang w:val="zh-CN"/>
        </w:rPr>
      </w:pPr>
      <w:r>
        <w:rPr>
          <w:rFonts w:hint="eastAsia" w:ascii="宋体" w:hAnsi="宋体" w:eastAsia="宋体" w:cs="宋体"/>
          <w:bCs/>
          <w:color w:val="auto"/>
          <w:kern w:val="0"/>
          <w:szCs w:val="21"/>
        </w:rPr>
        <w:t xml:space="preserve">15.3 </w:t>
      </w:r>
      <w:r>
        <w:rPr>
          <w:rFonts w:hint="eastAsia" w:ascii="宋体" w:hAnsi="宋体" w:eastAsia="宋体" w:cs="宋体"/>
          <w:bCs/>
          <w:color w:val="auto"/>
          <w:kern w:val="0"/>
          <w:szCs w:val="21"/>
          <w:lang w:val="zh-CN"/>
        </w:rPr>
        <w:t>提交保证金时应符合下列规定：</w:t>
      </w:r>
    </w:p>
    <w:p w14:paraId="46F0A625">
      <w:pPr>
        <w:spacing w:line="360" w:lineRule="auto"/>
        <w:ind w:left="391" w:leftChars="186" w:firstLine="147" w:firstLineChars="70"/>
        <w:rPr>
          <w:rFonts w:ascii="宋体" w:hAnsi="宋体" w:eastAsia="宋体" w:cs="宋体"/>
          <w:color w:val="auto"/>
          <w:kern w:val="0"/>
          <w:szCs w:val="21"/>
        </w:rPr>
      </w:pPr>
      <w:r>
        <w:rPr>
          <w:rFonts w:hint="eastAsia" w:ascii="宋体" w:hAnsi="宋体" w:eastAsia="宋体" w:cs="宋体"/>
          <w:color w:val="auto"/>
          <w:kern w:val="0"/>
          <w:szCs w:val="21"/>
        </w:rPr>
        <w:t>必须通过本单位基本账户采用银行转账、电汇方式提交，且在递交投标文件截止时间前到达以下账户上</w:t>
      </w:r>
      <w:r>
        <w:rPr>
          <w:rFonts w:hint="eastAsia" w:ascii="宋体" w:hAnsi="宋体" w:eastAsia="宋体" w:cs="宋体"/>
          <w:b/>
          <w:bCs/>
          <w:color w:val="auto"/>
          <w:kern w:val="0"/>
          <w:szCs w:val="21"/>
        </w:rPr>
        <w:t>并注明招标编号</w:t>
      </w:r>
      <w:r>
        <w:rPr>
          <w:rFonts w:hint="eastAsia" w:ascii="宋体" w:hAnsi="宋体" w:eastAsia="宋体" w:cs="宋体"/>
          <w:color w:val="auto"/>
          <w:kern w:val="0"/>
          <w:szCs w:val="21"/>
        </w:rPr>
        <w:t>。</w:t>
      </w:r>
    </w:p>
    <w:p w14:paraId="1922A3B3">
      <w:pPr>
        <w:autoSpaceDE w:val="0"/>
        <w:autoSpaceDN w:val="0"/>
        <w:adjustRightInd w:val="0"/>
        <w:spacing w:line="360" w:lineRule="auto"/>
        <w:ind w:firstLine="630" w:firstLineChars="3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开户名称：东莞市水务集团管网有限公司</w:t>
      </w:r>
    </w:p>
    <w:p w14:paraId="60EEBDBA">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开户银行：中信银行东莞分行营业部</w:t>
      </w:r>
    </w:p>
    <w:p w14:paraId="41F16F26">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银行账号：</w:t>
      </w:r>
      <w:r>
        <w:rPr>
          <w:rFonts w:hint="eastAsia" w:ascii="宋体" w:hAnsi="宋体" w:eastAsia="宋体" w:cs="Times New Roman"/>
          <w:color w:val="auto"/>
          <w:kern w:val="0"/>
          <w:szCs w:val="21"/>
        </w:rPr>
        <w:t>8114801014000043052</w:t>
      </w:r>
    </w:p>
    <w:p w14:paraId="6641D1D4">
      <w:pPr>
        <w:spacing w:line="360" w:lineRule="auto"/>
        <w:ind w:left="210" w:leftChars="100" w:firstLine="211" w:firstLineChars="100"/>
        <w:rPr>
          <w:rFonts w:ascii="宋体" w:hAnsi="宋体" w:eastAsia="宋体" w:cs="宋体"/>
          <w:b/>
          <w:color w:val="auto"/>
          <w:kern w:val="0"/>
          <w:szCs w:val="21"/>
        </w:rPr>
      </w:pPr>
      <w:r>
        <w:rPr>
          <w:rFonts w:hint="eastAsia" w:ascii="宋体" w:hAnsi="宋体" w:eastAsia="宋体" w:cs="宋体"/>
          <w:b/>
          <w:color w:val="auto"/>
          <w:kern w:val="0"/>
          <w:szCs w:val="21"/>
          <w:u w:val="single"/>
        </w:rPr>
        <w:t>投标保证金未按规定时间到达指定账户或提交金额不足的，将被视为无效投标保证金</w:t>
      </w:r>
      <w:r>
        <w:rPr>
          <w:rFonts w:hint="eastAsia" w:ascii="宋体" w:hAnsi="宋体" w:eastAsia="宋体" w:cs="宋体"/>
          <w:b/>
          <w:color w:val="auto"/>
          <w:kern w:val="0"/>
          <w:szCs w:val="21"/>
        </w:rPr>
        <w:t>。</w:t>
      </w:r>
    </w:p>
    <w:p w14:paraId="061BA7BB">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rPr>
      </w:pPr>
      <w:r>
        <w:rPr>
          <w:rFonts w:hint="eastAsia" w:ascii="宋体" w:hAnsi="宋体" w:eastAsia="宋体" w:cs="宋体"/>
          <w:bCs/>
          <w:color w:val="auto"/>
          <w:szCs w:val="21"/>
          <w:lang w:val="zh-CN"/>
        </w:rPr>
        <w:t>15.</w:t>
      </w:r>
      <w:r>
        <w:rPr>
          <w:rFonts w:hint="eastAsia" w:ascii="宋体" w:hAnsi="宋体" w:eastAsia="宋体" w:cs="宋体"/>
          <w:bCs/>
          <w:color w:val="auto"/>
          <w:szCs w:val="21"/>
        </w:rPr>
        <w:t>4</w:t>
      </w:r>
      <w:r>
        <w:rPr>
          <w:rFonts w:hint="eastAsia" w:ascii="宋体" w:hAnsi="宋体" w:eastAsia="宋体" w:cs="宋体"/>
          <w:bCs/>
          <w:color w:val="auto"/>
          <w:szCs w:val="21"/>
          <w:lang w:val="zh-CN"/>
        </w:rPr>
        <w:t xml:space="preserve"> </w:t>
      </w:r>
      <w:r>
        <w:rPr>
          <w:rFonts w:hint="eastAsia" w:ascii="宋体" w:hAnsi="宋体" w:eastAsia="宋体" w:cs="宋体"/>
          <w:b/>
          <w:color w:val="auto"/>
          <w:kern w:val="0"/>
          <w:szCs w:val="24"/>
          <w:u w:val="single"/>
        </w:rPr>
        <w:t>任何未按第15.1款、第15.2款、第15.3款规定提交投标保证金的投标，将被视为无效投标</w:t>
      </w:r>
      <w:r>
        <w:rPr>
          <w:rFonts w:hint="eastAsia" w:ascii="宋体" w:hAnsi="宋体" w:eastAsia="宋体" w:cs="宋体"/>
          <w:b/>
          <w:color w:val="auto"/>
          <w:kern w:val="0"/>
          <w:szCs w:val="24"/>
        </w:rPr>
        <w:t>。</w:t>
      </w:r>
    </w:p>
    <w:p w14:paraId="6DFE721E">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bCs/>
          <w:color w:val="auto"/>
          <w:szCs w:val="21"/>
          <w:lang w:val="zh-CN"/>
        </w:rPr>
        <w:t>15.</w:t>
      </w:r>
      <w:r>
        <w:rPr>
          <w:rFonts w:hint="eastAsia" w:ascii="宋体" w:hAnsi="宋体" w:eastAsia="宋体" w:cs="宋体"/>
          <w:bCs/>
          <w:color w:val="auto"/>
          <w:szCs w:val="21"/>
        </w:rPr>
        <w:t>5</w:t>
      </w:r>
      <w:r>
        <w:rPr>
          <w:rFonts w:hint="eastAsia" w:ascii="宋体" w:hAnsi="宋体" w:eastAsia="宋体" w:cs="宋体"/>
          <w:bCs/>
          <w:color w:val="auto"/>
          <w:szCs w:val="21"/>
          <w:lang w:val="zh-CN"/>
        </w:rPr>
        <w:t xml:space="preserve"> </w:t>
      </w:r>
      <w:r>
        <w:rPr>
          <w:rFonts w:hint="eastAsia" w:ascii="宋体" w:hAnsi="宋体" w:eastAsia="宋体" w:cs="宋体"/>
          <w:color w:val="auto"/>
          <w:kern w:val="0"/>
          <w:szCs w:val="21"/>
        </w:rPr>
        <w:t>未</w:t>
      </w:r>
      <w:r>
        <w:rPr>
          <w:rFonts w:hint="eastAsia" w:ascii="宋体" w:hAnsi="宋体" w:eastAsia="宋体" w:cs="宋体"/>
          <w:color w:val="auto"/>
          <w:szCs w:val="21"/>
          <w:lang w:val="zh-CN"/>
        </w:rPr>
        <w:t>中标</w:t>
      </w:r>
      <w:r>
        <w:rPr>
          <w:rFonts w:hint="eastAsia" w:ascii="宋体" w:hAnsi="宋体" w:eastAsia="宋体" w:cs="宋体"/>
          <w:color w:val="auto"/>
          <w:kern w:val="0"/>
          <w:szCs w:val="21"/>
        </w:rPr>
        <w:t>的投标人的投标保证金，最迟应在本项目的书面合同签订后5日内，按照其投标保证金支付凭证上注明的收款人名称和账号予以退还，除非投标保证金有效期已延长。</w:t>
      </w:r>
    </w:p>
    <w:p w14:paraId="556CEA26">
      <w:pPr>
        <w:spacing w:line="360" w:lineRule="auto"/>
        <w:ind w:left="357" w:leftChars="-100" w:hanging="567" w:hangingChars="270"/>
        <w:rPr>
          <w:rFonts w:ascii="宋体" w:hAnsi="宋体" w:eastAsia="宋体" w:cs="宋体"/>
          <w:color w:val="auto"/>
          <w:kern w:val="0"/>
          <w:szCs w:val="21"/>
        </w:rPr>
      </w:pPr>
      <w:r>
        <w:rPr>
          <w:rFonts w:hint="eastAsia" w:ascii="宋体" w:hAnsi="宋体" w:eastAsia="宋体" w:cs="宋体"/>
          <w:bCs/>
          <w:color w:val="auto"/>
          <w:szCs w:val="21"/>
          <w:lang w:val="zh-CN"/>
        </w:rPr>
        <w:t>15.</w:t>
      </w:r>
      <w:r>
        <w:rPr>
          <w:rFonts w:hint="eastAsia" w:ascii="宋体" w:hAnsi="宋体" w:eastAsia="宋体" w:cs="宋体"/>
          <w:bCs/>
          <w:color w:val="auto"/>
          <w:szCs w:val="21"/>
        </w:rPr>
        <w:t>6</w:t>
      </w:r>
      <w:r>
        <w:rPr>
          <w:rFonts w:hint="eastAsia" w:ascii="宋体" w:hAnsi="宋体" w:eastAsia="宋体" w:cs="宋体"/>
          <w:bCs/>
          <w:color w:val="auto"/>
          <w:szCs w:val="21"/>
          <w:lang w:val="zh-CN"/>
        </w:rPr>
        <w:t xml:space="preserve"> </w:t>
      </w:r>
      <w:r>
        <w:rPr>
          <w:rFonts w:hint="eastAsia" w:ascii="宋体" w:hAnsi="宋体" w:eastAsia="宋体" w:cs="宋体"/>
          <w:color w:val="auto"/>
          <w:kern w:val="0"/>
          <w:szCs w:val="21"/>
        </w:rPr>
        <w:t>中标人的投标保证金，满足下列要求，并最迟应在本项目的书面合同签订后5日内退还。</w:t>
      </w:r>
    </w:p>
    <w:p w14:paraId="4E5F9A62">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（1）中标</w:t>
      </w:r>
      <w:r>
        <w:rPr>
          <w:rFonts w:hint="eastAsia" w:ascii="宋体" w:hAnsi="宋体" w:eastAsia="宋体" w:cs="宋体"/>
          <w:color w:val="auto"/>
          <w:szCs w:val="21"/>
          <w:lang w:val="zh-CN"/>
        </w:rPr>
        <w:t>人提交了履约担保；</w:t>
      </w:r>
    </w:p>
    <w:p w14:paraId="44B26EA1">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（2）在投标过程中</w:t>
      </w:r>
      <w:r>
        <w:rPr>
          <w:rFonts w:hint="eastAsia" w:ascii="宋体" w:hAnsi="宋体" w:eastAsia="宋体" w:cs="宋体"/>
          <w:color w:val="auto"/>
          <w:kern w:val="0"/>
          <w:szCs w:val="21"/>
        </w:rPr>
        <w:t>不存在违反本招标文件或《中华人民共和国招标投标法》及其实施条例等规定的行为。</w:t>
      </w:r>
    </w:p>
    <w:p w14:paraId="0C4AE5D7">
      <w:pPr>
        <w:spacing w:line="360" w:lineRule="auto"/>
        <w:ind w:left="315" w:leftChars="-100" w:hanging="525" w:hangingChars="250"/>
        <w:rPr>
          <w:rFonts w:ascii="宋体" w:hAnsi="宋体" w:eastAsia="宋体" w:cs="宋体"/>
          <w:b/>
          <w:bCs/>
          <w:color w:val="auto"/>
          <w:kern w:val="0"/>
          <w:szCs w:val="20"/>
        </w:rPr>
      </w:pPr>
      <w:r>
        <w:rPr>
          <w:rFonts w:hint="eastAsia" w:ascii="宋体" w:hAnsi="宋体" w:eastAsia="宋体" w:cs="宋体"/>
          <w:bCs/>
          <w:color w:val="auto"/>
          <w:szCs w:val="21"/>
          <w:lang w:val="zh-CN"/>
        </w:rPr>
        <w:t>15.</w:t>
      </w:r>
      <w:r>
        <w:rPr>
          <w:rFonts w:hint="eastAsia" w:ascii="宋体" w:hAnsi="宋体" w:eastAsia="宋体" w:cs="宋体"/>
          <w:bCs/>
          <w:color w:val="auto"/>
          <w:szCs w:val="21"/>
        </w:rPr>
        <w:t>7</w:t>
      </w:r>
      <w:r>
        <w:rPr>
          <w:rFonts w:hint="eastAsia" w:ascii="宋体" w:hAnsi="宋体" w:eastAsia="宋体" w:cs="宋体"/>
          <w:bCs/>
          <w:color w:val="auto"/>
          <w:szCs w:val="21"/>
          <w:lang w:val="zh-CN"/>
        </w:rPr>
        <w:t xml:space="preserve"> </w:t>
      </w:r>
      <w:r>
        <w:rPr>
          <w:rFonts w:hint="eastAsia" w:ascii="宋体" w:hAnsi="宋体" w:eastAsia="宋体" w:cs="宋体"/>
          <w:color w:val="auto"/>
          <w:kern w:val="0"/>
          <w:szCs w:val="20"/>
        </w:rPr>
        <w:t>若</w:t>
      </w:r>
      <w:r>
        <w:rPr>
          <w:rFonts w:hint="eastAsia" w:ascii="宋体" w:hAnsi="宋体" w:eastAsia="宋体" w:cs="宋体"/>
          <w:color w:val="auto"/>
          <w:szCs w:val="21"/>
          <w:lang w:val="zh-CN"/>
        </w:rPr>
        <w:t>发生</w:t>
      </w:r>
      <w:r>
        <w:rPr>
          <w:rFonts w:hint="eastAsia" w:ascii="宋体" w:hAnsi="宋体" w:eastAsia="宋体" w:cs="宋体"/>
          <w:color w:val="auto"/>
          <w:kern w:val="0"/>
          <w:szCs w:val="20"/>
        </w:rPr>
        <w:t>下列情况，招标人在书面通知投标人（或中标人）后有权不予退还投标保证金：</w:t>
      </w:r>
    </w:p>
    <w:p w14:paraId="30602A4B">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rPr>
      </w:pPr>
      <w:r>
        <w:rPr>
          <w:rFonts w:hint="eastAsia" w:ascii="宋体" w:hAnsi="宋体" w:eastAsia="宋体" w:cs="宋体"/>
          <w:color w:val="auto"/>
          <w:kern w:val="0"/>
          <w:szCs w:val="24"/>
        </w:rPr>
        <w:t>如果投标人（或中标人）：</w:t>
      </w:r>
    </w:p>
    <w:p w14:paraId="74435A22">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（1）投标</w:t>
      </w:r>
      <w:r>
        <w:rPr>
          <w:rFonts w:hint="eastAsia" w:ascii="宋体" w:hAnsi="宋体" w:eastAsia="宋体" w:cs="宋体"/>
          <w:color w:val="auto"/>
          <w:szCs w:val="21"/>
          <w:lang w:val="zh-CN"/>
        </w:rPr>
        <w:t>人在规定的投标截止时间后至投标有效期满之前撤销或修改其投标文件；</w:t>
      </w:r>
    </w:p>
    <w:p w14:paraId="56E5B0D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（2）中标人未能在规定期限内提交履约担保；</w:t>
      </w:r>
    </w:p>
    <w:p w14:paraId="44BE879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（3）未根据第34条规定签署合同；</w:t>
      </w:r>
    </w:p>
    <w:p w14:paraId="5C658BD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（4）将中标项目转让给他人，或者在投标文件中未说明，且未经招标人同意，将中标项目的合同的权利义务转让给第三方的；</w:t>
      </w:r>
    </w:p>
    <w:p w14:paraId="3EB3AAD3">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（5）提供虚假投标文</w:t>
      </w:r>
      <w:r>
        <w:rPr>
          <w:rFonts w:hint="eastAsia" w:ascii="宋体" w:hAnsi="宋体" w:eastAsia="宋体" w:cs="宋体"/>
          <w:color w:val="auto"/>
          <w:kern w:val="0"/>
          <w:szCs w:val="21"/>
        </w:rPr>
        <w:t>件或虚假补充文件的，或违反《中华人民共和国招标投标法》等有关法律、法规、规章及招标投标相关规定的行为。</w:t>
      </w:r>
    </w:p>
    <w:p w14:paraId="0DAD3F11">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rPr>
      </w:pPr>
    </w:p>
    <w:p w14:paraId="4A591D8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0" w:name="_Toc142508330"/>
      <w:bookmarkStart w:id="161" w:name="_Toc29607"/>
      <w:bookmarkStart w:id="162" w:name="_Toc450662865"/>
      <w:bookmarkStart w:id="163" w:name="_Toc22649_WPSOffice_Level3"/>
      <w:bookmarkStart w:id="164" w:name="_Toc31718"/>
      <w:bookmarkStart w:id="165" w:name="_Toc1458"/>
      <w:bookmarkStart w:id="166" w:name="_Toc486167680"/>
      <w:r>
        <w:rPr>
          <w:rFonts w:hint="eastAsia" w:ascii="宋体" w:hAnsi="宋体" w:eastAsia="宋体" w:cs="宋体"/>
          <w:color w:val="auto"/>
          <w:szCs w:val="21"/>
          <w:lang w:val="zh-CN"/>
        </w:rPr>
        <w:t>16 投标有效期</w:t>
      </w:r>
      <w:bookmarkEnd w:id="160"/>
      <w:bookmarkEnd w:id="161"/>
      <w:bookmarkEnd w:id="162"/>
      <w:bookmarkEnd w:id="163"/>
      <w:bookmarkEnd w:id="164"/>
      <w:bookmarkEnd w:id="165"/>
      <w:bookmarkEnd w:id="166"/>
    </w:p>
    <w:p w14:paraId="57CFBB22">
      <w:pPr>
        <w:tabs>
          <w:tab w:val="left" w:pos="567"/>
        </w:tabs>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16.1</w:t>
      </w:r>
      <w:r>
        <w:rPr>
          <w:rFonts w:hint="eastAsia" w:ascii="宋体" w:hAnsi="宋体" w:eastAsia="宋体" w:cs="宋体"/>
          <w:color w:val="auto"/>
          <w:szCs w:val="21"/>
          <w:lang w:val="zh-CN"/>
        </w:rPr>
        <w:tab/>
      </w:r>
      <w:r>
        <w:rPr>
          <w:rFonts w:hint="eastAsia" w:ascii="宋体" w:hAnsi="宋体" w:eastAsia="宋体" w:cs="宋体"/>
          <w:b/>
          <w:bCs/>
          <w:color w:val="auto"/>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lang w:val="zh-CN"/>
        </w:rPr>
        <w:t>。</w:t>
      </w:r>
    </w:p>
    <w:p w14:paraId="574AEC6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16.2</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中标人的投标文件作为合同附件，合同失效时同时失效。</w:t>
      </w:r>
    </w:p>
    <w:p w14:paraId="705D1312">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rPr>
        <w:t>人</w:t>
      </w:r>
      <w:r>
        <w:rPr>
          <w:rFonts w:hint="eastAsia" w:ascii="宋体" w:hAnsi="宋体" w:eastAsia="宋体" w:cs="宋体"/>
          <w:color w:val="auto"/>
          <w:szCs w:val="21"/>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3DB194F2">
      <w:pPr>
        <w:autoSpaceDE w:val="0"/>
        <w:autoSpaceDN w:val="0"/>
        <w:adjustRightInd w:val="0"/>
        <w:spacing w:line="360" w:lineRule="auto"/>
        <w:ind w:left="357" w:leftChars="-100" w:hanging="567"/>
        <w:rPr>
          <w:rFonts w:ascii="宋体" w:hAnsi="宋体" w:eastAsia="宋体" w:cs="宋体"/>
          <w:color w:val="auto"/>
          <w:szCs w:val="21"/>
          <w:lang w:val="zh-CN"/>
        </w:rPr>
      </w:pPr>
    </w:p>
    <w:p w14:paraId="60ABE80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7" w:name="_Toc25637_WPSOffice_Level3"/>
      <w:bookmarkStart w:id="168" w:name="_Toc31488"/>
      <w:bookmarkStart w:id="169" w:name="_Toc20422"/>
      <w:bookmarkStart w:id="170" w:name="_Toc450662866"/>
      <w:bookmarkStart w:id="171" w:name="_Toc486167681"/>
      <w:bookmarkStart w:id="172" w:name="_Toc142508331"/>
      <w:bookmarkStart w:id="173" w:name="_Toc932"/>
      <w:r>
        <w:rPr>
          <w:rFonts w:hint="eastAsia" w:ascii="宋体" w:hAnsi="宋体" w:eastAsia="宋体" w:cs="宋体"/>
          <w:color w:val="auto"/>
          <w:szCs w:val="21"/>
          <w:lang w:val="zh-CN"/>
        </w:rPr>
        <w:t>17 投标文件的式样和签署</w:t>
      </w:r>
      <w:bookmarkEnd w:id="167"/>
      <w:bookmarkEnd w:id="168"/>
      <w:bookmarkEnd w:id="169"/>
      <w:bookmarkEnd w:id="170"/>
      <w:bookmarkEnd w:id="171"/>
      <w:bookmarkEnd w:id="172"/>
      <w:bookmarkEnd w:id="173"/>
    </w:p>
    <w:p w14:paraId="3DF1EFEC">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投标人应准备一份“唱标信封”、一份投标文件电子文件、一份正本和</w:t>
      </w:r>
      <w:r>
        <w:rPr>
          <w:rFonts w:hint="eastAsia" w:ascii="宋体" w:hAnsi="宋体" w:eastAsia="宋体" w:cs="宋体"/>
          <w:b/>
          <w:color w:val="auto"/>
          <w:szCs w:val="21"/>
          <w:u w:val="single"/>
        </w:rPr>
        <w:t>七</w:t>
      </w:r>
      <w:r>
        <w:rPr>
          <w:rFonts w:hint="eastAsia" w:ascii="宋体" w:hAnsi="宋体" w:eastAsia="宋体" w:cs="宋体"/>
          <w:b/>
          <w:color w:val="auto"/>
          <w:szCs w:val="21"/>
          <w:u w:val="single"/>
          <w:lang w:val="zh-CN"/>
        </w:rPr>
        <w:t>份副本“投标文件”</w:t>
      </w:r>
      <w:r>
        <w:rPr>
          <w:rFonts w:hint="eastAsia" w:ascii="宋体" w:hAnsi="宋体" w:eastAsia="宋体" w:cs="宋体"/>
          <w:color w:val="auto"/>
          <w:szCs w:val="21"/>
          <w:lang w:val="zh-CN"/>
        </w:rPr>
        <w:t>，在每一份投标文件上编上目录（目录内的页码必须与实际内容对应）、页次，装订成册（不允许使用活页夹），并要明确注明“正本”或“副本”，一旦正本和副本发现差异，以正本为准。</w:t>
      </w:r>
    </w:p>
    <w:p w14:paraId="058E093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17.2</w:t>
      </w:r>
      <w:r>
        <w:rPr>
          <w:rFonts w:hint="eastAsia" w:ascii="宋体" w:hAnsi="宋体" w:eastAsia="宋体" w:cs="宋体"/>
          <w:color w:val="auto"/>
          <w:szCs w:val="21"/>
          <w:lang w:val="zh-CN"/>
        </w:rPr>
        <w:tab/>
      </w:r>
      <w:r>
        <w:rPr>
          <w:rFonts w:hint="eastAsia" w:ascii="宋体" w:hAnsi="宋体" w:eastAsia="宋体" w:cs="宋体"/>
          <w:bCs/>
          <w:color w:val="auto"/>
          <w:szCs w:val="21"/>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lang w:val="zh-CN"/>
        </w:rPr>
        <w:t>副本文件可由正本文件复印而成。</w:t>
      </w:r>
    </w:p>
    <w:p w14:paraId="3504BD67">
      <w:pPr>
        <w:autoSpaceDE w:val="0"/>
        <w:autoSpaceDN w:val="0"/>
        <w:adjustRightInd w:val="0"/>
        <w:spacing w:line="360" w:lineRule="auto"/>
        <w:ind w:left="357" w:leftChars="-100" w:hanging="567"/>
        <w:rPr>
          <w:rFonts w:ascii="宋体" w:hAnsi="宋体" w:eastAsia="宋体" w:cs="宋体"/>
          <w:bCs/>
          <w:color w:val="auto"/>
          <w:szCs w:val="21"/>
          <w:lang w:val="zh-CN"/>
        </w:rPr>
      </w:pPr>
      <w:r>
        <w:rPr>
          <w:rFonts w:hint="eastAsia" w:ascii="宋体" w:hAnsi="宋体" w:eastAsia="宋体" w:cs="宋体"/>
          <w:color w:val="auto"/>
          <w:szCs w:val="21"/>
          <w:lang w:val="zh-CN"/>
        </w:rPr>
        <w:t>17.3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除投标人对错处作必要修改外，投标文件中不许有加行、涂抹或改写。</w:t>
      </w:r>
      <w:r>
        <w:rPr>
          <w:rFonts w:hint="eastAsia" w:ascii="宋体" w:hAnsi="宋体" w:eastAsia="宋体" w:cs="宋体"/>
          <w:bCs/>
          <w:color w:val="auto"/>
          <w:szCs w:val="21"/>
          <w:lang w:val="zh-CN"/>
        </w:rPr>
        <w:t>若有修改须由签署投标文件的人进行签字（或盖私章），并加盖投标人法人公章。</w:t>
      </w:r>
    </w:p>
    <w:p w14:paraId="11E2EF43">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17.4  投标文件的封面应注明“项目名称、招标编号、所投包号、投标人名称、投标日期等”。</w:t>
      </w:r>
    </w:p>
    <w:p w14:paraId="4A01A4D2">
      <w:pPr>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17.5</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子文件内容包括：电子文件不可设置密码，用DVD或CD-R光盘或U盘储存，可密封于“唱标信封”内（若电子文件单独密封，其包装封面需注明项目名称、招标编号、所投包号、投标人单位名称，并加盖投标人法人公章）。</w:t>
      </w:r>
    </w:p>
    <w:p w14:paraId="3C1CF111">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17.6</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电报、电传、传真的投标概不接受。</w:t>
      </w:r>
    </w:p>
    <w:p w14:paraId="3D58FEC7">
      <w:pPr>
        <w:autoSpaceDE w:val="0"/>
        <w:autoSpaceDN w:val="0"/>
        <w:adjustRightInd w:val="0"/>
        <w:ind w:left="438" w:hanging="648"/>
        <w:jc w:val="left"/>
        <w:rPr>
          <w:rFonts w:ascii="宋体" w:hAnsi="宋体" w:eastAsia="宋体" w:cs="宋体"/>
          <w:color w:val="auto"/>
          <w:kern w:val="0"/>
          <w:sz w:val="24"/>
          <w:szCs w:val="24"/>
        </w:rPr>
      </w:pPr>
      <w:bookmarkStart w:id="174" w:name="_Toc450662867"/>
    </w:p>
    <w:p w14:paraId="1A32FDD3">
      <w:pPr>
        <w:keepNext/>
        <w:keepLines/>
        <w:tabs>
          <w:tab w:val="left" w:pos="509"/>
        </w:tabs>
        <w:autoSpaceDE w:val="0"/>
        <w:autoSpaceDN w:val="0"/>
        <w:adjustRightInd w:val="0"/>
        <w:spacing w:line="360" w:lineRule="auto"/>
        <w:ind w:left="359" w:hanging="569"/>
        <w:jc w:val="left"/>
        <w:outlineLvl w:val="0"/>
        <w:rPr>
          <w:rFonts w:ascii="宋体" w:hAnsi="宋体" w:eastAsia="宋体" w:cs="宋体"/>
          <w:color w:val="auto"/>
          <w:kern w:val="0"/>
          <w:sz w:val="24"/>
          <w:szCs w:val="24"/>
        </w:rPr>
      </w:pPr>
      <w:bookmarkStart w:id="175" w:name="_Toc486167682"/>
      <w:bookmarkStart w:id="176" w:name="_Toc140596891"/>
      <w:bookmarkStart w:id="177" w:name="_Toc17199"/>
      <w:bookmarkStart w:id="178" w:name="_Toc142508332"/>
      <w:bookmarkStart w:id="179" w:name="_Toc26605"/>
      <w:bookmarkStart w:id="180" w:name="_Toc22356_WPSOffice_Level2"/>
      <w:bookmarkStart w:id="181" w:name="_Toc31378"/>
      <w:r>
        <w:rPr>
          <w:rFonts w:hint="eastAsia" w:ascii="宋体" w:hAnsi="宋体" w:eastAsia="宋体" w:cs="宋体"/>
          <w:b/>
          <w:bCs/>
          <w:color w:val="auto"/>
          <w:kern w:val="44"/>
          <w:szCs w:val="21"/>
          <w:lang w:val="zh-CN"/>
        </w:rPr>
        <w:t>四、投标文件的递交</w:t>
      </w:r>
      <w:bookmarkEnd w:id="174"/>
      <w:bookmarkEnd w:id="175"/>
      <w:bookmarkEnd w:id="176"/>
      <w:bookmarkEnd w:id="177"/>
      <w:bookmarkEnd w:id="178"/>
      <w:bookmarkEnd w:id="179"/>
      <w:bookmarkEnd w:id="180"/>
      <w:bookmarkEnd w:id="181"/>
    </w:p>
    <w:p w14:paraId="31403F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82" w:name="_Toc142508333"/>
      <w:bookmarkStart w:id="183" w:name="_Toc450662868"/>
      <w:bookmarkStart w:id="184" w:name="_Toc31551"/>
      <w:bookmarkStart w:id="185" w:name="_Toc12192_WPSOffice_Level3"/>
      <w:bookmarkStart w:id="186" w:name="_Toc29885"/>
      <w:bookmarkStart w:id="187" w:name="_Toc3313"/>
      <w:bookmarkStart w:id="188" w:name="_Toc486167683"/>
      <w:r>
        <w:rPr>
          <w:rFonts w:hint="eastAsia" w:ascii="宋体" w:hAnsi="宋体" w:eastAsia="宋体" w:cs="宋体"/>
          <w:color w:val="auto"/>
          <w:szCs w:val="21"/>
          <w:lang w:val="zh-CN"/>
        </w:rPr>
        <w:t>18 投标文件的密封和标记</w:t>
      </w:r>
      <w:bookmarkEnd w:id="182"/>
      <w:bookmarkEnd w:id="183"/>
      <w:bookmarkEnd w:id="184"/>
      <w:bookmarkEnd w:id="185"/>
      <w:bookmarkEnd w:id="186"/>
      <w:bookmarkEnd w:id="187"/>
      <w:bookmarkEnd w:id="188"/>
    </w:p>
    <w:p w14:paraId="08DE4A8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投标人应将正本和副本投标文件（本处不含唱标信封、投标文件电子文件）密封在不透明的外层封装中。</w:t>
      </w:r>
    </w:p>
    <w:p w14:paraId="52DD65E5">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18.2</w:t>
      </w:r>
      <w:r>
        <w:rPr>
          <w:rFonts w:hint="eastAsia" w:ascii="宋体" w:hAnsi="宋体" w:eastAsia="宋体" w:cs="宋体"/>
          <w:color w:val="auto"/>
          <w:szCs w:val="21"/>
          <w:lang w:val="zh-CN"/>
        </w:rPr>
        <w:tab/>
      </w:r>
      <w:r>
        <w:rPr>
          <w:rFonts w:hint="eastAsia" w:ascii="宋体" w:hAnsi="宋体" w:eastAsia="宋体" w:cs="宋体"/>
          <w:b/>
          <w:bCs/>
          <w:color w:val="auto"/>
          <w:szCs w:val="21"/>
          <w:lang w:val="zh-CN"/>
        </w:rPr>
        <w:t>唱标信封应单独密封，与18.1款的投标文件一同提交。</w:t>
      </w:r>
    </w:p>
    <w:p w14:paraId="129AE806">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18.3</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投标文件密封封装标记：</w:t>
      </w:r>
    </w:p>
    <w:p w14:paraId="5BC3DBE2">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hint="eastAsia" w:ascii="宋体" w:hAnsi="宋体" w:eastAsia="宋体" w:cs="宋体"/>
          <w:color w:val="auto"/>
          <w:szCs w:val="21"/>
          <w:lang w:val="zh-CN"/>
        </w:rPr>
        <w:t>）外层密封封装表面应正确注明项目名称、招标编号、所投包号、投标人单位名称、并注明投标文件递交截止时间之前不得开封（在封口位置的封条上标注注明），封口位置的封条上须加盖投标人法人公章；</w:t>
      </w:r>
    </w:p>
    <w:p w14:paraId="03D765AA">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）投标文件已密封但不按前述标志封包，由此而引起的提前开封或错放责任由投标人承担；</w:t>
      </w:r>
    </w:p>
    <w:p w14:paraId="7963E832">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（3）不足以造成投标文件可以从外包装内散出而导致投标文件泄密的，不认定为投标文件未密封。</w:t>
      </w:r>
    </w:p>
    <w:p w14:paraId="08CFC446">
      <w:pPr>
        <w:tabs>
          <w:tab w:val="left" w:pos="567"/>
        </w:tabs>
        <w:autoSpaceDE w:val="0"/>
        <w:autoSpaceDN w:val="0"/>
        <w:adjustRightInd w:val="0"/>
        <w:spacing w:line="360" w:lineRule="auto"/>
        <w:ind w:left="359" w:leftChars="-100" w:right="15" w:rightChars="7" w:hanging="569"/>
        <w:rPr>
          <w:rFonts w:ascii="宋体" w:hAnsi="宋体" w:eastAsia="宋体" w:cs="宋体"/>
          <w:b/>
          <w:color w:val="auto"/>
          <w:szCs w:val="21"/>
          <w:lang w:val="zh-CN"/>
        </w:rPr>
      </w:pPr>
      <w:r>
        <w:rPr>
          <w:rFonts w:hint="eastAsia" w:ascii="宋体" w:hAnsi="宋体" w:eastAsia="宋体" w:cs="宋体"/>
          <w:b/>
          <w:color w:val="auto"/>
          <w:szCs w:val="21"/>
          <w:lang w:val="zh-CN"/>
        </w:rPr>
        <w:t>18.4</w:t>
      </w:r>
      <w:r>
        <w:rPr>
          <w:rFonts w:hint="eastAsia" w:ascii="宋体" w:hAnsi="宋体" w:eastAsia="宋体" w:cs="宋体"/>
          <w:b/>
          <w:color w:val="auto"/>
          <w:szCs w:val="21"/>
          <w:lang w:val="zh-CN"/>
        </w:rPr>
        <w:tab/>
      </w:r>
      <w:r>
        <w:rPr>
          <w:rFonts w:hint="eastAsia" w:ascii="宋体" w:hAnsi="宋体" w:eastAsia="宋体" w:cs="宋体"/>
          <w:b/>
          <w:color w:val="auto"/>
          <w:szCs w:val="21"/>
          <w:lang w:val="zh-CN"/>
        </w:rPr>
        <w:t>如果密封封装未按本款规定密封和标记，招标代理机构对投标文件的误投或提前拆封不负责任。对由此造成提前开封的投标文件，招标代理机构予以拒绝，并退回投标人。</w:t>
      </w:r>
    </w:p>
    <w:p w14:paraId="25A95985">
      <w:pPr>
        <w:autoSpaceDE w:val="0"/>
        <w:autoSpaceDN w:val="0"/>
        <w:adjustRightInd w:val="0"/>
        <w:spacing w:line="360" w:lineRule="auto"/>
        <w:ind w:left="355" w:leftChars="-101" w:right="15" w:rightChars="7"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lang w:val="zh-CN"/>
        </w:rPr>
        <w:t>将对所有的投标文件的密封性进行检查</w:t>
      </w:r>
      <w:r>
        <w:rPr>
          <w:rFonts w:hint="eastAsia" w:ascii="宋体" w:hAnsi="宋体" w:eastAsia="宋体" w:cs="宋体"/>
          <w:color w:val="auto"/>
          <w:szCs w:val="21"/>
          <w:lang w:val="zh-CN"/>
        </w:rPr>
        <w:t>，并签署进行确认。</w:t>
      </w:r>
    </w:p>
    <w:p w14:paraId="6CDBFD9C">
      <w:pPr>
        <w:tabs>
          <w:tab w:val="left" w:pos="567"/>
        </w:tabs>
        <w:autoSpaceDE w:val="0"/>
        <w:autoSpaceDN w:val="0"/>
        <w:adjustRightInd w:val="0"/>
        <w:spacing w:line="360" w:lineRule="auto"/>
        <w:ind w:left="-210" w:right="15" w:rightChars="7" w:firstLine="525" w:firstLineChars="250"/>
        <w:rPr>
          <w:rFonts w:ascii="宋体" w:hAnsi="宋体" w:eastAsia="宋体" w:cs="宋体"/>
          <w:color w:val="auto"/>
          <w:szCs w:val="21"/>
          <w:lang w:val="zh-CN"/>
        </w:rPr>
      </w:pPr>
    </w:p>
    <w:p w14:paraId="4E9D2FA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89" w:name="_Toc4979"/>
      <w:bookmarkStart w:id="190" w:name="_Toc29665_WPSOffice_Level3"/>
      <w:bookmarkStart w:id="191" w:name="_Toc450662869"/>
      <w:bookmarkStart w:id="192" w:name="_Toc142508334"/>
      <w:bookmarkStart w:id="193" w:name="_Toc486167684"/>
      <w:bookmarkStart w:id="194" w:name="_Toc12582"/>
      <w:bookmarkStart w:id="195" w:name="_Toc19330"/>
      <w:r>
        <w:rPr>
          <w:rFonts w:hint="eastAsia" w:ascii="宋体" w:hAnsi="宋体" w:eastAsia="宋体" w:cs="宋体"/>
          <w:color w:val="auto"/>
          <w:szCs w:val="21"/>
          <w:lang w:val="zh-CN"/>
        </w:rPr>
        <w:t>19 递交投标文件的截止日期</w:t>
      </w:r>
      <w:bookmarkEnd w:id="189"/>
      <w:bookmarkEnd w:id="190"/>
      <w:bookmarkEnd w:id="191"/>
      <w:bookmarkEnd w:id="192"/>
      <w:bookmarkEnd w:id="193"/>
      <w:bookmarkEnd w:id="194"/>
      <w:bookmarkEnd w:id="195"/>
    </w:p>
    <w:p w14:paraId="7F39D562">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招标代理机构收到投标文件的时间不得迟于第一篇“招标公告”中规定的截止时间。</w:t>
      </w:r>
    </w:p>
    <w:p w14:paraId="68BC07E3">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招标代理机构可按照第7条的规定修改招标文件并酌情延长递交投标文件的截止时间，因此，已规定的招标代理机构和投标人的一切权利和义务将按延期后的递交投标文件截止时间履行。</w:t>
      </w:r>
    </w:p>
    <w:p w14:paraId="10876FE7">
      <w:pPr>
        <w:autoSpaceDE w:val="0"/>
        <w:autoSpaceDN w:val="0"/>
        <w:adjustRightInd w:val="0"/>
        <w:spacing w:line="360" w:lineRule="auto"/>
        <w:ind w:left="357" w:leftChars="-100" w:hanging="567"/>
        <w:rPr>
          <w:rFonts w:ascii="宋体" w:hAnsi="宋体" w:eastAsia="宋体" w:cs="宋体"/>
          <w:color w:val="auto"/>
          <w:szCs w:val="21"/>
          <w:lang w:val="zh-CN"/>
        </w:rPr>
      </w:pPr>
    </w:p>
    <w:p w14:paraId="36DC9BA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rPr>
      </w:pPr>
      <w:bookmarkStart w:id="196" w:name="_Toc22431_WPSOffice_Level3"/>
      <w:bookmarkStart w:id="197" w:name="_Toc450662870"/>
      <w:bookmarkStart w:id="198" w:name="_Toc29682"/>
      <w:bookmarkStart w:id="199" w:name="_Toc20835"/>
      <w:bookmarkStart w:id="200" w:name="_Toc486167685"/>
      <w:bookmarkStart w:id="201" w:name="_Toc142508335"/>
      <w:bookmarkStart w:id="202" w:name="_Toc30287"/>
      <w:r>
        <w:rPr>
          <w:rFonts w:hint="eastAsia" w:ascii="宋体" w:hAnsi="宋体" w:eastAsia="宋体" w:cs="宋体"/>
          <w:color w:val="auto"/>
          <w:szCs w:val="21"/>
          <w:lang w:val="zh-CN"/>
        </w:rPr>
        <w:t>20 迟交的投标文件</w:t>
      </w:r>
      <w:bookmarkEnd w:id="196"/>
      <w:bookmarkEnd w:id="197"/>
      <w:bookmarkEnd w:id="198"/>
      <w:bookmarkEnd w:id="199"/>
      <w:bookmarkEnd w:id="200"/>
      <w:bookmarkEnd w:id="201"/>
      <w:bookmarkEnd w:id="202"/>
    </w:p>
    <w:p w14:paraId="484B377F">
      <w:pPr>
        <w:autoSpaceDE w:val="0"/>
        <w:autoSpaceDN w:val="0"/>
        <w:adjustRightInd w:val="0"/>
        <w:spacing w:line="360" w:lineRule="auto"/>
        <w:ind w:left="-210" w:firstLine="315" w:firstLineChars="150"/>
        <w:jc w:val="left"/>
        <w:rPr>
          <w:rFonts w:ascii="宋体" w:hAnsi="宋体" w:eastAsia="宋体" w:cs="宋体"/>
          <w:color w:val="auto"/>
          <w:szCs w:val="21"/>
          <w:lang w:val="zh-CN"/>
        </w:rPr>
      </w:pPr>
      <w:r>
        <w:rPr>
          <w:rFonts w:hint="eastAsia" w:ascii="宋体" w:hAnsi="宋体" w:eastAsia="宋体" w:cs="宋体"/>
          <w:color w:val="auto"/>
          <w:szCs w:val="21"/>
          <w:lang w:val="zh-CN"/>
        </w:rPr>
        <w:t>根据第19条规定，招标代理机构将拒绝任何晚于递交投标文件的截止时间交到的投标文件。</w:t>
      </w:r>
    </w:p>
    <w:p w14:paraId="089CCBF9">
      <w:pPr>
        <w:autoSpaceDE w:val="0"/>
        <w:autoSpaceDN w:val="0"/>
        <w:adjustRightInd w:val="0"/>
        <w:ind w:left="438" w:hanging="648"/>
        <w:jc w:val="left"/>
        <w:rPr>
          <w:rFonts w:ascii="宋体" w:hAnsi="宋体" w:eastAsia="宋体" w:cs="宋体"/>
          <w:color w:val="auto"/>
          <w:kern w:val="0"/>
          <w:sz w:val="24"/>
          <w:szCs w:val="24"/>
        </w:rPr>
      </w:pPr>
    </w:p>
    <w:p w14:paraId="0249B1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03" w:name="_Toc486167686"/>
      <w:bookmarkStart w:id="204" w:name="_Toc3814"/>
      <w:bookmarkStart w:id="205" w:name="_Toc4883_WPSOffice_Level3"/>
      <w:bookmarkStart w:id="206" w:name="_Toc450662871"/>
      <w:bookmarkStart w:id="207" w:name="_Toc142508336"/>
      <w:bookmarkStart w:id="208" w:name="_Toc27851"/>
      <w:bookmarkStart w:id="209" w:name="_Toc16046"/>
      <w:r>
        <w:rPr>
          <w:rFonts w:hint="eastAsia" w:ascii="宋体" w:hAnsi="宋体" w:eastAsia="宋体" w:cs="宋体"/>
          <w:color w:val="auto"/>
          <w:szCs w:val="21"/>
          <w:lang w:val="zh-CN"/>
        </w:rPr>
        <w:t>21 投标文件的修改和撤回</w:t>
      </w:r>
      <w:bookmarkEnd w:id="203"/>
      <w:bookmarkEnd w:id="204"/>
      <w:bookmarkEnd w:id="205"/>
      <w:bookmarkEnd w:id="206"/>
      <w:bookmarkEnd w:id="207"/>
      <w:bookmarkEnd w:id="208"/>
      <w:bookmarkEnd w:id="209"/>
    </w:p>
    <w:p w14:paraId="6038B9F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投标人在提交投标文件后可对其投标文件进行修改或撤回，但招标代理机构须在提交投标文件截止日期前收到该修改或撤回的书面通知。</w:t>
      </w:r>
    </w:p>
    <w:p w14:paraId="7B43BE74">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投标人对投标文件的修改或撤回的通知应按第17条和第18条规定进行准备、密封、标注和递送。</w:t>
      </w:r>
    </w:p>
    <w:p w14:paraId="70EE6B0A">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递交投标文件截止时间后不得修改投标文件。</w:t>
      </w:r>
    </w:p>
    <w:p w14:paraId="058D4510">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投标人不得在递交投标文件截止时间起至第16条规定的投标文件有效期期满前撤销投标文件。否则招标</w:t>
      </w:r>
      <w:r>
        <w:rPr>
          <w:rFonts w:hint="eastAsia" w:ascii="宋体" w:hAnsi="宋体" w:eastAsia="宋体" w:cs="宋体"/>
          <w:color w:val="auto"/>
          <w:szCs w:val="21"/>
        </w:rPr>
        <w:t>人</w:t>
      </w:r>
      <w:r>
        <w:rPr>
          <w:rFonts w:hint="eastAsia" w:ascii="宋体" w:hAnsi="宋体" w:eastAsia="宋体" w:cs="宋体"/>
          <w:color w:val="auto"/>
          <w:szCs w:val="21"/>
          <w:lang w:val="zh-CN"/>
        </w:rPr>
        <w:t>将按第15.7款（1）规定不予退还其投标保证金。</w:t>
      </w:r>
    </w:p>
    <w:p w14:paraId="179F35FB">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51E69661">
      <w:pPr>
        <w:keepNext/>
        <w:keepLines/>
        <w:tabs>
          <w:tab w:val="left" w:pos="509"/>
        </w:tab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210" w:name="_Toc486167687"/>
      <w:bookmarkStart w:id="211" w:name="_Toc28824"/>
      <w:bookmarkStart w:id="212" w:name="_Toc450662872"/>
      <w:bookmarkStart w:id="213" w:name="_Toc142508337"/>
      <w:bookmarkStart w:id="214" w:name="_Toc1049_WPSOffice_Level2"/>
      <w:bookmarkStart w:id="215" w:name="_Toc30428"/>
      <w:bookmarkStart w:id="216" w:name="_Toc140596896"/>
      <w:bookmarkStart w:id="217" w:name="_Toc261"/>
      <w:r>
        <w:rPr>
          <w:rFonts w:hint="eastAsia" w:ascii="宋体" w:hAnsi="宋体" w:eastAsia="宋体" w:cs="宋体"/>
          <w:b/>
          <w:bCs/>
          <w:color w:val="auto"/>
          <w:kern w:val="44"/>
          <w:szCs w:val="21"/>
          <w:lang w:val="zh-CN"/>
        </w:rPr>
        <w:t>五、开标与评标</w:t>
      </w:r>
      <w:bookmarkEnd w:id="210"/>
      <w:bookmarkEnd w:id="211"/>
      <w:bookmarkEnd w:id="212"/>
      <w:bookmarkEnd w:id="213"/>
      <w:bookmarkEnd w:id="214"/>
      <w:bookmarkEnd w:id="215"/>
      <w:bookmarkEnd w:id="216"/>
      <w:bookmarkEnd w:id="217"/>
    </w:p>
    <w:p w14:paraId="1623E9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18" w:name="_Toc11256"/>
      <w:bookmarkStart w:id="219" w:name="_Toc144_WPSOffice_Level3"/>
      <w:bookmarkStart w:id="220" w:name="_Toc486167688"/>
      <w:bookmarkStart w:id="221" w:name="_Toc13767"/>
      <w:bookmarkStart w:id="222" w:name="_Toc450662873"/>
      <w:bookmarkStart w:id="223" w:name="_Toc8728"/>
      <w:bookmarkStart w:id="224" w:name="_Toc142508338"/>
      <w:r>
        <w:rPr>
          <w:rFonts w:hint="eastAsia" w:ascii="宋体" w:hAnsi="宋体" w:eastAsia="宋体" w:cs="宋体"/>
          <w:color w:val="auto"/>
          <w:szCs w:val="21"/>
          <w:lang w:val="zh-CN"/>
        </w:rPr>
        <w:t>22 开标</w:t>
      </w:r>
      <w:bookmarkEnd w:id="218"/>
      <w:bookmarkEnd w:id="219"/>
      <w:bookmarkEnd w:id="220"/>
      <w:bookmarkEnd w:id="221"/>
      <w:bookmarkEnd w:id="222"/>
      <w:bookmarkEnd w:id="223"/>
      <w:bookmarkEnd w:id="224"/>
    </w:p>
    <w:p w14:paraId="7AD1BE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招标代理机构在投标人代表自愿出席的情况下，在第一篇“招标公告”规定的地点和时间开标, 出席代表需登记以示出席。</w:t>
      </w:r>
    </w:p>
    <w:p w14:paraId="5B8CD8A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按照第21条规定，提交了可接受的“撤回”通知的投标文件将不予开封。</w:t>
      </w:r>
    </w:p>
    <w:p w14:paraId="456138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rPr>
        <w:t>当</w:t>
      </w:r>
      <w:r>
        <w:rPr>
          <w:rFonts w:hint="eastAsia" w:ascii="宋体" w:hAnsi="宋体" w:eastAsia="宋体" w:cs="宋体"/>
          <w:color w:val="auto"/>
          <w:szCs w:val="21"/>
          <w:lang w:val="zh-CN"/>
        </w:rPr>
        <w:t>场核查确认之后，可重新宣读其投标文件</w:t>
      </w:r>
      <w:r>
        <w:rPr>
          <w:rFonts w:hint="eastAsia" w:ascii="宋体" w:hAnsi="宋体" w:eastAsia="宋体" w:cs="宋体"/>
          <w:color w:val="auto"/>
          <w:szCs w:val="21"/>
        </w:rPr>
        <w:t>相关内容</w:t>
      </w:r>
      <w:r>
        <w:rPr>
          <w:rFonts w:hint="eastAsia" w:ascii="宋体" w:hAnsi="宋体" w:eastAsia="宋体" w:cs="宋体"/>
          <w:color w:val="auto"/>
          <w:szCs w:val="21"/>
          <w:lang w:val="zh-CN"/>
        </w:rPr>
        <w:t>。若投标人现场未提出异议，则视为投标人确认宣读的结果。</w:t>
      </w:r>
    </w:p>
    <w:p w14:paraId="3DD4417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投标文件的投标报价大写金额和小写金额不一致的，以大写金额为准。对不同文字文本投标文件的解释发生异议的，以中文文本为准。</w:t>
      </w:r>
    </w:p>
    <w:p w14:paraId="12DF456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22.5 投标人对开标有异议的，应当在开标现场提出，招标代理机构应当当场作出答复，并制作记录。投标人法定代表人或其授权代表未出席的，视同认可开标结果。</w:t>
      </w:r>
    </w:p>
    <w:p w14:paraId="1A7525A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22.6 招标代理机构将做开标记录，开标记录包括第22.5款发生的异议及答复、按第22.3款的规定在开标时宣读的全部内容。</w:t>
      </w:r>
    </w:p>
    <w:p w14:paraId="1B315C58">
      <w:pPr>
        <w:autoSpaceDE w:val="0"/>
        <w:autoSpaceDN w:val="0"/>
        <w:adjustRightInd w:val="0"/>
        <w:spacing w:line="360" w:lineRule="auto"/>
        <w:ind w:left="357" w:leftChars="-100" w:right="15" w:rightChars="7" w:hanging="567"/>
        <w:rPr>
          <w:rFonts w:ascii="宋体" w:hAnsi="宋体" w:eastAsia="宋体" w:cs="宋体"/>
          <w:color w:val="auto"/>
          <w:kern w:val="0"/>
          <w:szCs w:val="21"/>
        </w:rPr>
      </w:pPr>
    </w:p>
    <w:p w14:paraId="4FB061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25" w:name="_Toc450662874"/>
      <w:bookmarkStart w:id="226" w:name="_Toc32534"/>
      <w:bookmarkStart w:id="227" w:name="_Toc12165_WPSOffice_Level3"/>
      <w:bookmarkStart w:id="228" w:name="_Toc142508339"/>
      <w:bookmarkStart w:id="229" w:name="_Toc15576"/>
      <w:bookmarkStart w:id="230" w:name="_Toc486167689"/>
      <w:bookmarkStart w:id="231" w:name="_Toc23059"/>
      <w:r>
        <w:rPr>
          <w:rFonts w:hint="eastAsia" w:ascii="宋体" w:hAnsi="宋体" w:eastAsia="宋体" w:cs="宋体"/>
          <w:color w:val="auto"/>
          <w:szCs w:val="21"/>
          <w:lang w:val="zh-CN"/>
        </w:rPr>
        <w:t xml:space="preserve">23 </w:t>
      </w:r>
      <w:r>
        <w:rPr>
          <w:rFonts w:hint="eastAsia" w:ascii="宋体" w:hAnsi="宋体" w:eastAsia="宋体" w:cs="宋体"/>
          <w:color w:val="auto"/>
          <w:kern w:val="0"/>
          <w:szCs w:val="24"/>
        </w:rPr>
        <w:t>评标过程的保密性</w:t>
      </w:r>
      <w:bookmarkEnd w:id="225"/>
      <w:bookmarkEnd w:id="226"/>
      <w:bookmarkEnd w:id="227"/>
      <w:bookmarkEnd w:id="228"/>
      <w:bookmarkEnd w:id="229"/>
      <w:bookmarkEnd w:id="230"/>
      <w:bookmarkEnd w:id="231"/>
    </w:p>
    <w:p w14:paraId="3C881BB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递交投标文件后，直至向中标人授予合同期间，凡与审查、澄清、评估和比较投标报价的有关资料以及意见等，均不得向投标人及与评审无关的其他人透露，否则追究有关当事人的法律责任。</w:t>
      </w:r>
    </w:p>
    <w:p w14:paraId="4C9B4BB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在评标过程中，如果投标人试图在投标文件审查、澄清、比较及授予合同方面向招标代理机构和招标人施加任何影响，其投标文件将被拒绝。</w:t>
      </w:r>
    </w:p>
    <w:p w14:paraId="7CB3787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0C21BC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2" w:name="_Toc16920"/>
      <w:bookmarkStart w:id="233" w:name="_Toc486167690"/>
      <w:bookmarkStart w:id="234" w:name="_Toc15565_WPSOffice_Level3"/>
      <w:bookmarkStart w:id="235" w:name="_Toc142508340"/>
      <w:bookmarkStart w:id="236" w:name="_Toc450662875"/>
      <w:bookmarkStart w:id="237" w:name="_Toc11462"/>
      <w:bookmarkStart w:id="238" w:name="_Toc800"/>
      <w:r>
        <w:rPr>
          <w:rFonts w:hint="eastAsia" w:ascii="宋体" w:hAnsi="宋体" w:eastAsia="宋体" w:cs="宋体"/>
          <w:color w:val="auto"/>
          <w:szCs w:val="21"/>
          <w:lang w:val="zh-CN"/>
        </w:rPr>
        <w:t>24 评标委员会</w:t>
      </w:r>
      <w:bookmarkEnd w:id="232"/>
      <w:bookmarkEnd w:id="233"/>
      <w:bookmarkEnd w:id="234"/>
      <w:bookmarkEnd w:id="235"/>
      <w:bookmarkEnd w:id="236"/>
      <w:bookmarkEnd w:id="237"/>
      <w:bookmarkEnd w:id="238"/>
    </w:p>
    <w:p w14:paraId="0548A4B6">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依法组建评标委员会。评标委员会的成员在评审过程中必须严格遵守国家及地方招标投标的有关规定。</w:t>
      </w:r>
    </w:p>
    <w:p w14:paraId="4EE38E6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24.2</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评标委员会依法根据招标文件的规定，进行投标文件的评审、得出评审结果，并向招标人推荐中标候选人。</w:t>
      </w:r>
    </w:p>
    <w:p w14:paraId="0ADB7079">
      <w:pPr>
        <w:autoSpaceDE w:val="0"/>
        <w:autoSpaceDN w:val="0"/>
        <w:adjustRightInd w:val="0"/>
        <w:spacing w:line="360" w:lineRule="auto"/>
        <w:ind w:left="357" w:leftChars="-100" w:hanging="567"/>
        <w:rPr>
          <w:rFonts w:ascii="宋体" w:hAnsi="宋体" w:eastAsia="宋体" w:cs="宋体"/>
          <w:color w:val="auto"/>
          <w:szCs w:val="21"/>
          <w:lang w:val="zh-CN"/>
        </w:rPr>
      </w:pPr>
    </w:p>
    <w:p w14:paraId="1F767E04">
      <w:pPr>
        <w:tabs>
          <w:tab w:val="left" w:pos="567"/>
        </w:tabs>
        <w:autoSpaceDE w:val="0"/>
        <w:autoSpaceDN w:val="0"/>
        <w:adjustRightInd w:val="0"/>
        <w:spacing w:line="360" w:lineRule="auto"/>
        <w:ind w:left="359" w:leftChars="-100" w:hanging="569"/>
        <w:jc w:val="left"/>
        <w:outlineLvl w:val="2"/>
        <w:rPr>
          <w:rFonts w:ascii="宋体" w:hAnsi="宋体" w:eastAsia="宋体" w:cs="宋体"/>
          <w:b/>
          <w:color w:val="auto"/>
          <w:szCs w:val="21"/>
          <w:lang w:val="zh-CN"/>
        </w:rPr>
      </w:pPr>
      <w:bookmarkStart w:id="239" w:name="_Toc28910_WPSOffice_Level3"/>
      <w:bookmarkStart w:id="240" w:name="_Toc486167691"/>
      <w:bookmarkStart w:id="241" w:name="_Toc142508341"/>
      <w:bookmarkStart w:id="242" w:name="_Toc450662876"/>
      <w:bookmarkStart w:id="243" w:name="_Toc31887"/>
      <w:bookmarkStart w:id="244" w:name="_Toc18668"/>
      <w:bookmarkStart w:id="245" w:name="_Toc12715"/>
      <w:r>
        <w:rPr>
          <w:rFonts w:hint="eastAsia" w:ascii="宋体" w:hAnsi="宋体" w:eastAsia="宋体" w:cs="宋体"/>
          <w:b/>
          <w:color w:val="auto"/>
          <w:szCs w:val="21"/>
          <w:lang w:val="zh-CN"/>
        </w:rPr>
        <w:t>25 投标文件的初审</w:t>
      </w:r>
      <w:bookmarkEnd w:id="239"/>
      <w:bookmarkEnd w:id="240"/>
      <w:bookmarkEnd w:id="241"/>
      <w:bookmarkEnd w:id="242"/>
      <w:bookmarkEnd w:id="243"/>
      <w:bookmarkEnd w:id="244"/>
      <w:bookmarkEnd w:id="245"/>
    </w:p>
    <w:p w14:paraId="1FCD31CD">
      <w:pPr>
        <w:autoSpaceDE w:val="0"/>
        <w:autoSpaceDN w:val="0"/>
        <w:adjustRightInd w:val="0"/>
        <w:spacing w:line="360" w:lineRule="auto"/>
        <w:ind w:left="359" w:leftChars="-100" w:hanging="569"/>
        <w:rPr>
          <w:rFonts w:ascii="宋体" w:hAnsi="宋体" w:eastAsia="宋体" w:cs="宋体"/>
          <w:b/>
          <w:color w:val="auto"/>
          <w:szCs w:val="21"/>
        </w:rPr>
      </w:pPr>
      <w:r>
        <w:rPr>
          <w:rFonts w:hint="eastAsia" w:ascii="宋体" w:hAnsi="宋体" w:eastAsia="宋体" w:cs="宋体"/>
          <w:b/>
          <w:color w:val="auto"/>
          <w:szCs w:val="21"/>
          <w:lang w:val="zh-CN"/>
        </w:rPr>
        <w:t>25.1 资格性检查：依据法律法规和招标文件的规定，对投标文件中的资格证明、投标保证金等进行审查，以确定投标人是否具备投标资格。</w:t>
      </w:r>
    </w:p>
    <w:p w14:paraId="1DFC50DA">
      <w:pPr>
        <w:autoSpaceDE w:val="0"/>
        <w:autoSpaceDN w:val="0"/>
        <w:adjustRightInd w:val="0"/>
        <w:spacing w:line="360" w:lineRule="auto"/>
        <w:ind w:left="359" w:leftChars="-100" w:hanging="569"/>
        <w:rPr>
          <w:rFonts w:ascii="宋体" w:hAnsi="宋体" w:eastAsia="宋体" w:cs="宋体"/>
          <w:b/>
          <w:color w:val="auto"/>
          <w:szCs w:val="21"/>
          <w:lang w:val="zh-CN"/>
        </w:rPr>
      </w:pPr>
      <w:r>
        <w:rPr>
          <w:rFonts w:hint="eastAsia" w:ascii="宋体" w:hAnsi="宋体" w:eastAsia="宋体" w:cs="宋体"/>
          <w:b/>
          <w:color w:val="auto"/>
          <w:szCs w:val="21"/>
          <w:lang w:val="zh-CN"/>
        </w:rPr>
        <w:t>25.2 符合性检查：依据招标文件的规定，从投标文件的有效性、完整性和对招标文件的响应程度进行审查，以确定是否对招标文件的实质性要求作出响应。</w:t>
      </w:r>
    </w:p>
    <w:p w14:paraId="73B68AB1">
      <w:pPr>
        <w:autoSpaceDE w:val="0"/>
        <w:autoSpaceDN w:val="0"/>
        <w:adjustRightInd w:val="0"/>
        <w:spacing w:line="360" w:lineRule="auto"/>
        <w:ind w:left="359" w:leftChars="-100" w:hanging="569"/>
        <w:rPr>
          <w:rFonts w:ascii="宋体" w:hAnsi="宋体" w:eastAsia="宋体" w:cs="宋体"/>
          <w:b/>
          <w:color w:val="auto"/>
          <w:szCs w:val="21"/>
          <w:lang w:val="zh-CN"/>
        </w:rPr>
      </w:pPr>
    </w:p>
    <w:p w14:paraId="3CF39DC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46" w:name="_Toc30225"/>
      <w:bookmarkStart w:id="247" w:name="_Toc486167692"/>
      <w:bookmarkStart w:id="248" w:name="_Toc450662877"/>
      <w:bookmarkStart w:id="249" w:name="_Toc142508342"/>
      <w:bookmarkStart w:id="250" w:name="_Toc338_WPSOffice_Level3"/>
      <w:bookmarkStart w:id="251" w:name="_Toc4837"/>
      <w:bookmarkStart w:id="252" w:name="_Toc25001"/>
      <w:r>
        <w:rPr>
          <w:rFonts w:hint="eastAsia" w:ascii="宋体" w:hAnsi="宋体" w:eastAsia="宋体" w:cs="宋体"/>
          <w:color w:val="auto"/>
          <w:szCs w:val="21"/>
          <w:lang w:val="zh-CN"/>
        </w:rPr>
        <w:t>26 投标文件的澄清</w:t>
      </w:r>
      <w:bookmarkEnd w:id="246"/>
      <w:bookmarkEnd w:id="247"/>
      <w:bookmarkEnd w:id="248"/>
      <w:bookmarkEnd w:id="249"/>
      <w:bookmarkEnd w:id="250"/>
      <w:bookmarkEnd w:id="251"/>
      <w:bookmarkEnd w:id="252"/>
    </w:p>
    <w:p w14:paraId="68F92107">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874F0CC">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bookmarkStart w:id="253" w:name="_Toc450662879"/>
      <w:r>
        <w:rPr>
          <w:rFonts w:hint="eastAsia" w:ascii="宋体" w:hAnsi="宋体" w:eastAsia="宋体" w:cs="宋体"/>
          <w:color w:val="auto"/>
          <w:szCs w:val="21"/>
          <w:lang w:val="zh-CN"/>
        </w:rPr>
        <w:t xml:space="preserve">26.2 </w:t>
      </w:r>
      <w:r>
        <w:rPr>
          <w:rFonts w:hint="eastAsia" w:ascii="宋体" w:hAnsi="宋体" w:eastAsia="宋体" w:cs="宋体"/>
          <w:color w:val="auto"/>
          <w:szCs w:val="21"/>
        </w:rPr>
        <w:t>开标当天</w:t>
      </w:r>
      <w:r>
        <w:rPr>
          <w:rFonts w:hint="eastAsia" w:ascii="宋体" w:hAnsi="宋体" w:eastAsia="宋体" w:cs="宋体"/>
          <w:color w:val="auto"/>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7946811F">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bookmarkEnd w:id="253"/>
    <w:p w14:paraId="20D4794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54" w:name="_Toc23398"/>
      <w:bookmarkStart w:id="255" w:name="_Toc18368_WPSOffice_Level3"/>
      <w:bookmarkStart w:id="256" w:name="_Toc142508343"/>
      <w:bookmarkStart w:id="257" w:name="_Toc22065"/>
      <w:bookmarkStart w:id="258" w:name="_Toc522047355"/>
      <w:bookmarkStart w:id="259" w:name="_Toc521918096"/>
      <w:bookmarkStart w:id="260" w:name="_Toc10967"/>
      <w:r>
        <w:rPr>
          <w:rFonts w:hint="eastAsia" w:ascii="宋体" w:hAnsi="宋体" w:eastAsia="宋体" w:cs="宋体"/>
          <w:color w:val="auto"/>
          <w:szCs w:val="21"/>
          <w:lang w:val="zh-CN"/>
        </w:rPr>
        <w:t>27 对投标文件的比较和评价</w:t>
      </w:r>
      <w:bookmarkEnd w:id="254"/>
      <w:bookmarkEnd w:id="255"/>
      <w:bookmarkEnd w:id="256"/>
      <w:bookmarkEnd w:id="257"/>
      <w:bookmarkEnd w:id="258"/>
      <w:bookmarkEnd w:id="259"/>
      <w:bookmarkEnd w:id="260"/>
    </w:p>
    <w:p w14:paraId="123C50D0">
      <w:pPr>
        <w:tabs>
          <w:tab w:val="left" w:pos="540"/>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27.1</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评标委员会将对资格性检查和符合性检查合格的投标文件进行比较和评价，包括商务</w:t>
      </w:r>
      <w:r>
        <w:rPr>
          <w:rFonts w:hint="eastAsia" w:ascii="宋体" w:hAnsi="宋体" w:eastAsia="宋体" w:cs="宋体"/>
          <w:color w:val="auto"/>
          <w:szCs w:val="21"/>
        </w:rPr>
        <w:t>和</w:t>
      </w:r>
      <w:r>
        <w:rPr>
          <w:rFonts w:hint="eastAsia" w:ascii="宋体" w:hAnsi="宋体" w:eastAsia="宋体" w:cs="宋体"/>
          <w:color w:val="auto"/>
          <w:szCs w:val="21"/>
          <w:lang w:val="zh-CN"/>
        </w:rPr>
        <w:t>技术的详细评审。</w:t>
      </w:r>
    </w:p>
    <w:p w14:paraId="2EF4F6C2">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对投标文件商务的评审详见评标工作大纲。</w:t>
      </w:r>
    </w:p>
    <w:p w14:paraId="06AB36FD">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对投标文件技术的评审详见评标工作大纲。</w:t>
      </w:r>
    </w:p>
    <w:p w14:paraId="71693876">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w:t>
      </w:r>
      <w:r>
        <w:rPr>
          <w:rFonts w:hint="eastAsia" w:ascii="宋体" w:hAnsi="宋体" w:eastAsia="宋体" w:cs="宋体"/>
          <w:color w:val="auto"/>
          <w:szCs w:val="21"/>
        </w:rPr>
        <w:t>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本次评标的评分权重详见评标工作大纲。</w:t>
      </w:r>
    </w:p>
    <w:p w14:paraId="6CA7FBAE">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27.</w:t>
      </w:r>
      <w:r>
        <w:rPr>
          <w:rFonts w:hint="eastAsia" w:ascii="宋体" w:hAnsi="宋体" w:eastAsia="宋体" w:cs="宋体"/>
          <w:color w:val="auto"/>
          <w:szCs w:val="21"/>
        </w:rPr>
        <w:t>5</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根据上述商务及技术综合评价的权重分配计算出各投标人的综合得分。</w:t>
      </w:r>
    </w:p>
    <w:p w14:paraId="036F22F3">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261" w:name="_Toc521918097"/>
      <w:bookmarkStart w:id="262" w:name="_Toc522047356"/>
    </w:p>
    <w:p w14:paraId="599C649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3" w:name="_Toc21460_WPSOffice_Level3"/>
      <w:bookmarkStart w:id="264" w:name="_Toc27026"/>
      <w:bookmarkStart w:id="265" w:name="_Toc16317"/>
      <w:bookmarkStart w:id="266" w:name="_Toc142508344"/>
      <w:bookmarkStart w:id="267" w:name="_Toc14804"/>
      <w:r>
        <w:rPr>
          <w:rFonts w:hint="eastAsia" w:ascii="宋体" w:hAnsi="宋体" w:eastAsia="宋体" w:cs="宋体"/>
          <w:color w:val="auto"/>
          <w:szCs w:val="21"/>
          <w:lang w:val="zh-CN"/>
        </w:rPr>
        <w:t>28 评标原则及方法</w:t>
      </w:r>
      <w:bookmarkEnd w:id="261"/>
      <w:bookmarkEnd w:id="262"/>
      <w:bookmarkEnd w:id="263"/>
      <w:bookmarkEnd w:id="264"/>
      <w:bookmarkEnd w:id="265"/>
      <w:bookmarkEnd w:id="266"/>
      <w:bookmarkEnd w:id="267"/>
    </w:p>
    <w:p w14:paraId="5FCB19E4">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对所有投标文件的评审，都采用相同的程序和标准。按步骤先进行初步评审，再进行商务</w:t>
      </w:r>
      <w:r>
        <w:rPr>
          <w:rFonts w:hint="eastAsia" w:ascii="宋体" w:hAnsi="宋体" w:eastAsia="宋体" w:cs="宋体"/>
          <w:color w:val="auto"/>
          <w:szCs w:val="21"/>
        </w:rPr>
        <w:t>和</w:t>
      </w:r>
      <w:r>
        <w:rPr>
          <w:rFonts w:hint="eastAsia" w:ascii="宋体" w:hAnsi="宋体" w:eastAsia="宋体" w:cs="宋体"/>
          <w:color w:val="auto"/>
          <w:szCs w:val="21"/>
          <w:lang w:val="zh-CN"/>
        </w:rPr>
        <w:t>技术评审。</w:t>
      </w:r>
    </w:p>
    <w:p w14:paraId="0DAD2C67">
      <w:pPr>
        <w:tabs>
          <w:tab w:val="left" w:pos="360"/>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r>
        <w:rPr>
          <w:rFonts w:hint="eastAsia" w:ascii="宋体" w:hAnsi="宋体" w:eastAsia="宋体" w:cs="宋体"/>
          <w:color w:val="auto"/>
          <w:szCs w:val="21"/>
          <w:lang w:val="zh-CN"/>
        </w:rPr>
        <w:t>28.2 评标严格按照招标文件的要求和条件进行。</w:t>
      </w:r>
    </w:p>
    <w:p w14:paraId="478D2676">
      <w:pPr>
        <w:tabs>
          <w:tab w:val="left" w:pos="360"/>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     在评标时将根据第27条，采用综合评分法的评审方法，对所有实质响应性投标文件进行综合打分。</w:t>
      </w:r>
    </w:p>
    <w:p w14:paraId="0D095BCE">
      <w:pPr>
        <w:tabs>
          <w:tab w:val="left" w:pos="360"/>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28.3 </w:t>
      </w:r>
      <w:r>
        <w:rPr>
          <w:rFonts w:hint="eastAsia" w:ascii="宋体" w:hAnsi="宋体" w:eastAsia="宋体" w:cs="宋体"/>
          <w:b/>
          <w:bCs/>
          <w:color w:val="auto"/>
          <w:szCs w:val="21"/>
          <w:lang w:val="zh-CN"/>
        </w:rPr>
        <w:t>若</w:t>
      </w:r>
      <w:r>
        <w:rPr>
          <w:rFonts w:hint="eastAsia" w:ascii="宋体" w:hAnsi="宋体" w:eastAsia="宋体" w:cs="宋体"/>
          <w:b/>
          <w:bCs/>
          <w:color w:val="auto"/>
          <w:szCs w:val="21"/>
        </w:rPr>
        <w:t>本次招标过程中某包组有效投标人不足三个时，该包组公开招标失败。</w:t>
      </w:r>
    </w:p>
    <w:p w14:paraId="3B13A6A2">
      <w:pPr>
        <w:tabs>
          <w:tab w:val="left" w:pos="360"/>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p>
    <w:p w14:paraId="7BEC628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8" w:name="_Toc32498_WPSOffice_Level3"/>
      <w:bookmarkStart w:id="269" w:name="_Toc465358969"/>
      <w:bookmarkStart w:id="270" w:name="_Toc466882017"/>
      <w:bookmarkStart w:id="271" w:name="_Toc142508345"/>
      <w:bookmarkStart w:id="272" w:name="_Toc4819"/>
      <w:bookmarkStart w:id="273" w:name="_Toc11615"/>
      <w:bookmarkStart w:id="274" w:name="_Toc486167694"/>
      <w:bookmarkStart w:id="275" w:name="_Toc30721"/>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评标结果公示及异议、投诉</w:t>
      </w:r>
      <w:bookmarkEnd w:id="268"/>
      <w:bookmarkEnd w:id="269"/>
      <w:bookmarkEnd w:id="270"/>
      <w:bookmarkEnd w:id="271"/>
      <w:bookmarkEnd w:id="272"/>
      <w:bookmarkEnd w:id="273"/>
      <w:bookmarkEnd w:id="274"/>
      <w:bookmarkEnd w:id="275"/>
    </w:p>
    <w:p w14:paraId="368DA2ED">
      <w:pPr>
        <w:tabs>
          <w:tab w:val="left" w:pos="360"/>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rPr>
        <w:t>评标结果</w:t>
      </w:r>
      <w:r>
        <w:rPr>
          <w:rFonts w:hint="eastAsia" w:ascii="宋体" w:hAnsi="宋体" w:eastAsia="宋体" w:cs="宋体"/>
          <w:color w:val="auto"/>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72B0208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lang w:val="zh-CN"/>
        </w:rPr>
        <w:t>。</w:t>
      </w:r>
    </w:p>
    <w:p w14:paraId="69DDEC35">
      <w:pPr>
        <w:autoSpaceDE w:val="0"/>
        <w:autoSpaceDN w:val="0"/>
        <w:adjustRightInd w:val="0"/>
        <w:spacing w:line="360" w:lineRule="auto"/>
        <w:ind w:left="359" w:hanging="569"/>
        <w:rPr>
          <w:rFonts w:ascii="宋体" w:hAnsi="宋体" w:eastAsia="宋体" w:cs="宋体"/>
          <w:b/>
          <w:color w:val="auto"/>
          <w:szCs w:val="21"/>
          <w:lang w:val="zh-CN"/>
        </w:rPr>
      </w:pPr>
      <w:r>
        <w:rPr>
          <w:rFonts w:hint="eastAsia" w:ascii="宋体" w:hAnsi="宋体" w:eastAsia="宋体" w:cs="宋体"/>
          <w:b/>
          <w:color w:val="auto"/>
          <w:szCs w:val="21"/>
        </w:rPr>
        <w:t xml:space="preserve">29.2 </w:t>
      </w:r>
      <w:r>
        <w:rPr>
          <w:rFonts w:hint="eastAsia" w:ascii="宋体" w:hAnsi="宋体" w:eastAsia="宋体" w:cs="宋体"/>
          <w:b/>
          <w:color w:val="auto"/>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01BB9A94">
      <w:pPr>
        <w:autoSpaceDE w:val="0"/>
        <w:autoSpaceDN w:val="0"/>
        <w:adjustRightInd w:val="0"/>
        <w:snapToGrid w:val="0"/>
        <w:spacing w:line="360" w:lineRule="auto"/>
        <w:ind w:left="246" w:leftChars="117" w:firstLine="422" w:firstLineChars="200"/>
        <w:jc w:val="left"/>
        <w:rPr>
          <w:rFonts w:ascii="宋体" w:hAnsi="宋体" w:eastAsia="宋体" w:cs="宋体"/>
          <w:b/>
          <w:color w:val="auto"/>
          <w:szCs w:val="21"/>
          <w:lang w:val="zh-CN"/>
        </w:rPr>
      </w:pPr>
      <w:r>
        <w:rPr>
          <w:rFonts w:hint="eastAsia" w:ascii="宋体" w:hAnsi="宋体" w:eastAsia="宋体" w:cs="宋体"/>
          <w:b/>
          <w:color w:val="auto"/>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lang w:val="zh-CN"/>
        </w:rPr>
        <w:t>，视为其无法提供真实的资料，招标人有权取消其中标候选人资格。</w:t>
      </w:r>
    </w:p>
    <w:p w14:paraId="1525D3C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739E24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（一）投诉人和被投诉人的姓名或者名称、通讯地址、邮编、联系人及联系电话；</w:t>
      </w:r>
    </w:p>
    <w:p w14:paraId="32AB2AC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（二）异议和异议答复情况说明及相关证明材料；</w:t>
      </w:r>
    </w:p>
    <w:p w14:paraId="6B95758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（三）具体、明确的投诉事项和与投诉事项相关的投诉请求；</w:t>
      </w:r>
    </w:p>
    <w:p w14:paraId="5FCA965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（四）事实依据；</w:t>
      </w:r>
    </w:p>
    <w:p w14:paraId="79F6101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（五）法律依据；</w:t>
      </w:r>
    </w:p>
    <w:p w14:paraId="6FD3708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（六）提起投诉的日期。</w:t>
      </w:r>
    </w:p>
    <w:p w14:paraId="1D91042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投诉人为法人或者其他组织的，应当由法定代表人、主要负责人，或者其授权代表签字或者盖章，并加盖公章。</w:t>
      </w:r>
    </w:p>
    <w:p w14:paraId="5F57F6B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投诉人投诉的事项不得超出已异议事项的范围，但基于异议答复内容提出的投诉事项除外。</w:t>
      </w:r>
    </w:p>
    <w:p w14:paraId="4C9FF7E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监督部门：东莞市水务集团有限公司，联系人：莫先生，联系电话：0769-28823251。</w:t>
      </w:r>
    </w:p>
    <w:p w14:paraId="2FF6790B">
      <w:pPr>
        <w:autoSpaceDE w:val="0"/>
        <w:autoSpaceDN w:val="0"/>
        <w:adjustRightInd w:val="0"/>
        <w:snapToGrid w:val="0"/>
        <w:spacing w:line="360" w:lineRule="auto"/>
        <w:jc w:val="left"/>
        <w:rPr>
          <w:rFonts w:ascii="宋体" w:hAnsi="宋体" w:eastAsia="宋体" w:cs="宋体"/>
          <w:color w:val="auto"/>
          <w:szCs w:val="21"/>
          <w:lang w:val="zh-CN"/>
        </w:rPr>
      </w:pPr>
    </w:p>
    <w:p w14:paraId="1D8E54D8">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lang w:val="zh-CN"/>
        </w:rPr>
      </w:pPr>
      <w:bookmarkStart w:id="276" w:name="_Toc20880"/>
      <w:bookmarkStart w:id="277" w:name="_Toc3154"/>
      <w:bookmarkStart w:id="278" w:name="_Toc486167695"/>
      <w:bookmarkStart w:id="279" w:name="_Toc466882018"/>
      <w:bookmarkStart w:id="280" w:name="_Toc465358970"/>
      <w:bookmarkStart w:id="281" w:name="_Toc26354"/>
      <w:bookmarkStart w:id="282" w:name="_Toc1848_WPSOffice_Level3"/>
      <w:bookmarkStart w:id="283" w:name="_Toc142508346"/>
      <w:r>
        <w:rPr>
          <w:rFonts w:hint="eastAsia" w:ascii="宋体" w:hAnsi="宋体" w:eastAsia="宋体" w:cs="宋体"/>
          <w:b/>
          <w:color w:val="auto"/>
          <w:szCs w:val="21"/>
        </w:rPr>
        <w:t>30</w:t>
      </w:r>
      <w:r>
        <w:rPr>
          <w:rFonts w:hint="eastAsia" w:ascii="宋体" w:hAnsi="宋体" w:eastAsia="宋体" w:cs="宋体"/>
          <w:b/>
          <w:color w:val="auto"/>
          <w:szCs w:val="21"/>
          <w:lang w:val="zh-CN"/>
        </w:rPr>
        <w:t xml:space="preserve"> 真实性审查</w:t>
      </w:r>
      <w:bookmarkEnd w:id="276"/>
      <w:bookmarkEnd w:id="277"/>
      <w:bookmarkEnd w:id="278"/>
      <w:bookmarkEnd w:id="279"/>
      <w:bookmarkEnd w:id="280"/>
      <w:bookmarkEnd w:id="281"/>
      <w:bookmarkEnd w:id="282"/>
      <w:bookmarkEnd w:id="283"/>
    </w:p>
    <w:p w14:paraId="78599EA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30.1 在</w:t>
      </w:r>
      <w:r>
        <w:rPr>
          <w:rFonts w:hint="eastAsia" w:ascii="宋体" w:hAnsi="宋体" w:eastAsia="宋体" w:cs="宋体"/>
          <w:b/>
          <w:color w:val="auto"/>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2127A79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30.2 投标人</w:t>
      </w:r>
      <w:r>
        <w:rPr>
          <w:rFonts w:hint="eastAsia" w:ascii="宋体" w:hAnsi="宋体" w:eastAsia="宋体" w:cs="宋体"/>
          <w:b/>
          <w:color w:val="auto"/>
          <w:kern w:val="0"/>
          <w:szCs w:val="21"/>
        </w:rPr>
        <w:t>在招标人（或其委托的招标代理机构）、或评标委员会通知其提供</w:t>
      </w:r>
      <w:r>
        <w:rPr>
          <w:rFonts w:hint="eastAsia" w:ascii="宋体" w:hAnsi="宋体" w:eastAsia="宋体" w:cs="宋体"/>
          <w:b/>
          <w:color w:val="auto"/>
          <w:szCs w:val="21"/>
          <w:lang w:val="zh-CN"/>
        </w:rPr>
        <w:t>上述投标文件或投标文件外其他相关（包括但不限于业绩合同对应的发票等）的证明资料原件</w:t>
      </w:r>
      <w:r>
        <w:rPr>
          <w:rFonts w:hint="eastAsia" w:ascii="宋体" w:hAnsi="宋体" w:eastAsia="宋体" w:cs="宋体"/>
          <w:b/>
          <w:color w:val="auto"/>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0954ED5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1A225097">
      <w:pPr>
        <w:autoSpaceDE w:val="0"/>
        <w:autoSpaceDN w:val="0"/>
        <w:adjustRightInd w:val="0"/>
        <w:snapToGrid w:val="0"/>
        <w:spacing w:line="360" w:lineRule="auto"/>
        <w:jc w:val="left"/>
        <w:rPr>
          <w:rFonts w:ascii="宋体" w:hAnsi="宋体" w:eastAsia="宋体" w:cs="宋体"/>
          <w:color w:val="auto"/>
          <w:szCs w:val="21"/>
        </w:rPr>
      </w:pPr>
      <w:bookmarkStart w:id="284" w:name="_Toc466882019"/>
      <w:bookmarkStart w:id="285" w:name="_Toc465358971"/>
    </w:p>
    <w:p w14:paraId="317A81DB">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lang w:val="zh-CN"/>
        </w:rPr>
      </w:pPr>
      <w:bookmarkStart w:id="286" w:name="_Toc26433"/>
      <w:bookmarkStart w:id="287" w:name="_Toc10867_WPSOffice_Level3"/>
      <w:bookmarkStart w:id="288" w:name="_Toc142508347"/>
      <w:bookmarkStart w:id="289" w:name="_Toc486167696"/>
      <w:bookmarkStart w:id="290" w:name="_Toc23672"/>
      <w:bookmarkStart w:id="291" w:name="_Toc8654"/>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评标委员会和招标人接受或拒绝任何投标或所有投标的权利</w:t>
      </w:r>
      <w:bookmarkEnd w:id="284"/>
      <w:bookmarkEnd w:id="285"/>
      <w:bookmarkEnd w:id="286"/>
      <w:bookmarkEnd w:id="287"/>
      <w:bookmarkEnd w:id="288"/>
      <w:bookmarkEnd w:id="289"/>
      <w:bookmarkEnd w:id="290"/>
      <w:bookmarkEnd w:id="291"/>
    </w:p>
    <w:p w14:paraId="43D46F99">
      <w:pPr>
        <w:autoSpaceDE w:val="0"/>
        <w:autoSpaceDN w:val="0"/>
        <w:adjustRightInd w:val="0"/>
        <w:spacing w:line="360" w:lineRule="auto"/>
        <w:ind w:left="248" w:leftChars="118"/>
        <w:jc w:val="left"/>
        <w:rPr>
          <w:rFonts w:ascii="宋体" w:hAnsi="宋体" w:eastAsia="宋体" w:cs="宋体"/>
          <w:color w:val="auto"/>
          <w:kern w:val="0"/>
          <w:szCs w:val="21"/>
        </w:rPr>
      </w:pPr>
      <w:r>
        <w:rPr>
          <w:rFonts w:hint="eastAsia" w:ascii="宋体" w:hAnsi="宋体" w:eastAsia="宋体" w:cs="宋体"/>
          <w:color w:val="auto"/>
          <w:kern w:val="0"/>
          <w:szCs w:val="21"/>
        </w:rPr>
        <w:t>在授予合同前的任何时候，招标人仍保留接受或拒绝任何投标，宣布招标程序无效或拒绝所有投标的权利，无需向受影响的投标人承担任何责任。</w:t>
      </w:r>
    </w:p>
    <w:p w14:paraId="47CA0D89">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lang w:val="zh-CN"/>
        </w:rPr>
      </w:pPr>
      <w:bookmarkStart w:id="292" w:name="_Toc450662880"/>
    </w:p>
    <w:p w14:paraId="2D760927">
      <w:pPr>
        <w:keepNext/>
        <w:keepLines/>
        <w:autoSpaceDE w:val="0"/>
        <w:autoSpaceDN w:val="0"/>
        <w:adjustRightInd w:val="0"/>
        <w:spacing w:line="360" w:lineRule="auto"/>
        <w:ind w:left="359" w:hanging="569"/>
        <w:jc w:val="left"/>
        <w:outlineLvl w:val="0"/>
        <w:rPr>
          <w:rFonts w:ascii="宋体" w:hAnsi="宋体" w:eastAsia="宋体" w:cs="宋体"/>
          <w:b/>
          <w:bCs/>
          <w:color w:val="auto"/>
          <w:kern w:val="44"/>
          <w:szCs w:val="21"/>
          <w:lang w:val="zh-CN"/>
        </w:rPr>
      </w:pPr>
      <w:bookmarkStart w:id="293" w:name="_Toc710"/>
      <w:bookmarkStart w:id="294" w:name="_Toc16789"/>
      <w:bookmarkStart w:id="295" w:name="_Toc486167697"/>
      <w:bookmarkStart w:id="296" w:name="_Toc27936"/>
      <w:bookmarkStart w:id="297" w:name="_Toc140596907"/>
      <w:bookmarkStart w:id="298" w:name="_Toc142508348"/>
      <w:bookmarkStart w:id="299" w:name="_Toc16848_WPSOffice_Level2"/>
      <w:r>
        <w:rPr>
          <w:rFonts w:hint="eastAsia" w:ascii="宋体" w:hAnsi="宋体" w:eastAsia="宋体" w:cs="宋体"/>
          <w:b/>
          <w:bCs/>
          <w:color w:val="auto"/>
          <w:kern w:val="44"/>
          <w:szCs w:val="21"/>
          <w:lang w:val="zh-CN"/>
        </w:rPr>
        <w:t>六、授予合同</w:t>
      </w:r>
      <w:bookmarkEnd w:id="292"/>
      <w:bookmarkEnd w:id="293"/>
      <w:bookmarkEnd w:id="294"/>
      <w:bookmarkEnd w:id="295"/>
      <w:bookmarkEnd w:id="296"/>
      <w:bookmarkEnd w:id="297"/>
      <w:bookmarkEnd w:id="298"/>
      <w:bookmarkEnd w:id="299"/>
    </w:p>
    <w:p w14:paraId="2449E27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00" w:name="_Toc3932"/>
      <w:bookmarkStart w:id="301" w:name="_Toc142508349"/>
      <w:bookmarkStart w:id="302" w:name="_Toc6401_WPSOffice_Level3"/>
      <w:bookmarkStart w:id="303" w:name="_Toc486167698"/>
      <w:bookmarkStart w:id="304" w:name="_Toc29383"/>
      <w:bookmarkStart w:id="305" w:name="_Toc450662881"/>
      <w:bookmarkStart w:id="306" w:name="_Toc31713"/>
      <w:r>
        <w:rPr>
          <w:rFonts w:hint="eastAsia" w:ascii="宋体" w:hAnsi="宋体" w:eastAsia="宋体" w:cs="宋体"/>
          <w:color w:val="auto"/>
          <w:szCs w:val="21"/>
        </w:rPr>
        <w:t>32</w:t>
      </w:r>
      <w:r>
        <w:rPr>
          <w:rFonts w:hint="eastAsia" w:ascii="宋体" w:hAnsi="宋体" w:eastAsia="宋体" w:cs="宋体"/>
          <w:color w:val="auto"/>
          <w:szCs w:val="21"/>
          <w:lang w:val="zh-CN"/>
        </w:rPr>
        <w:t xml:space="preserve"> 授予合同的准则</w:t>
      </w:r>
      <w:bookmarkEnd w:id="300"/>
      <w:bookmarkEnd w:id="301"/>
      <w:bookmarkEnd w:id="302"/>
      <w:bookmarkEnd w:id="303"/>
      <w:bookmarkEnd w:id="304"/>
      <w:bookmarkEnd w:id="305"/>
      <w:bookmarkEnd w:id="306"/>
    </w:p>
    <w:p w14:paraId="41823CD5">
      <w:pPr>
        <w:tabs>
          <w:tab w:val="left" w:pos="645"/>
        </w:tabs>
        <w:autoSpaceDE w:val="0"/>
        <w:autoSpaceDN w:val="0"/>
        <w:adjustRightInd w:val="0"/>
        <w:spacing w:line="360" w:lineRule="auto"/>
        <w:ind w:left="357" w:leftChars="-100" w:right="44" w:rightChars="21" w:hanging="567"/>
        <w:rPr>
          <w:rFonts w:ascii="宋体" w:hAnsi="宋体" w:eastAsia="宋体" w:cs="宋体"/>
          <w:color w:val="auto"/>
          <w:szCs w:val="21"/>
          <w:lang w:val="zh-CN"/>
        </w:rPr>
      </w:pPr>
      <w:r>
        <w:rPr>
          <w:rFonts w:hint="eastAsia" w:ascii="宋体" w:hAnsi="宋体" w:eastAsia="宋体" w:cs="宋体"/>
          <w:color w:val="auto"/>
          <w:szCs w:val="21"/>
        </w:rPr>
        <w:t>32</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除第29条、30条</w:t>
      </w:r>
      <w:r>
        <w:rPr>
          <w:rFonts w:hint="eastAsia" w:ascii="宋体" w:hAnsi="宋体" w:eastAsia="宋体" w:cs="宋体"/>
          <w:color w:val="auto"/>
          <w:kern w:val="0"/>
          <w:sz w:val="24"/>
          <w:szCs w:val="24"/>
        </w:rPr>
        <w:t>、</w:t>
      </w:r>
      <w:r>
        <w:rPr>
          <w:rFonts w:hint="eastAsia" w:ascii="宋体" w:hAnsi="宋体" w:eastAsia="宋体" w:cs="宋体"/>
          <w:color w:val="auto"/>
          <w:kern w:val="0"/>
          <w:szCs w:val="24"/>
        </w:rPr>
        <w:t>31</w:t>
      </w:r>
      <w:r>
        <w:rPr>
          <w:rFonts w:hint="eastAsia" w:ascii="宋体" w:hAnsi="宋体" w:eastAsia="宋体" w:cs="宋体"/>
          <w:color w:val="auto"/>
          <w:szCs w:val="21"/>
          <w:lang w:val="zh-CN"/>
        </w:rPr>
        <w:t>条规定外，招标人将合同授予其投标文件符合招标文件要求，并且能承诺履行合同，对招标人最为有利的投标人。</w:t>
      </w:r>
    </w:p>
    <w:p w14:paraId="3C64A167">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b/>
          <w:bCs/>
          <w:color w:val="auto"/>
          <w:szCs w:val="21"/>
          <w:lang w:val="zh-CN"/>
        </w:rPr>
        <w:t>32.2 招标人确认中标结果时，同一个投标人最多只能承接东莞市水务集团管网有限公司2025年度机电设备维修定点服务单位采购项目一个包组。招标人依法按照每个包组评标报告中推荐的中标候选人顺序确定中标人。每个包组先按评审报告中推荐的第一中标候选人确定中标人。</w:t>
      </w:r>
    </w:p>
    <w:p w14:paraId="7B90C714">
      <w:pPr>
        <w:autoSpaceDE w:val="0"/>
        <w:autoSpaceDN w:val="0"/>
        <w:adjustRightInd w:val="0"/>
        <w:snapToGrid w:val="0"/>
        <w:spacing w:line="360" w:lineRule="auto"/>
        <w:ind w:left="317" w:leftChars="-100" w:hanging="527" w:hangingChars="250"/>
        <w:jc w:val="left"/>
        <w:rPr>
          <w:rFonts w:ascii="宋体" w:hAnsi="宋体" w:eastAsia="宋体" w:cs="宋体"/>
          <w:b/>
          <w:bCs/>
          <w:color w:val="auto"/>
          <w:kern w:val="0"/>
          <w:szCs w:val="21"/>
        </w:rPr>
      </w:pPr>
      <w:r>
        <w:rPr>
          <w:rFonts w:hint="eastAsia" w:ascii="宋体" w:hAnsi="宋体" w:eastAsia="宋体" w:cs="宋体"/>
          <w:b/>
          <w:bCs/>
          <w:color w:val="auto"/>
          <w:szCs w:val="21"/>
          <w:lang w:val="zh-CN"/>
        </w:rPr>
        <w:t>32</w:t>
      </w:r>
      <w:r>
        <w:rPr>
          <w:rFonts w:hint="eastAsia" w:ascii="宋体" w:hAnsi="宋体" w:eastAsia="宋体" w:cs="宋体"/>
          <w:b/>
          <w:bCs/>
          <w:color w:val="auto"/>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招标人选择其排序次后的中标候选人作为中标人的选择原则：若某包组中标人存在上述情形的，招标人选择其排序次后的中标候选人作为中标人，若该中标候选人在其他包组中已被确认为第一中标候选人或中标人的，则选择其排序次后的中标候选人作为中标人，以此类推。</w:t>
      </w:r>
    </w:p>
    <w:p w14:paraId="7C32423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07" w:name="_Toc450662885"/>
    </w:p>
    <w:p w14:paraId="2F237D91">
      <w:pPr>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08" w:name="_Toc18984"/>
      <w:bookmarkStart w:id="309" w:name="_Toc11607"/>
      <w:bookmarkStart w:id="310" w:name="_Toc142508350"/>
      <w:bookmarkStart w:id="311" w:name="_Toc486167699"/>
      <w:bookmarkStart w:id="312" w:name="_Toc8196"/>
      <w:bookmarkStart w:id="313" w:name="_Toc6726_WPSOffice_Level3"/>
      <w:r>
        <w:rPr>
          <w:rFonts w:hint="eastAsia" w:ascii="宋体" w:hAnsi="宋体" w:eastAsia="宋体" w:cs="宋体"/>
          <w:color w:val="auto"/>
          <w:szCs w:val="21"/>
          <w:lang w:val="zh-CN"/>
        </w:rPr>
        <w:t>33 中标通知</w:t>
      </w:r>
      <w:bookmarkEnd w:id="307"/>
      <w:bookmarkEnd w:id="308"/>
      <w:bookmarkEnd w:id="309"/>
      <w:bookmarkEnd w:id="310"/>
      <w:bookmarkEnd w:id="311"/>
      <w:bookmarkEnd w:id="312"/>
      <w:bookmarkEnd w:id="313"/>
    </w:p>
    <w:p w14:paraId="7F94FD1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14" w:name="_Toc450662886"/>
      <w:r>
        <w:rPr>
          <w:rFonts w:hint="eastAsia" w:ascii="宋体" w:hAnsi="宋体" w:eastAsia="宋体" w:cs="宋体"/>
          <w:color w:val="auto"/>
          <w:szCs w:val="21"/>
          <w:lang w:val="zh-CN"/>
        </w:rPr>
        <w:t>33.1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招标代理机构向中标人发出书面通知，中标通知书是合同的一个组成部分。</w:t>
      </w:r>
    </w:p>
    <w:p w14:paraId="11BD436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lang w:val="zh-CN"/>
        </w:rPr>
        <w:t>33.2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招标代理机构向中标人发出书面通知的同时，招标代理机构通知落选的投标人其投标文件未被接受而不提原因。</w:t>
      </w:r>
    </w:p>
    <w:p w14:paraId="24CF922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4A276DF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15" w:name="_Toc142508351"/>
      <w:bookmarkStart w:id="316" w:name="_Toc486167700"/>
      <w:bookmarkStart w:id="317" w:name="_Toc28020"/>
      <w:bookmarkStart w:id="318" w:name="_Toc19127"/>
      <w:bookmarkStart w:id="319" w:name="_Toc9694_WPSOffice_Level3"/>
      <w:bookmarkStart w:id="320" w:name="_Toc9376"/>
      <w:r>
        <w:rPr>
          <w:rFonts w:hint="eastAsia" w:ascii="宋体" w:hAnsi="宋体" w:eastAsia="宋体" w:cs="宋体"/>
          <w:color w:val="auto"/>
          <w:szCs w:val="21"/>
        </w:rPr>
        <w:t>34</w:t>
      </w:r>
      <w:r>
        <w:rPr>
          <w:rFonts w:hint="eastAsia" w:ascii="宋体" w:hAnsi="宋体" w:eastAsia="宋体" w:cs="宋体"/>
          <w:color w:val="auto"/>
          <w:szCs w:val="21"/>
          <w:lang w:val="zh-CN"/>
        </w:rPr>
        <w:t xml:space="preserve"> 签署合同</w:t>
      </w:r>
      <w:bookmarkEnd w:id="314"/>
      <w:bookmarkEnd w:id="315"/>
      <w:bookmarkEnd w:id="316"/>
      <w:bookmarkEnd w:id="317"/>
      <w:bookmarkEnd w:id="318"/>
      <w:bookmarkEnd w:id="319"/>
      <w:bookmarkEnd w:id="320"/>
    </w:p>
    <w:p w14:paraId="65B2573F">
      <w:pPr>
        <w:tabs>
          <w:tab w:val="left" w:pos="540"/>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34</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lang w:val="zh-CN"/>
        </w:rPr>
        <w:t>。</w:t>
      </w:r>
    </w:p>
    <w:p w14:paraId="05CA06C6">
      <w:pPr>
        <w:autoSpaceDE w:val="0"/>
        <w:autoSpaceDN w:val="0"/>
        <w:adjustRightInd w:val="0"/>
        <w:snapToGrid w:val="0"/>
        <w:spacing w:line="360" w:lineRule="auto"/>
        <w:ind w:left="317" w:leftChars="-100" w:hanging="527" w:hangingChars="250"/>
        <w:jc w:val="left"/>
        <w:rPr>
          <w:rFonts w:ascii="宋体" w:hAnsi="宋体" w:eastAsia="宋体" w:cs="宋体"/>
          <w:b/>
          <w:bCs/>
          <w:color w:val="auto"/>
          <w:szCs w:val="21"/>
          <w:lang w:val="zh-CN"/>
        </w:rPr>
      </w:pPr>
      <w:r>
        <w:rPr>
          <w:rFonts w:hint="eastAsia" w:ascii="宋体" w:hAnsi="宋体" w:eastAsia="宋体" w:cs="宋体"/>
          <w:b/>
          <w:bCs/>
          <w:color w:val="auto"/>
          <w:szCs w:val="21"/>
          <w:lang w:val="zh-CN"/>
        </w:rPr>
        <w:t>34.2 中标人需与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签订合同。</w:t>
      </w:r>
    </w:p>
    <w:p w14:paraId="3272893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rPr>
        <w:t xml:space="preserve">34.3 </w:t>
      </w:r>
      <w:r>
        <w:rPr>
          <w:rFonts w:hint="eastAsia" w:ascii="宋体" w:hAnsi="宋体" w:eastAsia="宋体" w:cs="宋体"/>
          <w:color w:val="auto"/>
          <w:szCs w:val="21"/>
          <w:lang w:val="zh-CN"/>
        </w:rPr>
        <w:t>在签署合同前，招标人可对中标人投标报价明细及附表内的算术性错误进行修正，修正原则为：当以数字表示的金额与以文字表示的金额不一致时，以文字表示的金额为准；按前述修正原则排序依次进行修正至唯一值后的报价表经双方确认后，作为合同文件的组成部分。</w:t>
      </w:r>
    </w:p>
    <w:p w14:paraId="6F06A7B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6D5C31A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21" w:name="_Toc13765"/>
      <w:bookmarkStart w:id="322" w:name="_Toc10513_WPSOffice_Level3"/>
      <w:bookmarkStart w:id="323" w:name="_Toc5304"/>
      <w:bookmarkStart w:id="324" w:name="_Toc450662887"/>
      <w:bookmarkStart w:id="325" w:name="_Toc486167701"/>
      <w:bookmarkStart w:id="326" w:name="_Toc8181"/>
      <w:bookmarkStart w:id="327" w:name="_Toc142508352"/>
      <w:r>
        <w:rPr>
          <w:rFonts w:hint="eastAsia" w:ascii="宋体" w:hAnsi="宋体" w:eastAsia="宋体" w:cs="宋体"/>
          <w:color w:val="auto"/>
          <w:szCs w:val="21"/>
        </w:rPr>
        <w:t xml:space="preserve">35 </w:t>
      </w:r>
      <w:r>
        <w:rPr>
          <w:rFonts w:hint="eastAsia" w:ascii="宋体" w:hAnsi="宋体" w:eastAsia="宋体" w:cs="宋体"/>
          <w:color w:val="auto"/>
          <w:szCs w:val="21"/>
          <w:lang w:val="zh-CN"/>
        </w:rPr>
        <w:t>履约担保</w:t>
      </w:r>
      <w:bookmarkEnd w:id="321"/>
      <w:bookmarkEnd w:id="322"/>
      <w:bookmarkEnd w:id="323"/>
      <w:bookmarkEnd w:id="324"/>
      <w:bookmarkEnd w:id="325"/>
      <w:bookmarkEnd w:id="326"/>
      <w:bookmarkEnd w:id="327"/>
    </w:p>
    <w:p w14:paraId="04E9B35B">
      <w:pPr>
        <w:numPr>
          <w:ilvl w:val="1"/>
          <w:numId w:val="0"/>
        </w:numPr>
        <w:autoSpaceDE w:val="0"/>
        <w:autoSpaceDN w:val="0"/>
        <w:adjustRightInd w:val="0"/>
        <w:spacing w:line="360" w:lineRule="auto"/>
        <w:ind w:left="354" w:leftChars="-100" w:hanging="564" w:hangingChars="269"/>
        <w:rPr>
          <w:rFonts w:ascii="宋体" w:hAnsi="宋体" w:eastAsia="宋体" w:cs="宋体"/>
          <w:color w:val="auto"/>
          <w:szCs w:val="21"/>
          <w:u w:val="single"/>
          <w:lang w:val="zh-CN"/>
        </w:rPr>
      </w:pPr>
      <w:bookmarkStart w:id="328" w:name="_Toc466882025"/>
      <w:bookmarkStart w:id="329" w:name="_Toc465358977"/>
      <w:r>
        <w:rPr>
          <w:rFonts w:hint="eastAsia" w:ascii="宋体" w:hAnsi="宋体" w:eastAsia="宋体" w:cs="宋体"/>
          <w:bCs/>
          <w:color w:val="auto"/>
          <w:szCs w:val="21"/>
        </w:rPr>
        <w:t>35</w:t>
      </w:r>
      <w:r>
        <w:rPr>
          <w:rFonts w:hint="eastAsia" w:ascii="宋体" w:hAnsi="宋体" w:eastAsia="宋体" w:cs="宋体"/>
          <w:bCs/>
          <w:color w:val="auto"/>
          <w:szCs w:val="21"/>
          <w:lang w:val="zh-CN"/>
        </w:rPr>
        <w:t>.1</w:t>
      </w:r>
      <w:r>
        <w:rPr>
          <w:rFonts w:hint="eastAsia" w:ascii="宋体" w:hAnsi="宋体" w:eastAsia="宋体" w:cs="宋体"/>
          <w:b/>
          <w:bCs/>
          <w:color w:val="auto"/>
          <w:szCs w:val="21"/>
          <w:lang w:val="zh-CN"/>
        </w:rPr>
        <w:t xml:space="preserve"> </w:t>
      </w:r>
      <w:r>
        <w:rPr>
          <w:rFonts w:hint="eastAsia" w:ascii="宋体" w:hAnsi="宋体" w:eastAsia="宋体" w:cs="宋体"/>
          <w:b/>
          <w:bCs/>
          <w:color w:val="auto"/>
          <w:szCs w:val="21"/>
          <w:u w:val="single"/>
          <w:lang w:val="zh-CN"/>
        </w:rPr>
        <w:t>中标人应在签订合同前，按本招标文件规定金额及形式要求，向招标人提交不可撤销的银行履约保函（或履约保证金或履约保证保险或担保公司履约担保书），作为履约担保（所需费用由中标人自行承担），否则招标人可</w:t>
      </w:r>
      <w:r>
        <w:rPr>
          <w:rFonts w:hint="eastAsia" w:ascii="宋体" w:hAnsi="宋体" w:eastAsia="宋体" w:cs="宋体"/>
          <w:b/>
          <w:bCs/>
          <w:color w:val="auto"/>
          <w:szCs w:val="21"/>
          <w:u w:val="single"/>
        </w:rPr>
        <w:t>有权</w:t>
      </w:r>
      <w:r>
        <w:rPr>
          <w:rFonts w:hint="eastAsia" w:ascii="宋体" w:hAnsi="宋体" w:eastAsia="宋体" w:cs="宋体"/>
          <w:b/>
          <w:bCs/>
          <w:color w:val="auto"/>
          <w:szCs w:val="21"/>
          <w:u w:val="single"/>
          <w:lang w:val="zh-CN"/>
        </w:rPr>
        <w:t>取消中标人的中标资格，</w:t>
      </w:r>
      <w:r>
        <w:rPr>
          <w:rFonts w:hint="eastAsia" w:ascii="宋体" w:hAnsi="宋体" w:eastAsia="宋体" w:cs="宋体"/>
          <w:b/>
          <w:bCs/>
          <w:color w:val="auto"/>
          <w:szCs w:val="21"/>
          <w:u w:val="single"/>
        </w:rPr>
        <w:t>并</w:t>
      </w:r>
      <w:r>
        <w:rPr>
          <w:rFonts w:hint="eastAsia" w:ascii="宋体" w:hAnsi="宋体" w:eastAsia="宋体" w:cs="宋体"/>
          <w:b/>
          <w:bCs/>
          <w:color w:val="auto"/>
          <w:szCs w:val="21"/>
          <w:u w:val="single"/>
          <w:lang w:val="zh-CN"/>
        </w:rPr>
        <w:t>不予退还其投标保证金，并按照合同相关规定处理。</w:t>
      </w:r>
      <w:r>
        <w:rPr>
          <w:rFonts w:hint="eastAsia" w:ascii="宋体" w:hAnsi="宋体" w:eastAsia="宋体" w:cs="宋体"/>
          <w:b/>
          <w:bCs/>
          <w:color w:val="auto"/>
          <w:szCs w:val="21"/>
          <w:u w:val="single"/>
        </w:rPr>
        <w:t>其中</w:t>
      </w:r>
      <w:r>
        <w:rPr>
          <w:rFonts w:hint="eastAsia" w:ascii="宋体" w:hAnsi="宋体" w:eastAsia="宋体" w:cs="宋体"/>
          <w:b/>
          <w:bCs/>
          <w:color w:val="auto"/>
          <w:szCs w:val="21"/>
          <w:u w:val="single"/>
          <w:lang w:val="zh-CN"/>
        </w:rPr>
        <w:t>采用履约保证金（银行转账形式）的金额为人民币</w:t>
      </w:r>
      <w:r>
        <w:rPr>
          <w:rFonts w:hint="eastAsia" w:ascii="宋体" w:hAnsi="宋体" w:eastAsia="宋体" w:cs="宋体"/>
          <w:b/>
          <w:bCs/>
          <w:color w:val="auto"/>
          <w:szCs w:val="21"/>
          <w:u w:val="single"/>
        </w:rPr>
        <w:t>壹</w:t>
      </w:r>
      <w:r>
        <w:rPr>
          <w:rFonts w:hint="eastAsia" w:ascii="宋体" w:hAnsi="宋体" w:eastAsia="宋体" w:cs="宋体"/>
          <w:b/>
          <w:bCs/>
          <w:color w:val="auto"/>
          <w:szCs w:val="21"/>
          <w:u w:val="single"/>
          <w:lang w:val="zh-CN"/>
        </w:rPr>
        <w:t>拾万元整（￥</w:t>
      </w:r>
      <w:r>
        <w:rPr>
          <w:rFonts w:hint="eastAsia" w:ascii="宋体" w:hAnsi="宋体" w:eastAsia="宋体" w:cs="宋体"/>
          <w:b/>
          <w:bCs/>
          <w:color w:val="auto"/>
          <w:szCs w:val="21"/>
          <w:u w:val="single"/>
        </w:rPr>
        <w:t>1</w:t>
      </w:r>
      <w:r>
        <w:rPr>
          <w:rFonts w:hint="eastAsia" w:ascii="宋体" w:hAnsi="宋体" w:eastAsia="宋体" w:cs="宋体"/>
          <w:b/>
          <w:bCs/>
          <w:color w:val="auto"/>
          <w:szCs w:val="21"/>
          <w:u w:val="single"/>
          <w:lang w:val="zh-CN"/>
        </w:rPr>
        <w:t>00,000.00），统一由东莞市水务集团管网有限公司收取；采用不可撤销银行履约保函（履约保证保险）形式的金额为人民币</w:t>
      </w:r>
      <w:r>
        <w:rPr>
          <w:rFonts w:hint="eastAsia" w:ascii="宋体" w:hAnsi="宋体" w:eastAsia="宋体" w:cs="宋体"/>
          <w:b/>
          <w:bCs/>
          <w:color w:val="auto"/>
          <w:szCs w:val="21"/>
          <w:u w:val="single"/>
        </w:rPr>
        <w:t>壹</w:t>
      </w:r>
      <w:r>
        <w:rPr>
          <w:rFonts w:hint="eastAsia" w:ascii="宋体" w:hAnsi="宋体" w:eastAsia="宋体" w:cs="宋体"/>
          <w:b/>
          <w:bCs/>
          <w:color w:val="auto"/>
          <w:szCs w:val="21"/>
          <w:u w:val="single"/>
          <w:lang w:val="zh-CN"/>
        </w:rPr>
        <w:t>拾万元整（￥</w:t>
      </w:r>
      <w:r>
        <w:rPr>
          <w:rFonts w:hint="eastAsia" w:ascii="宋体" w:hAnsi="宋体" w:eastAsia="宋体" w:cs="宋体"/>
          <w:b/>
          <w:bCs/>
          <w:color w:val="auto"/>
          <w:szCs w:val="21"/>
          <w:u w:val="single"/>
        </w:rPr>
        <w:t>1</w:t>
      </w:r>
      <w:r>
        <w:rPr>
          <w:rFonts w:hint="eastAsia" w:ascii="宋体" w:hAnsi="宋体" w:eastAsia="宋体" w:cs="宋体"/>
          <w:b/>
          <w:bCs/>
          <w:color w:val="auto"/>
          <w:szCs w:val="21"/>
          <w:u w:val="single"/>
          <w:lang w:val="zh-CN"/>
        </w:rPr>
        <w:t>00,000.00），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不可撤销银行履约保函（或履约保证保险）；采用担保公司履约担保书形式的金额为人民币</w:t>
      </w:r>
      <w:r>
        <w:rPr>
          <w:rFonts w:hint="eastAsia" w:ascii="宋体" w:hAnsi="宋体" w:eastAsia="宋体" w:cs="宋体"/>
          <w:b/>
          <w:bCs/>
          <w:color w:val="auto"/>
          <w:szCs w:val="21"/>
          <w:u w:val="single"/>
        </w:rPr>
        <w:t>壹</w:t>
      </w:r>
      <w:r>
        <w:rPr>
          <w:rFonts w:hint="eastAsia" w:ascii="宋体" w:hAnsi="宋体" w:eastAsia="宋体" w:cs="宋体"/>
          <w:b/>
          <w:bCs/>
          <w:color w:val="auto"/>
          <w:szCs w:val="21"/>
          <w:u w:val="single"/>
          <w:lang w:val="zh-CN"/>
        </w:rPr>
        <w:t>拾万元整（￥</w:t>
      </w:r>
      <w:r>
        <w:rPr>
          <w:rFonts w:hint="eastAsia" w:ascii="宋体" w:hAnsi="宋体" w:eastAsia="宋体" w:cs="宋体"/>
          <w:b/>
          <w:bCs/>
          <w:color w:val="auto"/>
          <w:szCs w:val="21"/>
          <w:u w:val="single"/>
        </w:rPr>
        <w:t>1</w:t>
      </w:r>
      <w:r>
        <w:rPr>
          <w:rFonts w:hint="eastAsia" w:ascii="宋体" w:hAnsi="宋体" w:eastAsia="宋体" w:cs="宋体"/>
          <w:b/>
          <w:bCs/>
          <w:color w:val="auto"/>
          <w:szCs w:val="21"/>
          <w:u w:val="single"/>
          <w:lang w:val="zh-CN"/>
        </w:rPr>
        <w:t>00,000.00），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履约担保书。任何一个合同甲方均有权就全部的担保金额进行索赔。</w:t>
      </w:r>
      <w:r>
        <w:rPr>
          <w:rFonts w:hint="eastAsia" w:ascii="宋体" w:hAnsi="宋体" w:eastAsia="宋体" w:cs="宋体"/>
          <w:color w:val="auto"/>
          <w:szCs w:val="21"/>
          <w:u w:val="single"/>
          <w:lang w:val="zh-CN"/>
        </w:rPr>
        <w:t>合同履行过程中，中标人给招标人造成的损失超过履约担保数额的，中标人还应当对超过部分予以赔偿，招标人并依法追究中标人的相应责任。</w:t>
      </w:r>
    </w:p>
    <w:p w14:paraId="14925BE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35.2 履约担保用于补偿招标人（含其下属子公司）因中标人不能完全履行其合同义务而蒙受的损失或其他合同约定的事项。如发生下列任一情况时，招标人（含其下属子公司）有权依合同追究违约责任外，同时有权提取履约担保并进行相应处理：</w:t>
      </w:r>
    </w:p>
    <w:p w14:paraId="4DDBE54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（1）中标人将合同项下中标人的权利义务全部转让给第三方，或未经招标人（含其下属子公司）书面同意将部分权利义务转让给第三方的，招标人（含其下属子公司）有权没收其履约担保。</w:t>
      </w:r>
    </w:p>
    <w:p w14:paraId="07F808D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（2）在合同履行期间，中标人怠于履行合同义务，经招标人（含其下属子公司）通知或要求承担违约金后仍拒不改正的，招标人（含其下属子公司）可依法没收或适当扣除其履约担保。</w:t>
      </w:r>
    </w:p>
    <w:p w14:paraId="517832D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在合同履行期间，因中标人货物、服务质量问题造成损害、侵权损失[包括但不限于招标人（含其下属子公司）经济损失、第三人人身财产损失等]、拖欠原材料供应商货款或与其所雇用员工发生劳资纠纷、上访、闹事或其他影响招标人（含其下属子公司）生产经营等情况而其未及时妥善处理的，招标人（含其下属子公司）有权使用履约担保予以支付或作出相应处理，由此产生的一切法律后果由中标人承担。</w:t>
      </w:r>
    </w:p>
    <w:p w14:paraId="0B42486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（4）在合同履行期间，中标人违约产生的违约金、赔偿、罚款或其他应付费用等款项，招标人（含其下属子公司）有权直接从未付款项中直接扣除或启用履约担保予以支付。</w:t>
      </w:r>
    </w:p>
    <w:p w14:paraId="08E168E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（5）合同期内，中标人不能及时完成合同某项义务的，招标人（含其下属子公司）有权提取履约担保用于处理该项工作。</w:t>
      </w:r>
    </w:p>
    <w:p w14:paraId="4A81F73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（6）其他根据本合同约定或法律规定，招标人（含其下属子公司）可启用履约担保的情形。</w:t>
      </w:r>
    </w:p>
    <w:p w14:paraId="76F6445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35.3  履约担保应符合如下规定：</w:t>
      </w:r>
    </w:p>
    <w:p w14:paraId="60A870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（1）出具履约保函的银行必须是境内支行一级以上机构，并经招标人（含其下属子公司）同意，执行本款时所发生的费用由中标人承担。</w:t>
      </w:r>
    </w:p>
    <w:p w14:paraId="38DEC63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含其下属子公司）的书面同意。</w:t>
      </w:r>
    </w:p>
    <w:p w14:paraId="5565ECC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提供担保的担保机构经济性质须为东莞市国有企业，或政府性融资担保机构（中标人须提供能证明其属于政府性融资担保机构的证明文件），并经招标人（含其下属子公司）同意，执行本款时所发生的费用由中标人承担。如招标人（含其下属子公司）合同条款接受担保公司预付款担保函的，对担保机构要求参照本条执行。</w:t>
      </w:r>
    </w:p>
    <w:p w14:paraId="4238E0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如果中标人提交的履约担保的有效期届满时间先于招标文件、合同文件要求的，中标人应在原提交的履约担保有效期届满前15日内，无条件办理符合招标人（含其下属子公司）要求的履约担保延期手续，否则视为中标人违约，招标人（含其下属子公司）有权在不可撤销银行履约保函或履约保证保险或担保公司履约担保书到期前向出具履约担保的机构提取履约担保金。在不可撤销银行履约保函（或履约保证保险或担保公司履约担保书）到期后中标人未按招标人（含其下属子公司）要求重新提供的，招标人（含其下属子公司）有权要求中标人以履约担保金额为限承担违约金，违约金可直接从未付采购合同费用中扣除。</w:t>
      </w:r>
    </w:p>
    <w:p w14:paraId="1AF89CE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在合同履行过程中，不论何种原因导致履约担保金数额不符合招标文件要求的，中标人应当在5日内予以补足。逾期不予补足的，招标人（含其下属子公司）有权按需补足的金额要求中标人承担违约金，并要求限期补足。如中标人仍不补足的，招标人（含其下属子公司）有权单方解除合同，违约金可直接从未付合同款或履约担保中扣除。</w:t>
      </w:r>
    </w:p>
    <w:p w14:paraId="4EA7402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（6）不可撤销银行履约保函（或履约保证保险或担保公司履约担保书）应自合同签订之日起至合同期限届满并完成全部单项项目结算后二十八（28）日内保持有效。</w:t>
      </w:r>
    </w:p>
    <w:p w14:paraId="0153E40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35.4  履约保证金应用本合同货币。</w:t>
      </w:r>
    </w:p>
    <w:p w14:paraId="0A603A5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35.5  中标人也可以按招标文件约定的额度和时间，向招标人（含其下属子公司）交纳同等数额的履约保证金作为履约担保，不接受由私人账户和其它单位转入的保证金，也不接受现金形式提交。(本项目履约保证金统一由东莞市水务集团管网有限公司收取，存入以下指定银行账户，转账时备注“履行《东莞市水务集团管网有限公司2025年度机电设备维修定点服务单位采购项目合同》的保证金”。)</w:t>
      </w:r>
    </w:p>
    <w:p w14:paraId="28ABB663">
      <w:pPr>
        <w:autoSpaceDE w:val="0"/>
        <w:autoSpaceDN w:val="0"/>
        <w:adjustRightInd w:val="0"/>
        <w:snapToGrid w:val="0"/>
        <w:spacing w:line="360" w:lineRule="auto"/>
        <w:ind w:left="-210" w:firstLine="632" w:firstLineChars="300"/>
        <w:jc w:val="left"/>
        <w:rPr>
          <w:rFonts w:ascii="宋体" w:hAnsi="宋体" w:eastAsia="宋体" w:cs="宋体"/>
          <w:b/>
          <w:bCs/>
          <w:color w:val="auto"/>
          <w:kern w:val="0"/>
          <w:szCs w:val="21"/>
        </w:rPr>
      </w:pPr>
      <w:r>
        <w:rPr>
          <w:rFonts w:hint="eastAsia" w:ascii="宋体" w:hAnsi="宋体" w:eastAsia="宋体" w:cs="宋体"/>
          <w:b/>
          <w:bCs/>
          <w:color w:val="auto"/>
          <w:kern w:val="0"/>
          <w:szCs w:val="21"/>
        </w:rPr>
        <w:t>履约保证金账户：</w:t>
      </w:r>
    </w:p>
    <w:p w14:paraId="5E80C692">
      <w:pPr>
        <w:autoSpaceDE w:val="0"/>
        <w:autoSpaceDN w:val="0"/>
        <w:adjustRightInd w:val="0"/>
        <w:snapToGrid w:val="0"/>
        <w:spacing w:line="360" w:lineRule="auto"/>
        <w:ind w:left="-210" w:firstLine="632" w:firstLineChars="300"/>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开户名称：东莞市水务集团管网有限公司</w:t>
      </w:r>
    </w:p>
    <w:p w14:paraId="0D4EC5FE">
      <w:pPr>
        <w:autoSpaceDE w:val="0"/>
        <w:autoSpaceDN w:val="0"/>
        <w:adjustRightInd w:val="0"/>
        <w:snapToGrid w:val="0"/>
        <w:spacing w:line="360" w:lineRule="auto"/>
        <w:ind w:left="-210" w:firstLine="632" w:firstLineChars="300"/>
        <w:jc w:val="left"/>
        <w:rPr>
          <w:rFonts w:ascii="宋体" w:hAnsi="宋体" w:eastAsia="宋体" w:cs="宋体"/>
          <w:b/>
          <w:bCs/>
          <w:color w:val="auto"/>
          <w:kern w:val="0"/>
          <w:szCs w:val="21"/>
        </w:rPr>
      </w:pPr>
      <w:r>
        <w:rPr>
          <w:rFonts w:hint="eastAsia" w:ascii="宋体" w:hAnsi="宋体" w:eastAsia="宋体" w:cs="宋体"/>
          <w:b/>
          <w:bCs/>
          <w:color w:val="auto"/>
          <w:kern w:val="0"/>
          <w:szCs w:val="21"/>
        </w:rPr>
        <w:t>银行账号：8114801014000043052</w:t>
      </w:r>
    </w:p>
    <w:p w14:paraId="220E4F22">
      <w:pPr>
        <w:autoSpaceDE w:val="0"/>
        <w:autoSpaceDN w:val="0"/>
        <w:adjustRightInd w:val="0"/>
        <w:snapToGrid w:val="0"/>
        <w:spacing w:line="360" w:lineRule="auto"/>
        <w:ind w:left="-210" w:firstLine="632" w:firstLineChars="300"/>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开户银行：中信银行东莞分行营业部</w:t>
      </w:r>
    </w:p>
    <w:p w14:paraId="19FE8520">
      <w:pPr>
        <w:autoSpaceDE w:val="0"/>
        <w:autoSpaceDN w:val="0"/>
        <w:adjustRightInd w:val="0"/>
        <w:snapToGrid w:val="0"/>
        <w:spacing w:line="360" w:lineRule="auto"/>
        <w:ind w:left="-8" w:leftChars="-4" w:firstLine="843" w:firstLineChars="400"/>
        <w:jc w:val="left"/>
        <w:rPr>
          <w:rFonts w:ascii="宋体" w:hAnsi="宋体" w:eastAsia="宋体" w:cs="宋体"/>
          <w:b/>
          <w:bCs/>
          <w:color w:val="auto"/>
          <w:kern w:val="0"/>
          <w:szCs w:val="21"/>
        </w:rPr>
      </w:pPr>
      <w:r>
        <w:rPr>
          <w:rFonts w:hint="eastAsia" w:ascii="宋体" w:hAnsi="宋体" w:eastAsia="宋体" w:cs="宋体"/>
          <w:b/>
          <w:bCs/>
          <w:color w:val="auto"/>
          <w:kern w:val="0"/>
          <w:szCs w:val="21"/>
        </w:rPr>
        <w:t>特别约定：任何一个合同甲方（东莞市水务集团管网有限公司、东莞市莞泽水环境投资有</w:t>
      </w:r>
    </w:p>
    <w:p w14:paraId="5445D1D3">
      <w:pPr>
        <w:autoSpaceDE w:val="0"/>
        <w:autoSpaceDN w:val="0"/>
        <w:adjustRightInd w:val="0"/>
        <w:snapToGrid w:val="0"/>
        <w:spacing w:line="360" w:lineRule="auto"/>
        <w:ind w:firstLine="422" w:firstLineChars="200"/>
        <w:jc w:val="left"/>
        <w:rPr>
          <w:rFonts w:ascii="宋体" w:hAnsi="宋体" w:eastAsia="宋体" w:cs="宋体"/>
          <w:b/>
          <w:bCs/>
          <w:color w:val="auto"/>
          <w:kern w:val="0"/>
          <w:szCs w:val="21"/>
        </w:rPr>
      </w:pPr>
      <w:r>
        <w:rPr>
          <w:rFonts w:hint="eastAsia" w:ascii="宋体" w:hAnsi="宋体" w:eastAsia="宋体" w:cs="宋体"/>
          <w:b/>
          <w:bCs/>
          <w:color w:val="auto"/>
          <w:kern w:val="0"/>
          <w:szCs w:val="21"/>
        </w:rPr>
        <w:t>限公司、东莞市东信水环境投资有限公司、东莞市东泽水环境投资有限公司、东莞市清泽水环</w:t>
      </w:r>
    </w:p>
    <w:p w14:paraId="158F6425">
      <w:pPr>
        <w:autoSpaceDE w:val="0"/>
        <w:autoSpaceDN w:val="0"/>
        <w:adjustRightInd w:val="0"/>
        <w:snapToGrid w:val="0"/>
        <w:spacing w:line="360" w:lineRule="auto"/>
        <w:ind w:firstLine="422" w:firstLineChars="200"/>
        <w:jc w:val="left"/>
        <w:rPr>
          <w:rFonts w:ascii="宋体" w:hAnsi="宋体" w:eastAsia="宋体" w:cs="宋体"/>
          <w:b/>
          <w:bCs/>
          <w:color w:val="auto"/>
          <w:kern w:val="0"/>
          <w:szCs w:val="21"/>
        </w:rPr>
      </w:pPr>
      <w:r>
        <w:rPr>
          <w:rFonts w:hint="eastAsia" w:ascii="宋体" w:hAnsi="宋体" w:eastAsia="宋体" w:cs="宋体"/>
          <w:b/>
          <w:bCs/>
          <w:color w:val="auto"/>
          <w:kern w:val="0"/>
          <w:szCs w:val="21"/>
        </w:rPr>
        <w:t>境投资有限公司、东莞市莞清水环境投资有限公司和东莞市东江水环境投资有限公司）均有权</w:t>
      </w:r>
    </w:p>
    <w:p w14:paraId="3901A6C6">
      <w:pPr>
        <w:autoSpaceDE w:val="0"/>
        <w:autoSpaceDN w:val="0"/>
        <w:adjustRightInd w:val="0"/>
        <w:snapToGrid w:val="0"/>
        <w:spacing w:line="360" w:lineRule="auto"/>
        <w:ind w:firstLine="422" w:firstLineChars="200"/>
        <w:jc w:val="left"/>
        <w:rPr>
          <w:rFonts w:ascii="宋体" w:hAnsi="宋体" w:eastAsia="宋体" w:cs="宋体"/>
          <w:b/>
          <w:bCs/>
          <w:color w:val="auto"/>
          <w:kern w:val="0"/>
          <w:szCs w:val="21"/>
        </w:rPr>
      </w:pPr>
      <w:r>
        <w:rPr>
          <w:rFonts w:hint="eastAsia" w:ascii="宋体" w:hAnsi="宋体" w:eastAsia="宋体" w:cs="宋体"/>
          <w:b/>
          <w:bCs/>
          <w:color w:val="auto"/>
          <w:kern w:val="0"/>
          <w:szCs w:val="21"/>
        </w:rPr>
        <w:t>就全部的履约保证金金额进行索赔。</w:t>
      </w:r>
    </w:p>
    <w:p w14:paraId="0F67D0C6">
      <w:pPr>
        <w:autoSpaceDE w:val="0"/>
        <w:autoSpaceDN w:val="0"/>
        <w:adjustRightInd w:val="0"/>
        <w:snapToGrid w:val="0"/>
        <w:spacing w:line="360" w:lineRule="auto"/>
        <w:ind w:left="-210" w:firstLine="1054" w:firstLineChars="500"/>
        <w:jc w:val="left"/>
        <w:rPr>
          <w:rFonts w:ascii="宋体" w:hAnsi="宋体" w:eastAsia="宋体" w:cs="宋体"/>
          <w:b/>
          <w:bCs/>
          <w:color w:val="auto"/>
          <w:kern w:val="0"/>
          <w:szCs w:val="21"/>
        </w:rPr>
      </w:pPr>
      <w:r>
        <w:rPr>
          <w:rFonts w:hint="eastAsia" w:ascii="宋体" w:hAnsi="宋体" w:eastAsia="宋体" w:cs="宋体"/>
          <w:b/>
          <w:bCs/>
          <w:color w:val="auto"/>
          <w:kern w:val="0"/>
          <w:szCs w:val="21"/>
        </w:rPr>
        <w:t>发生违约行为时，中标人应当按照合同约定和合同甲方的要求向对应的合同甲方支付违约</w:t>
      </w:r>
    </w:p>
    <w:p w14:paraId="1CC1036A">
      <w:pPr>
        <w:autoSpaceDE w:val="0"/>
        <w:autoSpaceDN w:val="0"/>
        <w:adjustRightInd w:val="0"/>
        <w:snapToGrid w:val="0"/>
        <w:spacing w:line="360" w:lineRule="auto"/>
        <w:ind w:firstLine="422" w:firstLineChars="200"/>
        <w:jc w:val="left"/>
        <w:rPr>
          <w:rFonts w:ascii="宋体" w:hAnsi="宋体" w:eastAsia="宋体" w:cs="宋体"/>
          <w:b/>
          <w:bCs/>
          <w:color w:val="auto"/>
          <w:kern w:val="0"/>
          <w:szCs w:val="21"/>
        </w:rPr>
      </w:pPr>
      <w:r>
        <w:rPr>
          <w:rFonts w:hint="eastAsia" w:ascii="宋体" w:hAnsi="宋体" w:eastAsia="宋体" w:cs="宋体"/>
          <w:b/>
          <w:bCs/>
          <w:color w:val="auto"/>
          <w:kern w:val="0"/>
          <w:szCs w:val="21"/>
        </w:rPr>
        <w:t>金；否则，相应的合同甲方有权从履约保证金中扣除违约金，并由东莞市水务集团管网有限公</w:t>
      </w:r>
    </w:p>
    <w:p w14:paraId="33ACB7ED">
      <w:pPr>
        <w:autoSpaceDE w:val="0"/>
        <w:autoSpaceDN w:val="0"/>
        <w:adjustRightInd w:val="0"/>
        <w:snapToGrid w:val="0"/>
        <w:spacing w:line="360" w:lineRule="auto"/>
        <w:ind w:firstLine="422" w:firstLineChars="200"/>
        <w:jc w:val="left"/>
        <w:rPr>
          <w:rFonts w:ascii="宋体" w:hAnsi="宋体" w:eastAsia="宋体" w:cs="宋体"/>
          <w:b/>
          <w:bCs/>
          <w:color w:val="auto"/>
          <w:kern w:val="0"/>
          <w:szCs w:val="21"/>
        </w:rPr>
      </w:pPr>
      <w:r>
        <w:rPr>
          <w:rFonts w:hint="eastAsia" w:ascii="宋体" w:hAnsi="宋体" w:eastAsia="宋体" w:cs="宋体"/>
          <w:b/>
          <w:bCs/>
          <w:color w:val="auto"/>
          <w:kern w:val="0"/>
          <w:szCs w:val="21"/>
        </w:rPr>
        <w:t>司将对应金额转入相应甲方的银行账户，同时中标人应在招标人指定期限内及时补足履约保证</w:t>
      </w:r>
    </w:p>
    <w:p w14:paraId="0418BE57">
      <w:pPr>
        <w:autoSpaceDE w:val="0"/>
        <w:autoSpaceDN w:val="0"/>
        <w:adjustRightInd w:val="0"/>
        <w:snapToGrid w:val="0"/>
        <w:spacing w:line="360" w:lineRule="auto"/>
        <w:ind w:firstLine="422" w:firstLineChars="200"/>
        <w:jc w:val="left"/>
        <w:rPr>
          <w:rFonts w:ascii="宋体" w:hAnsi="宋体" w:eastAsia="宋体" w:cs="宋体"/>
          <w:b/>
          <w:bCs/>
          <w:color w:val="auto"/>
          <w:kern w:val="0"/>
          <w:szCs w:val="21"/>
        </w:rPr>
      </w:pPr>
      <w:r>
        <w:rPr>
          <w:rFonts w:hint="eastAsia" w:ascii="宋体" w:hAnsi="宋体" w:eastAsia="宋体" w:cs="宋体"/>
          <w:b/>
          <w:bCs/>
          <w:color w:val="auto"/>
          <w:kern w:val="0"/>
          <w:szCs w:val="21"/>
        </w:rPr>
        <w:t>金金额。</w:t>
      </w:r>
    </w:p>
    <w:p w14:paraId="444ACEC5">
      <w:pPr>
        <w:autoSpaceDE w:val="0"/>
        <w:autoSpaceDN w:val="0"/>
        <w:adjustRightInd w:val="0"/>
        <w:spacing w:line="360" w:lineRule="auto"/>
        <w:ind w:left="420" w:leftChars="-100" w:hanging="630" w:hangingChars="300"/>
        <w:jc w:val="left"/>
        <w:rPr>
          <w:rFonts w:ascii="宋体" w:hAnsi="宋体" w:eastAsia="宋体" w:cs="宋体"/>
          <w:color w:val="auto"/>
          <w:kern w:val="0"/>
          <w:szCs w:val="21"/>
        </w:rPr>
      </w:pPr>
      <w:r>
        <w:rPr>
          <w:rFonts w:hint="eastAsia" w:ascii="宋体" w:hAnsi="宋体" w:eastAsia="宋体" w:cs="宋体"/>
          <w:color w:val="auto"/>
          <w:kern w:val="0"/>
          <w:szCs w:val="21"/>
        </w:rPr>
        <w:t>35.6  中标</w:t>
      </w:r>
      <w:r>
        <w:rPr>
          <w:rFonts w:hint="eastAsia" w:ascii="宋体" w:hAnsi="宋体" w:eastAsia="宋体" w:cs="宋体"/>
          <w:color w:val="auto"/>
          <w:kern w:val="0"/>
          <w:szCs w:val="24"/>
        </w:rPr>
        <w:t>单位提交了履约担保后，当履约保证金转达招标人</w:t>
      </w:r>
      <w:r>
        <w:rPr>
          <w:rFonts w:hint="eastAsia" w:ascii="宋体" w:hAnsi="宋体" w:eastAsia="宋体" w:cs="宋体"/>
          <w:color w:val="auto"/>
          <w:kern w:val="0"/>
          <w:szCs w:val="21"/>
        </w:rPr>
        <w:t>（含其下属子公司）</w:t>
      </w:r>
      <w:r>
        <w:rPr>
          <w:rFonts w:hint="eastAsia" w:ascii="宋体" w:hAnsi="宋体" w:eastAsia="宋体" w:cs="宋体"/>
          <w:color w:val="auto"/>
          <w:kern w:val="0"/>
          <w:szCs w:val="24"/>
        </w:rPr>
        <w:t>履约保证金账户后，</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人将履约保证金的汇款凭证用A4纸复印件（</w:t>
      </w:r>
      <w:r>
        <w:rPr>
          <w:rFonts w:hint="eastAsia" w:ascii="宋体" w:hAnsi="宋体" w:eastAsia="宋体" w:cs="宋体"/>
          <w:bCs/>
          <w:color w:val="auto"/>
          <w:kern w:val="0"/>
          <w:szCs w:val="24"/>
        </w:rPr>
        <w:t>注明</w:t>
      </w:r>
      <w:r>
        <w:rPr>
          <w:rFonts w:hint="eastAsia" w:ascii="宋体" w:hAnsi="宋体" w:eastAsia="宋体" w:cs="宋体"/>
          <w:bCs/>
          <w:color w:val="auto"/>
          <w:szCs w:val="21"/>
          <w:lang w:val="zh-CN"/>
        </w:rPr>
        <w:t>招标</w:t>
      </w:r>
      <w:r>
        <w:rPr>
          <w:rFonts w:hint="eastAsia" w:ascii="宋体" w:hAnsi="宋体" w:eastAsia="宋体" w:cs="宋体"/>
          <w:bCs/>
          <w:color w:val="auto"/>
          <w:kern w:val="0"/>
          <w:szCs w:val="24"/>
        </w:rPr>
        <w:t>编号</w:t>
      </w:r>
      <w:r>
        <w:rPr>
          <w:rFonts w:hint="eastAsia" w:ascii="宋体" w:hAnsi="宋体" w:eastAsia="宋体" w:cs="宋体"/>
          <w:color w:val="auto"/>
          <w:kern w:val="0"/>
          <w:szCs w:val="24"/>
        </w:rPr>
        <w:t>）一式二份并加盖</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人的公章送招标代理机构，[或当中标人采取不可撤销银行履约保函（</w:t>
      </w:r>
      <w:r>
        <w:rPr>
          <w:rFonts w:hint="eastAsia" w:ascii="宋体" w:hAnsi="宋体" w:eastAsia="宋体" w:cs="宋体"/>
          <w:color w:val="auto"/>
          <w:kern w:val="0"/>
          <w:szCs w:val="21"/>
        </w:rPr>
        <w:t>或履约保证保险</w:t>
      </w:r>
      <w:r>
        <w:rPr>
          <w:rFonts w:hint="eastAsia" w:ascii="宋体" w:hAnsi="宋体" w:eastAsia="宋体" w:cs="宋体"/>
          <w:color w:val="auto"/>
          <w:kern w:val="0"/>
          <w:szCs w:val="24"/>
        </w:rPr>
        <w:t>或担保公司履约担保书）的方式缴纳履约担保时，中标人将不可撤销银行履约保函（</w:t>
      </w:r>
      <w:r>
        <w:rPr>
          <w:rFonts w:hint="eastAsia" w:ascii="宋体" w:hAnsi="宋体" w:eastAsia="宋体" w:cs="宋体"/>
          <w:color w:val="auto"/>
          <w:kern w:val="0"/>
          <w:szCs w:val="21"/>
        </w:rPr>
        <w:t>或履约保证保险</w:t>
      </w:r>
      <w:r>
        <w:rPr>
          <w:rFonts w:hint="eastAsia" w:ascii="宋体" w:hAnsi="宋体" w:eastAsia="宋体" w:cs="宋体"/>
          <w:color w:val="auto"/>
          <w:kern w:val="0"/>
          <w:szCs w:val="24"/>
        </w:rPr>
        <w:t>或担保公司履约担保书）原件</w:t>
      </w:r>
      <w:r>
        <w:rPr>
          <w:rFonts w:hint="eastAsia" w:ascii="宋体" w:hAnsi="宋体" w:eastAsia="宋体" w:cs="宋体"/>
          <w:color w:val="auto"/>
          <w:szCs w:val="21"/>
          <w:lang w:val="zh-CN"/>
        </w:rPr>
        <w:t>交给招标人</w:t>
      </w:r>
      <w:r>
        <w:rPr>
          <w:rFonts w:hint="eastAsia" w:ascii="宋体" w:hAnsi="宋体" w:eastAsia="宋体" w:cs="宋体"/>
          <w:color w:val="auto"/>
          <w:kern w:val="0"/>
          <w:szCs w:val="21"/>
        </w:rPr>
        <w:t>（含其下属子公司）</w:t>
      </w:r>
      <w:r>
        <w:rPr>
          <w:rFonts w:hint="eastAsia" w:ascii="宋体" w:hAnsi="宋体" w:eastAsia="宋体" w:cs="宋体"/>
          <w:color w:val="auto"/>
          <w:szCs w:val="21"/>
          <w:lang w:val="zh-CN"/>
        </w:rPr>
        <w:t>，由招标人</w:t>
      </w:r>
      <w:r>
        <w:rPr>
          <w:rFonts w:hint="eastAsia" w:ascii="宋体" w:hAnsi="宋体" w:eastAsia="宋体" w:cs="宋体"/>
          <w:color w:val="auto"/>
          <w:kern w:val="0"/>
          <w:szCs w:val="21"/>
        </w:rPr>
        <w:t>（含其下属子公司）</w:t>
      </w:r>
      <w:r>
        <w:rPr>
          <w:rFonts w:hint="eastAsia" w:ascii="宋体" w:hAnsi="宋体" w:eastAsia="宋体" w:cs="宋体"/>
          <w:color w:val="auto"/>
          <w:szCs w:val="21"/>
          <w:lang w:val="zh-CN"/>
        </w:rPr>
        <w:t>在</w:t>
      </w:r>
      <w:r>
        <w:rPr>
          <w:rFonts w:hint="eastAsia" w:ascii="宋体" w:hAnsi="宋体" w:eastAsia="宋体" w:cs="宋体"/>
          <w:color w:val="auto"/>
          <w:kern w:val="0"/>
          <w:szCs w:val="24"/>
        </w:rPr>
        <w:t>履约保函一式两份复印件上</w:t>
      </w:r>
      <w:r>
        <w:rPr>
          <w:rFonts w:hint="eastAsia" w:ascii="宋体" w:hAnsi="宋体" w:eastAsia="宋体" w:cs="宋体"/>
          <w:color w:val="auto"/>
          <w:szCs w:val="21"/>
          <w:lang w:val="zh-CN"/>
        </w:rPr>
        <w:t>注明“原件已收”及签收人、日期后，中标人在每份复印件上</w:t>
      </w:r>
      <w:r>
        <w:rPr>
          <w:rFonts w:hint="eastAsia" w:ascii="宋体" w:hAnsi="宋体" w:eastAsia="宋体" w:cs="宋体"/>
          <w:color w:val="auto"/>
          <w:kern w:val="0"/>
          <w:szCs w:val="24"/>
        </w:rPr>
        <w:t>加盖</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人的公章，送招标代理机构]</w:t>
      </w:r>
      <w:r>
        <w:rPr>
          <w:rFonts w:hint="eastAsia" w:ascii="宋体" w:hAnsi="宋体" w:eastAsia="宋体" w:cs="宋体"/>
          <w:color w:val="auto"/>
          <w:kern w:val="0"/>
          <w:szCs w:val="21"/>
        </w:rPr>
        <w:t>。</w:t>
      </w:r>
    </w:p>
    <w:p w14:paraId="04EB3A2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4"/>
        </w:rPr>
      </w:pPr>
      <w:r>
        <w:rPr>
          <w:rFonts w:hint="eastAsia" w:ascii="宋体" w:hAnsi="宋体" w:eastAsia="宋体" w:cs="宋体"/>
          <w:color w:val="auto"/>
          <w:kern w:val="0"/>
          <w:szCs w:val="24"/>
        </w:rPr>
        <w:t xml:space="preserve">35.7  </w:t>
      </w:r>
      <w:r>
        <w:rPr>
          <w:rFonts w:hint="eastAsia" w:ascii="宋体" w:hAnsi="宋体" w:eastAsia="宋体" w:cs="宋体"/>
          <w:color w:val="auto"/>
          <w:kern w:val="0"/>
          <w:szCs w:val="21"/>
        </w:rPr>
        <w:t>中标人以履约保证金（银行转账形式）提供履约担保的在依法完成本项目的合同期限届满并完成全部单项项目结算完毕之后且满28日后，经招标人（含其下属子公司）确认，中标人可向招标人（含其下属子公司）提交退回履约担保的申请。招标人（含其下属子公司）审核无异议后，办理履约担保退还手续，退回时一律以银行转账的形式无息退回到中标人的账户。</w:t>
      </w:r>
    </w:p>
    <w:p w14:paraId="4F21C04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5CDB52A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30" w:name="_Toc10548"/>
      <w:bookmarkStart w:id="331" w:name="_Toc486167702"/>
      <w:bookmarkStart w:id="332" w:name="_Toc7497"/>
      <w:bookmarkStart w:id="333" w:name="_Toc142508353"/>
      <w:bookmarkStart w:id="334" w:name="_Toc27162"/>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在合同履行中变更采购范围的权利</w:t>
      </w:r>
      <w:bookmarkEnd w:id="328"/>
      <w:bookmarkEnd w:id="329"/>
      <w:bookmarkEnd w:id="330"/>
      <w:bookmarkEnd w:id="331"/>
      <w:bookmarkEnd w:id="332"/>
      <w:bookmarkEnd w:id="333"/>
      <w:bookmarkEnd w:id="334"/>
    </w:p>
    <w:p w14:paraId="64FE4367">
      <w:pPr>
        <w:autoSpaceDE w:val="0"/>
        <w:autoSpaceDN w:val="0"/>
        <w:adjustRightInd w:val="0"/>
        <w:spacing w:line="360" w:lineRule="auto"/>
        <w:ind w:left="328" w:leftChars="-114"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36.1 合同履行中，招标人在合同约定的范围内，招标人有权根据项目实际情况及有关法律法规、政策的规定对采购范围进行变更调整，变更采购范围后，投标人应遵照执行。</w:t>
      </w:r>
    </w:p>
    <w:p w14:paraId="096CC0D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35" w:name="_Toc450662888"/>
    </w:p>
    <w:p w14:paraId="2C2F3D65">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36" w:name="_Toc2401"/>
      <w:bookmarkStart w:id="337" w:name="_Toc142508354"/>
      <w:bookmarkStart w:id="338" w:name="_Toc486167703"/>
      <w:bookmarkStart w:id="339" w:name="_Toc23218"/>
      <w:bookmarkStart w:id="340" w:name="_Toc28921_WPSOffice_Level3"/>
      <w:bookmarkStart w:id="341" w:name="_Toc22037"/>
      <w:r>
        <w:rPr>
          <w:rFonts w:hint="eastAsia" w:ascii="宋体" w:hAnsi="宋体" w:eastAsia="宋体" w:cs="宋体"/>
          <w:color w:val="auto"/>
          <w:szCs w:val="21"/>
        </w:rPr>
        <w:t>37</w:t>
      </w:r>
      <w:r>
        <w:rPr>
          <w:rFonts w:hint="eastAsia" w:ascii="宋体" w:hAnsi="宋体" w:eastAsia="宋体" w:cs="宋体"/>
          <w:color w:val="auto"/>
          <w:szCs w:val="21"/>
          <w:lang w:val="zh-CN"/>
        </w:rPr>
        <w:t xml:space="preserve"> 中标服务费</w:t>
      </w:r>
      <w:bookmarkEnd w:id="335"/>
      <w:bookmarkEnd w:id="336"/>
      <w:bookmarkEnd w:id="337"/>
      <w:bookmarkEnd w:id="338"/>
      <w:bookmarkEnd w:id="339"/>
      <w:bookmarkEnd w:id="340"/>
      <w:bookmarkEnd w:id="341"/>
    </w:p>
    <w:p w14:paraId="2B530922">
      <w:pPr>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szCs w:val="21"/>
          <w:lang w:val="zh-CN"/>
        </w:rPr>
        <w:t>37.1 本项目中标服务费由招标人向招标代理机构支付。</w:t>
      </w:r>
    </w:p>
    <w:p w14:paraId="2B92351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42" w:name="_Toc450662889"/>
    </w:p>
    <w:p w14:paraId="230BA81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43" w:name="_Toc6796"/>
      <w:bookmarkStart w:id="344" w:name="_Toc21985"/>
      <w:bookmarkStart w:id="345" w:name="_Toc142508355"/>
      <w:bookmarkStart w:id="346" w:name="_Toc23830"/>
      <w:bookmarkStart w:id="347" w:name="_Toc486167704"/>
      <w:bookmarkStart w:id="348" w:name="_Toc6764_WPSOffice_Level3"/>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bookmarkEnd w:id="342"/>
      <w:bookmarkEnd w:id="343"/>
      <w:bookmarkEnd w:id="344"/>
      <w:bookmarkEnd w:id="345"/>
      <w:bookmarkEnd w:id="346"/>
      <w:bookmarkEnd w:id="347"/>
      <w:bookmarkEnd w:id="348"/>
    </w:p>
    <w:p w14:paraId="113C7A6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rPr>
        <w:t>38</w:t>
      </w:r>
      <w:r>
        <w:rPr>
          <w:rFonts w:hint="eastAsia" w:ascii="宋体" w:hAnsi="宋体" w:eastAsia="宋体" w:cs="宋体"/>
          <w:color w:val="auto"/>
          <w:szCs w:val="21"/>
          <w:lang w:val="zh-CN"/>
        </w:rPr>
        <w:t>.1</w:t>
      </w:r>
      <w:bookmarkStart w:id="349" w:name="_Toc486167705"/>
      <w:bookmarkStart w:id="350" w:name="_Toc31106_WPSOffice_Level3"/>
      <w:r>
        <w:rPr>
          <w:rFonts w:hint="eastAsia" w:ascii="宋体" w:hAnsi="宋体" w:eastAsia="宋体" w:cs="宋体"/>
          <w:color w:val="auto"/>
          <w:szCs w:val="21"/>
          <w:lang w:val="zh-CN"/>
        </w:rPr>
        <w:t>该项目获得中标的中标人在执行合同过程中，向招标人</w:t>
      </w:r>
      <w:r>
        <w:rPr>
          <w:rFonts w:hint="eastAsia" w:ascii="宋体" w:hAnsi="宋体" w:eastAsia="宋体" w:cs="宋体"/>
          <w:color w:val="auto"/>
          <w:kern w:val="0"/>
          <w:szCs w:val="21"/>
        </w:rPr>
        <w:t>（含其下属子公司）</w:t>
      </w:r>
      <w:r>
        <w:rPr>
          <w:rFonts w:hint="eastAsia" w:ascii="宋体" w:hAnsi="宋体" w:eastAsia="宋体" w:cs="宋体"/>
          <w:color w:val="auto"/>
          <w:szCs w:val="21"/>
          <w:lang w:val="zh-CN"/>
        </w:rPr>
        <w:t>出具的发票必须是由中标人开具，不得以其他单位或个人名义出具，本项目中标人向招标人</w:t>
      </w:r>
      <w:r>
        <w:rPr>
          <w:rFonts w:hint="eastAsia" w:ascii="宋体" w:hAnsi="宋体" w:eastAsia="宋体" w:cs="宋体"/>
          <w:color w:val="auto"/>
          <w:kern w:val="0"/>
          <w:szCs w:val="21"/>
        </w:rPr>
        <w:t>（含其下属子公司）</w:t>
      </w:r>
      <w:r>
        <w:rPr>
          <w:rFonts w:hint="eastAsia" w:ascii="宋体" w:hAnsi="宋体" w:eastAsia="宋体" w:cs="宋体"/>
          <w:color w:val="auto"/>
          <w:szCs w:val="21"/>
          <w:lang w:val="zh-CN"/>
        </w:rPr>
        <w:t>出具的发票类型为增值税</w:t>
      </w:r>
      <w:r>
        <w:rPr>
          <w:rFonts w:hint="eastAsia" w:ascii="宋体" w:hAnsi="宋体" w:eastAsia="宋体" w:cs="宋体"/>
          <w:color w:val="auto"/>
          <w:szCs w:val="21"/>
          <w:lang w:val="en-US" w:eastAsia="zh-CN"/>
        </w:rPr>
        <w:t>专用</w:t>
      </w:r>
      <w:r>
        <w:rPr>
          <w:rFonts w:hint="eastAsia" w:ascii="宋体" w:hAnsi="宋体" w:eastAsia="宋体" w:cs="宋体"/>
          <w:color w:val="auto"/>
          <w:szCs w:val="21"/>
          <w:lang w:val="zh-CN"/>
        </w:rPr>
        <w:t>发票。</w:t>
      </w:r>
    </w:p>
    <w:p w14:paraId="5830D1E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63F0865E">
      <w:pPr>
        <w:tabs>
          <w:tab w:val="left" w:pos="360"/>
        </w:tabs>
        <w:autoSpaceDE w:val="0"/>
        <w:autoSpaceDN w:val="0"/>
        <w:adjustRightInd w:val="0"/>
        <w:spacing w:line="360" w:lineRule="auto"/>
        <w:ind w:left="359" w:leftChars="-100" w:hanging="569"/>
        <w:jc w:val="left"/>
        <w:outlineLvl w:val="2"/>
        <w:rPr>
          <w:rFonts w:ascii="宋体" w:hAnsi="宋体" w:eastAsia="宋体" w:cs="宋体"/>
          <w:b/>
          <w:color w:val="auto"/>
          <w:szCs w:val="21"/>
        </w:rPr>
      </w:pPr>
      <w:bookmarkStart w:id="351" w:name="_Toc24547"/>
      <w:bookmarkStart w:id="352" w:name="_Toc30101"/>
      <w:bookmarkStart w:id="353" w:name="_Toc142508356"/>
      <w:bookmarkStart w:id="354" w:name="_Toc8619"/>
      <w:r>
        <w:rPr>
          <w:rFonts w:hint="eastAsia" w:ascii="宋体" w:hAnsi="宋体" w:eastAsia="宋体" w:cs="宋体"/>
          <w:b/>
          <w:color w:val="auto"/>
          <w:szCs w:val="21"/>
        </w:rPr>
        <w:t>39 招标相关补充约定</w:t>
      </w:r>
      <w:bookmarkEnd w:id="351"/>
      <w:bookmarkEnd w:id="352"/>
      <w:bookmarkEnd w:id="353"/>
      <w:bookmarkEnd w:id="354"/>
    </w:p>
    <w:p w14:paraId="1D5FB7FD">
      <w:pPr>
        <w:autoSpaceDE w:val="0"/>
        <w:autoSpaceDN w:val="0"/>
        <w:adjustRightInd w:val="0"/>
        <w:snapToGrid w:val="0"/>
        <w:spacing w:line="360" w:lineRule="auto"/>
        <w:ind w:left="317" w:leftChars="-100" w:hanging="527" w:hangingChars="250"/>
        <w:jc w:val="left"/>
        <w:rPr>
          <w:rFonts w:ascii="宋体" w:hAnsi="宋体" w:eastAsia="宋体" w:cs="宋体"/>
          <w:b/>
          <w:color w:val="auto"/>
          <w:szCs w:val="21"/>
        </w:rPr>
      </w:pPr>
      <w:r>
        <w:rPr>
          <w:rFonts w:hint="eastAsia" w:ascii="宋体" w:hAnsi="宋体" w:eastAsia="宋体" w:cs="宋体"/>
          <w:b/>
          <w:color w:val="auto"/>
          <w:szCs w:val="21"/>
        </w:rPr>
        <w:t>39.1</w:t>
      </w:r>
      <w:r>
        <w:rPr>
          <w:rFonts w:hint="eastAsia" w:ascii="宋体" w:hAnsi="宋体" w:eastAsia="宋体" w:cs="宋体"/>
          <w:b/>
          <w:color w:val="auto"/>
          <w:szCs w:val="21"/>
        </w:rPr>
        <w:tab/>
      </w:r>
      <w:r>
        <w:rPr>
          <w:rFonts w:hint="eastAsia" w:ascii="宋体" w:hAnsi="宋体" w:eastAsia="宋体" w:cs="宋体"/>
          <w:b/>
          <w:color w:val="auto"/>
          <w:szCs w:val="21"/>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7C2237B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47BFE99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rPr>
      </w:pPr>
      <w:bookmarkStart w:id="355" w:name="_Toc26594"/>
      <w:bookmarkStart w:id="356" w:name="_Toc7811"/>
      <w:bookmarkStart w:id="357" w:name="_Toc29758"/>
      <w:bookmarkStart w:id="358" w:name="_Toc142508357"/>
      <w:r>
        <w:rPr>
          <w:rFonts w:hint="eastAsia" w:ascii="宋体" w:hAnsi="宋体" w:eastAsia="宋体" w:cs="宋体"/>
          <w:color w:val="auto"/>
          <w:szCs w:val="21"/>
        </w:rPr>
        <w:t>40 本次招标活动的最终解释权归招标代理机构及招标人所有。</w:t>
      </w:r>
      <w:bookmarkEnd w:id="349"/>
      <w:bookmarkEnd w:id="350"/>
      <w:bookmarkEnd w:id="355"/>
      <w:bookmarkEnd w:id="356"/>
      <w:bookmarkEnd w:id="357"/>
      <w:bookmarkEnd w:id="358"/>
    </w:p>
    <w:p w14:paraId="2870AFE7">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rPr>
      </w:pPr>
      <w:bookmarkStart w:id="359" w:name="_Toc7082"/>
      <w:r>
        <w:rPr>
          <w:rFonts w:hint="eastAsia" w:ascii="宋体" w:hAnsi="宋体" w:eastAsia="宋体" w:cs="宋体"/>
          <w:b/>
          <w:bCs/>
          <w:color w:val="auto"/>
          <w:kern w:val="44"/>
          <w:sz w:val="32"/>
          <w:szCs w:val="32"/>
          <w:lang w:val="zh-CN"/>
        </w:rPr>
        <w:t>第三篇 用户需求书</w:t>
      </w:r>
      <w:bookmarkEnd w:id="359"/>
    </w:p>
    <w:p w14:paraId="0619024B">
      <w:pPr>
        <w:pStyle w:val="129"/>
        <w:spacing w:line="360" w:lineRule="auto"/>
        <w:ind w:left="422" w:firstLine="0" w:firstLineChars="0"/>
        <w:rPr>
          <w:rFonts w:ascii="宋体" w:hAnsi="宋体" w:eastAsia="宋体" w:cs="宋体"/>
          <w:b/>
          <w:color w:val="auto"/>
          <w:szCs w:val="21"/>
        </w:rPr>
      </w:pPr>
      <w:bookmarkStart w:id="360" w:name="_Toc12510"/>
      <w:bookmarkStart w:id="361" w:name="_Toc4179"/>
      <w:bookmarkStart w:id="362" w:name="_Toc18798"/>
      <w:r>
        <w:rPr>
          <w:rFonts w:hint="eastAsia" w:ascii="宋体" w:hAnsi="宋体" w:eastAsia="宋体" w:cs="宋体"/>
          <w:b/>
          <w:color w:val="auto"/>
          <w:szCs w:val="21"/>
        </w:rPr>
        <w:t>一、</w:t>
      </w:r>
      <w:bookmarkEnd w:id="360"/>
      <w:bookmarkEnd w:id="361"/>
      <w:bookmarkEnd w:id="362"/>
      <w:r>
        <w:rPr>
          <w:rFonts w:hint="eastAsia" w:ascii="宋体" w:hAnsi="宋体" w:eastAsia="宋体" w:cs="宋体"/>
          <w:b/>
          <w:color w:val="auto"/>
          <w:szCs w:val="21"/>
        </w:rPr>
        <w:t>项目概况</w:t>
      </w:r>
    </w:p>
    <w:p w14:paraId="0879B4C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东莞市水务集团管网有限公司是东莞市水务集团有限公司的二级子公司，承接全市排水管网板块业务，包括建设、维护、维修、整改工作，协助行政主管部门开展排水接驳、水环境执法及市政府部署的涉水项目等工作。目前招标人已运维的污水管网达10363.27公里，污水提升泵站及雨水排涝设施共计286座，预计至2024年年底，接收运维管网超过11000公里，运营污水提升泵站超300座。随着公司发展，各辖区管网及泵站机电设备、设施拆卸、维修、技改、重置等机电设备维修工作量不断增大，需由专业机电维修公司承接部分技术服务工作。</w:t>
      </w:r>
      <w:r>
        <w:rPr>
          <w:rFonts w:hint="eastAsia" w:ascii="宋体" w:hAnsi="宋体" w:eastAsia="宋体" w:cs="宋体"/>
          <w:color w:val="auto"/>
          <w:szCs w:val="21"/>
        </w:rPr>
        <w:cr/>
      </w:r>
      <w:r>
        <w:rPr>
          <w:rFonts w:hint="eastAsia" w:ascii="宋体" w:hAnsi="宋体" w:eastAsia="宋体" w:cs="宋体"/>
          <w:color w:val="auto"/>
          <w:szCs w:val="21"/>
        </w:rPr>
        <w:t xml:space="preserve">    招标人对全市污水雨水管网及泵站运营分6个片区进行管理（详见表1），本次招标人以公开招标方式，将6个片区划分3个包组分别选取1家机电设备维修服务单位，在服务期限内，按招标人委派的规则直接承接对应包组内的机电设备维修服务项目。</w:t>
      </w:r>
    </w:p>
    <w:p w14:paraId="40187B8D">
      <w:pPr>
        <w:spacing w:line="360" w:lineRule="auto"/>
        <w:jc w:val="center"/>
        <w:rPr>
          <w:rFonts w:ascii="宋体" w:hAnsi="宋体" w:eastAsia="宋体" w:cs="宋体"/>
          <w:color w:val="auto"/>
          <w:szCs w:val="21"/>
        </w:rPr>
      </w:pPr>
      <w:r>
        <w:rPr>
          <w:rFonts w:hint="eastAsia" w:ascii="宋体" w:hAnsi="宋体" w:eastAsia="宋体" w:cs="宋体"/>
          <w:color w:val="auto"/>
          <w:szCs w:val="21"/>
        </w:rPr>
        <w:t>表1 全市排水管网及泵站运营管理片区划分表</w:t>
      </w:r>
    </w:p>
    <w:tbl>
      <w:tblPr>
        <w:tblStyle w:val="37"/>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80"/>
        <w:gridCol w:w="4570"/>
        <w:gridCol w:w="1707"/>
      </w:tblGrid>
      <w:tr w14:paraId="6564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6489A7B">
            <w:pPr>
              <w:autoSpaceDE w:val="0"/>
              <w:autoSpaceDN w:val="0"/>
              <w:adjustRightInd w:val="0"/>
              <w:spacing w:line="360" w:lineRule="auto"/>
              <w:jc w:val="center"/>
              <w:rPr>
                <w:rFonts w:ascii="宋体" w:hAnsi="宋体" w:eastAsia="宋体" w:cs="宋体"/>
                <w:b/>
                <w:color w:val="auto"/>
                <w:szCs w:val="21"/>
              </w:rPr>
            </w:pPr>
            <w:r>
              <w:rPr>
                <w:rFonts w:hint="eastAsia" w:ascii="宋体" w:hAnsi="宋体" w:eastAsia="宋体" w:cs="宋体"/>
                <w:color w:val="auto"/>
                <w:szCs w:val="21"/>
              </w:rPr>
              <w:t>包号</w:t>
            </w:r>
          </w:p>
        </w:tc>
        <w:tc>
          <w:tcPr>
            <w:tcW w:w="1380" w:type="dxa"/>
            <w:tcBorders>
              <w:top w:val="single" w:color="auto" w:sz="4" w:space="0"/>
              <w:left w:val="single" w:color="auto" w:sz="4" w:space="0"/>
              <w:bottom w:val="single" w:color="auto" w:sz="4" w:space="0"/>
              <w:right w:val="single" w:color="auto" w:sz="4" w:space="0"/>
            </w:tcBorders>
            <w:vAlign w:val="center"/>
          </w:tcPr>
          <w:p w14:paraId="2A5B1463">
            <w:pPr>
              <w:pStyle w:val="129"/>
              <w:ind w:firstLine="0" w:firstLineChars="0"/>
              <w:jc w:val="center"/>
              <w:rPr>
                <w:rFonts w:ascii="宋体" w:hAnsi="宋体" w:eastAsia="宋体" w:cs="宋体"/>
                <w:b/>
                <w:color w:val="auto"/>
                <w:szCs w:val="21"/>
              </w:rPr>
            </w:pPr>
            <w:r>
              <w:rPr>
                <w:rFonts w:hint="eastAsia" w:ascii="宋体" w:hAnsi="宋体" w:eastAsia="宋体" w:cs="宋体"/>
                <w:b/>
                <w:color w:val="auto"/>
                <w:szCs w:val="21"/>
              </w:rPr>
              <w:t>片区名称</w:t>
            </w:r>
          </w:p>
        </w:tc>
        <w:tc>
          <w:tcPr>
            <w:tcW w:w="4570" w:type="dxa"/>
            <w:tcBorders>
              <w:top w:val="single" w:color="auto" w:sz="4" w:space="0"/>
              <w:left w:val="single" w:color="auto" w:sz="4" w:space="0"/>
              <w:bottom w:val="single" w:color="auto" w:sz="4" w:space="0"/>
              <w:right w:val="single" w:color="auto" w:sz="4" w:space="0"/>
            </w:tcBorders>
            <w:vAlign w:val="center"/>
          </w:tcPr>
          <w:p w14:paraId="0329DA2F">
            <w:pPr>
              <w:pStyle w:val="129"/>
              <w:ind w:firstLine="422"/>
              <w:rPr>
                <w:rFonts w:ascii="宋体" w:hAnsi="宋体" w:eastAsia="宋体" w:cs="宋体"/>
                <w:b/>
                <w:color w:val="auto"/>
                <w:szCs w:val="21"/>
              </w:rPr>
            </w:pPr>
            <w:r>
              <w:rPr>
                <w:rFonts w:hint="eastAsia" w:ascii="宋体" w:hAnsi="宋体" w:eastAsia="宋体" w:cs="宋体"/>
                <w:b/>
                <w:color w:val="auto"/>
                <w:szCs w:val="21"/>
              </w:rPr>
              <w:t>片区（园区、街道办）分属镇街</w:t>
            </w:r>
          </w:p>
        </w:tc>
        <w:tc>
          <w:tcPr>
            <w:tcW w:w="1707" w:type="dxa"/>
            <w:tcBorders>
              <w:top w:val="single" w:color="auto" w:sz="4" w:space="0"/>
              <w:left w:val="single" w:color="auto" w:sz="4" w:space="0"/>
              <w:bottom w:val="single" w:color="auto" w:sz="4" w:space="0"/>
              <w:right w:val="single" w:color="auto" w:sz="4" w:space="0"/>
            </w:tcBorders>
            <w:vAlign w:val="center"/>
          </w:tcPr>
          <w:p w14:paraId="77A3E3BC">
            <w:pPr>
              <w:pStyle w:val="129"/>
              <w:ind w:firstLine="0" w:firstLineChars="0"/>
              <w:jc w:val="center"/>
              <w:rPr>
                <w:rFonts w:ascii="宋体" w:hAnsi="宋体" w:eastAsia="宋体" w:cs="宋体"/>
                <w:b/>
                <w:color w:val="auto"/>
                <w:szCs w:val="21"/>
              </w:rPr>
            </w:pPr>
            <w:r>
              <w:rPr>
                <w:rFonts w:hint="eastAsia" w:ascii="宋体" w:hAnsi="宋体" w:eastAsia="宋体" w:cs="宋体"/>
                <w:b/>
                <w:color w:val="auto"/>
                <w:szCs w:val="21"/>
              </w:rPr>
              <w:t>招标人办公驻点</w:t>
            </w:r>
          </w:p>
        </w:tc>
      </w:tr>
      <w:tr w14:paraId="1F91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tcBorders>
              <w:top w:val="single" w:color="auto" w:sz="4" w:space="0"/>
              <w:left w:val="single" w:color="auto" w:sz="4" w:space="0"/>
              <w:right w:val="single" w:color="auto" w:sz="4" w:space="0"/>
            </w:tcBorders>
            <w:vAlign w:val="center"/>
          </w:tcPr>
          <w:p w14:paraId="5F4EE047">
            <w:pPr>
              <w:pStyle w:val="129"/>
              <w:autoSpaceDE w:val="0"/>
              <w:autoSpaceDN w:val="0"/>
              <w:adjustRightInd w:val="0"/>
              <w:spacing w:line="360" w:lineRule="auto"/>
              <w:ind w:right="-34" w:firstLine="0" w:firstLineChars="0"/>
              <w:jc w:val="center"/>
              <w:rPr>
                <w:rFonts w:ascii="宋体" w:hAnsi="宋体" w:eastAsia="宋体" w:cs="宋体"/>
                <w:color w:val="auto"/>
                <w:szCs w:val="21"/>
              </w:rPr>
            </w:pPr>
            <w:r>
              <w:rPr>
                <w:rFonts w:hint="eastAsia" w:ascii="宋体" w:hAnsi="宋体" w:eastAsia="宋体" w:cs="宋体"/>
                <w:color w:val="auto"/>
                <w:szCs w:val="21"/>
                <w:lang w:val="zh-CN"/>
              </w:rPr>
              <w:t>A</w:t>
            </w:r>
          </w:p>
        </w:tc>
        <w:tc>
          <w:tcPr>
            <w:tcW w:w="1380" w:type="dxa"/>
            <w:tcBorders>
              <w:top w:val="single" w:color="auto" w:sz="4" w:space="0"/>
              <w:left w:val="single" w:color="auto" w:sz="4" w:space="0"/>
              <w:bottom w:val="single" w:color="auto" w:sz="4" w:space="0"/>
              <w:right w:val="single" w:color="auto" w:sz="4" w:space="0"/>
            </w:tcBorders>
            <w:vAlign w:val="center"/>
          </w:tcPr>
          <w:p w14:paraId="6FFEFBFA">
            <w:pPr>
              <w:jc w:val="center"/>
              <w:rPr>
                <w:rFonts w:ascii="宋体" w:hAnsi="宋体" w:eastAsia="宋体" w:cs="宋体"/>
                <w:color w:val="auto"/>
                <w:szCs w:val="21"/>
              </w:rPr>
            </w:pPr>
            <w:r>
              <w:rPr>
                <w:rFonts w:hint="eastAsia" w:ascii="宋体" w:hAnsi="宋体" w:eastAsia="宋体" w:cs="宋体"/>
                <w:color w:val="auto"/>
                <w:szCs w:val="21"/>
              </w:rPr>
              <w:t>第一片区</w:t>
            </w:r>
          </w:p>
        </w:tc>
        <w:tc>
          <w:tcPr>
            <w:tcW w:w="4570" w:type="dxa"/>
            <w:tcBorders>
              <w:top w:val="single" w:color="auto" w:sz="4" w:space="0"/>
              <w:left w:val="single" w:color="auto" w:sz="4" w:space="0"/>
              <w:bottom w:val="single" w:color="auto" w:sz="4" w:space="0"/>
              <w:right w:val="single" w:color="auto" w:sz="4" w:space="0"/>
            </w:tcBorders>
            <w:vAlign w:val="center"/>
          </w:tcPr>
          <w:p w14:paraId="24158D26">
            <w:pPr>
              <w:rPr>
                <w:rFonts w:ascii="宋体" w:hAnsi="宋体" w:eastAsia="宋体" w:cs="宋体"/>
                <w:color w:val="auto"/>
                <w:szCs w:val="21"/>
              </w:rPr>
            </w:pPr>
            <w:r>
              <w:rPr>
                <w:rFonts w:hint="eastAsia" w:ascii="宋体" w:hAnsi="宋体" w:eastAsia="宋体" w:cs="宋体"/>
                <w:color w:val="auto"/>
                <w:szCs w:val="21"/>
              </w:rPr>
              <w:t>东城、南城、莞城、万江、石龙、石碣、高埗</w:t>
            </w:r>
          </w:p>
        </w:tc>
        <w:tc>
          <w:tcPr>
            <w:tcW w:w="1707" w:type="dxa"/>
            <w:tcBorders>
              <w:top w:val="single" w:color="auto" w:sz="4" w:space="0"/>
              <w:left w:val="single" w:color="auto" w:sz="4" w:space="0"/>
              <w:bottom w:val="single" w:color="auto" w:sz="4" w:space="0"/>
              <w:right w:val="single" w:color="auto" w:sz="4" w:space="0"/>
            </w:tcBorders>
            <w:vAlign w:val="center"/>
          </w:tcPr>
          <w:p w14:paraId="69D4B0DC">
            <w:pPr>
              <w:jc w:val="center"/>
              <w:rPr>
                <w:rFonts w:ascii="宋体" w:hAnsi="宋体" w:eastAsia="宋体" w:cs="宋体"/>
                <w:color w:val="auto"/>
                <w:szCs w:val="21"/>
              </w:rPr>
            </w:pPr>
            <w:r>
              <w:rPr>
                <w:rFonts w:hint="eastAsia" w:ascii="宋体" w:hAnsi="宋体" w:eastAsia="宋体" w:cs="宋体"/>
                <w:color w:val="auto"/>
                <w:szCs w:val="21"/>
              </w:rPr>
              <w:t>东城</w:t>
            </w:r>
          </w:p>
        </w:tc>
      </w:tr>
      <w:tr w14:paraId="19B3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continue"/>
            <w:tcBorders>
              <w:left w:val="single" w:color="auto" w:sz="4" w:space="0"/>
              <w:bottom w:val="single" w:color="auto" w:sz="4" w:space="0"/>
              <w:right w:val="single" w:color="auto" w:sz="4" w:space="0"/>
            </w:tcBorders>
            <w:vAlign w:val="center"/>
          </w:tcPr>
          <w:p w14:paraId="3A8E904A">
            <w:pPr>
              <w:jc w:val="center"/>
              <w:rPr>
                <w:rFonts w:ascii="宋体" w:hAnsi="宋体" w:eastAsia="宋体" w:cs="宋体"/>
                <w:color w:val="auto"/>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A42454C">
            <w:pPr>
              <w:jc w:val="center"/>
              <w:rPr>
                <w:rFonts w:ascii="宋体" w:hAnsi="宋体" w:eastAsia="宋体" w:cs="宋体"/>
                <w:color w:val="auto"/>
                <w:szCs w:val="21"/>
              </w:rPr>
            </w:pPr>
            <w:r>
              <w:rPr>
                <w:rFonts w:hint="eastAsia" w:ascii="宋体" w:hAnsi="宋体" w:eastAsia="宋体" w:cs="宋体"/>
                <w:color w:val="auto"/>
                <w:szCs w:val="21"/>
              </w:rPr>
              <w:t>第二片区</w:t>
            </w:r>
          </w:p>
        </w:tc>
        <w:tc>
          <w:tcPr>
            <w:tcW w:w="4570" w:type="dxa"/>
            <w:tcBorders>
              <w:top w:val="single" w:color="auto" w:sz="4" w:space="0"/>
              <w:left w:val="single" w:color="auto" w:sz="4" w:space="0"/>
              <w:bottom w:val="single" w:color="auto" w:sz="4" w:space="0"/>
              <w:right w:val="single" w:color="auto" w:sz="4" w:space="0"/>
            </w:tcBorders>
            <w:vAlign w:val="center"/>
          </w:tcPr>
          <w:p w14:paraId="2B6922FE">
            <w:pPr>
              <w:pStyle w:val="129"/>
              <w:ind w:firstLine="0" w:firstLineChars="0"/>
              <w:rPr>
                <w:rFonts w:ascii="宋体" w:hAnsi="宋体" w:eastAsia="宋体" w:cs="宋体"/>
                <w:color w:val="auto"/>
                <w:szCs w:val="21"/>
              </w:rPr>
            </w:pPr>
            <w:r>
              <w:rPr>
                <w:rFonts w:hint="eastAsia" w:ascii="宋体" w:hAnsi="宋体" w:eastAsia="宋体" w:cs="宋体"/>
                <w:color w:val="auto"/>
                <w:szCs w:val="21"/>
              </w:rPr>
              <w:t>松山湖（生态园）、大岭山、大朗、寮步、茶山、石排</w:t>
            </w:r>
          </w:p>
        </w:tc>
        <w:tc>
          <w:tcPr>
            <w:tcW w:w="1707" w:type="dxa"/>
            <w:tcBorders>
              <w:top w:val="single" w:color="auto" w:sz="4" w:space="0"/>
              <w:left w:val="single" w:color="auto" w:sz="4" w:space="0"/>
              <w:bottom w:val="single" w:color="auto" w:sz="4" w:space="0"/>
              <w:right w:val="single" w:color="auto" w:sz="4" w:space="0"/>
            </w:tcBorders>
            <w:vAlign w:val="center"/>
          </w:tcPr>
          <w:p w14:paraId="7B702E74">
            <w:pPr>
              <w:jc w:val="center"/>
              <w:rPr>
                <w:rFonts w:ascii="宋体" w:hAnsi="宋体" w:eastAsia="宋体" w:cs="宋体"/>
                <w:color w:val="auto"/>
                <w:szCs w:val="21"/>
              </w:rPr>
            </w:pPr>
            <w:r>
              <w:rPr>
                <w:rFonts w:hint="eastAsia" w:ascii="宋体" w:hAnsi="宋体" w:eastAsia="宋体" w:cs="宋体"/>
                <w:color w:val="auto"/>
                <w:szCs w:val="21"/>
              </w:rPr>
              <w:t>寮步</w:t>
            </w:r>
          </w:p>
        </w:tc>
      </w:tr>
      <w:tr w14:paraId="0466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tcBorders>
              <w:top w:val="single" w:color="auto" w:sz="4" w:space="0"/>
              <w:left w:val="single" w:color="auto" w:sz="4" w:space="0"/>
              <w:right w:val="single" w:color="auto" w:sz="4" w:space="0"/>
            </w:tcBorders>
            <w:vAlign w:val="center"/>
          </w:tcPr>
          <w:p w14:paraId="0868E652">
            <w:pPr>
              <w:pStyle w:val="129"/>
              <w:autoSpaceDE w:val="0"/>
              <w:autoSpaceDN w:val="0"/>
              <w:adjustRightInd w:val="0"/>
              <w:spacing w:line="360" w:lineRule="auto"/>
              <w:ind w:right="-34" w:firstLine="0" w:firstLineChars="0"/>
              <w:jc w:val="center"/>
              <w:rPr>
                <w:rFonts w:ascii="宋体" w:hAnsi="宋体" w:eastAsia="宋体" w:cs="宋体"/>
                <w:color w:val="auto"/>
                <w:szCs w:val="21"/>
              </w:rPr>
            </w:pPr>
            <w:r>
              <w:rPr>
                <w:rFonts w:hint="eastAsia" w:ascii="宋体" w:hAnsi="宋体" w:eastAsia="宋体" w:cs="宋体"/>
                <w:color w:val="auto"/>
                <w:szCs w:val="21"/>
                <w:lang w:val="zh-CN"/>
              </w:rPr>
              <w:t>B</w:t>
            </w:r>
          </w:p>
        </w:tc>
        <w:tc>
          <w:tcPr>
            <w:tcW w:w="1380" w:type="dxa"/>
            <w:tcBorders>
              <w:top w:val="single" w:color="auto" w:sz="4" w:space="0"/>
              <w:left w:val="single" w:color="auto" w:sz="4" w:space="0"/>
              <w:bottom w:val="single" w:color="auto" w:sz="4" w:space="0"/>
              <w:right w:val="single" w:color="auto" w:sz="4" w:space="0"/>
            </w:tcBorders>
            <w:vAlign w:val="center"/>
          </w:tcPr>
          <w:p w14:paraId="3B588D70">
            <w:pPr>
              <w:jc w:val="center"/>
              <w:rPr>
                <w:rFonts w:ascii="宋体" w:hAnsi="宋体" w:eastAsia="宋体" w:cs="宋体"/>
                <w:color w:val="auto"/>
                <w:szCs w:val="21"/>
              </w:rPr>
            </w:pPr>
            <w:r>
              <w:rPr>
                <w:rFonts w:hint="eastAsia" w:ascii="宋体" w:hAnsi="宋体" w:eastAsia="宋体" w:cs="宋体"/>
                <w:color w:val="auto"/>
                <w:szCs w:val="21"/>
              </w:rPr>
              <w:t>第三片区</w:t>
            </w:r>
          </w:p>
        </w:tc>
        <w:tc>
          <w:tcPr>
            <w:tcW w:w="4570" w:type="dxa"/>
            <w:tcBorders>
              <w:top w:val="single" w:color="auto" w:sz="4" w:space="0"/>
              <w:left w:val="single" w:color="auto" w:sz="4" w:space="0"/>
              <w:bottom w:val="single" w:color="auto" w:sz="4" w:space="0"/>
              <w:right w:val="single" w:color="auto" w:sz="4" w:space="0"/>
            </w:tcBorders>
            <w:vAlign w:val="center"/>
          </w:tcPr>
          <w:p w14:paraId="4F36DDA0">
            <w:pPr>
              <w:rPr>
                <w:rFonts w:ascii="宋体" w:hAnsi="宋体" w:eastAsia="宋体" w:cs="宋体"/>
                <w:color w:val="auto"/>
                <w:szCs w:val="21"/>
              </w:rPr>
            </w:pPr>
            <w:r>
              <w:rPr>
                <w:rFonts w:hint="eastAsia" w:ascii="宋体" w:hAnsi="宋体" w:eastAsia="宋体" w:cs="宋体"/>
                <w:color w:val="auto"/>
                <w:szCs w:val="21"/>
              </w:rPr>
              <w:t>滨海湾、虎门、长安、厚街、沙田（虎门港）</w:t>
            </w:r>
          </w:p>
        </w:tc>
        <w:tc>
          <w:tcPr>
            <w:tcW w:w="1707" w:type="dxa"/>
            <w:tcBorders>
              <w:top w:val="single" w:color="auto" w:sz="4" w:space="0"/>
              <w:left w:val="single" w:color="auto" w:sz="4" w:space="0"/>
              <w:bottom w:val="single" w:color="auto" w:sz="4" w:space="0"/>
              <w:right w:val="single" w:color="auto" w:sz="4" w:space="0"/>
            </w:tcBorders>
            <w:vAlign w:val="center"/>
          </w:tcPr>
          <w:p w14:paraId="06E11819">
            <w:pPr>
              <w:jc w:val="center"/>
              <w:rPr>
                <w:rFonts w:ascii="宋体" w:hAnsi="宋体" w:eastAsia="宋体" w:cs="宋体"/>
                <w:color w:val="auto"/>
                <w:szCs w:val="21"/>
              </w:rPr>
            </w:pPr>
            <w:r>
              <w:rPr>
                <w:rFonts w:hint="eastAsia" w:ascii="宋体" w:hAnsi="宋体" w:eastAsia="宋体" w:cs="宋体"/>
                <w:color w:val="auto"/>
                <w:szCs w:val="21"/>
              </w:rPr>
              <w:t>沙田</w:t>
            </w:r>
          </w:p>
        </w:tc>
      </w:tr>
      <w:tr w14:paraId="5F6B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continue"/>
            <w:tcBorders>
              <w:left w:val="single" w:color="auto" w:sz="4" w:space="0"/>
              <w:bottom w:val="single" w:color="auto" w:sz="4" w:space="0"/>
              <w:right w:val="single" w:color="auto" w:sz="4" w:space="0"/>
            </w:tcBorders>
            <w:vAlign w:val="center"/>
          </w:tcPr>
          <w:p w14:paraId="5E5EC2EA">
            <w:pPr>
              <w:jc w:val="center"/>
              <w:rPr>
                <w:rFonts w:ascii="宋体" w:hAnsi="宋体" w:eastAsia="宋体" w:cs="宋体"/>
                <w:color w:val="auto"/>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7468673E">
            <w:pPr>
              <w:jc w:val="center"/>
              <w:rPr>
                <w:rFonts w:ascii="宋体" w:hAnsi="宋体" w:eastAsia="宋体" w:cs="宋体"/>
                <w:color w:val="auto"/>
                <w:szCs w:val="21"/>
              </w:rPr>
            </w:pPr>
            <w:r>
              <w:rPr>
                <w:rFonts w:hint="eastAsia" w:ascii="宋体" w:hAnsi="宋体" w:eastAsia="宋体" w:cs="宋体"/>
                <w:color w:val="auto"/>
                <w:szCs w:val="21"/>
              </w:rPr>
              <w:t>第四片区</w:t>
            </w:r>
          </w:p>
        </w:tc>
        <w:tc>
          <w:tcPr>
            <w:tcW w:w="4570" w:type="dxa"/>
            <w:tcBorders>
              <w:top w:val="single" w:color="auto" w:sz="4" w:space="0"/>
              <w:left w:val="single" w:color="auto" w:sz="4" w:space="0"/>
              <w:bottom w:val="single" w:color="auto" w:sz="4" w:space="0"/>
              <w:right w:val="single" w:color="auto" w:sz="4" w:space="0"/>
            </w:tcBorders>
            <w:vAlign w:val="center"/>
          </w:tcPr>
          <w:p w14:paraId="644DA65D">
            <w:pPr>
              <w:rPr>
                <w:rFonts w:ascii="宋体" w:hAnsi="宋体" w:eastAsia="宋体" w:cs="宋体"/>
                <w:color w:val="auto"/>
                <w:szCs w:val="21"/>
              </w:rPr>
            </w:pPr>
            <w:r>
              <w:rPr>
                <w:rFonts w:hint="eastAsia" w:ascii="宋体" w:hAnsi="宋体" w:eastAsia="宋体" w:cs="宋体"/>
                <w:color w:val="auto"/>
                <w:szCs w:val="21"/>
              </w:rPr>
              <w:t>麻涌、中堂、望牛墩、道滘、洪梅</w:t>
            </w:r>
          </w:p>
        </w:tc>
        <w:tc>
          <w:tcPr>
            <w:tcW w:w="1707" w:type="dxa"/>
            <w:tcBorders>
              <w:top w:val="single" w:color="auto" w:sz="4" w:space="0"/>
              <w:left w:val="single" w:color="auto" w:sz="4" w:space="0"/>
              <w:bottom w:val="single" w:color="auto" w:sz="4" w:space="0"/>
              <w:right w:val="single" w:color="auto" w:sz="4" w:space="0"/>
            </w:tcBorders>
            <w:vAlign w:val="center"/>
          </w:tcPr>
          <w:p w14:paraId="11F42CE8">
            <w:pPr>
              <w:jc w:val="center"/>
              <w:rPr>
                <w:rFonts w:ascii="宋体" w:hAnsi="宋体" w:eastAsia="宋体" w:cs="宋体"/>
                <w:color w:val="auto"/>
                <w:szCs w:val="21"/>
              </w:rPr>
            </w:pPr>
            <w:r>
              <w:rPr>
                <w:rFonts w:hint="eastAsia" w:ascii="宋体" w:hAnsi="宋体" w:eastAsia="宋体" w:cs="宋体"/>
                <w:color w:val="auto"/>
                <w:szCs w:val="21"/>
              </w:rPr>
              <w:t>道滘</w:t>
            </w:r>
          </w:p>
        </w:tc>
      </w:tr>
      <w:tr w14:paraId="1100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tcBorders>
              <w:top w:val="single" w:color="auto" w:sz="4" w:space="0"/>
              <w:left w:val="single" w:color="auto" w:sz="4" w:space="0"/>
              <w:right w:val="single" w:color="auto" w:sz="4" w:space="0"/>
            </w:tcBorders>
            <w:vAlign w:val="center"/>
          </w:tcPr>
          <w:p w14:paraId="3A69B273">
            <w:pPr>
              <w:pStyle w:val="129"/>
              <w:autoSpaceDE w:val="0"/>
              <w:autoSpaceDN w:val="0"/>
              <w:adjustRightInd w:val="0"/>
              <w:spacing w:line="360" w:lineRule="auto"/>
              <w:ind w:right="-34" w:firstLine="0" w:firstLineChars="0"/>
              <w:jc w:val="center"/>
              <w:rPr>
                <w:rFonts w:ascii="宋体" w:hAnsi="宋体" w:eastAsia="宋体" w:cs="宋体"/>
                <w:color w:val="auto"/>
                <w:szCs w:val="21"/>
              </w:rPr>
            </w:pPr>
            <w:r>
              <w:rPr>
                <w:rFonts w:hint="eastAsia" w:ascii="宋体" w:hAnsi="宋体" w:eastAsia="宋体" w:cs="宋体"/>
                <w:color w:val="auto"/>
                <w:szCs w:val="21"/>
                <w:lang w:val="zh-CN"/>
              </w:rPr>
              <w:t>C</w:t>
            </w:r>
          </w:p>
        </w:tc>
        <w:tc>
          <w:tcPr>
            <w:tcW w:w="1380" w:type="dxa"/>
            <w:tcBorders>
              <w:top w:val="single" w:color="auto" w:sz="4" w:space="0"/>
              <w:left w:val="single" w:color="auto" w:sz="4" w:space="0"/>
              <w:bottom w:val="single" w:color="auto" w:sz="4" w:space="0"/>
              <w:right w:val="single" w:color="auto" w:sz="4" w:space="0"/>
            </w:tcBorders>
            <w:vAlign w:val="center"/>
          </w:tcPr>
          <w:p w14:paraId="03EFAB51">
            <w:pPr>
              <w:jc w:val="center"/>
              <w:rPr>
                <w:rFonts w:ascii="宋体" w:hAnsi="宋体" w:eastAsia="宋体" w:cs="宋体"/>
                <w:color w:val="auto"/>
                <w:szCs w:val="21"/>
              </w:rPr>
            </w:pPr>
            <w:r>
              <w:rPr>
                <w:rFonts w:hint="eastAsia" w:ascii="宋体" w:hAnsi="宋体" w:eastAsia="宋体" w:cs="宋体"/>
                <w:color w:val="auto"/>
                <w:szCs w:val="21"/>
              </w:rPr>
              <w:t>第五片区</w:t>
            </w:r>
          </w:p>
        </w:tc>
        <w:tc>
          <w:tcPr>
            <w:tcW w:w="4570" w:type="dxa"/>
            <w:tcBorders>
              <w:top w:val="single" w:color="auto" w:sz="4" w:space="0"/>
              <w:left w:val="single" w:color="auto" w:sz="4" w:space="0"/>
              <w:bottom w:val="single" w:color="auto" w:sz="4" w:space="0"/>
              <w:right w:val="single" w:color="auto" w:sz="4" w:space="0"/>
            </w:tcBorders>
            <w:vAlign w:val="center"/>
          </w:tcPr>
          <w:p w14:paraId="1C8BE51F">
            <w:pPr>
              <w:pStyle w:val="129"/>
              <w:ind w:firstLine="0" w:firstLineChars="0"/>
              <w:rPr>
                <w:rFonts w:ascii="宋体" w:hAnsi="宋体" w:eastAsia="宋体" w:cs="宋体"/>
                <w:color w:val="auto"/>
                <w:szCs w:val="21"/>
              </w:rPr>
            </w:pPr>
            <w:r>
              <w:rPr>
                <w:rFonts w:hint="eastAsia" w:ascii="宋体" w:hAnsi="宋体" w:eastAsia="宋体" w:cs="宋体"/>
                <w:color w:val="auto"/>
                <w:szCs w:val="21"/>
              </w:rPr>
              <w:t>常平、桥头、企石、横沥、东坑、黄江</w:t>
            </w:r>
          </w:p>
        </w:tc>
        <w:tc>
          <w:tcPr>
            <w:tcW w:w="1707" w:type="dxa"/>
            <w:tcBorders>
              <w:top w:val="single" w:color="auto" w:sz="4" w:space="0"/>
              <w:left w:val="single" w:color="auto" w:sz="4" w:space="0"/>
              <w:bottom w:val="single" w:color="auto" w:sz="4" w:space="0"/>
              <w:right w:val="single" w:color="auto" w:sz="4" w:space="0"/>
            </w:tcBorders>
            <w:vAlign w:val="center"/>
          </w:tcPr>
          <w:p w14:paraId="3DE18D8F">
            <w:pPr>
              <w:jc w:val="center"/>
              <w:rPr>
                <w:rFonts w:ascii="宋体" w:hAnsi="宋体" w:eastAsia="宋体" w:cs="宋体"/>
                <w:color w:val="auto"/>
                <w:szCs w:val="21"/>
              </w:rPr>
            </w:pPr>
            <w:r>
              <w:rPr>
                <w:rFonts w:hint="eastAsia" w:ascii="宋体" w:hAnsi="宋体" w:eastAsia="宋体" w:cs="宋体"/>
                <w:color w:val="auto"/>
                <w:szCs w:val="21"/>
              </w:rPr>
              <w:t>横沥</w:t>
            </w:r>
          </w:p>
        </w:tc>
      </w:tr>
      <w:tr w14:paraId="2716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continue"/>
            <w:tcBorders>
              <w:left w:val="single" w:color="auto" w:sz="4" w:space="0"/>
              <w:bottom w:val="single" w:color="auto" w:sz="4" w:space="0"/>
              <w:right w:val="single" w:color="auto" w:sz="4" w:space="0"/>
            </w:tcBorders>
            <w:vAlign w:val="center"/>
          </w:tcPr>
          <w:p w14:paraId="5BA453B1">
            <w:pPr>
              <w:jc w:val="center"/>
              <w:rPr>
                <w:rFonts w:ascii="宋体" w:hAnsi="宋体" w:eastAsia="宋体" w:cs="宋体"/>
                <w:color w:val="auto"/>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A2B8EA2">
            <w:pPr>
              <w:jc w:val="center"/>
              <w:rPr>
                <w:rFonts w:ascii="宋体" w:hAnsi="宋体" w:eastAsia="宋体" w:cs="宋体"/>
                <w:color w:val="auto"/>
                <w:szCs w:val="21"/>
              </w:rPr>
            </w:pPr>
            <w:r>
              <w:rPr>
                <w:rFonts w:hint="eastAsia" w:ascii="宋体" w:hAnsi="宋体" w:eastAsia="宋体" w:cs="宋体"/>
                <w:color w:val="auto"/>
                <w:szCs w:val="21"/>
              </w:rPr>
              <w:t>第六片区</w:t>
            </w:r>
          </w:p>
        </w:tc>
        <w:tc>
          <w:tcPr>
            <w:tcW w:w="4570" w:type="dxa"/>
            <w:tcBorders>
              <w:top w:val="single" w:color="auto" w:sz="4" w:space="0"/>
              <w:left w:val="single" w:color="auto" w:sz="4" w:space="0"/>
              <w:bottom w:val="single" w:color="auto" w:sz="4" w:space="0"/>
              <w:right w:val="single" w:color="auto" w:sz="4" w:space="0"/>
            </w:tcBorders>
            <w:vAlign w:val="center"/>
          </w:tcPr>
          <w:p w14:paraId="040BB4D2">
            <w:pPr>
              <w:rPr>
                <w:rFonts w:ascii="宋体" w:hAnsi="宋体" w:eastAsia="宋体" w:cs="宋体"/>
                <w:color w:val="auto"/>
                <w:szCs w:val="21"/>
              </w:rPr>
            </w:pPr>
            <w:r>
              <w:rPr>
                <w:rFonts w:hint="eastAsia" w:ascii="宋体" w:hAnsi="宋体" w:eastAsia="宋体" w:cs="宋体"/>
                <w:color w:val="auto"/>
                <w:szCs w:val="21"/>
              </w:rPr>
              <w:t>谢岗、樟木头、塘厦、清溪、凤岗</w:t>
            </w:r>
          </w:p>
        </w:tc>
        <w:tc>
          <w:tcPr>
            <w:tcW w:w="1707" w:type="dxa"/>
            <w:tcBorders>
              <w:top w:val="single" w:color="auto" w:sz="4" w:space="0"/>
              <w:left w:val="single" w:color="auto" w:sz="4" w:space="0"/>
              <w:bottom w:val="single" w:color="auto" w:sz="4" w:space="0"/>
              <w:right w:val="single" w:color="auto" w:sz="4" w:space="0"/>
            </w:tcBorders>
            <w:vAlign w:val="center"/>
          </w:tcPr>
          <w:p w14:paraId="50249935">
            <w:pPr>
              <w:jc w:val="center"/>
              <w:rPr>
                <w:rFonts w:ascii="宋体" w:hAnsi="宋体" w:eastAsia="宋体" w:cs="宋体"/>
                <w:color w:val="auto"/>
                <w:szCs w:val="21"/>
              </w:rPr>
            </w:pPr>
            <w:r>
              <w:rPr>
                <w:rFonts w:hint="eastAsia" w:ascii="宋体" w:hAnsi="宋体" w:eastAsia="宋体" w:cs="宋体"/>
                <w:color w:val="auto"/>
                <w:szCs w:val="21"/>
              </w:rPr>
              <w:t>塘厦</w:t>
            </w:r>
          </w:p>
        </w:tc>
      </w:tr>
    </w:tbl>
    <w:p w14:paraId="1E913FFE">
      <w:pPr>
        <w:spacing w:line="400" w:lineRule="exact"/>
        <w:ind w:firstLine="420" w:firstLineChars="200"/>
        <w:rPr>
          <w:rFonts w:ascii="宋体" w:hAnsi="宋体" w:eastAsia="宋体" w:cs="宋体"/>
          <w:color w:val="auto"/>
          <w:kern w:val="44"/>
          <w:szCs w:val="21"/>
        </w:rPr>
      </w:pPr>
      <w:bookmarkStart w:id="363" w:name="_Toc13871"/>
      <w:bookmarkStart w:id="364" w:name="_Toc20829"/>
      <w:bookmarkStart w:id="365" w:name="_Toc22582"/>
      <w:bookmarkStart w:id="366" w:name="_Toc16923"/>
      <w:r>
        <w:rPr>
          <w:rFonts w:hint="eastAsia" w:ascii="宋体" w:hAnsi="宋体" w:eastAsia="宋体" w:cs="宋体"/>
          <w:color w:val="auto"/>
          <w:kern w:val="44"/>
          <w:szCs w:val="21"/>
        </w:rPr>
        <w:t>注：上述3个包组范围不作为招标人最终服务范围及机电设备维修服务项目承接数量的保证，招标人有权根据自身经营情况及实际维修工程量进行优化调整（含增加服务范围外及减少服务范围内的机电设备维修服务），最终服务费用按实际发生工程量结算。在服务期内中标人不得因服务范围调整、实际机电设备维修服务项目数量及服务费用的增减而要求招标人提供任何形式的补偿或赔偿，或只按招标人暂定的机电设备维修服务项目费用提供相应的维修服务。</w:t>
      </w:r>
    </w:p>
    <w:p w14:paraId="4550A3FA">
      <w:pPr>
        <w:spacing w:line="360" w:lineRule="auto"/>
        <w:ind w:firstLine="422" w:firstLineChars="200"/>
        <w:outlineLvl w:val="2"/>
        <w:rPr>
          <w:rFonts w:ascii="宋体" w:hAnsi="宋体" w:eastAsia="宋体" w:cs="宋体"/>
          <w:b/>
          <w:color w:val="auto"/>
          <w:szCs w:val="21"/>
        </w:rPr>
      </w:pPr>
    </w:p>
    <w:bookmarkEnd w:id="363"/>
    <w:bookmarkEnd w:id="364"/>
    <w:bookmarkEnd w:id="365"/>
    <w:p w14:paraId="41AF8A35">
      <w:pPr>
        <w:spacing w:line="360" w:lineRule="auto"/>
        <w:ind w:firstLine="422" w:firstLineChars="200"/>
        <w:outlineLvl w:val="2"/>
        <w:rPr>
          <w:rFonts w:ascii="宋体" w:hAnsi="宋体" w:eastAsia="宋体" w:cs="宋体"/>
          <w:b/>
          <w:color w:val="auto"/>
          <w:szCs w:val="21"/>
        </w:rPr>
      </w:pPr>
      <w:r>
        <w:rPr>
          <w:rFonts w:hint="eastAsia" w:ascii="宋体" w:hAnsi="宋体" w:eastAsia="宋体" w:cs="宋体"/>
          <w:b/>
          <w:color w:val="auto"/>
          <w:szCs w:val="21"/>
        </w:rPr>
        <w:t>二、采购服务范围及采购方式</w:t>
      </w:r>
    </w:p>
    <w:p w14:paraId="0655EBAC">
      <w:pPr>
        <w:rPr>
          <w:rFonts w:ascii="宋体" w:hAnsi="宋体" w:eastAsia="宋体" w:cs="宋体"/>
          <w:color w:val="auto"/>
          <w:kern w:val="44"/>
          <w:szCs w:val="21"/>
          <w:lang w:val="zh-CN"/>
        </w:rPr>
      </w:pPr>
    </w:p>
    <w:p w14:paraId="293EE5D9">
      <w:pPr>
        <w:spacing w:line="360" w:lineRule="auto"/>
        <w:ind w:left="420" w:firstLine="422" w:firstLineChars="200"/>
        <w:rPr>
          <w:rFonts w:ascii="宋体" w:hAnsi="宋体" w:eastAsia="宋体" w:cs="宋体"/>
          <w:color w:val="auto"/>
          <w:szCs w:val="21"/>
        </w:rPr>
      </w:pPr>
      <w:r>
        <w:rPr>
          <w:rFonts w:hint="eastAsia" w:ascii="宋体" w:hAnsi="宋体" w:eastAsia="宋体" w:cs="宋体"/>
          <w:b/>
          <w:bCs/>
          <w:color w:val="auto"/>
          <w:szCs w:val="21"/>
        </w:rPr>
        <w:t>（一）</w:t>
      </w:r>
      <w:r>
        <w:rPr>
          <w:rFonts w:hint="eastAsia" w:ascii="宋体" w:hAnsi="宋体" w:eastAsia="宋体" w:cs="宋体"/>
          <w:b/>
          <w:color w:val="auto"/>
          <w:szCs w:val="21"/>
        </w:rPr>
        <w:t>采购</w:t>
      </w:r>
      <w:r>
        <w:rPr>
          <w:rFonts w:hint="eastAsia" w:ascii="宋体" w:hAnsi="宋体" w:eastAsia="宋体" w:cs="宋体"/>
          <w:b/>
          <w:bCs/>
          <w:color w:val="auto"/>
          <w:szCs w:val="21"/>
        </w:rPr>
        <w:t>服务范围</w:t>
      </w:r>
    </w:p>
    <w:p w14:paraId="6D0490CB">
      <w:pPr>
        <w:spacing w:line="360" w:lineRule="auto"/>
        <w:ind w:firstLine="422" w:firstLineChars="200"/>
        <w:rPr>
          <w:rFonts w:ascii="宋体" w:hAnsi="宋体" w:eastAsia="宋体" w:cs="宋体"/>
          <w:color w:val="auto"/>
          <w:szCs w:val="21"/>
        </w:rPr>
      </w:pPr>
      <w:r>
        <w:rPr>
          <w:rFonts w:hint="eastAsia" w:ascii="宋体" w:hAnsi="宋体" w:eastAsia="宋体" w:cs="宋体"/>
          <w:b/>
          <w:bCs/>
          <w:color w:val="auto"/>
          <w:szCs w:val="21"/>
        </w:rPr>
        <w:t>1.服务范围：</w:t>
      </w:r>
      <w:r>
        <w:rPr>
          <w:rFonts w:hint="eastAsia" w:ascii="宋体" w:hAnsi="宋体" w:eastAsia="宋体" w:cs="宋体"/>
          <w:color w:val="auto"/>
          <w:szCs w:val="21"/>
        </w:rPr>
        <w:t>单项项目承接限额为估算（或预算）200万元（不含）以下的机电设备维修项目，主要是包括以机电设备的维修、技术改造、重置、应急抢修、设备拆卸、零配件加工及修复等技术服务项目（</w:t>
      </w:r>
      <w:r>
        <w:rPr>
          <w:rFonts w:hint="eastAsia" w:ascii="宋体" w:hAnsi="宋体" w:eastAsia="宋体" w:cs="宋体"/>
          <w:b/>
          <w:bCs/>
          <w:color w:val="auto"/>
          <w:szCs w:val="21"/>
        </w:rPr>
        <w:t>指机电设备专业维修为主的设备设施委外技术服务，也包括雨棚及停车棚、围栏等设施维修，不包括全土建专业的或以土建专业为主的设施委外技术服务</w:t>
      </w:r>
      <w:r>
        <w:rPr>
          <w:rFonts w:hint="eastAsia" w:ascii="宋体" w:hAnsi="宋体" w:eastAsia="宋体" w:cs="宋体"/>
          <w:color w:val="auto"/>
          <w:szCs w:val="21"/>
        </w:rPr>
        <w:t>），对于上述工作而引发的开挖、井室修复及改造管道接合以及水下封堵作业等工作也在本采购服务范围内。</w:t>
      </w:r>
    </w:p>
    <w:p w14:paraId="6333A937">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2.招标人</w:t>
      </w:r>
      <w:r>
        <w:rPr>
          <w:rFonts w:hint="eastAsia" w:ascii="宋体" w:hAnsi="宋体" w:eastAsia="宋体" w:cs="宋体"/>
          <w:color w:val="auto"/>
        </w:rPr>
        <w:t>的</w:t>
      </w:r>
      <w:r>
        <w:rPr>
          <w:rFonts w:hint="eastAsia" w:ascii="宋体" w:hAnsi="宋体" w:eastAsia="宋体" w:cs="宋体"/>
          <w:bCs/>
          <w:color w:val="auto"/>
          <w:szCs w:val="21"/>
        </w:rPr>
        <w:t>机电设备维修服务项目由招标人自主实施维修、重置、技改以及物资采购，只对招标人维修力量不足、工器具、车辆、场地等条件不具备或是紧急维修项目才发包给投标人，投标人不能要求招标人将辖下机电项目里的设备设施维护、维修、采购技术服务等业务发包给投标人实施，实际发包项目以招标人通知为准。</w:t>
      </w:r>
      <w:r>
        <w:rPr>
          <w:rFonts w:hint="eastAsia" w:ascii="宋体" w:hAnsi="宋体" w:eastAsia="宋体" w:cs="宋体"/>
          <w:color w:val="auto"/>
          <w:szCs w:val="21"/>
        </w:rPr>
        <w:t>在合同服务期内中标人不得因实际机电设备维修项目数量及服务费用的增减而要求招标人提供任何形式的补偿或赔偿，或只按招标人暂定的维修项目费用提供相应的</w:t>
      </w:r>
      <w:r>
        <w:rPr>
          <w:rFonts w:hint="eastAsia" w:ascii="宋体" w:hAnsi="宋体" w:eastAsia="宋体" w:cs="宋体"/>
          <w:bCs/>
          <w:color w:val="auto"/>
          <w:szCs w:val="21"/>
        </w:rPr>
        <w:t>机电设备</w:t>
      </w:r>
      <w:r>
        <w:rPr>
          <w:rFonts w:hint="eastAsia" w:ascii="宋体" w:hAnsi="宋体" w:eastAsia="宋体" w:cs="宋体"/>
          <w:color w:val="auto"/>
          <w:szCs w:val="21"/>
        </w:rPr>
        <w:t>维修服务。</w:t>
      </w:r>
    </w:p>
    <w:p w14:paraId="4FEF8B5B">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涉及到成套设备或专业化技术要求较高的设备设施维修项目，如投标人不具备该项技术服务能力（如特种车辆）或行业准入资格，或由政府主管部门要求统一由第三方运营服务的项目，招标人有权另行委托专业的技术服务单位进行专项服务，投标人不得有异议。</w:t>
      </w:r>
    </w:p>
    <w:p w14:paraId="33C1FCDF">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4.依法和依招标人相关制度规定需单独进行招标采购的单项项目不在本次采购服务范围内。</w:t>
      </w:r>
    </w:p>
    <w:p w14:paraId="340ED68C">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5.涉及起重设备、压力容器、高压配电设备等需特种设备作业资质的设备设施技术服务暂不在本次采购服务范围内，如中标人具备《承装（修、试）电力设施许可证》及自有电力抢修队伍，可以根据实际需要委派高压配电抢修任务；起重设备的维修招标人另外委外具备相应资质的起重机维修保养单位实施。</w:t>
      </w:r>
    </w:p>
    <w:p w14:paraId="3849830A">
      <w:pPr>
        <w:tabs>
          <w:tab w:val="left" w:pos="360"/>
          <w:tab w:val="left" w:pos="1418"/>
          <w:tab w:val="left" w:pos="4725"/>
        </w:tabs>
        <w:spacing w:line="360" w:lineRule="auto"/>
        <w:ind w:firstLine="426" w:firstLineChars="202"/>
        <w:rPr>
          <w:rFonts w:ascii="宋体" w:hAnsi="宋体" w:eastAsia="宋体" w:cs="宋体"/>
          <w:b/>
          <w:color w:val="auto"/>
          <w:szCs w:val="21"/>
        </w:rPr>
      </w:pPr>
      <w:r>
        <w:rPr>
          <w:rFonts w:hint="eastAsia" w:ascii="宋体" w:hAnsi="宋体" w:eastAsia="宋体" w:cs="宋体"/>
          <w:b/>
          <w:bCs/>
          <w:color w:val="auto"/>
          <w:szCs w:val="21"/>
        </w:rPr>
        <w:t>★</w:t>
      </w:r>
      <w:r>
        <w:rPr>
          <w:rFonts w:hint="eastAsia" w:ascii="宋体" w:hAnsi="宋体" w:eastAsia="宋体" w:cs="宋体"/>
          <w:b/>
          <w:color w:val="auto"/>
          <w:szCs w:val="21"/>
        </w:rPr>
        <w:t>6.在服务期内，招标人有权根据实际需求将东莞市内其它的机电设备维修项目委托给中标人实施，中标人应充分考虑因此可能增减的各项费用，中标人不得因项目的调整而提出异议及要求招标人提供任何形式的补偿（赔偿）或调整中标服务综合单价。</w:t>
      </w:r>
    </w:p>
    <w:p w14:paraId="7734E9BA">
      <w:pPr>
        <w:numPr>
          <w:ilvl w:val="255"/>
          <w:numId w:val="0"/>
        </w:numPr>
        <w:tabs>
          <w:tab w:val="left" w:pos="360"/>
          <w:tab w:val="left" w:pos="1418"/>
          <w:tab w:val="left" w:pos="4725"/>
        </w:tabs>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7.在服务期内，中标人不得因不可抗力、国家建设需要、其他客观原因及实际维修服务范围减少等而向招标人提出补偿。招标人除按实际服务发生的工程量和合同的约定支付费用外，不支付其它任何服务费用及补偿。</w:t>
      </w:r>
    </w:p>
    <w:p w14:paraId="43F76F45">
      <w:pPr>
        <w:pStyle w:val="129"/>
        <w:numPr>
          <w:ilvl w:val="255"/>
          <w:numId w:val="0"/>
        </w:numPr>
        <w:spacing w:line="360" w:lineRule="auto"/>
        <w:ind w:firstLine="420"/>
        <w:rPr>
          <w:rFonts w:ascii="宋体" w:hAnsi="宋体" w:eastAsia="宋体" w:cs="宋体"/>
          <w:color w:val="auto"/>
          <w:szCs w:val="21"/>
        </w:rPr>
      </w:pPr>
      <w:r>
        <w:rPr>
          <w:rFonts w:hint="eastAsia" w:ascii="宋体" w:hAnsi="宋体" w:eastAsia="宋体" w:cs="宋体"/>
          <w:color w:val="auto"/>
          <w:szCs w:val="21"/>
        </w:rPr>
        <w:t>8.本项目存在分布散（分布于东莞市多个镇街、园区）、工程量大小不一、投资规模不一等特点，投标人投标前需充分考虑这些因素并以此配置相应设备设施，不能以上述项目特征为由拒绝接单。同时，取得本采购服务资格并不意味着中标包组内所有服务项目的委派，招标人无法预计也无法保证中标人所能获得的具体服务项目数量和具体的金额，具体实施项目由招标人根据维修需求进行委派。</w:t>
      </w:r>
    </w:p>
    <w:p w14:paraId="067476B9">
      <w:pPr>
        <w:pStyle w:val="129"/>
        <w:spacing w:line="360" w:lineRule="auto"/>
        <w:rPr>
          <w:rFonts w:ascii="宋体" w:hAnsi="宋体" w:eastAsia="宋体" w:cs="宋体"/>
          <w:color w:val="auto"/>
          <w:szCs w:val="21"/>
        </w:rPr>
      </w:pPr>
      <w:r>
        <w:rPr>
          <w:rFonts w:hint="eastAsia" w:ascii="宋体" w:hAnsi="宋体" w:eastAsia="宋体" w:cs="宋体"/>
          <w:color w:val="auto"/>
          <w:szCs w:val="21"/>
        </w:rPr>
        <w:t>9.本项目中标后不代表片区内所有业务必须委托中标人实施，根据相关法律、法规、行业主管部门、招标人（含其分公司、项目公司、子公司）相关制度规定，或招标人认为需单独进行采购的服务项目，招标人有权通过招投标确立或委托其他单位实施，中标人不得因此提出异议及提出费用补偿需求。</w:t>
      </w:r>
    </w:p>
    <w:p w14:paraId="3CFB43B7">
      <w:pPr>
        <w:pStyle w:val="129"/>
        <w:spacing w:line="360" w:lineRule="auto"/>
        <w:ind w:left="480" w:firstLine="0" w:firstLineChars="0"/>
        <w:rPr>
          <w:rFonts w:ascii="宋体" w:hAnsi="宋体" w:eastAsia="宋体" w:cs="宋体"/>
          <w:b/>
          <w:bCs/>
          <w:color w:val="auto"/>
          <w:szCs w:val="21"/>
        </w:rPr>
      </w:pPr>
      <w:r>
        <w:rPr>
          <w:rFonts w:hint="eastAsia" w:ascii="宋体" w:hAnsi="宋体" w:eastAsia="宋体" w:cs="宋体"/>
          <w:b/>
          <w:bCs/>
          <w:color w:val="auto"/>
          <w:szCs w:val="21"/>
        </w:rPr>
        <w:t>（二）发包方式</w:t>
      </w:r>
    </w:p>
    <w:p w14:paraId="0E619947">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1.按以下方式确定单项项目服务单位：在协议资格期内，对于采购服务范围内的项目，招标人完成立项程序后，向服务单位通过以</w:t>
      </w:r>
      <w:r>
        <w:rPr>
          <w:rFonts w:hint="eastAsia" w:ascii="宋体" w:hAnsi="宋体" w:eastAsia="宋体" w:cs="宋体"/>
          <w:b/>
          <w:bCs/>
          <w:color w:val="auto"/>
          <w:szCs w:val="21"/>
        </w:rPr>
        <w:t>【项目承接确认协议书】</w:t>
      </w:r>
      <w:r>
        <w:rPr>
          <w:rFonts w:hint="eastAsia" w:ascii="宋体" w:hAnsi="宋体" w:eastAsia="宋体" w:cs="宋体"/>
          <w:bCs/>
          <w:color w:val="auto"/>
          <w:szCs w:val="21"/>
        </w:rPr>
        <w:t>的形式直接委托实施，双方签订</w:t>
      </w:r>
      <w:r>
        <w:rPr>
          <w:rFonts w:hint="eastAsia" w:ascii="宋体" w:hAnsi="宋体" w:eastAsia="宋体" w:cs="宋体"/>
          <w:b/>
          <w:bCs/>
          <w:color w:val="auto"/>
          <w:szCs w:val="21"/>
        </w:rPr>
        <w:t>【项目承接确认协议书】</w:t>
      </w:r>
      <w:r>
        <w:rPr>
          <w:rFonts w:hint="eastAsia" w:ascii="宋体" w:hAnsi="宋体" w:eastAsia="宋体" w:cs="宋体"/>
          <w:bCs/>
          <w:color w:val="auto"/>
          <w:szCs w:val="21"/>
        </w:rPr>
        <w:t>，并根据项目的实际完成情况按实结算或按项目承接确认协议书的要求结算。</w:t>
      </w:r>
    </w:p>
    <w:p w14:paraId="5141EB72">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2.招标人通过向服务单位发出</w:t>
      </w:r>
      <w:r>
        <w:rPr>
          <w:rFonts w:hint="eastAsia" w:ascii="宋体" w:hAnsi="宋体" w:eastAsia="宋体" w:cs="宋体"/>
          <w:b/>
          <w:bCs/>
          <w:color w:val="auto"/>
          <w:szCs w:val="21"/>
        </w:rPr>
        <w:t>【项目承接确认协议书】</w:t>
      </w:r>
      <w:r>
        <w:rPr>
          <w:rFonts w:hint="eastAsia" w:ascii="宋体" w:hAnsi="宋体" w:eastAsia="宋体" w:cs="宋体"/>
          <w:bCs/>
          <w:color w:val="auto"/>
          <w:szCs w:val="21"/>
        </w:rPr>
        <w:t>的形式启动开展工作。但如果已经委派给投标人的项目，因投标人自身原因造成进度滞后，招标人发送整改通知书后达到约定整改期限仍未完成整改的，或者达到约定工期后仍未完工的，招标人有权另外委托第三方单位承接该项服务，且招标人有权暂停投标人继续承接招标人的业务，直至该投标人采取积极措施消除其已承接的服务项目滞后的状况，投标人已完工部分按实结算，招标人有权依据合同条款对投标人提出索赔。</w:t>
      </w:r>
    </w:p>
    <w:p w14:paraId="68F24629">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3.投标人在接到任务通知后2个小时内需予以电话或信息响应，并于次日（包括节假日）上午12：00前正式实际性的开展所需的技术服务工作，并于接到</w:t>
      </w:r>
      <w:r>
        <w:rPr>
          <w:rFonts w:hint="eastAsia" w:ascii="宋体" w:hAnsi="宋体" w:eastAsia="宋体" w:cs="宋体"/>
          <w:b/>
          <w:bCs/>
          <w:color w:val="auto"/>
          <w:szCs w:val="21"/>
        </w:rPr>
        <w:t>【项目承接确认协议书】</w:t>
      </w:r>
      <w:r>
        <w:rPr>
          <w:rFonts w:hint="eastAsia" w:ascii="宋体" w:hAnsi="宋体" w:eastAsia="宋体" w:cs="宋体"/>
          <w:bCs/>
          <w:color w:val="auto"/>
          <w:szCs w:val="21"/>
        </w:rPr>
        <w:t>后的3个自然日内提交技术服务方案和招标人要求的安全资料给招标人审核。对于特别紧急的技术服务项目，投标人在接到通知后3个小时内需实际性的开展所需的技术服务工作。</w:t>
      </w:r>
    </w:p>
    <w:p w14:paraId="317A7341">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4.有任何一单不按响应时间提供服务的，或以非正当理由（如在工程量双方确认无误的情况下，以价格低拒绝接单的或无相关施工经验拒绝接单的及同时施工点数量未饱和的情况，以人手不足为理由拒绝接单等行为均视为非正当理由）拒绝委派任务的，对招标人的经济利益、企业形象造成影响的，招标人有权终止服务合同，并没收履约保证金。</w:t>
      </w:r>
    </w:p>
    <w:p w14:paraId="41A44EB8">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5.投标人在服务期限内，在履行本招标文件约定的义务过程中出现违反国家法律法规、主管部门规章制度、擅自提高价格或提供伪劣服务内容、服务质量低劣造成招标人损失等情况的，招标人有权视不同情况分别给予警告、扣除履约担保或取消项目资格等处罚。</w:t>
      </w:r>
    </w:p>
    <w:p w14:paraId="576CB4F8">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6.投标人必须清楚理解：投标人所承接的具体服务项目均为派单方式直接委托确定，招标人无法预计也无法保证投标人所能获得的具体单项服务项目数量和具体的金额。</w:t>
      </w:r>
    </w:p>
    <w:p w14:paraId="00677CEB">
      <w:pPr>
        <w:numPr>
          <w:ilvl w:val="0"/>
          <w:numId w:val="4"/>
        </w:numPr>
        <w:spacing w:line="400" w:lineRule="exact"/>
        <w:ind w:firstLine="422"/>
        <w:rPr>
          <w:rFonts w:ascii="宋体" w:hAnsi="宋体" w:eastAsia="宋体" w:cs="宋体"/>
          <w:b/>
          <w:bCs/>
          <w:color w:val="auto"/>
          <w:kern w:val="44"/>
          <w:szCs w:val="21"/>
        </w:rPr>
      </w:pPr>
      <w:r>
        <w:rPr>
          <w:rFonts w:hint="eastAsia" w:ascii="宋体" w:hAnsi="宋体" w:eastAsia="宋体" w:cs="宋体"/>
          <w:b/>
          <w:bCs/>
          <w:color w:val="auto"/>
          <w:kern w:val="44"/>
          <w:szCs w:val="21"/>
        </w:rPr>
        <w:t>服务期</w:t>
      </w:r>
    </w:p>
    <w:p w14:paraId="1D2FE94A">
      <w:pPr>
        <w:spacing w:line="400" w:lineRule="exact"/>
        <w:ind w:firstLine="420" w:firstLineChars="200"/>
        <w:rPr>
          <w:rFonts w:ascii="宋体" w:hAnsi="宋体" w:eastAsia="宋体" w:cs="宋体"/>
          <w:color w:val="auto"/>
          <w:kern w:val="44"/>
          <w:szCs w:val="21"/>
        </w:rPr>
      </w:pPr>
      <w:r>
        <w:rPr>
          <w:rFonts w:hint="eastAsia" w:ascii="宋体" w:hAnsi="宋体" w:eastAsia="宋体" w:cs="宋体"/>
          <w:color w:val="auto"/>
          <w:kern w:val="44"/>
          <w:szCs w:val="21"/>
        </w:rPr>
        <w:t>自合同生效之日起至【2025】年【12】月【31】日止（即2026年1月1日起停止委派项目），招标人有权提前终止或继续要求延长本合同服务期限，延长合同期限一般不超过【3】个月，经双方洽商同意及签订补充协议后，可以按合同约定单价向中标人续期维修服务，投标人须无条件配合招标人执行。</w:t>
      </w:r>
    </w:p>
    <w:p w14:paraId="52156BEA">
      <w:pPr>
        <w:spacing w:line="400" w:lineRule="exact"/>
        <w:ind w:left="420" w:leftChars="200"/>
        <w:rPr>
          <w:rFonts w:ascii="宋体" w:hAnsi="宋体" w:eastAsia="宋体" w:cs="宋体"/>
          <w:b/>
          <w:bCs/>
          <w:color w:val="auto"/>
          <w:kern w:val="44"/>
          <w:szCs w:val="21"/>
        </w:rPr>
      </w:pPr>
      <w:r>
        <w:rPr>
          <w:rFonts w:hint="eastAsia" w:ascii="宋体" w:hAnsi="宋体" w:eastAsia="宋体" w:cs="宋体"/>
          <w:b/>
          <w:bCs/>
          <w:color w:val="auto"/>
          <w:kern w:val="44"/>
          <w:szCs w:val="21"/>
        </w:rPr>
        <w:t>（四）投标报价方式</w:t>
      </w:r>
    </w:p>
    <w:p w14:paraId="1AD9C26E">
      <w:pPr>
        <w:spacing w:line="500" w:lineRule="exact"/>
        <w:ind w:firstLine="420" w:firstLineChars="200"/>
        <w:contextualSpacing/>
        <w:rPr>
          <w:rFonts w:ascii="宋体" w:hAnsi="宋体" w:eastAsia="宋体" w:cs="宋体"/>
          <w:bCs/>
          <w:color w:val="auto"/>
          <w:szCs w:val="21"/>
        </w:rPr>
      </w:pPr>
      <w:r>
        <w:rPr>
          <w:rFonts w:hint="eastAsia" w:ascii="宋体" w:hAnsi="宋体" w:eastAsia="宋体" w:cs="宋体"/>
          <w:bCs/>
          <w:color w:val="auto"/>
          <w:szCs w:val="21"/>
        </w:rPr>
        <w:t>1.投标人按固定5%下浮率进行报价。</w:t>
      </w:r>
    </w:p>
    <w:p w14:paraId="2F04C84F">
      <w:pPr>
        <w:spacing w:line="500" w:lineRule="exact"/>
        <w:ind w:firstLine="422" w:firstLineChars="200"/>
        <w:contextualSpacing/>
        <w:rPr>
          <w:rFonts w:ascii="宋体" w:hAnsi="宋体" w:eastAsia="宋体" w:cs="宋体"/>
          <w:b/>
          <w:color w:val="auto"/>
          <w:szCs w:val="21"/>
        </w:rPr>
      </w:pPr>
      <w:r>
        <w:rPr>
          <w:rFonts w:hint="eastAsia" w:ascii="宋体" w:hAnsi="宋体" w:eastAsia="宋体" w:cs="宋体"/>
          <w:b/>
          <w:color w:val="auto"/>
          <w:szCs w:val="21"/>
        </w:rPr>
        <w:t>★ 本次机电设备维修服务内容子项综合单价最高限价具体见附件，在服务期内发生维修服务内容子项以内的服务项目综合单价参考《机电设备维修服务项目常用清单库》（以下简称“机电清单库”）的清单综合单价，按固定下浮率5%进行计算。投标人根据招标人提供的“机电清单库”内容子项综合单价按固定下浮率5%作为服务内容子项对应中标综合单价。机电清单库在使用过程中，广东省或东莞市相关行业主管部门如有新的定额、计价规范及标准颁布，招标人有权按最新的相关规定修改机电清单库，且有权根据项目实际需要增补清单项。</w:t>
      </w:r>
    </w:p>
    <w:p w14:paraId="65854A13">
      <w:pPr>
        <w:pStyle w:val="129"/>
        <w:spacing w:line="360" w:lineRule="auto"/>
        <w:ind w:left="422" w:firstLine="0" w:firstLineChars="0"/>
        <w:rPr>
          <w:rFonts w:ascii="宋体" w:hAnsi="宋体" w:eastAsia="宋体" w:cs="宋体"/>
          <w:b/>
          <w:color w:val="auto"/>
          <w:szCs w:val="21"/>
        </w:rPr>
      </w:pPr>
      <w:r>
        <w:rPr>
          <w:rFonts w:hint="eastAsia" w:ascii="宋体" w:hAnsi="宋体" w:eastAsia="宋体" w:cs="宋体"/>
          <w:b/>
          <w:color w:val="auto"/>
          <w:szCs w:val="21"/>
        </w:rPr>
        <w:t>三、技术要求</w:t>
      </w:r>
    </w:p>
    <w:p w14:paraId="4577B0C4">
      <w:pPr>
        <w:pStyle w:val="129"/>
        <w:spacing w:line="360" w:lineRule="auto"/>
        <w:ind w:left="480" w:firstLine="0" w:firstLineChars="0"/>
        <w:rPr>
          <w:rFonts w:ascii="宋体" w:hAnsi="宋体" w:eastAsia="宋体" w:cs="宋体"/>
          <w:b/>
          <w:bCs/>
          <w:color w:val="auto"/>
          <w:szCs w:val="21"/>
        </w:rPr>
      </w:pPr>
      <w:r>
        <w:rPr>
          <w:rFonts w:hint="eastAsia" w:ascii="宋体" w:hAnsi="宋体" w:eastAsia="宋体" w:cs="宋体"/>
          <w:b/>
          <w:bCs/>
          <w:color w:val="auto"/>
          <w:szCs w:val="21"/>
        </w:rPr>
        <w:t>（一）技术服务方案审核</w:t>
      </w:r>
    </w:p>
    <w:p w14:paraId="1BC51E54">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1.投标人提供的详细技术服务方案，需包括设备材料及工器具详细内容、工期计划、人员配置、安全文明措施等。</w:t>
      </w:r>
    </w:p>
    <w:p w14:paraId="74294F29">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2.投标人以经监理单位（如有）、招标人审核后的技术服务方案实施，招标人、监理单位（如有）以技术服务方案为基础对技术服务进行验收，如无监理单位，则技术方案由招标人审核后实施。</w:t>
      </w:r>
    </w:p>
    <w:p w14:paraId="6FCEBF25">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3.对于普通设备吊运（不属于危险性较大的分部分项工程范围的）、拆卸等非实际工程性技术服务无需上报技术服务方案。</w:t>
      </w:r>
    </w:p>
    <w:p w14:paraId="6987D3F8">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4.对于采用非常规起重设备、方法，且单件起吊重量在10kN（1吨）及以上的起重吊装工程，应纳入危险性较大的分部分项工程范围的管理，按规定编制专项施工方案并经审批后方能实施。</w:t>
      </w:r>
    </w:p>
    <w:p w14:paraId="1ADBAFBB">
      <w:pPr>
        <w:pStyle w:val="129"/>
        <w:spacing w:line="360" w:lineRule="auto"/>
        <w:ind w:left="480" w:firstLine="0" w:firstLineChars="0"/>
        <w:rPr>
          <w:rFonts w:ascii="宋体" w:hAnsi="宋体" w:eastAsia="宋体" w:cs="宋体"/>
          <w:b/>
          <w:bCs/>
          <w:color w:val="auto"/>
          <w:szCs w:val="21"/>
        </w:rPr>
      </w:pPr>
      <w:r>
        <w:rPr>
          <w:rFonts w:hint="eastAsia" w:ascii="宋体" w:hAnsi="宋体" w:eastAsia="宋体" w:cs="宋体"/>
          <w:b/>
          <w:bCs/>
          <w:color w:val="auto"/>
          <w:szCs w:val="21"/>
        </w:rPr>
        <w:t>（二）物资供货要求</w:t>
      </w:r>
    </w:p>
    <w:p w14:paraId="78F15C37">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招标人对于设备、仪表、零配件、备品备件等有品牌型号要求的，投标人需按要求供货，未经招标人同意不得更改。招标人对品牌型号、规格尺寸无要求的，投标人承接项目后，需将选型后的设备、仪表、零配件、备品备件等的品牌型号、规格尺寸等参数上报招标人审核确认后方可执行采购。</w:t>
      </w:r>
    </w:p>
    <w:p w14:paraId="5E6BAE87">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2.零配件质量要求</w:t>
      </w:r>
    </w:p>
    <w:p w14:paraId="64135751">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（1）所有设备、仪表、零配件、备品备件、材料、附件等应具备该类产品的功能要求，无瑕疵和缺陷，质量为合格产品，同时有明确的生产厂商或制造厂商。</w:t>
      </w:r>
    </w:p>
    <w:p w14:paraId="5509BC4E">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（2）所有设备、仪表、零配件、备品备件、材料、附件等必须是全新的，所有设备和材料运输到达施工场地时的包装必须是原厂完整的，由招标人签收后方可拆包安装。</w:t>
      </w:r>
    </w:p>
    <w:p w14:paraId="7189DC2B">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（3）工程施工所用材料及配件均为按国家规格条例生产的合格正规产品、符合设计规范要求。所有备品备件须满足国家及行业环保和质量标准。</w:t>
      </w:r>
    </w:p>
    <w:p w14:paraId="50D043AC">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（4）设备必须有质量检验合格证、装箱单、产品安装使用说明书、出厂检测报告、检验报告（或测试性能、测试报告）及招标人要求的其他合格证明文件等相关资料。</w:t>
      </w:r>
    </w:p>
    <w:p w14:paraId="60C1069B">
      <w:pPr>
        <w:pStyle w:val="129"/>
        <w:spacing w:line="360" w:lineRule="auto"/>
        <w:ind w:left="480" w:firstLine="0" w:firstLineChars="0"/>
        <w:rPr>
          <w:rFonts w:ascii="宋体" w:hAnsi="宋体" w:eastAsia="宋体" w:cs="宋体"/>
          <w:b/>
          <w:bCs/>
          <w:color w:val="auto"/>
          <w:szCs w:val="21"/>
        </w:rPr>
      </w:pPr>
      <w:r>
        <w:rPr>
          <w:rFonts w:hint="eastAsia" w:ascii="宋体" w:hAnsi="宋体" w:eastAsia="宋体" w:cs="宋体"/>
          <w:b/>
          <w:bCs/>
          <w:color w:val="auto"/>
          <w:szCs w:val="21"/>
        </w:rPr>
        <w:t>（三）设备维修施工要求</w:t>
      </w:r>
    </w:p>
    <w:p w14:paraId="68276271">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1.投标人开展设备设施的维修、技术改造等相关作业前，实施方案须经招标人审核同意后方可实施。实施过程中，未经招标人书面同意，投标人不得擅自扩大实施范围。</w:t>
      </w:r>
    </w:p>
    <w:p w14:paraId="49F865BD">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2.投标人进行施工作业时，需尽可能的保证泵站其他设备设施的正常运作，而不至于泵站停产或减产，或采取临时措施，确保管网不能因设备维修而导致溢流，除非是泵站需要全部堵水及停水进行施工作业。</w:t>
      </w:r>
    </w:p>
    <w:p w14:paraId="5963D196">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施工现场用水、用电在有条件的情况下由招标人提供水、电接入点，投标人自行接入，投标人需做好用水、用电安全防护措施并无条件接受招标人监督，用水、用电费用由招标人承担。如施工现场采购人无法提供水、电接入点，施工用水、用电由投标人自行合法合规解决并承担相关费用。</w:t>
      </w:r>
    </w:p>
    <w:p w14:paraId="656C3DBC">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4.实施方案中如涉及各种特殊工种作业的，投标人须提前报送相关特种作业人员资料给招标人备查，需实行持证上岗、专人专证的管理制度。</w:t>
      </w:r>
    </w:p>
    <w:p w14:paraId="048931C3">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5.施工作业过程中，如对泵站及其他设备设施造成损毁的，由投标人负责按实赔偿或负责恢复损坏设备设施原状。</w:t>
      </w:r>
    </w:p>
    <w:p w14:paraId="1E46BEDD">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6.单项项目实施中，招标人有权根据现场实际需要增加单项项目清单上的内容，新增清单内容产生的费用由招标人承担，服务单位不得以任何理由停止单项项目的工作，否则招标人视不同情况分别对投标人采取警告、扣除履约保证金、取消服务资格等措施。</w:t>
      </w:r>
    </w:p>
    <w:p w14:paraId="1B14E088">
      <w:pPr>
        <w:pStyle w:val="129"/>
        <w:spacing w:line="360" w:lineRule="auto"/>
        <w:ind w:left="480" w:firstLine="0" w:firstLineChars="0"/>
        <w:rPr>
          <w:rFonts w:ascii="宋体" w:hAnsi="宋体" w:eastAsia="宋体" w:cs="宋体"/>
          <w:b/>
          <w:bCs/>
          <w:color w:val="auto"/>
          <w:szCs w:val="21"/>
        </w:rPr>
      </w:pPr>
      <w:r>
        <w:rPr>
          <w:rFonts w:hint="eastAsia" w:ascii="宋体" w:hAnsi="宋体" w:eastAsia="宋体" w:cs="宋体"/>
          <w:b/>
          <w:bCs/>
          <w:color w:val="auto"/>
          <w:szCs w:val="21"/>
        </w:rPr>
        <w:t>（四）关于停水作业的要求</w:t>
      </w:r>
    </w:p>
    <w:p w14:paraId="0AF67662">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1.涉及粗格栅机、闸门、提升泵、拍门等水下设备设施维修、重置作业，一般需要堵水、停水、抽水等施工措施，如无特殊说明的则由投标人负责实施。</w:t>
      </w:r>
    </w:p>
    <w:p w14:paraId="2C285130">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在提升泵站堵水、抽水、停水等作业前，应上报详细的作业实施方案，包括停水措施、停水时长、导排措施等，并征得招标人同意。如有必要，由招标人征得市生态环境局或属地镇街相关主管部门的批准同意后方可实施。</w:t>
      </w:r>
    </w:p>
    <w:p w14:paraId="21BF7222">
      <w:pPr>
        <w:pStyle w:val="129"/>
        <w:spacing w:line="360" w:lineRule="auto"/>
        <w:ind w:left="480" w:firstLine="0" w:firstLineChars="0"/>
        <w:rPr>
          <w:rFonts w:ascii="宋体" w:hAnsi="宋体" w:eastAsia="宋体" w:cs="宋体"/>
          <w:b/>
          <w:bCs/>
          <w:color w:val="auto"/>
          <w:szCs w:val="21"/>
        </w:rPr>
      </w:pPr>
      <w:r>
        <w:rPr>
          <w:rFonts w:hint="eastAsia" w:ascii="宋体" w:hAnsi="宋体" w:eastAsia="宋体" w:cs="宋体"/>
          <w:b/>
          <w:bCs/>
          <w:color w:val="auto"/>
          <w:szCs w:val="21"/>
        </w:rPr>
        <w:t>（五）安全生产管理</w:t>
      </w:r>
    </w:p>
    <w:p w14:paraId="488A5812">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1.投标人需做好施工作业的安全文明施工作业管理，遵守招标人各项安全生产的规章管理制度。对施工作业过程中造成的一切安全责任事故，由投标人负责。</w:t>
      </w:r>
    </w:p>
    <w:p w14:paraId="7E617C95">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2.投标人的技术服务需遵守招标人的安全生产管理制度，服从并需签署招标人制定的相关安全协议，服从污水处理运营项目或提升泵站属地管理机构的管理要求。</w:t>
      </w:r>
    </w:p>
    <w:p w14:paraId="7CF55C5B">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投标人在具体实施的项目中需开展有限空间作业的，应按照招标人相关要求通过招标人审批，在接到招标人允许作业回执后，投标人根据具体项目实施方案落实通风及气体检测等安全防护措施，才能进行作业。投标人若未得到招标人审批同意，自行开展有限空间等安全生产作业的，视作违约处理，招标人有权要求投标人承担按具体委派单项项目预算价（不含投标人销项税）的20%或与履约担保等额的违约金（以两者较高的金额作为该次违约金金额）。</w:t>
      </w:r>
    </w:p>
    <w:p w14:paraId="6BE5158D">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4.投标人建立覆盖全业务范围的安全生产与职业健康配套制度、岗位安全操作规程，且有针对性和可操作性，并在施工过程中严格执行。</w:t>
      </w:r>
    </w:p>
    <w:p w14:paraId="4E78C439">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5.投标人必须落实全员安全生产责任制，通过明确各级人员安全生产责任，层层签订安全生产责任书，落实安全生产责任，同时按“一岗双责、失职追责”原则建立并完善全员安全生产责任制。</w:t>
      </w:r>
    </w:p>
    <w:p w14:paraId="0A0C9E3F">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6.投标人每个施工项目现场必须配齐1名主要管理人员，现场专职安全管理人员（即监护人）视项目现场危险级别进行委派，主要管理人员及专职安全管理人员必须取得经省安协安全机构/市安协安全机构进行有限空间作业培训考核合格，同时持有管网公司内部培训考核下发的准入证；从事本项目的特种作业人员必须持有应急管理局或住建厅下发的特种作业人员上岗证，严禁无证上岗。</w:t>
      </w:r>
    </w:p>
    <w:p w14:paraId="211F7AB4">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7.投标人施工项目全体员工必须经三级安全教育培训并考核合格，培训内容及培训学时必须符合法律法规及行业要求，同时每年组织不少于8学时的全员安全再教育培训，施工项目现场必须有一份完整存档的三级安全教育培训档案。</w:t>
      </w:r>
    </w:p>
    <w:p w14:paraId="4FB31E7C">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8.投标人应根据施工现场存在的主要安全风险，制定符合施工项目实际的专项应急预案、现场处置方案，专项应急预案每年进行一次演练，现场处置方案每半年进行一次演练。</w:t>
      </w:r>
    </w:p>
    <w:p w14:paraId="25A565BF">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9.施工项目每天作业前，施工项目现场主要负责人、专职安全管理人员要对参与本次施工项目的员工进行安全交底，安全交底内容必须将本次本班作业可能存在的安全风险、风险管控措施、施工过程中的注意事项向本班作业人员进行告知，并做好纸面留痕工作。</w:t>
      </w:r>
    </w:p>
    <w:p w14:paraId="553D1D0A">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10.投标人必须为员工配置齐全安全防护用品、应急救援装备，具体配置标准不低于管网公司有限空间作业安全防护设备设施清单中的最低配置要求，每个施工项目施工时，参照标准也按公司最低配置要求进行配置，同时泵站临边作业现场必须设置安全防护设施，有限空间作业现场最好配置通讯式隔绝式呼吸器。</w:t>
      </w:r>
    </w:p>
    <w:p w14:paraId="248FDB81">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11.投标人必须为施工项目全体员工购买工伤保险或团体意外险，有条件的施工单位针对重点人群购买安责险。</w:t>
      </w:r>
    </w:p>
    <w:p w14:paraId="3DE4B9A8">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12.投标人针对业务范围内生产活动，必须开展风险辨识工作，针对风险辨识结果，现在制定风险管控措施，同时主要负责人、专职安全管理人员要监督落实。</w:t>
      </w:r>
    </w:p>
    <w:p w14:paraId="0AB33B0D">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13.投标人在作业前一天落实危险作业审批报备工作，必须经管网公司审批合格、分公司业务旁站人员检查确认无误后方可进行施工作业；</w:t>
      </w:r>
    </w:p>
    <w:p w14:paraId="18ED0D1C">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14.针对有限空间作业现场，必须加强通风及监测工作，现场必须配置不低于2台强制送风设备，一台在靠近施工作业处进行送风，一台远离作业处进行抽风，确保进行有效空气置换，同时加强作业前及作业中通风及气体监测工作，确保监测合格方可作业。</w:t>
      </w:r>
    </w:p>
    <w:p w14:paraId="591CA52A">
      <w:pPr>
        <w:pStyle w:val="129"/>
        <w:spacing w:line="360" w:lineRule="auto"/>
        <w:ind w:left="480" w:firstLine="0" w:firstLineChars="0"/>
        <w:rPr>
          <w:rFonts w:ascii="宋体" w:hAnsi="宋体" w:eastAsia="宋体" w:cs="宋体"/>
          <w:b/>
          <w:bCs/>
          <w:color w:val="auto"/>
          <w:szCs w:val="21"/>
        </w:rPr>
      </w:pPr>
      <w:r>
        <w:rPr>
          <w:rFonts w:hint="eastAsia" w:ascii="宋体" w:hAnsi="宋体" w:eastAsia="宋体" w:cs="宋体"/>
          <w:b/>
          <w:bCs/>
          <w:color w:val="auto"/>
          <w:szCs w:val="21"/>
        </w:rPr>
        <w:t>（六）人员及其它配置要求</w:t>
      </w:r>
    </w:p>
    <w:p w14:paraId="3AF92CBA">
      <w:pPr>
        <w:pStyle w:val="129"/>
        <w:numPr>
          <w:ilvl w:val="255"/>
          <w:numId w:val="0"/>
        </w:numPr>
        <w:spacing w:line="360" w:lineRule="auto"/>
        <w:ind w:firstLine="422"/>
        <w:rPr>
          <w:rFonts w:ascii="宋体" w:hAnsi="宋体" w:eastAsia="宋体" w:cs="宋体"/>
          <w:b/>
          <w:bCs/>
          <w:color w:val="auto"/>
          <w:szCs w:val="21"/>
        </w:rPr>
      </w:pPr>
      <w:r>
        <w:rPr>
          <w:rFonts w:hint="eastAsia" w:ascii="宋体" w:hAnsi="宋体" w:eastAsia="宋体" w:cs="宋体"/>
          <w:b/>
          <w:bCs/>
          <w:color w:val="auto"/>
          <w:szCs w:val="21"/>
        </w:rPr>
        <w:t>1. 具体人员配置数量及要求详见表1。</w:t>
      </w:r>
    </w:p>
    <w:p w14:paraId="0435A7B4">
      <w:pPr>
        <w:spacing w:line="360" w:lineRule="auto"/>
        <w:jc w:val="center"/>
        <w:rPr>
          <w:rFonts w:ascii="宋体" w:hAnsi="宋体" w:eastAsia="宋体" w:cs="Times New Roman"/>
          <w:b/>
          <w:color w:val="auto"/>
          <w:szCs w:val="21"/>
        </w:rPr>
      </w:pPr>
      <w:r>
        <w:rPr>
          <w:rFonts w:ascii="宋体" w:hAnsi="宋体" w:eastAsia="宋体" w:cs="Times New Roman"/>
          <w:b/>
          <w:color w:val="auto"/>
          <w:szCs w:val="21"/>
        </w:rPr>
        <w:t>表</w:t>
      </w:r>
      <w:r>
        <w:rPr>
          <w:rFonts w:hint="eastAsia" w:ascii="宋体" w:hAnsi="宋体" w:eastAsia="宋体" w:cs="Times New Roman"/>
          <w:b/>
          <w:color w:val="auto"/>
          <w:szCs w:val="21"/>
        </w:rPr>
        <w:t>1  包组</w:t>
      </w:r>
      <w:r>
        <w:rPr>
          <w:rFonts w:ascii="宋体" w:hAnsi="宋体" w:eastAsia="宋体" w:cs="Times New Roman"/>
          <w:b/>
          <w:color w:val="auto"/>
          <w:szCs w:val="21"/>
        </w:rPr>
        <w:t>人员配置表</w:t>
      </w:r>
    </w:p>
    <w:tbl>
      <w:tblPr>
        <w:tblStyle w:val="37"/>
        <w:tblW w:w="5023" w:type="pct"/>
        <w:jc w:val="center"/>
        <w:tblLayout w:type="autofit"/>
        <w:tblCellMar>
          <w:top w:w="0" w:type="dxa"/>
          <w:left w:w="0" w:type="dxa"/>
          <w:bottom w:w="0" w:type="dxa"/>
          <w:right w:w="0" w:type="dxa"/>
        </w:tblCellMar>
      </w:tblPr>
      <w:tblGrid>
        <w:gridCol w:w="603"/>
        <w:gridCol w:w="1231"/>
        <w:gridCol w:w="791"/>
        <w:gridCol w:w="3422"/>
        <w:gridCol w:w="3075"/>
      </w:tblGrid>
      <w:tr w14:paraId="282EB33C">
        <w:tblPrEx>
          <w:tblCellMar>
            <w:top w:w="0" w:type="dxa"/>
            <w:left w:w="0" w:type="dxa"/>
            <w:bottom w:w="0" w:type="dxa"/>
            <w:right w:w="0" w:type="dxa"/>
          </w:tblCellMar>
        </w:tblPrEx>
        <w:trPr>
          <w:trHeight w:val="272"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196F467C">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序号</w:t>
            </w:r>
          </w:p>
        </w:tc>
        <w:tc>
          <w:tcPr>
            <w:tcW w:w="674" w:type="pct"/>
            <w:tcBorders>
              <w:top w:val="single" w:color="000000" w:sz="4" w:space="0"/>
              <w:left w:val="nil"/>
              <w:bottom w:val="single" w:color="000000" w:sz="4" w:space="0"/>
              <w:right w:val="single" w:color="000000" w:sz="4" w:space="0"/>
            </w:tcBorders>
            <w:vAlign w:val="center"/>
          </w:tcPr>
          <w:p w14:paraId="5CEFCF53">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岗位</w:t>
            </w:r>
          </w:p>
        </w:tc>
        <w:tc>
          <w:tcPr>
            <w:tcW w:w="433" w:type="pct"/>
            <w:tcBorders>
              <w:top w:val="single" w:color="000000" w:sz="4" w:space="0"/>
              <w:left w:val="nil"/>
              <w:bottom w:val="single" w:color="000000" w:sz="4" w:space="0"/>
              <w:right w:val="single" w:color="000000" w:sz="4" w:space="0"/>
            </w:tcBorders>
            <w:vAlign w:val="center"/>
          </w:tcPr>
          <w:p w14:paraId="76F1798B">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人数（人）</w:t>
            </w:r>
          </w:p>
        </w:tc>
        <w:tc>
          <w:tcPr>
            <w:tcW w:w="1874" w:type="pct"/>
            <w:tcBorders>
              <w:top w:val="single" w:color="000000" w:sz="4" w:space="0"/>
              <w:left w:val="nil"/>
              <w:bottom w:val="single" w:color="000000" w:sz="4" w:space="0"/>
              <w:right w:val="single" w:color="000000" w:sz="4" w:space="0"/>
            </w:tcBorders>
            <w:vAlign w:val="center"/>
          </w:tcPr>
          <w:p w14:paraId="28D0B3E5">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人员配置要求</w:t>
            </w:r>
          </w:p>
        </w:tc>
        <w:tc>
          <w:tcPr>
            <w:tcW w:w="1684" w:type="pct"/>
            <w:tcBorders>
              <w:top w:val="single" w:color="000000" w:sz="4" w:space="0"/>
              <w:left w:val="nil"/>
              <w:bottom w:val="single" w:color="000000" w:sz="4" w:space="0"/>
              <w:right w:val="single" w:color="000000" w:sz="4" w:space="0"/>
            </w:tcBorders>
            <w:vAlign w:val="center"/>
          </w:tcPr>
          <w:p w14:paraId="69922F55">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备注</w:t>
            </w:r>
          </w:p>
        </w:tc>
      </w:tr>
      <w:tr w14:paraId="71A4C177">
        <w:tblPrEx>
          <w:tblCellMar>
            <w:top w:w="0" w:type="dxa"/>
            <w:left w:w="0" w:type="dxa"/>
            <w:bottom w:w="0" w:type="dxa"/>
            <w:right w:w="0" w:type="dxa"/>
          </w:tblCellMar>
        </w:tblPrEx>
        <w:trPr>
          <w:trHeight w:val="771"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229ED918">
            <w:pPr>
              <w:autoSpaceDE w:val="0"/>
              <w:autoSpaceDN w:val="0"/>
              <w:adjustRightInd w:val="0"/>
              <w:jc w:val="center"/>
              <w:rPr>
                <w:rFonts w:ascii="宋体" w:hAnsi="宋体" w:eastAsia="宋体" w:cs="宋体"/>
                <w:b/>
                <w:color w:val="auto"/>
                <w:kern w:val="0"/>
                <w:szCs w:val="21"/>
              </w:rPr>
            </w:pPr>
            <w:r>
              <w:rPr>
                <w:rFonts w:ascii="宋体" w:hAnsi="宋体" w:eastAsia="宋体" w:cs="Times New Roman"/>
                <w:b/>
                <w:bCs/>
                <w:color w:val="auto"/>
                <w:kern w:val="0"/>
                <w:szCs w:val="21"/>
              </w:rPr>
              <w:t>★</w:t>
            </w:r>
            <w:r>
              <w:rPr>
                <w:rFonts w:hint="eastAsia" w:ascii="宋体" w:hAnsi="宋体" w:eastAsia="宋体" w:cs="宋体"/>
                <w:b/>
                <w:color w:val="auto"/>
                <w:kern w:val="0"/>
                <w:szCs w:val="21"/>
              </w:rPr>
              <w:t>1</w:t>
            </w:r>
          </w:p>
        </w:tc>
        <w:tc>
          <w:tcPr>
            <w:tcW w:w="674" w:type="pct"/>
            <w:tcBorders>
              <w:top w:val="single" w:color="000000" w:sz="4" w:space="0"/>
              <w:left w:val="nil"/>
              <w:bottom w:val="single" w:color="000000" w:sz="4" w:space="0"/>
              <w:right w:val="single" w:color="000000" w:sz="4" w:space="0"/>
            </w:tcBorders>
            <w:vAlign w:val="center"/>
          </w:tcPr>
          <w:p w14:paraId="42FB2E75">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项目负责人</w:t>
            </w:r>
          </w:p>
        </w:tc>
        <w:tc>
          <w:tcPr>
            <w:tcW w:w="433" w:type="pct"/>
            <w:tcBorders>
              <w:top w:val="single" w:color="000000" w:sz="4" w:space="0"/>
              <w:left w:val="nil"/>
              <w:bottom w:val="single" w:color="000000" w:sz="4" w:space="0"/>
              <w:right w:val="single" w:color="000000" w:sz="4" w:space="0"/>
            </w:tcBorders>
            <w:vAlign w:val="center"/>
          </w:tcPr>
          <w:p w14:paraId="393215F2">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1</w:t>
            </w:r>
          </w:p>
        </w:tc>
        <w:tc>
          <w:tcPr>
            <w:tcW w:w="1874" w:type="pct"/>
            <w:tcBorders>
              <w:top w:val="single" w:color="000000" w:sz="4" w:space="0"/>
              <w:left w:val="nil"/>
              <w:bottom w:val="single" w:color="000000" w:sz="4" w:space="0"/>
              <w:right w:val="single" w:color="000000" w:sz="4" w:space="0"/>
            </w:tcBorders>
            <w:vAlign w:val="center"/>
          </w:tcPr>
          <w:p w14:paraId="5180BDC7">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1、具备二级</w:t>
            </w:r>
            <w:r>
              <w:rPr>
                <w:rFonts w:ascii="宋体" w:hAnsi="宋体" w:eastAsia="宋体" w:cs="宋体"/>
                <w:b/>
                <w:color w:val="auto"/>
                <w:kern w:val="0"/>
                <w:szCs w:val="21"/>
              </w:rPr>
              <w:t>（或以上）</w:t>
            </w:r>
            <w:r>
              <w:rPr>
                <w:rFonts w:hint="eastAsia" w:ascii="宋体" w:hAnsi="宋体" w:eastAsia="宋体" w:cs="宋体"/>
                <w:b/>
                <w:color w:val="auto"/>
                <w:kern w:val="0"/>
                <w:szCs w:val="21"/>
              </w:rPr>
              <w:t>建造师（机电工程专业）执业资格或者中级（或以上）工程职称（机电或给排水专业）职称证书；</w:t>
            </w:r>
          </w:p>
          <w:p w14:paraId="52FD6577">
            <w:pPr>
              <w:pStyle w:val="12"/>
              <w:ind w:firstLine="0" w:firstLineChars="0"/>
              <w:rPr>
                <w:rFonts w:hAnsi="宋体"/>
                <w:color w:val="auto"/>
                <w:sz w:val="21"/>
                <w:szCs w:val="21"/>
              </w:rPr>
            </w:pPr>
            <w:r>
              <w:rPr>
                <w:rFonts w:hAnsi="宋体"/>
                <w:b/>
                <w:bCs/>
                <w:color w:val="auto"/>
                <w:sz w:val="21"/>
                <w:szCs w:val="21"/>
              </w:rPr>
              <w:t>2、</w:t>
            </w:r>
            <w:r>
              <w:rPr>
                <w:rFonts w:hint="eastAsia" w:hAnsi="宋体" w:cs="宋体"/>
                <w:b/>
                <w:color w:val="auto"/>
                <w:sz w:val="21"/>
                <w:szCs w:val="21"/>
              </w:rPr>
              <w:t>具备住建局颁发的项目负责人安全生产考核合格证书（“建安B”类）。</w:t>
            </w:r>
          </w:p>
        </w:tc>
        <w:tc>
          <w:tcPr>
            <w:tcW w:w="1684" w:type="pct"/>
            <w:tcBorders>
              <w:top w:val="single" w:color="000000" w:sz="4" w:space="0"/>
              <w:left w:val="nil"/>
              <w:bottom w:val="single" w:color="000000" w:sz="4" w:space="0"/>
              <w:right w:val="single" w:color="000000" w:sz="4" w:space="0"/>
            </w:tcBorders>
            <w:vAlign w:val="center"/>
          </w:tcPr>
          <w:p w14:paraId="5E2A6ED4">
            <w:p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1.</w:t>
            </w:r>
            <w:r>
              <w:rPr>
                <w:rFonts w:hint="eastAsia" w:ascii="宋体" w:hAnsi="宋体" w:eastAsia="宋体" w:cs="宋体"/>
                <w:b/>
                <w:color w:val="auto"/>
                <w:kern w:val="0"/>
                <w:szCs w:val="21"/>
              </w:rPr>
              <w:t>提供</w:t>
            </w:r>
            <w:r>
              <w:rPr>
                <w:rFonts w:ascii="宋体" w:hAnsi="宋体" w:eastAsia="宋体" w:cs="宋体"/>
                <w:b/>
                <w:color w:val="auto"/>
                <w:kern w:val="0"/>
                <w:szCs w:val="21"/>
              </w:rPr>
              <w:t>人员证书及劳动合同复印件</w:t>
            </w:r>
            <w:r>
              <w:rPr>
                <w:rFonts w:hint="eastAsia" w:hAnsi="宋体" w:cs="宋体"/>
                <w:b/>
                <w:color w:val="auto"/>
                <w:kern w:val="0"/>
                <w:szCs w:val="21"/>
              </w:rPr>
              <w:t>；</w:t>
            </w:r>
          </w:p>
          <w:p w14:paraId="1CEAAABC">
            <w:p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2.</w:t>
            </w:r>
            <w:r>
              <w:rPr>
                <w:rFonts w:hint="eastAsia" w:ascii="宋体" w:hAnsi="宋体" w:eastAsia="宋体" w:cs="宋体"/>
                <w:b/>
                <w:color w:val="auto"/>
                <w:kern w:val="0"/>
                <w:szCs w:val="21"/>
              </w:rPr>
              <w:t>提供人员证书及人力资源和社会保障部门（或税务部门）出具的投标人2024年5月至2024年10月为其缴纳的社保证明复印件</w:t>
            </w:r>
          </w:p>
        </w:tc>
      </w:tr>
      <w:tr w14:paraId="437E0695">
        <w:tblPrEx>
          <w:tblCellMar>
            <w:top w:w="0" w:type="dxa"/>
            <w:left w:w="0" w:type="dxa"/>
            <w:bottom w:w="0" w:type="dxa"/>
            <w:right w:w="0" w:type="dxa"/>
          </w:tblCellMar>
        </w:tblPrEx>
        <w:trPr>
          <w:trHeight w:val="1060"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589EE3E5">
            <w:pPr>
              <w:autoSpaceDE w:val="0"/>
              <w:autoSpaceDN w:val="0"/>
              <w:adjustRightInd w:val="0"/>
              <w:jc w:val="center"/>
              <w:rPr>
                <w:rFonts w:ascii="宋体" w:hAnsi="宋体" w:eastAsia="宋体" w:cs="宋体"/>
                <w:b/>
                <w:color w:val="auto"/>
                <w:kern w:val="0"/>
                <w:szCs w:val="21"/>
              </w:rPr>
            </w:pPr>
            <w:r>
              <w:rPr>
                <w:rFonts w:ascii="宋体" w:hAnsi="宋体" w:eastAsia="宋体" w:cs="Times New Roman"/>
                <w:b/>
                <w:bCs/>
                <w:color w:val="auto"/>
                <w:kern w:val="0"/>
                <w:szCs w:val="21"/>
              </w:rPr>
              <w:t>★</w:t>
            </w:r>
            <w:r>
              <w:rPr>
                <w:rFonts w:hint="eastAsia" w:ascii="宋体" w:hAnsi="宋体" w:eastAsia="宋体" w:cs="宋体"/>
                <w:b/>
                <w:color w:val="auto"/>
                <w:kern w:val="0"/>
                <w:szCs w:val="21"/>
              </w:rPr>
              <w:t>2</w:t>
            </w:r>
          </w:p>
        </w:tc>
        <w:tc>
          <w:tcPr>
            <w:tcW w:w="674" w:type="pct"/>
            <w:tcBorders>
              <w:top w:val="single" w:color="000000" w:sz="4" w:space="0"/>
              <w:left w:val="nil"/>
              <w:bottom w:val="single" w:color="000000" w:sz="4" w:space="0"/>
              <w:right w:val="single" w:color="000000" w:sz="4" w:space="0"/>
            </w:tcBorders>
            <w:vAlign w:val="center"/>
          </w:tcPr>
          <w:p w14:paraId="6299B729">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现场负责人</w:t>
            </w:r>
          </w:p>
        </w:tc>
        <w:tc>
          <w:tcPr>
            <w:tcW w:w="433" w:type="pct"/>
            <w:tcBorders>
              <w:top w:val="single" w:color="000000" w:sz="4" w:space="0"/>
              <w:left w:val="nil"/>
              <w:bottom w:val="single" w:color="000000" w:sz="4" w:space="0"/>
              <w:right w:val="single" w:color="000000" w:sz="4" w:space="0"/>
            </w:tcBorders>
            <w:vAlign w:val="center"/>
          </w:tcPr>
          <w:p w14:paraId="3E147A1C">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329D5253">
            <w:pPr>
              <w:autoSpaceDE w:val="0"/>
              <w:autoSpaceDN w:val="0"/>
              <w:adjustRightInd w:val="0"/>
              <w:jc w:val="left"/>
              <w:rPr>
                <w:rFonts w:ascii="宋体" w:hAnsi="宋体" w:eastAsia="宋体" w:cs="宋体"/>
                <w:b/>
                <w:color w:val="auto"/>
                <w:kern w:val="0"/>
                <w:szCs w:val="21"/>
              </w:rPr>
            </w:pPr>
            <w:r>
              <w:rPr>
                <w:rFonts w:ascii="宋体" w:hAnsi="宋体" w:eastAsia="宋体" w:cs="宋体"/>
                <w:b/>
                <w:color w:val="auto"/>
                <w:kern w:val="0"/>
                <w:szCs w:val="21"/>
              </w:rPr>
              <w:t>具备二级（或以上）建造师（</w:t>
            </w:r>
            <w:r>
              <w:rPr>
                <w:rFonts w:hint="eastAsia" w:ascii="宋体" w:hAnsi="宋体" w:eastAsia="宋体" w:cs="宋体"/>
                <w:b/>
                <w:color w:val="auto"/>
                <w:kern w:val="0"/>
                <w:szCs w:val="21"/>
              </w:rPr>
              <w:t>机电</w:t>
            </w:r>
            <w:r>
              <w:rPr>
                <w:rFonts w:ascii="宋体" w:hAnsi="宋体" w:eastAsia="宋体" w:cs="宋体"/>
                <w:b/>
                <w:color w:val="auto"/>
                <w:kern w:val="0"/>
                <w:szCs w:val="21"/>
              </w:rPr>
              <w:t>工程</w:t>
            </w:r>
            <w:r>
              <w:rPr>
                <w:rFonts w:hint="eastAsia" w:ascii="宋体" w:hAnsi="宋体" w:eastAsia="宋体" w:cs="宋体"/>
                <w:b/>
                <w:color w:val="auto"/>
                <w:kern w:val="0"/>
                <w:szCs w:val="21"/>
              </w:rPr>
              <w:t>或给排水</w:t>
            </w:r>
            <w:r>
              <w:rPr>
                <w:rFonts w:ascii="宋体" w:hAnsi="宋体" w:eastAsia="宋体" w:cs="宋体"/>
                <w:b/>
                <w:color w:val="auto"/>
                <w:kern w:val="0"/>
                <w:szCs w:val="21"/>
              </w:rPr>
              <w:t>专业）或者助理工程师（或以上）职称证书</w:t>
            </w:r>
          </w:p>
        </w:tc>
        <w:tc>
          <w:tcPr>
            <w:tcW w:w="1684" w:type="pct"/>
            <w:tcBorders>
              <w:top w:val="single" w:color="000000" w:sz="4" w:space="0"/>
              <w:left w:val="nil"/>
              <w:bottom w:val="single" w:color="000000" w:sz="4" w:space="0"/>
              <w:right w:val="single" w:color="000000" w:sz="4" w:space="0"/>
            </w:tcBorders>
            <w:vAlign w:val="center"/>
          </w:tcPr>
          <w:p w14:paraId="586BFEEF">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1.</w:t>
            </w:r>
            <w:r>
              <w:rPr>
                <w:rFonts w:hint="eastAsia" w:ascii="宋体" w:hAnsi="宋体" w:eastAsia="宋体" w:cs="宋体"/>
                <w:b/>
                <w:color w:val="auto"/>
                <w:kern w:val="0"/>
                <w:szCs w:val="21"/>
              </w:rPr>
              <w:t>在项目实施过程中必须全程在岗</w:t>
            </w:r>
          </w:p>
          <w:p w14:paraId="42200D49">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2.</w:t>
            </w:r>
            <w:r>
              <w:rPr>
                <w:rFonts w:ascii="宋体" w:hAnsi="宋体" w:eastAsia="宋体" w:cs="宋体"/>
                <w:b/>
                <w:color w:val="auto"/>
                <w:kern w:val="0"/>
                <w:szCs w:val="21"/>
              </w:rPr>
              <w:t>须</w:t>
            </w:r>
            <w:r>
              <w:rPr>
                <w:rFonts w:hint="eastAsia" w:ascii="宋体" w:hAnsi="宋体" w:eastAsia="宋体" w:cs="宋体"/>
                <w:b/>
                <w:color w:val="auto"/>
                <w:kern w:val="0"/>
                <w:szCs w:val="21"/>
              </w:rPr>
              <w:t>提供</w:t>
            </w:r>
            <w:r>
              <w:rPr>
                <w:rFonts w:ascii="宋体" w:hAnsi="宋体" w:eastAsia="宋体" w:cs="宋体"/>
                <w:b/>
                <w:color w:val="auto"/>
                <w:kern w:val="0"/>
                <w:szCs w:val="21"/>
              </w:rPr>
              <w:t>人员证书及劳动合同复印件</w:t>
            </w:r>
          </w:p>
          <w:p w14:paraId="62AA8A06">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3.</w:t>
            </w:r>
            <w:r>
              <w:rPr>
                <w:rFonts w:hint="eastAsia" w:ascii="宋体" w:hAnsi="宋体" w:eastAsia="宋体" w:cs="宋体"/>
                <w:b/>
                <w:color w:val="auto"/>
                <w:kern w:val="0"/>
                <w:szCs w:val="21"/>
              </w:rPr>
              <w:t>人力资源和社会保障部门（或税务部门）出具的投标人2024年5月至2024年10月为其缴纳的社保证明复印件</w:t>
            </w:r>
          </w:p>
        </w:tc>
      </w:tr>
      <w:tr w14:paraId="36BD2EE9">
        <w:tblPrEx>
          <w:tblCellMar>
            <w:top w:w="0" w:type="dxa"/>
            <w:left w:w="0" w:type="dxa"/>
            <w:bottom w:w="0" w:type="dxa"/>
            <w:right w:w="0" w:type="dxa"/>
          </w:tblCellMar>
        </w:tblPrEx>
        <w:trPr>
          <w:trHeight w:val="1268"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54CF6C60">
            <w:pPr>
              <w:autoSpaceDE w:val="0"/>
              <w:autoSpaceDN w:val="0"/>
              <w:adjustRightInd w:val="0"/>
              <w:jc w:val="center"/>
              <w:rPr>
                <w:rFonts w:ascii="宋体" w:hAnsi="宋体" w:eastAsia="宋体" w:cs="宋体"/>
                <w:b/>
                <w:color w:val="auto"/>
                <w:kern w:val="0"/>
                <w:szCs w:val="21"/>
              </w:rPr>
            </w:pPr>
            <w:r>
              <w:rPr>
                <w:rFonts w:ascii="宋体" w:hAnsi="宋体" w:eastAsia="宋体" w:cs="Times New Roman"/>
                <w:b/>
                <w:bCs/>
                <w:color w:val="auto"/>
                <w:kern w:val="0"/>
                <w:szCs w:val="21"/>
              </w:rPr>
              <w:t>★</w:t>
            </w:r>
            <w:r>
              <w:rPr>
                <w:rFonts w:hint="eastAsia" w:ascii="宋体" w:hAnsi="宋体" w:eastAsia="宋体" w:cs="宋体"/>
                <w:b/>
                <w:color w:val="auto"/>
                <w:kern w:val="0"/>
                <w:szCs w:val="21"/>
              </w:rPr>
              <w:t>3</w:t>
            </w:r>
          </w:p>
        </w:tc>
        <w:tc>
          <w:tcPr>
            <w:tcW w:w="674" w:type="pct"/>
            <w:tcBorders>
              <w:top w:val="single" w:color="000000" w:sz="4" w:space="0"/>
              <w:left w:val="nil"/>
              <w:bottom w:val="single" w:color="000000" w:sz="4" w:space="0"/>
              <w:right w:val="single" w:color="000000" w:sz="4" w:space="0"/>
            </w:tcBorders>
            <w:vAlign w:val="center"/>
          </w:tcPr>
          <w:p w14:paraId="347D8E72">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安全员</w:t>
            </w:r>
          </w:p>
        </w:tc>
        <w:tc>
          <w:tcPr>
            <w:tcW w:w="433" w:type="pct"/>
            <w:tcBorders>
              <w:top w:val="single" w:color="000000" w:sz="4" w:space="0"/>
              <w:left w:val="nil"/>
              <w:bottom w:val="single" w:color="000000" w:sz="4" w:space="0"/>
              <w:right w:val="single" w:color="000000" w:sz="4" w:space="0"/>
            </w:tcBorders>
            <w:vAlign w:val="center"/>
          </w:tcPr>
          <w:p w14:paraId="4FCE70A6">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3DC463DA">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具备住建局颁发的专职安全生产管理人员安全生产考核合格证书（“建安C”类）或者行业协会或安全生产监督管理局发放发放的安全管理人员证书</w:t>
            </w:r>
          </w:p>
        </w:tc>
        <w:tc>
          <w:tcPr>
            <w:tcW w:w="1684" w:type="pct"/>
            <w:tcBorders>
              <w:top w:val="single" w:color="000000" w:sz="4" w:space="0"/>
              <w:left w:val="nil"/>
              <w:bottom w:val="single" w:color="000000" w:sz="4" w:space="0"/>
              <w:right w:val="single" w:color="000000" w:sz="4" w:space="0"/>
            </w:tcBorders>
            <w:vAlign w:val="center"/>
          </w:tcPr>
          <w:p w14:paraId="323769FA">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1.</w:t>
            </w:r>
            <w:r>
              <w:rPr>
                <w:rFonts w:ascii="宋体" w:hAnsi="宋体" w:eastAsia="宋体" w:cs="宋体"/>
                <w:b/>
                <w:color w:val="auto"/>
                <w:kern w:val="0"/>
                <w:szCs w:val="21"/>
              </w:rPr>
              <w:t>在项目实施过程中必须全程在岗</w:t>
            </w:r>
          </w:p>
          <w:p w14:paraId="12E9761D">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2.</w:t>
            </w:r>
            <w:r>
              <w:rPr>
                <w:rFonts w:ascii="宋体" w:hAnsi="宋体" w:eastAsia="宋体" w:cs="宋体"/>
                <w:b/>
                <w:color w:val="auto"/>
                <w:kern w:val="0"/>
                <w:szCs w:val="21"/>
              </w:rPr>
              <w:t>须</w:t>
            </w:r>
            <w:r>
              <w:rPr>
                <w:rFonts w:hint="eastAsia" w:ascii="宋体" w:hAnsi="宋体" w:eastAsia="宋体" w:cs="宋体"/>
                <w:b/>
                <w:color w:val="auto"/>
                <w:kern w:val="0"/>
                <w:szCs w:val="21"/>
              </w:rPr>
              <w:t>提供</w:t>
            </w:r>
            <w:r>
              <w:rPr>
                <w:rFonts w:ascii="宋体" w:hAnsi="宋体" w:eastAsia="宋体" w:cs="宋体"/>
                <w:b/>
                <w:color w:val="auto"/>
                <w:kern w:val="0"/>
                <w:szCs w:val="21"/>
              </w:rPr>
              <w:t>人员证书及劳动合同复印件</w:t>
            </w:r>
          </w:p>
          <w:p w14:paraId="2164E54B">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3.</w:t>
            </w:r>
            <w:r>
              <w:rPr>
                <w:rFonts w:hint="eastAsia" w:ascii="宋体" w:hAnsi="宋体" w:eastAsia="宋体" w:cs="宋体"/>
                <w:b/>
                <w:color w:val="auto"/>
                <w:kern w:val="0"/>
                <w:szCs w:val="21"/>
              </w:rPr>
              <w:t>人力资源和社会保障部门（或税务部门）出具的投标人2024年5月至2024年10月为其缴纳的社保证明复印件</w:t>
            </w:r>
          </w:p>
        </w:tc>
      </w:tr>
      <w:tr w14:paraId="4D22EB0C">
        <w:tblPrEx>
          <w:tblCellMar>
            <w:top w:w="0" w:type="dxa"/>
            <w:left w:w="0" w:type="dxa"/>
            <w:bottom w:w="0" w:type="dxa"/>
            <w:right w:w="0" w:type="dxa"/>
          </w:tblCellMar>
        </w:tblPrEx>
        <w:trPr>
          <w:trHeight w:val="722"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12BD711F">
            <w:pPr>
              <w:autoSpaceDE w:val="0"/>
              <w:autoSpaceDN w:val="0"/>
              <w:adjustRightInd w:val="0"/>
              <w:jc w:val="center"/>
              <w:rPr>
                <w:rFonts w:ascii="宋体" w:hAnsi="宋体" w:eastAsia="宋体" w:cs="宋体"/>
                <w:bCs/>
                <w:color w:val="auto"/>
                <w:kern w:val="0"/>
                <w:szCs w:val="21"/>
              </w:rPr>
            </w:pPr>
            <w:r>
              <w:rPr>
                <w:rFonts w:ascii="宋体" w:hAnsi="宋体" w:eastAsia="宋体" w:cs="Times New Roman"/>
                <w:b/>
                <w:bCs/>
                <w:color w:val="auto"/>
                <w:kern w:val="0"/>
                <w:szCs w:val="21"/>
              </w:rPr>
              <w:t>★</w:t>
            </w:r>
            <w:r>
              <w:rPr>
                <w:rFonts w:hint="eastAsia" w:ascii="宋体" w:hAnsi="宋体" w:eastAsia="宋体" w:cs="宋体"/>
                <w:bCs/>
                <w:color w:val="auto"/>
                <w:kern w:val="0"/>
                <w:szCs w:val="21"/>
              </w:rPr>
              <w:t>4</w:t>
            </w:r>
          </w:p>
        </w:tc>
        <w:tc>
          <w:tcPr>
            <w:tcW w:w="674" w:type="pct"/>
            <w:tcBorders>
              <w:top w:val="single" w:color="000000" w:sz="4" w:space="0"/>
              <w:left w:val="nil"/>
              <w:bottom w:val="single" w:color="000000" w:sz="4" w:space="0"/>
              <w:right w:val="single" w:color="000000" w:sz="4" w:space="0"/>
            </w:tcBorders>
            <w:vAlign w:val="center"/>
          </w:tcPr>
          <w:p w14:paraId="08A968E3">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资料员</w:t>
            </w:r>
          </w:p>
        </w:tc>
        <w:tc>
          <w:tcPr>
            <w:tcW w:w="433" w:type="pct"/>
            <w:tcBorders>
              <w:top w:val="single" w:color="000000" w:sz="4" w:space="0"/>
              <w:left w:val="nil"/>
              <w:bottom w:val="single" w:color="000000" w:sz="4" w:space="0"/>
              <w:right w:val="single" w:color="000000" w:sz="4" w:space="0"/>
            </w:tcBorders>
            <w:vAlign w:val="center"/>
          </w:tcPr>
          <w:p w14:paraId="66298FE6">
            <w:pPr>
              <w:autoSpaceDE w:val="0"/>
              <w:autoSpaceDN w:val="0"/>
              <w:adjustRightInd w:val="0"/>
              <w:jc w:val="center"/>
              <w:rPr>
                <w:rFonts w:ascii="宋体" w:hAnsi="宋体" w:eastAsia="宋体" w:cs="宋体"/>
                <w:b/>
                <w:color w:val="auto"/>
                <w:kern w:val="0"/>
                <w:szCs w:val="21"/>
              </w:rPr>
            </w:pPr>
            <w:r>
              <w:rPr>
                <w:rFonts w:hint="eastAsia" w:ascii="宋体" w:hAnsi="宋体" w:eastAsia="宋体" w:cs="Times New Roman"/>
                <w:b/>
                <w:color w:val="auto"/>
                <w:kern w:val="0"/>
                <w:szCs w:val="21"/>
              </w:rPr>
              <w:t>1</w:t>
            </w:r>
          </w:p>
        </w:tc>
        <w:tc>
          <w:tcPr>
            <w:tcW w:w="1874" w:type="pct"/>
            <w:tcBorders>
              <w:top w:val="single" w:color="000000" w:sz="4" w:space="0"/>
              <w:left w:val="nil"/>
              <w:bottom w:val="single" w:color="000000" w:sz="4" w:space="0"/>
              <w:right w:val="single" w:color="000000" w:sz="4" w:space="0"/>
            </w:tcBorders>
            <w:vAlign w:val="center"/>
          </w:tcPr>
          <w:p w14:paraId="638256AD">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具备有住建部门或住建委印制的资料员岗位资格证书</w:t>
            </w:r>
          </w:p>
        </w:tc>
        <w:tc>
          <w:tcPr>
            <w:tcW w:w="1684" w:type="pct"/>
            <w:tcBorders>
              <w:top w:val="single" w:color="000000" w:sz="4" w:space="0"/>
              <w:left w:val="nil"/>
              <w:bottom w:val="single" w:color="000000" w:sz="4" w:space="0"/>
              <w:right w:val="single" w:color="000000" w:sz="4" w:space="0"/>
            </w:tcBorders>
            <w:vAlign w:val="center"/>
          </w:tcPr>
          <w:p w14:paraId="1A4408CF">
            <w:pPr>
              <w:numPr>
                <w:ilvl w:val="255"/>
                <w:numId w:val="0"/>
              </w:numPr>
              <w:autoSpaceDE w:val="0"/>
              <w:autoSpaceDN w:val="0"/>
              <w:adjustRightInd w:val="0"/>
              <w:rPr>
                <w:rFonts w:ascii="宋体" w:hAnsi="宋体" w:eastAsia="宋体" w:cs="宋体"/>
                <w:b/>
                <w:color w:val="auto"/>
                <w:kern w:val="0"/>
                <w:szCs w:val="21"/>
              </w:rPr>
            </w:pPr>
            <w:r>
              <w:rPr>
                <w:rFonts w:hint="eastAsia" w:hAnsi="宋体" w:cs="宋体"/>
                <w:b/>
                <w:color w:val="auto"/>
                <w:kern w:val="0"/>
                <w:szCs w:val="21"/>
              </w:rPr>
              <w:t>1.</w:t>
            </w:r>
            <w:r>
              <w:rPr>
                <w:rFonts w:hint="eastAsia" w:ascii="宋体" w:hAnsi="宋体" w:eastAsia="宋体" w:cs="宋体"/>
                <w:b/>
                <w:color w:val="auto"/>
                <w:kern w:val="0"/>
                <w:szCs w:val="21"/>
              </w:rPr>
              <w:t>须提供人员证书及劳动合同（或劳务合同）复印件</w:t>
            </w:r>
          </w:p>
          <w:p w14:paraId="3F12BE7F">
            <w:pPr>
              <w:pStyle w:val="18"/>
              <w:numPr>
                <w:ilvl w:val="255"/>
                <w:numId w:val="0"/>
              </w:numPr>
              <w:jc w:val="both"/>
              <w:rPr>
                <w:bCs w:val="0"/>
                <w:color w:val="auto"/>
              </w:rPr>
            </w:pPr>
            <w:r>
              <w:rPr>
                <w:rFonts w:hint="eastAsia" w:hAnsi="宋体" w:cs="宋体"/>
                <w:bCs w:val="0"/>
                <w:color w:val="auto"/>
                <w:sz w:val="21"/>
                <w:szCs w:val="21"/>
                <w:lang w:val="en-US"/>
              </w:rPr>
              <w:t>2.人力资源和社会保障部门（或税务部门）出具的投标人2024年5月至2024年10月为其缴纳的社保证明复印件</w:t>
            </w:r>
          </w:p>
        </w:tc>
      </w:tr>
      <w:tr w14:paraId="03EB95FF">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4FA00E30">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674" w:type="pct"/>
            <w:tcBorders>
              <w:top w:val="single" w:color="000000" w:sz="4" w:space="0"/>
              <w:left w:val="nil"/>
              <w:bottom w:val="single" w:color="000000" w:sz="4" w:space="0"/>
              <w:right w:val="single" w:color="000000" w:sz="4" w:space="0"/>
            </w:tcBorders>
            <w:vAlign w:val="center"/>
          </w:tcPr>
          <w:p w14:paraId="4A4D37AE">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bCs/>
                <w:color w:val="auto"/>
                <w:kern w:val="0"/>
                <w:szCs w:val="21"/>
              </w:rPr>
              <w:t>低压电工</w:t>
            </w:r>
          </w:p>
        </w:tc>
        <w:tc>
          <w:tcPr>
            <w:tcW w:w="433" w:type="pct"/>
            <w:tcBorders>
              <w:top w:val="single" w:color="000000" w:sz="4" w:space="0"/>
              <w:left w:val="nil"/>
              <w:bottom w:val="single" w:color="000000" w:sz="4" w:space="0"/>
              <w:right w:val="single" w:color="000000" w:sz="4" w:space="0"/>
            </w:tcBorders>
            <w:vAlign w:val="center"/>
          </w:tcPr>
          <w:p w14:paraId="0F5DEBCD">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212BC5EE">
            <w:pPr>
              <w:autoSpaceDE w:val="0"/>
              <w:autoSpaceDN w:val="0"/>
              <w:adjustRightInd w:val="0"/>
              <w:jc w:val="left"/>
              <w:rPr>
                <w:rFonts w:ascii="宋体" w:hAnsi="宋体" w:eastAsia="宋体" w:cs="宋体"/>
                <w:color w:val="auto"/>
                <w:kern w:val="0"/>
                <w:szCs w:val="21"/>
              </w:rPr>
            </w:pPr>
            <w:r>
              <w:rPr>
                <w:rFonts w:hint="eastAsia"/>
                <w:color w:val="auto"/>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2755069E">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须提供人员证书及劳动合同（或劳务合同）复印件</w:t>
            </w:r>
          </w:p>
        </w:tc>
      </w:tr>
      <w:tr w14:paraId="59030A89">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7FE60CC2">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674" w:type="pct"/>
            <w:tcBorders>
              <w:top w:val="single" w:color="000000" w:sz="4" w:space="0"/>
              <w:left w:val="nil"/>
              <w:bottom w:val="single" w:color="000000" w:sz="4" w:space="0"/>
              <w:right w:val="single" w:color="000000" w:sz="4" w:space="0"/>
            </w:tcBorders>
            <w:vAlign w:val="center"/>
          </w:tcPr>
          <w:p w14:paraId="3784665D">
            <w:pPr>
              <w:autoSpaceDE w:val="0"/>
              <w:autoSpaceDN w:val="0"/>
              <w:adjustRightInd w:val="0"/>
              <w:jc w:val="center"/>
              <w:rPr>
                <w:rFonts w:ascii="宋体" w:hAnsi="宋体" w:eastAsia="宋体" w:cs="宋体"/>
                <w:bCs/>
                <w:color w:val="auto"/>
                <w:kern w:val="0"/>
                <w:szCs w:val="21"/>
              </w:rPr>
            </w:pPr>
            <w:r>
              <w:rPr>
                <w:rFonts w:hint="eastAsia" w:ascii="宋体" w:hAnsi="宋体" w:eastAsia="宋体" w:cs="宋体"/>
                <w:bCs/>
                <w:color w:val="auto"/>
                <w:kern w:val="0"/>
                <w:szCs w:val="21"/>
              </w:rPr>
              <w:t>高压电工</w:t>
            </w:r>
          </w:p>
        </w:tc>
        <w:tc>
          <w:tcPr>
            <w:tcW w:w="433" w:type="pct"/>
            <w:tcBorders>
              <w:top w:val="single" w:color="000000" w:sz="4" w:space="0"/>
              <w:left w:val="nil"/>
              <w:bottom w:val="single" w:color="000000" w:sz="4" w:space="0"/>
              <w:right w:val="single" w:color="000000" w:sz="4" w:space="0"/>
            </w:tcBorders>
            <w:vAlign w:val="center"/>
          </w:tcPr>
          <w:p w14:paraId="6D57C93C">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5BCFFFA0">
            <w:pPr>
              <w:autoSpaceDE w:val="0"/>
              <w:autoSpaceDN w:val="0"/>
              <w:adjustRightInd w:val="0"/>
              <w:jc w:val="left"/>
              <w:rPr>
                <w:rFonts w:ascii="宋体" w:hAnsi="宋体" w:eastAsia="宋体" w:cs="宋体"/>
                <w:color w:val="auto"/>
                <w:kern w:val="0"/>
                <w:szCs w:val="21"/>
              </w:rPr>
            </w:pPr>
            <w:r>
              <w:rPr>
                <w:rFonts w:hint="eastAsia"/>
                <w:color w:val="auto"/>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558E8EA4">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须提供人员证书及劳动合同（或劳务合同）复印件</w:t>
            </w:r>
          </w:p>
        </w:tc>
      </w:tr>
      <w:tr w14:paraId="0AA4F48A">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64B80541">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674" w:type="pct"/>
            <w:tcBorders>
              <w:top w:val="single" w:color="000000" w:sz="4" w:space="0"/>
              <w:left w:val="nil"/>
              <w:bottom w:val="single" w:color="000000" w:sz="4" w:space="0"/>
              <w:right w:val="single" w:color="000000" w:sz="4" w:space="0"/>
            </w:tcBorders>
            <w:vAlign w:val="center"/>
          </w:tcPr>
          <w:p w14:paraId="02AE8681">
            <w:pPr>
              <w:autoSpaceDE w:val="0"/>
              <w:autoSpaceDN w:val="0"/>
              <w:adjustRightInd w:val="0"/>
              <w:jc w:val="center"/>
              <w:rPr>
                <w:rFonts w:ascii="宋体" w:hAnsi="宋体" w:eastAsia="宋体" w:cs="宋体"/>
                <w:bCs/>
                <w:color w:val="auto"/>
                <w:kern w:val="0"/>
                <w:szCs w:val="21"/>
              </w:rPr>
            </w:pPr>
            <w:r>
              <w:rPr>
                <w:rFonts w:hint="eastAsia" w:ascii="宋体" w:hAnsi="宋体" w:eastAsia="宋体" w:cs="宋体"/>
                <w:bCs/>
                <w:color w:val="auto"/>
                <w:kern w:val="0"/>
                <w:szCs w:val="21"/>
              </w:rPr>
              <w:t>焊工</w:t>
            </w:r>
          </w:p>
        </w:tc>
        <w:tc>
          <w:tcPr>
            <w:tcW w:w="433" w:type="pct"/>
            <w:tcBorders>
              <w:top w:val="single" w:color="000000" w:sz="4" w:space="0"/>
              <w:left w:val="nil"/>
              <w:bottom w:val="single" w:color="000000" w:sz="4" w:space="0"/>
              <w:right w:val="single" w:color="000000" w:sz="4" w:space="0"/>
            </w:tcBorders>
            <w:vAlign w:val="center"/>
          </w:tcPr>
          <w:p w14:paraId="7C6AA7F3">
            <w:pPr>
              <w:autoSpaceDE w:val="0"/>
              <w:autoSpaceDN w:val="0"/>
              <w:adjustRightInd w:val="0"/>
              <w:jc w:val="center"/>
              <w:rPr>
                <w:rFonts w:ascii="宋体" w:hAnsi="宋体" w:eastAsia="宋体" w:cs="宋体"/>
                <w:color w:val="auto"/>
                <w:kern w:val="0"/>
                <w:szCs w:val="21"/>
              </w:rPr>
            </w:pPr>
            <w:r>
              <w:rPr>
                <w:rFonts w:hint="eastAsia" w:hAnsi="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22BA121D">
            <w:pPr>
              <w:autoSpaceDE w:val="0"/>
              <w:autoSpaceDN w:val="0"/>
              <w:adjustRightInd w:val="0"/>
              <w:jc w:val="left"/>
              <w:rPr>
                <w:rFonts w:ascii="宋体" w:hAnsi="宋体" w:eastAsia="宋体" w:cs="宋体"/>
                <w:bCs/>
                <w:color w:val="auto"/>
                <w:kern w:val="0"/>
                <w:szCs w:val="21"/>
              </w:rPr>
            </w:pPr>
            <w:r>
              <w:rPr>
                <w:rFonts w:hint="eastAsia"/>
                <w:color w:val="auto"/>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57559E40">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须提供人员证书及劳动合同（或劳务合同）复印件</w:t>
            </w:r>
          </w:p>
        </w:tc>
      </w:tr>
      <w:tr w14:paraId="3115569A">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75460C33">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674" w:type="pct"/>
            <w:tcBorders>
              <w:top w:val="single" w:color="000000" w:sz="4" w:space="0"/>
              <w:left w:val="nil"/>
              <w:bottom w:val="single" w:color="000000" w:sz="4" w:space="0"/>
              <w:right w:val="single" w:color="000000" w:sz="4" w:space="0"/>
            </w:tcBorders>
            <w:vAlign w:val="center"/>
          </w:tcPr>
          <w:p w14:paraId="1B4EF7F7">
            <w:pPr>
              <w:jc w:val="center"/>
              <w:rPr>
                <w:rFonts w:eastAsia="宋体"/>
                <w:color w:val="auto"/>
              </w:rPr>
            </w:pPr>
            <w:r>
              <w:rPr>
                <w:rFonts w:hint="eastAsia" w:ascii="宋体" w:hAnsi="宋体" w:eastAsia="宋体" w:cs="Times New Roman"/>
                <w:bCs/>
                <w:color w:val="auto"/>
                <w:kern w:val="0"/>
                <w:szCs w:val="21"/>
              </w:rPr>
              <w:t>机电设备维修</w:t>
            </w:r>
            <w:r>
              <w:rPr>
                <w:rFonts w:ascii="宋体" w:hAnsi="宋体" w:eastAsia="宋体" w:cs="Times New Roman"/>
                <w:bCs/>
                <w:color w:val="auto"/>
                <w:kern w:val="0"/>
                <w:szCs w:val="21"/>
              </w:rPr>
              <w:t>作业人员</w:t>
            </w:r>
          </w:p>
        </w:tc>
        <w:tc>
          <w:tcPr>
            <w:tcW w:w="433" w:type="pct"/>
            <w:tcBorders>
              <w:top w:val="single" w:color="000000" w:sz="4" w:space="0"/>
              <w:left w:val="nil"/>
              <w:bottom w:val="single" w:color="000000" w:sz="4" w:space="0"/>
              <w:right w:val="single" w:color="000000" w:sz="4" w:space="0"/>
            </w:tcBorders>
            <w:vAlign w:val="center"/>
          </w:tcPr>
          <w:p w14:paraId="3F8B86E3">
            <w:pPr>
              <w:autoSpaceDE w:val="0"/>
              <w:autoSpaceDN w:val="0"/>
              <w:adjustRightInd w:val="0"/>
              <w:jc w:val="center"/>
              <w:rPr>
                <w:rFonts w:ascii="宋体" w:hAnsi="宋体" w:eastAsia="宋体" w:cs="宋体"/>
                <w:color w:val="auto"/>
                <w:kern w:val="0"/>
                <w:szCs w:val="21"/>
              </w:rPr>
            </w:pPr>
            <w:r>
              <w:rPr>
                <w:rFonts w:hint="eastAsia" w:hAnsi="宋体" w:cs="宋体"/>
                <w:color w:val="auto"/>
                <w:kern w:val="0"/>
                <w:szCs w:val="21"/>
              </w:rPr>
              <w:t>6</w:t>
            </w:r>
          </w:p>
        </w:tc>
        <w:tc>
          <w:tcPr>
            <w:tcW w:w="1874" w:type="pct"/>
            <w:tcBorders>
              <w:top w:val="single" w:color="000000" w:sz="4" w:space="0"/>
              <w:left w:val="nil"/>
              <w:bottom w:val="single" w:color="000000" w:sz="4" w:space="0"/>
              <w:right w:val="single" w:color="000000" w:sz="4" w:space="0"/>
            </w:tcBorders>
            <w:vAlign w:val="center"/>
          </w:tcPr>
          <w:p w14:paraId="66C2893B">
            <w:pPr>
              <w:autoSpaceDE w:val="0"/>
              <w:autoSpaceDN w:val="0"/>
              <w:adjustRightInd w:val="0"/>
              <w:jc w:val="left"/>
              <w:rPr>
                <w:rFonts w:ascii="宋体" w:hAnsi="宋体" w:eastAsia="宋体" w:cs="宋体"/>
                <w:bCs/>
                <w:color w:val="auto"/>
                <w:kern w:val="0"/>
                <w:szCs w:val="21"/>
              </w:rPr>
            </w:pPr>
            <w:r>
              <w:rPr>
                <w:rFonts w:hint="eastAsia" w:ascii="宋体" w:hAnsi="宋体" w:eastAsia="宋体" w:cs="宋体"/>
                <w:color w:val="auto"/>
                <w:kern w:val="0"/>
                <w:szCs w:val="21"/>
              </w:rPr>
              <w:t>身体健康，</w:t>
            </w:r>
            <w:r>
              <w:rPr>
                <w:rFonts w:hint="eastAsia" w:hAnsi="宋体" w:cs="楷体"/>
                <w:bCs/>
                <w:color w:val="auto"/>
                <w:szCs w:val="21"/>
              </w:rPr>
              <w:t>具备相应的水泵、格栅机、闸门、管道维修的专业知识及技术水平。</w:t>
            </w:r>
          </w:p>
        </w:tc>
        <w:tc>
          <w:tcPr>
            <w:tcW w:w="1684" w:type="pct"/>
            <w:tcBorders>
              <w:top w:val="single" w:color="000000" w:sz="4" w:space="0"/>
              <w:left w:val="nil"/>
              <w:bottom w:val="single" w:color="000000" w:sz="4" w:space="0"/>
              <w:right w:val="single" w:color="000000" w:sz="4" w:space="0"/>
            </w:tcBorders>
            <w:vAlign w:val="center"/>
          </w:tcPr>
          <w:p w14:paraId="5017834F">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提供劳动合同（或劳务合同）</w:t>
            </w:r>
          </w:p>
        </w:tc>
      </w:tr>
      <w:tr w14:paraId="070403C6">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1AA810D0">
            <w:pPr>
              <w:autoSpaceDE w:val="0"/>
              <w:autoSpaceDN w:val="0"/>
              <w:adjustRightInd w:val="0"/>
              <w:jc w:val="center"/>
              <w:rPr>
                <w:rFonts w:ascii="宋体" w:hAnsi="宋体" w:eastAsia="宋体" w:cs="宋体"/>
                <w:color w:val="auto"/>
                <w:kern w:val="0"/>
                <w:szCs w:val="21"/>
              </w:rPr>
            </w:pPr>
            <w:r>
              <w:rPr>
                <w:rFonts w:hint="eastAsia" w:hAnsi="宋体" w:cs="Times New Roman"/>
                <w:bCs/>
                <w:color w:val="auto"/>
                <w:kern w:val="0"/>
                <w:szCs w:val="21"/>
              </w:rPr>
              <w:t>9</w:t>
            </w:r>
          </w:p>
        </w:tc>
        <w:tc>
          <w:tcPr>
            <w:tcW w:w="674" w:type="pct"/>
            <w:tcBorders>
              <w:top w:val="single" w:color="000000" w:sz="4" w:space="0"/>
              <w:left w:val="nil"/>
              <w:bottom w:val="single" w:color="000000" w:sz="4" w:space="0"/>
              <w:right w:val="single" w:color="000000" w:sz="4" w:space="0"/>
            </w:tcBorders>
            <w:vAlign w:val="center"/>
          </w:tcPr>
          <w:p w14:paraId="3C99BE40">
            <w:pPr>
              <w:autoSpaceDE w:val="0"/>
              <w:autoSpaceDN w:val="0"/>
              <w:adjustRightInd w:val="0"/>
              <w:jc w:val="center"/>
              <w:rPr>
                <w:rFonts w:ascii="宋体" w:hAnsi="宋体" w:eastAsia="宋体" w:cs="Times New Roman"/>
                <w:bCs/>
                <w:color w:val="auto"/>
                <w:kern w:val="0"/>
                <w:szCs w:val="21"/>
              </w:rPr>
            </w:pPr>
            <w:r>
              <w:rPr>
                <w:rFonts w:hint="eastAsia" w:ascii="宋体" w:hAnsi="宋体" w:eastAsia="宋体" w:cs="Times New Roman"/>
                <w:bCs/>
                <w:color w:val="auto"/>
                <w:kern w:val="0"/>
                <w:szCs w:val="21"/>
              </w:rPr>
              <w:t>潜水员</w:t>
            </w:r>
          </w:p>
        </w:tc>
        <w:tc>
          <w:tcPr>
            <w:tcW w:w="433" w:type="pct"/>
            <w:tcBorders>
              <w:top w:val="single" w:color="000000" w:sz="4" w:space="0"/>
              <w:left w:val="nil"/>
              <w:bottom w:val="single" w:color="000000" w:sz="4" w:space="0"/>
              <w:right w:val="single" w:color="000000" w:sz="4" w:space="0"/>
            </w:tcBorders>
            <w:vAlign w:val="center"/>
          </w:tcPr>
          <w:p w14:paraId="71246A0C">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1D055588">
            <w:pPr>
              <w:autoSpaceDE w:val="0"/>
              <w:autoSpaceDN w:val="0"/>
              <w:adjustRightInd w:val="0"/>
              <w:jc w:val="left"/>
              <w:rPr>
                <w:rFonts w:ascii="宋体" w:hAnsi="宋体" w:eastAsia="宋体" w:cs="宋体"/>
                <w:color w:val="auto"/>
                <w:kern w:val="0"/>
                <w:szCs w:val="21"/>
              </w:rPr>
            </w:pPr>
            <w:r>
              <w:rPr>
                <w:rFonts w:hint="eastAsia" w:ascii="宋体" w:hAnsi="宋体" w:eastAsia="宋体" w:cs="宋体"/>
                <w:color w:val="auto"/>
                <w:kern w:val="0"/>
                <w:szCs w:val="21"/>
              </w:rPr>
              <w:t>具备中国潜水打捞行业协会或其他</w:t>
            </w:r>
            <w:r>
              <w:rPr>
                <w:rFonts w:hint="eastAsia" w:ascii="宋体" w:hAnsi="宋体" w:eastAsia="宋体" w:cs="宋体"/>
                <w:bCs/>
                <w:color w:val="auto"/>
                <w:kern w:val="0"/>
                <w:szCs w:val="21"/>
              </w:rPr>
              <w:t>行业主管部门颁发的潜水员证书</w:t>
            </w:r>
          </w:p>
        </w:tc>
        <w:tc>
          <w:tcPr>
            <w:tcW w:w="1684" w:type="pct"/>
            <w:tcBorders>
              <w:top w:val="single" w:color="000000" w:sz="4" w:space="0"/>
              <w:left w:val="nil"/>
              <w:bottom w:val="single" w:color="000000" w:sz="4" w:space="0"/>
              <w:right w:val="single" w:color="000000" w:sz="4" w:space="0"/>
            </w:tcBorders>
            <w:vAlign w:val="center"/>
          </w:tcPr>
          <w:p w14:paraId="70AF0FF4">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bCs/>
                <w:color w:val="auto"/>
                <w:kern w:val="0"/>
                <w:szCs w:val="21"/>
              </w:rPr>
              <w:t>须提供人员证书及劳动合同（或劳务合同）复印件</w:t>
            </w:r>
          </w:p>
        </w:tc>
      </w:tr>
    </w:tbl>
    <w:p w14:paraId="4011676C">
      <w:pPr>
        <w:pStyle w:val="129"/>
        <w:numPr>
          <w:ilvl w:val="255"/>
          <w:numId w:val="0"/>
        </w:numPr>
        <w:spacing w:line="360" w:lineRule="auto"/>
        <w:ind w:firstLine="422"/>
        <w:rPr>
          <w:rFonts w:ascii="宋体" w:hAnsi="宋体" w:eastAsia="宋体" w:cs="宋体"/>
          <w:b/>
          <w:bCs/>
          <w:color w:val="auto"/>
          <w:szCs w:val="21"/>
        </w:rPr>
      </w:pPr>
    </w:p>
    <w:p w14:paraId="76B95F51">
      <w:pPr>
        <w:pStyle w:val="129"/>
        <w:numPr>
          <w:ilvl w:val="0"/>
          <w:numId w:val="5"/>
        </w:numPr>
        <w:spacing w:line="360" w:lineRule="auto"/>
        <w:ind w:firstLine="422"/>
        <w:rPr>
          <w:rFonts w:ascii="宋体" w:hAnsi="宋体" w:eastAsia="宋体" w:cs="宋体"/>
          <w:b/>
          <w:bCs/>
          <w:color w:val="auto"/>
          <w:szCs w:val="21"/>
        </w:rPr>
      </w:pPr>
      <w:r>
        <w:rPr>
          <w:rFonts w:hint="eastAsia" w:ascii="宋体" w:hAnsi="宋体" w:eastAsia="宋体" w:cs="宋体"/>
          <w:b/>
          <w:bCs/>
          <w:color w:val="auto"/>
          <w:szCs w:val="21"/>
        </w:rPr>
        <w:t>从事有限空间作业的主要管理人员（指现场负责人）、监护人员（指安全员）及作业人员（含高低压电工、焊工、机电设备维修人员、潜水员）须经市或省安全生产协会等相应资质的机构培训考核后持证上岗。</w:t>
      </w:r>
    </w:p>
    <w:p w14:paraId="408A9266">
      <w:pPr>
        <w:pStyle w:val="129"/>
        <w:numPr>
          <w:ilvl w:val="0"/>
          <w:numId w:val="5"/>
        </w:numPr>
        <w:spacing w:line="360" w:lineRule="auto"/>
        <w:ind w:firstLine="422"/>
        <w:rPr>
          <w:rFonts w:ascii="宋体" w:hAnsi="宋体" w:eastAsia="宋体" w:cs="宋体"/>
          <w:b/>
          <w:bCs/>
          <w:color w:val="auto"/>
          <w:szCs w:val="21"/>
        </w:rPr>
      </w:pPr>
      <w:r>
        <w:rPr>
          <w:rFonts w:hint="eastAsia" w:ascii="宋体" w:hAnsi="宋体" w:eastAsia="宋体" w:cs="宋体"/>
          <w:b/>
          <w:bCs/>
          <w:color w:val="auto"/>
          <w:szCs w:val="21"/>
        </w:rPr>
        <w:t>从事潜水作业的作业人员（指潜水员）须持有中国潜水打捞行业协会或其他行业主管部门颁发的证书，经水务集团管网有限公司培训考核合格后方可入场作业。</w:t>
      </w:r>
    </w:p>
    <w:p w14:paraId="1F1F2328">
      <w:pPr>
        <w:pStyle w:val="129"/>
        <w:spacing w:line="360" w:lineRule="auto"/>
        <w:ind w:firstLine="422"/>
        <w:rPr>
          <w:rFonts w:ascii="宋体" w:hAnsi="宋体" w:eastAsia="宋体" w:cs="宋体"/>
          <w:b/>
          <w:bCs/>
          <w:color w:val="auto"/>
          <w:szCs w:val="21"/>
        </w:rPr>
      </w:pPr>
      <w:r>
        <w:rPr>
          <w:rFonts w:hint="eastAsia" w:ascii="宋体" w:hAnsi="宋体" w:eastAsia="宋体" w:cs="宋体"/>
          <w:b/>
          <w:bCs/>
          <w:color w:val="auto"/>
          <w:szCs w:val="21"/>
        </w:rPr>
        <w:t>4. 投标人需具备相应的设备维修、物质存储条件，具有配套齐全的专业维修工器具，能开展大型潜污泵、格栅机、闸门等机电设备维修服务业务。</w:t>
      </w:r>
    </w:p>
    <w:p w14:paraId="08946FAE">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5. 现场负责人在单项项目实施期间必须全程驻场监督。管理人员在合同期间不得随意更换，如确需更换的，应书面向招标人申请，并征得招标人书面同意，方可更换。现场负责人及安全管理人员为核心人员，必须接受招标人相关机电设备维修作业安全知识、风险识别、有限空间作业等培训及考核。</w:t>
      </w:r>
    </w:p>
    <w:p w14:paraId="418D17E3">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6. 投标人派出的机电设备维修服务人员应具备相应的专业知识及技术水平，熟悉本服务项目设施和设备规格、技术指标及相关操作，有足够能力完成个单项项目的机电设备维修服务工作；投标人派出的作业人员必须持证上岗。</w:t>
      </w:r>
    </w:p>
    <w:p w14:paraId="5CDA49B6">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7. 投标人应定期组织其所有服务人员参加相关安全培训（每三个月一次）、职业健康体检（每年一次），为其购买人身意外伤害保险（最低保额不低于100万元）。</w:t>
      </w:r>
    </w:p>
    <w:p w14:paraId="3D4ABAB0">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8. 投标人应按要求为本项目购买安装工程一切险（根据工种定保险金额，最低保额不低于100万元），并在中标通知书发出之日一个月内（且在作业前）将相关资料报送招标人备案。如发生工伤事故，中标人自行完成保险理赔相关工作，超出赔偿的金额由中标人自行承担，招标人不承担任何赔偿责任，中标人不得以任何理由与招标人发生纠纷。</w:t>
      </w:r>
    </w:p>
    <w:p w14:paraId="76E8B72B">
      <w:p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9.</w:t>
      </w:r>
      <w:r>
        <w:rPr>
          <w:rFonts w:ascii="宋体" w:hAnsi="宋体" w:eastAsia="宋体" w:cs="Times New Roman"/>
          <w:color w:val="auto"/>
          <w:kern w:val="0"/>
          <w:szCs w:val="21"/>
        </w:rPr>
        <w:t>本项目实行作业人员实名备案制，中标人需于合同签订后5日内将项目负责人、现场负责人、安全员、造价员、资料员及</w:t>
      </w:r>
      <w:r>
        <w:rPr>
          <w:rFonts w:hint="eastAsia" w:ascii="宋体" w:hAnsi="宋体" w:eastAsia="宋体" w:cs="Times New Roman"/>
          <w:color w:val="auto"/>
          <w:kern w:val="0"/>
          <w:szCs w:val="21"/>
        </w:rPr>
        <w:t>投标文件中承诺配置的人员</w:t>
      </w:r>
      <w:r>
        <w:rPr>
          <w:rFonts w:ascii="宋体" w:hAnsi="宋体" w:eastAsia="宋体" w:cs="Times New Roman"/>
          <w:color w:val="auto"/>
          <w:kern w:val="0"/>
          <w:szCs w:val="21"/>
        </w:rPr>
        <w:t>相关资料报送至招标人</w:t>
      </w:r>
      <w:r>
        <w:rPr>
          <w:rFonts w:hint="eastAsia" w:ascii="宋体" w:hAnsi="宋体" w:eastAsia="宋体" w:cs="Times New Roman"/>
          <w:color w:val="auto"/>
          <w:szCs w:val="21"/>
        </w:rPr>
        <w:t>以及</w:t>
      </w:r>
      <w:r>
        <w:rPr>
          <w:rFonts w:hint="eastAsia" w:ascii="宋体" w:hAnsi="宋体" w:eastAsia="宋体" w:cs="Times New Roman"/>
          <w:bCs/>
          <w:color w:val="auto"/>
          <w:szCs w:val="21"/>
        </w:rPr>
        <w:t>招标</w:t>
      </w:r>
      <w:r>
        <w:rPr>
          <w:rFonts w:ascii="宋体" w:hAnsi="宋体" w:eastAsia="宋体" w:cs="Times New Roman"/>
          <w:bCs/>
          <w:color w:val="auto"/>
          <w:szCs w:val="21"/>
        </w:rPr>
        <w:t>人委托的监督单位</w:t>
      </w:r>
      <w:r>
        <w:rPr>
          <w:rFonts w:ascii="宋体" w:hAnsi="宋体" w:eastAsia="宋体" w:cs="Times New Roman"/>
          <w:color w:val="auto"/>
          <w:kern w:val="0"/>
          <w:szCs w:val="21"/>
        </w:rPr>
        <w:t>备案</w:t>
      </w:r>
      <w:r>
        <w:rPr>
          <w:rFonts w:hint="eastAsia" w:ascii="宋体" w:hAnsi="宋体" w:eastAsia="宋体" w:cs="Times New Roman"/>
          <w:color w:val="auto"/>
          <w:kern w:val="0"/>
          <w:szCs w:val="21"/>
        </w:rPr>
        <w:t>，</w:t>
      </w:r>
      <w:r>
        <w:rPr>
          <w:rFonts w:ascii="宋体" w:hAnsi="宋体" w:eastAsia="宋体" w:cs="Times New Roman"/>
          <w:color w:val="auto"/>
          <w:kern w:val="0"/>
          <w:szCs w:val="21"/>
        </w:rPr>
        <w:t>合同签订后1个月内</w:t>
      </w:r>
      <w:r>
        <w:rPr>
          <w:rFonts w:hint="eastAsia" w:ascii="宋体" w:hAnsi="宋体" w:eastAsia="宋体" w:cs="Times New Roman"/>
          <w:color w:val="auto"/>
          <w:kern w:val="0"/>
          <w:szCs w:val="21"/>
        </w:rPr>
        <w:t>需首次更换的不进行处罚</w:t>
      </w:r>
      <w:r>
        <w:rPr>
          <w:rFonts w:ascii="宋体" w:hAnsi="宋体" w:eastAsia="宋体" w:cs="Times New Roman"/>
          <w:color w:val="auto"/>
          <w:kern w:val="0"/>
          <w:szCs w:val="21"/>
        </w:rPr>
        <w:t>，更换人员的执业资格、职称等不</w:t>
      </w:r>
      <w:r>
        <w:rPr>
          <w:rFonts w:hint="eastAsia" w:ascii="宋体" w:hAnsi="宋体" w:eastAsia="宋体" w:cs="Times New Roman"/>
          <w:color w:val="auto"/>
          <w:kern w:val="0"/>
          <w:szCs w:val="21"/>
        </w:rPr>
        <w:t>得</w:t>
      </w:r>
      <w:r>
        <w:rPr>
          <w:rFonts w:ascii="宋体" w:hAnsi="宋体" w:eastAsia="宋体" w:cs="Times New Roman"/>
          <w:color w:val="auto"/>
          <w:kern w:val="0"/>
          <w:szCs w:val="21"/>
        </w:rPr>
        <w:t>低于招标文件</w:t>
      </w:r>
      <w:r>
        <w:rPr>
          <w:rFonts w:hint="eastAsia" w:ascii="宋体" w:hAnsi="宋体" w:eastAsia="宋体" w:cs="Times New Roman"/>
          <w:color w:val="auto"/>
          <w:kern w:val="0"/>
          <w:szCs w:val="21"/>
        </w:rPr>
        <w:t>及投标文件的</w:t>
      </w:r>
      <w:r>
        <w:rPr>
          <w:rFonts w:ascii="宋体" w:hAnsi="宋体" w:eastAsia="宋体" w:cs="Times New Roman"/>
          <w:color w:val="auto"/>
          <w:kern w:val="0"/>
          <w:szCs w:val="21"/>
        </w:rPr>
        <w:t>要求，更换</w:t>
      </w:r>
      <w:r>
        <w:rPr>
          <w:rFonts w:hint="eastAsia" w:ascii="宋体" w:hAnsi="宋体" w:eastAsia="宋体" w:cs="Times New Roman"/>
          <w:color w:val="auto"/>
          <w:kern w:val="0"/>
          <w:szCs w:val="21"/>
        </w:rPr>
        <w:t>后的</w:t>
      </w:r>
      <w:r>
        <w:rPr>
          <w:rFonts w:ascii="宋体" w:hAnsi="宋体" w:eastAsia="宋体" w:cs="Times New Roman"/>
          <w:color w:val="auto"/>
          <w:kern w:val="0"/>
          <w:szCs w:val="21"/>
        </w:rPr>
        <w:t>人员须经</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考核</w:t>
      </w:r>
      <w:r>
        <w:rPr>
          <w:rFonts w:hint="eastAsia" w:ascii="宋体" w:hAnsi="宋体" w:eastAsia="宋体" w:cs="Times New Roman"/>
          <w:color w:val="auto"/>
          <w:kern w:val="0"/>
          <w:szCs w:val="21"/>
        </w:rPr>
        <w:t>通过</w:t>
      </w:r>
      <w:r>
        <w:rPr>
          <w:rFonts w:ascii="宋体" w:hAnsi="宋体" w:eastAsia="宋体" w:cs="Times New Roman"/>
          <w:color w:val="auto"/>
          <w:kern w:val="0"/>
          <w:szCs w:val="21"/>
        </w:rPr>
        <w:t>并批准</w:t>
      </w:r>
      <w:r>
        <w:rPr>
          <w:rFonts w:hint="eastAsia" w:ascii="宋体" w:hAnsi="宋体" w:eastAsia="宋体" w:cs="Times New Roman"/>
          <w:color w:val="auto"/>
          <w:kern w:val="0"/>
          <w:szCs w:val="21"/>
        </w:rPr>
        <w:t>同意。</w:t>
      </w:r>
    </w:p>
    <w:p w14:paraId="58C7E687">
      <w:p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10.因中标人原因（含因不满足招标人要求而被要求更换的）对项目负责人进行更换的（不含合同签订后1个月内首次更换），中标人第一次更换项目负责人须向招标人支付违约金人民币5000元/人、第二次更换项目负责人须向招标人支付违约金人民币10000元/人、第三次更换项目负责人须向招标人支付违约金人民币20000元/人；</w:t>
      </w:r>
      <w:r>
        <w:rPr>
          <w:rFonts w:ascii="宋体" w:hAnsi="宋体" w:eastAsia="宋体" w:cs="Times New Roman"/>
          <w:color w:val="auto"/>
          <w:kern w:val="0"/>
          <w:szCs w:val="21"/>
        </w:rPr>
        <w:t>招标人有权对项目负责人进行考核，如考核不合格的，中标人须于7日内更换项目负责人</w:t>
      </w:r>
      <w:r>
        <w:rPr>
          <w:rFonts w:hint="eastAsia" w:ascii="宋体" w:hAnsi="宋体" w:eastAsia="宋体" w:cs="Times New Roman"/>
          <w:color w:val="auto"/>
          <w:kern w:val="0"/>
          <w:szCs w:val="21"/>
        </w:rPr>
        <w:t>。项目负责人</w:t>
      </w:r>
      <w:r>
        <w:rPr>
          <w:rFonts w:ascii="宋体" w:hAnsi="宋体" w:eastAsia="宋体" w:cs="Times New Roman"/>
          <w:color w:val="auto"/>
          <w:kern w:val="0"/>
          <w:szCs w:val="21"/>
        </w:rPr>
        <w:t>更换</w:t>
      </w:r>
      <w:r>
        <w:rPr>
          <w:rFonts w:hint="eastAsia" w:ascii="宋体" w:hAnsi="宋体" w:eastAsia="宋体" w:cs="Times New Roman"/>
          <w:color w:val="auto"/>
          <w:kern w:val="0"/>
          <w:szCs w:val="21"/>
        </w:rPr>
        <w:t>原则上</w:t>
      </w:r>
      <w:r>
        <w:rPr>
          <w:rFonts w:ascii="宋体" w:hAnsi="宋体" w:eastAsia="宋体" w:cs="Times New Roman"/>
          <w:color w:val="auto"/>
          <w:kern w:val="0"/>
          <w:szCs w:val="21"/>
        </w:rPr>
        <w:t>不得超过3次（不含合同签订后1个月内首次更换），否则</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有权单方面解除服务合同并没收履约担保。</w:t>
      </w:r>
    </w:p>
    <w:p w14:paraId="07E3B744">
      <w:pPr>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11.因中标人原因（含因不满足招标人要求而被要求更换的）需对</w:t>
      </w:r>
      <w:r>
        <w:rPr>
          <w:rFonts w:ascii="宋体" w:hAnsi="宋体" w:eastAsia="宋体" w:cs="Times New Roman"/>
          <w:color w:val="auto"/>
          <w:kern w:val="0"/>
          <w:szCs w:val="21"/>
        </w:rPr>
        <w:t>现场负责人、安全员、造价员、资料员</w:t>
      </w:r>
      <w:r>
        <w:rPr>
          <w:rFonts w:hint="eastAsia" w:ascii="宋体" w:hAnsi="宋体" w:eastAsia="宋体" w:cs="Times New Roman"/>
          <w:color w:val="auto"/>
          <w:kern w:val="0"/>
          <w:szCs w:val="21"/>
        </w:rPr>
        <w:t>进行更换的（不含合同签订后1个月内首次更换），中标人第一次更换</w:t>
      </w:r>
      <w:r>
        <w:rPr>
          <w:rFonts w:ascii="宋体" w:hAnsi="宋体" w:eastAsia="宋体" w:cs="Times New Roman"/>
          <w:color w:val="auto"/>
          <w:kern w:val="0"/>
          <w:szCs w:val="21"/>
        </w:rPr>
        <w:t>现场负责人、安全员、造价员、资料员</w:t>
      </w:r>
      <w:r>
        <w:rPr>
          <w:rFonts w:hint="eastAsia" w:ascii="宋体" w:hAnsi="宋体" w:eastAsia="宋体" w:cs="Times New Roman"/>
          <w:color w:val="auto"/>
          <w:kern w:val="0"/>
          <w:szCs w:val="21"/>
        </w:rPr>
        <w:t>须向招标人支付违约金人民币1000元/人、第二次更换</w:t>
      </w:r>
      <w:r>
        <w:rPr>
          <w:rFonts w:ascii="宋体" w:hAnsi="宋体" w:eastAsia="宋体" w:cs="Times New Roman"/>
          <w:color w:val="auto"/>
          <w:kern w:val="0"/>
          <w:szCs w:val="21"/>
        </w:rPr>
        <w:t>现场负责人、安全员、造价员、资料员</w:t>
      </w:r>
      <w:r>
        <w:rPr>
          <w:rFonts w:hint="eastAsia" w:ascii="宋体" w:hAnsi="宋体" w:eastAsia="宋体" w:cs="Times New Roman"/>
          <w:color w:val="auto"/>
          <w:kern w:val="0"/>
          <w:szCs w:val="21"/>
        </w:rPr>
        <w:t>须向招标人支付违约金人民币2000元/人、第三次及后续更换</w:t>
      </w:r>
      <w:r>
        <w:rPr>
          <w:rFonts w:ascii="宋体" w:hAnsi="宋体" w:eastAsia="宋体" w:cs="Times New Roman"/>
          <w:color w:val="auto"/>
          <w:kern w:val="0"/>
          <w:szCs w:val="21"/>
        </w:rPr>
        <w:t>现场负责人、安全员、造价员、资料员</w:t>
      </w:r>
      <w:r>
        <w:rPr>
          <w:rFonts w:hint="eastAsia" w:ascii="宋体" w:hAnsi="宋体" w:eastAsia="宋体" w:cs="Times New Roman"/>
          <w:color w:val="auto"/>
          <w:kern w:val="0"/>
          <w:szCs w:val="21"/>
        </w:rPr>
        <w:t>须向招标人支付违约金人民币3000元/人。</w:t>
      </w:r>
      <w:r>
        <w:rPr>
          <w:rFonts w:ascii="宋体" w:hAnsi="宋体" w:eastAsia="宋体" w:cs="Times New Roman"/>
          <w:color w:val="auto"/>
          <w:kern w:val="0"/>
          <w:szCs w:val="21"/>
        </w:rPr>
        <w:t>招标人有权对</w:t>
      </w:r>
      <w:r>
        <w:rPr>
          <w:rFonts w:hint="eastAsia" w:ascii="宋体" w:hAnsi="宋体" w:eastAsia="宋体" w:cs="Times New Roman"/>
          <w:color w:val="auto"/>
          <w:kern w:val="0"/>
          <w:szCs w:val="21"/>
        </w:rPr>
        <w:t>更换后的人员</w:t>
      </w:r>
      <w:r>
        <w:rPr>
          <w:rFonts w:ascii="宋体" w:hAnsi="宋体" w:eastAsia="宋体" w:cs="Times New Roman"/>
          <w:color w:val="auto"/>
          <w:kern w:val="0"/>
          <w:szCs w:val="21"/>
        </w:rPr>
        <w:t>进行考核，如考核不合格的，中标人须于7日内</w:t>
      </w:r>
      <w:r>
        <w:rPr>
          <w:rFonts w:hint="eastAsia" w:ascii="宋体" w:hAnsi="宋体" w:eastAsia="宋体" w:cs="Times New Roman"/>
          <w:color w:val="auto"/>
          <w:kern w:val="0"/>
          <w:szCs w:val="21"/>
        </w:rPr>
        <w:t>再次</w:t>
      </w:r>
      <w:r>
        <w:rPr>
          <w:rFonts w:ascii="宋体" w:hAnsi="宋体" w:eastAsia="宋体" w:cs="Times New Roman"/>
          <w:color w:val="auto"/>
          <w:kern w:val="0"/>
          <w:szCs w:val="21"/>
        </w:rPr>
        <w:t>更换</w:t>
      </w:r>
      <w:r>
        <w:rPr>
          <w:rFonts w:hint="eastAsia" w:ascii="宋体" w:hAnsi="宋体" w:eastAsia="宋体" w:cs="Times New Roman"/>
          <w:color w:val="auto"/>
          <w:kern w:val="0"/>
          <w:szCs w:val="21"/>
        </w:rPr>
        <w:t>人员。同一岗位更换超过5次（不含合同签订后1个月内首次更换，包含考核不合格的更换）的，招标人有权暂停向中标人派单1个月，且后续同一岗位每更换2次，招标人有权暂停向中标人派单1个月。</w:t>
      </w:r>
    </w:p>
    <w:p w14:paraId="45FA6699">
      <w:p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12.经招标人发现中标人备案的人员已不在此项目开展实际工作的，应及时报备更换名单（更换人员处罚按3.6.12执行），没有及时报备更换名单的，每次发现罚款1000元/人。</w:t>
      </w:r>
    </w:p>
    <w:p w14:paraId="323ECC95">
      <w:p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13.</w:t>
      </w:r>
      <w:r>
        <w:rPr>
          <w:rFonts w:ascii="宋体" w:hAnsi="宋体" w:eastAsia="宋体" w:cs="Times New Roman"/>
          <w:color w:val="auto"/>
          <w:kern w:val="0"/>
          <w:szCs w:val="21"/>
        </w:rPr>
        <w:t>有下列情形之一的，中标人在收到招标人更换人员要求后7天内无条件完成符合中标人要求的相关人员更换：</w:t>
      </w:r>
    </w:p>
    <w:p w14:paraId="2E3B312B">
      <w:pPr>
        <w:autoSpaceDE w:val="0"/>
        <w:autoSpaceDN w:val="0"/>
        <w:adjustRightInd w:val="0"/>
        <w:spacing w:line="360" w:lineRule="auto"/>
        <w:ind w:firstLine="420" w:firstLineChars="200"/>
        <w:rPr>
          <w:rFonts w:ascii="宋体" w:hAnsi="宋体" w:eastAsia="宋体" w:cs="Times New Roman"/>
          <w:color w:val="auto"/>
          <w:kern w:val="0"/>
          <w:szCs w:val="21"/>
        </w:rPr>
      </w:pPr>
      <w:r>
        <w:rPr>
          <w:rFonts w:ascii="宋体" w:hAnsi="宋体" w:eastAsia="宋体" w:cs="Times New Roman"/>
          <w:color w:val="auto"/>
          <w:kern w:val="0"/>
          <w:szCs w:val="21"/>
        </w:rPr>
        <w:t>（1）严重过失行为的；</w:t>
      </w:r>
    </w:p>
    <w:p w14:paraId="2FDA0B93">
      <w:pPr>
        <w:autoSpaceDE w:val="0"/>
        <w:autoSpaceDN w:val="0"/>
        <w:adjustRightInd w:val="0"/>
        <w:spacing w:line="360" w:lineRule="auto"/>
        <w:ind w:firstLine="420" w:firstLineChars="200"/>
        <w:rPr>
          <w:rFonts w:ascii="宋体" w:hAnsi="宋体" w:eastAsia="宋体" w:cs="Times New Roman"/>
          <w:color w:val="auto"/>
          <w:kern w:val="0"/>
          <w:szCs w:val="21"/>
        </w:rPr>
      </w:pPr>
      <w:r>
        <w:rPr>
          <w:rFonts w:ascii="宋体" w:hAnsi="宋体" w:eastAsia="宋体" w:cs="Times New Roman"/>
          <w:color w:val="auto"/>
          <w:kern w:val="0"/>
          <w:szCs w:val="21"/>
        </w:rPr>
        <w:t>（2）有违法行为不能履行职责的；</w:t>
      </w:r>
    </w:p>
    <w:p w14:paraId="5AFACEC8">
      <w:pPr>
        <w:autoSpaceDE w:val="0"/>
        <w:autoSpaceDN w:val="0"/>
        <w:adjustRightInd w:val="0"/>
        <w:spacing w:line="360" w:lineRule="auto"/>
        <w:ind w:firstLine="420" w:firstLineChars="200"/>
        <w:rPr>
          <w:rFonts w:ascii="宋体" w:hAnsi="宋体" w:eastAsia="宋体" w:cs="Times New Roman"/>
          <w:color w:val="auto"/>
          <w:kern w:val="0"/>
          <w:szCs w:val="21"/>
        </w:rPr>
      </w:pPr>
      <w:r>
        <w:rPr>
          <w:rFonts w:ascii="宋体" w:hAnsi="宋体" w:eastAsia="宋体" w:cs="Times New Roman"/>
          <w:color w:val="auto"/>
          <w:kern w:val="0"/>
          <w:szCs w:val="21"/>
        </w:rPr>
        <w:t>（3）涉嫌犯罪的；</w:t>
      </w:r>
    </w:p>
    <w:p w14:paraId="62DBBA54">
      <w:pPr>
        <w:autoSpaceDE w:val="0"/>
        <w:autoSpaceDN w:val="0"/>
        <w:adjustRightInd w:val="0"/>
        <w:spacing w:line="360" w:lineRule="auto"/>
        <w:ind w:firstLine="420" w:firstLineChars="200"/>
        <w:rPr>
          <w:rFonts w:ascii="宋体" w:hAnsi="宋体" w:eastAsia="宋体" w:cs="Times New Roman"/>
          <w:color w:val="auto"/>
          <w:kern w:val="0"/>
          <w:szCs w:val="21"/>
        </w:rPr>
      </w:pPr>
      <w:r>
        <w:rPr>
          <w:rFonts w:ascii="宋体" w:hAnsi="宋体" w:eastAsia="宋体" w:cs="Times New Roman"/>
          <w:color w:val="auto"/>
          <w:kern w:val="0"/>
          <w:szCs w:val="21"/>
        </w:rPr>
        <w:t>（4）不能胜任岗位职责的；</w:t>
      </w:r>
    </w:p>
    <w:p w14:paraId="22880308">
      <w:pPr>
        <w:autoSpaceDE w:val="0"/>
        <w:autoSpaceDN w:val="0"/>
        <w:adjustRightInd w:val="0"/>
        <w:spacing w:line="360" w:lineRule="auto"/>
        <w:ind w:firstLine="420" w:firstLineChars="200"/>
        <w:rPr>
          <w:rFonts w:ascii="宋体" w:hAnsi="宋体" w:eastAsia="宋体" w:cs="Times New Roman"/>
          <w:color w:val="auto"/>
          <w:kern w:val="0"/>
          <w:szCs w:val="21"/>
        </w:rPr>
      </w:pPr>
      <w:r>
        <w:rPr>
          <w:rFonts w:ascii="宋体" w:hAnsi="宋体" w:eastAsia="宋体" w:cs="Times New Roman"/>
          <w:color w:val="auto"/>
          <w:kern w:val="0"/>
          <w:szCs w:val="21"/>
        </w:rPr>
        <w:t>（5）严重违反职业道德的；</w:t>
      </w:r>
    </w:p>
    <w:p w14:paraId="56E90D91">
      <w:pPr>
        <w:autoSpaceDE w:val="0"/>
        <w:autoSpaceDN w:val="0"/>
        <w:adjustRightInd w:val="0"/>
        <w:spacing w:line="360" w:lineRule="auto"/>
        <w:ind w:firstLine="420" w:firstLineChars="200"/>
        <w:rPr>
          <w:rFonts w:ascii="宋体" w:hAnsi="宋体" w:eastAsia="宋体" w:cs="Times New Roman"/>
          <w:color w:val="auto"/>
          <w:kern w:val="0"/>
          <w:szCs w:val="21"/>
        </w:rPr>
      </w:pPr>
      <w:r>
        <w:rPr>
          <w:rFonts w:ascii="宋体" w:hAnsi="宋体" w:eastAsia="宋体" w:cs="Times New Roman"/>
          <w:color w:val="auto"/>
          <w:kern w:val="0"/>
          <w:szCs w:val="21"/>
        </w:rPr>
        <w:t>（6）2次（含）不通过招标人组织的专项考核（如有）的；</w:t>
      </w:r>
    </w:p>
    <w:p w14:paraId="45BA4E57">
      <w:pPr>
        <w:numPr>
          <w:ilvl w:val="255"/>
          <w:numId w:val="0"/>
        </w:num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（7）</w:t>
      </w:r>
      <w:r>
        <w:rPr>
          <w:rFonts w:ascii="宋体" w:hAnsi="宋体" w:eastAsia="宋体" w:cs="Times New Roman"/>
          <w:color w:val="auto"/>
          <w:kern w:val="0"/>
          <w:szCs w:val="21"/>
        </w:rPr>
        <w:t>其他招标人认为应当更换人员的情形。</w:t>
      </w:r>
    </w:p>
    <w:p w14:paraId="175C3135">
      <w:pPr>
        <w:tabs>
          <w:tab w:val="left" w:pos="993"/>
        </w:tabs>
        <w:spacing w:line="360" w:lineRule="auto"/>
        <w:ind w:firstLine="420" w:firstLineChars="200"/>
        <w:contextualSpacing/>
        <w:rPr>
          <w:rFonts w:ascii="宋体" w:hAnsi="宋体" w:eastAsia="宋体" w:cs="Times New Roman"/>
          <w:bCs/>
          <w:color w:val="auto"/>
          <w:szCs w:val="21"/>
        </w:rPr>
      </w:pPr>
      <w:r>
        <w:rPr>
          <w:rFonts w:hint="eastAsia" w:ascii="宋体" w:hAnsi="宋体" w:eastAsia="宋体" w:cs="Times New Roman"/>
          <w:bCs/>
          <w:color w:val="auto"/>
          <w:kern w:val="0"/>
          <w:szCs w:val="21"/>
        </w:rPr>
        <w:t>14.本服务实行项目黑名单制，列入黑名单的人员不得再参与招标人发起任何项目。</w:t>
      </w:r>
    </w:p>
    <w:p w14:paraId="46D86A50">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15.在服务期内，招标人通过电子邮箱发送电子版项目承接确认协议书的方式通知投标人项目负责人，委派单项任务。</w:t>
      </w:r>
    </w:p>
    <w:p w14:paraId="77735168">
      <w:pPr>
        <w:pStyle w:val="129"/>
        <w:spacing w:line="360" w:lineRule="auto"/>
        <w:ind w:left="480" w:firstLine="0" w:firstLineChars="0"/>
        <w:rPr>
          <w:rFonts w:ascii="宋体" w:hAnsi="宋体" w:eastAsia="宋体" w:cs="宋体"/>
          <w:b/>
          <w:bCs/>
          <w:color w:val="auto"/>
          <w:szCs w:val="21"/>
        </w:rPr>
      </w:pPr>
      <w:r>
        <w:rPr>
          <w:rFonts w:hint="eastAsia" w:ascii="宋体" w:hAnsi="宋体" w:eastAsia="宋体" w:cs="宋体"/>
          <w:b/>
          <w:bCs/>
          <w:color w:val="auto"/>
          <w:szCs w:val="21"/>
        </w:rPr>
        <w:t>（七）执行标准</w:t>
      </w:r>
    </w:p>
    <w:p w14:paraId="1E06F48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本技术服务项目参照下列标准执行，如有更新版，投标人应按最新的版本执行。</w:t>
      </w:r>
    </w:p>
    <w:p w14:paraId="0BDF8855">
      <w:pPr>
        <w:spacing w:line="360" w:lineRule="auto"/>
        <w:ind w:firstLine="570"/>
        <w:rPr>
          <w:rFonts w:ascii="宋体" w:hAnsi="宋体" w:eastAsia="宋体" w:cs="宋体"/>
          <w:color w:val="auto"/>
          <w:szCs w:val="21"/>
        </w:rPr>
      </w:pPr>
      <w:r>
        <w:rPr>
          <w:rFonts w:hint="eastAsia" w:ascii="宋体" w:hAnsi="宋体" w:eastAsia="宋体" w:cs="宋体"/>
          <w:color w:val="auto"/>
          <w:szCs w:val="21"/>
        </w:rPr>
        <w:t>CJJ60-2011《城镇污水处理厂运行、维护及安全技术规程》</w:t>
      </w:r>
    </w:p>
    <w:p w14:paraId="197DDB94">
      <w:pPr>
        <w:spacing w:line="360" w:lineRule="auto"/>
        <w:ind w:firstLine="570"/>
        <w:rPr>
          <w:rFonts w:ascii="宋体" w:hAnsi="宋体" w:eastAsia="宋体" w:cs="宋体"/>
          <w:color w:val="auto"/>
          <w:szCs w:val="21"/>
        </w:rPr>
      </w:pPr>
      <w:r>
        <w:rPr>
          <w:rFonts w:hint="eastAsia" w:ascii="宋体" w:hAnsi="宋体" w:eastAsia="宋体" w:cs="宋体"/>
          <w:color w:val="auto"/>
          <w:szCs w:val="21"/>
        </w:rPr>
        <w:t>CJJ68-2016《城镇排水管渠与泵站运行、维护及安全技术规程》</w:t>
      </w:r>
    </w:p>
    <w:p w14:paraId="0C5D872C">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GB50334-2017《城镇污水处理厂工程质量验收规范》</w:t>
      </w:r>
    </w:p>
    <w:p w14:paraId="7B17649E">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JB/T7928-1999《通用阀门供货要求》</w:t>
      </w:r>
    </w:p>
    <w:p w14:paraId="4B7C0619">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GB/T12220-2005《通用阀门标志》</w:t>
      </w:r>
    </w:p>
    <w:p w14:paraId="7002BAEE">
      <w:pPr>
        <w:spacing w:line="360" w:lineRule="auto"/>
        <w:ind w:firstLine="570"/>
        <w:rPr>
          <w:rFonts w:ascii="宋体" w:hAnsi="宋体" w:eastAsia="宋体" w:cs="宋体"/>
          <w:color w:val="auto"/>
          <w:szCs w:val="21"/>
        </w:rPr>
      </w:pPr>
      <w:r>
        <w:rPr>
          <w:rFonts w:hint="eastAsia" w:ascii="宋体" w:hAnsi="宋体" w:eastAsia="宋体" w:cs="宋体"/>
          <w:color w:val="auto"/>
          <w:szCs w:val="21"/>
        </w:rPr>
        <w:t>CJ/T3006-1992《供水排水用铸铁阀门》</w:t>
      </w:r>
    </w:p>
    <w:p w14:paraId="33CA3219">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GB6067-2010《起重机械安全规程》</w:t>
      </w:r>
    </w:p>
    <w:p w14:paraId="6EF0C9D0">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GB4879-1999《防锈包装》</w:t>
      </w:r>
    </w:p>
    <w:p w14:paraId="267B1D83">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GB4942.2《低压设备外壳防护等级》</w:t>
      </w:r>
    </w:p>
    <w:p w14:paraId="5C27E243">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GBJ14《钢结构设计规范》</w:t>
      </w:r>
    </w:p>
    <w:p w14:paraId="011FFC9C">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GBJ205《钢结构工程施工及验收规范》</w:t>
      </w:r>
    </w:p>
    <w:p w14:paraId="432A9F19">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JB2839《人字形刷握及集电环》</w:t>
      </w:r>
    </w:p>
    <w:p w14:paraId="5526654A">
      <w:pPr>
        <w:spacing w:line="360" w:lineRule="auto"/>
        <w:ind w:firstLine="570"/>
        <w:rPr>
          <w:rFonts w:ascii="宋体" w:hAnsi="宋体" w:eastAsia="宋体" w:cs="宋体"/>
          <w:color w:val="auto"/>
          <w:szCs w:val="21"/>
        </w:rPr>
      </w:pPr>
      <w:r>
        <w:rPr>
          <w:rFonts w:hint="eastAsia" w:ascii="宋体" w:hAnsi="宋体" w:eastAsia="宋体" w:cs="宋体"/>
          <w:color w:val="auto"/>
          <w:szCs w:val="21"/>
        </w:rPr>
        <w:t>SYJ4007《涂装前钢材表面处理规范》</w:t>
      </w:r>
    </w:p>
    <w:p w14:paraId="3D0899B4">
      <w:pPr>
        <w:spacing w:line="360" w:lineRule="auto"/>
        <w:ind w:firstLine="570"/>
        <w:rPr>
          <w:rFonts w:ascii="宋体" w:hAnsi="宋体" w:eastAsia="宋体" w:cs="宋体"/>
          <w:color w:val="auto"/>
          <w:szCs w:val="21"/>
        </w:rPr>
      </w:pPr>
      <w:r>
        <w:rPr>
          <w:rFonts w:hint="eastAsia" w:ascii="宋体" w:hAnsi="宋体" w:eastAsia="宋体" w:cs="宋体"/>
          <w:color w:val="auto"/>
          <w:szCs w:val="21"/>
        </w:rPr>
        <w:t>CJ/T3035《城镇建设和建筑工业产品型号编制规则》</w:t>
      </w:r>
    </w:p>
    <w:p w14:paraId="0DFD75B8">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JB2759《机电产品包装通用技术条件》</w:t>
      </w:r>
    </w:p>
    <w:p w14:paraId="4F99D9D3">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GB3214《水泵流量的测定方法》</w:t>
      </w:r>
    </w:p>
    <w:p w14:paraId="5C466684">
      <w:pPr>
        <w:spacing w:line="360" w:lineRule="auto"/>
        <w:ind w:firstLine="570"/>
        <w:rPr>
          <w:rFonts w:ascii="宋体" w:hAnsi="宋体" w:eastAsia="宋体" w:cs="宋体"/>
          <w:color w:val="auto"/>
          <w:szCs w:val="21"/>
        </w:rPr>
      </w:pPr>
      <w:r>
        <w:rPr>
          <w:rFonts w:hint="eastAsia" w:ascii="宋体" w:hAnsi="宋体" w:eastAsia="宋体" w:cs="宋体"/>
          <w:color w:val="auto"/>
          <w:szCs w:val="21"/>
        </w:rPr>
        <w:t>YB3208《焊接件通用技术要求》</w:t>
      </w:r>
    </w:p>
    <w:p w14:paraId="13D7C141">
      <w:pPr>
        <w:spacing w:line="360" w:lineRule="auto"/>
        <w:ind w:firstLine="570"/>
        <w:rPr>
          <w:rFonts w:ascii="宋体" w:hAnsi="宋体" w:eastAsia="宋体" w:cs="宋体"/>
          <w:color w:val="auto"/>
          <w:szCs w:val="21"/>
        </w:rPr>
      </w:pPr>
      <w:r>
        <w:rPr>
          <w:rFonts w:hint="eastAsia" w:ascii="宋体" w:hAnsi="宋体" w:eastAsia="宋体" w:cs="宋体"/>
          <w:color w:val="auto"/>
          <w:szCs w:val="21"/>
        </w:rPr>
        <w:t>TJ231《机械设备安装工程施工及验收规范》</w:t>
      </w:r>
    </w:p>
    <w:p w14:paraId="571D9249">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GB4216.2 2.5《巴灰铸铁管法兰及垫片技术条件》</w:t>
      </w:r>
    </w:p>
    <w:p w14:paraId="2481D2C9">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GB4216.9《灰铸铁管法兰用石棉橡胶垫片尺寸》</w:t>
      </w:r>
    </w:p>
    <w:p w14:paraId="238041D0">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GB4216.10《灰铸铁管法兰及垫片技术条件》</w:t>
      </w:r>
    </w:p>
    <w:p w14:paraId="0A698568">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GB6414《铸件尺寸公差》</w:t>
      </w:r>
    </w:p>
    <w:p w14:paraId="0D2FAD24">
      <w:pPr>
        <w:spacing w:line="360" w:lineRule="auto"/>
        <w:ind w:firstLine="570"/>
        <w:rPr>
          <w:rFonts w:ascii="宋体" w:hAnsi="宋体" w:eastAsia="宋体" w:cs="宋体"/>
          <w:color w:val="auto"/>
          <w:szCs w:val="21"/>
        </w:rPr>
      </w:pPr>
      <w:r>
        <w:rPr>
          <w:rFonts w:hint="eastAsia" w:ascii="宋体" w:hAnsi="宋体" w:eastAsia="宋体" w:cs="宋体"/>
          <w:color w:val="auto"/>
          <w:szCs w:val="21"/>
        </w:rPr>
        <w:t>YB3211《涂漆通用技术条件》</w:t>
      </w:r>
    </w:p>
    <w:p w14:paraId="7912070E">
      <w:pPr>
        <w:spacing w:line="360" w:lineRule="auto"/>
        <w:ind w:firstLine="570"/>
        <w:rPr>
          <w:rFonts w:ascii="宋体" w:hAnsi="宋体" w:eastAsia="宋体" w:cs="宋体"/>
          <w:color w:val="auto"/>
          <w:szCs w:val="21"/>
        </w:rPr>
      </w:pPr>
      <w:r>
        <w:rPr>
          <w:rFonts w:hint="eastAsia" w:ascii="宋体" w:hAnsi="宋体" w:eastAsia="宋体" w:cs="宋体"/>
          <w:color w:val="auto"/>
          <w:szCs w:val="21"/>
        </w:rPr>
        <w:t>YB3214《包装通用技术条件》</w:t>
      </w:r>
    </w:p>
    <w:p w14:paraId="43A5A124">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GB1184《形状与位置公差，未注公差的规定》</w:t>
      </w:r>
    </w:p>
    <w:p w14:paraId="4423C210">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JB2855《机床涂漆技术条件》</w:t>
      </w:r>
    </w:p>
    <w:p w14:paraId="2AD8AD71">
      <w:pPr>
        <w:spacing w:line="360" w:lineRule="auto"/>
        <w:ind w:firstLine="570"/>
        <w:rPr>
          <w:rFonts w:ascii="宋体" w:hAnsi="宋体" w:eastAsia="宋体" w:cs="宋体"/>
          <w:color w:val="auto"/>
          <w:szCs w:val="21"/>
        </w:rPr>
      </w:pPr>
      <w:r>
        <w:rPr>
          <w:rFonts w:hint="eastAsia" w:ascii="宋体" w:hAnsi="宋体" w:eastAsia="宋体" w:cs="宋体"/>
          <w:color w:val="auto"/>
          <w:szCs w:val="21"/>
        </w:rPr>
        <w:t>SDZ014-85《防腐技术条件》</w:t>
      </w:r>
    </w:p>
    <w:p w14:paraId="5582826B">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GBn193《出口机械、电工、仪器仪表产品包装通用技术条件》</w:t>
      </w:r>
    </w:p>
    <w:p w14:paraId="0AD22FD2">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GB5226《机床电气设备通用技术条件》</w:t>
      </w:r>
    </w:p>
    <w:p w14:paraId="3C8142D0">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GB1804《公差与配合未注公差尺寸的极限偏差》</w:t>
      </w:r>
    </w:p>
    <w:p w14:paraId="45ECEFE4">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JB8《产品标牌》</w:t>
      </w:r>
    </w:p>
    <w:p w14:paraId="2DBBDEDD">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GB4720《自控设备》</w:t>
      </w:r>
    </w:p>
    <w:p w14:paraId="1B618061">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GB9089《严酷条件下户外场所电气设施一般防护要求》</w:t>
      </w:r>
    </w:p>
    <w:p w14:paraId="0686D6A5">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JJ12.3《建筑机械焊接件通用技术条件》</w:t>
      </w:r>
    </w:p>
    <w:p w14:paraId="7DE51D67">
      <w:pPr>
        <w:spacing w:line="360" w:lineRule="auto"/>
        <w:ind w:firstLine="570"/>
        <w:rPr>
          <w:rFonts w:ascii="宋体" w:hAnsi="宋体" w:eastAsia="宋体" w:cs="宋体"/>
          <w:color w:val="auto"/>
          <w:szCs w:val="21"/>
        </w:rPr>
      </w:pPr>
      <w:r>
        <w:rPr>
          <w:rFonts w:hint="eastAsia" w:ascii="宋体" w:hAnsi="宋体" w:eastAsia="宋体" w:cs="宋体"/>
          <w:color w:val="auto"/>
          <w:szCs w:val="21"/>
        </w:rPr>
        <w:t>CJ/T3035《城镇建设和建筑工业产品型号编制规则》</w:t>
      </w:r>
    </w:p>
    <w:p w14:paraId="59A5F1BA">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GB/T1176-2008《铸造铜合金技术要求》</w:t>
      </w:r>
    </w:p>
    <w:p w14:paraId="4E374968">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GB/T4942.1-2006《电机处壳防护等级》</w:t>
      </w:r>
    </w:p>
    <w:p w14:paraId="3A07F6A5">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GB/T13306-2011《标牌》</w:t>
      </w:r>
    </w:p>
    <w:p w14:paraId="5E8DE5F1">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GB/T13384-2008《机电产品包装通用技术条件》</w:t>
      </w:r>
    </w:p>
    <w:p w14:paraId="04BB2BC4">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GB755《旋转电机基本技术条件》</w:t>
      </w:r>
    </w:p>
    <w:p w14:paraId="1B8AB02F">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GB3216《离心泵、混流泵、轴流泵和旋涡泵试验方法》</w:t>
      </w:r>
    </w:p>
    <w:p w14:paraId="3295B478">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GB5013.2《额定电压450/750V 及以下橡皮绝缘软电缆》</w:t>
      </w:r>
    </w:p>
    <w:p w14:paraId="34393EAE">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GB9439《灰铸铁件》</w:t>
      </w:r>
    </w:p>
    <w:p w14:paraId="13265FF2">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GB1220《不锈钢棒》</w:t>
      </w:r>
    </w:p>
    <w:p w14:paraId="423B8C5F">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GB1348《球墨铸铁件》</w:t>
      </w:r>
    </w:p>
    <w:p w14:paraId="018500F7">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GB2556《一般用途管法兰密封面形状和尺寸》</w:t>
      </w:r>
    </w:p>
    <w:p w14:paraId="6682BF26">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GB2555《一般用途管法兰连接尺寸》</w:t>
      </w:r>
    </w:p>
    <w:p w14:paraId="40EBF038">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GB2828《逐批检查计数抽样程序及抽样表》</w:t>
      </w:r>
    </w:p>
    <w:p w14:paraId="366B6A5D">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GB/T12785《潜水电泵试验方法》</w:t>
      </w:r>
    </w:p>
    <w:p w14:paraId="51DC3957">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GB191《包装储运图标标志》</w:t>
      </w:r>
    </w:p>
    <w:p w14:paraId="0890AA5B">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GB/T22719.1-2008交流低压电机散嵌绕组匝间绝缘 第1部分：试验方法</w:t>
      </w:r>
    </w:p>
    <w:p w14:paraId="30E4202E">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GB/T22719.2-2008 交流低压电机散嵌绕组匝间绝缘 第2部分：试验限值</w:t>
      </w:r>
    </w:p>
    <w:p w14:paraId="3AB34440">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GB18613-2012《中小型三相异步电动机能效限值及能效等级》</w:t>
      </w:r>
    </w:p>
    <w:p w14:paraId="0A4E264B">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JB5803《污水污物潜水电泵技术条件》</w:t>
      </w:r>
    </w:p>
    <w:p w14:paraId="731FB2F5">
      <w:pPr>
        <w:spacing w:line="360" w:lineRule="auto"/>
        <w:ind w:firstLine="570"/>
        <w:rPr>
          <w:rFonts w:ascii="宋体" w:hAnsi="宋体" w:eastAsia="宋体" w:cs="宋体"/>
          <w:color w:val="auto"/>
          <w:szCs w:val="21"/>
        </w:rPr>
      </w:pPr>
      <w:r>
        <w:rPr>
          <w:rFonts w:hint="eastAsia" w:ascii="宋体" w:hAnsi="宋体" w:eastAsia="宋体" w:cs="宋体"/>
          <w:color w:val="auto"/>
          <w:szCs w:val="21"/>
        </w:rPr>
        <w:t>ISO1217:2009《容积式压缩机—验收试验》</w:t>
      </w:r>
    </w:p>
    <w:p w14:paraId="2221452F">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JISB8341-1999《容积式压缩机—试验和检查方法》</w:t>
      </w:r>
    </w:p>
    <w:p w14:paraId="7167F05E">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JB/T8941.1-1999《一般用途罗茨鼓风机技术条件》</w:t>
      </w:r>
    </w:p>
    <w:p w14:paraId="3B7D2D40">
      <w:pPr>
        <w:spacing w:line="360" w:lineRule="auto"/>
        <w:ind w:firstLine="570"/>
        <w:rPr>
          <w:rFonts w:ascii="宋体" w:hAnsi="宋体" w:eastAsia="宋体" w:cs="宋体"/>
          <w:color w:val="auto"/>
          <w:szCs w:val="21"/>
        </w:rPr>
      </w:pPr>
      <w:r>
        <w:rPr>
          <w:rFonts w:hint="eastAsia" w:ascii="宋体" w:hAnsi="宋体" w:eastAsia="宋体" w:cs="宋体"/>
          <w:color w:val="auto"/>
          <w:szCs w:val="21"/>
        </w:rPr>
        <w:t>JB/T8941.2-1999《一般用途罗茨鼓风机性能试验方法》</w:t>
      </w:r>
    </w:p>
    <w:p w14:paraId="4C3DC7B1">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GB12238-2008《法兰和对夹连接弹性密封蝶阀》</w:t>
      </w:r>
    </w:p>
    <w:p w14:paraId="7922AA2A">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GB/T13927-2008《工业阀门压力实验》</w:t>
      </w:r>
    </w:p>
    <w:p w14:paraId="41E6F76E">
      <w:pPr>
        <w:spacing w:line="360" w:lineRule="auto"/>
        <w:ind w:firstLine="570"/>
        <w:rPr>
          <w:rFonts w:ascii="宋体" w:hAnsi="宋体" w:eastAsia="宋体" w:cs="宋体"/>
          <w:color w:val="auto"/>
          <w:szCs w:val="21"/>
        </w:rPr>
      </w:pPr>
      <w:r>
        <w:rPr>
          <w:rFonts w:hint="eastAsia" w:ascii="宋体" w:hAnsi="宋体" w:eastAsia="宋体" w:cs="宋体"/>
          <w:color w:val="auto"/>
          <w:szCs w:val="21"/>
        </w:rPr>
        <w:t>GB12221-2005《金属阀门结构长度》</w:t>
      </w:r>
    </w:p>
    <w:p w14:paraId="54AF1FA3">
      <w:pPr>
        <w:spacing w:line="360" w:lineRule="auto"/>
        <w:ind w:firstLine="570"/>
        <w:rPr>
          <w:rFonts w:ascii="宋体" w:hAnsi="宋体" w:eastAsia="宋体" w:cs="宋体"/>
          <w:color w:val="auto"/>
          <w:szCs w:val="21"/>
        </w:rPr>
      </w:pPr>
      <w:r>
        <w:rPr>
          <w:rFonts w:hint="eastAsia" w:ascii="宋体" w:hAnsi="宋体" w:eastAsia="宋体" w:cs="宋体"/>
          <w:color w:val="auto"/>
          <w:szCs w:val="21"/>
        </w:rPr>
        <w:t>《应急管理部办公厅关于印发《有限空间作业安全指导手册》和4个专题系列折页的通知（应急厅函〔2020〕299号）》</w:t>
      </w:r>
    </w:p>
    <w:p w14:paraId="5D5D8089">
      <w:pPr>
        <w:spacing w:line="360" w:lineRule="auto"/>
        <w:ind w:firstLine="570"/>
        <w:rPr>
          <w:rFonts w:ascii="宋体" w:hAnsi="宋体" w:eastAsia="宋体" w:cs="宋体"/>
          <w:color w:val="auto"/>
          <w:szCs w:val="21"/>
        </w:rPr>
      </w:pPr>
      <w:r>
        <w:rPr>
          <w:rFonts w:hint="eastAsia" w:ascii="宋体" w:hAnsi="宋体" w:eastAsia="宋体" w:cs="宋体"/>
          <w:color w:val="auto"/>
          <w:szCs w:val="21"/>
        </w:rPr>
        <w:t>本项目的技术要求按上述标准执行，招标人招标文件（含公告、《管理办法》、任务通知单等）或未明确的技术标准，严格按上述标准执行，服务期内如果上述标准有更新，则按更新后的版本执行。</w:t>
      </w:r>
    </w:p>
    <w:p w14:paraId="6718FD2E">
      <w:pPr>
        <w:numPr>
          <w:ilvl w:val="0"/>
          <w:numId w:val="6"/>
        </w:numPr>
        <w:spacing w:line="400" w:lineRule="exact"/>
        <w:ind w:left="420" w:leftChars="200"/>
        <w:rPr>
          <w:rFonts w:ascii="宋体" w:hAnsi="宋体" w:eastAsia="宋体" w:cs="宋体"/>
          <w:b/>
          <w:bCs/>
          <w:color w:val="auto"/>
          <w:kern w:val="44"/>
          <w:szCs w:val="21"/>
        </w:rPr>
      </w:pPr>
      <w:r>
        <w:rPr>
          <w:rFonts w:hint="eastAsia" w:ascii="宋体" w:hAnsi="宋体" w:eastAsia="宋体" w:cs="宋体"/>
          <w:b/>
          <w:bCs/>
          <w:color w:val="auto"/>
          <w:kern w:val="44"/>
          <w:szCs w:val="21"/>
        </w:rPr>
        <w:t>验收</w:t>
      </w:r>
    </w:p>
    <w:p w14:paraId="44B5BFC0">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1.验收标准：按照单个项目用户需求书技术要求及上述“执行标准”、委派项目专项技术要求等进行验收。</w:t>
      </w:r>
    </w:p>
    <w:p w14:paraId="0B8A1420">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 xml:space="preserve">2.验收合格后，验收报告、工程量清单由投标人、监理单位（如有）和招标人各方共同签字确认。验收不合格的，投标人应在招标人限定期限内完成整改，整改完成后通知招标人重新组织验收；投标人未能在限期内完成整改（含拒绝整改情形）或经整改仍不符合招标人要求的，招标人有权委托有资质的第三方进行处理，因此发生的费用由投标人承担，如因此导致招标人损失的，投标人还应承担全部赔偿责任。 </w:t>
      </w:r>
    </w:p>
    <w:p w14:paraId="4B32CE44">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3.投标人在服务过程中应按进度情况及时整理资料，项目完工后30个自然日内将合格的竣工和结算资料移交给招标人办理结算。</w:t>
      </w:r>
    </w:p>
    <w:p w14:paraId="771FDAD8">
      <w:pPr>
        <w:pStyle w:val="129"/>
        <w:spacing w:line="360" w:lineRule="auto"/>
        <w:ind w:left="422" w:firstLine="0" w:firstLineChars="0"/>
        <w:rPr>
          <w:rFonts w:ascii="宋体" w:hAnsi="宋体" w:eastAsia="宋体" w:cs="宋体"/>
          <w:b/>
          <w:color w:val="auto"/>
          <w:szCs w:val="21"/>
        </w:rPr>
      </w:pPr>
    </w:p>
    <w:p w14:paraId="1C1B9000">
      <w:pPr>
        <w:pStyle w:val="129"/>
        <w:spacing w:line="360" w:lineRule="auto"/>
        <w:ind w:left="422" w:firstLine="0" w:firstLineChars="0"/>
        <w:rPr>
          <w:rFonts w:ascii="宋体" w:hAnsi="宋体" w:eastAsia="宋体" w:cs="宋体"/>
          <w:b/>
          <w:color w:val="auto"/>
          <w:szCs w:val="21"/>
        </w:rPr>
      </w:pPr>
      <w:r>
        <w:rPr>
          <w:rFonts w:hint="eastAsia" w:ascii="宋体" w:hAnsi="宋体" w:eastAsia="宋体" w:cs="宋体"/>
          <w:b/>
          <w:color w:val="auto"/>
          <w:szCs w:val="21"/>
        </w:rPr>
        <w:t>五、质保期</w:t>
      </w:r>
    </w:p>
    <w:p w14:paraId="68700978">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1.质保期：除单项项目特别约定外，维修、技改等技术服务质保期一般在12个月（含）以内（具体以项目承接确认协议书要求为准），自各单项项目自验收合格之日起计算。</w:t>
      </w:r>
    </w:p>
    <w:p w14:paraId="2D2826A6">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2.设备拆卸、运输等无实际工程内容的技术服务不设质保期。</w:t>
      </w:r>
    </w:p>
    <w:p w14:paraId="785F70EA">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质保期内，如所供零配件或维修技术服务发生故障，投标人应在接到招标人报修电话后2小时内予以响应，无偿承担一般设备故障维修，24小时内修复一般设备故障，48小时内不能维修的故障应及时以新零配件替换，48小时内必须排除一切故障（单个项目用户需求书或任务通知单中另有要求的，按照要求执行）。否则招标人将自行采取必要的措施，包括委托第三方技术服务单位进行相应的技术服务，由此产生的风险和费用应由投标人承担。招标人有权从投标人未支付费用中抵扣或启用履约保证金，投标人不得对此有异议。</w:t>
      </w:r>
    </w:p>
    <w:p w14:paraId="007BAD35">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4.质保期内，单个维修项目返修次数超出1次，如返修原因是投标人自身维修质量造成的，招标人有权对投标人进行罚款5000元；返修次数达到2次，扣除单项项目结算金额5%；返修次数达到3次，扣除单项项目结算金额8%；返修次数超过三次的，招标人有权直接停止投标人的承接业务资格。</w:t>
      </w:r>
    </w:p>
    <w:p w14:paraId="23B088D2">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5.</w:t>
      </w:r>
      <w:r>
        <w:rPr>
          <w:rFonts w:hint="eastAsia" w:ascii="宋体" w:hAnsi="宋体" w:eastAsia="宋体" w:cs="宋体"/>
          <w:color w:val="auto"/>
          <w:szCs w:val="21"/>
        </w:rPr>
        <w:t>质保期内如出现返修，如返修原因经证实是投标人自身维修质量造成的，则质保期按修复后调试合格之日起重新计算质保期；如返修原因被证实不是投标人自身维修质量造成的，由招标人承担设备故障鉴定来回运输费及拆机费、维修费，投标人不能拒绝或怠于修复。</w:t>
      </w:r>
    </w:p>
    <w:p w14:paraId="467DAD77">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6.维修报告（含返修）：设备维修出厂必须提供故障分析报告、维修报告、出厂检测报告。</w:t>
      </w:r>
    </w:p>
    <w:p w14:paraId="5E749704">
      <w:pPr>
        <w:spacing w:line="500" w:lineRule="exact"/>
        <w:ind w:firstLine="422" w:firstLineChars="200"/>
        <w:contextualSpacing/>
        <w:rPr>
          <w:rFonts w:ascii="宋体" w:hAnsi="宋体" w:eastAsia="宋体" w:cs="宋体"/>
          <w:b/>
          <w:color w:val="auto"/>
          <w:szCs w:val="21"/>
        </w:rPr>
      </w:pPr>
    </w:p>
    <w:p w14:paraId="39D26273">
      <w:pPr>
        <w:pStyle w:val="129"/>
        <w:spacing w:line="360" w:lineRule="auto"/>
        <w:ind w:left="420" w:leftChars="200" w:firstLine="0" w:firstLineChars="0"/>
        <w:rPr>
          <w:rFonts w:ascii="宋体" w:hAnsi="宋体" w:eastAsia="宋体" w:cs="宋体"/>
          <w:b/>
          <w:color w:val="auto"/>
          <w:szCs w:val="21"/>
        </w:rPr>
      </w:pPr>
      <w:r>
        <w:rPr>
          <w:rFonts w:hint="eastAsia" w:ascii="宋体" w:hAnsi="宋体" w:eastAsia="宋体" w:cs="宋体"/>
          <w:b/>
          <w:color w:val="auto"/>
          <w:szCs w:val="21"/>
        </w:rPr>
        <w:t>六、合同价（单项项目服务费）、结算及付款方式</w:t>
      </w:r>
    </w:p>
    <w:p w14:paraId="5717A221">
      <w:pPr>
        <w:tabs>
          <w:tab w:val="left" w:pos="360"/>
          <w:tab w:val="left" w:pos="1418"/>
          <w:tab w:val="left" w:pos="4725"/>
        </w:tabs>
        <w:spacing w:line="360" w:lineRule="auto"/>
        <w:ind w:firstLine="426" w:firstLineChars="202"/>
        <w:rPr>
          <w:rFonts w:ascii="宋体" w:hAnsi="宋体" w:eastAsia="宋体" w:cs="宋体"/>
          <w:b/>
          <w:color w:val="auto"/>
          <w:szCs w:val="21"/>
        </w:rPr>
      </w:pPr>
      <w:r>
        <w:rPr>
          <w:rFonts w:hint="eastAsia" w:ascii="宋体" w:hAnsi="宋体" w:eastAsia="宋体" w:cs="宋体"/>
          <w:b/>
          <w:color w:val="auto"/>
          <w:szCs w:val="21"/>
        </w:rPr>
        <w:t>1.本采购项目按单个技术服务项目进行结算、付款。</w:t>
      </w:r>
    </w:p>
    <w:p w14:paraId="40B3A959">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每个项目在实施完成经招标人（或下属子公司）验收合格后进行结算、付款。单项项目的承接以招标人（或下属子公司）承接确认协议书为准，招标人（或下属子公司）、投标人双方不再就单项项目签订单项合同，合同、</w:t>
      </w:r>
      <w:r>
        <w:rPr>
          <w:rFonts w:hint="eastAsia" w:ascii="宋体" w:hAnsi="宋体" w:eastAsia="宋体" w:cs="宋体"/>
          <w:color w:val="auto"/>
          <w:szCs w:val="21"/>
        </w:rPr>
        <w:t>项目承接确认协议书</w:t>
      </w:r>
      <w:r>
        <w:rPr>
          <w:rFonts w:hint="eastAsia" w:ascii="宋体" w:hAnsi="宋体" w:eastAsia="宋体" w:cs="宋体"/>
          <w:bCs/>
          <w:color w:val="auto"/>
          <w:szCs w:val="21"/>
        </w:rPr>
        <w:t>、单项项目用户需求书及现场工程量确认表、项目结算审核表等资料作为单项项目支付款项的依据（投标人请款时应提交作业前、作业中、作业后的现场照片，照片须为水印照片，并有对应的参照物）。每个单项项目在完成实施并经招标人（或下属子公司）及其委托的监理单位（如有）验收合格后进行结算、付款。</w:t>
      </w:r>
    </w:p>
    <w:p w14:paraId="4774A19C">
      <w:pPr>
        <w:tabs>
          <w:tab w:val="left" w:pos="360"/>
          <w:tab w:val="left" w:pos="1418"/>
          <w:tab w:val="left" w:pos="4725"/>
        </w:tabs>
        <w:spacing w:line="360" w:lineRule="auto"/>
        <w:ind w:firstLine="426" w:firstLineChars="202"/>
        <w:rPr>
          <w:rFonts w:ascii="宋体" w:hAnsi="宋体" w:eastAsia="宋体" w:cs="宋体"/>
          <w:b/>
          <w:color w:val="auto"/>
          <w:szCs w:val="21"/>
        </w:rPr>
      </w:pPr>
      <w:r>
        <w:rPr>
          <w:rFonts w:hint="eastAsia" w:ascii="宋体" w:hAnsi="宋体" w:eastAsia="宋体" w:cs="宋体"/>
          <w:b/>
          <w:color w:val="auto"/>
          <w:szCs w:val="21"/>
        </w:rPr>
        <w:t>2.单项项目服务费</w:t>
      </w:r>
    </w:p>
    <w:p w14:paraId="6068B530">
      <w:pPr>
        <w:numPr>
          <w:ilvl w:val="255"/>
          <w:numId w:val="0"/>
        </w:numPr>
        <w:tabs>
          <w:tab w:val="left" w:pos="360"/>
          <w:tab w:val="left" w:pos="1418"/>
          <w:tab w:val="left" w:pos="4725"/>
        </w:tabs>
        <w:spacing w:line="360" w:lineRule="auto"/>
        <w:ind w:firstLine="424" w:firstLineChars="202"/>
        <w:rPr>
          <w:rFonts w:ascii="宋体" w:hAnsi="宋体" w:eastAsia="宋体" w:cs="宋体"/>
          <w:color w:val="auto"/>
          <w:szCs w:val="21"/>
        </w:rPr>
      </w:pPr>
      <w:r>
        <w:rPr>
          <w:rFonts w:hint="eastAsia" w:ascii="宋体" w:hAnsi="宋体" w:eastAsia="宋体" w:cs="宋体"/>
          <w:bCs/>
          <w:color w:val="auto"/>
          <w:szCs w:val="21"/>
        </w:rPr>
        <w:t>（1）招标人（或下属子公司）发出单项项目承接确认协议书时，单项派单项目的暂定合同价=需求书预算工程量*综合单价*（1-固定下浮率5%）*（1+增值税税率）</w:t>
      </w:r>
      <w:r>
        <w:rPr>
          <w:rFonts w:hint="eastAsia" w:ascii="宋体" w:hAnsi="宋体" w:eastAsia="宋体" w:cs="宋体"/>
          <w:color w:val="auto"/>
          <w:szCs w:val="21"/>
        </w:rPr>
        <w:t>，其中综合单价为不含税全费用综合单价，该价格确定方式及先后顺序为：</w:t>
      </w:r>
    </w:p>
    <w:p w14:paraId="2BFBD246">
      <w:pPr>
        <w:numPr>
          <w:ilvl w:val="255"/>
          <w:numId w:val="0"/>
        </w:numPr>
        <w:tabs>
          <w:tab w:val="left" w:pos="360"/>
          <w:tab w:val="left" w:pos="1418"/>
          <w:tab w:val="left" w:pos="4725"/>
        </w:tabs>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①机电清单库有清单单价的，按机电清单库清单单价执行；</w:t>
      </w:r>
    </w:p>
    <w:p w14:paraId="76BE871E">
      <w:pPr>
        <w:numPr>
          <w:ilvl w:val="255"/>
          <w:numId w:val="0"/>
        </w:numPr>
        <w:tabs>
          <w:tab w:val="left" w:pos="360"/>
          <w:tab w:val="left" w:pos="1418"/>
          <w:tab w:val="left" w:pos="4725"/>
        </w:tabs>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②机电清单库无相关清单的但有类似清单单价的，按类似清单单价考虑；</w:t>
      </w:r>
    </w:p>
    <w:p w14:paraId="065272E0">
      <w:pPr>
        <w:tabs>
          <w:tab w:val="left" w:pos="360"/>
          <w:tab w:val="left" w:pos="1418"/>
          <w:tab w:val="left" w:pos="4725"/>
        </w:tabs>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③机电清单库无相关清单单价及无类似清单单价的，结合建设工程定额计价及市场价询价。</w:t>
      </w:r>
    </w:p>
    <w:p w14:paraId="240DC149">
      <w:pPr>
        <w:tabs>
          <w:tab w:val="left" w:pos="360"/>
          <w:tab w:val="left" w:pos="1418"/>
          <w:tab w:val="left" w:pos="4725"/>
        </w:tabs>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2）单项项目结算价=实际完成工程量*综合单价*（1-固定下浮率5%）*（1+中标人实际提供的增值税税率），其中综合单价为不含税全费用综合单价，结算单价按常用清单库内清单单价，常用清单库中没有价格的，按如下方式及先后顺序进行确定：</w:t>
      </w:r>
    </w:p>
    <w:p w14:paraId="3EBCD30E">
      <w:pPr>
        <w:tabs>
          <w:tab w:val="left" w:pos="360"/>
          <w:tab w:val="left" w:pos="1418"/>
          <w:tab w:val="left" w:pos="4725"/>
        </w:tabs>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①机电清单库无相关清单的但有类似清单单价的，按类似清单单价考虑；</w:t>
      </w:r>
    </w:p>
    <w:p w14:paraId="6CF98923">
      <w:pPr>
        <w:tabs>
          <w:tab w:val="left" w:pos="360"/>
          <w:tab w:val="left" w:pos="1418"/>
          <w:tab w:val="left" w:pos="4725"/>
        </w:tabs>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 xml:space="preserve">②机电清单库无相关清单单价及无类似清单单价的，结合建设工程定额进行套价，无定额套价的采用市场询价，由招标人、投标人双方各自在广材网、慧讯网等网站上进行询价，如双方所询价造成单项清单单价价差在招标人询价结果的15%以内的，以招标人询价结果为准；若单项清单单价价差在招标人询价结果的15%以外的，双方扩大询价范围协商确定综合单价。 </w:t>
      </w:r>
    </w:p>
    <w:p w14:paraId="3C0F07BD">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w:t>
      </w:r>
      <w:r>
        <w:rPr>
          <w:rFonts w:hint="eastAsia" w:ascii="宋体" w:hAnsi="宋体" w:eastAsia="宋体" w:cs="宋体"/>
          <w:color w:val="auto"/>
          <w:szCs w:val="21"/>
        </w:rPr>
        <w:t>机电清单库内包含的</w:t>
      </w:r>
      <w:r>
        <w:rPr>
          <w:rFonts w:hint="eastAsia" w:ascii="宋体" w:hAnsi="宋体" w:eastAsia="宋体" w:cs="宋体"/>
          <w:bCs/>
          <w:color w:val="auto"/>
          <w:szCs w:val="21"/>
        </w:rPr>
        <w:t>清单单价，包含设备及所需附件、包装、运输、安装调试、销项税额以外的税费、资料、质保期内维修及项目管理人员、监护人（安全员）、资料员、预算员、作业人员的人工成本等的全部费用，具体以单个项目用户需求书要求为准。增值税由招标人承担，依法计算增值税销项税额。在合同履行过程中，税收政策变动导致增值税税率调整，依法应调整销项税额的，依法调整。但因投标人未按合同约定期限完工、未根据合同约定提供合法、完整的请款资料、服务成果不符合招标人要求导致的返工等原因导致销项税额增加的，相应损失由投标人承担。</w:t>
      </w:r>
    </w:p>
    <w:p w14:paraId="27A8B999">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4.有限空间作业相关费用结算规则：</w:t>
      </w:r>
    </w:p>
    <w:p w14:paraId="0EE4F78E">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①单项派单机电维修项目≥10万元以上，涉及有限空间作业的部分人工费按清单单价作为包干价进行结算，按《东莞市水务集团管网有限公司有限空间作业安全管理实施细则》要求配置人员（现场负责人、监护人（安全员）、作业负责人、作业人员）的人工费不进行单独计费。</w:t>
      </w:r>
    </w:p>
    <w:p w14:paraId="00F9B551">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②单个派单机电维修项目＜10万元以下的，涉及有限空间作业部分按《东莞市水务集团管网有限公司有限空间作业安全管理实施细则》要求配置人员的人工费按实际发生的工种（仅限监护人（安全员）、作业负责人、作业人员）计日工台班进行单独计费；不涉及有限空间作业的部分按清单价结算，不单独按计日工台班计价。</w:t>
      </w:r>
    </w:p>
    <w:p w14:paraId="06AD96C8">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5.涉及人员及机械台班结算规则：</w:t>
      </w:r>
    </w:p>
    <w:p w14:paraId="4C7E2C88">
      <w:pPr>
        <w:pStyle w:val="18"/>
        <w:spacing w:line="360" w:lineRule="auto"/>
        <w:ind w:right="-28"/>
        <w:jc w:val="left"/>
        <w:rPr>
          <w:rFonts w:hAnsi="宋体" w:cs="宋体"/>
          <w:b w:val="0"/>
          <w:color w:val="auto"/>
          <w:sz w:val="21"/>
          <w:szCs w:val="21"/>
          <w:lang w:val="en-US"/>
        </w:rPr>
      </w:pPr>
      <w:r>
        <w:rPr>
          <w:rFonts w:hint="eastAsia" w:hAnsi="宋体" w:cs="宋体"/>
          <w:b w:val="0"/>
          <w:color w:val="auto"/>
          <w:sz w:val="21"/>
          <w:szCs w:val="21"/>
          <w:lang w:val="en-US"/>
        </w:rPr>
        <w:t xml:space="preserve">  </w:t>
      </w:r>
      <w:r>
        <w:rPr>
          <w:rFonts w:hint="eastAsia" w:hAnsi="宋体" w:cs="宋体"/>
          <w:b w:val="0"/>
          <w:bCs w:val="0"/>
          <w:color w:val="auto"/>
          <w:sz w:val="21"/>
          <w:szCs w:val="21"/>
          <w:lang w:val="en-US"/>
        </w:rPr>
        <w:t xml:space="preserve"> 1个台班按8小时计算，每次发生时间≤4小时按0.5个台班进行计算，超过4个小时且不满8个小时按1个台班计算。</w:t>
      </w:r>
    </w:p>
    <w:p w14:paraId="1F7F3364">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6.</w:t>
      </w:r>
      <w:r>
        <w:rPr>
          <w:rFonts w:hint="eastAsia" w:ascii="宋体" w:hAnsi="宋体" w:eastAsia="宋体" w:cs="宋体"/>
          <w:b/>
          <w:color w:val="auto"/>
          <w:szCs w:val="21"/>
        </w:rPr>
        <w:t>付款方式：</w:t>
      </w:r>
    </w:p>
    <w:p w14:paraId="6DE3342E">
      <w:pPr>
        <w:tabs>
          <w:tab w:val="left" w:pos="360"/>
          <w:tab w:val="left" w:pos="1418"/>
          <w:tab w:val="left" w:pos="4725"/>
        </w:tabs>
        <w:spacing w:line="360" w:lineRule="auto"/>
        <w:ind w:firstLine="426" w:firstLineChars="202"/>
        <w:rPr>
          <w:rFonts w:ascii="宋体" w:hAnsi="宋体" w:eastAsia="宋体" w:cs="宋体"/>
          <w:b/>
          <w:bCs/>
          <w:color w:val="auto"/>
          <w:szCs w:val="21"/>
        </w:rPr>
      </w:pPr>
      <w:r>
        <w:rPr>
          <w:rFonts w:hint="eastAsia" w:ascii="宋体" w:hAnsi="宋体" w:eastAsia="宋体" w:cs="宋体"/>
          <w:b/>
          <w:bCs/>
          <w:color w:val="auto"/>
          <w:szCs w:val="21"/>
        </w:rPr>
        <w:t>（1）进度款：</w:t>
      </w:r>
    </w:p>
    <w:p w14:paraId="4055B309">
      <w:pPr>
        <w:tabs>
          <w:tab w:val="left" w:pos="360"/>
          <w:tab w:val="left" w:pos="1418"/>
          <w:tab w:val="left" w:pos="4725"/>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①单项项目合同价10万元（不含）以下的，不设进度款。</w:t>
      </w:r>
    </w:p>
    <w:p w14:paraId="32C23085">
      <w:pPr>
        <w:tabs>
          <w:tab w:val="left" w:pos="360"/>
          <w:tab w:val="left" w:pos="1418"/>
          <w:tab w:val="left" w:pos="4725"/>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②单项项目合同价10万元（含）以上的：项目完成50%，支付至不超预算价的20%；项目完成80%，支付至不超预算价的50%；项目完工后，支付至不超预算价的80%。中标人请款时必须将真实有效的工人工资支付情况报表上报招标人，否则将暂停支付项目款。项目进度款支付至80%时，中标人应全额支付完工人工资。</w:t>
      </w:r>
    </w:p>
    <w:p w14:paraId="5ECC2665">
      <w:pPr>
        <w:tabs>
          <w:tab w:val="left" w:pos="360"/>
          <w:tab w:val="left" w:pos="1418"/>
          <w:tab w:val="left" w:pos="4725"/>
        </w:tabs>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（2）结算款：</w:t>
      </w:r>
    </w:p>
    <w:p w14:paraId="58E9E6DA">
      <w:pPr>
        <w:tabs>
          <w:tab w:val="left" w:pos="360"/>
          <w:tab w:val="left" w:pos="1418"/>
          <w:tab w:val="left" w:pos="4725"/>
        </w:tabs>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①</w:t>
      </w:r>
      <w:r>
        <w:rPr>
          <w:rFonts w:hint="eastAsia" w:ascii="宋体" w:hAnsi="宋体" w:eastAsia="宋体" w:cs="宋体"/>
          <w:bCs/>
          <w:color w:val="auto"/>
          <w:szCs w:val="21"/>
        </w:rPr>
        <w:t>有质保期的技术服务项目，</w:t>
      </w:r>
      <w:r>
        <w:rPr>
          <w:rFonts w:hint="eastAsia" w:ascii="宋体" w:hAnsi="宋体" w:eastAsia="宋体" w:cs="宋体"/>
          <w:color w:val="auto"/>
          <w:szCs w:val="21"/>
        </w:rPr>
        <w:t>单个项目结算价不超过10万元（不含10万元），在项目完成实施、验收及结算后，中标人可申请支付至100%的结算价</w:t>
      </w:r>
      <w:r>
        <w:rPr>
          <w:rFonts w:hint="eastAsia" w:ascii="宋体" w:hAnsi="宋体" w:eastAsia="宋体" w:cs="宋体"/>
          <w:bCs/>
          <w:color w:val="auto"/>
          <w:szCs w:val="21"/>
        </w:rPr>
        <w:t>款</w:t>
      </w:r>
      <w:r>
        <w:rPr>
          <w:rFonts w:hint="eastAsia" w:ascii="宋体" w:hAnsi="宋体" w:eastAsia="宋体" w:cs="宋体"/>
          <w:color w:val="auto"/>
          <w:szCs w:val="21"/>
        </w:rPr>
        <w:t>，</w:t>
      </w:r>
      <w:r>
        <w:rPr>
          <w:rFonts w:hint="eastAsia" w:ascii="宋体" w:hAnsi="宋体" w:eastAsia="宋体" w:cs="宋体"/>
          <w:bCs/>
          <w:color w:val="auto"/>
          <w:szCs w:val="21"/>
        </w:rPr>
        <w:t>招标人一次性完成支付</w:t>
      </w:r>
      <w:r>
        <w:rPr>
          <w:rFonts w:hint="eastAsia" w:ascii="宋体" w:hAnsi="宋体" w:eastAsia="宋体" w:cs="宋体"/>
          <w:color w:val="auto"/>
          <w:szCs w:val="21"/>
        </w:rPr>
        <w:t>，质保期内中标人未履行中标人保修义务的，招标人按照相关违约条款追究中标人违约责任；</w:t>
      </w:r>
    </w:p>
    <w:p w14:paraId="204A2432">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color w:val="auto"/>
          <w:szCs w:val="21"/>
        </w:rPr>
        <w:t>②</w:t>
      </w:r>
      <w:r>
        <w:rPr>
          <w:rFonts w:hint="eastAsia" w:ascii="宋体" w:hAnsi="宋体" w:eastAsia="宋体" w:cs="宋体"/>
          <w:bCs/>
          <w:color w:val="auto"/>
          <w:szCs w:val="21"/>
        </w:rPr>
        <w:t>有质保期的技术服务项目，</w:t>
      </w:r>
      <w:r>
        <w:rPr>
          <w:rFonts w:hint="eastAsia" w:ascii="宋体" w:hAnsi="宋体" w:eastAsia="宋体" w:cs="宋体"/>
          <w:color w:val="auto"/>
          <w:szCs w:val="21"/>
        </w:rPr>
        <w:t>单个项目结算价超过10万元（含10万元）的，在项目完成实施、验收及结算后，</w:t>
      </w:r>
      <w:r>
        <w:rPr>
          <w:rFonts w:hint="eastAsia" w:ascii="宋体" w:hAnsi="宋体" w:eastAsia="宋体" w:cs="宋体"/>
          <w:bCs/>
          <w:color w:val="auto"/>
          <w:szCs w:val="21"/>
        </w:rPr>
        <w:t>招标人一次性支付给中标人95%的结算价款，结算价款的5%作为质保金，在质保期满时，无存在质量问题且中标人无违约行为的，由中标人提交请款报告后，招标人一次性支付质保金。</w:t>
      </w:r>
    </w:p>
    <w:p w14:paraId="575B5453">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color w:val="auto"/>
          <w:szCs w:val="21"/>
        </w:rPr>
        <w:t>③</w:t>
      </w:r>
      <w:r>
        <w:rPr>
          <w:rFonts w:hint="eastAsia" w:ascii="宋体" w:hAnsi="宋体" w:eastAsia="宋体" w:cs="宋体"/>
          <w:bCs/>
          <w:color w:val="auto"/>
          <w:szCs w:val="21"/>
        </w:rPr>
        <w:t>不设质保期的技术服务项目，</w:t>
      </w:r>
      <w:r>
        <w:rPr>
          <w:rFonts w:hint="eastAsia" w:ascii="宋体" w:hAnsi="宋体" w:eastAsia="宋体" w:cs="宋体"/>
          <w:color w:val="auto"/>
          <w:szCs w:val="21"/>
        </w:rPr>
        <w:t>在项目完成实施、验收及结算后</w:t>
      </w:r>
      <w:r>
        <w:rPr>
          <w:rFonts w:hint="eastAsia" w:ascii="宋体" w:hAnsi="宋体" w:eastAsia="宋体" w:cs="宋体"/>
          <w:bCs/>
          <w:color w:val="auto"/>
          <w:szCs w:val="21"/>
        </w:rPr>
        <w:t>，招标人一次性支付全部结算价款至中标人。</w:t>
      </w:r>
    </w:p>
    <w:p w14:paraId="65BEDCE6">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7.招标人在收到中标人递交的符合招标人结算标准的结算资料后，将在15个工作日内完成审查工作，并出具项目结算审核书。</w:t>
      </w:r>
    </w:p>
    <w:p w14:paraId="662D6135">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8.中标人对招标人出具的结算审核书应在3个工作日内给予确认或者提出修改意见。经监理单位（如有）及招标人核实后，根据结算审核书确认的金额按合同约定支付合同价税。</w:t>
      </w:r>
    </w:p>
    <w:p w14:paraId="75F71F8B">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7.每个项目完成结算审核工作，中标人接收到招标人通知后，需在7个工作日内提交等额有效的增值税专用发票给招标人付款。中标人延迟提交发票或提交发票不符合招标人要求的，招标人有权顺延付款时间而不承担任何违约责任。</w:t>
      </w:r>
    </w:p>
    <w:p w14:paraId="248209EA">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9.如中标人存在以下行为的，招标人有权启动单方结算程序，中标人对此表示同意且无异议：</w:t>
      </w:r>
    </w:p>
    <w:p w14:paraId="2BC31792">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（1）中标人由于自身原因在项目竣工验收后，未在规定时限内（完工后2个月）提交结算资料，且经招标人2次（含）催促（不限于发函、约谈等）</w:t>
      </w:r>
      <w:r>
        <w:rPr>
          <w:rFonts w:hint="eastAsia" w:ascii="宋体" w:hAnsi="宋体" w:eastAsia="宋体" w:cs="宋体"/>
          <w:bCs/>
          <w:color w:val="auto"/>
          <w:kern w:val="0"/>
          <w:szCs w:val="21"/>
        </w:rPr>
        <w:t>仍未能提交符合要求的资料</w:t>
      </w:r>
      <w:r>
        <w:rPr>
          <w:rFonts w:hint="eastAsia" w:ascii="宋体" w:hAnsi="宋体" w:eastAsia="宋体" w:cs="宋体"/>
          <w:bCs/>
          <w:color w:val="auto"/>
          <w:szCs w:val="21"/>
        </w:rPr>
        <w:t>的。</w:t>
      </w:r>
    </w:p>
    <w:p w14:paraId="766C1367">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（2）招标人结算审核后发出征求意见稿，中标人由于自身原因在规定时限内（3个工作日）不对初步审核结果提出反馈意见且经招标人1次（含）催促（不限于发函、约谈等）仍未反馈意见的。</w:t>
      </w:r>
    </w:p>
    <w:p w14:paraId="2B314EAE">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（3）中标人对招标人的审核结果有异议但不能提出有效依据，未在规定时限内（3个工作日）且经招标人1次（含）催促（不限于发函、约谈等）仍未确认的。</w:t>
      </w:r>
    </w:p>
    <w:p w14:paraId="1DA43138">
      <w:pPr>
        <w:pStyle w:val="19"/>
        <w:spacing w:line="360" w:lineRule="auto"/>
        <w:ind w:firstLineChars="200"/>
        <w:jc w:val="left"/>
        <w:rPr>
          <w:rFonts w:ascii="宋体" w:hAnsi="宋体" w:eastAsia="宋体" w:cs="宋体"/>
          <w:color w:val="auto"/>
          <w:szCs w:val="21"/>
        </w:rPr>
      </w:pPr>
      <w:r>
        <w:rPr>
          <w:rFonts w:hint="eastAsia" w:ascii="宋体" w:hAnsi="宋体" w:eastAsia="宋体" w:cs="宋体"/>
          <w:color w:val="auto"/>
          <w:kern w:val="0"/>
          <w:szCs w:val="21"/>
        </w:rPr>
        <w:t>（4）中标人收到招标人补资料通知后3个工作日内补齐，否则按原送审资料进行审核结算，如若遇特殊情况需要后补，由中标人出具情况说明并经招标人确认。</w:t>
      </w:r>
    </w:p>
    <w:p w14:paraId="3F00FA2D">
      <w:pPr>
        <w:tabs>
          <w:tab w:val="left" w:pos="360"/>
          <w:tab w:val="left" w:pos="1418"/>
          <w:tab w:val="left" w:pos="4725"/>
        </w:tabs>
        <w:spacing w:line="360" w:lineRule="auto"/>
        <w:ind w:firstLine="426" w:firstLineChars="202"/>
        <w:rPr>
          <w:rFonts w:ascii="宋体" w:hAnsi="宋体" w:eastAsia="宋体" w:cs="宋体"/>
          <w:b/>
          <w:color w:val="auto"/>
          <w:szCs w:val="21"/>
        </w:rPr>
      </w:pPr>
      <w:r>
        <w:rPr>
          <w:rFonts w:hint="eastAsia" w:ascii="宋体" w:hAnsi="宋体" w:eastAsia="宋体" w:cs="宋体"/>
          <w:b/>
          <w:color w:val="auto"/>
          <w:szCs w:val="21"/>
        </w:rPr>
        <w:t>七、转包和分包</w:t>
      </w:r>
    </w:p>
    <w:p w14:paraId="238A591B">
      <w:pPr>
        <w:tabs>
          <w:tab w:val="left" w:pos="360"/>
          <w:tab w:val="left" w:pos="1418"/>
          <w:tab w:val="left" w:pos="4725"/>
        </w:tabs>
        <w:spacing w:line="360" w:lineRule="auto"/>
        <w:ind w:firstLine="424" w:firstLineChars="202"/>
        <w:rPr>
          <w:rFonts w:hAnsi="宋体" w:cs="楷体"/>
          <w:bCs/>
          <w:color w:val="auto"/>
          <w:szCs w:val="21"/>
        </w:rPr>
      </w:pPr>
      <w:r>
        <w:rPr>
          <w:rFonts w:hint="eastAsia" w:hAnsi="宋体" w:cs="楷体"/>
          <w:bCs/>
          <w:color w:val="auto"/>
          <w:szCs w:val="21"/>
        </w:rPr>
        <w:t>1.禁止转包与分包。</w:t>
      </w:r>
    </w:p>
    <w:p w14:paraId="0D892299">
      <w:p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投标人明确承诺，未经招标人书面同意，不得将本合同项下的任何工作全部或部分转包、分包或以任何形式委托第三方完成。以下情况不视为转包或分包：为履行合同所必需，且已获得招标人事先书面批准的第三方出具报告、成果资料或进行的特定作业（例如潜水人员作业）。</w:t>
      </w:r>
    </w:p>
    <w:p w14:paraId="61010D7D">
      <w:p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投标人不得采取任何手段，包括但不限于将全部机电设备维修项目分解为若干部分后，以分包名义分别转包给第三方。特别是涉及现场施工的危险作业，如格栅机及闸门的安装与维修等，投标人必须自行完成，不得转包或分包。</w:t>
      </w:r>
    </w:p>
    <w:p w14:paraId="006F6050">
      <w:p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若招标人发现投标人存在未经许可的转包、分包或委托第三方行为，招标人有权采取以下措施，并要求投标人在规定时间内纠正：（1） 发出整改通知；（2） 发出警告函；（3） 安排约谈；（4） 其他招标人认为必要的措施。</w:t>
      </w:r>
    </w:p>
    <w:p w14:paraId="4BCE7FC1">
      <w:p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若投标人未能按照招标人的要求在规定时间内纠正上述行为，招标人有权取消投标人的中标资格、单方面解除本合同，并没收投标人的履约保证金。投标人对此不持任何异议，并同意承担因此产生的一切后果。</w:t>
      </w:r>
    </w:p>
    <w:p w14:paraId="4C07ECC6">
      <w:pPr>
        <w:autoSpaceDE w:val="0"/>
        <w:autoSpaceDN w:val="0"/>
        <w:adjustRightInd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投标人确认，本合同项下的任何未经许可的转包、分包或委托第三方行为均视为严重违约，招标人有权根据本合同条款采取相应的违约责任措施。</w:t>
      </w:r>
    </w:p>
    <w:p w14:paraId="67134F2E">
      <w:pPr>
        <w:autoSpaceDE w:val="0"/>
        <w:autoSpaceDN w:val="0"/>
        <w:adjustRightInd w:val="0"/>
        <w:spacing w:line="360" w:lineRule="auto"/>
        <w:ind w:firstLine="420" w:firstLineChars="20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2.转包的定义。转包是指中标人承包机电设备维修服务项目后，不履行合同约定的责任和义务，将其承包的全部机电设备维修服务项目或者将其承包的全部机电设备维修服务项目肢解后以分包的名义分别转给其他单位或个人施工的行为。</w:t>
      </w:r>
    </w:p>
    <w:p w14:paraId="6AD17D16">
      <w:pPr>
        <w:autoSpaceDE w:val="0"/>
        <w:autoSpaceDN w:val="0"/>
        <w:adjustRightInd w:val="0"/>
        <w:spacing w:line="360" w:lineRule="auto"/>
        <w:ind w:firstLine="420" w:firstLineChars="20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3.转包的主要表现形式。存在下列情形之一的，应当认定为转包，但有证据证明属于挂靠或者其他违法行为的除外：</w:t>
      </w:r>
    </w:p>
    <w:p w14:paraId="01B8ABFC">
      <w:pPr>
        <w:autoSpaceDE w:val="0"/>
        <w:autoSpaceDN w:val="0"/>
        <w:adjustRightInd w:val="0"/>
        <w:spacing w:line="360" w:lineRule="auto"/>
        <w:ind w:firstLine="420" w:firstLineChars="20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（1）中标人将其承包的全部机电设备维修服务项目转给其他单位（包括母公司承接机电设备维修服务项目后将所机电设备维修服务项目交由具有独立法人资格的子公司施工的情形）或个人施工的；</w:t>
      </w:r>
    </w:p>
    <w:p w14:paraId="24AA80BF">
      <w:pPr>
        <w:autoSpaceDE w:val="0"/>
        <w:autoSpaceDN w:val="0"/>
        <w:adjustRightInd w:val="0"/>
        <w:spacing w:line="360" w:lineRule="auto"/>
        <w:ind w:firstLine="420" w:firstLineChars="20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2）中标人未派驻项目负责人、现场负责人、安全员、资料员、造价员等主要管理人员，或派驻的项目负责人、现场负责人、安全员、资料员、造价员中一人及以上与中标人没有订立劳动合同且没有建立劳动工资和社会养老保险关系，或派驻的项目负责人未对该机电设备维修服务项目的施工活动进行组织管理，又不能进行合理解释并提供相应证明的；</w:t>
      </w:r>
    </w:p>
    <w:p w14:paraId="3C19DA95">
      <w:pPr>
        <w:autoSpaceDE w:val="0"/>
        <w:autoSpaceDN w:val="0"/>
        <w:adjustRightInd w:val="0"/>
        <w:spacing w:line="360" w:lineRule="auto"/>
        <w:ind w:firstLine="420" w:firstLineChars="20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3）合同约定由中标人负责采购的主要材料、构配件及设备或租赁的施工机械设备，由其他单位或个人采购、租赁，或中标人不能提供有关采购、租赁合同及发票等证明，又不能进行合理解释并提供相应证明的；</w:t>
      </w:r>
    </w:p>
    <w:p w14:paraId="46E363A4">
      <w:pPr>
        <w:autoSpaceDE w:val="0"/>
        <w:autoSpaceDN w:val="0"/>
        <w:adjustRightInd w:val="0"/>
        <w:spacing w:line="360" w:lineRule="auto"/>
        <w:ind w:firstLine="420" w:firstLineChars="20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（4）专业作业承包人承包的范围是中标人承包的全部机电设备维修服务项目，专业作业承包人计取的是除上缴给承包单位“管理费”之外的全部机电设备维修服务项目价款的；</w:t>
      </w:r>
    </w:p>
    <w:p w14:paraId="1C72586E">
      <w:pPr>
        <w:autoSpaceDE w:val="0"/>
        <w:autoSpaceDN w:val="0"/>
        <w:adjustRightInd w:val="0"/>
        <w:spacing w:line="360" w:lineRule="auto"/>
        <w:ind w:firstLine="420" w:firstLineChars="20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（5）中标人通过采取合作、联营、个人承包等形式或名义，直接或变相将其承包的全部机电设备维修服务项目转给其他单位或个人施工的；</w:t>
      </w:r>
    </w:p>
    <w:p w14:paraId="69B7433C">
      <w:pPr>
        <w:autoSpaceDE w:val="0"/>
        <w:autoSpaceDN w:val="0"/>
        <w:adjustRightInd w:val="0"/>
        <w:spacing w:line="360" w:lineRule="auto"/>
        <w:ind w:firstLine="420" w:firstLineChars="20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（6）专业作业的发包单位不是中标人的，但招标人依约作为发包单位的除外；</w:t>
      </w:r>
    </w:p>
    <w:p w14:paraId="369B3561">
      <w:pPr>
        <w:autoSpaceDE w:val="0"/>
        <w:autoSpaceDN w:val="0"/>
        <w:adjustRightInd w:val="0"/>
        <w:spacing w:line="360" w:lineRule="auto"/>
        <w:ind w:firstLine="420" w:firstLineChars="200"/>
        <w:textAlignment w:val="baseline"/>
        <w:rPr>
          <w:rFonts w:ascii="宋体" w:hAnsi="宋体" w:eastAsia="宋体" w:cs="Times New Roman"/>
          <w:color w:val="auto"/>
          <w:kern w:val="0"/>
          <w:szCs w:val="21"/>
        </w:rPr>
      </w:pPr>
      <w:r>
        <w:rPr>
          <w:rFonts w:hint="eastAsia" w:ascii="宋体" w:hAnsi="宋体" w:eastAsia="宋体" w:cs="Times New Roman"/>
          <w:color w:val="auto"/>
          <w:kern w:val="0"/>
          <w:szCs w:val="21"/>
        </w:rPr>
        <w:t>（7）中标人与专业作业承包人之间没有款项收付关系，或者中标人收到款项后又将款项转拨给其他单位和个人，又不能进行合理解释并提供材料证明的。</w:t>
      </w:r>
    </w:p>
    <w:p w14:paraId="0678BC05">
      <w:pPr>
        <w:spacing w:line="360" w:lineRule="auto"/>
        <w:ind w:firstLine="420" w:firstLineChars="200"/>
        <w:textAlignment w:val="baseline"/>
        <w:rPr>
          <w:color w:val="auto"/>
          <w:szCs w:val="21"/>
        </w:rPr>
      </w:pPr>
      <w:r>
        <w:rPr>
          <w:rFonts w:hint="eastAsia" w:ascii="宋体" w:hAnsi="宋体" w:eastAsia="宋体" w:cs="Times New Roman"/>
          <w:color w:val="auto"/>
          <w:kern w:val="0"/>
          <w:szCs w:val="21"/>
        </w:rPr>
        <w:t>4.经核实发现中标人存在转包的，招标人有权</w:t>
      </w:r>
      <w:r>
        <w:rPr>
          <w:rFonts w:hint="eastAsia" w:ascii="宋体" w:hAnsi="宋体" w:eastAsia="宋体" w:cs="Times New Roman"/>
          <w:color w:val="auto"/>
          <w:szCs w:val="21"/>
        </w:rPr>
        <w:t>单方解除服务合同，</w:t>
      </w:r>
      <w:r>
        <w:rPr>
          <w:rFonts w:ascii="宋体" w:hAnsi="宋体" w:eastAsia="宋体" w:cs="Times New Roman"/>
          <w:color w:val="auto"/>
          <w:szCs w:val="21"/>
        </w:rPr>
        <w:t>没收履约担保，追讨有关损失并将中标人列入我公司履约黑名单，</w:t>
      </w:r>
      <w:r>
        <w:rPr>
          <w:rFonts w:hint="eastAsia" w:ascii="宋体" w:hAnsi="宋体" w:eastAsia="宋体" w:cs="Times New Roman"/>
          <w:bCs/>
          <w:color w:val="auto"/>
          <w:szCs w:val="21"/>
        </w:rPr>
        <w:t>列入黑名单的不得再参与招标人发起任何项目</w:t>
      </w:r>
      <w:r>
        <w:rPr>
          <w:rFonts w:hint="eastAsia" w:ascii="宋体" w:hAnsi="宋体" w:eastAsia="宋体" w:cs="Times New Roman"/>
          <w:color w:val="auto"/>
          <w:kern w:val="0"/>
          <w:szCs w:val="21"/>
        </w:rPr>
        <w:t>。</w:t>
      </w:r>
    </w:p>
    <w:p w14:paraId="60D1AF1B">
      <w:pPr>
        <w:tabs>
          <w:tab w:val="left" w:pos="360"/>
          <w:tab w:val="left" w:pos="1418"/>
          <w:tab w:val="left" w:pos="4725"/>
        </w:tabs>
        <w:spacing w:line="360" w:lineRule="auto"/>
        <w:ind w:firstLine="426" w:firstLineChars="202"/>
        <w:rPr>
          <w:rFonts w:ascii="宋体" w:hAnsi="宋体" w:eastAsia="宋体" w:cs="宋体"/>
          <w:b/>
          <w:color w:val="auto"/>
          <w:szCs w:val="21"/>
        </w:rPr>
      </w:pPr>
      <w:r>
        <w:rPr>
          <w:rFonts w:hint="eastAsia" w:ascii="宋体" w:hAnsi="宋体" w:eastAsia="宋体" w:cs="宋体"/>
          <w:b/>
          <w:color w:val="auto"/>
          <w:szCs w:val="21"/>
        </w:rPr>
        <w:t>八、其它</w:t>
      </w:r>
    </w:p>
    <w:p w14:paraId="67378DDA">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1.如果中标人被停止派单或解除合同时，则该包组的机电维修任务由招标人按照相关流程委托其他服务单位承接，直至该中标人恢复接单资格。</w:t>
      </w:r>
    </w:p>
    <w:p w14:paraId="5949C560">
      <w:pPr>
        <w:tabs>
          <w:tab w:val="left" w:pos="360"/>
          <w:tab w:val="left" w:pos="1418"/>
          <w:tab w:val="left" w:pos="4725"/>
        </w:tabs>
        <w:spacing w:line="360" w:lineRule="auto"/>
        <w:ind w:firstLine="424" w:firstLineChars="202"/>
        <w:rPr>
          <w:rFonts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bidi="ar"/>
        </w:rPr>
        <w:t>在委托服务过程中，招标人有权对投标人承接各个维修项目实施情况从响应、服务和质量安全方面进行单个项目考核及季度考核，并有权根据考核情况在水务集团系统内部进行通报</w:t>
      </w:r>
      <w:r>
        <w:rPr>
          <w:rFonts w:hint="eastAsia" w:ascii="宋体" w:hAnsi="宋体" w:eastAsia="宋体" w:cs="宋体"/>
          <w:bCs/>
          <w:color w:val="auto"/>
          <w:szCs w:val="21"/>
        </w:rPr>
        <w:t>。</w:t>
      </w:r>
    </w:p>
    <w:p w14:paraId="7E25E444">
      <w:pPr>
        <w:tabs>
          <w:tab w:val="left" w:pos="360"/>
          <w:tab w:val="left" w:pos="1418"/>
          <w:tab w:val="left" w:pos="4725"/>
        </w:tabs>
        <w:spacing w:line="360" w:lineRule="auto"/>
        <w:ind w:firstLine="424" w:firstLineChars="202"/>
        <w:rPr>
          <w:rFonts w:ascii="宋体" w:hAnsi="宋体" w:eastAsia="宋体" w:cs="宋体"/>
          <w:color w:val="auto"/>
          <w:szCs w:val="21"/>
        </w:rPr>
      </w:pPr>
      <w:r>
        <w:rPr>
          <w:rFonts w:hint="eastAsia" w:ascii="宋体" w:hAnsi="宋体" w:eastAsia="宋体" w:cs="宋体"/>
          <w:bCs/>
          <w:color w:val="auto"/>
          <w:szCs w:val="21"/>
        </w:rPr>
        <w:t>3.如有违反相关项目管理及合同约定，招标人有权将投标人列入招标人母公司东莞市水务集团有限公司的“黑名单”，投标人应该清楚并接受后续因此无法承接招标人及招标人母公司相关项目的后果。</w:t>
      </w:r>
    </w:p>
    <w:p w14:paraId="0EB2F03B">
      <w:pPr>
        <w:spacing w:line="360" w:lineRule="auto"/>
        <w:ind w:firstLine="420" w:firstLineChars="200"/>
        <w:rPr>
          <w:rFonts w:ascii="宋体" w:hAnsi="宋体" w:eastAsia="宋体" w:cs="宋体"/>
          <w:color w:val="auto"/>
        </w:rPr>
      </w:pPr>
      <w:r>
        <w:rPr>
          <w:rFonts w:hint="eastAsia" w:ascii="宋体" w:hAnsi="宋体" w:eastAsia="宋体" w:cs="宋体"/>
          <w:bCs/>
          <w:color w:val="auto"/>
          <w:szCs w:val="21"/>
        </w:rPr>
        <w:t>4.中标人应遵循《东莞市水务集团管网有限公司机电设备委外维修供应商管理办法（试行）》（以下简称《管理办法》，招标人有权结合实际对《管理办法》进行修订，并书面通知中标人；中标人若不接受，可以在3个工作日内申请退出并解除合同，否则，视为同意并遵守修订后的《管理办法》）约定，针对中标人的违约行为，招标人有权对其采取警告（包括但不限于发出监理整改通知单、预处罚通知单、各类通报、约谈等）、处以违约金、没收履约担保及解除合同等手段。</w:t>
      </w:r>
    </w:p>
    <w:p w14:paraId="01B6ADBA">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lang w:val="zh-CN"/>
        </w:rPr>
      </w:pPr>
      <w:r>
        <w:rPr>
          <w:rFonts w:hint="eastAsia" w:ascii="宋体" w:hAnsi="宋体" w:eastAsia="宋体" w:cs="宋体"/>
          <w:b/>
          <w:bCs/>
          <w:color w:val="auto"/>
          <w:kern w:val="44"/>
          <w:sz w:val="32"/>
          <w:szCs w:val="32"/>
          <w:lang w:val="zh-CN"/>
        </w:rPr>
        <w:t>第四篇 合同条款格式</w:t>
      </w:r>
      <w:bookmarkEnd w:id="366"/>
    </w:p>
    <w:p w14:paraId="58336514">
      <w:pPr>
        <w:spacing w:line="360" w:lineRule="auto"/>
        <w:jc w:val="center"/>
        <w:rPr>
          <w:rFonts w:ascii="宋体" w:hAnsi="宋体" w:eastAsia="宋体" w:cs="宋体"/>
          <w:b/>
          <w:color w:val="auto"/>
          <w:sz w:val="40"/>
          <w:szCs w:val="28"/>
        </w:rPr>
      </w:pPr>
      <w:r>
        <w:rPr>
          <w:rFonts w:hint="eastAsia" w:ascii="宋体" w:hAnsi="宋体" w:eastAsia="宋体" w:cs="宋体"/>
          <w:b/>
          <w:color w:val="auto"/>
          <w:sz w:val="40"/>
          <w:szCs w:val="28"/>
        </w:rPr>
        <w:t>东莞市水务集团管网有限公司2025年度机电设备维修定点服务单位采购项目合同</w:t>
      </w:r>
    </w:p>
    <w:p w14:paraId="46B98610">
      <w:pPr>
        <w:spacing w:line="360" w:lineRule="auto"/>
        <w:jc w:val="center"/>
        <w:rPr>
          <w:rFonts w:ascii="宋体" w:hAnsi="宋体" w:eastAsia="宋体" w:cs="宋体"/>
          <w:b/>
          <w:color w:val="auto"/>
          <w:sz w:val="44"/>
          <w:szCs w:val="32"/>
        </w:rPr>
      </w:pPr>
      <w:r>
        <w:rPr>
          <w:rFonts w:hint="eastAsia" w:ascii="宋体" w:hAnsi="宋体" w:eastAsia="宋体" w:cs="宋体"/>
          <w:b/>
          <w:color w:val="auto"/>
          <w:sz w:val="40"/>
          <w:szCs w:val="28"/>
        </w:rPr>
        <w:t>（**包）</w:t>
      </w:r>
    </w:p>
    <w:p w14:paraId="5658DD77">
      <w:pPr>
        <w:spacing w:line="360" w:lineRule="auto"/>
        <w:rPr>
          <w:rFonts w:ascii="宋体" w:hAnsi="宋体" w:eastAsia="宋体" w:cs="宋体"/>
          <w:b/>
          <w:bCs/>
          <w:color w:val="auto"/>
        </w:rPr>
      </w:pPr>
      <w:r>
        <w:rPr>
          <w:rFonts w:hint="eastAsia" w:ascii="宋体" w:hAnsi="宋体" w:eastAsia="宋体" w:cs="宋体"/>
          <w:b/>
          <w:bCs/>
          <w:color w:val="auto"/>
        </w:rPr>
        <w:t xml:space="preserve"> </w:t>
      </w:r>
    </w:p>
    <w:p w14:paraId="2A350D47">
      <w:pPr>
        <w:spacing w:line="360" w:lineRule="auto"/>
        <w:jc w:val="center"/>
        <w:rPr>
          <w:rFonts w:ascii="宋体" w:hAnsi="宋体" w:eastAsia="宋体" w:cs="宋体"/>
          <w:b/>
          <w:color w:val="auto"/>
          <w:sz w:val="44"/>
          <w:szCs w:val="32"/>
        </w:rPr>
      </w:pPr>
      <w:r>
        <w:rPr>
          <w:rFonts w:hint="eastAsia" w:ascii="宋体" w:hAnsi="宋体" w:eastAsia="宋体" w:cs="宋体"/>
          <w:b/>
          <w:bCs/>
          <w:color w:val="auto"/>
        </w:rPr>
        <w:t xml:space="preserve"> </w:t>
      </w:r>
    </w:p>
    <w:p w14:paraId="504B179C">
      <w:pPr>
        <w:spacing w:line="360" w:lineRule="auto"/>
        <w:rPr>
          <w:rFonts w:ascii="宋体" w:hAnsi="宋体" w:eastAsia="宋体" w:cs="宋体"/>
          <w:b/>
          <w:bCs/>
          <w:color w:val="auto"/>
        </w:rPr>
      </w:pPr>
    </w:p>
    <w:p w14:paraId="6BD5AC10">
      <w:pPr>
        <w:spacing w:line="360" w:lineRule="auto"/>
        <w:rPr>
          <w:rFonts w:ascii="宋体" w:hAnsi="宋体" w:eastAsia="宋体" w:cs="宋体"/>
          <w:b/>
          <w:bCs/>
          <w:color w:val="auto"/>
        </w:rPr>
      </w:pPr>
      <w:r>
        <w:rPr>
          <w:rFonts w:hint="eastAsia" w:ascii="宋体" w:hAnsi="宋体" w:eastAsia="宋体" w:cs="宋体"/>
          <w:b/>
          <w:bCs/>
          <w:color w:val="auto"/>
        </w:rPr>
        <w:t xml:space="preserve"> </w:t>
      </w:r>
    </w:p>
    <w:p w14:paraId="7F36CD55">
      <w:pPr>
        <w:spacing w:line="360" w:lineRule="auto"/>
        <w:rPr>
          <w:rFonts w:ascii="宋体" w:hAnsi="宋体" w:eastAsia="宋体" w:cs="宋体"/>
          <w:b/>
          <w:bCs/>
          <w:color w:val="auto"/>
        </w:rPr>
      </w:pPr>
      <w:r>
        <w:rPr>
          <w:rFonts w:hint="eastAsia" w:ascii="宋体" w:hAnsi="宋体" w:eastAsia="宋体" w:cs="宋体"/>
          <w:b/>
          <w:bCs/>
          <w:color w:val="auto"/>
        </w:rPr>
        <w:t xml:space="preserve"> </w:t>
      </w:r>
    </w:p>
    <w:p w14:paraId="747028E4">
      <w:pPr>
        <w:spacing w:line="360" w:lineRule="auto"/>
        <w:rPr>
          <w:rFonts w:ascii="宋体" w:hAnsi="宋体" w:eastAsia="宋体" w:cs="宋体"/>
          <w:b/>
          <w:bCs/>
          <w:color w:val="auto"/>
        </w:rPr>
      </w:pPr>
      <w:r>
        <w:rPr>
          <w:rFonts w:hint="eastAsia" w:ascii="宋体" w:hAnsi="宋体" w:eastAsia="宋体" w:cs="宋体"/>
          <w:b/>
          <w:bCs/>
          <w:color w:val="auto"/>
        </w:rPr>
        <w:t xml:space="preserve"> </w:t>
      </w:r>
    </w:p>
    <w:p w14:paraId="0DDDAC24">
      <w:pPr>
        <w:spacing w:line="360" w:lineRule="auto"/>
        <w:ind w:firstLine="1405" w:firstLineChars="500"/>
        <w:rPr>
          <w:rFonts w:ascii="宋体" w:hAnsi="宋体" w:eastAsia="宋体" w:cs="宋体"/>
          <w:b/>
          <w:bCs/>
          <w:color w:val="auto"/>
          <w:sz w:val="28"/>
          <w:szCs w:val="28"/>
          <w:u w:val="single"/>
        </w:rPr>
      </w:pPr>
      <w:r>
        <w:rPr>
          <w:rFonts w:hint="eastAsia" w:ascii="宋体" w:hAnsi="宋体" w:eastAsia="宋体" w:cs="宋体"/>
          <w:b/>
          <w:bCs/>
          <w:color w:val="auto"/>
          <w:sz w:val="28"/>
          <w:szCs w:val="28"/>
        </w:rPr>
        <w:t>甲    方：</w:t>
      </w:r>
      <w:r>
        <w:rPr>
          <w:rFonts w:hint="eastAsia" w:ascii="宋体" w:hAnsi="宋体" w:eastAsia="宋体" w:cs="宋体"/>
          <w:b/>
          <w:bCs/>
          <w:color w:val="auto"/>
          <w:sz w:val="28"/>
          <w:szCs w:val="28"/>
          <w:u w:val="single"/>
        </w:rPr>
        <w:t xml:space="preserve">                            </w:t>
      </w:r>
    </w:p>
    <w:p w14:paraId="0C21978E">
      <w:pPr>
        <w:spacing w:line="360" w:lineRule="auto"/>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FBFD815">
      <w:pPr>
        <w:spacing w:line="360" w:lineRule="auto"/>
        <w:ind w:firstLine="1405" w:firstLineChars="500"/>
        <w:rPr>
          <w:rFonts w:ascii="宋体" w:hAnsi="宋体" w:eastAsia="宋体" w:cs="宋体"/>
          <w:b/>
          <w:bCs/>
          <w:color w:val="auto"/>
          <w:sz w:val="28"/>
          <w:szCs w:val="28"/>
          <w:u w:val="single"/>
        </w:rPr>
      </w:pPr>
      <w:r>
        <w:rPr>
          <w:rFonts w:hint="eastAsia" w:ascii="宋体" w:hAnsi="宋体" w:eastAsia="宋体" w:cs="宋体"/>
          <w:b/>
          <w:bCs/>
          <w:color w:val="auto"/>
          <w:sz w:val="28"/>
          <w:szCs w:val="28"/>
        </w:rPr>
        <w:t>乙    方：</w:t>
      </w:r>
      <w:r>
        <w:rPr>
          <w:rFonts w:hint="eastAsia" w:ascii="宋体" w:hAnsi="宋体" w:eastAsia="宋体" w:cs="宋体"/>
          <w:b/>
          <w:bCs/>
          <w:color w:val="auto"/>
          <w:sz w:val="28"/>
          <w:szCs w:val="28"/>
          <w:u w:val="single"/>
        </w:rPr>
        <w:t xml:space="preserve">                            </w:t>
      </w:r>
    </w:p>
    <w:p w14:paraId="7DD191FD">
      <w:pPr>
        <w:spacing w:line="360" w:lineRule="auto"/>
        <w:ind w:firstLine="1687" w:firstLineChars="60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BDA9A8F">
      <w:pPr>
        <w:spacing w:line="360" w:lineRule="auto"/>
        <w:ind w:firstLine="1405" w:firstLineChars="500"/>
        <w:rPr>
          <w:rFonts w:ascii="宋体" w:hAnsi="宋体" w:eastAsia="宋体" w:cs="宋体"/>
          <w:b/>
          <w:bCs/>
          <w:color w:val="auto"/>
          <w:sz w:val="28"/>
          <w:szCs w:val="28"/>
          <w:u w:val="single"/>
        </w:rPr>
      </w:pPr>
      <w:r>
        <w:rPr>
          <w:rFonts w:hint="eastAsia" w:ascii="宋体" w:hAnsi="宋体" w:eastAsia="宋体" w:cs="宋体"/>
          <w:b/>
          <w:bCs/>
          <w:color w:val="auto"/>
          <w:sz w:val="28"/>
          <w:szCs w:val="28"/>
        </w:rPr>
        <w:t>签约地点：</w:t>
      </w:r>
      <w:r>
        <w:rPr>
          <w:rFonts w:hint="eastAsia" w:ascii="宋体" w:hAnsi="宋体" w:eastAsia="宋体" w:cs="宋体"/>
          <w:b/>
          <w:bCs/>
          <w:color w:val="auto"/>
          <w:sz w:val="28"/>
          <w:szCs w:val="28"/>
          <w:u w:val="single"/>
        </w:rPr>
        <w:t xml:space="preserve">           东莞市           </w:t>
      </w:r>
    </w:p>
    <w:p w14:paraId="3C683F55">
      <w:pPr>
        <w:spacing w:line="360" w:lineRule="auto"/>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06528290">
      <w:pPr>
        <w:spacing w:line="360" w:lineRule="auto"/>
        <w:ind w:firstLine="1405" w:firstLineChars="500"/>
        <w:rPr>
          <w:rFonts w:ascii="宋体" w:hAnsi="宋体" w:eastAsia="宋体" w:cs="宋体"/>
          <w:b/>
          <w:bCs/>
          <w:color w:val="auto"/>
          <w:sz w:val="28"/>
          <w:szCs w:val="28"/>
          <w:u w:val="single"/>
        </w:rPr>
      </w:pPr>
      <w:r>
        <w:rPr>
          <w:rFonts w:hint="eastAsia" w:ascii="宋体" w:hAnsi="宋体" w:eastAsia="宋体" w:cs="宋体"/>
          <w:b/>
          <w:bCs/>
          <w:color w:val="auto"/>
          <w:sz w:val="28"/>
          <w:szCs w:val="28"/>
        </w:rPr>
        <w:t>签约日期：</w:t>
      </w:r>
      <w:r>
        <w:rPr>
          <w:rFonts w:hint="eastAsia" w:ascii="宋体" w:hAnsi="宋体" w:eastAsia="宋体" w:cs="宋体"/>
          <w:b/>
          <w:bCs/>
          <w:color w:val="auto"/>
          <w:sz w:val="28"/>
          <w:szCs w:val="28"/>
          <w:u w:val="single"/>
        </w:rPr>
        <w:t xml:space="preserve">       年    月     日      </w:t>
      </w:r>
    </w:p>
    <w:p w14:paraId="26678A42">
      <w:pPr>
        <w:rPr>
          <w:rFonts w:ascii="宋体" w:hAnsi="宋体" w:eastAsia="宋体" w:cs="宋体"/>
          <w:b/>
          <w:bCs/>
          <w:color w:val="auto"/>
          <w:sz w:val="28"/>
          <w:szCs w:val="28"/>
          <w:u w:val="single"/>
        </w:rPr>
      </w:pPr>
      <w:r>
        <w:rPr>
          <w:rFonts w:hint="eastAsia" w:ascii="宋体" w:hAnsi="宋体" w:eastAsia="宋体" w:cs="宋体"/>
          <w:b/>
          <w:bCs/>
          <w:color w:val="auto"/>
          <w:sz w:val="28"/>
          <w:szCs w:val="28"/>
          <w:u w:val="single"/>
        </w:rPr>
        <w:br w:type="page"/>
      </w:r>
    </w:p>
    <w:p w14:paraId="6D2FC570">
      <w:pPr>
        <w:pageBreakBefore/>
        <w:spacing w:line="360" w:lineRule="auto"/>
        <w:ind w:firstLine="422" w:firstLineChars="200"/>
        <w:rPr>
          <w:rFonts w:ascii="宋体" w:hAnsi="宋体" w:eastAsia="宋体" w:cs="宋体"/>
          <w:color w:val="auto"/>
          <w:szCs w:val="21"/>
          <w:u w:val="single"/>
        </w:rPr>
      </w:pPr>
      <w:bookmarkStart w:id="367" w:name="_Toc447045090"/>
      <w:bookmarkStart w:id="368" w:name="_Toc447044603"/>
      <w:bookmarkStart w:id="369" w:name="_Toc30275"/>
      <w:bookmarkStart w:id="370" w:name="_Toc21091"/>
      <w:bookmarkStart w:id="371" w:name="_Toc447044479"/>
      <w:r>
        <w:rPr>
          <w:rFonts w:hint="eastAsia" w:ascii="宋体" w:hAnsi="宋体" w:eastAsia="宋体" w:cs="宋体"/>
          <w:b/>
          <w:bCs/>
          <w:color w:val="auto"/>
          <w:szCs w:val="21"/>
        </w:rPr>
        <w:t>甲方：</w:t>
      </w:r>
      <w:r>
        <w:rPr>
          <w:rFonts w:hint="eastAsia" w:ascii="宋体" w:hAnsi="宋体" w:eastAsia="宋体" w:cs="宋体"/>
          <w:b/>
          <w:bCs/>
          <w:color w:val="auto"/>
          <w:szCs w:val="21"/>
          <w:u w:val="single"/>
        </w:rPr>
        <w:t xml:space="preserve">                        </w:t>
      </w:r>
    </w:p>
    <w:p w14:paraId="5CB6541E">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乙方：</w:t>
      </w:r>
      <w:r>
        <w:rPr>
          <w:rFonts w:hint="eastAsia" w:ascii="宋体" w:hAnsi="宋体" w:eastAsia="宋体" w:cs="宋体"/>
          <w:b/>
          <w:bCs/>
          <w:color w:val="auto"/>
          <w:szCs w:val="21"/>
          <w:u w:val="single"/>
        </w:rPr>
        <w:t xml:space="preserve">                        </w:t>
      </w:r>
    </w:p>
    <w:p w14:paraId="59C5FB9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根据《中华人民共和国民法典》等有关法律法规及东莞市水务集团管网有限公司2025年度机电设备维修定点服务单位采购项目（**包）招投标文件、中标通知书等相关资料的要求，甲、乙双方经友好平等协商，在各自真实意思表示的基础上，就乙方获得甲方东莞市水务集团管网有限公司2025年度机电设备维修定点服务单位采购项目（**包）服务单位资格及为甲方提供机电设备维修服务之事宜，达成如下协议：</w:t>
      </w:r>
    </w:p>
    <w:p w14:paraId="1B525B0D">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一、服务内容及要求</w:t>
      </w:r>
    </w:p>
    <w:p w14:paraId="417BD13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 服务内容：甲方机电设备维修项目,</w:t>
      </w:r>
      <w:r>
        <w:rPr>
          <w:rFonts w:hint="eastAsia" w:ascii="宋体" w:hAnsi="宋体" w:eastAsia="宋体" w:cs="宋体"/>
          <w:b/>
          <w:bCs/>
          <w:color w:val="auto"/>
          <w:szCs w:val="21"/>
        </w:rPr>
        <w:t>乙方对应承接的单项项目承接限额为估算（或预算）200万元（不含）以下的机电设备维修项目</w:t>
      </w:r>
      <w:r>
        <w:rPr>
          <w:rFonts w:hint="eastAsia" w:ascii="宋体" w:hAnsi="宋体" w:eastAsia="宋体" w:cs="宋体"/>
          <w:color w:val="auto"/>
          <w:szCs w:val="21"/>
        </w:rPr>
        <w:t>，内容包括但不限于甲方机电设备的维修、技术改造、重置、应急抢修、设备拆卸、零配件加工及修复等技术服务项目（指机电设备专业维修为主的设备设施委外技术服务，也包括雨棚及停车棚、围栏等设施维修，不包括全土建专业的或以土建专业为主的设施委外技术服务），对于上述工作而引发的开挖、井室修复及改造、管道接合以及水下封堵作业等工作也在本合同范围内。</w:t>
      </w:r>
    </w:p>
    <w:p w14:paraId="461646D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1.2 服务范围：本次机电设备、设施维修服务项目的服务地点分布于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r>
        <w:rPr>
          <w:rFonts w:hint="eastAsia" w:ascii="宋体" w:hAnsi="宋体" w:eastAsia="宋体" w:cs="宋体"/>
          <w:b/>
          <w:bCs/>
          <w:color w:val="auto"/>
          <w:szCs w:val="21"/>
        </w:rPr>
        <w:t>（注：最终依据中标的标段区域进行调整）。</w:t>
      </w:r>
      <w:bookmarkStart w:id="372" w:name="OLE_LINK1"/>
      <w:r>
        <w:rPr>
          <w:rFonts w:hint="eastAsia" w:ascii="宋体" w:hAnsi="宋体" w:eastAsia="宋体" w:cs="宋体"/>
          <w:b/>
          <w:bCs/>
          <w:color w:val="auto"/>
          <w:szCs w:val="21"/>
        </w:rPr>
        <w:t>本采购项目原则上按照“表1.全市排水管网及泵站运营管理片区划分表”划分片区，</w:t>
      </w:r>
      <w:r>
        <w:rPr>
          <w:rFonts w:hint="eastAsia" w:ascii="宋体" w:hAnsi="宋体" w:eastAsia="宋体" w:cs="宋体"/>
          <w:color w:val="auto"/>
          <w:szCs w:val="21"/>
        </w:rPr>
        <w:t>该片区划分并不代表中标片区内所有单项服务项目必须委托乙方实施，甲方无法预计也无法保证乙方所能获得的具体单项服务项目数量和金额。在服务期内，甲方有权对本项目的服务范围进行调整（含增加中标范围外的机电设备维修服务或减少中标范围内的</w:t>
      </w:r>
      <w:bookmarkStart w:id="373" w:name="OLE_LINK5"/>
      <w:r>
        <w:rPr>
          <w:rFonts w:hint="eastAsia" w:ascii="宋体" w:hAnsi="宋体" w:eastAsia="宋体" w:cs="宋体"/>
          <w:color w:val="auto"/>
          <w:szCs w:val="21"/>
        </w:rPr>
        <w:t>机电设备维修</w:t>
      </w:r>
      <w:bookmarkEnd w:id="373"/>
      <w:r>
        <w:rPr>
          <w:rFonts w:hint="eastAsia" w:ascii="宋体" w:hAnsi="宋体" w:eastAsia="宋体" w:cs="宋体"/>
          <w:color w:val="auto"/>
          <w:szCs w:val="21"/>
        </w:rPr>
        <w:t>服务及根据相关管理办法暂停派单的或甲方组织架构调整导致片区划分发生变化的），乙方应充分考虑因此可能增减的各项费用，乙方不得因服务范围的调整、实际发生机电设备维修项目数量及服务费用的增减而提出异议及要求甲方提供任何形式的补偿（赔偿）或调整中标服务综合单价。服务项目由甲方根据机电设备维修需求进行委派，最终服务费用按实际发生量结算，甲方除按实际服务发生的工作量和合同的约定支付费用外，不支付任何的服务费用及补偿。如乙方承接新增范围，人材机须同步匹配增加，并报甲方报备。</w:t>
      </w:r>
      <w:bookmarkEnd w:id="372"/>
    </w:p>
    <w:p w14:paraId="5FA82C06">
      <w:pPr>
        <w:spacing w:line="360" w:lineRule="auto"/>
        <w:jc w:val="center"/>
        <w:rPr>
          <w:rFonts w:ascii="宋体" w:hAnsi="宋体" w:eastAsia="宋体" w:cs="宋体"/>
          <w:color w:val="auto"/>
          <w:szCs w:val="21"/>
        </w:rPr>
      </w:pPr>
      <w:r>
        <w:rPr>
          <w:rFonts w:hint="eastAsia" w:ascii="宋体" w:hAnsi="宋体" w:eastAsia="宋体" w:cs="宋体"/>
          <w:color w:val="auto"/>
          <w:szCs w:val="21"/>
        </w:rPr>
        <w:t xml:space="preserve">表1 </w:t>
      </w:r>
      <w:bookmarkStart w:id="374" w:name="OLE_LINK23"/>
      <w:r>
        <w:rPr>
          <w:rFonts w:hint="eastAsia" w:ascii="宋体" w:hAnsi="宋体" w:eastAsia="宋体" w:cs="宋体"/>
          <w:color w:val="auto"/>
          <w:szCs w:val="21"/>
        </w:rPr>
        <w:t>全市排水管网及泵站运营管理片区划分表</w:t>
      </w:r>
      <w:bookmarkEnd w:id="374"/>
    </w:p>
    <w:tbl>
      <w:tblPr>
        <w:tblStyle w:val="37"/>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80"/>
        <w:gridCol w:w="4570"/>
        <w:gridCol w:w="1707"/>
      </w:tblGrid>
      <w:tr w14:paraId="5367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1ADC96E">
            <w:pPr>
              <w:pStyle w:val="129"/>
              <w:ind w:firstLine="0" w:firstLineChars="0"/>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380" w:type="dxa"/>
            <w:tcBorders>
              <w:top w:val="single" w:color="auto" w:sz="4" w:space="0"/>
              <w:left w:val="single" w:color="auto" w:sz="4" w:space="0"/>
              <w:bottom w:val="single" w:color="auto" w:sz="4" w:space="0"/>
              <w:right w:val="single" w:color="auto" w:sz="4" w:space="0"/>
            </w:tcBorders>
            <w:vAlign w:val="center"/>
          </w:tcPr>
          <w:p w14:paraId="13156658">
            <w:pPr>
              <w:pStyle w:val="129"/>
              <w:ind w:firstLine="0" w:firstLineChars="0"/>
              <w:jc w:val="center"/>
              <w:rPr>
                <w:rFonts w:ascii="宋体" w:hAnsi="宋体" w:eastAsia="宋体" w:cs="宋体"/>
                <w:b/>
                <w:color w:val="auto"/>
                <w:szCs w:val="21"/>
              </w:rPr>
            </w:pPr>
            <w:r>
              <w:rPr>
                <w:rFonts w:hint="eastAsia" w:ascii="宋体" w:hAnsi="宋体" w:eastAsia="宋体" w:cs="宋体"/>
                <w:b/>
                <w:color w:val="auto"/>
                <w:szCs w:val="21"/>
              </w:rPr>
              <w:t>片区名称</w:t>
            </w:r>
          </w:p>
        </w:tc>
        <w:tc>
          <w:tcPr>
            <w:tcW w:w="4570" w:type="dxa"/>
            <w:tcBorders>
              <w:top w:val="single" w:color="auto" w:sz="4" w:space="0"/>
              <w:left w:val="single" w:color="auto" w:sz="4" w:space="0"/>
              <w:bottom w:val="single" w:color="auto" w:sz="4" w:space="0"/>
              <w:right w:val="single" w:color="auto" w:sz="4" w:space="0"/>
            </w:tcBorders>
            <w:vAlign w:val="center"/>
          </w:tcPr>
          <w:p w14:paraId="3703E83B">
            <w:pPr>
              <w:pStyle w:val="129"/>
              <w:ind w:firstLine="422"/>
              <w:rPr>
                <w:rFonts w:ascii="宋体" w:hAnsi="宋体" w:eastAsia="宋体" w:cs="宋体"/>
                <w:b/>
                <w:color w:val="auto"/>
                <w:szCs w:val="21"/>
              </w:rPr>
            </w:pPr>
            <w:r>
              <w:rPr>
                <w:rFonts w:hint="eastAsia" w:ascii="宋体" w:hAnsi="宋体" w:eastAsia="宋体" w:cs="宋体"/>
                <w:b/>
                <w:color w:val="auto"/>
                <w:szCs w:val="21"/>
              </w:rPr>
              <w:t>片区（园区、街道办）分属镇街</w:t>
            </w:r>
          </w:p>
        </w:tc>
        <w:tc>
          <w:tcPr>
            <w:tcW w:w="1707" w:type="dxa"/>
            <w:tcBorders>
              <w:top w:val="single" w:color="auto" w:sz="4" w:space="0"/>
              <w:left w:val="single" w:color="auto" w:sz="4" w:space="0"/>
              <w:bottom w:val="single" w:color="auto" w:sz="4" w:space="0"/>
              <w:right w:val="single" w:color="auto" w:sz="4" w:space="0"/>
            </w:tcBorders>
            <w:vAlign w:val="center"/>
          </w:tcPr>
          <w:p w14:paraId="2BF0E3FF">
            <w:pPr>
              <w:pStyle w:val="129"/>
              <w:ind w:firstLine="0" w:firstLineChars="0"/>
              <w:jc w:val="center"/>
              <w:rPr>
                <w:rFonts w:ascii="宋体" w:hAnsi="宋体" w:eastAsia="宋体" w:cs="宋体"/>
                <w:b/>
                <w:color w:val="auto"/>
                <w:szCs w:val="21"/>
              </w:rPr>
            </w:pPr>
            <w:r>
              <w:rPr>
                <w:rFonts w:hint="eastAsia" w:ascii="宋体" w:hAnsi="宋体" w:eastAsia="宋体" w:cs="宋体"/>
                <w:b/>
                <w:color w:val="auto"/>
                <w:szCs w:val="21"/>
              </w:rPr>
              <w:t>甲方办公驻点</w:t>
            </w:r>
          </w:p>
        </w:tc>
      </w:tr>
      <w:tr w14:paraId="7F3D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12D79E3">
            <w:pPr>
              <w:jc w:val="center"/>
              <w:rPr>
                <w:rFonts w:ascii="宋体" w:hAnsi="宋体" w:eastAsia="宋体" w:cs="宋体"/>
                <w:color w:val="auto"/>
                <w:szCs w:val="21"/>
              </w:rPr>
            </w:pPr>
            <w:r>
              <w:rPr>
                <w:rFonts w:hint="eastAsia" w:ascii="宋体" w:hAnsi="宋体" w:eastAsia="宋体" w:cs="宋体"/>
                <w:color w:val="auto"/>
                <w:szCs w:val="21"/>
              </w:rPr>
              <w:t>1</w:t>
            </w:r>
          </w:p>
        </w:tc>
        <w:tc>
          <w:tcPr>
            <w:tcW w:w="1380" w:type="dxa"/>
            <w:tcBorders>
              <w:top w:val="single" w:color="auto" w:sz="4" w:space="0"/>
              <w:left w:val="single" w:color="auto" w:sz="4" w:space="0"/>
              <w:bottom w:val="single" w:color="auto" w:sz="4" w:space="0"/>
              <w:right w:val="single" w:color="auto" w:sz="4" w:space="0"/>
            </w:tcBorders>
            <w:vAlign w:val="center"/>
          </w:tcPr>
          <w:p w14:paraId="08A9D063">
            <w:pPr>
              <w:jc w:val="center"/>
              <w:rPr>
                <w:rFonts w:ascii="宋体" w:hAnsi="宋体" w:eastAsia="宋体" w:cs="宋体"/>
                <w:color w:val="auto"/>
                <w:szCs w:val="21"/>
              </w:rPr>
            </w:pPr>
            <w:r>
              <w:rPr>
                <w:rFonts w:hint="eastAsia" w:ascii="宋体" w:hAnsi="宋体" w:eastAsia="宋体" w:cs="宋体"/>
                <w:color w:val="auto"/>
                <w:szCs w:val="21"/>
              </w:rPr>
              <w:t>第一片区</w:t>
            </w:r>
          </w:p>
        </w:tc>
        <w:tc>
          <w:tcPr>
            <w:tcW w:w="4570" w:type="dxa"/>
            <w:tcBorders>
              <w:top w:val="single" w:color="auto" w:sz="4" w:space="0"/>
              <w:left w:val="single" w:color="auto" w:sz="4" w:space="0"/>
              <w:bottom w:val="single" w:color="auto" w:sz="4" w:space="0"/>
              <w:right w:val="single" w:color="auto" w:sz="4" w:space="0"/>
            </w:tcBorders>
            <w:vAlign w:val="center"/>
          </w:tcPr>
          <w:p w14:paraId="75AC0E0C">
            <w:pPr>
              <w:rPr>
                <w:rFonts w:ascii="宋体" w:hAnsi="宋体" w:eastAsia="宋体" w:cs="宋体"/>
                <w:color w:val="auto"/>
                <w:szCs w:val="21"/>
              </w:rPr>
            </w:pPr>
            <w:r>
              <w:rPr>
                <w:rFonts w:hint="eastAsia" w:ascii="宋体" w:hAnsi="宋体" w:eastAsia="宋体" w:cs="宋体"/>
                <w:color w:val="auto"/>
                <w:szCs w:val="21"/>
              </w:rPr>
              <w:t>东城、南城、莞城、万江、石龙、石碣、高埗</w:t>
            </w:r>
          </w:p>
        </w:tc>
        <w:tc>
          <w:tcPr>
            <w:tcW w:w="1707" w:type="dxa"/>
            <w:tcBorders>
              <w:top w:val="single" w:color="auto" w:sz="4" w:space="0"/>
              <w:left w:val="single" w:color="auto" w:sz="4" w:space="0"/>
              <w:bottom w:val="single" w:color="auto" w:sz="4" w:space="0"/>
              <w:right w:val="single" w:color="auto" w:sz="4" w:space="0"/>
            </w:tcBorders>
            <w:vAlign w:val="center"/>
          </w:tcPr>
          <w:p w14:paraId="64A3E961">
            <w:pPr>
              <w:jc w:val="center"/>
              <w:rPr>
                <w:rFonts w:ascii="宋体" w:hAnsi="宋体" w:eastAsia="宋体" w:cs="宋体"/>
                <w:color w:val="auto"/>
                <w:szCs w:val="21"/>
              </w:rPr>
            </w:pPr>
            <w:r>
              <w:rPr>
                <w:rFonts w:hint="eastAsia" w:ascii="宋体" w:hAnsi="宋体" w:eastAsia="宋体" w:cs="宋体"/>
                <w:color w:val="auto"/>
                <w:szCs w:val="21"/>
              </w:rPr>
              <w:t>东城</w:t>
            </w:r>
          </w:p>
        </w:tc>
      </w:tr>
      <w:tr w14:paraId="747E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54323BA">
            <w:pPr>
              <w:jc w:val="center"/>
              <w:rPr>
                <w:rFonts w:ascii="宋体" w:hAnsi="宋体" w:eastAsia="宋体" w:cs="宋体"/>
                <w:color w:val="auto"/>
                <w:szCs w:val="21"/>
              </w:rPr>
            </w:pPr>
            <w:r>
              <w:rPr>
                <w:rFonts w:hint="eastAsia" w:ascii="宋体" w:hAnsi="宋体" w:eastAsia="宋体" w:cs="宋体"/>
                <w:color w:val="auto"/>
                <w:szCs w:val="21"/>
              </w:rPr>
              <w:t>2</w:t>
            </w:r>
          </w:p>
        </w:tc>
        <w:tc>
          <w:tcPr>
            <w:tcW w:w="1380" w:type="dxa"/>
            <w:tcBorders>
              <w:top w:val="single" w:color="auto" w:sz="4" w:space="0"/>
              <w:left w:val="single" w:color="auto" w:sz="4" w:space="0"/>
              <w:bottom w:val="single" w:color="auto" w:sz="4" w:space="0"/>
              <w:right w:val="single" w:color="auto" w:sz="4" w:space="0"/>
            </w:tcBorders>
            <w:vAlign w:val="center"/>
          </w:tcPr>
          <w:p w14:paraId="5BBE7ECB">
            <w:pPr>
              <w:jc w:val="center"/>
              <w:rPr>
                <w:rFonts w:ascii="宋体" w:hAnsi="宋体" w:eastAsia="宋体" w:cs="宋体"/>
                <w:color w:val="auto"/>
                <w:szCs w:val="21"/>
              </w:rPr>
            </w:pPr>
            <w:r>
              <w:rPr>
                <w:rFonts w:hint="eastAsia" w:ascii="宋体" w:hAnsi="宋体" w:eastAsia="宋体" w:cs="宋体"/>
                <w:color w:val="auto"/>
                <w:szCs w:val="21"/>
              </w:rPr>
              <w:t>第二片区</w:t>
            </w:r>
          </w:p>
        </w:tc>
        <w:tc>
          <w:tcPr>
            <w:tcW w:w="4570" w:type="dxa"/>
            <w:tcBorders>
              <w:top w:val="single" w:color="auto" w:sz="4" w:space="0"/>
              <w:left w:val="single" w:color="auto" w:sz="4" w:space="0"/>
              <w:bottom w:val="single" w:color="auto" w:sz="4" w:space="0"/>
              <w:right w:val="single" w:color="auto" w:sz="4" w:space="0"/>
            </w:tcBorders>
            <w:vAlign w:val="center"/>
          </w:tcPr>
          <w:p w14:paraId="361324FD">
            <w:pPr>
              <w:pStyle w:val="129"/>
              <w:ind w:firstLine="0" w:firstLineChars="0"/>
              <w:rPr>
                <w:rFonts w:ascii="宋体" w:hAnsi="宋体" w:eastAsia="宋体" w:cs="宋体"/>
                <w:color w:val="auto"/>
                <w:szCs w:val="21"/>
              </w:rPr>
            </w:pPr>
            <w:r>
              <w:rPr>
                <w:rFonts w:hint="eastAsia" w:ascii="宋体" w:hAnsi="宋体" w:eastAsia="宋体" w:cs="宋体"/>
                <w:color w:val="auto"/>
                <w:szCs w:val="21"/>
              </w:rPr>
              <w:t>松山湖（生态园）、大岭山、大朗、寮步、茶山、石排</w:t>
            </w:r>
          </w:p>
        </w:tc>
        <w:tc>
          <w:tcPr>
            <w:tcW w:w="1707" w:type="dxa"/>
            <w:tcBorders>
              <w:top w:val="single" w:color="auto" w:sz="4" w:space="0"/>
              <w:left w:val="single" w:color="auto" w:sz="4" w:space="0"/>
              <w:bottom w:val="single" w:color="auto" w:sz="4" w:space="0"/>
              <w:right w:val="single" w:color="auto" w:sz="4" w:space="0"/>
            </w:tcBorders>
            <w:vAlign w:val="center"/>
          </w:tcPr>
          <w:p w14:paraId="177EBF53">
            <w:pPr>
              <w:jc w:val="center"/>
              <w:rPr>
                <w:rFonts w:ascii="宋体" w:hAnsi="宋体" w:eastAsia="宋体" w:cs="宋体"/>
                <w:color w:val="auto"/>
                <w:szCs w:val="21"/>
              </w:rPr>
            </w:pPr>
            <w:r>
              <w:rPr>
                <w:rFonts w:hint="eastAsia" w:ascii="宋体" w:hAnsi="宋体" w:eastAsia="宋体" w:cs="宋体"/>
                <w:color w:val="auto"/>
                <w:szCs w:val="21"/>
              </w:rPr>
              <w:t>寮步</w:t>
            </w:r>
          </w:p>
        </w:tc>
      </w:tr>
      <w:tr w14:paraId="642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849DA45">
            <w:pPr>
              <w:jc w:val="center"/>
              <w:rPr>
                <w:rFonts w:ascii="宋体" w:hAnsi="宋体" w:eastAsia="宋体" w:cs="宋体"/>
                <w:color w:val="auto"/>
                <w:szCs w:val="21"/>
              </w:rPr>
            </w:pPr>
            <w:r>
              <w:rPr>
                <w:rFonts w:hint="eastAsia" w:ascii="宋体" w:hAnsi="宋体" w:eastAsia="宋体" w:cs="宋体"/>
                <w:color w:val="auto"/>
                <w:szCs w:val="21"/>
              </w:rPr>
              <w:t>3</w:t>
            </w:r>
          </w:p>
        </w:tc>
        <w:tc>
          <w:tcPr>
            <w:tcW w:w="1380" w:type="dxa"/>
            <w:tcBorders>
              <w:top w:val="single" w:color="auto" w:sz="4" w:space="0"/>
              <w:left w:val="single" w:color="auto" w:sz="4" w:space="0"/>
              <w:bottom w:val="single" w:color="auto" w:sz="4" w:space="0"/>
              <w:right w:val="single" w:color="auto" w:sz="4" w:space="0"/>
            </w:tcBorders>
            <w:vAlign w:val="center"/>
          </w:tcPr>
          <w:p w14:paraId="04475054">
            <w:pPr>
              <w:jc w:val="center"/>
              <w:rPr>
                <w:rFonts w:ascii="宋体" w:hAnsi="宋体" w:eastAsia="宋体" w:cs="宋体"/>
                <w:color w:val="auto"/>
                <w:szCs w:val="21"/>
              </w:rPr>
            </w:pPr>
            <w:r>
              <w:rPr>
                <w:rFonts w:hint="eastAsia" w:ascii="宋体" w:hAnsi="宋体" w:eastAsia="宋体" w:cs="宋体"/>
                <w:color w:val="auto"/>
                <w:szCs w:val="21"/>
              </w:rPr>
              <w:t>第三片区</w:t>
            </w:r>
          </w:p>
        </w:tc>
        <w:tc>
          <w:tcPr>
            <w:tcW w:w="4570" w:type="dxa"/>
            <w:tcBorders>
              <w:top w:val="single" w:color="auto" w:sz="4" w:space="0"/>
              <w:left w:val="single" w:color="auto" w:sz="4" w:space="0"/>
              <w:bottom w:val="single" w:color="auto" w:sz="4" w:space="0"/>
              <w:right w:val="single" w:color="auto" w:sz="4" w:space="0"/>
            </w:tcBorders>
            <w:vAlign w:val="center"/>
          </w:tcPr>
          <w:p w14:paraId="3EE15007">
            <w:pPr>
              <w:rPr>
                <w:rFonts w:ascii="宋体" w:hAnsi="宋体" w:eastAsia="宋体" w:cs="宋体"/>
                <w:color w:val="auto"/>
                <w:szCs w:val="21"/>
              </w:rPr>
            </w:pPr>
            <w:r>
              <w:rPr>
                <w:rFonts w:hint="eastAsia" w:ascii="宋体" w:hAnsi="宋体" w:eastAsia="宋体" w:cs="宋体"/>
                <w:color w:val="auto"/>
                <w:szCs w:val="21"/>
              </w:rPr>
              <w:t>滨海湾、虎门、长安、厚街、沙田（虎门港）</w:t>
            </w:r>
          </w:p>
        </w:tc>
        <w:tc>
          <w:tcPr>
            <w:tcW w:w="1707" w:type="dxa"/>
            <w:tcBorders>
              <w:top w:val="single" w:color="auto" w:sz="4" w:space="0"/>
              <w:left w:val="single" w:color="auto" w:sz="4" w:space="0"/>
              <w:bottom w:val="single" w:color="auto" w:sz="4" w:space="0"/>
              <w:right w:val="single" w:color="auto" w:sz="4" w:space="0"/>
            </w:tcBorders>
            <w:vAlign w:val="center"/>
          </w:tcPr>
          <w:p w14:paraId="64C7E825">
            <w:pPr>
              <w:jc w:val="center"/>
              <w:rPr>
                <w:rFonts w:ascii="宋体" w:hAnsi="宋体" w:eastAsia="宋体" w:cs="宋体"/>
                <w:color w:val="auto"/>
                <w:szCs w:val="21"/>
              </w:rPr>
            </w:pPr>
            <w:r>
              <w:rPr>
                <w:rFonts w:hint="eastAsia" w:ascii="宋体" w:hAnsi="宋体" w:eastAsia="宋体" w:cs="宋体"/>
                <w:color w:val="auto"/>
                <w:szCs w:val="21"/>
              </w:rPr>
              <w:t>沙田</w:t>
            </w:r>
          </w:p>
        </w:tc>
      </w:tr>
      <w:tr w14:paraId="1799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C96C297">
            <w:pPr>
              <w:jc w:val="center"/>
              <w:rPr>
                <w:rFonts w:ascii="宋体" w:hAnsi="宋体" w:eastAsia="宋体" w:cs="宋体"/>
                <w:color w:val="auto"/>
                <w:szCs w:val="21"/>
              </w:rPr>
            </w:pPr>
            <w:r>
              <w:rPr>
                <w:rFonts w:hint="eastAsia" w:ascii="宋体" w:hAnsi="宋体" w:eastAsia="宋体" w:cs="宋体"/>
                <w:color w:val="auto"/>
                <w:szCs w:val="21"/>
              </w:rPr>
              <w:t>4</w:t>
            </w:r>
          </w:p>
        </w:tc>
        <w:tc>
          <w:tcPr>
            <w:tcW w:w="1380" w:type="dxa"/>
            <w:tcBorders>
              <w:top w:val="single" w:color="auto" w:sz="4" w:space="0"/>
              <w:left w:val="single" w:color="auto" w:sz="4" w:space="0"/>
              <w:bottom w:val="single" w:color="auto" w:sz="4" w:space="0"/>
              <w:right w:val="single" w:color="auto" w:sz="4" w:space="0"/>
            </w:tcBorders>
            <w:vAlign w:val="center"/>
          </w:tcPr>
          <w:p w14:paraId="3EB414FD">
            <w:pPr>
              <w:jc w:val="center"/>
              <w:rPr>
                <w:rFonts w:ascii="宋体" w:hAnsi="宋体" w:eastAsia="宋体" w:cs="宋体"/>
                <w:color w:val="auto"/>
                <w:szCs w:val="21"/>
              </w:rPr>
            </w:pPr>
            <w:r>
              <w:rPr>
                <w:rFonts w:hint="eastAsia" w:ascii="宋体" w:hAnsi="宋体" w:eastAsia="宋体" w:cs="宋体"/>
                <w:color w:val="auto"/>
                <w:szCs w:val="21"/>
              </w:rPr>
              <w:t>第四片区</w:t>
            </w:r>
          </w:p>
        </w:tc>
        <w:tc>
          <w:tcPr>
            <w:tcW w:w="4570" w:type="dxa"/>
            <w:tcBorders>
              <w:top w:val="single" w:color="auto" w:sz="4" w:space="0"/>
              <w:left w:val="single" w:color="auto" w:sz="4" w:space="0"/>
              <w:bottom w:val="single" w:color="auto" w:sz="4" w:space="0"/>
              <w:right w:val="single" w:color="auto" w:sz="4" w:space="0"/>
            </w:tcBorders>
            <w:vAlign w:val="center"/>
          </w:tcPr>
          <w:p w14:paraId="1D960AC0">
            <w:pPr>
              <w:rPr>
                <w:rFonts w:ascii="宋体" w:hAnsi="宋体" w:eastAsia="宋体" w:cs="宋体"/>
                <w:color w:val="auto"/>
                <w:szCs w:val="21"/>
              </w:rPr>
            </w:pPr>
            <w:r>
              <w:rPr>
                <w:rFonts w:hint="eastAsia" w:ascii="宋体" w:hAnsi="宋体" w:eastAsia="宋体" w:cs="宋体"/>
                <w:color w:val="auto"/>
                <w:szCs w:val="21"/>
              </w:rPr>
              <w:t>麻涌、中堂、望牛墩、道滘、洪梅</w:t>
            </w:r>
          </w:p>
        </w:tc>
        <w:tc>
          <w:tcPr>
            <w:tcW w:w="1707" w:type="dxa"/>
            <w:tcBorders>
              <w:top w:val="single" w:color="auto" w:sz="4" w:space="0"/>
              <w:left w:val="single" w:color="auto" w:sz="4" w:space="0"/>
              <w:bottom w:val="single" w:color="auto" w:sz="4" w:space="0"/>
              <w:right w:val="single" w:color="auto" w:sz="4" w:space="0"/>
            </w:tcBorders>
            <w:vAlign w:val="center"/>
          </w:tcPr>
          <w:p w14:paraId="20271D40">
            <w:pPr>
              <w:jc w:val="center"/>
              <w:rPr>
                <w:rFonts w:ascii="宋体" w:hAnsi="宋体" w:eastAsia="宋体" w:cs="宋体"/>
                <w:color w:val="auto"/>
                <w:szCs w:val="21"/>
              </w:rPr>
            </w:pPr>
            <w:r>
              <w:rPr>
                <w:rFonts w:hint="eastAsia" w:ascii="宋体" w:hAnsi="宋体" w:eastAsia="宋体" w:cs="宋体"/>
                <w:color w:val="auto"/>
                <w:szCs w:val="21"/>
              </w:rPr>
              <w:t>道滘</w:t>
            </w:r>
          </w:p>
        </w:tc>
      </w:tr>
      <w:tr w14:paraId="6E16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755EA77">
            <w:pPr>
              <w:jc w:val="center"/>
              <w:rPr>
                <w:rFonts w:ascii="宋体" w:hAnsi="宋体" w:eastAsia="宋体" w:cs="宋体"/>
                <w:color w:val="auto"/>
                <w:szCs w:val="21"/>
              </w:rPr>
            </w:pPr>
            <w:r>
              <w:rPr>
                <w:rFonts w:hint="eastAsia" w:ascii="宋体" w:hAnsi="宋体" w:eastAsia="宋体" w:cs="宋体"/>
                <w:color w:val="auto"/>
                <w:szCs w:val="21"/>
              </w:rPr>
              <w:t>5</w:t>
            </w:r>
          </w:p>
        </w:tc>
        <w:tc>
          <w:tcPr>
            <w:tcW w:w="1380" w:type="dxa"/>
            <w:tcBorders>
              <w:top w:val="single" w:color="auto" w:sz="4" w:space="0"/>
              <w:left w:val="single" w:color="auto" w:sz="4" w:space="0"/>
              <w:bottom w:val="single" w:color="auto" w:sz="4" w:space="0"/>
              <w:right w:val="single" w:color="auto" w:sz="4" w:space="0"/>
            </w:tcBorders>
            <w:vAlign w:val="center"/>
          </w:tcPr>
          <w:p w14:paraId="06108936">
            <w:pPr>
              <w:jc w:val="center"/>
              <w:rPr>
                <w:rFonts w:ascii="宋体" w:hAnsi="宋体" w:eastAsia="宋体" w:cs="宋体"/>
                <w:color w:val="auto"/>
                <w:szCs w:val="21"/>
              </w:rPr>
            </w:pPr>
            <w:r>
              <w:rPr>
                <w:rFonts w:hint="eastAsia" w:ascii="宋体" w:hAnsi="宋体" w:eastAsia="宋体" w:cs="宋体"/>
                <w:color w:val="auto"/>
                <w:szCs w:val="21"/>
              </w:rPr>
              <w:t>第五片区</w:t>
            </w:r>
          </w:p>
        </w:tc>
        <w:tc>
          <w:tcPr>
            <w:tcW w:w="4570" w:type="dxa"/>
            <w:tcBorders>
              <w:top w:val="single" w:color="auto" w:sz="4" w:space="0"/>
              <w:left w:val="single" w:color="auto" w:sz="4" w:space="0"/>
              <w:bottom w:val="single" w:color="auto" w:sz="4" w:space="0"/>
              <w:right w:val="single" w:color="auto" w:sz="4" w:space="0"/>
            </w:tcBorders>
            <w:vAlign w:val="center"/>
          </w:tcPr>
          <w:p w14:paraId="436C9603">
            <w:pPr>
              <w:pStyle w:val="129"/>
              <w:ind w:firstLine="0" w:firstLineChars="0"/>
              <w:rPr>
                <w:rFonts w:ascii="宋体" w:hAnsi="宋体" w:eastAsia="宋体" w:cs="宋体"/>
                <w:color w:val="auto"/>
                <w:szCs w:val="21"/>
              </w:rPr>
            </w:pPr>
            <w:r>
              <w:rPr>
                <w:rFonts w:hint="eastAsia" w:ascii="宋体" w:hAnsi="宋体" w:eastAsia="宋体" w:cs="宋体"/>
                <w:color w:val="auto"/>
                <w:szCs w:val="21"/>
              </w:rPr>
              <w:t>常平、桥头、企石、横沥、东坑、黄江</w:t>
            </w:r>
          </w:p>
        </w:tc>
        <w:tc>
          <w:tcPr>
            <w:tcW w:w="1707" w:type="dxa"/>
            <w:tcBorders>
              <w:top w:val="single" w:color="auto" w:sz="4" w:space="0"/>
              <w:left w:val="single" w:color="auto" w:sz="4" w:space="0"/>
              <w:bottom w:val="single" w:color="auto" w:sz="4" w:space="0"/>
              <w:right w:val="single" w:color="auto" w:sz="4" w:space="0"/>
            </w:tcBorders>
            <w:vAlign w:val="center"/>
          </w:tcPr>
          <w:p w14:paraId="37C3D02D">
            <w:pPr>
              <w:jc w:val="center"/>
              <w:rPr>
                <w:rFonts w:ascii="宋体" w:hAnsi="宋体" w:eastAsia="宋体" w:cs="宋体"/>
                <w:color w:val="auto"/>
                <w:szCs w:val="21"/>
              </w:rPr>
            </w:pPr>
            <w:r>
              <w:rPr>
                <w:rFonts w:hint="eastAsia" w:ascii="宋体" w:hAnsi="宋体" w:eastAsia="宋体" w:cs="宋体"/>
                <w:color w:val="auto"/>
                <w:szCs w:val="21"/>
              </w:rPr>
              <w:t>横沥</w:t>
            </w:r>
          </w:p>
        </w:tc>
      </w:tr>
      <w:tr w14:paraId="7372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0338C16">
            <w:pPr>
              <w:jc w:val="center"/>
              <w:rPr>
                <w:rFonts w:ascii="宋体" w:hAnsi="宋体" w:eastAsia="宋体" w:cs="宋体"/>
                <w:color w:val="auto"/>
                <w:szCs w:val="21"/>
              </w:rPr>
            </w:pPr>
            <w:r>
              <w:rPr>
                <w:rFonts w:hint="eastAsia" w:ascii="宋体" w:hAnsi="宋体" w:eastAsia="宋体" w:cs="宋体"/>
                <w:color w:val="auto"/>
                <w:szCs w:val="21"/>
              </w:rPr>
              <w:t>6</w:t>
            </w:r>
          </w:p>
        </w:tc>
        <w:tc>
          <w:tcPr>
            <w:tcW w:w="1380" w:type="dxa"/>
            <w:tcBorders>
              <w:top w:val="single" w:color="auto" w:sz="4" w:space="0"/>
              <w:left w:val="single" w:color="auto" w:sz="4" w:space="0"/>
              <w:bottom w:val="single" w:color="auto" w:sz="4" w:space="0"/>
              <w:right w:val="single" w:color="auto" w:sz="4" w:space="0"/>
            </w:tcBorders>
            <w:vAlign w:val="center"/>
          </w:tcPr>
          <w:p w14:paraId="34921085">
            <w:pPr>
              <w:jc w:val="center"/>
              <w:rPr>
                <w:rFonts w:ascii="宋体" w:hAnsi="宋体" w:eastAsia="宋体" w:cs="宋体"/>
                <w:color w:val="auto"/>
                <w:szCs w:val="21"/>
              </w:rPr>
            </w:pPr>
            <w:r>
              <w:rPr>
                <w:rFonts w:hint="eastAsia" w:ascii="宋体" w:hAnsi="宋体" w:eastAsia="宋体" w:cs="宋体"/>
                <w:color w:val="auto"/>
                <w:szCs w:val="21"/>
              </w:rPr>
              <w:t>第六片区</w:t>
            </w:r>
          </w:p>
        </w:tc>
        <w:tc>
          <w:tcPr>
            <w:tcW w:w="4570" w:type="dxa"/>
            <w:tcBorders>
              <w:top w:val="single" w:color="auto" w:sz="4" w:space="0"/>
              <w:left w:val="single" w:color="auto" w:sz="4" w:space="0"/>
              <w:bottom w:val="single" w:color="auto" w:sz="4" w:space="0"/>
              <w:right w:val="single" w:color="auto" w:sz="4" w:space="0"/>
            </w:tcBorders>
            <w:vAlign w:val="center"/>
          </w:tcPr>
          <w:p w14:paraId="629080B3">
            <w:pPr>
              <w:rPr>
                <w:rFonts w:ascii="宋体" w:hAnsi="宋体" w:eastAsia="宋体" w:cs="宋体"/>
                <w:color w:val="auto"/>
                <w:szCs w:val="21"/>
              </w:rPr>
            </w:pPr>
            <w:r>
              <w:rPr>
                <w:rFonts w:hint="eastAsia" w:ascii="宋体" w:hAnsi="宋体" w:eastAsia="宋体" w:cs="宋体"/>
                <w:color w:val="auto"/>
                <w:szCs w:val="21"/>
              </w:rPr>
              <w:t>谢岗、樟木头、塘厦、清溪、凤岗</w:t>
            </w:r>
          </w:p>
        </w:tc>
        <w:tc>
          <w:tcPr>
            <w:tcW w:w="1707" w:type="dxa"/>
            <w:tcBorders>
              <w:top w:val="single" w:color="auto" w:sz="4" w:space="0"/>
              <w:left w:val="single" w:color="auto" w:sz="4" w:space="0"/>
              <w:bottom w:val="single" w:color="auto" w:sz="4" w:space="0"/>
              <w:right w:val="single" w:color="auto" w:sz="4" w:space="0"/>
            </w:tcBorders>
            <w:vAlign w:val="center"/>
          </w:tcPr>
          <w:p w14:paraId="5CA650AE">
            <w:pPr>
              <w:jc w:val="center"/>
              <w:rPr>
                <w:rFonts w:ascii="宋体" w:hAnsi="宋体" w:eastAsia="宋体" w:cs="宋体"/>
                <w:color w:val="auto"/>
                <w:szCs w:val="21"/>
              </w:rPr>
            </w:pPr>
            <w:r>
              <w:rPr>
                <w:rFonts w:hint="eastAsia" w:ascii="宋体" w:hAnsi="宋体" w:eastAsia="宋体" w:cs="宋体"/>
                <w:color w:val="auto"/>
                <w:szCs w:val="21"/>
              </w:rPr>
              <w:t>塘厦</w:t>
            </w:r>
          </w:p>
        </w:tc>
      </w:tr>
    </w:tbl>
    <w:p w14:paraId="7A8964EA">
      <w:pPr>
        <w:pStyle w:val="19"/>
        <w:ind w:firstLine="210"/>
        <w:rPr>
          <w:rFonts w:ascii="宋体" w:hAnsi="宋体" w:eastAsia="宋体" w:cs="宋体"/>
          <w:color w:val="auto"/>
          <w:szCs w:val="21"/>
        </w:rPr>
      </w:pPr>
    </w:p>
    <w:p w14:paraId="03F14CF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1.3 涉及到成套设备或专业化技术要求较高的设备设施维修项目，如乙方不具备该项技术服务能力（如特种车辆）或行业准入资格，或由政府主管部门要求统一由第三方运营服务的项目，甲方有权另行委托专业的技术服务单位进行专项服务，乙方对此无异议。</w:t>
      </w:r>
    </w:p>
    <w:p w14:paraId="5B21444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1.4 甲方机电设备维修服务项目由甲方自主实施维修、重置、技改以及物资采购。本合同仅对甲方维修力量不足、工器具、车辆、场地等条件不具备或是紧急维修，而乙方又具备技术服务能力的项目才发包给乙方，乙方不得要求甲方将辖下机电项目里的设备设施维护、维修、采购技术服务等发包给乙方实施，实际发包项目以甲方通知为准。在合同服务期内乙方不得因实际机电设备维修项目数量及服务费用的增减而要求甲方提供任何形式的补偿或赔偿，或只按甲方暂定的维修项目费用提供相应的机电设备维修服务。</w:t>
      </w:r>
    </w:p>
    <w:p w14:paraId="2644BD9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1.5</w:t>
      </w:r>
      <w:bookmarkStart w:id="375" w:name="OLE_LINK7"/>
      <w:r>
        <w:rPr>
          <w:rFonts w:hint="eastAsia" w:ascii="宋体" w:hAnsi="宋体" w:eastAsia="宋体" w:cs="宋体"/>
          <w:color w:val="auto"/>
          <w:szCs w:val="21"/>
        </w:rPr>
        <w:t xml:space="preserve"> 依法或甲方认为需另行采购的单项项目、涉及起重设备、压力容器、高压配电设备等需特种设备作业资质的设备设施技术服务不在本次合同服务范围内，如乙方具备《承装（修、试）电力设施许可证》及自有电力</w:t>
      </w:r>
      <w:bookmarkEnd w:id="375"/>
      <w:r>
        <w:rPr>
          <w:rFonts w:hint="eastAsia" w:ascii="宋体" w:hAnsi="宋体" w:eastAsia="宋体" w:cs="宋体"/>
          <w:color w:val="auto"/>
          <w:szCs w:val="21"/>
        </w:rPr>
        <w:t>抢修队伍，可以根据实际需要委派高压配电抢修任务；起重设备的维修甲方另外委外具备相应资质的起重机维修保养单位实施。</w:t>
      </w:r>
    </w:p>
    <w:p w14:paraId="36294DDA">
      <w:pPr>
        <w:pStyle w:val="19"/>
        <w:spacing w:line="360" w:lineRule="auto"/>
        <w:ind w:firstLineChars="200"/>
        <w:rPr>
          <w:rFonts w:ascii="宋体" w:hAnsi="宋体" w:eastAsia="宋体" w:cs="宋体"/>
          <w:color w:val="auto"/>
          <w:kern w:val="0"/>
          <w:szCs w:val="21"/>
        </w:rPr>
      </w:pPr>
      <w:r>
        <w:rPr>
          <w:rFonts w:hint="eastAsia" w:ascii="宋体" w:hAnsi="宋体" w:eastAsia="宋体" w:cs="宋体"/>
          <w:color w:val="auto"/>
          <w:kern w:val="0"/>
          <w:szCs w:val="21"/>
        </w:rPr>
        <w:t>1.8本项目中标后不代表包组内所有业务必须委托乙方实施，根据相关法律、法规、行业主管部门、甲方（含其分公司、项目公司、子公司）相关制度规定，或甲方认为需单独进行采购的服务项目，甲方有权通过招投标确立或委托其他单位实施，乙方不得因此提出异议及提出费用补偿需求。</w:t>
      </w:r>
    </w:p>
    <w:p w14:paraId="699C666E">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二、服务方式要求</w:t>
      </w:r>
    </w:p>
    <w:p w14:paraId="301279A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2.1 服务方式的确定：</w:t>
      </w:r>
    </w:p>
    <w:p w14:paraId="4FD2DB6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在合同服务期内，对于服务范围内的项目，在设置各单项报价最高限价（估算或预算）后：</w:t>
      </w:r>
    </w:p>
    <w:p w14:paraId="673709E7">
      <w:pPr>
        <w:spacing w:line="360" w:lineRule="auto"/>
        <w:ind w:firstLine="420"/>
        <w:rPr>
          <w:rFonts w:ascii="宋体" w:hAnsi="宋体" w:eastAsia="宋体" w:cs="宋体"/>
          <w:color w:val="auto"/>
          <w:szCs w:val="21"/>
        </w:rPr>
      </w:pPr>
      <w:r>
        <w:rPr>
          <w:rFonts w:hint="eastAsia" w:ascii="宋体" w:hAnsi="宋体" w:eastAsia="宋体" w:cs="宋体"/>
          <w:b/>
          <w:color w:val="auto"/>
          <w:szCs w:val="21"/>
        </w:rPr>
        <w:t>2.1.1 甲方通过固定下浮率5%直接派单的方式向乙方确定单项机电设备维修服务项目资格，乙方根据甲方提供的服务内容子项单价按固定下浮率5%作为服务内容子项中标单价。在服务期内发生服务内容子项以内的服务项目参考《机电设备维修服务项目常用清单库》（以下简称“机电清单库”）（详见附件</w:t>
      </w:r>
      <w:r>
        <w:rPr>
          <w:rFonts w:hint="eastAsia" w:ascii="宋体" w:hAnsi="宋体" w:eastAsia="宋体" w:cs="宋体"/>
          <w:b/>
          <w:color w:val="auto"/>
          <w:szCs w:val="21"/>
          <w:lang w:val="en-US" w:eastAsia="zh-CN"/>
        </w:rPr>
        <w:t>5</w:t>
      </w:r>
      <w:r>
        <w:rPr>
          <w:rFonts w:hint="eastAsia" w:ascii="宋体" w:hAnsi="宋体" w:eastAsia="宋体" w:cs="宋体"/>
          <w:b/>
          <w:color w:val="auto"/>
          <w:szCs w:val="21"/>
        </w:rPr>
        <w:t>）按固定下浮率5%进行计算；</w:t>
      </w:r>
      <w:r>
        <w:rPr>
          <w:rFonts w:hint="eastAsia" w:ascii="宋体" w:hAnsi="宋体" w:eastAsia="宋体" w:cs="宋体"/>
          <w:b/>
          <w:bCs/>
          <w:color w:val="auto"/>
          <w:szCs w:val="21"/>
        </w:rPr>
        <w:t>机电清单库在使用过程中，广东省或东莞市相关行业主管部门如有新的定额、计价规范及标准颁布，甲方有权按最新的相关规定修改机电清单库，且有权根据项目实际需要增补清单项。</w:t>
      </w:r>
      <w:r>
        <w:rPr>
          <w:rFonts w:hint="eastAsia" w:ascii="宋体" w:hAnsi="宋体" w:eastAsia="宋体" w:cs="宋体"/>
          <w:color w:val="auto"/>
          <w:szCs w:val="21"/>
        </w:rPr>
        <w:t>乙方获得单项机电设备维修服务项目资格后，</w:t>
      </w:r>
      <w:r>
        <w:rPr>
          <w:rFonts w:hint="eastAsia" w:ascii="宋体" w:hAnsi="宋体" w:eastAsia="宋体" w:cs="宋体"/>
          <w:b/>
          <w:bCs/>
          <w:color w:val="auto"/>
          <w:szCs w:val="21"/>
        </w:rPr>
        <w:t>甲方通过项目承接确认协议书的形式直接委托乙方实施，双方就单项项目签订项目承接确认协议书。</w:t>
      </w:r>
    </w:p>
    <w:p w14:paraId="4583D1D0">
      <w:pPr>
        <w:spacing w:line="360" w:lineRule="auto"/>
        <w:rPr>
          <w:rFonts w:ascii="宋体" w:hAnsi="宋体" w:eastAsia="宋体" w:cs="宋体"/>
          <w:color w:val="auto"/>
          <w:szCs w:val="21"/>
        </w:rPr>
      </w:pPr>
      <w:r>
        <w:rPr>
          <w:rFonts w:hint="eastAsia" w:ascii="宋体" w:hAnsi="宋体" w:eastAsia="宋体" w:cs="宋体"/>
          <w:color w:val="auto"/>
          <w:szCs w:val="21"/>
        </w:rPr>
        <w:t xml:space="preserve">    2.2 乙方在接到项目承接确认协议书后2个小时内需予以电话或信息响应，并于次日（包括节假日）上午12：00前正式实际性的开展所需的技术服务工作，并于接到项目承接确认协议书后的3个自然日内提交技术服务方案和甲方要求的安全资料给甲方审核。对于特别紧急的技术服务项目，乙方在接到项目承接确认协议书后3个小时内需实际性的开展所需的技术服务工作。</w:t>
      </w:r>
    </w:p>
    <w:p w14:paraId="6D14EBC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2.3 合同服务期限内，</w:t>
      </w:r>
      <w:bookmarkStart w:id="376" w:name="OLE_LINK14"/>
      <w:r>
        <w:rPr>
          <w:rFonts w:hint="eastAsia" w:ascii="宋体" w:hAnsi="宋体" w:eastAsia="宋体" w:cs="宋体"/>
          <w:color w:val="auto"/>
          <w:szCs w:val="21"/>
        </w:rPr>
        <w:t>乙方有任何一单不按响应时间提供服务的，或以非正当理由（如在工程量双方确认无误的情况下，以价格低拒绝接单的或无相关施工经验拒绝接单的及同时施工点数量未饱和的情况，以人手不足为理由拒绝接单等行为均视为非正当理由）拒绝委派任务</w:t>
      </w:r>
      <w:bookmarkEnd w:id="376"/>
      <w:r>
        <w:rPr>
          <w:rFonts w:hint="eastAsia" w:ascii="宋体" w:hAnsi="宋体" w:eastAsia="宋体" w:cs="宋体"/>
          <w:color w:val="auto"/>
          <w:szCs w:val="21"/>
        </w:rPr>
        <w:t>、承接项目后无故中途退场，均视为乙方违约，乙方需承担本合同约定的违约责任。</w:t>
      </w:r>
    </w:p>
    <w:p w14:paraId="56A7367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2.4 甲方通过向乙方发出项目承接确认协议书的形式启动开展工作。如果甲方已经委派给乙方项目服务工作，乙方因自身原因造成项目进度滞后，甲方发送整改通知书后达到约定整改期限仍未完成整改的，或者达到约定工期后仍未完工的，甲方有权另外委托第三方单位承接该项服务，并要求乙方承担因此产生的费用，且甲方有权暂停乙方继续承接甲方的业务，依据本合同条款对乙方提出索赔，直至乙方采取积极措施消除其已承接的服务项目滞后的状况。对于乙方已完工的部分工程量根据合同约定按实结算。</w:t>
      </w:r>
    </w:p>
    <w:p w14:paraId="67E1848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 因乙方被暂停服务资格或单项服务项目急剧增加而造成乙方无法满足甲方正常工作需求的，甲方有权视具体情况按相关规定选取其他符合条件的服务单位对机电设备维修服务项目予以承接，乙方对此无异议。</w:t>
      </w:r>
    </w:p>
    <w:p w14:paraId="51A59D8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2.6 如乙方在项目实施过程中触发停止委派机制或解除合同时，则该片区的服务由甲方按照相关流程确定其他服务单位承接，直至乙方恢复接单资格或甲方重新招标确定该片区服务单位（当剩余合同期少于6个月时，直至合同期结束）为止。</w:t>
      </w:r>
    </w:p>
    <w:p w14:paraId="5998711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2.7 合同服务期限内，乙方不得因为不可抗力、国家建设需要、其他客观原因向甲方要求补偿。甲方除按实际服务发生的工程量和合同的约定支付费用外，不向乙方支付任何的服务费用及补偿，乙方不得以任何形式向甲方追究相关责任。</w:t>
      </w:r>
    </w:p>
    <w:p w14:paraId="4837A30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2.8 本合同服务范围内的机电设备维修服务项目，存在施工地点位置分布不一（分布于东莞市各镇街、园区）、工程量大小不一、投资规模不一、施工地点性质不一（街区、野外、道路或河边等）等特点，乙方投标前应当充分考虑上述这些因素并以此配置相应设备设施，不能以上述项目特征为由拒绝接单或因此要求甲方提供任何形式的赔偿。同时，乙方取得本合同项下的服务资格并不意味着本包组内所有单项机电设备服务项目的提供，甲方无法预计也无法保证乙方所能获得的具体单项服务项目数量和具体的金额，具体实施项目由甲方根据实际要求进行委派。</w:t>
      </w:r>
    </w:p>
    <w:p w14:paraId="19750574">
      <w:pPr>
        <w:pStyle w:val="19"/>
        <w:spacing w:line="360" w:lineRule="auto"/>
        <w:ind w:firstLineChars="200"/>
        <w:contextualSpacing/>
        <w:rPr>
          <w:rFonts w:ascii="宋体" w:hAnsi="宋体" w:eastAsia="宋体" w:cs="宋体"/>
          <w:color w:val="auto"/>
          <w:kern w:val="0"/>
          <w:szCs w:val="21"/>
        </w:rPr>
      </w:pPr>
      <w:r>
        <w:rPr>
          <w:rFonts w:hint="eastAsia" w:ascii="宋体" w:hAnsi="宋体" w:eastAsia="宋体" w:cs="宋体"/>
          <w:color w:val="auto"/>
          <w:szCs w:val="21"/>
        </w:rPr>
        <w:t>2.9 在合同服务期内，甲方根据机电设备维修项目的实际需要，由甲方与乙方确认的项目承接确认协议书确定工作内容、服务时限等要求，项目承接确认协议书中单项服务项目的下浮率将作为</w:t>
      </w:r>
      <w:r>
        <w:rPr>
          <w:rFonts w:hint="eastAsia" w:ascii="宋体" w:hAnsi="宋体" w:eastAsia="宋体" w:cs="宋体"/>
          <w:color w:val="auto"/>
          <w:kern w:val="0"/>
          <w:szCs w:val="21"/>
        </w:rPr>
        <w:t>结算依据。项目承接确认协议书作为本合同的附件，与本合同同具法律效力。</w:t>
      </w:r>
    </w:p>
    <w:p w14:paraId="395EED70">
      <w:pPr>
        <w:pStyle w:val="19"/>
        <w:spacing w:line="360" w:lineRule="auto"/>
        <w:ind w:firstLineChars="200"/>
        <w:contextualSpacing/>
        <w:rPr>
          <w:rFonts w:ascii="宋体" w:hAnsi="宋体" w:eastAsia="宋体" w:cs="宋体"/>
          <w:color w:val="auto"/>
          <w:kern w:val="0"/>
          <w:szCs w:val="21"/>
        </w:rPr>
      </w:pPr>
      <w:r>
        <w:rPr>
          <w:rFonts w:hint="eastAsia" w:ascii="宋体" w:hAnsi="宋体" w:eastAsia="宋体" w:cs="宋体"/>
          <w:color w:val="auto"/>
          <w:kern w:val="0"/>
          <w:szCs w:val="21"/>
        </w:rPr>
        <w:t>2.10 对于乙方在合同服务期内承接，但在合同服务期届满前尚未完成的单项项目，乙方仍须按本合同、项目承接确认协议书、用户需求书等约定的权利义务完成单项项目，乙方对此无异议。</w:t>
      </w:r>
    </w:p>
    <w:p w14:paraId="09C7A14E">
      <w:pPr>
        <w:pStyle w:val="19"/>
        <w:spacing w:line="360" w:lineRule="auto"/>
        <w:ind w:firstLineChars="200"/>
        <w:contextualSpacing/>
        <w:rPr>
          <w:rFonts w:ascii="宋体" w:hAnsi="宋体" w:eastAsia="宋体" w:cs="宋体"/>
          <w:color w:val="auto"/>
          <w:kern w:val="0"/>
          <w:szCs w:val="21"/>
        </w:rPr>
      </w:pPr>
      <w:r>
        <w:rPr>
          <w:rFonts w:hint="eastAsia" w:ascii="宋体" w:hAnsi="宋体" w:eastAsia="宋体" w:cs="宋体"/>
          <w:color w:val="auto"/>
          <w:kern w:val="0"/>
          <w:szCs w:val="21"/>
        </w:rPr>
        <w:t>2.11 乙方应遵守甲方《东莞市水务集团管网有限公司机电设备委外维修供应商管理办法（试行）》（以下简称《管理办法》），并按照该《管理办法》提供服务。若因甲方临时变更服务范围，乙方应无条件服从甲方的要求。乙方应遵循《东莞市水务集团管网有限公司机电设备委外维修供应商管理办法（试行）》（以下简称《管理办法》，甲方有权结合实际对《管理办法》进行修订，并书面通知乙方；乙方若不接受，可以在3个工作日内申请退出并解除合同，否则，视为同意并遵守修订后的《管理办法》）约定，针对乙方的违约行为，甲方有权对其采取警告（包括但不限于发出监理整改通知单、预处罚通知单、各类通报、约谈等）、处以违约金、没收履约担保及解除合同等手段。</w:t>
      </w:r>
    </w:p>
    <w:p w14:paraId="4A83E8FB">
      <w:pPr>
        <w:pStyle w:val="19"/>
        <w:spacing w:line="360" w:lineRule="auto"/>
        <w:ind w:firstLineChars="200"/>
        <w:contextualSpacing/>
        <w:rPr>
          <w:rFonts w:ascii="宋体" w:hAnsi="宋体" w:eastAsia="宋体" w:cs="宋体"/>
          <w:color w:val="auto"/>
          <w:kern w:val="0"/>
          <w:szCs w:val="21"/>
        </w:rPr>
      </w:pPr>
      <w:r>
        <w:rPr>
          <w:rFonts w:hint="eastAsia" w:ascii="宋体" w:hAnsi="宋体" w:eastAsia="宋体" w:cs="宋体"/>
          <w:color w:val="auto"/>
          <w:kern w:val="0"/>
          <w:szCs w:val="21"/>
        </w:rPr>
        <w:t>2.12 乙方在服务期限内，在履行本合同、甲方招标文件（含公告、《管理办法》、项目承接确认协议书）、投标文件等约定的义务过程中出现违反国家法律法规、主管部门规章制度、擅自提高价格或提供伪劣服务内容、服务质量低劣造成甲方损失等情况的，甲方有权视不同情况分别给予警告、没收履约担保或取消其服务资格等处罚。</w:t>
      </w:r>
    </w:p>
    <w:p w14:paraId="418DAF23">
      <w:pPr>
        <w:pStyle w:val="19"/>
        <w:spacing w:line="360" w:lineRule="auto"/>
        <w:ind w:firstLineChars="200"/>
        <w:contextualSpacing/>
        <w:rPr>
          <w:rFonts w:ascii="宋体" w:hAnsi="宋体" w:eastAsia="宋体" w:cs="宋体"/>
          <w:color w:val="auto"/>
          <w:kern w:val="0"/>
          <w:szCs w:val="21"/>
        </w:rPr>
      </w:pPr>
      <w:r>
        <w:rPr>
          <w:rFonts w:hint="eastAsia" w:ascii="宋体" w:hAnsi="宋体" w:eastAsia="宋体" w:cs="宋体"/>
          <w:color w:val="auto"/>
          <w:kern w:val="0"/>
          <w:szCs w:val="21"/>
        </w:rPr>
        <w:t>2.13 如行业主管部门、国资委、行政主管部门对项目实施方有资质或许可要求，该项目的服务单位须在符合资质、许可的单位中产生，乙方不得持反对意见。</w:t>
      </w:r>
    </w:p>
    <w:p w14:paraId="7384B644">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三、服务期限</w:t>
      </w:r>
    </w:p>
    <w:p w14:paraId="455145C4">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 xml:space="preserve">3.1 </w:t>
      </w:r>
      <w:r>
        <w:rPr>
          <w:rFonts w:hint="eastAsia" w:ascii="宋体" w:hAnsi="宋体" w:eastAsia="宋体" w:cs="宋体"/>
          <w:b/>
          <w:bCs/>
          <w:color w:val="auto"/>
          <w:szCs w:val="21"/>
        </w:rPr>
        <w:t>服务期：自本合同生效之日起至****年**月**日（即****年**月**日后不再委派新任务，已委派任务的单项项目乙方仍需按照本合同、项目承接确认协议书、用户需求书的约定完成履约及承担相应责任）。</w:t>
      </w:r>
    </w:p>
    <w:p w14:paraId="59EE3BC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3.2 </w:t>
      </w:r>
      <w:r>
        <w:rPr>
          <w:rFonts w:hint="eastAsia" w:ascii="宋体" w:hAnsi="宋体" w:eastAsia="宋体" w:cs="宋体"/>
          <w:b/>
          <w:bCs/>
          <w:color w:val="auto"/>
          <w:szCs w:val="21"/>
        </w:rPr>
        <w:t>甲方有权继续要求延长本合同服务期限</w:t>
      </w:r>
      <w:r>
        <w:rPr>
          <w:rFonts w:hint="eastAsia" w:ascii="宋体" w:hAnsi="宋体" w:eastAsia="宋体" w:cs="宋体"/>
          <w:color w:val="auto"/>
          <w:szCs w:val="21"/>
        </w:rPr>
        <w:t>。服务期满后，如甲方因实际情况需要委托乙方继续开展机电设备维修服务时，经双方协商一致后，可以按本合同约定的权利义务向乙方续期签订补充协议。续期期限原则上不超过3个月，乙方须无条件配合甲方执行。</w:t>
      </w:r>
    </w:p>
    <w:p w14:paraId="2379323E">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四、技术及服务要求（具体以用户需求书为准）</w:t>
      </w:r>
    </w:p>
    <w:p w14:paraId="7B893748">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4.1 技术服务执行规范与标准</w:t>
      </w:r>
    </w:p>
    <w:p w14:paraId="5A1ABF4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本技术服务项目参照下列标准执行，如有更新版，乙方应按最新的版本执行。</w:t>
      </w:r>
    </w:p>
    <w:p w14:paraId="4F2956B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CJJ60-2011《城镇污水处理厂运行、维护及安全技术规程》</w:t>
      </w:r>
    </w:p>
    <w:p w14:paraId="7FF0ACB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CJJ68-2016《城镇排水管渠与泵站运行、维护及安全技术规程》</w:t>
      </w:r>
    </w:p>
    <w:p w14:paraId="4F1E69C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GB50334-2017《城镇污水处理厂工程质量验收规范》</w:t>
      </w:r>
    </w:p>
    <w:p w14:paraId="5CCBEE6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JB/T7928-1999《通用阀门供货要求》</w:t>
      </w:r>
    </w:p>
    <w:p w14:paraId="16859E5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GB/T12220-2005《通用阀门标志》</w:t>
      </w:r>
    </w:p>
    <w:p w14:paraId="1F19316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CJ/T3006-1992《供水排水用铸铁阀门》</w:t>
      </w:r>
    </w:p>
    <w:p w14:paraId="2489DBB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GB6067-2010《起重机械安全规程》</w:t>
      </w:r>
    </w:p>
    <w:p w14:paraId="57BDFEE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GB4879-1999《防锈包装》</w:t>
      </w:r>
    </w:p>
    <w:p w14:paraId="2EE7AE9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GB4942.2《低压设备外壳防护等级》</w:t>
      </w:r>
    </w:p>
    <w:p w14:paraId="0921C12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GBJ14《钢结构设计规范》</w:t>
      </w:r>
    </w:p>
    <w:p w14:paraId="6EFCD1E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GBJ205《钢结构工程施工及验收规范》</w:t>
      </w:r>
    </w:p>
    <w:p w14:paraId="740CB29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JB2839《人字形刷握及集电环》</w:t>
      </w:r>
    </w:p>
    <w:p w14:paraId="262BABC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SYJ4007《涂装前钢材表面处理规范》</w:t>
      </w:r>
    </w:p>
    <w:p w14:paraId="7469232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CJ/T3035《城镇建设和建筑工业产品型号编制规则》</w:t>
      </w:r>
    </w:p>
    <w:p w14:paraId="00760AF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JB2759《机电产品包装通用技术条件》</w:t>
      </w:r>
    </w:p>
    <w:p w14:paraId="4B8FC5B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GB3214《水泵流量的测定方法》</w:t>
      </w:r>
    </w:p>
    <w:p w14:paraId="65A05CA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YB3208《焊接件通用技术要求》</w:t>
      </w:r>
    </w:p>
    <w:p w14:paraId="540FB5A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TJ231《机械设备安装工程施工及验收规范》</w:t>
      </w:r>
    </w:p>
    <w:p w14:paraId="79B7D37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GB4216.2 2.5《巴灰铸铁管法兰及垫片技术条件》</w:t>
      </w:r>
    </w:p>
    <w:p w14:paraId="1C37ED8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GB4216.9《灰铸铁管法兰用石棉橡胶垫片尺寸》</w:t>
      </w:r>
    </w:p>
    <w:p w14:paraId="28A0D69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GB4216.10《灰铸铁管法兰及垫片技术条件》</w:t>
      </w:r>
    </w:p>
    <w:p w14:paraId="3D56658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GB6414《铸件尺寸公差》</w:t>
      </w:r>
    </w:p>
    <w:p w14:paraId="3681EF1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YB3211《涂漆通用技术条件》</w:t>
      </w:r>
    </w:p>
    <w:p w14:paraId="31BE39A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YB3214《包装通用技术条件》</w:t>
      </w:r>
    </w:p>
    <w:p w14:paraId="69B6452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GB1184《形状与位置公差，未注公差的规定》</w:t>
      </w:r>
    </w:p>
    <w:p w14:paraId="1088F88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JB2855《机床涂漆技术条件》</w:t>
      </w:r>
    </w:p>
    <w:p w14:paraId="71B37F2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SDZ014-85《防腐技术条件》</w:t>
      </w:r>
    </w:p>
    <w:p w14:paraId="0E21DDC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GBn193《出口机械、电工、仪器仪表产品包装通用技术条件》</w:t>
      </w:r>
    </w:p>
    <w:p w14:paraId="4445D04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GB5226《机床电气设备通用技术条件》</w:t>
      </w:r>
    </w:p>
    <w:p w14:paraId="4553AAA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GB1804《公差与配合未注公差尺寸的极限偏差》</w:t>
      </w:r>
    </w:p>
    <w:p w14:paraId="35C69C5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JB8《产品标牌》</w:t>
      </w:r>
    </w:p>
    <w:p w14:paraId="1F69718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GB4720《自控设备》</w:t>
      </w:r>
    </w:p>
    <w:p w14:paraId="2B3433E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GB9089《严酷条件下户外场所电气设施一般防护要求》</w:t>
      </w:r>
    </w:p>
    <w:p w14:paraId="0CB8478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JJ12.3《建筑机械焊接件通用技术条件》</w:t>
      </w:r>
    </w:p>
    <w:p w14:paraId="149C4C9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CJ/T3035《城镇建设和建筑工业产品型号编制规则》</w:t>
      </w:r>
    </w:p>
    <w:p w14:paraId="4B32710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GB/T1176-2008《铸造铜合金技术要求》</w:t>
      </w:r>
    </w:p>
    <w:p w14:paraId="6926FA4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GB/T4942.1-2006《电机处壳防护等级》</w:t>
      </w:r>
    </w:p>
    <w:p w14:paraId="175C3C6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GB/T13306-2011《标牌》</w:t>
      </w:r>
    </w:p>
    <w:p w14:paraId="48850CC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GB/T13384-2008《机电产品包装通用技术条件》</w:t>
      </w:r>
    </w:p>
    <w:p w14:paraId="33475F2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GB755《旋转电机基本技术条件》</w:t>
      </w:r>
    </w:p>
    <w:p w14:paraId="541AD5A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GB3216《离心泵、混流泵、轴流泵和旋涡泵试验方法》</w:t>
      </w:r>
    </w:p>
    <w:p w14:paraId="24834A2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GB5013.2《额定电压450/750V 及以下橡皮绝缘软电缆》</w:t>
      </w:r>
    </w:p>
    <w:p w14:paraId="5BBF7B0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GB9439《灰铸铁件》</w:t>
      </w:r>
    </w:p>
    <w:p w14:paraId="5BDF875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GB1220《不锈钢棒》</w:t>
      </w:r>
    </w:p>
    <w:p w14:paraId="29591A7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GB1348《球墨铸铁件》</w:t>
      </w:r>
    </w:p>
    <w:p w14:paraId="5A58D74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GB2556《一般用途管法兰密封面形状和尺寸》</w:t>
      </w:r>
    </w:p>
    <w:p w14:paraId="1D47209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GB2555《一般用途管法兰连接尺寸》</w:t>
      </w:r>
    </w:p>
    <w:p w14:paraId="4CBA5FB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GB2828《逐批检查计数抽样程序及抽样表》</w:t>
      </w:r>
    </w:p>
    <w:p w14:paraId="24F6593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GB/T12785《潜水电泵试验方法》</w:t>
      </w:r>
    </w:p>
    <w:p w14:paraId="19C9E1E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GB191《包装储运图标标志》</w:t>
      </w:r>
    </w:p>
    <w:p w14:paraId="70ED5BD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GB/T22719.1-2008交流低压电机散嵌绕组匝间绝缘 第1部分：试验方法</w:t>
      </w:r>
    </w:p>
    <w:p w14:paraId="5CE88AD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GB/T22719.2-2008 交流低压电机散嵌绕组匝间绝缘 第2部分：试验限值</w:t>
      </w:r>
    </w:p>
    <w:p w14:paraId="602418A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GB18613-2012《中小型三相异步电动机能效限值及能效等级》</w:t>
      </w:r>
    </w:p>
    <w:p w14:paraId="63D191E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JB5803《污水污物潜水电泵技术条件》</w:t>
      </w:r>
    </w:p>
    <w:p w14:paraId="79D66A2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ISO1217:2009《容积式压缩机—验收试验》</w:t>
      </w:r>
    </w:p>
    <w:p w14:paraId="31B47A2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JISB8341-1999《容积式压缩机—试验和检查方法》</w:t>
      </w:r>
    </w:p>
    <w:p w14:paraId="73BFAF7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JB/T8941.1-1999《一般用途罗茨鼓风机技术条件》</w:t>
      </w:r>
    </w:p>
    <w:p w14:paraId="1BBA6A8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JB/T8941.2-1999《一般用途罗茨鼓风机性能试验方法》</w:t>
      </w:r>
    </w:p>
    <w:p w14:paraId="5994926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GB12238-2008《法兰和对夹连接弹性密封蝶阀》</w:t>
      </w:r>
    </w:p>
    <w:p w14:paraId="33C26F5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GB/T13927-2008《工业阀门压力实验》</w:t>
      </w:r>
    </w:p>
    <w:p w14:paraId="4535126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GB12221-2005《金属阀门结构长度》</w:t>
      </w:r>
    </w:p>
    <w:p w14:paraId="200EBD3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《应急管理部办公厅关于印发《有限空间作业安全指导手册》和4个专题系列折页的通知（应急厅函〔2020〕299号）》</w:t>
      </w:r>
    </w:p>
    <w:p w14:paraId="707D1C9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合同项下的机电设备维修服务项目的技术要求按上述法律法规及标准执行，甲方招标文件（含公告、《管理办法》、项目承接确认协议书）等或本合同未明确的技术标准，严格按上述标准执行，并且严格按国家、行业、地方颁布的相应的政策、法规、规范、标准等执行，服务期内如果上述标准有更新，则按更新后的版本执行。</w:t>
      </w:r>
    </w:p>
    <w:p w14:paraId="0ABE2572">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4.2 技术服务方案审核</w:t>
      </w:r>
    </w:p>
    <w:p w14:paraId="3BAF4B9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4.2.1 乙方提供的详细技术服务方案，需包括设备材料及工器具详细内容、工期计划、人员配置、安全文明措施等。</w:t>
      </w:r>
    </w:p>
    <w:p w14:paraId="4EF312F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4.2.2 乙方以经监理单位（如有）、甲方审核后的技术服务方案实施，甲方、监理单位（如有）以技术服务方案为基础对技术服务进行验收。如甲方没有委托监理单位的，审核及验收等工作没有监理单位参与，下同。</w:t>
      </w:r>
    </w:p>
    <w:p w14:paraId="5E2BF31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4.2.3 对于普通设备吊运（不属于非危险性较大的分部分项工程范围的）、拆卸等非实际工程性技术服务无需上报技术服务方案。</w:t>
      </w:r>
    </w:p>
    <w:p w14:paraId="57196CE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4.2.4 对于采用非常规起重设备、方法，且单件起吊重量在10kN（1吨）及以上的起重吊装工程，应纳入危险性较大的分部分项工程范围的管理，按规定编制专项施工方案并经审批后方能实施。</w:t>
      </w:r>
    </w:p>
    <w:p w14:paraId="0573D8ED">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4.3 物资供货要求</w:t>
      </w:r>
    </w:p>
    <w:p w14:paraId="4855AB0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4.3.1 单项项目中，甲方提供清单中货品可由甲方提供的，甲方有权从单项项目清单中扣除，费用也相应扣减，甲方不可提供的货品，且甲方对于设备、仪表、零配件、备品备件等有品牌档次、系统通配性、型号要求的，乙方需按要求供货，未经监理单位（如有）、甲方同意不得更改。甲方对品牌档次、系统通配性、型号、规格尺寸无要求的，乙方承接单项项目后，需将选型后的设备、仪表、零配件、备品备件等的品牌型号、规格尺寸等参数上报监理单位（如有）、甲方审核确认后方可执行采购。</w:t>
      </w:r>
    </w:p>
    <w:p w14:paraId="198E13F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4.3.2 零配件质量要求</w:t>
      </w:r>
    </w:p>
    <w:p w14:paraId="7AA0B2F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4.3.2.1 所有设备、仪表、零配件、备品备件、材料、附件等必须是正规原厂生产的、全新的、未使用过的质量合格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01FE651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3.3.2.2 所有设备和材料运输到达施工场地时的包装必须是原厂完整的，由甲方签收后方可拆包安装。</w:t>
      </w:r>
    </w:p>
    <w:p w14:paraId="1779794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4.3.2.3 工程施工所用材料及配件均为按国家及行业标准规格条例生产的合格正规产品、符合设计规范要求。所有备品备件须满足国家及行业环保和质量标准。</w:t>
      </w:r>
    </w:p>
    <w:p w14:paraId="2A2E62A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4.3.2.4 服务过程中供应的货物必须有质量检验合格证、装箱单、产品安装使用说明书、出厂监测报告、检验报告（或测试性能、测试报告）及甲方要求的其他合格证明文件等相关资料。</w:t>
      </w:r>
    </w:p>
    <w:p w14:paraId="508C5512">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4.4 设备维修施工要求</w:t>
      </w:r>
    </w:p>
    <w:p w14:paraId="32A885A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4.4.1 乙方开展设备设施的维修、技术改造等相关作业前，实施方案应当通过监理单位（如有）、甲方审核同意后方可实施。实施过程中，未经甲方书面同意，乙方不得擅自扩大实施范围。</w:t>
      </w:r>
    </w:p>
    <w:p w14:paraId="061C4A0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4.4.2 乙方进行施工作业时，需尽可能的保证泵站及其他设备设施的正常运作，不导致泵站停产或减产，或采取临时措施，确保管网不能因设备维修而导致溢流，除非是泵站需要全部堵水及停水进行施工作业。不得擅自操作非作业范围的设备设施，如需泵站管网等调度配合的应提前制订方案并获得甲方审核同意后按方案计划实施，施工安装过程中应积极与甲方沟通并服从甲方安排</w:t>
      </w:r>
      <w:r>
        <w:rPr>
          <w:rFonts w:hint="eastAsia" w:ascii="宋体" w:hAnsi="宋体" w:eastAsia="宋体" w:cs="宋体"/>
          <w:i/>
          <w:iCs/>
          <w:color w:val="auto"/>
          <w:szCs w:val="21"/>
        </w:rPr>
        <w:t>。</w:t>
      </w:r>
    </w:p>
    <w:p w14:paraId="06500F9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4.4.3 施工现场用水、用电在有条件的情况下由甲方提供水、电接入点，乙方自行接入，乙方需做好用水、用电安全防护措施并无条件接受甲方监督，用水、用电费用由甲方承担。如施工现场甲方无法提供水、电接入点，施工用水、用电由乙方自行解决并承担相关费用。</w:t>
      </w:r>
    </w:p>
    <w:p w14:paraId="4873A83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4.4.4 涉及各种特殊工种作业的，乙方须提前报送相关特种作业人员资料给甲方备查，需实行持证上岗、专人专证的管理制度。</w:t>
      </w:r>
    </w:p>
    <w:p w14:paraId="1808357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4.4.5 施工作业过程中，如对泵站及其他设备设施造成损毁的，由乙方负责按实际损失进行赔偿或恢复损坏设备设施原状。</w:t>
      </w:r>
    </w:p>
    <w:p w14:paraId="0DF7217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4.4.6 单项项目中，甲方有权根据现场实际需要增加单项项目清单上的内容，新增清单内容所产生的费用由甲方承担，乙方不得以任何理由停止单项项目的工作，否则甲方视不同情况分别对乙方采取警告、扣除履约保证金、取消本合同服务资格等措施。</w:t>
      </w:r>
    </w:p>
    <w:p w14:paraId="5CCCB8C3">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4.5 关于停水作业的要求</w:t>
      </w:r>
    </w:p>
    <w:p w14:paraId="34D8F07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4.5.1 涉及粗格栅机、闸门、提升泵、拍门等水下设备设施维修、重置作业，一般需要采取堵水、停水、抽水等施工措施的，如无特殊说明的则由乙方负责实施。</w:t>
      </w:r>
    </w:p>
    <w:p w14:paraId="018D3CE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4.5.2 乙方收到项目承接确认协议书后需进行现场踏勘，充分考虑是否需要采用堵水、抽水等措施及由此产生的相关的费用。</w:t>
      </w:r>
    </w:p>
    <w:p w14:paraId="22671F1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4.5.3 在提升泵站堵水、抽水、停水等作业前，乙方应上报详细的作业实施方案，包括停水措施、停水时长、导排措施等，并征得甲方同意。如果有必要，还需征得东莞市生态环境局或属地镇街相关主管部门的同意后方可实施。</w:t>
      </w:r>
    </w:p>
    <w:p w14:paraId="691FE09C">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4.6 人员配置的要求（具体详见投标文件）</w:t>
      </w:r>
    </w:p>
    <w:p w14:paraId="06F8BBAC">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 xml:space="preserve">4.6.1 </w:t>
      </w:r>
      <w:r>
        <w:rPr>
          <w:rFonts w:hint="eastAsia" w:ascii="宋体" w:hAnsi="宋体" w:eastAsia="宋体" w:cs="宋体"/>
          <w:b/>
          <w:bCs/>
          <w:color w:val="auto"/>
          <w:szCs w:val="21"/>
        </w:rPr>
        <w:t>乙方</w:t>
      </w:r>
      <w:r>
        <w:rPr>
          <w:rFonts w:hint="eastAsia" w:ascii="宋体" w:hAnsi="宋体" w:eastAsia="宋体" w:cs="宋体"/>
          <w:color w:val="auto"/>
          <w:szCs w:val="21"/>
        </w:rPr>
        <w:t>需具备相应的设备维修条件、物质存储条件，具有配套齐全的专业维修工器具，</w:t>
      </w:r>
      <w:r>
        <w:rPr>
          <w:rFonts w:hint="eastAsia" w:ascii="宋体" w:hAnsi="宋体" w:eastAsia="宋体" w:cs="宋体"/>
          <w:b/>
          <w:bCs/>
          <w:color w:val="auto"/>
          <w:szCs w:val="21"/>
        </w:rPr>
        <w:t>能独立实施大型潜污泵、格栅机、闸门等机电设备维修服务业务</w:t>
      </w:r>
      <w:r>
        <w:rPr>
          <w:rFonts w:hint="eastAsia" w:ascii="宋体" w:hAnsi="宋体" w:eastAsia="宋体" w:cs="宋体"/>
          <w:color w:val="auto"/>
          <w:szCs w:val="21"/>
        </w:rPr>
        <w:t>。相关费用由乙方自行承担。</w:t>
      </w:r>
    </w:p>
    <w:p w14:paraId="0F445C00">
      <w:pPr>
        <w:spacing w:line="360" w:lineRule="auto"/>
        <w:ind w:firstLine="420" w:firstLineChars="200"/>
        <w:rPr>
          <w:rFonts w:ascii="宋体" w:hAnsi="宋体" w:eastAsia="宋体" w:cs="宋体"/>
          <w:b/>
          <w:bCs/>
          <w:color w:val="auto"/>
          <w:szCs w:val="21"/>
        </w:rPr>
      </w:pPr>
      <w:bookmarkStart w:id="377" w:name="OLE_LINK19"/>
      <w:r>
        <w:rPr>
          <w:rFonts w:hint="eastAsia" w:ascii="宋体" w:hAnsi="宋体" w:eastAsia="宋体" w:cs="宋体"/>
          <w:color w:val="auto"/>
          <w:szCs w:val="21"/>
        </w:rPr>
        <w:t>4.6.2</w:t>
      </w:r>
      <w:r>
        <w:rPr>
          <w:rFonts w:hint="eastAsia" w:ascii="宋体" w:hAnsi="宋体" w:eastAsia="宋体" w:cs="宋体"/>
          <w:b/>
          <w:bCs/>
          <w:color w:val="auto"/>
          <w:szCs w:val="21"/>
        </w:rPr>
        <w:t xml:space="preserve"> 人员要求为（具体人员配置详见表1）：</w:t>
      </w:r>
    </w:p>
    <w:p w14:paraId="4C8A2D69">
      <w:pPr>
        <w:spacing w:line="360" w:lineRule="auto"/>
        <w:jc w:val="center"/>
        <w:rPr>
          <w:rFonts w:ascii="宋体" w:hAnsi="宋体" w:eastAsia="宋体" w:cs="Times New Roman"/>
          <w:b/>
          <w:color w:val="auto"/>
          <w:szCs w:val="21"/>
        </w:rPr>
      </w:pPr>
      <w:r>
        <w:rPr>
          <w:rFonts w:ascii="宋体" w:hAnsi="宋体" w:eastAsia="宋体" w:cs="Times New Roman"/>
          <w:b/>
          <w:color w:val="auto"/>
          <w:szCs w:val="21"/>
        </w:rPr>
        <w:t>表</w:t>
      </w:r>
      <w:r>
        <w:rPr>
          <w:rFonts w:hint="eastAsia" w:ascii="宋体" w:hAnsi="宋体" w:eastAsia="宋体" w:cs="Times New Roman"/>
          <w:b/>
          <w:color w:val="auto"/>
          <w:szCs w:val="21"/>
        </w:rPr>
        <w:t>1  包组</w:t>
      </w:r>
      <w:r>
        <w:rPr>
          <w:rFonts w:ascii="宋体" w:hAnsi="宋体" w:eastAsia="宋体" w:cs="Times New Roman"/>
          <w:b/>
          <w:color w:val="auto"/>
          <w:szCs w:val="21"/>
        </w:rPr>
        <w:t>人员配置表</w:t>
      </w:r>
    </w:p>
    <w:tbl>
      <w:tblPr>
        <w:tblStyle w:val="37"/>
        <w:tblW w:w="5023" w:type="pct"/>
        <w:jc w:val="center"/>
        <w:tblLayout w:type="autofit"/>
        <w:tblCellMar>
          <w:top w:w="0" w:type="dxa"/>
          <w:left w:w="0" w:type="dxa"/>
          <w:bottom w:w="0" w:type="dxa"/>
          <w:right w:w="0" w:type="dxa"/>
        </w:tblCellMar>
      </w:tblPr>
      <w:tblGrid>
        <w:gridCol w:w="603"/>
        <w:gridCol w:w="1231"/>
        <w:gridCol w:w="791"/>
        <w:gridCol w:w="3422"/>
        <w:gridCol w:w="3075"/>
      </w:tblGrid>
      <w:tr w14:paraId="61A52817">
        <w:tblPrEx>
          <w:tblCellMar>
            <w:top w:w="0" w:type="dxa"/>
            <w:left w:w="0" w:type="dxa"/>
            <w:bottom w:w="0" w:type="dxa"/>
            <w:right w:w="0" w:type="dxa"/>
          </w:tblCellMar>
        </w:tblPrEx>
        <w:trPr>
          <w:trHeight w:val="272"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6BFD04EF">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序号</w:t>
            </w:r>
          </w:p>
        </w:tc>
        <w:tc>
          <w:tcPr>
            <w:tcW w:w="674" w:type="pct"/>
            <w:tcBorders>
              <w:top w:val="single" w:color="000000" w:sz="4" w:space="0"/>
              <w:left w:val="nil"/>
              <w:bottom w:val="single" w:color="000000" w:sz="4" w:space="0"/>
              <w:right w:val="single" w:color="000000" w:sz="4" w:space="0"/>
            </w:tcBorders>
            <w:vAlign w:val="center"/>
          </w:tcPr>
          <w:p w14:paraId="64B34553">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岗位</w:t>
            </w:r>
          </w:p>
        </w:tc>
        <w:tc>
          <w:tcPr>
            <w:tcW w:w="433" w:type="pct"/>
            <w:tcBorders>
              <w:top w:val="single" w:color="000000" w:sz="4" w:space="0"/>
              <w:left w:val="nil"/>
              <w:bottom w:val="single" w:color="000000" w:sz="4" w:space="0"/>
              <w:right w:val="single" w:color="000000" w:sz="4" w:space="0"/>
            </w:tcBorders>
            <w:vAlign w:val="center"/>
          </w:tcPr>
          <w:p w14:paraId="4C776EC6">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人数（人）</w:t>
            </w:r>
          </w:p>
        </w:tc>
        <w:tc>
          <w:tcPr>
            <w:tcW w:w="1874" w:type="pct"/>
            <w:tcBorders>
              <w:top w:val="single" w:color="000000" w:sz="4" w:space="0"/>
              <w:left w:val="nil"/>
              <w:bottom w:val="single" w:color="000000" w:sz="4" w:space="0"/>
              <w:right w:val="single" w:color="000000" w:sz="4" w:space="0"/>
            </w:tcBorders>
            <w:vAlign w:val="center"/>
          </w:tcPr>
          <w:p w14:paraId="1CE171CE">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人员配置要求</w:t>
            </w:r>
          </w:p>
        </w:tc>
        <w:tc>
          <w:tcPr>
            <w:tcW w:w="1684" w:type="pct"/>
            <w:tcBorders>
              <w:top w:val="single" w:color="000000" w:sz="4" w:space="0"/>
              <w:left w:val="nil"/>
              <w:bottom w:val="single" w:color="000000" w:sz="4" w:space="0"/>
              <w:right w:val="single" w:color="000000" w:sz="4" w:space="0"/>
            </w:tcBorders>
            <w:vAlign w:val="center"/>
          </w:tcPr>
          <w:p w14:paraId="0FD7B771">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备注</w:t>
            </w:r>
          </w:p>
        </w:tc>
      </w:tr>
      <w:tr w14:paraId="2FE5CFD2">
        <w:tblPrEx>
          <w:tblCellMar>
            <w:top w:w="0" w:type="dxa"/>
            <w:left w:w="0" w:type="dxa"/>
            <w:bottom w:w="0" w:type="dxa"/>
            <w:right w:w="0" w:type="dxa"/>
          </w:tblCellMar>
        </w:tblPrEx>
        <w:trPr>
          <w:trHeight w:val="771"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17FFE37C">
            <w:pPr>
              <w:autoSpaceDE w:val="0"/>
              <w:autoSpaceDN w:val="0"/>
              <w:adjustRightInd w:val="0"/>
              <w:jc w:val="center"/>
              <w:rPr>
                <w:rFonts w:ascii="宋体" w:hAnsi="宋体" w:eastAsia="宋体" w:cs="宋体"/>
                <w:b/>
                <w:color w:val="auto"/>
                <w:kern w:val="0"/>
                <w:szCs w:val="21"/>
              </w:rPr>
            </w:pPr>
            <w:r>
              <w:rPr>
                <w:rFonts w:ascii="宋体" w:hAnsi="宋体" w:eastAsia="宋体" w:cs="Times New Roman"/>
                <w:b/>
                <w:bCs/>
                <w:color w:val="auto"/>
                <w:kern w:val="0"/>
                <w:szCs w:val="21"/>
              </w:rPr>
              <w:t>★</w:t>
            </w:r>
            <w:r>
              <w:rPr>
                <w:rFonts w:hint="eastAsia" w:ascii="宋体" w:hAnsi="宋体" w:eastAsia="宋体" w:cs="宋体"/>
                <w:b/>
                <w:color w:val="auto"/>
                <w:kern w:val="0"/>
                <w:szCs w:val="21"/>
              </w:rPr>
              <w:t>1</w:t>
            </w:r>
          </w:p>
        </w:tc>
        <w:tc>
          <w:tcPr>
            <w:tcW w:w="674" w:type="pct"/>
            <w:tcBorders>
              <w:top w:val="single" w:color="000000" w:sz="4" w:space="0"/>
              <w:left w:val="nil"/>
              <w:bottom w:val="single" w:color="000000" w:sz="4" w:space="0"/>
              <w:right w:val="single" w:color="000000" w:sz="4" w:space="0"/>
            </w:tcBorders>
            <w:vAlign w:val="center"/>
          </w:tcPr>
          <w:p w14:paraId="4EC6B974">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项目负责人</w:t>
            </w:r>
          </w:p>
        </w:tc>
        <w:tc>
          <w:tcPr>
            <w:tcW w:w="433" w:type="pct"/>
            <w:tcBorders>
              <w:top w:val="single" w:color="000000" w:sz="4" w:space="0"/>
              <w:left w:val="nil"/>
              <w:bottom w:val="single" w:color="000000" w:sz="4" w:space="0"/>
              <w:right w:val="single" w:color="000000" w:sz="4" w:space="0"/>
            </w:tcBorders>
            <w:vAlign w:val="center"/>
          </w:tcPr>
          <w:p w14:paraId="38C573D4">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1</w:t>
            </w:r>
          </w:p>
        </w:tc>
        <w:tc>
          <w:tcPr>
            <w:tcW w:w="1874" w:type="pct"/>
            <w:tcBorders>
              <w:top w:val="single" w:color="000000" w:sz="4" w:space="0"/>
              <w:left w:val="nil"/>
              <w:bottom w:val="single" w:color="000000" w:sz="4" w:space="0"/>
              <w:right w:val="single" w:color="000000" w:sz="4" w:space="0"/>
            </w:tcBorders>
            <w:vAlign w:val="center"/>
          </w:tcPr>
          <w:p w14:paraId="09F959F2">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1、具备二级</w:t>
            </w:r>
            <w:r>
              <w:rPr>
                <w:rFonts w:ascii="宋体" w:hAnsi="宋体" w:eastAsia="宋体" w:cs="宋体"/>
                <w:b/>
                <w:color w:val="auto"/>
                <w:kern w:val="0"/>
                <w:szCs w:val="21"/>
              </w:rPr>
              <w:t>（或以上）</w:t>
            </w:r>
            <w:r>
              <w:rPr>
                <w:rFonts w:hint="eastAsia" w:ascii="宋体" w:hAnsi="宋体" w:eastAsia="宋体" w:cs="宋体"/>
                <w:b/>
                <w:color w:val="auto"/>
                <w:kern w:val="0"/>
                <w:szCs w:val="21"/>
              </w:rPr>
              <w:t>建造师（机电工程专业）执业资格或者中级（或以上）工程职称（机电或给排水专业）职称证书；</w:t>
            </w:r>
          </w:p>
          <w:p w14:paraId="3DFC48CB">
            <w:pPr>
              <w:pStyle w:val="12"/>
              <w:ind w:firstLine="0" w:firstLineChars="0"/>
              <w:rPr>
                <w:rFonts w:hAnsi="宋体"/>
                <w:color w:val="auto"/>
                <w:sz w:val="21"/>
                <w:szCs w:val="21"/>
              </w:rPr>
            </w:pPr>
            <w:r>
              <w:rPr>
                <w:rFonts w:hAnsi="宋体"/>
                <w:b/>
                <w:bCs/>
                <w:color w:val="auto"/>
                <w:sz w:val="21"/>
                <w:szCs w:val="21"/>
              </w:rPr>
              <w:t>2、</w:t>
            </w:r>
            <w:r>
              <w:rPr>
                <w:rFonts w:hint="eastAsia" w:hAnsi="宋体" w:cs="宋体"/>
                <w:b/>
                <w:color w:val="auto"/>
                <w:sz w:val="21"/>
                <w:szCs w:val="21"/>
              </w:rPr>
              <w:t>具备住建局颁发的项目负责人安全生产考核合格证书（“建安B”类）。</w:t>
            </w:r>
          </w:p>
        </w:tc>
        <w:tc>
          <w:tcPr>
            <w:tcW w:w="1684" w:type="pct"/>
            <w:tcBorders>
              <w:top w:val="single" w:color="000000" w:sz="4" w:space="0"/>
              <w:left w:val="nil"/>
              <w:bottom w:val="single" w:color="000000" w:sz="4" w:space="0"/>
              <w:right w:val="single" w:color="000000" w:sz="4" w:space="0"/>
            </w:tcBorders>
            <w:vAlign w:val="center"/>
          </w:tcPr>
          <w:p w14:paraId="12817036">
            <w:p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1.</w:t>
            </w:r>
            <w:r>
              <w:rPr>
                <w:rFonts w:hint="eastAsia" w:ascii="宋体" w:hAnsi="宋体" w:eastAsia="宋体" w:cs="宋体"/>
                <w:b/>
                <w:color w:val="auto"/>
                <w:kern w:val="0"/>
                <w:szCs w:val="21"/>
              </w:rPr>
              <w:t>提供</w:t>
            </w:r>
            <w:r>
              <w:rPr>
                <w:rFonts w:ascii="宋体" w:hAnsi="宋体" w:eastAsia="宋体" w:cs="宋体"/>
                <w:b/>
                <w:color w:val="auto"/>
                <w:kern w:val="0"/>
                <w:szCs w:val="21"/>
              </w:rPr>
              <w:t>人员证书及劳动合同复印件</w:t>
            </w:r>
            <w:r>
              <w:rPr>
                <w:rFonts w:hint="eastAsia" w:hAnsi="宋体" w:cs="宋体"/>
                <w:b/>
                <w:color w:val="auto"/>
                <w:kern w:val="0"/>
                <w:szCs w:val="21"/>
              </w:rPr>
              <w:t>；</w:t>
            </w:r>
          </w:p>
          <w:p w14:paraId="0ABA80A4">
            <w:p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2.</w:t>
            </w:r>
            <w:r>
              <w:rPr>
                <w:rFonts w:hint="eastAsia" w:ascii="宋体" w:hAnsi="宋体" w:eastAsia="宋体" w:cs="宋体"/>
                <w:b/>
                <w:color w:val="auto"/>
                <w:kern w:val="0"/>
                <w:szCs w:val="21"/>
              </w:rPr>
              <w:t>提供人员证书及人力资源和社会保障部门（或税务部门）出具的乙方2024年5月至2024年10月为其缴纳的社保证明复印件</w:t>
            </w:r>
          </w:p>
        </w:tc>
      </w:tr>
      <w:tr w14:paraId="641A3477">
        <w:tblPrEx>
          <w:tblCellMar>
            <w:top w:w="0" w:type="dxa"/>
            <w:left w:w="0" w:type="dxa"/>
            <w:bottom w:w="0" w:type="dxa"/>
            <w:right w:w="0" w:type="dxa"/>
          </w:tblCellMar>
        </w:tblPrEx>
        <w:trPr>
          <w:trHeight w:val="1060"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1E6286A1">
            <w:pPr>
              <w:autoSpaceDE w:val="0"/>
              <w:autoSpaceDN w:val="0"/>
              <w:adjustRightInd w:val="0"/>
              <w:jc w:val="center"/>
              <w:rPr>
                <w:rFonts w:ascii="宋体" w:hAnsi="宋体" w:eastAsia="宋体" w:cs="宋体"/>
                <w:b/>
                <w:color w:val="auto"/>
                <w:kern w:val="0"/>
                <w:szCs w:val="21"/>
              </w:rPr>
            </w:pPr>
            <w:r>
              <w:rPr>
                <w:rFonts w:ascii="宋体" w:hAnsi="宋体" w:eastAsia="宋体" w:cs="Times New Roman"/>
                <w:b/>
                <w:bCs/>
                <w:color w:val="auto"/>
                <w:kern w:val="0"/>
                <w:szCs w:val="21"/>
              </w:rPr>
              <w:t>★</w:t>
            </w:r>
            <w:r>
              <w:rPr>
                <w:rFonts w:hint="eastAsia" w:ascii="宋体" w:hAnsi="宋体" w:eastAsia="宋体" w:cs="宋体"/>
                <w:b/>
                <w:color w:val="auto"/>
                <w:kern w:val="0"/>
                <w:szCs w:val="21"/>
              </w:rPr>
              <w:t>2</w:t>
            </w:r>
          </w:p>
        </w:tc>
        <w:tc>
          <w:tcPr>
            <w:tcW w:w="674" w:type="pct"/>
            <w:tcBorders>
              <w:top w:val="single" w:color="000000" w:sz="4" w:space="0"/>
              <w:left w:val="nil"/>
              <w:bottom w:val="single" w:color="000000" w:sz="4" w:space="0"/>
              <w:right w:val="single" w:color="000000" w:sz="4" w:space="0"/>
            </w:tcBorders>
            <w:vAlign w:val="center"/>
          </w:tcPr>
          <w:p w14:paraId="44D39213">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现场负责人</w:t>
            </w:r>
          </w:p>
        </w:tc>
        <w:tc>
          <w:tcPr>
            <w:tcW w:w="433" w:type="pct"/>
            <w:tcBorders>
              <w:top w:val="single" w:color="000000" w:sz="4" w:space="0"/>
              <w:left w:val="nil"/>
              <w:bottom w:val="single" w:color="000000" w:sz="4" w:space="0"/>
              <w:right w:val="single" w:color="000000" w:sz="4" w:space="0"/>
            </w:tcBorders>
            <w:vAlign w:val="center"/>
          </w:tcPr>
          <w:p w14:paraId="0397B69A">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6E44E14C">
            <w:pPr>
              <w:autoSpaceDE w:val="0"/>
              <w:autoSpaceDN w:val="0"/>
              <w:adjustRightInd w:val="0"/>
              <w:jc w:val="left"/>
              <w:rPr>
                <w:rFonts w:ascii="宋体" w:hAnsi="宋体" w:eastAsia="宋体" w:cs="宋体"/>
                <w:b/>
                <w:color w:val="auto"/>
                <w:kern w:val="0"/>
                <w:szCs w:val="21"/>
              </w:rPr>
            </w:pPr>
            <w:r>
              <w:rPr>
                <w:rFonts w:ascii="宋体" w:hAnsi="宋体" w:eastAsia="宋体" w:cs="宋体"/>
                <w:b/>
                <w:color w:val="auto"/>
                <w:kern w:val="0"/>
                <w:szCs w:val="21"/>
              </w:rPr>
              <w:t>具备二级（或以上）建造师（</w:t>
            </w:r>
            <w:r>
              <w:rPr>
                <w:rFonts w:hint="eastAsia" w:ascii="宋体" w:hAnsi="宋体" w:eastAsia="宋体" w:cs="宋体"/>
                <w:b/>
                <w:color w:val="auto"/>
                <w:kern w:val="0"/>
                <w:szCs w:val="21"/>
              </w:rPr>
              <w:t>机电</w:t>
            </w:r>
            <w:r>
              <w:rPr>
                <w:rFonts w:ascii="宋体" w:hAnsi="宋体" w:eastAsia="宋体" w:cs="宋体"/>
                <w:b/>
                <w:color w:val="auto"/>
                <w:kern w:val="0"/>
                <w:szCs w:val="21"/>
              </w:rPr>
              <w:t>工程</w:t>
            </w:r>
            <w:r>
              <w:rPr>
                <w:rFonts w:hint="eastAsia" w:ascii="宋体" w:hAnsi="宋体" w:eastAsia="宋体" w:cs="宋体"/>
                <w:b/>
                <w:color w:val="auto"/>
                <w:kern w:val="0"/>
                <w:szCs w:val="21"/>
              </w:rPr>
              <w:t>或给排水</w:t>
            </w:r>
            <w:r>
              <w:rPr>
                <w:rFonts w:ascii="宋体" w:hAnsi="宋体" w:eastAsia="宋体" w:cs="宋体"/>
                <w:b/>
                <w:color w:val="auto"/>
                <w:kern w:val="0"/>
                <w:szCs w:val="21"/>
              </w:rPr>
              <w:t>专业）或者助理工程师（或以上）职称证书</w:t>
            </w:r>
          </w:p>
        </w:tc>
        <w:tc>
          <w:tcPr>
            <w:tcW w:w="1684" w:type="pct"/>
            <w:tcBorders>
              <w:top w:val="single" w:color="000000" w:sz="4" w:space="0"/>
              <w:left w:val="nil"/>
              <w:bottom w:val="single" w:color="000000" w:sz="4" w:space="0"/>
              <w:right w:val="single" w:color="000000" w:sz="4" w:space="0"/>
            </w:tcBorders>
            <w:vAlign w:val="center"/>
          </w:tcPr>
          <w:p w14:paraId="63841904">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1.</w:t>
            </w:r>
            <w:r>
              <w:rPr>
                <w:rFonts w:hint="eastAsia" w:ascii="宋体" w:hAnsi="宋体" w:eastAsia="宋体" w:cs="宋体"/>
                <w:b/>
                <w:color w:val="auto"/>
                <w:kern w:val="0"/>
                <w:szCs w:val="21"/>
              </w:rPr>
              <w:t>在项目实施过程中必须全程在岗</w:t>
            </w:r>
          </w:p>
          <w:p w14:paraId="5DC0AAC2">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2.</w:t>
            </w:r>
            <w:r>
              <w:rPr>
                <w:rFonts w:ascii="宋体" w:hAnsi="宋体" w:eastAsia="宋体" w:cs="宋体"/>
                <w:b/>
                <w:color w:val="auto"/>
                <w:kern w:val="0"/>
                <w:szCs w:val="21"/>
              </w:rPr>
              <w:t>须</w:t>
            </w:r>
            <w:r>
              <w:rPr>
                <w:rFonts w:hint="eastAsia" w:ascii="宋体" w:hAnsi="宋体" w:eastAsia="宋体" w:cs="宋体"/>
                <w:b/>
                <w:color w:val="auto"/>
                <w:kern w:val="0"/>
                <w:szCs w:val="21"/>
              </w:rPr>
              <w:t>提供</w:t>
            </w:r>
            <w:r>
              <w:rPr>
                <w:rFonts w:ascii="宋体" w:hAnsi="宋体" w:eastAsia="宋体" w:cs="宋体"/>
                <w:b/>
                <w:color w:val="auto"/>
                <w:kern w:val="0"/>
                <w:szCs w:val="21"/>
              </w:rPr>
              <w:t>人员证书及劳动合同复印件</w:t>
            </w:r>
          </w:p>
          <w:p w14:paraId="4363BB6E">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3.</w:t>
            </w:r>
            <w:r>
              <w:rPr>
                <w:rFonts w:hint="eastAsia" w:ascii="宋体" w:hAnsi="宋体" w:eastAsia="宋体" w:cs="宋体"/>
                <w:b/>
                <w:color w:val="auto"/>
                <w:kern w:val="0"/>
                <w:szCs w:val="21"/>
              </w:rPr>
              <w:t>人力资源和社会保障部门（或税务部门）出具的乙方2024年5月至2024年10月为其缴纳的社保证明复印件</w:t>
            </w:r>
          </w:p>
        </w:tc>
      </w:tr>
      <w:tr w14:paraId="0BC9314C">
        <w:tblPrEx>
          <w:tblCellMar>
            <w:top w:w="0" w:type="dxa"/>
            <w:left w:w="0" w:type="dxa"/>
            <w:bottom w:w="0" w:type="dxa"/>
            <w:right w:w="0" w:type="dxa"/>
          </w:tblCellMar>
        </w:tblPrEx>
        <w:trPr>
          <w:trHeight w:val="1268"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5C5B9A56">
            <w:pPr>
              <w:autoSpaceDE w:val="0"/>
              <w:autoSpaceDN w:val="0"/>
              <w:adjustRightInd w:val="0"/>
              <w:jc w:val="center"/>
              <w:rPr>
                <w:rFonts w:ascii="宋体" w:hAnsi="宋体" w:eastAsia="宋体" w:cs="宋体"/>
                <w:b/>
                <w:color w:val="auto"/>
                <w:kern w:val="0"/>
                <w:szCs w:val="21"/>
              </w:rPr>
            </w:pPr>
            <w:r>
              <w:rPr>
                <w:rFonts w:ascii="宋体" w:hAnsi="宋体" w:eastAsia="宋体" w:cs="Times New Roman"/>
                <w:b/>
                <w:bCs/>
                <w:color w:val="auto"/>
                <w:kern w:val="0"/>
                <w:szCs w:val="21"/>
              </w:rPr>
              <w:t>★</w:t>
            </w:r>
            <w:r>
              <w:rPr>
                <w:rFonts w:hint="eastAsia" w:ascii="宋体" w:hAnsi="宋体" w:eastAsia="宋体" w:cs="宋体"/>
                <w:b/>
                <w:color w:val="auto"/>
                <w:kern w:val="0"/>
                <w:szCs w:val="21"/>
              </w:rPr>
              <w:t>3</w:t>
            </w:r>
          </w:p>
        </w:tc>
        <w:tc>
          <w:tcPr>
            <w:tcW w:w="674" w:type="pct"/>
            <w:tcBorders>
              <w:top w:val="single" w:color="000000" w:sz="4" w:space="0"/>
              <w:left w:val="nil"/>
              <w:bottom w:val="single" w:color="000000" w:sz="4" w:space="0"/>
              <w:right w:val="single" w:color="000000" w:sz="4" w:space="0"/>
            </w:tcBorders>
            <w:vAlign w:val="center"/>
          </w:tcPr>
          <w:p w14:paraId="413CBEAB">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安全员</w:t>
            </w:r>
          </w:p>
        </w:tc>
        <w:tc>
          <w:tcPr>
            <w:tcW w:w="433" w:type="pct"/>
            <w:tcBorders>
              <w:top w:val="single" w:color="000000" w:sz="4" w:space="0"/>
              <w:left w:val="nil"/>
              <w:bottom w:val="single" w:color="000000" w:sz="4" w:space="0"/>
              <w:right w:val="single" w:color="000000" w:sz="4" w:space="0"/>
            </w:tcBorders>
            <w:vAlign w:val="center"/>
          </w:tcPr>
          <w:p w14:paraId="526B6F66">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7E9D8E9E">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具备住建局颁发的专职安全生产管理人员安全生产考核合格证书（“建安C”类）或者行业协会或安全生产监督管理局发放的安全管理人员证书</w:t>
            </w:r>
          </w:p>
        </w:tc>
        <w:tc>
          <w:tcPr>
            <w:tcW w:w="1684" w:type="pct"/>
            <w:tcBorders>
              <w:top w:val="single" w:color="000000" w:sz="4" w:space="0"/>
              <w:left w:val="nil"/>
              <w:bottom w:val="single" w:color="000000" w:sz="4" w:space="0"/>
              <w:right w:val="single" w:color="000000" w:sz="4" w:space="0"/>
            </w:tcBorders>
            <w:vAlign w:val="center"/>
          </w:tcPr>
          <w:p w14:paraId="7D75392F">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1.</w:t>
            </w:r>
            <w:r>
              <w:rPr>
                <w:rFonts w:ascii="宋体" w:hAnsi="宋体" w:eastAsia="宋体" w:cs="宋体"/>
                <w:b/>
                <w:color w:val="auto"/>
                <w:kern w:val="0"/>
                <w:szCs w:val="21"/>
              </w:rPr>
              <w:t>在项目实施过程中必须全程在岗</w:t>
            </w:r>
          </w:p>
          <w:p w14:paraId="151FAE99">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2.</w:t>
            </w:r>
            <w:r>
              <w:rPr>
                <w:rFonts w:ascii="宋体" w:hAnsi="宋体" w:eastAsia="宋体" w:cs="宋体"/>
                <w:b/>
                <w:color w:val="auto"/>
                <w:kern w:val="0"/>
                <w:szCs w:val="21"/>
              </w:rPr>
              <w:t>须</w:t>
            </w:r>
            <w:r>
              <w:rPr>
                <w:rFonts w:hint="eastAsia" w:ascii="宋体" w:hAnsi="宋体" w:eastAsia="宋体" w:cs="宋体"/>
                <w:b/>
                <w:color w:val="auto"/>
                <w:kern w:val="0"/>
                <w:szCs w:val="21"/>
              </w:rPr>
              <w:t>提供</w:t>
            </w:r>
            <w:r>
              <w:rPr>
                <w:rFonts w:ascii="宋体" w:hAnsi="宋体" w:eastAsia="宋体" w:cs="宋体"/>
                <w:b/>
                <w:color w:val="auto"/>
                <w:kern w:val="0"/>
                <w:szCs w:val="21"/>
              </w:rPr>
              <w:t>人员证书及劳动合同复印件</w:t>
            </w:r>
          </w:p>
          <w:p w14:paraId="7B79D40F">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3.</w:t>
            </w:r>
            <w:r>
              <w:rPr>
                <w:rFonts w:hint="eastAsia" w:ascii="宋体" w:hAnsi="宋体" w:eastAsia="宋体" w:cs="宋体"/>
                <w:b/>
                <w:color w:val="auto"/>
                <w:kern w:val="0"/>
                <w:szCs w:val="21"/>
              </w:rPr>
              <w:t>人力资源和社会保障部门（或税务部门）出具的乙方2024年5月至2024年10月为其缴纳的社保证明复印件</w:t>
            </w:r>
          </w:p>
        </w:tc>
      </w:tr>
      <w:tr w14:paraId="1FFC4542">
        <w:tblPrEx>
          <w:tblCellMar>
            <w:top w:w="0" w:type="dxa"/>
            <w:left w:w="0" w:type="dxa"/>
            <w:bottom w:w="0" w:type="dxa"/>
            <w:right w:w="0" w:type="dxa"/>
          </w:tblCellMar>
        </w:tblPrEx>
        <w:trPr>
          <w:trHeight w:val="722"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4074EF2D">
            <w:pPr>
              <w:autoSpaceDE w:val="0"/>
              <w:autoSpaceDN w:val="0"/>
              <w:adjustRightInd w:val="0"/>
              <w:jc w:val="center"/>
              <w:rPr>
                <w:rFonts w:ascii="宋体" w:hAnsi="宋体" w:eastAsia="宋体" w:cs="宋体"/>
                <w:bCs/>
                <w:color w:val="auto"/>
                <w:kern w:val="0"/>
                <w:szCs w:val="21"/>
              </w:rPr>
            </w:pPr>
            <w:r>
              <w:rPr>
                <w:rFonts w:ascii="宋体" w:hAnsi="宋体" w:eastAsia="宋体" w:cs="Times New Roman"/>
                <w:b/>
                <w:bCs/>
                <w:color w:val="auto"/>
                <w:kern w:val="0"/>
                <w:szCs w:val="21"/>
              </w:rPr>
              <w:t>★</w:t>
            </w:r>
            <w:r>
              <w:rPr>
                <w:rFonts w:hint="eastAsia" w:ascii="宋体" w:hAnsi="宋体" w:eastAsia="宋体" w:cs="宋体"/>
                <w:bCs/>
                <w:color w:val="auto"/>
                <w:kern w:val="0"/>
                <w:szCs w:val="21"/>
              </w:rPr>
              <w:t>4</w:t>
            </w:r>
          </w:p>
        </w:tc>
        <w:tc>
          <w:tcPr>
            <w:tcW w:w="674" w:type="pct"/>
            <w:tcBorders>
              <w:top w:val="single" w:color="000000" w:sz="4" w:space="0"/>
              <w:left w:val="nil"/>
              <w:bottom w:val="single" w:color="000000" w:sz="4" w:space="0"/>
              <w:right w:val="single" w:color="000000" w:sz="4" w:space="0"/>
            </w:tcBorders>
            <w:vAlign w:val="center"/>
          </w:tcPr>
          <w:p w14:paraId="61085E86">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资料员</w:t>
            </w:r>
          </w:p>
        </w:tc>
        <w:tc>
          <w:tcPr>
            <w:tcW w:w="433" w:type="pct"/>
            <w:tcBorders>
              <w:top w:val="single" w:color="000000" w:sz="4" w:space="0"/>
              <w:left w:val="nil"/>
              <w:bottom w:val="single" w:color="000000" w:sz="4" w:space="0"/>
              <w:right w:val="single" w:color="000000" w:sz="4" w:space="0"/>
            </w:tcBorders>
            <w:vAlign w:val="center"/>
          </w:tcPr>
          <w:p w14:paraId="191F17F8">
            <w:pPr>
              <w:autoSpaceDE w:val="0"/>
              <w:autoSpaceDN w:val="0"/>
              <w:adjustRightInd w:val="0"/>
              <w:jc w:val="center"/>
              <w:rPr>
                <w:rFonts w:ascii="宋体" w:hAnsi="宋体" w:eastAsia="宋体" w:cs="宋体"/>
                <w:b/>
                <w:color w:val="auto"/>
                <w:kern w:val="0"/>
                <w:szCs w:val="21"/>
              </w:rPr>
            </w:pPr>
            <w:r>
              <w:rPr>
                <w:rFonts w:hint="eastAsia" w:ascii="宋体" w:hAnsi="宋体" w:eastAsia="宋体" w:cs="Times New Roman"/>
                <w:b/>
                <w:color w:val="auto"/>
                <w:kern w:val="0"/>
                <w:szCs w:val="21"/>
              </w:rPr>
              <w:t>1</w:t>
            </w:r>
          </w:p>
        </w:tc>
        <w:tc>
          <w:tcPr>
            <w:tcW w:w="1874" w:type="pct"/>
            <w:tcBorders>
              <w:top w:val="single" w:color="000000" w:sz="4" w:space="0"/>
              <w:left w:val="nil"/>
              <w:bottom w:val="single" w:color="000000" w:sz="4" w:space="0"/>
              <w:right w:val="single" w:color="000000" w:sz="4" w:space="0"/>
            </w:tcBorders>
            <w:vAlign w:val="center"/>
          </w:tcPr>
          <w:p w14:paraId="58E73E0A">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具备有住建部门或住建委印制的资料员岗位资格证书</w:t>
            </w:r>
          </w:p>
        </w:tc>
        <w:tc>
          <w:tcPr>
            <w:tcW w:w="1684" w:type="pct"/>
            <w:tcBorders>
              <w:top w:val="single" w:color="000000" w:sz="4" w:space="0"/>
              <w:left w:val="nil"/>
              <w:bottom w:val="single" w:color="000000" w:sz="4" w:space="0"/>
              <w:right w:val="single" w:color="000000" w:sz="4" w:space="0"/>
            </w:tcBorders>
            <w:vAlign w:val="center"/>
          </w:tcPr>
          <w:p w14:paraId="3A43E145">
            <w:pPr>
              <w:numPr>
                <w:ilvl w:val="255"/>
                <w:numId w:val="0"/>
              </w:numPr>
              <w:autoSpaceDE w:val="0"/>
              <w:autoSpaceDN w:val="0"/>
              <w:adjustRightInd w:val="0"/>
              <w:rPr>
                <w:rFonts w:ascii="宋体" w:hAnsi="宋体" w:eastAsia="宋体" w:cs="宋体"/>
                <w:b/>
                <w:color w:val="auto"/>
                <w:kern w:val="0"/>
                <w:szCs w:val="21"/>
              </w:rPr>
            </w:pPr>
            <w:r>
              <w:rPr>
                <w:rFonts w:hint="eastAsia" w:hAnsi="宋体" w:cs="宋体"/>
                <w:b/>
                <w:color w:val="auto"/>
                <w:kern w:val="0"/>
                <w:szCs w:val="21"/>
              </w:rPr>
              <w:t>1.</w:t>
            </w:r>
            <w:r>
              <w:rPr>
                <w:rFonts w:hint="eastAsia" w:ascii="宋体" w:hAnsi="宋体" w:eastAsia="宋体" w:cs="宋体"/>
                <w:b/>
                <w:color w:val="auto"/>
                <w:kern w:val="0"/>
                <w:szCs w:val="21"/>
              </w:rPr>
              <w:t>须提供人员证书及劳动合同（或劳务合同）复印件</w:t>
            </w:r>
          </w:p>
          <w:p w14:paraId="5925F386">
            <w:pPr>
              <w:pStyle w:val="18"/>
              <w:numPr>
                <w:ilvl w:val="255"/>
                <w:numId w:val="0"/>
              </w:numPr>
              <w:jc w:val="both"/>
              <w:rPr>
                <w:bCs w:val="0"/>
                <w:color w:val="auto"/>
              </w:rPr>
            </w:pPr>
            <w:r>
              <w:rPr>
                <w:rFonts w:hint="eastAsia" w:hAnsi="宋体" w:cs="宋体"/>
                <w:bCs w:val="0"/>
                <w:color w:val="auto"/>
                <w:sz w:val="21"/>
                <w:szCs w:val="21"/>
                <w:lang w:val="en-US"/>
              </w:rPr>
              <w:t>2.人力资源和社会保障部门（或税务部门）出具的乙方2024年5月至2024年10月为其缴纳的社保证明复印件</w:t>
            </w:r>
          </w:p>
        </w:tc>
      </w:tr>
      <w:tr w14:paraId="780EF2AB">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2BF9A5D5">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674" w:type="pct"/>
            <w:tcBorders>
              <w:top w:val="single" w:color="000000" w:sz="4" w:space="0"/>
              <w:left w:val="nil"/>
              <w:bottom w:val="single" w:color="000000" w:sz="4" w:space="0"/>
              <w:right w:val="single" w:color="000000" w:sz="4" w:space="0"/>
            </w:tcBorders>
            <w:vAlign w:val="center"/>
          </w:tcPr>
          <w:p w14:paraId="235BA057">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bCs/>
                <w:color w:val="auto"/>
                <w:kern w:val="0"/>
                <w:szCs w:val="21"/>
              </w:rPr>
              <w:t>低压电工</w:t>
            </w:r>
          </w:p>
        </w:tc>
        <w:tc>
          <w:tcPr>
            <w:tcW w:w="433" w:type="pct"/>
            <w:tcBorders>
              <w:top w:val="single" w:color="000000" w:sz="4" w:space="0"/>
              <w:left w:val="nil"/>
              <w:bottom w:val="single" w:color="000000" w:sz="4" w:space="0"/>
              <w:right w:val="single" w:color="000000" w:sz="4" w:space="0"/>
            </w:tcBorders>
            <w:vAlign w:val="center"/>
          </w:tcPr>
          <w:p w14:paraId="0D22F9C8">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11D52EC6">
            <w:pPr>
              <w:autoSpaceDE w:val="0"/>
              <w:autoSpaceDN w:val="0"/>
              <w:adjustRightInd w:val="0"/>
              <w:jc w:val="left"/>
              <w:rPr>
                <w:rFonts w:ascii="宋体" w:hAnsi="宋体" w:eastAsia="宋体" w:cs="宋体"/>
                <w:color w:val="auto"/>
                <w:kern w:val="0"/>
                <w:szCs w:val="21"/>
              </w:rPr>
            </w:pPr>
            <w:r>
              <w:rPr>
                <w:rFonts w:hint="eastAsia" w:ascii="宋体" w:hAnsi="宋体" w:eastAsia="宋体" w:cs="宋体"/>
                <w:color w:val="auto"/>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3A700F7D">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须提供人员证书及劳动合同（或劳务合同）复印件</w:t>
            </w:r>
          </w:p>
        </w:tc>
      </w:tr>
      <w:tr w14:paraId="7E74A8F3">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7080762A">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674" w:type="pct"/>
            <w:tcBorders>
              <w:top w:val="single" w:color="000000" w:sz="4" w:space="0"/>
              <w:left w:val="nil"/>
              <w:bottom w:val="single" w:color="000000" w:sz="4" w:space="0"/>
              <w:right w:val="single" w:color="000000" w:sz="4" w:space="0"/>
            </w:tcBorders>
            <w:vAlign w:val="center"/>
          </w:tcPr>
          <w:p w14:paraId="0B4226C4">
            <w:pPr>
              <w:autoSpaceDE w:val="0"/>
              <w:autoSpaceDN w:val="0"/>
              <w:adjustRightInd w:val="0"/>
              <w:jc w:val="center"/>
              <w:rPr>
                <w:rFonts w:ascii="宋体" w:hAnsi="宋体" w:eastAsia="宋体" w:cs="宋体"/>
                <w:bCs/>
                <w:color w:val="auto"/>
                <w:kern w:val="0"/>
                <w:szCs w:val="21"/>
              </w:rPr>
            </w:pPr>
            <w:r>
              <w:rPr>
                <w:rFonts w:hint="eastAsia" w:ascii="宋体" w:hAnsi="宋体" w:eastAsia="宋体" w:cs="宋体"/>
                <w:bCs/>
                <w:color w:val="auto"/>
                <w:kern w:val="0"/>
                <w:szCs w:val="21"/>
              </w:rPr>
              <w:t>高压电工</w:t>
            </w:r>
          </w:p>
        </w:tc>
        <w:tc>
          <w:tcPr>
            <w:tcW w:w="433" w:type="pct"/>
            <w:tcBorders>
              <w:top w:val="single" w:color="000000" w:sz="4" w:space="0"/>
              <w:left w:val="nil"/>
              <w:bottom w:val="single" w:color="000000" w:sz="4" w:space="0"/>
              <w:right w:val="single" w:color="000000" w:sz="4" w:space="0"/>
            </w:tcBorders>
            <w:vAlign w:val="center"/>
          </w:tcPr>
          <w:p w14:paraId="03D5EA46">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40893454">
            <w:pPr>
              <w:autoSpaceDE w:val="0"/>
              <w:autoSpaceDN w:val="0"/>
              <w:adjustRightInd w:val="0"/>
              <w:jc w:val="left"/>
              <w:rPr>
                <w:rFonts w:ascii="宋体" w:hAnsi="宋体" w:eastAsia="宋体" w:cs="宋体"/>
                <w:color w:val="auto"/>
                <w:kern w:val="0"/>
                <w:szCs w:val="21"/>
              </w:rPr>
            </w:pPr>
            <w:r>
              <w:rPr>
                <w:rFonts w:hint="eastAsia" w:ascii="宋体" w:hAnsi="宋体" w:eastAsia="宋体" w:cs="宋体"/>
                <w:color w:val="auto"/>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6AA95D7E">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须提供人员证书及劳动合同（或劳务合同）复印件</w:t>
            </w:r>
          </w:p>
        </w:tc>
      </w:tr>
      <w:tr w14:paraId="67756DDB">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5C826DFC">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674" w:type="pct"/>
            <w:tcBorders>
              <w:top w:val="single" w:color="000000" w:sz="4" w:space="0"/>
              <w:left w:val="nil"/>
              <w:bottom w:val="single" w:color="000000" w:sz="4" w:space="0"/>
              <w:right w:val="single" w:color="000000" w:sz="4" w:space="0"/>
            </w:tcBorders>
            <w:vAlign w:val="center"/>
          </w:tcPr>
          <w:p w14:paraId="12C23231">
            <w:pPr>
              <w:autoSpaceDE w:val="0"/>
              <w:autoSpaceDN w:val="0"/>
              <w:adjustRightInd w:val="0"/>
              <w:jc w:val="center"/>
              <w:rPr>
                <w:rFonts w:ascii="宋体" w:hAnsi="宋体" w:eastAsia="宋体" w:cs="宋体"/>
                <w:bCs/>
                <w:color w:val="auto"/>
                <w:kern w:val="0"/>
                <w:szCs w:val="21"/>
              </w:rPr>
            </w:pPr>
            <w:r>
              <w:rPr>
                <w:rFonts w:hint="eastAsia" w:ascii="宋体" w:hAnsi="宋体" w:eastAsia="宋体" w:cs="宋体"/>
                <w:bCs/>
                <w:color w:val="auto"/>
                <w:kern w:val="0"/>
                <w:szCs w:val="21"/>
              </w:rPr>
              <w:t>焊工</w:t>
            </w:r>
          </w:p>
        </w:tc>
        <w:tc>
          <w:tcPr>
            <w:tcW w:w="433" w:type="pct"/>
            <w:tcBorders>
              <w:top w:val="single" w:color="000000" w:sz="4" w:space="0"/>
              <w:left w:val="nil"/>
              <w:bottom w:val="single" w:color="000000" w:sz="4" w:space="0"/>
              <w:right w:val="single" w:color="000000" w:sz="4" w:space="0"/>
            </w:tcBorders>
            <w:vAlign w:val="center"/>
          </w:tcPr>
          <w:p w14:paraId="3F0C4CE1">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55EE2DBA">
            <w:pPr>
              <w:autoSpaceDE w:val="0"/>
              <w:autoSpaceDN w:val="0"/>
              <w:adjustRightInd w:val="0"/>
              <w:jc w:val="left"/>
              <w:rPr>
                <w:rFonts w:ascii="宋体" w:hAnsi="宋体" w:eastAsia="宋体" w:cs="宋体"/>
                <w:bCs/>
                <w:color w:val="auto"/>
                <w:kern w:val="0"/>
                <w:szCs w:val="21"/>
              </w:rPr>
            </w:pPr>
            <w:r>
              <w:rPr>
                <w:rFonts w:hint="eastAsia" w:ascii="宋体" w:hAnsi="宋体" w:eastAsia="宋体" w:cs="宋体"/>
                <w:color w:val="auto"/>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2D5D182E">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须提供人员证书及劳动合同（或劳务合同）复印件</w:t>
            </w:r>
          </w:p>
        </w:tc>
      </w:tr>
      <w:tr w14:paraId="647AF9F8">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1F045FE6">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674" w:type="pct"/>
            <w:tcBorders>
              <w:top w:val="single" w:color="000000" w:sz="4" w:space="0"/>
              <w:left w:val="nil"/>
              <w:bottom w:val="single" w:color="000000" w:sz="4" w:space="0"/>
              <w:right w:val="single" w:color="000000" w:sz="4" w:space="0"/>
            </w:tcBorders>
            <w:vAlign w:val="center"/>
          </w:tcPr>
          <w:p w14:paraId="05DFBF45">
            <w:pPr>
              <w:jc w:val="center"/>
              <w:rPr>
                <w:rFonts w:ascii="宋体" w:hAnsi="宋体" w:eastAsia="宋体" w:cs="宋体"/>
                <w:color w:val="auto"/>
              </w:rPr>
            </w:pPr>
            <w:r>
              <w:rPr>
                <w:rFonts w:hint="eastAsia" w:ascii="宋体" w:hAnsi="宋体" w:eastAsia="宋体" w:cs="宋体"/>
                <w:bCs/>
                <w:color w:val="auto"/>
                <w:kern w:val="0"/>
                <w:szCs w:val="21"/>
              </w:rPr>
              <w:t>机电设备维修作业人员</w:t>
            </w:r>
          </w:p>
        </w:tc>
        <w:tc>
          <w:tcPr>
            <w:tcW w:w="433" w:type="pct"/>
            <w:tcBorders>
              <w:top w:val="single" w:color="000000" w:sz="4" w:space="0"/>
              <w:left w:val="nil"/>
              <w:bottom w:val="single" w:color="000000" w:sz="4" w:space="0"/>
              <w:right w:val="single" w:color="000000" w:sz="4" w:space="0"/>
            </w:tcBorders>
            <w:vAlign w:val="center"/>
          </w:tcPr>
          <w:p w14:paraId="73B95CD5">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1874" w:type="pct"/>
            <w:tcBorders>
              <w:top w:val="single" w:color="000000" w:sz="4" w:space="0"/>
              <w:left w:val="nil"/>
              <w:bottom w:val="single" w:color="000000" w:sz="4" w:space="0"/>
              <w:right w:val="single" w:color="000000" w:sz="4" w:space="0"/>
            </w:tcBorders>
            <w:vAlign w:val="center"/>
          </w:tcPr>
          <w:p w14:paraId="292B3C02">
            <w:pPr>
              <w:autoSpaceDE w:val="0"/>
              <w:autoSpaceDN w:val="0"/>
              <w:adjustRightInd w:val="0"/>
              <w:jc w:val="left"/>
              <w:rPr>
                <w:rFonts w:ascii="宋体" w:hAnsi="宋体" w:eastAsia="宋体" w:cs="宋体"/>
                <w:bCs/>
                <w:color w:val="auto"/>
                <w:kern w:val="0"/>
                <w:szCs w:val="21"/>
              </w:rPr>
            </w:pPr>
            <w:r>
              <w:rPr>
                <w:rFonts w:hint="eastAsia" w:ascii="宋体" w:hAnsi="宋体" w:eastAsia="宋体" w:cs="宋体"/>
                <w:color w:val="auto"/>
                <w:kern w:val="0"/>
                <w:szCs w:val="21"/>
              </w:rPr>
              <w:t>身体健康，</w:t>
            </w:r>
            <w:r>
              <w:rPr>
                <w:rFonts w:hint="eastAsia" w:ascii="宋体" w:hAnsi="宋体" w:eastAsia="宋体" w:cs="宋体"/>
                <w:bCs/>
                <w:color w:val="auto"/>
                <w:szCs w:val="21"/>
              </w:rPr>
              <w:t>具备相应的水泵、格栅机、闸门、管道维修的专业知识及技术水平。</w:t>
            </w:r>
          </w:p>
        </w:tc>
        <w:tc>
          <w:tcPr>
            <w:tcW w:w="1684" w:type="pct"/>
            <w:tcBorders>
              <w:top w:val="single" w:color="000000" w:sz="4" w:space="0"/>
              <w:left w:val="nil"/>
              <w:bottom w:val="single" w:color="000000" w:sz="4" w:space="0"/>
              <w:right w:val="single" w:color="000000" w:sz="4" w:space="0"/>
            </w:tcBorders>
            <w:vAlign w:val="center"/>
          </w:tcPr>
          <w:p w14:paraId="7AA9F077">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提供劳动合同（或劳务合同）</w:t>
            </w:r>
          </w:p>
        </w:tc>
      </w:tr>
      <w:tr w14:paraId="38516E44">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5CD478EE">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bCs/>
                <w:color w:val="auto"/>
                <w:kern w:val="0"/>
                <w:szCs w:val="21"/>
              </w:rPr>
              <w:t>9</w:t>
            </w:r>
          </w:p>
        </w:tc>
        <w:tc>
          <w:tcPr>
            <w:tcW w:w="674" w:type="pct"/>
            <w:tcBorders>
              <w:top w:val="single" w:color="000000" w:sz="4" w:space="0"/>
              <w:left w:val="nil"/>
              <w:bottom w:val="single" w:color="000000" w:sz="4" w:space="0"/>
              <w:right w:val="single" w:color="000000" w:sz="4" w:space="0"/>
            </w:tcBorders>
            <w:vAlign w:val="center"/>
          </w:tcPr>
          <w:p w14:paraId="5E303A7F">
            <w:pPr>
              <w:autoSpaceDE w:val="0"/>
              <w:autoSpaceDN w:val="0"/>
              <w:adjustRightInd w:val="0"/>
              <w:jc w:val="center"/>
              <w:rPr>
                <w:rFonts w:ascii="宋体" w:hAnsi="宋体" w:eastAsia="宋体" w:cs="宋体"/>
                <w:bCs/>
                <w:color w:val="auto"/>
                <w:kern w:val="0"/>
                <w:szCs w:val="21"/>
              </w:rPr>
            </w:pPr>
            <w:r>
              <w:rPr>
                <w:rFonts w:hint="eastAsia" w:ascii="宋体" w:hAnsi="宋体" w:eastAsia="宋体" w:cs="宋体"/>
                <w:bCs/>
                <w:color w:val="auto"/>
                <w:kern w:val="0"/>
                <w:szCs w:val="21"/>
              </w:rPr>
              <w:t>潜水员</w:t>
            </w:r>
          </w:p>
        </w:tc>
        <w:tc>
          <w:tcPr>
            <w:tcW w:w="433" w:type="pct"/>
            <w:tcBorders>
              <w:top w:val="single" w:color="000000" w:sz="4" w:space="0"/>
              <w:left w:val="nil"/>
              <w:bottom w:val="single" w:color="000000" w:sz="4" w:space="0"/>
              <w:right w:val="single" w:color="000000" w:sz="4" w:space="0"/>
            </w:tcBorders>
            <w:vAlign w:val="center"/>
          </w:tcPr>
          <w:p w14:paraId="7B40F386">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05CB5046">
            <w:pPr>
              <w:autoSpaceDE w:val="0"/>
              <w:autoSpaceDN w:val="0"/>
              <w:adjustRightInd w:val="0"/>
              <w:jc w:val="left"/>
              <w:rPr>
                <w:rFonts w:ascii="宋体" w:hAnsi="宋体" w:eastAsia="宋体" w:cs="宋体"/>
                <w:color w:val="auto"/>
                <w:kern w:val="0"/>
                <w:szCs w:val="21"/>
              </w:rPr>
            </w:pPr>
            <w:r>
              <w:rPr>
                <w:rFonts w:hint="eastAsia" w:ascii="宋体" w:hAnsi="宋体" w:eastAsia="宋体" w:cs="宋体"/>
                <w:color w:val="auto"/>
                <w:kern w:val="0"/>
                <w:szCs w:val="21"/>
              </w:rPr>
              <w:t>具备中国潜水打捞行业协会或其他</w:t>
            </w:r>
            <w:r>
              <w:rPr>
                <w:rFonts w:hint="eastAsia" w:ascii="宋体" w:hAnsi="宋体" w:eastAsia="宋体" w:cs="宋体"/>
                <w:bCs/>
                <w:color w:val="auto"/>
                <w:kern w:val="0"/>
                <w:szCs w:val="21"/>
              </w:rPr>
              <w:t>行业主管部门颁发的潜水员证书</w:t>
            </w:r>
          </w:p>
        </w:tc>
        <w:tc>
          <w:tcPr>
            <w:tcW w:w="1684" w:type="pct"/>
            <w:tcBorders>
              <w:top w:val="single" w:color="000000" w:sz="4" w:space="0"/>
              <w:left w:val="nil"/>
              <w:bottom w:val="single" w:color="000000" w:sz="4" w:space="0"/>
              <w:right w:val="single" w:color="000000" w:sz="4" w:space="0"/>
            </w:tcBorders>
            <w:vAlign w:val="center"/>
          </w:tcPr>
          <w:p w14:paraId="63D332D1">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bCs/>
                <w:color w:val="auto"/>
                <w:kern w:val="0"/>
                <w:szCs w:val="21"/>
              </w:rPr>
              <w:t>须提供人员证书及劳动合同（或劳务合同）复印件</w:t>
            </w:r>
          </w:p>
        </w:tc>
      </w:tr>
      <w:bookmarkEnd w:id="377"/>
    </w:tbl>
    <w:p w14:paraId="27000796">
      <w:pPr>
        <w:spacing w:line="360" w:lineRule="auto"/>
        <w:ind w:firstLine="422" w:firstLineChars="200"/>
        <w:rPr>
          <w:rFonts w:ascii="宋体" w:hAnsi="宋体" w:eastAsia="宋体" w:cs="宋体"/>
          <w:b/>
          <w:bCs/>
          <w:color w:val="auto"/>
          <w:szCs w:val="21"/>
        </w:rPr>
      </w:pPr>
    </w:p>
    <w:p w14:paraId="472FDA03">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①从事有限空间作业的主要管理人员、监护人员（至少2名）及作业人员须经市或省安全生产协议等相应资质的机构培训考核后持证上岗。</w:t>
      </w:r>
    </w:p>
    <w:p w14:paraId="11CB7ABC">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②从事潜水作业的作业人员须持有中国潜水打捞行业协会或其他行业主管部门颁发的证书，同时经东莞市水务集团管网有限公司培训考核合格后方可入场作业。</w:t>
      </w:r>
    </w:p>
    <w:p w14:paraId="46304960">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③从事本项目的特种作业人员必须持有应急管理局或住建厅或国家质检总局下发的特种作业人员上岗证，严禁无证上岗。</w:t>
      </w:r>
    </w:p>
    <w:p w14:paraId="457BC1DD">
      <w:pPr>
        <w:spacing w:line="360" w:lineRule="auto"/>
        <w:ind w:firstLine="422" w:firstLineChars="200"/>
        <w:rPr>
          <w:rFonts w:ascii="宋体" w:hAnsi="宋体" w:eastAsia="宋体" w:cs="宋体"/>
          <w:color w:val="auto"/>
          <w:szCs w:val="21"/>
        </w:rPr>
      </w:pPr>
      <w:r>
        <w:rPr>
          <w:rFonts w:hint="eastAsia" w:ascii="宋体" w:hAnsi="宋体" w:eastAsia="宋体" w:cs="宋体"/>
          <w:b/>
          <w:bCs/>
          <w:color w:val="auto"/>
          <w:szCs w:val="21"/>
        </w:rPr>
        <w:t>④</w:t>
      </w:r>
      <w:r>
        <w:rPr>
          <w:rFonts w:hint="eastAsia" w:ascii="宋体" w:hAnsi="宋体" w:eastAsia="宋体" w:cs="宋体"/>
          <w:color w:val="auto"/>
          <w:szCs w:val="21"/>
        </w:rPr>
        <w:t>乙方须提交项目负责人、现场负责人、安全员及资料员与乙方2024年5月至2024年10月的社保关系证明，如出现社保中断超过6个月等情况，甲方有权暂停乙方的承接业务的资格。</w:t>
      </w:r>
    </w:p>
    <w:p w14:paraId="37C91AE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4.6.3 同一个现场负责人在承担各单项项目期间不得承接其他项目（水泵电机等在车间维修项目除外），单项项目实施期间必须全程驻场监督。管理人员在合同期间不得随意更换，如确需更换的，应书面向甲方申请，并征得甲方书面同意方可更换。现场负责人及安全管理人员为核心人员，必须接受甲方相关机电设备维修作业安全知识、风险识别、有限空间作业等培训及考核。</w:t>
      </w:r>
    </w:p>
    <w:p w14:paraId="3919945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4.6.4 乙方派出的机电设备维修服务人员应具备相应的专业知识及技术水平，熟悉本服务项目设施和设备规格、技术指标及相关操作，有足够能力完成个单项项目的机电设备维修服务工作；乙方派出的作业人员必须持证上岗，电工、潜水员等特殊工种必须经过行业主管部门组织的培训、经考核合格取得相应证件后才能上岗作业，特种作业持证上岗率100％。</w:t>
      </w:r>
    </w:p>
    <w:p w14:paraId="255C9C9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4.6.5 乙方配备的管理人员（含项目负责人、现场负责人、安全员）均须在乙方本单位缴纳社保。甲方有权在履约过程中随时抽查上述人员要求实际投入人员相关情况，若不符合要求的，甲方有权进行相关处罚，情节严重的，甲方有权终止合同。</w:t>
      </w:r>
    </w:p>
    <w:p w14:paraId="6CEFC4D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4.6.6 乙方应定期组织其所有服务人员参加相关安全培训（每季度一次）、职业健康体检（每年一次），为其购买人身意外伤害保险（最低保额不低于100万元）。</w:t>
      </w:r>
    </w:p>
    <w:p w14:paraId="455F353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4.6.7 乙方应按要求为本项目购买安装工程一切险（根据工种定保险金额，最低保额不低于100万元），并在中标通知书发出之日一个月内（且在作业前）将相关资料报送甲方备案。如发生工伤事故，乙方自行完成保险理赔相关工作，超出赔偿的金额由乙方自行承担，甲方不承担任何赔偿责任，乙方不得以任何理由与甲方发生纠纷。</w:t>
      </w:r>
    </w:p>
    <w:p w14:paraId="708A236C">
      <w:pPr>
        <w:spacing w:line="360" w:lineRule="auto"/>
        <w:ind w:firstLine="420" w:firstLineChars="200"/>
        <w:rPr>
          <w:rFonts w:ascii="宋体" w:hAnsi="宋体" w:eastAsia="宋体" w:cs="宋体"/>
          <w:color w:val="auto"/>
          <w:szCs w:val="21"/>
        </w:rPr>
      </w:pPr>
      <w:bookmarkStart w:id="378" w:name="OLE_LINK20"/>
      <w:r>
        <w:rPr>
          <w:rFonts w:hint="eastAsia" w:ascii="宋体" w:hAnsi="宋体" w:eastAsia="宋体" w:cs="宋体"/>
          <w:color w:val="auto"/>
          <w:szCs w:val="21"/>
        </w:rPr>
        <w:t>4.6.8 本项目实行作业人员实名备案制，乙方需于合同签订后5日内将项目负责人、现场负责人、安全员、造价员、资料员及</w:t>
      </w:r>
      <w:r>
        <w:rPr>
          <w:rFonts w:hint="eastAsia" w:ascii="宋体" w:hAnsi="宋体" w:eastAsia="宋体" w:cs="宋体"/>
          <w:color w:val="auto"/>
          <w:szCs w:val="21"/>
          <w:lang w:val="en-US" w:eastAsia="zh-CN"/>
        </w:rPr>
        <w:t>投标文件中承诺配置的人员</w:t>
      </w:r>
      <w:r>
        <w:rPr>
          <w:rFonts w:hint="eastAsia" w:ascii="宋体" w:hAnsi="宋体" w:eastAsia="宋体" w:cs="宋体"/>
          <w:color w:val="auto"/>
          <w:szCs w:val="21"/>
        </w:rPr>
        <w:t>相关资料报送至甲方以及甲方委托的监督单位备案，合同签订后1个月内需首次更换的不进行处罚，更换人员的执业资格、职称等不得低于招标文件及投标文件的要求，更换后的人员须经甲方考核通过并批准同意。</w:t>
      </w:r>
    </w:p>
    <w:bookmarkEnd w:id="378"/>
    <w:p w14:paraId="7E7DE443">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 xml:space="preserve">4.6.9 </w:t>
      </w:r>
      <w:r>
        <w:rPr>
          <w:rFonts w:hint="eastAsia" w:ascii="宋体" w:hAnsi="宋体" w:eastAsia="宋体" w:cs="宋体"/>
          <w:b/>
          <w:bCs/>
          <w:color w:val="auto"/>
          <w:szCs w:val="21"/>
        </w:rPr>
        <w:t>在服务期内，甲方根据实际需要，通过邮箱【                】发送项目承接确认协议书的方式直接委派任务至乙方项目负责人</w:t>
      </w:r>
      <w:r>
        <w:rPr>
          <w:rFonts w:hint="eastAsia" w:ascii="宋体" w:hAnsi="宋体" w:eastAsia="宋体" w:cs="宋体"/>
          <w:b/>
          <w:bCs/>
          <w:color w:val="auto"/>
          <w:szCs w:val="21"/>
          <w:u w:val="single"/>
        </w:rPr>
        <w:t xml:space="preserve">姓名：        ；电话：         </w:t>
      </w:r>
      <w:r>
        <w:rPr>
          <w:rFonts w:hint="eastAsia" w:ascii="宋体" w:hAnsi="宋体" w:eastAsia="宋体" w:cs="宋体"/>
          <w:b/>
          <w:bCs/>
          <w:color w:val="auto"/>
          <w:szCs w:val="21"/>
        </w:rPr>
        <w:t>指定邮箱</w:t>
      </w:r>
      <w:r>
        <w:rPr>
          <w:color w:val="auto"/>
        </w:rPr>
        <w:fldChar w:fldCharType="begin"/>
      </w:r>
      <w:r>
        <w:rPr>
          <w:color w:val="auto"/>
        </w:rPr>
        <w:instrText xml:space="preserve"> HYPERLINK "mailto:474880309@qq.com" </w:instrText>
      </w:r>
      <w:r>
        <w:rPr>
          <w:color w:val="auto"/>
        </w:rPr>
        <w:fldChar w:fldCharType="separate"/>
      </w:r>
      <w:r>
        <w:rPr>
          <w:rStyle w:val="43"/>
          <w:rFonts w:hint="eastAsia" w:ascii="宋体" w:hAnsi="宋体" w:eastAsia="宋体" w:cs="宋体"/>
          <w:b/>
          <w:bCs/>
          <w:color w:val="auto"/>
          <w:sz w:val="21"/>
          <w:szCs w:val="21"/>
          <w:u w:val="single"/>
        </w:rPr>
        <w:t xml:space="preserve">    </w:t>
      </w:r>
      <w:r>
        <w:rPr>
          <w:rStyle w:val="43"/>
          <w:rFonts w:hint="eastAsia" w:ascii="宋体" w:hAnsi="宋体" w:eastAsia="宋体" w:cs="宋体"/>
          <w:b/>
          <w:bCs/>
          <w:color w:val="auto"/>
          <w:sz w:val="21"/>
          <w:szCs w:val="21"/>
          <w:u w:val="single"/>
        </w:rPr>
        <w:fldChar w:fldCharType="end"/>
      </w:r>
      <w:r>
        <w:rPr>
          <w:rStyle w:val="43"/>
          <w:rFonts w:hint="eastAsia" w:ascii="宋体" w:hAnsi="宋体" w:eastAsia="宋体" w:cs="宋体"/>
          <w:b/>
          <w:bCs/>
          <w:color w:val="auto"/>
          <w:sz w:val="21"/>
          <w:szCs w:val="21"/>
          <w:u w:val="single"/>
        </w:rPr>
        <w:t xml:space="preserve">            </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电子版项目承接确认协议书自送达乙方指定邮箱后，即视为甲方已成功委派任务，无正当理由，乙方不得拒绝接受任务。电子版项目承接确认协议书送达至乙方指定邮箱后乙方应当在10日内完成盖章签署返回至甲方。若本条款中的人员及邮箱发生变更，乙方应在1日内通过包括但不限于书面、微信、电子邮箱等方式通知甲方，如因乙方原因未及时告知甲方人员变更信息导致乙方未能收到项目委派通知的，所产生的违约责任由乙方自行承担，乙方对此无异议。</w:t>
      </w:r>
    </w:p>
    <w:p w14:paraId="3EAACC43">
      <w:pPr>
        <w:pStyle w:val="18"/>
        <w:spacing w:line="360" w:lineRule="auto"/>
        <w:ind w:right="0" w:firstLine="422" w:firstLineChars="200"/>
        <w:jc w:val="both"/>
        <w:rPr>
          <w:rFonts w:hAnsi="宋体" w:cs="宋体"/>
          <w:b w:val="0"/>
          <w:bCs w:val="0"/>
          <w:color w:val="auto"/>
          <w:sz w:val="21"/>
          <w:szCs w:val="21"/>
          <w:lang w:val="en-US"/>
        </w:rPr>
      </w:pPr>
      <w:r>
        <w:rPr>
          <w:rFonts w:hint="eastAsia" w:hAnsi="宋体" w:cs="宋体"/>
          <w:color w:val="auto"/>
          <w:sz w:val="21"/>
          <w:szCs w:val="21"/>
          <w:lang w:val="en-US"/>
        </w:rPr>
        <w:t xml:space="preserve"> </w:t>
      </w:r>
      <w:r>
        <w:rPr>
          <w:rFonts w:hint="eastAsia" w:hAnsi="宋体" w:cs="宋体"/>
          <w:b w:val="0"/>
          <w:bCs w:val="0"/>
          <w:color w:val="auto"/>
          <w:sz w:val="21"/>
          <w:szCs w:val="21"/>
          <w:lang w:val="en-US"/>
        </w:rPr>
        <w:t>4.6.10 乙方应当自甲方发出项目承接确认协议书后【】个工作日内盖章签字，并将原件交给甲方；若乙方未在前述期限内盖章签字的，视为乙方拒绝接受任务，甲方有权按照合同和《管理办法》相关约定处理。</w:t>
      </w:r>
    </w:p>
    <w:p w14:paraId="396AEBCD">
      <w:pPr>
        <w:pStyle w:val="18"/>
        <w:spacing w:line="360" w:lineRule="auto"/>
        <w:ind w:right="0" w:firstLine="420" w:firstLineChars="200"/>
        <w:jc w:val="both"/>
        <w:rPr>
          <w:rFonts w:hAnsi="宋体" w:cs="宋体"/>
          <w:b w:val="0"/>
          <w:bCs w:val="0"/>
          <w:color w:val="auto"/>
          <w:sz w:val="21"/>
          <w:szCs w:val="21"/>
          <w:lang w:val="en-US"/>
        </w:rPr>
      </w:pPr>
      <w:r>
        <w:rPr>
          <w:rFonts w:hint="eastAsia" w:hAnsi="宋体" w:cs="宋体"/>
          <w:b w:val="0"/>
          <w:bCs w:val="0"/>
          <w:color w:val="auto"/>
          <w:sz w:val="21"/>
          <w:szCs w:val="21"/>
          <w:lang w:val="en-US"/>
        </w:rPr>
        <w:t>若乙方未在约定期限内盖章签字，但进场开展工作的，视为乙方接受任务，并认可甲方发出的项目承接确认协议书的所有内容；若乙方未履行项目承接确认协议书约定的或者履行不符合项目承接确认协议书约定的，甲方有权依照项目承接确认书进行处理。</w:t>
      </w:r>
    </w:p>
    <w:p w14:paraId="55E4D98F">
      <w:pPr>
        <w:pStyle w:val="18"/>
        <w:spacing w:line="360" w:lineRule="auto"/>
        <w:ind w:right="0" w:firstLine="420" w:firstLineChars="200"/>
        <w:jc w:val="both"/>
        <w:rPr>
          <w:rFonts w:hAnsi="宋体" w:cs="宋体"/>
          <w:b w:val="0"/>
          <w:bCs w:val="0"/>
          <w:color w:val="auto"/>
          <w:sz w:val="21"/>
          <w:szCs w:val="21"/>
          <w:lang w:val="en-US"/>
        </w:rPr>
      </w:pPr>
      <w:r>
        <w:rPr>
          <w:rFonts w:hint="eastAsia" w:hAnsi="宋体" w:cs="宋体"/>
          <w:b w:val="0"/>
          <w:bCs w:val="0"/>
          <w:color w:val="auto"/>
          <w:sz w:val="21"/>
          <w:szCs w:val="21"/>
          <w:lang w:val="en-US"/>
        </w:rPr>
        <w:t>属于紧急的技术服务项目的，甲方在项目承接确认协议书内予以明确，乙方不能拒绝接受任务，否则甲方有权按照合同和《管理办法》的相关约定处理。</w:t>
      </w:r>
    </w:p>
    <w:p w14:paraId="477B24BB">
      <w:pPr>
        <w:pStyle w:val="18"/>
        <w:spacing w:line="360" w:lineRule="auto"/>
        <w:ind w:firstLine="420" w:firstLineChars="200"/>
        <w:jc w:val="left"/>
        <w:rPr>
          <w:rFonts w:hAnsi="宋体" w:cs="宋体"/>
          <w:b w:val="0"/>
          <w:bCs w:val="0"/>
          <w:color w:val="auto"/>
          <w:sz w:val="21"/>
          <w:szCs w:val="21"/>
          <w:lang w:val="en-US"/>
        </w:rPr>
      </w:pPr>
      <w:r>
        <w:rPr>
          <w:rFonts w:hint="eastAsia" w:hAnsi="宋体" w:cs="宋体"/>
          <w:b w:val="0"/>
          <w:bCs w:val="0"/>
          <w:color w:val="auto"/>
          <w:sz w:val="21"/>
          <w:szCs w:val="21"/>
          <w:lang w:val="en-US"/>
        </w:rPr>
        <w:t>4.6.11 在合同服务期内，甲方开具的违约通知及要求乙方限期整改的，对于违约通知、限期整改承诺书、整改通知书回执等违约及整改文件，乙方授权姓名            （联系方式：           身份证号码：   ）代为在相关处罚及整改文件上签字并确认，乙方对前述受托人在前述范围内实施的全部行为及产生的法律后果均予以认可，并承担相应的法律责任。</w:t>
      </w:r>
    </w:p>
    <w:p w14:paraId="5A3CF558">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4.7 安全生产管理</w:t>
      </w:r>
    </w:p>
    <w:p w14:paraId="6F9D21E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4.7.1 乙方需做好施工作业的安全文明施工作业管理，遵守甲方各项安全生产的规章管理制度。对施工作业过程中造成的一切安全责任事故，由乙方负责。</w:t>
      </w:r>
    </w:p>
    <w:p w14:paraId="7A29D10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4.7.2 乙方的技术服务需遵守甲方的安全生产管理制度，服从并需签署甲方制定的相关安全协议，服从污水处理运营项目或提升泵站属地管理机构的管理要求。</w:t>
      </w:r>
    </w:p>
    <w:p w14:paraId="314542E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4.7.3 乙方在具体实施的项目中需开展有限空间作业的，应按照甲方相关要求通过甲方审批，在接到甲方允许作业回执后，乙方根据具体项目实施方案落实通风及气体检测等安全防护措施，才能进行作业。</w:t>
      </w:r>
    </w:p>
    <w:p w14:paraId="492367E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4.7.4 乙方应当建立覆盖全业务范围的安全生产与职业健康配套制度、岗位安全操作规程，且有针对性和可操作性，并在施工过程中严格执行。</w:t>
      </w:r>
    </w:p>
    <w:p w14:paraId="6E563BF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4.7.5 乙方必须落实全员安全生产责任制，通过明确各级人员安全生产责任，层层签订安全生产责任书，落实安全生产责任，同时按“一岗双责、失职追责”原则建立并完善全员安全生产责任制。</w:t>
      </w:r>
    </w:p>
    <w:p w14:paraId="7D48841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4.7.6乙方每个施工项目现场必须配齐1名主要管理人员，现场专职安全管理人员（即监护人）视项目现场危险级别进行委派，主要管理人员及专职安全管理人员必须取得经省安全生产协会安全机构/市安全生产协会安全机构进行有限空间作业培训考核合格，同时持有</w:t>
      </w:r>
      <w:bookmarkStart w:id="379" w:name="OLE_LINK26"/>
      <w:r>
        <w:rPr>
          <w:rFonts w:hint="eastAsia" w:ascii="宋体" w:hAnsi="宋体" w:eastAsia="宋体" w:cs="宋体"/>
          <w:color w:val="auto"/>
          <w:szCs w:val="21"/>
        </w:rPr>
        <w:t>东莞市水务集团管网有限公司</w:t>
      </w:r>
      <w:bookmarkEnd w:id="379"/>
      <w:r>
        <w:rPr>
          <w:rFonts w:hint="eastAsia" w:ascii="宋体" w:hAnsi="宋体" w:eastAsia="宋体" w:cs="宋体"/>
          <w:color w:val="auto"/>
          <w:szCs w:val="21"/>
        </w:rPr>
        <w:t>内部培训考核下发的准入证；从事本项目的特种作业人员必须持有应急管理局或住建厅或国家质检总局下发的特种作业人员上岗证，严禁无证上岗。</w:t>
      </w:r>
    </w:p>
    <w:p w14:paraId="6201750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4.7.7乙方服务项目全体员工必须经三级安全教育培训并考核合格，培训内容及培训学时必须符合法律法规及行业要求，同时每年组织不少于8学时的全员安全再教育培训，施工项目现场必须有一份完整存档的三级安全教育培训档案。</w:t>
      </w:r>
    </w:p>
    <w:p w14:paraId="6CF43AD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4.7.8 乙方应根据施工现场存在的主要安全风险，制定符合施工项目实际的专项应急预案、现场处置方案，专项应急预案每年进行一次演练，现场处置方案每半年进行一次演练。</w:t>
      </w:r>
    </w:p>
    <w:p w14:paraId="7081BF5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4.7.9 施工项目每天作业前，施工项目现场主要负责人、专职安全管理人员要对参与本次施工项目的员工进行安全交底，安全交底内容必须将本次本班作业可能存在的安全风险、风险管控措施、施工过程中的注意事项向本班作业人员进行告知，并做好纸面留痕工作。</w:t>
      </w:r>
    </w:p>
    <w:p w14:paraId="3C955A4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4.7.10 乙方必须为员工配置齐全安全防护用品、应急救援装备，具体配置标准不低于管网公司有限空间作业安全防护设备设施清单中的最低配置要求，每个施工项目施工时，参照标准也按公司最低配置要求进行配置，同时泵站临边作业现场必须设置安全防护设施，有限空间作业现场最好配置通讯式隔绝式呼吸器。</w:t>
      </w:r>
    </w:p>
    <w:p w14:paraId="48B4ECC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4.7.11 乙方必须为施工项目全体员工购买工伤保险及团体意外险，有条件的施工单位针对重点人群购买安责险。</w:t>
      </w:r>
    </w:p>
    <w:p w14:paraId="5FED1EE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4.7.12 乙方针对业务范围内生产活动，必须开展风险辨识工作，针对风险辨识结果，现在制定风险管控措施，同时主要负责人、专职安全管理人员要监督落实。</w:t>
      </w:r>
    </w:p>
    <w:p w14:paraId="26C6969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4.7.13 乙方在作业前一天落实危险作业审批报备工作，必须经甲方审批合格、甲方旁站人员检查并确认无误后方可进行施工作业；</w:t>
      </w:r>
    </w:p>
    <w:p w14:paraId="2B8C44E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4.7.14针对有限空间作业现场，乙方必须加强通风及监测工作，现场必须配置不低于2台强制送风设备，一台在靠近施工作业处进行送风，一台远离作业处进行抽风，确保进行有效空气置换，同时加强作业前及作业中通风及气体监测工作，确保监测合格方可作业。</w:t>
      </w:r>
    </w:p>
    <w:p w14:paraId="3F3BF2D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4.7.15因不可预见的客观因素存在，乙方有可能进行夜间施工；因此，乙方在本合同及单项项目价款中已经考虑这些因素，并把夜间施工增加的费用综合考虑纳入报价中，甲方对夜间的施工不给增加费用，夜间作业须按照《中华人民共和国环境噪声污染防治法》及《东莞市声环境功能区划》的有关规定执行；还须保证夜间施工作业不影响现有居民的正常作息时间。</w:t>
      </w:r>
    </w:p>
    <w:p w14:paraId="79DEE56F">
      <w:pPr>
        <w:rPr>
          <w:rFonts w:ascii="宋体" w:hAnsi="宋体" w:eastAsia="宋体" w:cs="宋体"/>
          <w:color w:val="auto"/>
          <w:szCs w:val="21"/>
        </w:rPr>
      </w:pPr>
    </w:p>
    <w:p w14:paraId="7714C54A">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五、验收</w:t>
      </w:r>
    </w:p>
    <w:p w14:paraId="72E18C5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5.1 验收标准：按照本合同及单项项目用户需求书“技术要求”的具体规定、委派项目专项技术要求等进行验收。</w:t>
      </w:r>
    </w:p>
    <w:p w14:paraId="51D2959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5.2 经验收合格后，验收报告、工程量清单由甲方、乙方、监理单位（如有）各方共同签字确认。验收不合格的，乙方应在甲方限定期限内完成整改，整改完成后通知甲方重新组织验收；乙方未能在限期内完成整改（含拒绝整改情形）或经整改仍不符合甲方要求的，甲方有权委托有资质的第三方进行处理，因此发生的费用由乙方承担，如因此导致甲方损失的，乙方还应承担全部赔偿责任。 </w:t>
      </w:r>
    </w:p>
    <w:p w14:paraId="16C1988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5.3 乙方在服务过程中应按进度情况及时整理资料，项目完工后30个自然日内将合格的竣工和结算资料移交给甲方。</w:t>
      </w:r>
    </w:p>
    <w:p w14:paraId="1C0612C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5.4 由于非甲方原因而引起货物的修理或更换的时间，以不影响生产为原则，否则将视为逾期交货。</w:t>
      </w:r>
    </w:p>
    <w:p w14:paraId="300AD63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5.5 甲方在进行任何一次验收时发现货物不符合相关要求的，可拒绝收货或要求乙方承担更换或退货责任。乙方应将该等货物在3日内自行运回，甲方不承担因验收造成的货物损耗且不对货物承担保管责任，由此产生的费用及风险由乙方承担；若甲方发现安装不符合相关要求的，可要求乙方返工，由此产生的所有费用由乙方自行承担。</w:t>
      </w:r>
    </w:p>
    <w:p w14:paraId="2AC92D9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5.6 甲方根据本条规定对货物所做出的验收，仅作为起算付款及质保期之用，不为双方对于货物质量的最终认定。货物经验收合格后，乙方仍应在质保期内对产品质量承担保证责任。</w:t>
      </w:r>
    </w:p>
    <w:p w14:paraId="02E5B38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5.7 货物在最终验收合格前，其损耗、毁损、灭失等风险及责任由乙方承担，如因发生前述情形，导致乙方所供应的货物不能通过甲方验收的，乙方应按甲方要求予以更换或退货，并承担由于货物更换或退货而发生的一切费用。</w:t>
      </w:r>
    </w:p>
    <w:p w14:paraId="4124D6B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5.8 验收过程中，如对检验记录不能取得一致意见时，一方可委托甲乙双方认可的第三方检验机构联合进行检验。检验结果具有约束力，如货物符合验收标准的，检验费由甲方承担；货物不符合验收标准的，检验费由乙方承担。</w:t>
      </w:r>
    </w:p>
    <w:p w14:paraId="3D4E5625">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六、质保期</w:t>
      </w:r>
    </w:p>
    <w:p w14:paraId="014B993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6.1</w:t>
      </w:r>
      <w:r>
        <w:rPr>
          <w:rFonts w:hint="eastAsia" w:ascii="宋体" w:hAnsi="宋体" w:eastAsia="宋体" w:cs="宋体"/>
          <w:b/>
          <w:bCs/>
          <w:color w:val="auto"/>
          <w:szCs w:val="21"/>
        </w:rPr>
        <w:t xml:space="preserve"> 质保期：除单项项目另有约定外，维修、技改等技术服务质保期为12个月（具体以项目承接确认协议书要求、用户需求书为准），自各单项项目验收合格之日起计算。</w:t>
      </w:r>
    </w:p>
    <w:p w14:paraId="4C42A42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6.2 设备拆卸、运输等无实际工程内容的技术服务不设质保期。</w:t>
      </w:r>
    </w:p>
    <w:p w14:paraId="33A07B0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6.3 质保期内，如所供零配件或维修技术服务发生故障，乙方应在接到甲方报修电话后2小时内予以响应，无偿承担故障维修。乙方应在24小时内修复故障，48小时内不能维修的故障应及时以新零配件替换，48小时内必须排除一切故障（单项项目用户需求书、项目承接确认协议书中另有要求的，按照要求执行）。否则甲方将自行采取必要的措施，包括委托第三方技术服务单位提供相应的技术服务，由此产生的风险和费用均由乙方承担，甲方有权从乙方未支付费用中抵扣或启用履约保证金，乙方对此无异议。</w:t>
      </w:r>
    </w:p>
    <w:p w14:paraId="2E9DBC4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6.4 质保期内，单个维修项目返修次数超出1次，如返修原因是乙方自身维修质量造成的，甲方有权对乙方进行罚款5000元；返修次数达到2次，甲方有权扣除单项项目结算金额5%；返修次数达到3次，扣除单项项目结算金额8%；返修次数超过三次的，甲方有权直接停止乙方的承接业务资格。</w:t>
      </w:r>
    </w:p>
    <w:p w14:paraId="744DA53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6.5 质保期内如出现返修，如返修原因经证实是乙方自身维修质量造成的，则质保期按修复后调试合格之日起重新计算质保期；如返修原因被证实不是乙方自身维修质量造成的，由甲方承担设备故障鉴定来回运输费及拆机费、维修费，乙方不能拒绝或怠于修复。</w:t>
      </w:r>
    </w:p>
    <w:p w14:paraId="61C9427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6.6 维修报告（含返修）：设备维修出厂必须提供故障分析报告、及维修报告、出厂检测报告。</w:t>
      </w:r>
    </w:p>
    <w:p w14:paraId="0107D4AF">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七、履约担保</w:t>
      </w:r>
    </w:p>
    <w:p w14:paraId="2476DDF2">
      <w:pPr>
        <w:spacing w:line="360" w:lineRule="auto"/>
        <w:ind w:right="-483" w:firstLine="420" w:firstLineChars="200"/>
        <w:rPr>
          <w:rFonts w:ascii="宋体" w:hAnsi="宋体" w:eastAsia="宋体" w:cs="宋体"/>
          <w:b/>
          <w:bCs/>
          <w:color w:val="auto"/>
          <w:szCs w:val="21"/>
          <w:u w:val="single"/>
        </w:rPr>
      </w:pPr>
      <w:r>
        <w:rPr>
          <w:rFonts w:hint="eastAsia" w:ascii="宋体" w:hAnsi="宋体" w:eastAsia="宋体" w:cs="宋体"/>
          <w:color w:val="auto"/>
          <w:szCs w:val="21"/>
        </w:rPr>
        <w:t xml:space="preserve">7.1 </w:t>
      </w:r>
      <w:r>
        <w:rPr>
          <w:rFonts w:hint="eastAsia" w:ascii="宋体" w:hAnsi="宋体" w:eastAsia="宋体" w:cs="宋体"/>
          <w:b/>
          <w:bCs/>
          <w:color w:val="auto"/>
          <w:szCs w:val="21"/>
        </w:rPr>
        <w:t>乙方最迟应在签订合同后15个工作日内，按招标文件规定金额及形式要求，向甲方提交不可撤销的银行履约保函（或履约保证金，或担保公司履约担保书），作为履约担保（所需费用由乙方自行承担），否则甲方可取消乙方的中标资格，有权不予退还其投标保证金，并按照合同相关规定处理。其中，采用履约保证金（银行转账形式）的金额为人民币</w:t>
      </w:r>
      <w:r>
        <w:rPr>
          <w:rFonts w:hint="eastAsia" w:ascii="宋体" w:hAnsi="宋体" w:eastAsia="宋体" w:cs="宋体"/>
          <w:b/>
          <w:bCs/>
          <w:color w:val="auto"/>
          <w:szCs w:val="21"/>
          <w:u w:val="single"/>
        </w:rPr>
        <w:t>壹拾万元整（￥100，000.00），采用不可撤销银行履约保函形式的金额为人民币壹拾万元整(￥100，000.00)，采用担保公司履约担保书形式的金额为壹拾万元整（￥100，000.00）。</w:t>
      </w:r>
    </w:p>
    <w:p w14:paraId="7F2D525F">
      <w:pPr>
        <w:spacing w:line="360" w:lineRule="auto"/>
        <w:ind w:right="-483" w:firstLine="478" w:firstLineChars="228"/>
        <w:rPr>
          <w:rFonts w:ascii="宋体" w:hAnsi="宋体" w:eastAsia="宋体" w:cs="宋体"/>
          <w:color w:val="auto"/>
          <w:szCs w:val="21"/>
        </w:rPr>
      </w:pPr>
      <w:r>
        <w:rPr>
          <w:rFonts w:hint="eastAsia" w:ascii="宋体" w:hAnsi="宋体" w:eastAsia="宋体" w:cs="宋体"/>
          <w:color w:val="auto"/>
          <w:szCs w:val="21"/>
        </w:rPr>
        <w:t>如采取履约保证金（银行转账形式）：甲方、乙方一致同意，履约保证金由东莞市水务集团管网有限公司统一收取，合同各方对此无异议。</w:t>
      </w:r>
    </w:p>
    <w:p w14:paraId="08BDFA78">
      <w:pPr>
        <w:spacing w:line="360" w:lineRule="auto"/>
        <w:ind w:firstLine="426" w:firstLineChars="202"/>
        <w:rPr>
          <w:rFonts w:ascii="宋体" w:hAnsi="宋体" w:eastAsia="宋体" w:cs="宋体"/>
          <w:b/>
          <w:bCs/>
          <w:color w:val="auto"/>
          <w:szCs w:val="21"/>
        </w:rPr>
      </w:pPr>
      <w:r>
        <w:rPr>
          <w:rFonts w:hint="eastAsia" w:ascii="宋体" w:hAnsi="宋体" w:eastAsia="宋体" w:cs="宋体"/>
          <w:b/>
          <w:bCs/>
          <w:color w:val="auto"/>
          <w:szCs w:val="21"/>
        </w:rPr>
        <w:t>东莞市水务集团管网有限公司履约保证金收款账号为：</w:t>
      </w:r>
    </w:p>
    <w:p w14:paraId="7B3E7155">
      <w:pPr>
        <w:spacing w:line="360" w:lineRule="auto"/>
        <w:ind w:firstLine="426" w:firstLineChars="202"/>
        <w:rPr>
          <w:rFonts w:ascii="宋体" w:hAnsi="宋体" w:eastAsia="宋体" w:cs="宋体"/>
          <w:b/>
          <w:bCs/>
          <w:color w:val="auto"/>
          <w:szCs w:val="21"/>
        </w:rPr>
      </w:pPr>
      <w:r>
        <w:rPr>
          <w:rFonts w:hint="eastAsia" w:ascii="宋体" w:hAnsi="宋体" w:eastAsia="宋体" w:cs="宋体"/>
          <w:b/>
          <w:bCs/>
          <w:color w:val="auto"/>
          <w:szCs w:val="21"/>
        </w:rPr>
        <w:t>开户名称：东莞市水务集团管网有限公司</w:t>
      </w:r>
    </w:p>
    <w:p w14:paraId="258EBC5F">
      <w:pPr>
        <w:spacing w:line="360" w:lineRule="auto"/>
        <w:ind w:firstLine="426" w:firstLineChars="202"/>
        <w:rPr>
          <w:rFonts w:ascii="宋体" w:hAnsi="宋体" w:eastAsia="宋体" w:cs="宋体"/>
          <w:b/>
          <w:bCs/>
          <w:color w:val="auto"/>
          <w:szCs w:val="21"/>
        </w:rPr>
      </w:pPr>
      <w:r>
        <w:rPr>
          <w:rFonts w:hint="eastAsia" w:ascii="宋体" w:hAnsi="宋体" w:eastAsia="宋体" w:cs="宋体"/>
          <w:b/>
          <w:bCs/>
          <w:color w:val="auto"/>
          <w:szCs w:val="21"/>
        </w:rPr>
        <w:t>银行账号：8114801014000043052</w:t>
      </w:r>
    </w:p>
    <w:p w14:paraId="6FDD50F7">
      <w:pPr>
        <w:spacing w:line="360" w:lineRule="auto"/>
        <w:ind w:firstLine="426" w:firstLineChars="202"/>
        <w:rPr>
          <w:rFonts w:ascii="宋体" w:hAnsi="宋体" w:eastAsia="宋体" w:cs="宋体"/>
          <w:color w:val="auto"/>
          <w:szCs w:val="21"/>
        </w:rPr>
      </w:pPr>
      <w:r>
        <w:rPr>
          <w:rFonts w:hint="eastAsia" w:ascii="宋体" w:hAnsi="宋体" w:eastAsia="宋体" w:cs="宋体"/>
          <w:b/>
          <w:bCs/>
          <w:color w:val="auto"/>
          <w:szCs w:val="21"/>
        </w:rPr>
        <w:t>开户银行：中信银行东莞分行营业部</w:t>
      </w:r>
    </w:p>
    <w:p w14:paraId="18780660">
      <w:pPr>
        <w:spacing w:line="360" w:lineRule="auto"/>
        <w:ind w:firstLine="426" w:firstLineChars="202"/>
        <w:rPr>
          <w:rFonts w:ascii="宋体" w:hAnsi="宋体" w:eastAsia="宋体" w:cs="宋体"/>
          <w:b/>
          <w:bCs/>
          <w:color w:val="auto"/>
          <w:szCs w:val="21"/>
          <w:u w:val="single"/>
        </w:rPr>
      </w:pPr>
      <w:r>
        <w:rPr>
          <w:rFonts w:hint="eastAsia" w:ascii="宋体" w:hAnsi="宋体" w:eastAsia="宋体" w:cs="宋体"/>
          <w:b/>
          <w:bCs/>
          <w:color w:val="auto"/>
          <w:szCs w:val="21"/>
        </w:rPr>
        <w:t>特别约定：</w:t>
      </w:r>
      <w:r>
        <w:rPr>
          <w:rFonts w:hint="eastAsia" w:ascii="宋体" w:hAnsi="宋体" w:eastAsia="宋体" w:cs="宋体"/>
          <w:b/>
          <w:bCs/>
          <w:color w:val="auto"/>
          <w:szCs w:val="21"/>
          <w:u w:val="single"/>
        </w:rPr>
        <w:t>任何一个合同甲方均有权就全部的担保金额进行索赔。</w:t>
      </w:r>
    </w:p>
    <w:p w14:paraId="4F99410E">
      <w:pPr>
        <w:spacing w:line="360" w:lineRule="auto"/>
        <w:ind w:firstLine="426" w:firstLineChars="202"/>
        <w:rPr>
          <w:rFonts w:ascii="宋体" w:hAnsi="宋体" w:eastAsia="宋体" w:cs="宋体"/>
          <w:b/>
          <w:bCs/>
          <w:color w:val="auto"/>
          <w:szCs w:val="21"/>
          <w:u w:val="single"/>
        </w:rPr>
      </w:pPr>
      <w:r>
        <w:rPr>
          <w:rFonts w:hint="eastAsia" w:ascii="宋体" w:hAnsi="宋体" w:eastAsia="宋体" w:cs="宋体"/>
          <w:b/>
          <w:bCs/>
          <w:color w:val="auto"/>
          <w:szCs w:val="21"/>
          <w:u w:val="single"/>
        </w:rPr>
        <w:t>发生违约行为时，乙方应当按照合同约定和合同甲方的要求向对应的合同甲方支付违约金；否则，相应的合同甲方有权从履约保证金中扣除违约金，并由东莞市水务集团管网有限公司将对应金额转入相应甲方的银行账户，同时乙方应在甲方指定期限内及时补足履约保证金金额。</w:t>
      </w:r>
    </w:p>
    <w:p w14:paraId="4561880F">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7.2 履约担保用于补偿甲方因乙方不能完全履行其合同义务而蒙受的损失或其他合同约定的事项，如发生下列任一情况时，甲方除有权依合同追究乙方违约责任外，还有权提取履约担保并进行相应处理：</w:t>
      </w:r>
    </w:p>
    <w:p w14:paraId="49AD7659">
      <w:pPr>
        <w:spacing w:line="360" w:lineRule="auto"/>
        <w:ind w:right="-483" w:firstLine="424" w:firstLineChars="202"/>
        <w:rPr>
          <w:rFonts w:ascii="宋体" w:hAnsi="宋体" w:eastAsia="宋体" w:cs="宋体"/>
          <w:color w:val="auto"/>
          <w:szCs w:val="21"/>
        </w:rPr>
      </w:pPr>
      <w:r>
        <w:rPr>
          <w:rFonts w:hint="eastAsia" w:ascii="宋体" w:hAnsi="宋体" w:eastAsia="宋体" w:cs="宋体"/>
          <w:color w:val="auto"/>
          <w:szCs w:val="21"/>
        </w:rPr>
        <w:t>7.2.1 未经甲方书面同意，乙方将本合同部分或全部转包给第三人，或者未经甲方书面同意，将本合同项目分包给第三人的，甲方有权依法没收其履约担保。</w:t>
      </w:r>
    </w:p>
    <w:p w14:paraId="1EA21870">
      <w:pPr>
        <w:spacing w:line="360" w:lineRule="auto"/>
        <w:ind w:right="-483" w:firstLine="424" w:firstLineChars="202"/>
        <w:rPr>
          <w:rFonts w:ascii="宋体" w:hAnsi="宋体" w:eastAsia="宋体" w:cs="宋体"/>
          <w:color w:val="auto"/>
          <w:szCs w:val="21"/>
        </w:rPr>
      </w:pPr>
      <w:r>
        <w:rPr>
          <w:rFonts w:hint="eastAsia" w:ascii="宋体" w:hAnsi="宋体" w:eastAsia="宋体" w:cs="宋体"/>
          <w:color w:val="auto"/>
          <w:szCs w:val="21"/>
        </w:rPr>
        <w:t>7.2.2 在合同履行期间，乙方怠于履行合同义务，经甲方通知或要求承担违约金后仍拒不改正的，甲方可依法没收或适当扣除其履约担保。</w:t>
      </w:r>
    </w:p>
    <w:p w14:paraId="4B904DF0">
      <w:pPr>
        <w:spacing w:line="360" w:lineRule="auto"/>
        <w:ind w:right="-483" w:firstLine="424" w:firstLineChars="202"/>
        <w:rPr>
          <w:rFonts w:ascii="宋体" w:hAnsi="宋体" w:eastAsia="宋体" w:cs="宋体"/>
          <w:color w:val="auto"/>
          <w:szCs w:val="21"/>
        </w:rPr>
      </w:pPr>
      <w:r>
        <w:rPr>
          <w:rFonts w:hint="eastAsia" w:ascii="宋体" w:hAnsi="宋体" w:eastAsia="宋体" w:cs="宋体"/>
          <w:color w:val="auto"/>
          <w:szCs w:val="21"/>
        </w:rPr>
        <w:t>7.2.3 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或未付服务费予以支付或作出相应处理，由此产生的一切法律后果由乙方承担。</w:t>
      </w:r>
    </w:p>
    <w:p w14:paraId="7A0AD470">
      <w:pPr>
        <w:spacing w:line="360" w:lineRule="auto"/>
        <w:ind w:right="-483" w:firstLine="424" w:firstLineChars="202"/>
        <w:rPr>
          <w:rFonts w:ascii="宋体" w:hAnsi="宋体" w:eastAsia="宋体" w:cs="宋体"/>
          <w:color w:val="auto"/>
          <w:szCs w:val="21"/>
        </w:rPr>
      </w:pPr>
      <w:r>
        <w:rPr>
          <w:rFonts w:hint="eastAsia" w:ascii="宋体" w:hAnsi="宋体" w:eastAsia="宋体" w:cs="宋体"/>
          <w:color w:val="auto"/>
          <w:szCs w:val="21"/>
        </w:rPr>
        <w:t>7.2.4 在合同履行期间，乙方违约产生的违约金、赔偿或其他应付费用等款项，甲方有权直接从未付款项中直接抵扣或启用履约担保予以支付。</w:t>
      </w:r>
    </w:p>
    <w:p w14:paraId="0C84CE3E">
      <w:pPr>
        <w:spacing w:line="360" w:lineRule="auto"/>
        <w:ind w:right="-483" w:firstLine="424" w:firstLineChars="202"/>
        <w:rPr>
          <w:rFonts w:ascii="宋体" w:hAnsi="宋体" w:eastAsia="宋体" w:cs="宋体"/>
          <w:color w:val="auto"/>
          <w:szCs w:val="21"/>
        </w:rPr>
      </w:pPr>
      <w:r>
        <w:rPr>
          <w:rFonts w:hint="eastAsia" w:ascii="宋体" w:hAnsi="宋体" w:eastAsia="宋体" w:cs="宋体"/>
          <w:color w:val="auto"/>
          <w:szCs w:val="21"/>
        </w:rPr>
        <w:t>7.2.5 合同期内，乙方不能及时完成合同某项义务的，甲方有权委托第三方服务单位实施，费用由乙方承担并从未付款项中直接抵扣或使用履约担保用于处理该项工作。</w:t>
      </w:r>
    </w:p>
    <w:p w14:paraId="5DE8D63F">
      <w:pPr>
        <w:spacing w:line="360" w:lineRule="auto"/>
        <w:ind w:right="-483" w:firstLine="424" w:firstLineChars="202"/>
        <w:rPr>
          <w:rFonts w:ascii="宋体" w:hAnsi="宋体" w:eastAsia="宋体" w:cs="宋体"/>
          <w:color w:val="auto"/>
          <w:szCs w:val="21"/>
        </w:rPr>
      </w:pPr>
      <w:r>
        <w:rPr>
          <w:rFonts w:hint="eastAsia" w:ascii="宋体" w:hAnsi="宋体" w:eastAsia="宋体" w:cs="宋体"/>
          <w:color w:val="auto"/>
          <w:szCs w:val="21"/>
        </w:rPr>
        <w:t>7.2.6 其他根据本合同约定或法律规定，甲方可使用履约担保的情形。</w:t>
      </w:r>
    </w:p>
    <w:p w14:paraId="487011CB">
      <w:pPr>
        <w:spacing w:line="360" w:lineRule="auto"/>
        <w:ind w:right="-483" w:firstLine="424" w:firstLineChars="202"/>
        <w:rPr>
          <w:rFonts w:ascii="宋体" w:hAnsi="宋体" w:eastAsia="宋体" w:cs="宋体"/>
          <w:color w:val="auto"/>
          <w:szCs w:val="21"/>
        </w:rPr>
      </w:pPr>
      <w:r>
        <w:rPr>
          <w:rFonts w:hint="eastAsia" w:ascii="宋体" w:hAnsi="宋体" w:eastAsia="宋体" w:cs="宋体"/>
          <w:color w:val="auto"/>
          <w:szCs w:val="21"/>
        </w:rPr>
        <w:t>7.3 在合同期限届满，乙方承接的所有服务项目最终验收合格且结算完毕28日后，甲方将履约担保余额无息退还乙方。</w:t>
      </w:r>
    </w:p>
    <w:p w14:paraId="0E676999">
      <w:pPr>
        <w:spacing w:line="360" w:lineRule="auto"/>
        <w:ind w:right="-483" w:firstLine="424" w:firstLineChars="202"/>
        <w:rPr>
          <w:rFonts w:ascii="宋体" w:hAnsi="宋体" w:eastAsia="宋体" w:cs="宋体"/>
          <w:color w:val="auto"/>
          <w:szCs w:val="21"/>
        </w:rPr>
      </w:pPr>
      <w:r>
        <w:rPr>
          <w:rFonts w:hint="eastAsia" w:ascii="宋体" w:hAnsi="宋体" w:eastAsia="宋体" w:cs="宋体"/>
          <w:color w:val="auto"/>
          <w:szCs w:val="21"/>
        </w:rPr>
        <w:t>7.4 在合同履行过程中，不论何种原因导致履约保证金数额不符合本合同第7.1条要求的，乙方应当在5日内予以补足。逾期不予补足的，甲方有权按需补足的金额要求乙方承担违约金，并要求限期补足。如乙方仍不补足的，甲方有权单方解除合同。</w:t>
      </w:r>
    </w:p>
    <w:p w14:paraId="304AC5AF">
      <w:pPr>
        <w:spacing w:line="360" w:lineRule="auto"/>
        <w:ind w:right="-483" w:firstLine="424" w:firstLineChars="202"/>
        <w:rPr>
          <w:rFonts w:ascii="宋体" w:hAnsi="宋体" w:eastAsia="宋体" w:cs="宋体"/>
          <w:color w:val="auto"/>
          <w:szCs w:val="21"/>
        </w:rPr>
      </w:pPr>
      <w:r>
        <w:rPr>
          <w:rFonts w:hint="eastAsia" w:ascii="宋体" w:hAnsi="宋体" w:eastAsia="宋体" w:cs="宋体"/>
          <w:color w:val="auto"/>
          <w:szCs w:val="21"/>
        </w:rPr>
        <w:t>7.5 合同履行过程中，乙方给甲方造成的损失超过履约担保数额的，乙方还应当对超过部分予以赔偿，甲方并依法追究乙方的相应责任。</w:t>
      </w:r>
    </w:p>
    <w:p w14:paraId="3F8E9FC5">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八、服务费结算及付款方式</w:t>
      </w:r>
    </w:p>
    <w:p w14:paraId="5D94103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8.1 </w:t>
      </w:r>
      <w:r>
        <w:rPr>
          <w:rFonts w:hint="eastAsia" w:ascii="宋体" w:hAnsi="宋体" w:eastAsia="宋体" w:cs="宋体"/>
          <w:b/>
          <w:bCs/>
          <w:color w:val="auto"/>
          <w:szCs w:val="21"/>
        </w:rPr>
        <w:t>本采购项目按单个技术服务项目进行结算、付款。每个项目在实施完成经甲方验收合格后进行结算、付款。在合同服务期内，单项项目的承担以甲方项目承接确认协议书为准，甲、乙双方不再就单项项目签订单项合同，本定点合同、项目承接确认协议书、单项项目用户需求书及现场工程量确认表、项目结算审核表等资料作为单项项目支付进度款及结算付款的依据（乙方请款时应提交作业前、作业中、作业后的现场照片，照片须为水印照片，并有对应的参照物）</w:t>
      </w:r>
      <w:r>
        <w:rPr>
          <w:rFonts w:hint="eastAsia" w:ascii="宋体" w:hAnsi="宋体" w:eastAsia="宋体" w:cs="宋体"/>
          <w:color w:val="auto"/>
          <w:szCs w:val="21"/>
        </w:rPr>
        <w:t>。每个单项项目在完成实施并经甲方及其委托的监理单位（如有）验收合格后进行结算、付款。</w:t>
      </w:r>
    </w:p>
    <w:p w14:paraId="143E40E2">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8.2 单项项目服务费</w:t>
      </w:r>
    </w:p>
    <w:p w14:paraId="334BD51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8.2.1 甲方发出单项项目承接确认协议书时，单项派单项目的暂定合同价=需求书预算工程量*综合单价*（1-固定下浮率5%）*（1+增值税税率），其中综合单价为不含税全费用综合单价，该价格确定方式及先后顺序为：</w:t>
      </w:r>
    </w:p>
    <w:p w14:paraId="7F3B065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①机电清单库有清单单价的，按机电清单库清单单价执行；</w:t>
      </w:r>
    </w:p>
    <w:p w14:paraId="166FCEF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②机电清单库无相关清单的但有类似清单单价的，按类似清单单价考虑；</w:t>
      </w:r>
    </w:p>
    <w:p w14:paraId="5A62AD0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③机电清单库无相关清单单价及无类似清单单价的，结合建设工程定额计价及市场价询价。</w:t>
      </w:r>
    </w:p>
    <w:p w14:paraId="16947ED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8.2.2 单项项目结算价=实际完成工程量*综合单价*（1-固定下浮率5%）*（1+乙方实际提供的增值税税率），其中综合单价为不含税全费用综合单价，结算单价按常用清单位库内清单单价，常用清单库内中没有价格的，按如下方式及先后顺序进行确定：</w:t>
      </w:r>
    </w:p>
    <w:p w14:paraId="59D3F39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①机电清单库无相关清单的但有类似清单单价的，按类似清单单价考虑；</w:t>
      </w:r>
    </w:p>
    <w:p w14:paraId="333606F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②机电清单库无相关清单单价及无类似清单单价的，结合建设工程定额进行套价，无定额套价的采用及市场询价，由甲方、乙方各自在广材网、慧讯网等网站上进行询价，如双方所询价造成单项清单单价价差在甲方询价结果的15%以内的，以甲方询价结果为准；若单项清单单价价差在甲方询价结果的15%以外的，双方扩大询价范围协商确定综合单价。 </w:t>
      </w:r>
    </w:p>
    <w:p w14:paraId="3AB5C9E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由市或项目属地镇（街）委托的专项机电维修项目，甲方可委派乙方承接，最终结算审定金额以市或镇（街）财政部门审定为准，乙方有权拒绝接单，甲方将不按本合同第11.1条违约责任处理。</w:t>
      </w:r>
    </w:p>
    <w:p w14:paraId="6B10A30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8.2.3.有限空间作业相关费用结算规则：</w:t>
      </w:r>
    </w:p>
    <w:p w14:paraId="784A144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①单项派单机电维修项目≥10万元以上，涉及有限空间作业的部分人工费按清单单价作为包干价进行结算，按《东莞市水务集团管网有限公司有限空间作业安全管理实施细则》要求配置人员（现场负责人、监护人（安全员）、作业负责人、作业人员）的人工费不进行单独计费。</w:t>
      </w:r>
    </w:p>
    <w:p w14:paraId="4CF913E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②单个派单机电维修项目＜10万元以下的，涉及有限空间作业部分按《东莞市水务集团管网有限公司有限空间作业安全管理实施细则》要求配置人员的人工费按实际发生的工种（仅限监护人（安全员）、作业负责人、作业人员）计日工台班进行单独计费；不涉及有限空间作业的部分按清单价结算，不单独按计日工台班计价。</w:t>
      </w:r>
    </w:p>
    <w:p w14:paraId="0A7D679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8.2.4.涉及人员及机械台班结算规则：</w:t>
      </w:r>
    </w:p>
    <w:p w14:paraId="07FC3AE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1个台班按8小时计算，每次发生时间≤4小时按0.5个台班进行计算，超过4个小时且不满8个小时按1个台班计算。</w:t>
      </w:r>
    </w:p>
    <w:p w14:paraId="726BFC4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8.2.5 </w:t>
      </w:r>
      <w:r>
        <w:rPr>
          <w:rFonts w:hint="eastAsia" w:ascii="宋体" w:hAnsi="宋体" w:eastAsia="宋体" w:cs="宋体"/>
          <w:b/>
          <w:bCs/>
          <w:color w:val="auto"/>
          <w:szCs w:val="21"/>
        </w:rPr>
        <w:t>合同服务期限内，委派乙方的单项项目服务计价在其综合单价的基础上均按固定下浮率5%执行。 </w:t>
      </w:r>
    </w:p>
    <w:p w14:paraId="33BA9D5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8.2.6 甲方发出单项项目承接确认协议书，甲方或甲方未委托第三方造价咨询公司编制预算的，对应单个技术服务项目完成后，乙方以经甲方确认的工程签证单进行申请结算。结算费用由乙方报甲方审核。技术服务预算单价及相关费用，有《广东省通用安装工程综合定额（2018）》《广东省市政工程综合定额（2018）》或者《机电设备维修服务项目常用清单库》的，按单项派单当月适用的最新有关工程建设定额或《机电设备维修服务项目常用清单库》计算预算价；无相关定额及标准的，按市场价确定预算价，市场价由甲方委托第三方造价咨询公司编制预算或甲方自行咨询三家以上单位取“中间值”确定。在预算价的基础上，按固定的下浮率确定单项服务费用。如双方对结算金额有异议，价差不超过±15%的，以甲方咨询的市场预算价为准；价差超过±15%的，如双方均不认可双方的结算金额，最终的结算价以广东省建设标准定额总站东莞市分站裁定为准。</w:t>
      </w:r>
    </w:p>
    <w:p w14:paraId="1931FEC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8.2.7 甲方在单项项目编制预算所计算的价格，包含设备及所需附件、包装、运输、安装调试、销项税额以外的税费、资料、质保期内维修及项目管理人员、监护人（安全员）、资料员、预算员、作业人员的人工成本等的全部费用，具体以单个项目用户需求书要求为准。不随法律法规政策、物价人工、工期调整而进行调整，不得因材料、劳务成本、维护范围、维护标准的变动或其他任何理由予以变更，未经甲方书面确认，乙方无权增加任何费用或主张任何其他补偿。</w:t>
      </w:r>
    </w:p>
    <w:p w14:paraId="2E07BD4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8.2.8依法计得并根据本合同约定确定的销项税额由甲方承担。乙方应根据《中华人民共和国增值税暂行条例》（国务院令第691号修订版）及当前税务部门的相关政策规定，出具相对应税额的增值税专用发票。各单项项目服务费的增值税税率以单项项目的项目承接确认协议书中的约定为准。在本合同履行过程中，税收政策变动导致增值税税率调整，依法应调整销项税额的，依法调整；但因乙方未按合同约定期限完工、未根据合同约定提供合法、完整的请款资料、服务成果不符合甲方要求导致的返工等原因导致销项税额增加的，相应损失由乙方承担。</w:t>
      </w:r>
    </w:p>
    <w:p w14:paraId="79F64F32">
      <w:pPr>
        <w:pStyle w:val="19"/>
        <w:ind w:firstLineChars="200"/>
        <w:rPr>
          <w:rFonts w:ascii="宋体" w:hAnsi="宋体" w:eastAsia="宋体" w:cs="宋体"/>
          <w:color w:val="auto"/>
          <w:kern w:val="0"/>
          <w:szCs w:val="21"/>
        </w:rPr>
      </w:pPr>
      <w:r>
        <w:rPr>
          <w:rFonts w:hint="eastAsia" w:ascii="宋体" w:hAnsi="宋体" w:eastAsia="宋体" w:cs="宋体"/>
          <w:color w:val="auto"/>
          <w:kern w:val="0"/>
          <w:szCs w:val="21"/>
        </w:rPr>
        <w:t>8.2.9</w:t>
      </w:r>
      <w:r>
        <w:rPr>
          <w:rFonts w:hint="eastAsia" w:ascii="宋体" w:hAnsi="宋体" w:eastAsia="宋体" w:cs="宋体"/>
          <w:b/>
          <w:bCs/>
          <w:color w:val="auto"/>
          <w:kern w:val="0"/>
          <w:szCs w:val="21"/>
        </w:rPr>
        <w:t>单方面结算</w:t>
      </w:r>
    </w:p>
    <w:p w14:paraId="794926A6">
      <w:pPr>
        <w:pStyle w:val="19"/>
        <w:spacing w:after="0" w:line="360" w:lineRule="auto"/>
        <w:ind w:firstLineChars="200"/>
        <w:rPr>
          <w:rFonts w:ascii="宋体" w:hAnsi="宋体" w:eastAsia="宋体" w:cs="宋体"/>
          <w:color w:val="auto"/>
          <w:kern w:val="0"/>
          <w:szCs w:val="21"/>
        </w:rPr>
      </w:pPr>
      <w:r>
        <w:rPr>
          <w:rFonts w:hint="eastAsia" w:ascii="宋体" w:hAnsi="宋体" w:eastAsia="宋体" w:cs="宋体"/>
          <w:color w:val="auto"/>
          <w:kern w:val="0"/>
          <w:szCs w:val="21"/>
        </w:rPr>
        <w:t>乙方在合同签订时向甲方提交承诺书（详见附件9），乙方承诺存在以下行为的，甲方有权启动单方结算程序，乙方对此表示同意且对单方结算结果无异议：</w:t>
      </w:r>
    </w:p>
    <w:p w14:paraId="065CA75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8.2.9.1</w:t>
      </w:r>
      <w:r>
        <w:rPr>
          <w:rFonts w:hint="eastAsia" w:hAnsi="宋体"/>
          <w:color w:val="auto"/>
          <w:szCs w:val="21"/>
        </w:rPr>
        <w:t xml:space="preserve"> </w:t>
      </w:r>
      <w:r>
        <w:rPr>
          <w:rFonts w:hint="eastAsia" w:ascii="宋体" w:hAnsi="宋体" w:eastAsia="宋体" w:cs="宋体"/>
          <w:color w:val="auto"/>
          <w:szCs w:val="21"/>
        </w:rPr>
        <w:t>乙方由于自身原因在项目竣工验收后，未在规定时限内（完工后2个月）提交结算资料，且经甲方2次（含）催促（不限于发函、约谈等方式通知），仍未提交符合要求的结算资料的。</w:t>
      </w:r>
    </w:p>
    <w:p w14:paraId="2B8B8F6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8.2.9.2 甲方结算审核后发出征求意见稿，乙方由于自身原因在规定时限内（3个工作日）不对初步审核结果提出反馈意见且经甲方1次（含）催促（不限于发函、约谈等方式通知），仍不回复意见的。</w:t>
      </w:r>
    </w:p>
    <w:p w14:paraId="2408B55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8.2.9.3乙方对甲方的审核结果有异议但不能提出有效依据，未在规定时限内（3个工作日）且经甲方1次（含）催促（不限于发函、约谈等方式通知），仍未确认结算审核结果的。</w:t>
      </w:r>
    </w:p>
    <w:p w14:paraId="7D208A9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8.2.9.4 乙方收到甲方补资料通知后3个工作日内补齐，否则按原送审资料进行审核结算。如遇特殊情况需要后补，由乙方出具情况说明并经甲方确认。</w:t>
      </w:r>
    </w:p>
    <w:p w14:paraId="6470A19C">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8.3 付款方式</w:t>
      </w:r>
    </w:p>
    <w:p w14:paraId="4FF4BBB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8.3.1 进度款：</w:t>
      </w:r>
    </w:p>
    <w:p w14:paraId="7AD1E70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8.3.1.1单项项目合同价10万元（不含）以下的，不设进度款。</w:t>
      </w:r>
    </w:p>
    <w:p w14:paraId="6198839B">
      <w:pPr>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8.3.1.2单项项目合同价10万元（含）以上的：项目完成50%，支付至不超预算价的20%；项目完成80%，支付至不超预算价的50%；项目完工后，支付至不超预算价的80%。乙方请款时必须将真实有效的工人工资支付情况报表上报甲方，否则将暂停支付项目款。项目进度款支付至80%时，乙方应全额支付完工人工资。</w:t>
      </w:r>
    </w:p>
    <w:p w14:paraId="32FDB497">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8.3.2 结算款：</w:t>
      </w:r>
    </w:p>
    <w:p w14:paraId="4A05D22E">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8.3.2.1 有质保期的技术服务项目，单个项目结算价不超过10万元（不含10万元），在项目完成实施、验收及结算后，乙方可申请支付至100%的结算价款，甲方一次性完成支付，质保期内乙方未履行乙方保修义务的，甲方按照相关违约条款追究乙方违约责任；</w:t>
      </w:r>
    </w:p>
    <w:p w14:paraId="5C5D19EF">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8.3.2.2质保期的技术服务项目，单个项目结算价超过10万元（含10万元）的，在项目完成实施、验收及结算后，甲方一次性支付给乙方95%的结算价款，结算价款的5%作为质保金，在质保期满时，无存在质量问题且乙方无违约行为的，由乙方提交请款报告后，甲方一次性支付质保金。</w:t>
      </w:r>
    </w:p>
    <w:p w14:paraId="7AB8BCE3">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8.3.2.3不设质保期的技术服务项目，在项目完成实施、验收及结算后，甲方一次性支付全部结算价款至乙方。</w:t>
      </w:r>
    </w:p>
    <w:p w14:paraId="1C33533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8.3.3 甲方在收到乙方递交的符合甲方结算标准的结算资料后，将在15个工作日内完成审查工作，并出具项目结算审核书。</w:t>
      </w:r>
    </w:p>
    <w:p w14:paraId="780C3D7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8.3.4 乙方对甲方出具的结算审核书应在3个工作日内给予确认或者提出修改意见。经监理单位（如有）及甲方核实后，根据结算审核书确认的金额按合同约定支付合同价税。</w:t>
      </w:r>
    </w:p>
    <w:p w14:paraId="089F124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8.3.5 每个项目完成结算审核工作，且甲方完成内部用款流程后，乙方应在7个工作日内应向甲方提交请款申请及请款所需的材料和等额合格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否则，甲方有权要求乙方按本合同约定承担违约责任。如果乙方怠于或者拒绝提供资料或者办理手续的，则因此产生的付款迟延的责任全部由乙方承担。因双方就实际服务数量有争议的，需要再次核准的，甲方付款时间相应顺延而不构成违约。</w:t>
      </w:r>
    </w:p>
    <w:p w14:paraId="598D77B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8.3.6 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或履约保证金中扣除，且乙方必须按照扣除前述费用前的合同价款开具增值税专用发票，保证增值税税额符合法律规定。</w:t>
      </w:r>
    </w:p>
    <w:p w14:paraId="2336E20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8.3.7 乙方在服务过程中应按进度情况及时整理资料，项目完工后30个自然日内提交合格的竣工资料和结算资料；在工程结算经双方确认后，乙方须在甲方通知具备进度款或结算款请款条件之日起15天内提交完整的结算款请款资料，乙方每次申请款项必须按甲方要求向甲方提交符合甲方规定的请款资料、正式有效的增值税专用发票及完整的请款资料，甲方在收齐全部请款资料之日起15个工作日内审核并按如下指定账户向乙方支付相应服务费。若单项项目乙方不需要申请进度款或暂不需要申请结算款，须向甲方出具承诺书，承诺该单项项目不申请进度款或暂不申请结算款，并按时足额发放工人工资，如由此引发劳资纠纷由乙方行承担全部责任。</w:t>
      </w:r>
    </w:p>
    <w:p w14:paraId="0B8AF18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8.3.8 如在单项项目实际支付过程中，不论甲方及乙方原因，导致结算价小于累计已支付进度款的，乙方应无条件配合甲方办理发票冲红、退款等手续。</w:t>
      </w:r>
    </w:p>
    <w:p w14:paraId="6C5FA11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8.3.9 乙方的收款账户信息有变更的，乙方应在变更之日起1天内以书面形式告知甲方，若乙方已经开具了发票，应按变更后的收款账户信息重新开具发票。如乙方违反本条款，所造成的所有损失及责任均由乙方承担，给甲方造成的损失，甲方有权向乙方追偿，赔偿金额上限不得超过合同总额。</w:t>
      </w:r>
    </w:p>
    <w:p w14:paraId="2BB447F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以上项目服务费用由甲方通过银行转账方式支付于乙方。</w:t>
      </w:r>
    </w:p>
    <w:p w14:paraId="3E39FA1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乙方确认的收款账户如下：</w:t>
      </w:r>
    </w:p>
    <w:p w14:paraId="513C2E0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户名：                              </w:t>
      </w:r>
    </w:p>
    <w:p w14:paraId="0CBDBA8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开户行：                              </w:t>
      </w:r>
    </w:p>
    <w:p w14:paraId="65AA730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账号：                              </w:t>
      </w:r>
    </w:p>
    <w:p w14:paraId="570CFD5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甲方开票信息：</w:t>
      </w:r>
    </w:p>
    <w:p w14:paraId="2860966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纳税人识别号：                              </w:t>
      </w:r>
    </w:p>
    <w:p w14:paraId="1C75C68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户名：                              </w:t>
      </w:r>
    </w:p>
    <w:p w14:paraId="6D4EFBB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开户行：                              </w:t>
      </w:r>
    </w:p>
    <w:p w14:paraId="0A1B9C49">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银行账号：</w:t>
      </w:r>
    </w:p>
    <w:p w14:paraId="60475949">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对于多出的税款金额，乙方自愿放弃。</w:t>
      </w:r>
    </w:p>
    <w:p w14:paraId="2C392B46">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 xml:space="preserve">8.4甲乙双方就某项目实际服务数量及服务费发生争议的，乙方仍应继续提供服务，不得拒绝或擅自终止服务。                               </w:t>
      </w:r>
    </w:p>
    <w:p w14:paraId="283DE988">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九、甲方权利和义务</w:t>
      </w:r>
    </w:p>
    <w:p w14:paraId="6A34DCB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9.1 审核乙方提交的技术服务方案（但不免除乙方应当承担的合同责任），如发现服务方案不符合相关规范要求或偏离项目实施要求的，有权要求乙方在限期内进行修改。</w:t>
      </w:r>
    </w:p>
    <w:p w14:paraId="090488A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9.2 审核确认选型后的设备、仪表、零配件、备品备件等的品牌型号、规格尺寸等参数。</w:t>
      </w:r>
    </w:p>
    <w:p w14:paraId="0DFAB07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9.3 有权不定期地对乙方的服务实施情况进行监督、检查。如发现乙方存在未按本合同及相关文件规定执行，或不符合设计和规范要求行为的（包括但不限于采购运用于本项目的材料、设备不符合质量要求），甲方有权要求乙方限期改正等，由此产生的费用由乙方全部承担。</w:t>
      </w:r>
    </w:p>
    <w:p w14:paraId="65511B4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9.4 监督、指导乙方进行技术服务工作，具有纠正乙方出现问题的权利，甲方有权要求乙方对不符合要求的技术服务措施提出书面整改意见，乙方应在甲方规定的时间内完成整改。</w:t>
      </w:r>
    </w:p>
    <w:p w14:paraId="739130C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9.5 服务期内，甲方有权依据国家、行业有关规范标准，调整完善服务技术要求，乙方同意遵照执行。如服务期内相关管理部门出台相关执行标准，则执行新的标准，当新的标准与用户需求书中的执行标准要求不一致时，以要求最高的规范标准作为本项目的执行标准。在合同服务期内，乙方同意不因相关执行标准的调整而要求甲方增加费用或要求补偿。</w:t>
      </w:r>
    </w:p>
    <w:p w14:paraId="24098AB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9.6 甲方应依据本合同、单项项目用户需求书、项目承接确认协议书等，确定单项项目结算价的税前价款和对应的乙方销项税额，按照既定的审批支付程序，及时办理服务费的支付手续。按照既定的审批支付程序，及时办理服务费的支付手续。</w:t>
      </w:r>
    </w:p>
    <w:p w14:paraId="1D1BD73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9.7 施工现场用水、用电在有条件的情况下由甲方负责提供水、电接入点，乙方自行接入。</w:t>
      </w:r>
    </w:p>
    <w:p w14:paraId="501C240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9.8 合同期内如因甲方需要加强对乙方的管理工作，甲方有权出具相应的管理措施，乙方应无条件接受甲方的管理工作，乙方不得持有异议。</w:t>
      </w:r>
    </w:p>
    <w:p w14:paraId="62A02D7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9.9 服务期内，甲方有权根据《管理办法》对乙方的服务工作进行考核考评，乙方同意遵照执行。如服务期内相关管理部门出台相关机电设备维修服务考核标准，则执行新的标准，当新的标准和《管理办法》要求不一致时，以要求较高的规范标准作为本项目服务的标准。</w:t>
      </w:r>
    </w:p>
    <w:p w14:paraId="35FC014C">
      <w:pPr>
        <w:pStyle w:val="19"/>
        <w:spacing w:after="0" w:line="360" w:lineRule="auto"/>
        <w:ind w:firstLineChars="200"/>
        <w:rPr>
          <w:rFonts w:ascii="宋体" w:hAnsi="宋体" w:eastAsia="宋体" w:cs="宋体"/>
          <w:color w:val="auto"/>
          <w:kern w:val="0"/>
          <w:szCs w:val="21"/>
        </w:rPr>
      </w:pPr>
      <w:r>
        <w:rPr>
          <w:rFonts w:hint="eastAsia" w:ascii="宋体" w:hAnsi="宋体" w:eastAsia="宋体" w:cs="宋体"/>
          <w:color w:val="auto"/>
          <w:kern w:val="0"/>
          <w:szCs w:val="21"/>
        </w:rPr>
        <w:t>9.10 在委托服务过程中，甲方有权对乙方承接各个维修项目实施情况从响应、服务和质量安全方面进行单个项目考核及季度考核，并有权根据考核情况在东莞市水务集团有限公司各系统内部进行通报。</w:t>
      </w:r>
    </w:p>
    <w:p w14:paraId="1FCA91C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9.11 乙方有违反本项目管理及合同约定等行为的，甲方有权上报甲方集团公司将乙方列入黑名单，向东莞阳光网、东莞日报等媒体公开乙方失信行为，并有权上报东莞市住建局、东莞市水污染治理现场指挥部等相关行政主管部门建议取消乙方参加东莞市公开招标项目的投标资格等，并按相关规定对乙方进行处理，由此产生的影响将由乙方承担。</w:t>
      </w:r>
    </w:p>
    <w:p w14:paraId="39468E7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9.12 在合同履行期间，甲方有权要求终止或单方解除合同，乙方未开始工作的，甲方无需支付任何费用；已开始工作的，甲方应根据乙方已进行的实际工作量结算相关费用。上述情况下本合同终止或解除的，双方互不追究责任，乙方对此表示同意且无异议。</w:t>
      </w:r>
    </w:p>
    <w:p w14:paraId="62D3BCD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9.13 合同文件及甲方招标文件（含公告、《管理办法》等）、项目承接确认协议书等的内容约定的甲方其他权利义务。</w:t>
      </w:r>
    </w:p>
    <w:p w14:paraId="7000C053">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十、乙方权利和义务</w:t>
      </w:r>
    </w:p>
    <w:p w14:paraId="67DF14C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10.1 在满足甲方公开招标文件的前提下，严格按照其投标文件响应时提供的服务资料（包括、设备、人员等）并按照合同要求履行合同义务（含本合同、甲方公开招标文件、项目承接确认协议书等）。根据项目实际情况，如需调整服务的，应按甲方要求无条件调整服务方案等，并以调整后的方案进行服务工作。</w:t>
      </w:r>
    </w:p>
    <w:p w14:paraId="742D1465">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10.2 在服务过程中，遵守有关安全生产管理规定，建立完善安全管理制度，安全生产事故报告制度，采取必要的安全防护措施（如为乙方人员配置统一的工作服和反光袖套、气体检测措施及通风措施等），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足额赔偿。若乙方产生劳动纠纷或仲裁或诉讼，均由乙方自行处理并承担损害赔偿，甲方不承担任何责任。若甲方需参加诉讼，相关费用（包括但不限于诉讼费、律师费、鉴定费、公证费、交通住宿费等全部）及损失全部由乙方承担，甲方有权在未付款项中直接抵扣或启动履约担保支付。</w:t>
      </w:r>
    </w:p>
    <w:p w14:paraId="00745B6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10.3 建立及完善符合本项目实施所要求的内部管理制度，并接受甲方及有关主管部门对项目服务状况、服务质量的监督检查。如因质量问题、操作不当或乙方自身管理原因而造成一切责任及经济损失由乙方承担。</w:t>
      </w:r>
    </w:p>
    <w:p w14:paraId="0AE464C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10.4 在服务范围内按规范进行设备吊运及拆卸，并做好过程中设备的保护工作。若乙方防护不力而造成一切责任及经济损失由乙方承担。造成甲方损失的，甲方有权单方解除合同，乙方除赔偿甲方损失外，还应向甲方支付该具体委派项目暂定合同价（下浮后不含乙方销项税）的20%或与履约担保等额的违约金（以两者较高的金额作为该次违约金金额）。</w:t>
      </w:r>
    </w:p>
    <w:p w14:paraId="76FBDE2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10.5 在本合同履行期间，乙方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w:t>
      </w:r>
    </w:p>
    <w:p w14:paraId="3786165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10.6 严格遵守国家法律、法规。乙方员工有违法乱纪的行为，乙方应承担一切经济责任和法律责任。</w:t>
      </w:r>
    </w:p>
    <w:p w14:paraId="2E1397D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10.7 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40B5E31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10.8 在合同期限内保存好全部与技术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1CD588C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10.9 如施工现场甲方无法提供水、电接入点，乙方自行解决施工用水、用电并承担相关费用。</w:t>
      </w:r>
    </w:p>
    <w:p w14:paraId="46EC0BB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10.10 如有必要，乙方负责完成泵站堵水、抽水、停水等作业方案并协助甲方向东莞市生态环境局或属地镇街相关部门上报，乙方按需组织方案论证会议，无条件修改作业方案直至批准实施并承担相关费用。如乙方需停水停产作业的，泵站/管网堵水、抽水、停水等作业前，应上报详细的作业方案，包括停水措施、停水时间等，并征得甲方同意。如果有必要，还需征得市生态环境局或属地镇街相关主管部门的同意后方可实施。乙方擅自在泵站实施堵水、抽水、停水等作业的，造成甲方损失的，应当全额赔偿甲方的损失。同时，甲方有权单方解除合同，有权要求乙方向其支付履约担保等额的违约金。</w:t>
      </w:r>
    </w:p>
    <w:p w14:paraId="688A166A">
      <w:pPr>
        <w:spacing w:line="360" w:lineRule="auto"/>
        <w:rPr>
          <w:rFonts w:ascii="宋体" w:hAnsi="宋体" w:eastAsia="宋体" w:cs="宋体"/>
          <w:color w:val="auto"/>
          <w:szCs w:val="21"/>
        </w:rPr>
      </w:pPr>
      <w:r>
        <w:rPr>
          <w:rFonts w:hint="eastAsia" w:ascii="宋体" w:hAnsi="宋体" w:eastAsia="宋体" w:cs="宋体"/>
          <w:color w:val="auto"/>
          <w:szCs w:val="21"/>
        </w:rPr>
        <w:t xml:space="preserve">    10.11 乙方保证对其在讨论、签订、履行本合同及项目承接确认协议书过程中所获悉的属于甲方或委托方的且无法从公开渠道获得的文件资料及项目信息予以严格保密并应采取相应的保密措施，保证其自身及工作人员不私自使用或向任何第三方泄露，否则乙方承担由此给甲方或委托方造成的一切损失。</w:t>
      </w:r>
    </w:p>
    <w:p w14:paraId="148ABD6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10.12 为确保服务质量及与甲方沟通联络，乙方须设置项目负责人，同时须提交项目负责人与乙方的社保关系证明，项目负责人负责对本项目的服务范围、服务质量的检查监督及与甲方日常业务联系；如出现社保中断等情况，甲方有权停止乙方的接单资格。</w:t>
      </w:r>
    </w:p>
    <w:p w14:paraId="299194B4">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10.13 乙方施工时，应对施工现场施工人员、项目负责人及技术人员实行实名制管理。</w:t>
      </w:r>
    </w:p>
    <w:p w14:paraId="5102874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10.14 乙方不得将本合同及单项项目全部转让给第三人，或者未经甲方书面同意，将本合同及单项项目部分转让给第三人。</w:t>
      </w:r>
    </w:p>
    <w:p w14:paraId="690C3FA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10.15 项目实施过程中，乙方须严格遵守相关法律、法规、行业主管部门、上级部门、甲方母公司及甲方（含分公司、子公司）相关标准和制度规定。合同期内如果上述标准和制度有更新，则执行新的标准和制度规定。</w:t>
      </w:r>
    </w:p>
    <w:p w14:paraId="15F2BE7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10.16 合同文件及甲方招标文件、乙方投标文件（含公告、《管理办法》等）、项目承接确认协议书等约定的乙方其他权利义务。</w:t>
      </w:r>
    </w:p>
    <w:p w14:paraId="1C828C91">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十一、违约责任</w:t>
      </w:r>
    </w:p>
    <w:p w14:paraId="57575145">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 xml:space="preserve">11.1 </w:t>
      </w:r>
      <w:r>
        <w:rPr>
          <w:rFonts w:hint="eastAsia" w:ascii="宋体" w:hAnsi="宋体" w:eastAsia="宋体" w:cs="宋体"/>
          <w:b/>
          <w:bCs/>
          <w:color w:val="auto"/>
          <w:szCs w:val="21"/>
        </w:rPr>
        <w:t>拒绝承接任务或中途退场违约责任</w:t>
      </w:r>
    </w:p>
    <w:p w14:paraId="4BD59F8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接到单项项目委派任务后，因自身的施工技术、力量、组织等原因不能承接该单项任务或中途退场的，乙方应及时将结果及详细原因1日内书面报告甲方。未经甲方同意乙方不得拒绝接单或承接项目后无故中途退场。乙方无正当理由拒绝接受具体委派项目或承接项目后无故中途退场的，甲方有权向乙方处以5000.00元/次的违约金。乙方每次无正当理由拒绝接单或中途退场时，甲方仍可要求乙方限期内完成整改，返回现场继续展开工作，乙方未在限期内完成整改，仍拒绝进场展开服务工作的，乙方除需承担前述违约责任外，甲方有权停止乙方本次单项项目的服务工作，针对单项项目签订解除协议，按相关规定选取其他符合条件的供应商对本次单项项目予以承接。乙方三次以上无正当理由拒绝接单或中途退场的，甲方有权取消乙方本合同项下的服务资格、单方面解除本合同、没收乙方的履约担保，乙方对此无异议。</w:t>
      </w:r>
    </w:p>
    <w:p w14:paraId="5D56DC1B">
      <w:pPr>
        <w:widowControl/>
        <w:spacing w:line="360" w:lineRule="auto"/>
        <w:ind w:firstLine="420" w:firstLineChars="200"/>
        <w:textAlignment w:val="bottom"/>
        <w:rPr>
          <w:rFonts w:ascii="宋体" w:hAnsi="宋体" w:eastAsia="宋体" w:cs="宋体"/>
          <w:color w:val="auto"/>
          <w:szCs w:val="21"/>
        </w:rPr>
      </w:pPr>
      <w:r>
        <w:rPr>
          <w:rFonts w:hint="eastAsia" w:ascii="宋体" w:hAnsi="宋体" w:eastAsia="宋体" w:cs="宋体"/>
          <w:color w:val="auto"/>
          <w:szCs w:val="21"/>
        </w:rPr>
        <w:t xml:space="preserve">11.2 </w:t>
      </w:r>
      <w:r>
        <w:rPr>
          <w:rFonts w:hint="eastAsia" w:ascii="宋体" w:hAnsi="宋体" w:eastAsia="宋体" w:cs="宋体"/>
          <w:b/>
          <w:bCs/>
          <w:color w:val="auto"/>
          <w:szCs w:val="21"/>
        </w:rPr>
        <w:t>未按时进场违约责任</w:t>
      </w:r>
    </w:p>
    <w:p w14:paraId="6846E99F">
      <w:pPr>
        <w:widowControl/>
        <w:spacing w:line="360" w:lineRule="auto"/>
        <w:ind w:firstLine="420" w:firstLineChars="200"/>
        <w:textAlignment w:val="bottom"/>
        <w:rPr>
          <w:rFonts w:ascii="宋体" w:hAnsi="宋体" w:eastAsia="宋体" w:cs="宋体"/>
          <w:color w:val="auto"/>
          <w:szCs w:val="21"/>
        </w:rPr>
      </w:pPr>
      <w:r>
        <w:rPr>
          <w:rFonts w:hint="eastAsia" w:ascii="宋体" w:hAnsi="宋体" w:eastAsia="宋体" w:cs="宋体"/>
          <w:color w:val="auto"/>
          <w:szCs w:val="21"/>
        </w:rPr>
        <w:t>乙方在接到项目承接确认协议书后未能在2个小时内需予以电话或信息响应，并于次日（包括节假日）上午12点前正式实际性的开展所需的技术服务工作，或接到项目承接确认协议书后的3个自然日内提交技术服务方案和甲方要求的安全资料给甲方审核的，甲方有权每次处予乙方2,000.00元的违约金。对于特别紧急的技术服务项目，乙方在接到项目承接确认协议书后未能3个小时内需实际性的开展所需的技术服务工作的，甲方有权每次处予乙方3,000.00元的违约金。逾期超过15日的，甲方有权停止乙方本次单项项目的服务工作，针对单项项目签订解除协议，按相关规定选取其他符合条件的供应商对本次单项项目予以承接。</w:t>
      </w:r>
    </w:p>
    <w:p w14:paraId="037D7599">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 xml:space="preserve">11.3 </w:t>
      </w:r>
      <w:r>
        <w:rPr>
          <w:rFonts w:hint="eastAsia" w:ascii="宋体" w:hAnsi="宋体" w:eastAsia="宋体" w:cs="宋体"/>
          <w:b/>
          <w:bCs/>
          <w:color w:val="auto"/>
          <w:szCs w:val="21"/>
        </w:rPr>
        <w:t>工期延误违约责任</w:t>
      </w:r>
    </w:p>
    <w:p w14:paraId="7F15133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应严格按本合同及项目承接确认协议书约定的时间完成具体委派项目技术服务。若非甲方、不可抗力、双方同意延期的其中原因之一，乙方逾期完成具体委派项目技术服务工作的，每逾期一日，乙方按1,000.00元/天承担违约金。工期滞后未超过10天（含10天）的，如乙方能够采取赶进度措施促使项目最终按时完成施工任务的，可免除该项目因工期滞后产生的违约金。</w:t>
      </w:r>
    </w:p>
    <w:p w14:paraId="668F44B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逾期期间甲方有权向乙方发出整改通知，要求乙方限时完成约定工作任务。收到整改通知后乙方仍未能在要求的时间内完成工作内容的，乙方除需承担前述违约责任外，甲方有权停止乙方本次单项项目的服务工作，针对单项项目签订解除协议，自甲方发出解除协议通知之日起10日内，乙方应撤离服务现场，如逾期占用服务现场，应视为侵权，乙方按10,000.00元/天承担违约金。甲方有权按相关规定选取其他符合条件的供应商对本次单项项目予以承接。</w:t>
      </w:r>
    </w:p>
    <w:p w14:paraId="214C774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若在本合同下，乙方出现3次以上（含本数）单项项目未能在甲方规定工期内完成约定的工作内容的，甲方有权解除本合同，取消乙方本合同服务资格。同时，造成甲方的经济损失（包括但不限于重新采购、委托第三方的费用），由乙方承担全部赔偿。</w:t>
      </w:r>
    </w:p>
    <w:p w14:paraId="0D8995C0">
      <w:pPr>
        <w:widowControl/>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 xml:space="preserve">11.4 </w:t>
      </w:r>
      <w:r>
        <w:rPr>
          <w:rFonts w:hint="eastAsia" w:ascii="宋体" w:hAnsi="宋体" w:eastAsia="宋体" w:cs="宋体"/>
          <w:b/>
          <w:bCs/>
          <w:color w:val="auto"/>
          <w:szCs w:val="21"/>
        </w:rPr>
        <w:t>人员及设备材料违约责任</w:t>
      </w:r>
    </w:p>
    <w:p w14:paraId="724292E1">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11.4.1 人员违约责任</w:t>
      </w:r>
    </w:p>
    <w:p w14:paraId="7F09C16A">
      <w:pPr>
        <w:widowControl/>
        <w:spacing w:line="360" w:lineRule="auto"/>
        <w:ind w:firstLine="420"/>
        <w:rPr>
          <w:rFonts w:ascii="宋体" w:hAnsi="宋体" w:eastAsia="宋体" w:cs="宋体"/>
          <w:color w:val="auto"/>
          <w:szCs w:val="21"/>
        </w:rPr>
      </w:pPr>
      <w:r>
        <w:rPr>
          <w:rFonts w:hint="eastAsia" w:ascii="宋体" w:hAnsi="宋体" w:eastAsia="宋体" w:cs="宋体"/>
          <w:color w:val="auto"/>
          <w:szCs w:val="21"/>
        </w:rPr>
        <w:t>11.4.1.1 因乙方原因（含因不满足甲方要求而被要求更换的）对项目负责人进行更换的（不含合同签订后1个月内首次更换），乙方第一次更换项目负责人须向甲方支付违约金人民币5000元/人、第二次更换项目负责人须向甲方支付违约金人民币10000元/人、第三次更换项目负责人须向甲方支付违约金人民币20000元/人；甲方有权对项目负责人进行考核，如考核不合格的，乙方须于7日内更换项目负责人。项目负责人更换原则上不得超过3次（不含合同签订后1个月内首次更换），否则甲方有权单方面解除服务合同并没收履约担保。</w:t>
      </w:r>
    </w:p>
    <w:p w14:paraId="344DED21">
      <w:pPr>
        <w:widowControl/>
        <w:spacing w:line="360" w:lineRule="auto"/>
        <w:ind w:firstLine="420"/>
        <w:rPr>
          <w:rFonts w:ascii="宋体" w:hAnsi="宋体" w:eastAsia="宋体" w:cs="宋体"/>
          <w:color w:val="auto"/>
          <w:szCs w:val="21"/>
        </w:rPr>
      </w:pPr>
      <w:r>
        <w:rPr>
          <w:rFonts w:hint="eastAsia" w:ascii="宋体" w:hAnsi="宋体" w:eastAsia="宋体" w:cs="宋体"/>
          <w:color w:val="auto"/>
          <w:szCs w:val="21"/>
        </w:rPr>
        <w:t>11.4.1.2 因乙方原因（含因不满足甲方要求而被要求更换的）需对现场负责人、安全员、造价员、资料员进行更换的（不含合同签订后1个月内首次更换），乙方第一次更换现场负责人、安全员、造价员、资料员须向甲方支付违约金人民币1000元/人、第二次更换现场负责人、安全员、造价员、资料员须向甲方支付违约金人民币2000元/人、第三次及后续更换现场负责人、安全员、造价员、资料员须向甲方支付违约金人民币3000元/人。甲方有权对更换后的人员进行考核，如考核不合格的，乙方须于7日内再次更换人员。同一岗位更换超过5次（不含合同签订后1个月内首次更换，包含考核不合格的更换）的，甲方有权暂停向乙方派单1个月，且后续同一岗位每更换2次，甲方有权暂停向乙方派单1个月。</w:t>
      </w:r>
    </w:p>
    <w:p w14:paraId="2C8EDAF0">
      <w:pPr>
        <w:widowControl/>
        <w:spacing w:line="360" w:lineRule="auto"/>
        <w:ind w:firstLine="420"/>
        <w:rPr>
          <w:rFonts w:ascii="宋体" w:hAnsi="宋体" w:eastAsia="宋体" w:cs="宋体"/>
          <w:color w:val="auto"/>
          <w:szCs w:val="21"/>
        </w:rPr>
      </w:pPr>
      <w:r>
        <w:rPr>
          <w:rFonts w:hint="eastAsia" w:ascii="宋体" w:hAnsi="宋体" w:eastAsia="宋体" w:cs="宋体"/>
          <w:color w:val="auto"/>
          <w:szCs w:val="21"/>
        </w:rPr>
        <w:t>11.4.1.3 乙方项目负责人作为项目重要管理人员，应全程参与项目开始至结束，如项目负责人未能到场参与到货验收、安全交底、安全检查、安装验收、中间验收、试运行等关键节点，将视为乙方违约，乙方须向甲方支付违约金3,000.00元/次。</w:t>
      </w:r>
    </w:p>
    <w:p w14:paraId="7F71FBC1">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11.4.1.4专职安全员在项目实施过程中必须全程在岗，若有事确需临时离开现场的，必须事先书面向甲方请假，在临时离开现场请假期间，施工现场不得从事有限空间危险作业。未请假或请假未获批准而擅自离开的，视为乙方违约，乙方须向甲方支付违约金人民币5000元/人/次，并立即停工整改</w:t>
      </w:r>
    </w:p>
    <w:p w14:paraId="52D421C2">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11.4.1.5乙方人员有下列情形之一的，乙方应在收到甲方更换人员要求后7天内无条件完成相关人员更换：</w:t>
      </w:r>
    </w:p>
    <w:p w14:paraId="2F1FF90D">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（1）严重过失行为的；</w:t>
      </w:r>
    </w:p>
    <w:p w14:paraId="78A23EF0">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（2）有违法行为不能履行职责的；</w:t>
      </w:r>
    </w:p>
    <w:p w14:paraId="03556784">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（3）涉嫌犯罪的；</w:t>
      </w:r>
    </w:p>
    <w:p w14:paraId="7E70DCD6">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（4）不能胜任岗位职责的；</w:t>
      </w:r>
    </w:p>
    <w:p w14:paraId="4AD4EC30">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（5）严重违反职业道德的；</w:t>
      </w:r>
    </w:p>
    <w:p w14:paraId="6575D450">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（6）2次（含）不通过甲方组织的专项考核（如有）的；</w:t>
      </w:r>
    </w:p>
    <w:p w14:paraId="745EE9F6">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（7）其他甲方认为应当更换人员的情形。</w:t>
      </w:r>
    </w:p>
    <w:p w14:paraId="78426798">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11.4.1.6 经甲方发现乙方备案的人员已不在此项目开展实际工作的，应及时报备更换名单（更换人员处罚按3.6.12执行），没有及时报备更换名单的，每次发现罚款1000元/人。</w:t>
      </w:r>
    </w:p>
    <w:p w14:paraId="268D1B58">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11.4.1.7.本服务实行项目黑名单制，列入黑名单的人员不得再参与甲方发起任何项目。</w:t>
      </w:r>
    </w:p>
    <w:p w14:paraId="0E5ED2D1">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11.4.2 设备材料质量违约责任</w:t>
      </w:r>
    </w:p>
    <w:p w14:paraId="66CA5937">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乙方所更换或重置设备（包括但不限于品牌、型号、规格、质量）不符合相关质量标准，或对于必须采用原设备制造商产品（包括但不限于设备、配件、备品备件及专用工具）但未采用的，甲方有权要求乙方无条件限期整改，乙方在限期内仍未整改完毕的，甲方对乙方每次处予人民币2000元的违约金。由于材料或设备质量问题造成工期拖延的，甲方对乙方每次处予人民币10000元的违约金。</w:t>
      </w:r>
    </w:p>
    <w:p w14:paraId="7BCD8325">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验收过程中，甲方或监理（如有）验收出现材料、设备、施工质量等不合格的，视为乙方违约，乙方须无条件采取相应措施进行整改，如乙方未能按整改通知单指定时限内完成整改，应向甲方支付违约金3,000.00元/次/项，并自行承担整改所发生的费用。</w:t>
      </w:r>
    </w:p>
    <w:p w14:paraId="162D1F6D">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各单项项目验收移交后发现有确需保修而乙方未按合同履行保修义务的，甲方有权直接委托第三方进行保修，该费用在乙方剩余服务费（或质量保证金）内抵扣支付给第三方，甲方同时保留合同有关条款对乙方进行追究违约责任的权利。因乙方返工或整改造成延期的，乙方需承担工期延误的违约责任。</w:t>
      </w:r>
    </w:p>
    <w:p w14:paraId="5C1B4B2C">
      <w:pPr>
        <w:widowControl/>
        <w:spacing w:line="360" w:lineRule="auto"/>
        <w:ind w:firstLine="420" w:firstLineChars="200"/>
        <w:rPr>
          <w:rFonts w:ascii="宋体" w:hAnsi="宋体" w:eastAsia="宋体" w:cs="宋体"/>
          <w:color w:val="auto"/>
          <w:szCs w:val="21"/>
        </w:rPr>
      </w:pPr>
    </w:p>
    <w:p w14:paraId="1E1FC821">
      <w:pPr>
        <w:widowControl/>
        <w:spacing w:line="360" w:lineRule="auto"/>
        <w:ind w:firstLine="420"/>
        <w:rPr>
          <w:rFonts w:ascii="宋体" w:hAnsi="宋体" w:eastAsia="宋体" w:cs="宋体"/>
          <w:b/>
          <w:bCs/>
          <w:color w:val="auto"/>
          <w:szCs w:val="21"/>
        </w:rPr>
      </w:pPr>
      <w:r>
        <w:rPr>
          <w:rFonts w:hint="eastAsia" w:ascii="宋体" w:hAnsi="宋体" w:eastAsia="宋体" w:cs="宋体"/>
          <w:color w:val="auto"/>
          <w:szCs w:val="21"/>
        </w:rPr>
        <w:t>11.5</w:t>
      </w:r>
      <w:r>
        <w:rPr>
          <w:rFonts w:hint="eastAsia" w:ascii="宋体" w:hAnsi="宋体" w:eastAsia="宋体" w:cs="宋体"/>
          <w:b/>
          <w:bCs/>
          <w:color w:val="auto"/>
          <w:szCs w:val="21"/>
        </w:rPr>
        <w:t xml:space="preserve"> 安全作业违约责任</w:t>
      </w:r>
    </w:p>
    <w:p w14:paraId="444D581B">
      <w:pPr>
        <w:widowControl/>
        <w:spacing w:line="360" w:lineRule="auto"/>
        <w:ind w:firstLine="420"/>
        <w:rPr>
          <w:rFonts w:ascii="宋体" w:hAnsi="宋体" w:eastAsia="宋体" w:cs="宋体"/>
          <w:color w:val="auto"/>
          <w:szCs w:val="21"/>
        </w:rPr>
      </w:pPr>
      <w:r>
        <w:rPr>
          <w:rFonts w:hint="eastAsia" w:ascii="宋体" w:hAnsi="宋体" w:eastAsia="宋体" w:cs="宋体"/>
          <w:color w:val="auto"/>
          <w:szCs w:val="21"/>
        </w:rPr>
        <w:t>各单项服务项目实施过程中乙方违反甲方的安全生产管理相关制度或安全文明施工要求进行施工的的，一经发现视情况要求乙方承担500.00—10,000.00元/次的违约金（具体处罚数额以甲方安全生产管理相关制度为准），对于多次出现违规，或造成严重后果的，或可能发生重大伤亡潜在因素的，甲方有权根据收集到的证据提前终止合同而无需承担由此引起的任何责任。乙方在具体实施的项目中需开展有限空间作业的，应按照甲方相关要求通过甲方审批，在接到甲方允许作业回执后，乙方根据具体项目实施方案落实通风及气体检测等安全防护措施，才能进行作业。乙方若未得到甲方审批同意，自行开展有限空间等安全生产作业的或者违反国家、政府、行业或甲方其他作业安全操作规程要求的，甲方有权要求乙方承担按具体委派单项项目预算价（不含乙方销项税）的20%或与履约担保等额的违约金（以两者较高的金额作为该次违约金金额），并有权无条件解除与乙方之间的合同，取消乙方本合同服务资格。</w:t>
      </w:r>
    </w:p>
    <w:p w14:paraId="6639CD89">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 xml:space="preserve">11.6 </w:t>
      </w:r>
      <w:r>
        <w:rPr>
          <w:rFonts w:hint="eastAsia" w:ascii="宋体" w:hAnsi="宋体" w:eastAsia="宋体" w:cs="宋体"/>
          <w:b/>
          <w:bCs/>
          <w:color w:val="auto"/>
          <w:szCs w:val="21"/>
        </w:rPr>
        <w:t>结算违约责任</w:t>
      </w:r>
    </w:p>
    <w:p w14:paraId="528EF6C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在服务过程中应按进度情况及时整理资料，项目完工后30个自然日内将完整的竣工验收及结算资料移交给甲方，并在工程结算经双方确认后15个工作日内提交完整的结算款请款资料（若项目承接确认协议书或单项项目用户需求书另有要求的，以该项目承接确认协议书或单项项目用户需求书中要求为准），逾期未提交结算资料的，乙方应向甲方支付违约金人民币3000元，逾期超过1个月未提交结算资料的，乙方向甲方支付违约金人民币5000元，累计超过5个（含）单项服务项目未按时提交符合要求的结算资料，甲方有权暂停向乙方派单，直至乙方整改完毕。</w:t>
      </w:r>
    </w:p>
    <w:p w14:paraId="519E33B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11.7</w:t>
      </w:r>
      <w:r>
        <w:rPr>
          <w:rFonts w:hint="eastAsia" w:ascii="宋体" w:hAnsi="宋体" w:eastAsia="宋体" w:cs="宋体"/>
          <w:b/>
          <w:bCs/>
          <w:color w:val="auto"/>
          <w:szCs w:val="21"/>
        </w:rPr>
        <w:t xml:space="preserve"> 转包和分包</w:t>
      </w:r>
    </w:p>
    <w:p w14:paraId="3D32E43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11.7.1 禁止转包与分包。</w:t>
      </w:r>
    </w:p>
    <w:p w14:paraId="646B2CE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明确承诺，未经甲方书面同意，不得将本合同项下的任何工作全部或部分转包、分包或以任何形式委托第三方完成。以下情况不视为转包或分包：为履行合同所必需，且已获得甲方事先书面批准的第三方出具报告、成果资料或进行的特定作业（例如潜水人员作业）。</w:t>
      </w:r>
    </w:p>
    <w:p w14:paraId="7EA5DEC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不得采取任何手段，包括但不限于将全部机电设备维修项目分解为若干部分后，以分包名义分别转包给第三方。特别是涉及现场施工的危险作业，如格栅机及闸门的安装与维修等，乙方必须自行完成，不得转包或分包。</w:t>
      </w:r>
    </w:p>
    <w:p w14:paraId="3C612C4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若甲方发现乙方存在未经许可的转包、分包或委托第三方行为，甲方有权采取以下措施，并要求乙方在规定时间内纠正：（1） 发出整改通知；（2） 发出警告函；（3） 安排约谈；（4） 其他甲方认为必要的措施。</w:t>
      </w:r>
    </w:p>
    <w:p w14:paraId="76EB5BB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若乙方未能按照甲方的要求在规定时间内纠正上述行为，甲方有权取消乙方的中标资格、单方面解除本合同，并没收乙方的履约保证金。乙方对此不持任何异议，并同意承担因此产生的一切后果。</w:t>
      </w:r>
    </w:p>
    <w:p w14:paraId="3E29FB0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乙方确认，本合同项下的任何未经许可的转包、分包或委托第三方行为均视为严重违约，甲方有权根据本合同条款采取相应的违约责任措施。</w:t>
      </w:r>
    </w:p>
    <w:p w14:paraId="6B90387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11.7.2 转包的定义。转包是指乙方承包机电设备维修服务项目后，不履行合同约定的责任和义务，将其承包的全部机电设备维修服务项目或者将其承包的全部机电设备维修服务项目肢解后以分包的名义分别转给其他单位或个人施工的行为。</w:t>
      </w:r>
    </w:p>
    <w:p w14:paraId="16D265C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11.7.3 转包的主要表现形式。存在下列情形之一的，应当认定为转包，但有证据证明属于挂靠或者其他违法行为的除外：</w:t>
      </w:r>
    </w:p>
    <w:p w14:paraId="209645C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（1）乙方将其承包的全部机电设备维修服务项目转给其他单位（包括母公司承接机电设备维修服务项目后将所机电设备维修服务项目交由具有独立法人资格的子公司施工的情形）或个人施工的；</w:t>
      </w:r>
    </w:p>
    <w:p w14:paraId="4000952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乙方未派驻项目负责人、现场负责人、安全员、资料员、造价员等主要管理人员，或派驻的项目负责人、现场负责人、安全员、资料员、造价员中一人及以上与乙方没有订立劳动合同且没有建立劳动工资和社会养老保险关系，或派驻的项目负责人未对该机电设备维修服务项目的施工活动进行组织管理，又不能进行合理解释并提供相应证明的；</w:t>
      </w:r>
    </w:p>
    <w:p w14:paraId="7166BE2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（3）合同约定由乙方负责采购的主要材料、构配件及设备或租赁的施工机械设备，由其他单位或个人采购、租赁，或乙方不能提供有关采购、租赁合同及发票等证明，又不能进行合理解释并提供相应证明的；</w:t>
      </w:r>
    </w:p>
    <w:p w14:paraId="0D9AA95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（4）专业作业承包人承包的范围是乙方承包的全部机电设备维修服务项目，专业作业承包人计取的是除上缴给乙方“管理费”之外的全部机电设备维修服务项目价款的；</w:t>
      </w:r>
    </w:p>
    <w:p w14:paraId="015FB5D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（5）乙方通过采取合作、联营、个人承包等形式或名义，直接或变相将其承包的全部机电设备维修服务项目转给其他单位或个人施工的；</w:t>
      </w:r>
    </w:p>
    <w:p w14:paraId="4FCFD24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（6）专业作业的发包单位不是乙方的，但甲方依约作为发包单位的除外；</w:t>
      </w:r>
    </w:p>
    <w:p w14:paraId="72C280C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（7）乙方与专业作业承包人之间没有款项收付关系，或者乙方收到款项后又将款项转拨给其他单位和个人，又不能进行合理解释并提供材料证明的。</w:t>
      </w:r>
    </w:p>
    <w:p w14:paraId="5B8864C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11.7.4 经核实发现乙方存在转包的，甲方有权单方解除服务合同，没收履约担保，追讨有关损失并将乙方列入我公司履约黑名单，列入黑名单的不得再参与甲方发起任何项目。</w:t>
      </w:r>
    </w:p>
    <w:p w14:paraId="1A8F7B1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11.8 </w:t>
      </w:r>
      <w:r>
        <w:rPr>
          <w:rFonts w:hint="eastAsia" w:ascii="宋体" w:hAnsi="宋体" w:eastAsia="宋体" w:cs="宋体"/>
          <w:b/>
          <w:bCs/>
          <w:color w:val="auto"/>
          <w:szCs w:val="21"/>
        </w:rPr>
        <w:t>其他违约责任</w:t>
      </w:r>
    </w:p>
    <w:p w14:paraId="0D71F5CE">
      <w:pPr>
        <w:widowControl/>
        <w:spacing w:line="360" w:lineRule="auto"/>
        <w:ind w:firstLine="420"/>
        <w:rPr>
          <w:rFonts w:ascii="宋体" w:hAnsi="宋体" w:eastAsia="宋体" w:cs="宋体"/>
          <w:color w:val="auto"/>
          <w:szCs w:val="21"/>
        </w:rPr>
      </w:pPr>
      <w:r>
        <w:rPr>
          <w:rFonts w:hint="eastAsia" w:ascii="宋体" w:hAnsi="宋体" w:eastAsia="宋体" w:cs="宋体"/>
          <w:color w:val="auto"/>
          <w:szCs w:val="21"/>
        </w:rPr>
        <w:t>11.8.1 乙方应及时足额向工人发放工资待遇以及其他劳动待遇等，不得无故拖欠或克扣，如有违反的，由乙方全部负责。如对甲方工作造成影响的，根据工人诉求，甲方有权从未付服务费用中直接抵扣或启用履约保证金予以支付，由此导致的法律后果由乙方全部承担</w:t>
      </w:r>
      <w:r>
        <w:rPr>
          <w:rFonts w:hint="eastAsia" w:ascii="宋体" w:hAnsi="宋体" w:eastAsia="宋体" w:cs="宋体"/>
          <w:b/>
          <w:bCs/>
          <w:color w:val="auto"/>
          <w:szCs w:val="21"/>
        </w:rPr>
        <w:t>。</w:t>
      </w:r>
      <w:r>
        <w:rPr>
          <w:rFonts w:hint="eastAsia" w:ascii="宋体" w:hAnsi="宋体" w:eastAsia="宋体" w:cs="宋体"/>
          <w:color w:val="auto"/>
          <w:szCs w:val="21"/>
        </w:rPr>
        <w:t>严重者甲方有权报相关行政主管部门处理，并保留单方解除本合同的权利。</w:t>
      </w:r>
    </w:p>
    <w:p w14:paraId="67EF8825">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11.8.2乙方必须积极响应并接受相关部门的监督检查，若受到相关部门的批评，经调查认定情况属实的，甲方视情节轻重确定乙方的违约金金额；造成恶劣影响的，甲方有权单方解除合同并没收履约担保。</w:t>
      </w:r>
    </w:p>
    <w:p w14:paraId="6B46E900">
      <w:pPr>
        <w:spacing w:line="360" w:lineRule="auto"/>
        <w:ind w:left="4" w:leftChars="2" w:firstLine="420" w:firstLineChars="200"/>
        <w:rPr>
          <w:rFonts w:ascii="宋体" w:hAnsi="宋体" w:eastAsia="宋体" w:cs="宋体"/>
          <w:color w:val="auto"/>
          <w:szCs w:val="21"/>
        </w:rPr>
      </w:pPr>
      <w:r>
        <w:rPr>
          <w:rFonts w:hint="eastAsia" w:ascii="宋体" w:hAnsi="宋体" w:eastAsia="宋体" w:cs="宋体"/>
          <w:color w:val="auto"/>
          <w:szCs w:val="21"/>
        </w:rPr>
        <w:t>11.8.3 乙方与其分包商之间产生的任何纠纷，均由乙方自行处理，与甲方无关，由此给甲方造成损失的，乙方应当承担因此事项给甲方造成的全部损失，包括但不限于诉讼费、律师费、赔偿金等。</w:t>
      </w:r>
    </w:p>
    <w:p w14:paraId="1A65A4FB">
      <w:pPr>
        <w:spacing w:line="360" w:lineRule="auto"/>
        <w:ind w:left="4" w:leftChars="2" w:firstLine="420" w:firstLineChars="200"/>
        <w:rPr>
          <w:rFonts w:ascii="宋体" w:hAnsi="宋体" w:eastAsia="宋体" w:cs="宋体"/>
          <w:bCs/>
          <w:color w:val="auto"/>
          <w:szCs w:val="21"/>
        </w:rPr>
      </w:pPr>
      <w:r>
        <w:rPr>
          <w:rFonts w:hint="eastAsia" w:ascii="宋体" w:hAnsi="宋体" w:eastAsia="宋体" w:cs="宋体"/>
          <w:color w:val="auto"/>
          <w:szCs w:val="21"/>
        </w:rPr>
        <w:t xml:space="preserve">11.8.4 </w:t>
      </w:r>
      <w:r>
        <w:rPr>
          <w:rFonts w:hint="eastAsia" w:ascii="宋体" w:hAnsi="宋体" w:eastAsia="宋体" w:cs="宋体"/>
          <w:bCs/>
          <w:color w:val="auto"/>
          <w:szCs w:val="21"/>
        </w:rPr>
        <w:t>乙方提交的有关资料、数据隐瞒真相、弄虚作假的，经查证属实的，乙方每次须向甲方支付违约金人民币50000元。</w:t>
      </w:r>
    </w:p>
    <w:p w14:paraId="4876EDF3">
      <w:pPr>
        <w:pStyle w:val="19"/>
        <w:spacing w:after="0" w:line="360" w:lineRule="auto"/>
        <w:ind w:firstLineChars="200"/>
        <w:rPr>
          <w:rFonts w:ascii="宋体" w:hAnsi="宋体" w:eastAsia="宋体" w:cs="宋体"/>
          <w:bCs/>
          <w:color w:val="auto"/>
          <w:szCs w:val="21"/>
        </w:rPr>
      </w:pPr>
      <w:r>
        <w:rPr>
          <w:rFonts w:hint="eastAsia" w:ascii="宋体" w:hAnsi="宋体" w:eastAsia="宋体" w:cs="宋体"/>
          <w:color w:val="auto"/>
          <w:szCs w:val="21"/>
        </w:rPr>
        <w:t xml:space="preserve">11.8.5 </w:t>
      </w:r>
      <w:r>
        <w:rPr>
          <w:rFonts w:hint="eastAsia" w:ascii="宋体" w:hAnsi="宋体" w:eastAsia="宋体" w:cs="宋体"/>
          <w:bCs/>
          <w:color w:val="auto"/>
          <w:szCs w:val="21"/>
        </w:rPr>
        <w:t>乙方对于甲方的处罚或者处理有异议的，可在收到甲方处理通知3个工作日内，向甲方提交申诉函，甲方将于10个工作日内予以书面回复。乙方3个工作日内未提交申诉函的视为对处罚无异议，甲方不受理超过3个工作日后提交的申诉请求。</w:t>
      </w:r>
    </w:p>
    <w:p w14:paraId="15936908">
      <w:pPr>
        <w:pStyle w:val="19"/>
        <w:spacing w:after="0" w:line="360" w:lineRule="auto"/>
        <w:ind w:firstLineChars="200"/>
        <w:rPr>
          <w:rFonts w:ascii="宋体" w:hAnsi="宋体" w:eastAsia="宋体" w:cs="宋体"/>
          <w:color w:val="auto"/>
          <w:szCs w:val="21"/>
        </w:rPr>
      </w:pPr>
      <w:r>
        <w:rPr>
          <w:rFonts w:hint="eastAsia" w:ascii="宋体" w:hAnsi="宋体" w:eastAsia="宋体" w:cs="宋体"/>
          <w:bCs/>
          <w:color w:val="auto"/>
          <w:szCs w:val="21"/>
        </w:rPr>
        <w:t>乙方在收到处理通知3个工作日内未能向甲方提交申诉函，且拒不履行处罚或处理事项的（包括签认处罚单、签认整改回执、限期内缴纳违约金等），甲方有权暂停向乙方委派新任务1个月。</w:t>
      </w:r>
    </w:p>
    <w:p w14:paraId="5331250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11.8.6 乙方履行的合同义务不符合要求的，如本合同已约定相关违约责任，则应从其约定，无约定的甲方有权要求乙方在甲方规定的限期内整改完毕，并要求乙方支付违约金人民币</w:t>
      </w:r>
      <w:r>
        <w:rPr>
          <w:rFonts w:hint="eastAsia" w:ascii="宋体" w:hAnsi="宋体" w:eastAsia="宋体" w:cs="宋体"/>
          <w:color w:val="auto"/>
          <w:szCs w:val="21"/>
          <w:u w:val="single"/>
        </w:rPr>
        <w:t xml:space="preserve">  20000</w:t>
      </w:r>
      <w:r>
        <w:rPr>
          <w:rFonts w:hint="eastAsia" w:ascii="宋体" w:hAnsi="宋体" w:eastAsia="宋体" w:cs="宋体"/>
          <w:color w:val="auto"/>
          <w:szCs w:val="21"/>
        </w:rPr>
        <w:t>元。若限期整改后不符合甲方要求或出现无故停工累计达7日，甲方有权单方解除合同，并没收10%的履约担保，若由此给甲方造成损失的，乙方还应当承担全部赔偿责任。</w:t>
      </w:r>
    </w:p>
    <w:p w14:paraId="1F65940C">
      <w:pPr>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rPr>
        <w:t xml:space="preserve">11.8.7 </w:t>
      </w:r>
      <w:r>
        <w:rPr>
          <w:rFonts w:hint="eastAsia" w:ascii="宋体" w:hAnsi="宋体" w:eastAsia="宋体" w:cs="宋体"/>
          <w:color w:val="auto"/>
          <w:szCs w:val="21"/>
          <w:lang w:val="zh-CN"/>
        </w:rPr>
        <w:t>在本合同履行过程中，如乙方存在违约行为的，本合同项下甲方（包括甲方 1、甲方 2、甲方 3、甲方 4、甲方 5、甲方 6、甲方 7）皆有权按合同之约定追究乙方违约责任；乙方对此同意且没有异议。</w:t>
      </w:r>
    </w:p>
    <w:p w14:paraId="16ED4D6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11.8.8 </w:t>
      </w:r>
      <w:r>
        <w:rPr>
          <w:rFonts w:hint="eastAsia" w:ascii="宋体" w:hAnsi="宋体" w:eastAsia="宋体" w:cs="宋体"/>
          <w:color w:val="auto"/>
          <w:szCs w:val="21"/>
          <w:lang w:val="zh-CN"/>
        </w:rPr>
        <w:t>如因乙方原因，导致发生法律纠纷案件，甲方被列为承担责任的诉讼当事人（第三人或被告），或造成社会负面影响的，视为乙方违约，甲方即有权</w:t>
      </w:r>
      <w:r>
        <w:rPr>
          <w:rFonts w:hint="eastAsia" w:ascii="宋体" w:hAnsi="宋体" w:eastAsia="宋体" w:cs="宋体"/>
          <w:color w:val="auto"/>
          <w:szCs w:val="21"/>
        </w:rPr>
        <w:t>向</w:t>
      </w:r>
      <w:r>
        <w:rPr>
          <w:rFonts w:hint="eastAsia" w:ascii="宋体" w:hAnsi="宋体" w:eastAsia="宋体" w:cs="宋体"/>
          <w:color w:val="auto"/>
          <w:szCs w:val="21"/>
          <w:lang w:val="zh-CN"/>
        </w:rPr>
        <w:t>乙方</w:t>
      </w:r>
      <w:r>
        <w:rPr>
          <w:rFonts w:hint="eastAsia" w:ascii="宋体" w:hAnsi="宋体" w:eastAsia="宋体" w:cs="宋体"/>
          <w:color w:val="auto"/>
          <w:szCs w:val="21"/>
        </w:rPr>
        <w:t>收取</w:t>
      </w:r>
      <w:r>
        <w:rPr>
          <w:rFonts w:hint="eastAsia" w:ascii="宋体" w:hAnsi="宋体" w:eastAsia="宋体" w:cs="宋体"/>
          <w:color w:val="auto"/>
          <w:szCs w:val="21"/>
          <w:lang w:val="zh-CN"/>
        </w:rPr>
        <w:t>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8C029DD">
      <w:pPr>
        <w:widowControl/>
        <w:spacing w:line="360" w:lineRule="auto"/>
        <w:ind w:firstLine="420"/>
        <w:rPr>
          <w:rFonts w:ascii="宋体" w:hAnsi="宋体" w:eastAsia="宋体" w:cs="宋体"/>
          <w:color w:val="auto"/>
          <w:szCs w:val="21"/>
        </w:rPr>
      </w:pPr>
      <w:r>
        <w:rPr>
          <w:rFonts w:hint="eastAsia" w:ascii="宋体" w:hAnsi="宋体" w:eastAsia="宋体" w:cs="宋体"/>
          <w:color w:val="auto"/>
          <w:szCs w:val="21"/>
        </w:rPr>
        <w:t>11.8.9 合同履行期间，因乙方违约原因产生的违约金、赔偿、罚款或其他应承担费用等款项，甲方有权要求乙方收到处罚通知后10个工作日内向甲方指定账户缴纳款项【如乙方迟缴或拒缴的，甲方有权在进度款（如有）或结算款或履约担保中予以双倍扣除】，或直接从未付服务费、履约担保中直接扣除提取予以支付。</w:t>
      </w:r>
    </w:p>
    <w:p w14:paraId="6F12BFE6">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 xml:space="preserve">11.9 </w:t>
      </w:r>
      <w:r>
        <w:rPr>
          <w:rFonts w:hint="eastAsia" w:ascii="宋体" w:hAnsi="宋体" w:eastAsia="宋体" w:cs="宋体"/>
          <w:b/>
          <w:bCs/>
          <w:color w:val="auto"/>
          <w:szCs w:val="21"/>
        </w:rPr>
        <w:t>合同解除</w:t>
      </w:r>
    </w:p>
    <w:p w14:paraId="3D58D8BC">
      <w:pPr>
        <w:spacing w:line="360" w:lineRule="auto"/>
        <w:ind w:firstLine="422" w:firstLineChars="200"/>
        <w:rPr>
          <w:rFonts w:ascii="宋体" w:hAnsi="宋体" w:eastAsia="宋体" w:cs="宋体"/>
          <w:color w:val="auto"/>
          <w:szCs w:val="21"/>
        </w:rPr>
      </w:pPr>
      <w:r>
        <w:rPr>
          <w:rFonts w:hint="eastAsia" w:ascii="宋体" w:hAnsi="宋体" w:eastAsia="宋体" w:cs="宋体"/>
          <w:b/>
          <w:bCs/>
          <w:color w:val="auto"/>
          <w:szCs w:val="21"/>
        </w:rPr>
        <w:t>11.9.1</w:t>
      </w:r>
      <w:r>
        <w:rPr>
          <w:rFonts w:hint="eastAsia" w:ascii="宋体" w:hAnsi="宋体" w:eastAsia="宋体" w:cs="宋体"/>
          <w:color w:val="auto"/>
          <w:szCs w:val="21"/>
        </w:rPr>
        <w:t>乙方存在如下情形之一的，甲方有权书面通知乙方单方解除本合同，取消乙方服务资格，并没收乙方履约担保，且乙方应赔偿给甲方造成的全部损失：</w:t>
      </w:r>
    </w:p>
    <w:p w14:paraId="147F79A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1）提供虚假信息、误导或欺骗甲方，以谋取非法利益的；</w:t>
      </w:r>
    </w:p>
    <w:p w14:paraId="796A5E2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2）违反诚信信用原则，没有严格执行相关质量、服务，损害甲方或相关用户单位的利益的；</w:t>
      </w:r>
    </w:p>
    <w:p w14:paraId="00AA9BE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3）违反有关法律法规以及本合同的约定，损害甲方利益的；</w:t>
      </w:r>
    </w:p>
    <w:p w14:paraId="2C2C3E3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4）拒绝接受甲方及相关部门监督、检查的；</w:t>
      </w:r>
    </w:p>
    <w:p w14:paraId="385AC40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5）出现信用危机、财务危机、生产经营危机甚至破产、倒闭，无法继续履行本合同的；</w:t>
      </w:r>
    </w:p>
    <w:p w14:paraId="0D1E366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6）采用非法手段进行不正当竞争的，构成恶劣影响；</w:t>
      </w:r>
    </w:p>
    <w:p w14:paraId="5B1A4CC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7）经营资格已注销或者行政许可被撤回、撤销、吊销的；</w:t>
      </w:r>
    </w:p>
    <w:p w14:paraId="1B00916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8）因违反国家有关法律法规的；</w:t>
      </w:r>
    </w:p>
    <w:p w14:paraId="7FD7538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9）违反本合同约定，泄露服务项目内容的；</w:t>
      </w:r>
    </w:p>
    <w:p w14:paraId="02ACD2A4">
      <w:pPr>
        <w:spacing w:line="360" w:lineRule="auto"/>
        <w:ind w:firstLine="420" w:firstLineChars="200"/>
        <w:rPr>
          <w:rFonts w:ascii="宋体" w:hAnsi="宋体" w:eastAsia="宋体" w:cs="宋体"/>
          <w:color w:val="auto"/>
        </w:rPr>
      </w:pPr>
      <w:r>
        <w:rPr>
          <w:rFonts w:hint="eastAsia" w:ascii="宋体" w:hAnsi="宋体" w:eastAsia="宋体" w:cs="宋体"/>
          <w:color w:val="auto"/>
          <w:szCs w:val="21"/>
        </w:rPr>
        <w:t>10）违反国家有关廉政建设法律法规，向甲方管理人员赠送礼金、礼品、电子红包等，经查实的。</w:t>
      </w:r>
    </w:p>
    <w:p w14:paraId="3B199AA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11.9.2 合同履行期间，甲乙双方针对单项项目签订解除协议的，在乙方承担本合同约定相应的违约责任（如有）后，若乙方暂未开始提供服务的或未开展实质性服务工作的，乙方在签订解除协议前的工作费用，甲方无需承担任何责任，乙方不得向甲方主张任何形式的费用、补偿或赔偿；若乙方已经实施相关服务，进行了实质性服务工作，且相关服务符合本合同约定和甲方要求的，乙方在承担相应的违约责任（如有）后，甲方就乙方在签订解除协议前所产生的的工程量费用可按合同约定的服务费计取标准按实结算，并按合同约定的结算请款支付条款支付于乙方。</w:t>
      </w:r>
    </w:p>
    <w:p w14:paraId="604E873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11.9.3 合同履行期间，由于乙方违约原因，导致甲方解除本合同的，乙方仍须按本合同、项目承接确认协议书、用户需求书约定承担已完成项目的质量责任及相关违约责任（如有）等。</w:t>
      </w:r>
    </w:p>
    <w:p w14:paraId="3FA5CFE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所承接的项目尚未履行完毕的，仍须按照本合同、项目承接确认协议书、用户需求书约定的权利及义务继续履行，直至全部项目完成结算支付工作，双方权利及义务终止。乙方在履行剩余承接项目时存在违反本合同或《管理办法》约定行为的，甲方有权按照本合同及《管理办法》之约定追究乙方违约责任。当因乙方原因无法或怠于履约情况时，甲方有权委托其他单位实施，所需费用从履约担保中扣除，履约担保不足部分从未支付款项中扣除，仍不足部分由乙方向甲方支付。</w:t>
      </w:r>
    </w:p>
    <w:p w14:paraId="5724932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合同解除后乙方已缴纳的履约担保待其所承接的全部项目结算完成后，由甲方按照本合同约定在合理的期限内向乙方退还。</w:t>
      </w:r>
    </w:p>
    <w:p w14:paraId="312D08CB">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十二、不可抗力</w:t>
      </w:r>
    </w:p>
    <w:p w14:paraId="27B7293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12.1 本合同所称的“不可抗力”是指受影响一方无法预料、不可避免且无法克服，并于本合同签订日之后出现的，使一方对本合同全部或部分的履行在客观上成为不可能或不实际的事件。</w:t>
      </w:r>
    </w:p>
    <w:p w14:paraId="38B5ECA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12.2 由于不可抗力造成任何一方不能及时履行或不能及时完全履行本协议规定的责任和义务的，甲乙双方互不承担责任。但遭受不可抗力的一方应在不可抗力发生之日立即通知另一方，并在不可抗力发生之日起30日内，提供国家有关部门的证明文件，如因为遭受不可抗力一方迟延通知而给对方造成损失的，该方应当赔偿由于通知迟延而给对方造成的损失。同时，遭受不可抗力的一方应采取一切必要的措施减少损失，否则应就扩大的损失承担责任。</w:t>
      </w:r>
    </w:p>
    <w:p w14:paraId="364517FD">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十三、其他</w:t>
      </w:r>
    </w:p>
    <w:p w14:paraId="13B623C6">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在合同期内，因国家建设需要征用或者甲方因管理需要或者上级管理部门改革试点需要等调整乙方服务范围及服务期时，乙方应遵照执行；若甲方需在东莞市行政区内增加服务范围时，乙方同意无条件接收增加的服务范围，若需减少服务范围时，乙方同意无条件按减少后的服务范围执行；若甲方需提前结束服务期，乙方同意无条件按提前的服务期执行；服务费根据实际服务数量按实结算。由此造成的经济损失，甲方不需承担任何赔偿责任。</w:t>
      </w:r>
      <w:r>
        <w:rPr>
          <w:rFonts w:hint="eastAsia" w:ascii="宋体" w:hAnsi="宋体" w:eastAsia="宋体" w:cs="宋体"/>
          <w:b/>
          <w:bCs/>
          <w:color w:val="auto"/>
          <w:szCs w:val="21"/>
        </w:rPr>
        <w:t xml:space="preserve"> </w:t>
      </w:r>
    </w:p>
    <w:p w14:paraId="4D8714C2">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十四、争议解决</w:t>
      </w:r>
    </w:p>
    <w:p w14:paraId="5234284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14.1双方在履行合同时发生争议，首先本着友好态度协商解决，若经协商仍不能解决，甲乙双方可要求主管部门调解，调解不成的，双方一致同意提交甲方住所地有管辖权的人民法院诉讼解决。在诉讼期间，双方应继续履行本合同中除争议条款之外的其它条款。</w:t>
      </w:r>
    </w:p>
    <w:p w14:paraId="35FAD2F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14.2守约方可要求违约方补偿守约方的全部经济损失（包括但不限于应承担守约方实现债权的费用，如律师费、保全保险费、差旅费、鉴定费、评估费等）。</w:t>
      </w:r>
    </w:p>
    <w:p w14:paraId="727B072B">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 xml:space="preserve">十五、送达 </w:t>
      </w:r>
    </w:p>
    <w:p w14:paraId="74CEEF7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15.1甲乙双方就本合同中涉及各类通知、协议等文件以及就合同发生纠纷时相关文件和法律文书送达时的送达地址及法律后果作如下约定： </w:t>
      </w:r>
    </w:p>
    <w:p w14:paraId="41C6536B">
      <w:pPr>
        <w:numPr>
          <w:ilvl w:val="0"/>
          <w:numId w:val="7"/>
        </w:num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甲方确认其有效的送达地址为【 】；联系人：【 】；联系电话【 】。 </w:t>
      </w:r>
    </w:p>
    <w:p w14:paraId="707B14F2">
      <w:pPr>
        <w:numPr>
          <w:ilvl w:val="0"/>
          <w:numId w:val="7"/>
        </w:num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乙方确认其有效的送达地址为【 】；联系人：【 】；联系电话【 】。</w:t>
      </w:r>
    </w:p>
    <w:p w14:paraId="3CDF896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66A6965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15.2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FE39A9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15.3甲方的送达地址需要变更时应当履行及时通知的义务，应提前【 】个工作日通过【 】 的方式向乙方进行通知；乙方的送达地址需要变更时应当履行及时通知的义务，应提前【 】个工作日通过【 】的方式向甲方进行通知，否则乙方的送达地址仍以本合同载明为准，并且因乙方通知不及时造成甲方损失的，甲方有权要求乙方承担相应的赔偿责任。</w:t>
      </w:r>
    </w:p>
    <w:p w14:paraId="79ADA7A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15.4本条款具有独立法律效力，不因合同其他条款的无效而无效。</w:t>
      </w:r>
    </w:p>
    <w:p w14:paraId="1604CE77">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十六、附则</w:t>
      </w:r>
    </w:p>
    <w:p w14:paraId="51717230">
      <w:pPr>
        <w:pStyle w:val="19"/>
        <w:spacing w:after="0" w:line="360" w:lineRule="auto"/>
        <w:ind w:firstLineChars="200"/>
        <w:rPr>
          <w:rFonts w:ascii="宋体" w:hAnsi="宋体" w:eastAsia="宋体" w:cs="宋体"/>
          <w:color w:val="auto"/>
          <w:kern w:val="0"/>
          <w:szCs w:val="21"/>
        </w:rPr>
      </w:pPr>
      <w:r>
        <w:rPr>
          <w:rFonts w:hint="eastAsia" w:ascii="宋体" w:hAnsi="宋体" w:eastAsia="宋体" w:cs="宋体"/>
          <w:color w:val="auto"/>
          <w:kern w:val="0"/>
          <w:szCs w:val="21"/>
        </w:rPr>
        <w:t>16.1 甲方向乙方发出单项项目承接确认协议书后，甲方及乙方严格遵照本合同、项目承接确认协议书、单项项目用户需求书（如有）内容执行。单项项目承接确认协议书、单项项目用户需求书（如有）内容与本合同条款约定不一致之处，以项目承接确认协议书、单项项目用户需求书（如有）内容为准。本合同书未尽事宜，由甲方、乙方共同协商解决。</w:t>
      </w:r>
    </w:p>
    <w:p w14:paraId="083675CE">
      <w:pPr>
        <w:pStyle w:val="19"/>
        <w:spacing w:after="0" w:line="360" w:lineRule="auto"/>
        <w:ind w:firstLineChars="200"/>
        <w:rPr>
          <w:rFonts w:ascii="宋体" w:hAnsi="宋体" w:eastAsia="宋体" w:cs="宋体"/>
          <w:color w:val="auto"/>
          <w:kern w:val="0"/>
          <w:szCs w:val="21"/>
        </w:rPr>
      </w:pPr>
      <w:r>
        <w:rPr>
          <w:rFonts w:hint="eastAsia" w:ascii="宋体" w:hAnsi="宋体" w:eastAsia="宋体" w:cs="宋体"/>
          <w:color w:val="auto"/>
          <w:kern w:val="0"/>
          <w:szCs w:val="21"/>
        </w:rPr>
        <w:t>16.2 在执行本合同的过程中，对具体服务内容需要变更或补充的，不违反法律法规的前提下，经双方协商，可共同签署补充协议，补充协议与本协议具有同等的法律效力。</w:t>
      </w:r>
    </w:p>
    <w:p w14:paraId="2C521590">
      <w:pPr>
        <w:pStyle w:val="19"/>
        <w:spacing w:after="0" w:line="360" w:lineRule="auto"/>
        <w:ind w:firstLineChars="200"/>
        <w:rPr>
          <w:rFonts w:ascii="宋体" w:hAnsi="宋体" w:eastAsia="宋体" w:cs="宋体"/>
          <w:color w:val="auto"/>
          <w:kern w:val="0"/>
          <w:szCs w:val="21"/>
        </w:rPr>
      </w:pPr>
      <w:r>
        <w:rPr>
          <w:rFonts w:hint="eastAsia" w:ascii="宋体" w:hAnsi="宋体" w:eastAsia="宋体" w:cs="宋体"/>
          <w:color w:val="auto"/>
          <w:kern w:val="0"/>
          <w:szCs w:val="21"/>
        </w:rPr>
        <w:t>16.3 本合同一式    份，甲方执   份，乙方执    份。以上具有同等法律效力，自甲乙双方法定代表人或授权代表签字（或签章）并加盖公章之日起生效至合同服务期届满且双方合同权利义务履行完毕时终止。本合同附件是本合同不可分割内容，与本合同同时生效，同具法律效力；本合同履约过程中，对本合同项下条款约定存在多种理解方式的情况发生时，按最有利甲方的方式解释。</w:t>
      </w:r>
    </w:p>
    <w:p w14:paraId="6411F1DA">
      <w:pPr>
        <w:spacing w:line="360" w:lineRule="auto"/>
        <w:rPr>
          <w:rFonts w:ascii="宋体" w:hAnsi="宋体" w:eastAsia="宋体" w:cs="宋体"/>
          <w:b/>
          <w:bCs/>
          <w:color w:val="auto"/>
          <w:szCs w:val="21"/>
        </w:rPr>
      </w:pPr>
    </w:p>
    <w:p w14:paraId="1F782F69">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附件：</w:t>
      </w:r>
    </w:p>
    <w:p w14:paraId="60BF823E">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1：廉洁协议书</w:t>
      </w:r>
    </w:p>
    <w:p w14:paraId="2DF48015">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2：有限空间作业安全承诺书</w:t>
      </w:r>
    </w:p>
    <w:p w14:paraId="17E26D43">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3：项目承接确认协议书</w:t>
      </w:r>
    </w:p>
    <w:p w14:paraId="64866FB1">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4：整改通知书</w:t>
      </w:r>
    </w:p>
    <w:p w14:paraId="1477B6AA">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5：机电设备维修服务项目常用清单库</w:t>
      </w:r>
    </w:p>
    <w:p w14:paraId="4FA757AC">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6：机电设备维修项目请款资料清单</w:t>
      </w:r>
    </w:p>
    <w:p w14:paraId="61DB3900">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7：《东莞市水务集团管网有限公司机电设备委外维修供应商管理办法（试行）》</w:t>
      </w:r>
    </w:p>
    <w:p w14:paraId="322694D6">
      <w:pPr>
        <w:widowControl/>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8：安全生产管理协议书</w:t>
      </w:r>
    </w:p>
    <w:p w14:paraId="0D28956F">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9：单方结算承诺书</w:t>
      </w:r>
    </w:p>
    <w:p w14:paraId="68F985EF">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10：承诺书</w:t>
      </w:r>
    </w:p>
    <w:p w14:paraId="47940E05">
      <w:pPr>
        <w:pStyle w:val="19"/>
        <w:ind w:firstLine="630" w:firstLineChars="300"/>
        <w:rPr>
          <w:rFonts w:ascii="宋体" w:hAnsi="宋体" w:eastAsia="宋体" w:cs="宋体"/>
          <w:color w:val="auto"/>
          <w:szCs w:val="21"/>
        </w:rPr>
      </w:pPr>
      <w:r>
        <w:rPr>
          <w:rFonts w:hint="eastAsia" w:ascii="宋体" w:hAnsi="宋体" w:eastAsia="宋体" w:cs="宋体"/>
          <w:color w:val="auto"/>
          <w:szCs w:val="21"/>
        </w:rPr>
        <w:t>11：招标文件（另附）</w:t>
      </w:r>
    </w:p>
    <w:p w14:paraId="15EABABF">
      <w:pPr>
        <w:pStyle w:val="19"/>
        <w:ind w:firstLine="630" w:firstLineChars="300"/>
        <w:rPr>
          <w:rFonts w:ascii="宋体" w:hAnsi="宋体" w:eastAsia="宋体" w:cs="宋体"/>
          <w:color w:val="auto"/>
          <w:szCs w:val="21"/>
        </w:rPr>
      </w:pPr>
      <w:r>
        <w:rPr>
          <w:rFonts w:hint="eastAsia" w:ascii="宋体" w:hAnsi="宋体" w:eastAsia="宋体" w:cs="宋体"/>
          <w:color w:val="auto"/>
          <w:szCs w:val="21"/>
        </w:rPr>
        <w:t>12：投标文件（另附）</w:t>
      </w:r>
    </w:p>
    <w:p w14:paraId="690AFE90">
      <w:pPr>
        <w:pStyle w:val="18"/>
        <w:rPr>
          <w:rFonts w:hAnsi="宋体" w:cs="宋体"/>
          <w:color w:val="auto"/>
          <w:sz w:val="21"/>
          <w:szCs w:val="21"/>
        </w:rPr>
      </w:pPr>
    </w:p>
    <w:p w14:paraId="65D4B799">
      <w:pPr>
        <w:rPr>
          <w:rFonts w:ascii="宋体" w:hAnsi="宋体" w:eastAsia="宋体" w:cs="宋体"/>
          <w:color w:val="auto"/>
          <w:szCs w:val="21"/>
        </w:rPr>
      </w:pPr>
    </w:p>
    <w:p w14:paraId="2C9447E4">
      <w:pPr>
        <w:pStyle w:val="18"/>
        <w:rPr>
          <w:rFonts w:hAnsi="宋体" w:cs="宋体"/>
          <w:color w:val="auto"/>
          <w:sz w:val="21"/>
          <w:szCs w:val="21"/>
        </w:rPr>
      </w:pPr>
    </w:p>
    <w:p w14:paraId="4F96D177">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 xml:space="preserve"> </w:t>
      </w:r>
    </w:p>
    <w:p w14:paraId="67EEA1B0">
      <w:pPr>
        <w:pStyle w:val="19"/>
        <w:ind w:firstLine="0" w:firstLineChars="0"/>
        <w:rPr>
          <w:rFonts w:ascii="宋体" w:hAnsi="宋体" w:eastAsia="宋体" w:cs="宋体"/>
          <w:b/>
          <w:bCs/>
          <w:color w:val="auto"/>
          <w:szCs w:val="21"/>
        </w:rPr>
      </w:pPr>
    </w:p>
    <w:p w14:paraId="48BDC683">
      <w:pPr>
        <w:pStyle w:val="19"/>
        <w:ind w:firstLine="0" w:firstLineChars="0"/>
        <w:rPr>
          <w:rFonts w:ascii="宋体" w:hAnsi="宋体" w:eastAsia="宋体" w:cs="宋体"/>
          <w:b/>
          <w:bCs/>
          <w:color w:val="auto"/>
          <w:szCs w:val="21"/>
        </w:rPr>
      </w:pPr>
    </w:p>
    <w:p w14:paraId="337566CF">
      <w:pPr>
        <w:pStyle w:val="19"/>
        <w:spacing w:after="0" w:line="360" w:lineRule="auto"/>
        <w:ind w:firstLineChars="200"/>
        <w:rPr>
          <w:rFonts w:ascii="宋体" w:hAnsi="宋体" w:eastAsia="宋体" w:cs="宋体"/>
          <w:color w:val="auto"/>
          <w:kern w:val="0"/>
          <w:szCs w:val="21"/>
        </w:rPr>
      </w:pPr>
      <w:r>
        <w:rPr>
          <w:rFonts w:hint="eastAsia" w:ascii="宋体" w:hAnsi="宋体" w:eastAsia="宋体" w:cs="宋体"/>
          <w:color w:val="auto"/>
          <w:kern w:val="0"/>
          <w:szCs w:val="21"/>
        </w:rPr>
        <w:t>（以下无正文，为签章页）</w:t>
      </w:r>
    </w:p>
    <w:p w14:paraId="39F5D729">
      <w:pPr>
        <w:pStyle w:val="19"/>
        <w:ind w:firstLine="210"/>
        <w:rPr>
          <w:rFonts w:ascii="宋体" w:hAnsi="宋体" w:eastAsia="宋体" w:cs="宋体"/>
          <w:color w:val="auto"/>
          <w:kern w:val="0"/>
          <w:szCs w:val="21"/>
        </w:rPr>
      </w:pPr>
    </w:p>
    <w:p w14:paraId="274C1012">
      <w:pPr>
        <w:pStyle w:val="19"/>
        <w:ind w:firstLine="210"/>
        <w:rPr>
          <w:rFonts w:ascii="宋体" w:hAnsi="宋体" w:eastAsia="宋体" w:cs="宋体"/>
          <w:color w:val="auto"/>
          <w:kern w:val="0"/>
          <w:szCs w:val="21"/>
        </w:rPr>
      </w:pPr>
    </w:p>
    <w:p w14:paraId="2C1143A7">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甲方：                                    乙方：</w:t>
      </w:r>
    </w:p>
    <w:p w14:paraId="2D5D3197">
      <w:pPr>
        <w:spacing w:line="560" w:lineRule="exact"/>
        <w:ind w:left="554" w:leftChars="262" w:hanging="4" w:hangingChars="2"/>
        <w:rPr>
          <w:rFonts w:ascii="宋体" w:hAnsi="宋体" w:eastAsia="宋体" w:cs="宋体"/>
          <w:color w:val="auto"/>
          <w:szCs w:val="21"/>
        </w:rPr>
      </w:pPr>
      <w:r>
        <w:rPr>
          <w:rFonts w:hint="eastAsia" w:ascii="宋体" w:hAnsi="宋体" w:eastAsia="宋体" w:cs="宋体"/>
          <w:color w:val="auto"/>
          <w:szCs w:val="21"/>
        </w:rPr>
        <w:t>法定代表人：                              法定代表人：</w:t>
      </w:r>
    </w:p>
    <w:p w14:paraId="6B44321D">
      <w:pPr>
        <w:spacing w:line="560" w:lineRule="exact"/>
        <w:ind w:left="554" w:leftChars="262" w:hanging="4" w:hangingChars="2"/>
        <w:rPr>
          <w:rFonts w:ascii="宋体" w:hAnsi="宋体" w:eastAsia="宋体" w:cs="宋体"/>
          <w:color w:val="auto"/>
          <w:szCs w:val="21"/>
        </w:rPr>
      </w:pPr>
      <w:r>
        <w:rPr>
          <w:rFonts w:hint="eastAsia" w:ascii="宋体" w:hAnsi="宋体" w:eastAsia="宋体" w:cs="宋体"/>
          <w:color w:val="auto"/>
          <w:szCs w:val="21"/>
        </w:rPr>
        <w:t>电话：                                    电话：</w:t>
      </w:r>
    </w:p>
    <w:p w14:paraId="32436E95">
      <w:pPr>
        <w:spacing w:line="560" w:lineRule="exact"/>
        <w:ind w:left="554" w:leftChars="262" w:hanging="4" w:hangingChars="2"/>
        <w:rPr>
          <w:rFonts w:ascii="宋体" w:hAnsi="宋体" w:eastAsia="宋体" w:cs="宋体"/>
          <w:color w:val="auto"/>
          <w:szCs w:val="21"/>
        </w:rPr>
      </w:pPr>
      <w:r>
        <w:rPr>
          <w:rFonts w:hint="eastAsia" w:ascii="宋体" w:hAnsi="宋体" w:eastAsia="宋体" w:cs="宋体"/>
          <w:color w:val="auto"/>
          <w:szCs w:val="21"/>
        </w:rPr>
        <w:t xml:space="preserve">传真：                                    传真： </w:t>
      </w:r>
    </w:p>
    <w:p w14:paraId="5FF62145">
      <w:pPr>
        <w:spacing w:line="560" w:lineRule="exact"/>
        <w:ind w:left="6010" w:leftChars="262" w:hanging="5460" w:hangingChars="2600"/>
        <w:rPr>
          <w:rFonts w:ascii="宋体" w:hAnsi="宋体" w:eastAsia="宋体" w:cs="宋体"/>
          <w:color w:val="auto"/>
          <w:szCs w:val="21"/>
        </w:rPr>
      </w:pPr>
      <w:r>
        <w:rPr>
          <w:rFonts w:hint="eastAsia" w:ascii="宋体" w:hAnsi="宋体" w:eastAsia="宋体" w:cs="宋体"/>
          <w:color w:val="auto"/>
          <w:szCs w:val="21"/>
        </w:rPr>
        <w:t xml:space="preserve">开户名称：                                开户名称： </w:t>
      </w:r>
    </w:p>
    <w:p w14:paraId="0067376D">
      <w:pPr>
        <w:spacing w:line="560" w:lineRule="exact"/>
        <w:ind w:left="554" w:leftChars="262" w:hanging="4" w:hangingChars="2"/>
        <w:rPr>
          <w:rFonts w:ascii="宋体" w:hAnsi="宋体" w:eastAsia="宋体" w:cs="宋体"/>
          <w:color w:val="auto"/>
          <w:szCs w:val="21"/>
        </w:rPr>
      </w:pPr>
      <w:r>
        <w:rPr>
          <w:rFonts w:hint="eastAsia" w:ascii="宋体" w:hAnsi="宋体" w:eastAsia="宋体" w:cs="宋体"/>
          <w:color w:val="auto"/>
          <w:szCs w:val="21"/>
        </w:rPr>
        <w:t>开户银行：                                开户银行：</w:t>
      </w:r>
    </w:p>
    <w:p w14:paraId="12C5FE88">
      <w:pPr>
        <w:spacing w:line="560" w:lineRule="exact"/>
        <w:ind w:left="554" w:leftChars="262" w:hanging="4" w:hangingChars="2"/>
        <w:rPr>
          <w:rFonts w:ascii="宋体" w:hAnsi="宋体" w:eastAsia="宋体" w:cs="宋体"/>
          <w:color w:val="auto"/>
          <w:szCs w:val="21"/>
        </w:rPr>
      </w:pPr>
      <w:r>
        <w:rPr>
          <w:rFonts w:hint="eastAsia" w:ascii="宋体" w:hAnsi="宋体" w:eastAsia="宋体" w:cs="宋体"/>
          <w:color w:val="auto"/>
          <w:szCs w:val="21"/>
        </w:rPr>
        <w:t>账号：                                    账号：</w:t>
      </w:r>
    </w:p>
    <w:p w14:paraId="50C26825">
      <w:pPr>
        <w:spacing w:line="560" w:lineRule="exact"/>
        <w:ind w:left="554" w:leftChars="262" w:hanging="4" w:hangingChars="2"/>
        <w:rPr>
          <w:rFonts w:ascii="宋体" w:hAnsi="宋体" w:eastAsia="宋体" w:cs="宋体"/>
          <w:color w:val="auto"/>
          <w:szCs w:val="21"/>
        </w:rPr>
      </w:pPr>
      <w:r>
        <w:rPr>
          <w:rFonts w:hint="eastAsia" w:ascii="宋体" w:hAnsi="宋体" w:eastAsia="宋体" w:cs="宋体"/>
          <w:color w:val="auto"/>
          <w:szCs w:val="21"/>
        </w:rPr>
        <w:t>税号：                                    税号：</w:t>
      </w:r>
    </w:p>
    <w:p w14:paraId="4D223940">
      <w:pPr>
        <w:spacing w:line="560" w:lineRule="exact"/>
        <w:ind w:left="554" w:leftChars="262" w:hanging="4" w:hangingChars="2"/>
        <w:rPr>
          <w:rFonts w:ascii="宋体" w:hAnsi="宋体" w:eastAsia="宋体" w:cs="宋体"/>
          <w:color w:val="auto"/>
          <w:szCs w:val="21"/>
        </w:rPr>
      </w:pPr>
      <w:r>
        <w:rPr>
          <w:rFonts w:hint="eastAsia" w:ascii="宋体" w:hAnsi="宋体" w:eastAsia="宋体" w:cs="宋体"/>
          <w:color w:val="auto"/>
          <w:szCs w:val="21"/>
        </w:rPr>
        <w:t>邮政编码：                                邮政编码：</w:t>
      </w:r>
    </w:p>
    <w:p w14:paraId="34FB2830">
      <w:pPr>
        <w:spacing w:line="560" w:lineRule="exact"/>
        <w:ind w:left="554" w:leftChars="262" w:hanging="4" w:hangingChars="2"/>
        <w:rPr>
          <w:rFonts w:ascii="宋体" w:hAnsi="宋体" w:eastAsia="宋体" w:cs="宋体"/>
          <w:color w:val="auto"/>
          <w:szCs w:val="21"/>
        </w:rPr>
      </w:pPr>
      <w:r>
        <w:rPr>
          <w:rFonts w:hint="eastAsia" w:ascii="宋体" w:hAnsi="宋体" w:eastAsia="宋体" w:cs="宋体"/>
          <w:color w:val="auto"/>
          <w:szCs w:val="21"/>
        </w:rPr>
        <w:t>电子邮箱：                                电子邮箱：</w:t>
      </w:r>
    </w:p>
    <w:p w14:paraId="22418E69">
      <w:pPr>
        <w:spacing w:line="560" w:lineRule="exact"/>
        <w:ind w:left="554" w:leftChars="262" w:hanging="4" w:hangingChars="2"/>
        <w:rPr>
          <w:rFonts w:ascii="宋体" w:hAnsi="宋体" w:eastAsia="宋体" w:cs="宋体"/>
          <w:color w:val="auto"/>
          <w:szCs w:val="21"/>
        </w:rPr>
      </w:pPr>
      <w:r>
        <w:rPr>
          <w:rFonts w:hint="eastAsia" w:ascii="宋体" w:hAnsi="宋体" w:eastAsia="宋体" w:cs="宋体"/>
          <w:color w:val="auto"/>
          <w:szCs w:val="21"/>
        </w:rPr>
        <w:t xml:space="preserve"> </w:t>
      </w:r>
    </w:p>
    <w:p w14:paraId="480104DF">
      <w:pPr>
        <w:spacing w:line="360" w:lineRule="auto"/>
        <w:ind w:firstLine="630" w:firstLineChars="300"/>
        <w:rPr>
          <w:rFonts w:ascii="宋体" w:hAnsi="宋体" w:eastAsia="宋体" w:cs="宋体"/>
          <w:color w:val="auto"/>
          <w:szCs w:val="21"/>
        </w:rPr>
      </w:pPr>
      <w:r>
        <w:rPr>
          <w:rFonts w:hint="eastAsia" w:ascii="宋体" w:hAnsi="宋体" w:eastAsia="宋体" w:cs="宋体"/>
          <w:color w:val="auto"/>
          <w:szCs w:val="21"/>
        </w:rPr>
        <w:t>本合同</w:t>
      </w:r>
      <w:r>
        <w:rPr>
          <w:rFonts w:hint="eastAsia" w:ascii="宋体" w:hAnsi="宋体" w:eastAsia="宋体" w:cs="宋体"/>
          <w:color w:val="auto"/>
          <w:szCs w:val="21"/>
          <w:u w:val="single"/>
        </w:rPr>
        <w:t xml:space="preserve">      年    月     日</w:t>
      </w:r>
      <w:r>
        <w:rPr>
          <w:rFonts w:hint="eastAsia" w:ascii="宋体" w:hAnsi="宋体" w:eastAsia="宋体" w:cs="宋体"/>
          <w:color w:val="auto"/>
          <w:szCs w:val="21"/>
        </w:rPr>
        <w:t>签订于</w:t>
      </w:r>
      <w:r>
        <w:rPr>
          <w:rFonts w:hint="eastAsia" w:ascii="宋体" w:hAnsi="宋体" w:eastAsia="宋体" w:cs="宋体"/>
          <w:color w:val="auto"/>
          <w:szCs w:val="21"/>
          <w:u w:val="single"/>
        </w:rPr>
        <w:t xml:space="preserve">  东莞市  </w:t>
      </w:r>
    </w:p>
    <w:p w14:paraId="6A24B7B9">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1DA936CF">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7FA86DAD">
      <w:pPr>
        <w:pageBreakBefore/>
        <w:spacing w:line="360" w:lineRule="auto"/>
        <w:rPr>
          <w:rFonts w:ascii="宋体" w:hAnsi="宋体" w:eastAsia="宋体" w:cs="宋体"/>
          <w:b/>
          <w:bCs/>
          <w:color w:val="auto"/>
          <w:szCs w:val="21"/>
        </w:rPr>
      </w:pPr>
      <w:r>
        <w:rPr>
          <w:rFonts w:hint="eastAsia" w:ascii="宋体" w:hAnsi="宋体" w:eastAsia="宋体" w:cs="宋体"/>
          <w:b/>
          <w:bCs/>
          <w:color w:val="auto"/>
          <w:szCs w:val="21"/>
        </w:rPr>
        <w:t>附件1：廉洁协议书</w:t>
      </w:r>
    </w:p>
    <w:p w14:paraId="7B8474D0">
      <w:pPr>
        <w:spacing w:line="600" w:lineRule="exact"/>
        <w:ind w:right="31" w:rightChars="15"/>
        <w:jc w:val="center"/>
        <w:rPr>
          <w:rFonts w:ascii="宋体" w:hAnsi="宋体" w:eastAsia="宋体" w:cs="宋体"/>
          <w:bCs/>
          <w:color w:val="auto"/>
          <w:szCs w:val="21"/>
        </w:rPr>
      </w:pPr>
      <w:r>
        <w:rPr>
          <w:rFonts w:hint="eastAsia" w:ascii="宋体" w:hAnsi="宋体" w:eastAsia="宋体" w:cs="宋体"/>
          <w:bCs/>
          <w:color w:val="auto"/>
          <w:szCs w:val="21"/>
        </w:rPr>
        <w:t>廉洁协议书</w:t>
      </w:r>
    </w:p>
    <w:p w14:paraId="23825037">
      <w:pPr>
        <w:spacing w:line="600" w:lineRule="exact"/>
        <w:ind w:right="31" w:rightChars="15"/>
        <w:jc w:val="center"/>
        <w:rPr>
          <w:rFonts w:ascii="宋体" w:hAnsi="宋体" w:eastAsia="宋体" w:cs="宋体"/>
          <w:b/>
          <w:color w:val="auto"/>
          <w:szCs w:val="21"/>
        </w:rPr>
      </w:pPr>
    </w:p>
    <w:p w14:paraId="594C232C">
      <w:pPr>
        <w:spacing w:line="560" w:lineRule="exact"/>
        <w:rPr>
          <w:rFonts w:ascii="宋体" w:hAnsi="宋体" w:eastAsia="宋体" w:cs="宋体"/>
          <w:color w:val="auto"/>
          <w:szCs w:val="21"/>
        </w:rPr>
      </w:pPr>
      <w:r>
        <w:rPr>
          <w:rFonts w:hint="eastAsia" w:ascii="宋体" w:hAnsi="宋体" w:eastAsia="宋体" w:cs="宋体"/>
          <w:b/>
          <w:bCs/>
          <w:color w:val="auto"/>
          <w:szCs w:val="21"/>
        </w:rPr>
        <w:t>项目名称：</w:t>
      </w:r>
      <w:r>
        <w:rPr>
          <w:rFonts w:hint="eastAsia" w:ascii="宋体" w:hAnsi="宋体" w:eastAsia="宋体" w:cs="宋体"/>
          <w:color w:val="auto"/>
          <w:szCs w:val="21"/>
        </w:rPr>
        <w:t xml:space="preserve">                 （招标编号：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8EE3CFA">
      <w:pPr>
        <w:spacing w:line="560" w:lineRule="exact"/>
        <w:rPr>
          <w:rFonts w:ascii="宋体" w:hAnsi="宋体" w:eastAsia="宋体" w:cs="宋体"/>
          <w:b/>
          <w:bCs/>
          <w:color w:val="auto"/>
          <w:szCs w:val="21"/>
        </w:rPr>
      </w:pPr>
      <w:r>
        <w:rPr>
          <w:rFonts w:hint="eastAsia" w:ascii="宋体" w:hAnsi="宋体" w:eastAsia="宋体" w:cs="宋体"/>
          <w:b/>
          <w:bCs/>
          <w:color w:val="auto"/>
          <w:szCs w:val="21"/>
        </w:rPr>
        <w:t>甲方（业主单位）：</w:t>
      </w:r>
    </w:p>
    <w:p w14:paraId="46A63589">
      <w:pPr>
        <w:spacing w:line="560" w:lineRule="exact"/>
        <w:rPr>
          <w:rFonts w:ascii="宋体" w:hAnsi="宋体" w:eastAsia="宋体" w:cs="宋体"/>
          <w:b/>
          <w:bCs/>
          <w:color w:val="auto"/>
          <w:szCs w:val="21"/>
        </w:rPr>
      </w:pPr>
      <w:r>
        <w:rPr>
          <w:rFonts w:hint="eastAsia" w:ascii="宋体" w:hAnsi="宋体" w:eastAsia="宋体" w:cs="宋体"/>
          <w:b/>
          <w:bCs/>
          <w:color w:val="auto"/>
          <w:szCs w:val="21"/>
        </w:rPr>
        <w:t>乙方：</w:t>
      </w:r>
    </w:p>
    <w:p w14:paraId="7160A621">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3D22644">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第一条  甲乙双方的权利和义务</w:t>
      </w:r>
    </w:p>
    <w:p w14:paraId="5012D64B">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（一）严格遵守党和国家有关法律法规等有关廉洁从业规定。</w:t>
      </w:r>
    </w:p>
    <w:p w14:paraId="7DB3E20B">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（二）严格执行本项目的合同文件，自觉按合同办事。</w:t>
      </w:r>
    </w:p>
    <w:p w14:paraId="78F3C84A">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（三）双方的业务活动坚持公开、公正、诚信、透明的原则（除法律认定的商业秘密和合同文件另有规定之外）不得损害国家和集体利益，违反工程建设管理及其他法律法规规章制度。</w:t>
      </w:r>
    </w:p>
    <w:p w14:paraId="3B57A84F">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（四）建立健全廉洁制度，开展廉洁教育，设立廉洁监督公示牌，公布举报电话，监督并认真查处违法违纪行为。</w:t>
      </w:r>
    </w:p>
    <w:p w14:paraId="2CE0A80E">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（五）发现对方在业务活动中有违反廉洁规定的行为，有及时提醒对方纠正的权利和义务。</w:t>
      </w:r>
    </w:p>
    <w:p w14:paraId="419BF442">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（六）发现对方严重违反本协议义务条款的行为，有向其上级有关部门举报、建议给予处理并要求告知处理结果的权利。</w:t>
      </w:r>
    </w:p>
    <w:p w14:paraId="16F65348">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第二条  甲方的义务</w:t>
      </w:r>
    </w:p>
    <w:p w14:paraId="02E5B9B1">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（一）甲方及其工作人员不得索要或接受乙方的礼金、有价证券和贵重物品，不得在乙方报销任何应由甲方或个人支付的费用。</w:t>
      </w:r>
    </w:p>
    <w:p w14:paraId="4211682F">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（二）甲方工作人员不得参加乙方安排的高消费宴请和娱乐活动；不得接受乙方提供的通讯工具、交通工具和高档办公用品。</w:t>
      </w:r>
    </w:p>
    <w:p w14:paraId="30D6A559">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（三）甲方及其工作人员不得要求或者接受乙方为其住房装修、婚丧嫁娶活动、家属或亲友的工作安排以及出国出境、旅游等提供方便。</w:t>
      </w:r>
    </w:p>
    <w:p w14:paraId="359222BF">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（四）甲方工作人员不得向乙方介绍其家属或者亲友（包括家属或亲友开办的公司企业）从事于本项目涉及的经济业务活动。</w:t>
      </w:r>
    </w:p>
    <w:p w14:paraId="424BC3F1">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（五）甲方及其工作人员不得以任何理由向乙方推荐分包单位，不得要求乙方购买合同规定外的材料和设备。</w:t>
      </w:r>
    </w:p>
    <w:p w14:paraId="6FA8C41F">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（六）甲方及其工作人员不得进行违反廉洁规定的其他活动。</w:t>
      </w:r>
    </w:p>
    <w:p w14:paraId="3878D5B8">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（七）甲方应对甲方工作人员进行廉洁监督管理，如甲方工作人员违反本协议第一、第二条，甲方应依据有关法律法规、党纪规定对其进行处理；涉嫌犯罪的，甲方应将其移交司法机关追究刑事责任。</w:t>
      </w:r>
    </w:p>
    <w:p w14:paraId="0EABC272">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第三条  乙方义务</w:t>
      </w:r>
    </w:p>
    <w:p w14:paraId="6E4F57A4">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（一）乙方不得以任何理由向甲方及其工作人员馈赠礼金、有价证券、贵重礼品，或报销应由甲方单位或个人支付的任何费用。</w:t>
      </w:r>
    </w:p>
    <w:p w14:paraId="74E232AC">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（二）乙方及其工作人员不得以考察、参观、洽谈业务、签订合同等的借口邀请甲方及其工作人员参加高消费的宴请、娱乐和健身等活动。</w:t>
      </w:r>
    </w:p>
    <w:p w14:paraId="24BEF9AE">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（三）乙方不得为甲方单位和个人购置或提供通讯工具、交通工具和高档办公用品等。</w:t>
      </w:r>
    </w:p>
    <w:p w14:paraId="4D7D522A">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（四）乙方及其工作人员不得为甲方工作人员购买、装修、维修私人住房、汽车等。</w:t>
      </w:r>
    </w:p>
    <w:p w14:paraId="5BC5F9CF">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（五）乙方及其工作人员不得为甲方工作人员的婚丧嫁娶、家属或亲友的工作安排，及出国出境提供方便以及报销任何私人消费的费用。</w:t>
      </w:r>
    </w:p>
    <w:p w14:paraId="550D7142">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（六）乙方及其工作人员不得进行影响甲方及其工作人员公正执行合同和履行职务的其他活动。</w:t>
      </w:r>
    </w:p>
    <w:p w14:paraId="7FBEE2DD">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9123C15">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第四条  违约责任</w:t>
      </w:r>
    </w:p>
    <w:p w14:paraId="2B97DEF3">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（一）甲方违反本协议第一、第二条给乙方单位造成经济损失的，应予以赔偿。</w:t>
      </w:r>
    </w:p>
    <w:p w14:paraId="7C50EAA3">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（二）乙方违反本协议第一、第三条给甲方单位造成经济损失的，应予以赔偿。</w:t>
      </w:r>
    </w:p>
    <w:p w14:paraId="474671AA">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第五条  监督检查</w:t>
      </w:r>
    </w:p>
    <w:p w14:paraId="748369BC">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甲乙双方的廉洁从业行为由双方或双方上级单位的纪检、监察部门负责监督，对本协议履行情况进行检查。</w:t>
      </w:r>
    </w:p>
    <w:p w14:paraId="707C4F79">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第六条 举报信访受理</w:t>
      </w:r>
    </w:p>
    <w:p w14:paraId="6C01D0A9">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（一）举报受理部门：东莞市水务集团有限公司纪检监察部。</w:t>
      </w:r>
    </w:p>
    <w:p w14:paraId="1CAEDF67">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（二）举报电话：（0769）23076092。</w:t>
      </w:r>
    </w:p>
    <w:p w14:paraId="7BBD3D91">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（三）举报邮箱：</w:t>
      </w:r>
      <w:r>
        <w:rPr>
          <w:color w:val="auto"/>
        </w:rPr>
        <w:fldChar w:fldCharType="begin"/>
      </w:r>
      <w:r>
        <w:rPr>
          <w:color w:val="auto"/>
        </w:rPr>
        <w:instrText xml:space="preserve"> HYPERLINK "mailto:jcsj@dgswjt.cn。" </w:instrText>
      </w:r>
      <w:r>
        <w:rPr>
          <w:color w:val="auto"/>
        </w:rPr>
        <w:fldChar w:fldCharType="separate"/>
      </w:r>
      <w:r>
        <w:rPr>
          <w:rStyle w:val="43"/>
          <w:rFonts w:hint="eastAsia" w:ascii="宋体" w:hAnsi="宋体" w:eastAsia="宋体" w:cs="宋体"/>
          <w:color w:val="auto"/>
          <w:sz w:val="21"/>
          <w:szCs w:val="21"/>
        </w:rPr>
        <w:t>jcsj@dgswjt.cn。</w:t>
      </w:r>
      <w:r>
        <w:rPr>
          <w:rStyle w:val="43"/>
          <w:rFonts w:hint="eastAsia" w:ascii="宋体" w:hAnsi="宋体" w:eastAsia="宋体" w:cs="宋体"/>
          <w:color w:val="auto"/>
          <w:sz w:val="21"/>
          <w:szCs w:val="21"/>
        </w:rPr>
        <w:fldChar w:fldCharType="end"/>
      </w:r>
    </w:p>
    <w:p w14:paraId="25EFEB00">
      <w:pPr>
        <w:spacing w:line="560" w:lineRule="exact"/>
        <w:ind w:firstLine="560"/>
        <w:rPr>
          <w:rFonts w:ascii="宋体" w:hAnsi="宋体" w:eastAsia="宋体" w:cs="宋体"/>
          <w:color w:val="auto"/>
          <w:szCs w:val="21"/>
        </w:rPr>
      </w:pPr>
      <w:r>
        <w:rPr>
          <w:rFonts w:hint="eastAsia" w:ascii="宋体" w:hAnsi="宋体" w:eastAsia="宋体" w:cs="宋体"/>
          <w:color w:val="auto"/>
          <w:szCs w:val="21"/>
        </w:rPr>
        <w:t>（四）信访地址：广东省东莞市东城街道育华路1号。</w:t>
      </w:r>
    </w:p>
    <w:p w14:paraId="00171447">
      <w:pPr>
        <w:spacing w:line="56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第七条 其他</w:t>
      </w:r>
    </w:p>
    <w:p w14:paraId="1071A0E4">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本协议有效期为甲乙双方签字并加盖公章之日起至该工程/采购项目竣工验收完毕，质保期/服务期满后止。本协议一式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份，甲、乙双方各执</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份，甲、乙双方上级主管部门各执</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w:t>
      </w:r>
    </w:p>
    <w:p w14:paraId="72360E0A">
      <w:pPr>
        <w:spacing w:line="560" w:lineRule="exact"/>
        <w:ind w:firstLine="420" w:firstLineChars="200"/>
        <w:rPr>
          <w:rFonts w:ascii="宋体" w:hAnsi="宋体" w:eastAsia="宋体" w:cs="宋体"/>
          <w:color w:val="auto"/>
          <w:szCs w:val="21"/>
        </w:rPr>
      </w:pPr>
    </w:p>
    <w:p w14:paraId="1EC57A82">
      <w:pPr>
        <w:spacing w:line="560" w:lineRule="exact"/>
        <w:rPr>
          <w:rFonts w:ascii="宋体" w:hAnsi="宋体" w:eastAsia="宋体" w:cs="宋体"/>
          <w:color w:val="auto"/>
          <w:szCs w:val="21"/>
        </w:rPr>
      </w:pPr>
    </w:p>
    <w:p w14:paraId="18F98BA5">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 xml:space="preserve">甲方（盖章）：                乙方（盖章）： </w:t>
      </w:r>
    </w:p>
    <w:p w14:paraId="386EF82F">
      <w:pPr>
        <w:spacing w:line="560" w:lineRule="exact"/>
        <w:ind w:firstLine="420" w:firstLineChars="200"/>
        <w:rPr>
          <w:rFonts w:ascii="宋体" w:hAnsi="宋体" w:eastAsia="宋体" w:cs="宋体"/>
          <w:color w:val="auto"/>
          <w:szCs w:val="21"/>
        </w:rPr>
      </w:pPr>
    </w:p>
    <w:p w14:paraId="1433E23E">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法定代表人：                 法定代表人：</w:t>
      </w:r>
    </w:p>
    <w:p w14:paraId="257B1CB9">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甲方代表：                   乙方代表：</w:t>
      </w:r>
    </w:p>
    <w:p w14:paraId="7F09A185">
      <w:pPr>
        <w:spacing w:line="560" w:lineRule="exact"/>
        <w:rPr>
          <w:rFonts w:ascii="宋体" w:hAnsi="宋体" w:eastAsia="宋体" w:cs="宋体"/>
          <w:color w:val="auto"/>
          <w:szCs w:val="21"/>
        </w:rPr>
      </w:pPr>
    </w:p>
    <w:p w14:paraId="2F8673FD">
      <w:pPr>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签订日期：    年  月  日         年  月  日</w:t>
      </w:r>
    </w:p>
    <w:p w14:paraId="541C7060">
      <w:pPr>
        <w:spacing w:before="120" w:beforeLines="50" w:after="120" w:afterLines="50" w:line="520" w:lineRule="exact"/>
        <w:textAlignment w:val="baseline"/>
        <w:rPr>
          <w:rFonts w:ascii="宋体" w:hAnsi="宋体" w:eastAsia="宋体" w:cs="宋体"/>
          <w:b/>
          <w:bCs/>
          <w:color w:val="auto"/>
          <w:szCs w:val="21"/>
        </w:rPr>
      </w:pPr>
      <w:r>
        <w:rPr>
          <w:rFonts w:hint="eastAsia" w:ascii="宋体" w:hAnsi="宋体" w:eastAsia="宋体" w:cs="宋体"/>
          <w:b/>
          <w:bCs/>
          <w:color w:val="auto"/>
          <w:szCs w:val="21"/>
        </w:rPr>
        <w:br w:type="page"/>
      </w:r>
      <w:r>
        <w:rPr>
          <w:rFonts w:hint="eastAsia" w:ascii="宋体" w:hAnsi="宋体" w:eastAsia="宋体" w:cs="宋体"/>
          <w:b/>
          <w:bCs/>
          <w:color w:val="auto"/>
          <w:szCs w:val="21"/>
        </w:rPr>
        <w:t>附件2：有限空间作业安全承诺书</w:t>
      </w:r>
    </w:p>
    <w:p w14:paraId="620FE6F1">
      <w:pPr>
        <w:spacing w:before="120" w:beforeLines="50" w:after="120" w:afterLines="50" w:line="520" w:lineRule="exact"/>
        <w:jc w:val="center"/>
        <w:textAlignment w:val="baseline"/>
        <w:rPr>
          <w:rFonts w:ascii="宋体" w:hAnsi="宋体" w:eastAsia="宋体" w:cs="宋体"/>
          <w:color w:val="auto"/>
          <w:szCs w:val="21"/>
        </w:rPr>
      </w:pPr>
      <w:r>
        <w:rPr>
          <w:rFonts w:hint="eastAsia" w:ascii="宋体" w:hAnsi="宋体" w:eastAsia="宋体" w:cs="宋体"/>
          <w:color w:val="auto"/>
          <w:szCs w:val="21"/>
        </w:rPr>
        <w:t>有限空间作业安全承诺书</w:t>
      </w:r>
    </w:p>
    <w:p w14:paraId="171BA41D">
      <w:pPr>
        <w:snapToGrid w:val="0"/>
        <w:spacing w:line="360" w:lineRule="auto"/>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A73A9FB">
      <w:pPr>
        <w:snapToGrid w:val="0"/>
        <w:spacing w:line="360" w:lineRule="auto"/>
        <w:ind w:firstLine="555"/>
        <w:rPr>
          <w:rFonts w:ascii="宋体" w:hAnsi="宋体" w:eastAsia="宋体" w:cs="宋体"/>
          <w:color w:val="auto"/>
          <w:szCs w:val="21"/>
          <w:u w:val="single"/>
        </w:rPr>
      </w:pPr>
      <w:r>
        <w:rPr>
          <w:rFonts w:hint="eastAsia" w:ascii="宋体" w:hAnsi="宋体" w:eastAsia="宋体" w:cs="宋体"/>
          <w:color w:val="auto"/>
          <w:szCs w:val="21"/>
        </w:rPr>
        <w:t>我方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承接贵公司的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u w:val="single"/>
        </w:rPr>
        <w:t>以下简称“该项目”），并与贵公司签订了【                      】（以下简称“合同”）</w:t>
      </w:r>
      <w:r>
        <w:rPr>
          <w:rFonts w:hint="eastAsia" w:ascii="宋体" w:hAnsi="宋体" w:eastAsia="宋体" w:cs="宋体"/>
          <w:color w:val="auto"/>
          <w:szCs w:val="21"/>
        </w:rPr>
        <w:t>。在承接贵公司各单项机电设备维修任务时，为加强安全生产及有限空间作业管理、坚决保证各项施工安全、有效开展，我方现郑重作如下承诺：</w:t>
      </w:r>
    </w:p>
    <w:p w14:paraId="624CB38F">
      <w:pPr>
        <w:numPr>
          <w:ilvl w:val="0"/>
          <w:numId w:val="8"/>
        </w:num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我方严格按照贵公司要求建立所有参与该项目的工作人员信息库，并确保所有工作人员接受贵公司的实名制登记及管理。</w:t>
      </w:r>
    </w:p>
    <w:p w14:paraId="339169B0">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2、我方参与有限空间作业的所有工作人员均按其所从事的工作内容持证上岗。</w:t>
      </w:r>
    </w:p>
    <w:p w14:paraId="6C905EA0">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3、我方严格遵照贵公司的相关要求，安排参与有限空间作业的所有工作人员参加贵公司（包含贵公司委托的第三方机构）组织的安全培训及考核。</w:t>
      </w:r>
    </w:p>
    <w:p w14:paraId="798B0A38">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我方承诺作业涉及有限空间的，严格按照国家应急部印发的《有限空间作业安全指导手册》开展相关工作，严格遵守“先通风、再检测、后作业”的原则。作业前严格执行有限空间作业审批制度，确保作业人员正确穿戴防毒面具、安全帽、安全绳等防护用品，携带对讲机并在气体检测合格后再开展有限空间作业。作业过程中做到实时监测、持续通风、保证通讯畅通。</w:t>
      </w:r>
    </w:p>
    <w:p w14:paraId="66140E56">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5、我方承诺严格遵照执行相关法律法规以及贵公司相关安全生产制度及有限空间作业操作规程。</w:t>
      </w:r>
    </w:p>
    <w:p w14:paraId="2A76ED28">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贵公司有权将我方违诺/违约行为视为不良/失信行为，我方自愿接受贵公司上报贵公司集团作出将我方列入黑名单，向阳光网、东莞日报等媒体公开我方不良/失信行为以及上报东莞市住建局、东莞市水污染治理现场指挥部等行政主管部门并建议取消我方参加东莞市公开招标项目的投标资格等处理，并愿意按照与贵公司签订的合同承担违约赔偿等责任。</w:t>
      </w:r>
    </w:p>
    <w:p w14:paraId="2F74F14C">
      <w:pPr>
        <w:spacing w:line="360" w:lineRule="auto"/>
        <w:ind w:firstLine="5040" w:firstLineChars="2400"/>
        <w:rPr>
          <w:rFonts w:ascii="宋体" w:hAnsi="宋体" w:eastAsia="宋体" w:cs="宋体"/>
          <w:color w:val="auto"/>
          <w:szCs w:val="21"/>
        </w:rPr>
      </w:pPr>
      <w:r>
        <w:rPr>
          <w:rFonts w:hint="eastAsia" w:ascii="宋体" w:hAnsi="宋体" w:eastAsia="宋体" w:cs="宋体"/>
          <w:color w:val="auto"/>
          <w:szCs w:val="21"/>
        </w:rPr>
        <w:t xml:space="preserve"> </w:t>
      </w:r>
    </w:p>
    <w:p w14:paraId="3459BB50">
      <w:pPr>
        <w:spacing w:line="360" w:lineRule="auto"/>
        <w:ind w:firstLine="5040" w:firstLineChars="2400"/>
        <w:rPr>
          <w:rFonts w:ascii="宋体" w:hAnsi="宋体" w:eastAsia="宋体" w:cs="宋体"/>
          <w:color w:val="auto"/>
          <w:szCs w:val="21"/>
        </w:rPr>
      </w:pPr>
      <w:r>
        <w:rPr>
          <w:rFonts w:hint="eastAsia" w:ascii="宋体" w:hAnsi="宋体" w:eastAsia="宋体" w:cs="宋体"/>
          <w:color w:val="auto"/>
          <w:szCs w:val="21"/>
        </w:rPr>
        <w:t xml:space="preserve">服务单位盖章： </w:t>
      </w:r>
    </w:p>
    <w:p w14:paraId="7173C992">
      <w:pPr>
        <w:spacing w:line="360" w:lineRule="auto"/>
        <w:ind w:firstLine="1971" w:firstLineChars="939"/>
        <w:rPr>
          <w:rFonts w:ascii="宋体" w:hAnsi="宋体" w:eastAsia="宋体" w:cs="宋体"/>
          <w:color w:val="auto"/>
          <w:szCs w:val="21"/>
        </w:rPr>
      </w:pPr>
      <w:r>
        <w:rPr>
          <w:rFonts w:hint="eastAsia" w:ascii="宋体" w:hAnsi="宋体" w:eastAsia="宋体" w:cs="宋体"/>
          <w:color w:val="auto"/>
          <w:szCs w:val="21"/>
        </w:rPr>
        <w:tab/>
      </w:r>
      <w:r>
        <w:rPr>
          <w:rFonts w:hint="eastAsia" w:ascii="宋体" w:hAnsi="宋体" w:eastAsia="宋体" w:cs="宋体"/>
          <w:color w:val="auto"/>
          <w:szCs w:val="21"/>
        </w:rPr>
        <w:t xml:space="preserve">                        法定代表人（或授权委托人）：</w:t>
      </w:r>
    </w:p>
    <w:p w14:paraId="0208DA42">
      <w:pPr>
        <w:spacing w:line="360" w:lineRule="auto"/>
        <w:ind w:firstLine="5121" w:firstLineChars="2439"/>
        <w:rPr>
          <w:rFonts w:ascii="宋体" w:hAnsi="宋体" w:eastAsia="宋体" w:cs="宋体"/>
          <w:color w:val="auto"/>
          <w:szCs w:val="21"/>
        </w:rPr>
      </w:pPr>
      <w:r>
        <w:rPr>
          <w:rFonts w:hint="eastAsia" w:ascii="宋体" w:hAnsi="宋体" w:eastAsia="宋体" w:cs="宋体"/>
          <w:color w:val="auto"/>
          <w:szCs w:val="21"/>
        </w:rPr>
        <w:t>承诺时间：     年   月   日</w:t>
      </w:r>
    </w:p>
    <w:p w14:paraId="28A9BEF7">
      <w:pPr>
        <w:pageBreakBefore/>
        <w:spacing w:line="360" w:lineRule="auto"/>
        <w:rPr>
          <w:rFonts w:ascii="宋体" w:hAnsi="宋体" w:eastAsia="宋体" w:cs="宋体"/>
          <w:b/>
          <w:color w:val="auto"/>
          <w:szCs w:val="21"/>
        </w:rPr>
      </w:pPr>
      <w:r>
        <w:rPr>
          <w:rFonts w:hint="eastAsia" w:ascii="宋体" w:hAnsi="宋体" w:eastAsia="宋体" w:cs="宋体"/>
          <w:b/>
          <w:color w:val="auto"/>
          <w:szCs w:val="21"/>
        </w:rPr>
        <w:t>附件3：项目承接确认协议书</w:t>
      </w:r>
    </w:p>
    <w:p w14:paraId="130FCAE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项目承接确认协议书（格式）</w:t>
      </w:r>
    </w:p>
    <w:p w14:paraId="5FE88B43">
      <w:pPr>
        <w:snapToGrid w:val="0"/>
        <w:spacing w:line="360" w:lineRule="auto"/>
        <w:ind w:firstLine="4200" w:firstLineChars="2000"/>
        <w:jc w:val="center"/>
        <w:rPr>
          <w:rFonts w:ascii="宋体" w:hAnsi="宋体" w:eastAsia="宋体" w:cs="宋体"/>
          <w:color w:val="auto"/>
          <w:szCs w:val="21"/>
        </w:rPr>
      </w:pPr>
      <w:r>
        <w:rPr>
          <w:rFonts w:hint="eastAsia" w:ascii="宋体" w:hAnsi="宋体" w:eastAsia="宋体" w:cs="宋体"/>
          <w:color w:val="auto"/>
          <w:szCs w:val="21"/>
        </w:rPr>
        <w:t xml:space="preserve">项目编号：                       </w:t>
      </w:r>
    </w:p>
    <w:p w14:paraId="773366C6">
      <w:pPr>
        <w:snapToGrid w:val="0"/>
        <w:spacing w:line="360" w:lineRule="auto"/>
        <w:ind w:firstLine="420" w:firstLineChars="200"/>
        <w:rPr>
          <w:rFonts w:ascii="宋体" w:hAnsi="宋体" w:eastAsia="宋体" w:cs="宋体"/>
          <w:color w:val="auto"/>
          <w:szCs w:val="21"/>
        </w:rPr>
      </w:pPr>
    </w:p>
    <w:p w14:paraId="09FAA72E">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甲方：</w:t>
      </w:r>
      <w:r>
        <w:rPr>
          <w:rFonts w:hint="eastAsia" w:ascii="宋体" w:hAnsi="宋体" w:eastAsia="宋体" w:cs="宋体"/>
          <w:color w:val="auto"/>
          <w:szCs w:val="21"/>
          <w:u w:val="single"/>
        </w:rPr>
        <w:t xml:space="preserve">                             </w:t>
      </w:r>
    </w:p>
    <w:p w14:paraId="6FEC3CE4">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p>
    <w:p w14:paraId="54E8E4F9">
      <w:pPr>
        <w:snapToGrid w:val="0"/>
        <w:spacing w:line="360" w:lineRule="auto"/>
        <w:rPr>
          <w:rFonts w:ascii="宋体" w:hAnsi="宋体" w:eastAsia="宋体" w:cs="宋体"/>
          <w:color w:val="auto"/>
          <w:szCs w:val="21"/>
        </w:rPr>
      </w:pPr>
    </w:p>
    <w:p w14:paraId="05A4FEE6">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根据甲、乙双方签订的《             合同》（以下简称“定点合同”）的约定，甲方委托乙方承接如下项目，同时乙方应当按照定点合同、用户需求书（如有）、本确认协议书等相关文件的约定向甲方全面履行义务。</w:t>
      </w:r>
    </w:p>
    <w:tbl>
      <w:tblPr>
        <w:tblStyle w:val="37"/>
        <w:tblW w:w="5000" w:type="pct"/>
        <w:tblInd w:w="0" w:type="dxa"/>
        <w:tblLayout w:type="autofit"/>
        <w:tblCellMar>
          <w:top w:w="0" w:type="dxa"/>
          <w:left w:w="108" w:type="dxa"/>
          <w:bottom w:w="0" w:type="dxa"/>
          <w:right w:w="108" w:type="dxa"/>
        </w:tblCellMar>
      </w:tblPr>
      <w:tblGrid>
        <w:gridCol w:w="2829"/>
        <w:gridCol w:w="6457"/>
      </w:tblGrid>
      <w:tr w14:paraId="1C1814B6">
        <w:tblPrEx>
          <w:tblCellMar>
            <w:top w:w="0" w:type="dxa"/>
            <w:left w:w="108" w:type="dxa"/>
            <w:bottom w:w="0" w:type="dxa"/>
            <w:right w:w="108" w:type="dxa"/>
          </w:tblCellMar>
        </w:tblPrEx>
        <w:trPr>
          <w:trHeight w:val="590" w:hRule="atLeast"/>
        </w:trPr>
        <w:tc>
          <w:tcPr>
            <w:tcW w:w="1523" w:type="pct"/>
            <w:tcBorders>
              <w:top w:val="single" w:color="auto" w:sz="4" w:space="0"/>
              <w:left w:val="single" w:color="auto" w:sz="4" w:space="0"/>
              <w:bottom w:val="single" w:color="auto" w:sz="4" w:space="0"/>
              <w:right w:val="single" w:color="auto" w:sz="4" w:space="0"/>
            </w:tcBorders>
            <w:vAlign w:val="center"/>
          </w:tcPr>
          <w:p w14:paraId="25D37A40">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3477" w:type="pct"/>
            <w:tcBorders>
              <w:top w:val="single" w:color="auto" w:sz="4" w:space="0"/>
              <w:left w:val="nil"/>
              <w:bottom w:val="single" w:color="auto" w:sz="4" w:space="0"/>
              <w:right w:val="single" w:color="auto" w:sz="4" w:space="0"/>
            </w:tcBorders>
            <w:vAlign w:val="center"/>
          </w:tcPr>
          <w:p w14:paraId="3D05A1AC">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w:t>
            </w:r>
          </w:p>
        </w:tc>
      </w:tr>
      <w:tr w14:paraId="4DAF9EE7">
        <w:tblPrEx>
          <w:tblCellMar>
            <w:top w:w="0" w:type="dxa"/>
            <w:left w:w="108" w:type="dxa"/>
            <w:bottom w:w="0" w:type="dxa"/>
            <w:right w:w="108" w:type="dxa"/>
          </w:tblCellMar>
        </w:tblPrEx>
        <w:trPr>
          <w:trHeight w:val="590" w:hRule="atLeast"/>
        </w:trPr>
        <w:tc>
          <w:tcPr>
            <w:tcW w:w="1523" w:type="pct"/>
            <w:tcBorders>
              <w:top w:val="single" w:color="auto" w:sz="4" w:space="0"/>
              <w:left w:val="single" w:color="auto" w:sz="4" w:space="0"/>
              <w:bottom w:val="single" w:color="auto" w:sz="4" w:space="0"/>
              <w:right w:val="single" w:color="auto" w:sz="4" w:space="0"/>
            </w:tcBorders>
            <w:vAlign w:val="center"/>
          </w:tcPr>
          <w:p w14:paraId="62DF39B2">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项目地点</w:t>
            </w:r>
          </w:p>
        </w:tc>
        <w:tc>
          <w:tcPr>
            <w:tcW w:w="3477" w:type="pct"/>
            <w:tcBorders>
              <w:top w:val="single" w:color="auto" w:sz="4" w:space="0"/>
              <w:left w:val="nil"/>
              <w:bottom w:val="single" w:color="auto" w:sz="4" w:space="0"/>
              <w:right w:val="single" w:color="auto" w:sz="4" w:space="0"/>
            </w:tcBorders>
            <w:vAlign w:val="center"/>
          </w:tcPr>
          <w:p w14:paraId="28B5489E">
            <w:pPr>
              <w:widowControl/>
              <w:snapToGrid w:val="0"/>
              <w:spacing w:line="360" w:lineRule="auto"/>
              <w:ind w:firstLine="420" w:firstLineChars="200"/>
              <w:rPr>
                <w:rFonts w:ascii="宋体" w:hAnsi="宋体" w:eastAsia="宋体" w:cs="宋体"/>
                <w:color w:val="auto"/>
                <w:szCs w:val="21"/>
              </w:rPr>
            </w:pPr>
          </w:p>
        </w:tc>
      </w:tr>
      <w:tr w14:paraId="68941F2C">
        <w:tblPrEx>
          <w:tblCellMar>
            <w:top w:w="0" w:type="dxa"/>
            <w:left w:w="108" w:type="dxa"/>
            <w:bottom w:w="0" w:type="dxa"/>
            <w:right w:w="108" w:type="dxa"/>
          </w:tblCellMar>
        </w:tblPrEx>
        <w:trPr>
          <w:trHeight w:val="1229" w:hRule="atLeast"/>
        </w:trPr>
        <w:tc>
          <w:tcPr>
            <w:tcW w:w="1523" w:type="pct"/>
            <w:tcBorders>
              <w:top w:val="nil"/>
              <w:left w:val="single" w:color="auto" w:sz="4" w:space="0"/>
              <w:bottom w:val="single" w:color="auto" w:sz="4" w:space="0"/>
              <w:right w:val="single" w:color="auto" w:sz="4" w:space="0"/>
            </w:tcBorders>
            <w:vAlign w:val="center"/>
          </w:tcPr>
          <w:p w14:paraId="656FE506">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项目范围及项目要求</w:t>
            </w:r>
          </w:p>
        </w:tc>
        <w:tc>
          <w:tcPr>
            <w:tcW w:w="3477" w:type="pct"/>
            <w:tcBorders>
              <w:top w:val="nil"/>
              <w:left w:val="nil"/>
              <w:bottom w:val="single" w:color="auto" w:sz="4" w:space="0"/>
              <w:right w:val="single" w:color="auto" w:sz="4" w:space="0"/>
            </w:tcBorders>
            <w:vAlign w:val="center"/>
          </w:tcPr>
          <w:p w14:paraId="10B2009B">
            <w:pPr>
              <w:widowControl/>
              <w:snapToGrid w:val="0"/>
              <w:spacing w:line="360" w:lineRule="auto"/>
              <w:ind w:firstLine="420" w:firstLineChars="200"/>
              <w:rPr>
                <w:rFonts w:ascii="宋体" w:hAnsi="宋体" w:eastAsia="宋体" w:cs="宋体"/>
                <w:color w:val="auto"/>
                <w:szCs w:val="21"/>
              </w:rPr>
            </w:pPr>
          </w:p>
          <w:p w14:paraId="17CE0397">
            <w:pPr>
              <w:widowControl/>
              <w:snapToGrid w:val="0"/>
              <w:spacing w:line="360" w:lineRule="auto"/>
              <w:ind w:firstLine="420" w:firstLineChars="200"/>
              <w:rPr>
                <w:rFonts w:ascii="宋体" w:hAnsi="宋体" w:eastAsia="宋体" w:cs="宋体"/>
                <w:color w:val="auto"/>
                <w:szCs w:val="21"/>
              </w:rPr>
            </w:pPr>
          </w:p>
          <w:p w14:paraId="556C840E">
            <w:pPr>
              <w:widowControl/>
              <w:snapToGrid w:val="0"/>
              <w:spacing w:line="360" w:lineRule="auto"/>
              <w:ind w:firstLine="420" w:firstLineChars="200"/>
              <w:rPr>
                <w:rFonts w:ascii="宋体" w:hAnsi="宋体" w:eastAsia="宋体" w:cs="宋体"/>
                <w:color w:val="auto"/>
                <w:szCs w:val="21"/>
              </w:rPr>
            </w:pPr>
          </w:p>
          <w:p w14:paraId="3F1302E0">
            <w:pPr>
              <w:widowControl/>
              <w:snapToGrid w:val="0"/>
              <w:spacing w:line="360" w:lineRule="auto"/>
              <w:ind w:firstLine="420" w:firstLineChars="200"/>
              <w:rPr>
                <w:rFonts w:ascii="宋体" w:hAnsi="宋体" w:eastAsia="宋体" w:cs="宋体"/>
                <w:color w:val="auto"/>
                <w:szCs w:val="21"/>
              </w:rPr>
            </w:pPr>
          </w:p>
          <w:p w14:paraId="57621388">
            <w:pPr>
              <w:widowControl/>
              <w:snapToGrid w:val="0"/>
              <w:spacing w:line="360" w:lineRule="auto"/>
              <w:ind w:firstLine="420" w:firstLineChars="200"/>
              <w:rPr>
                <w:rFonts w:ascii="宋体" w:hAnsi="宋体" w:eastAsia="宋体" w:cs="宋体"/>
                <w:color w:val="auto"/>
                <w:szCs w:val="21"/>
              </w:rPr>
            </w:pPr>
          </w:p>
        </w:tc>
      </w:tr>
      <w:tr w14:paraId="5AA91F14">
        <w:tblPrEx>
          <w:tblCellMar>
            <w:top w:w="0" w:type="dxa"/>
            <w:left w:w="108" w:type="dxa"/>
            <w:bottom w:w="0" w:type="dxa"/>
            <w:right w:w="108" w:type="dxa"/>
          </w:tblCellMar>
        </w:tblPrEx>
        <w:trPr>
          <w:trHeight w:val="1110" w:hRule="atLeast"/>
        </w:trPr>
        <w:tc>
          <w:tcPr>
            <w:tcW w:w="1523" w:type="pct"/>
            <w:tcBorders>
              <w:top w:val="nil"/>
              <w:left w:val="single" w:color="auto" w:sz="4" w:space="0"/>
              <w:bottom w:val="single" w:color="auto" w:sz="4" w:space="0"/>
              <w:right w:val="single" w:color="auto" w:sz="4" w:space="0"/>
            </w:tcBorders>
            <w:vAlign w:val="center"/>
          </w:tcPr>
          <w:p w14:paraId="157CC1DD">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进场时间、工期及进度计划</w:t>
            </w:r>
          </w:p>
        </w:tc>
        <w:tc>
          <w:tcPr>
            <w:tcW w:w="3477" w:type="pct"/>
            <w:tcBorders>
              <w:top w:val="nil"/>
              <w:left w:val="nil"/>
              <w:bottom w:val="single" w:color="auto" w:sz="4" w:space="0"/>
              <w:right w:val="single" w:color="auto" w:sz="4" w:space="0"/>
            </w:tcBorders>
            <w:vAlign w:val="center"/>
          </w:tcPr>
          <w:p w14:paraId="6E25FDD2">
            <w:pPr>
              <w:widowControl/>
              <w:snapToGrid w:val="0"/>
              <w:spacing w:line="360" w:lineRule="auto"/>
              <w:rPr>
                <w:rFonts w:ascii="宋体" w:hAnsi="宋体" w:eastAsia="宋体" w:cs="宋体"/>
                <w:color w:val="auto"/>
                <w:szCs w:val="21"/>
              </w:rPr>
            </w:pPr>
            <w:r>
              <w:rPr>
                <w:rFonts w:hint="eastAsia" w:ascii="宋体" w:hAnsi="宋体" w:eastAsia="宋体" w:cs="宋体"/>
                <w:color w:val="auto"/>
                <w:szCs w:val="21"/>
              </w:rPr>
              <w:t>1.接任务通知后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小时内或</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天内实质性进场工作，完工工期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天。</w:t>
            </w:r>
          </w:p>
          <w:p w14:paraId="42874684">
            <w:pPr>
              <w:widowControl/>
              <w:snapToGrid w:val="0"/>
              <w:spacing w:line="360" w:lineRule="auto"/>
              <w:rPr>
                <w:rFonts w:ascii="宋体" w:hAnsi="宋体" w:eastAsia="宋体" w:cs="宋体"/>
                <w:color w:val="auto"/>
                <w:szCs w:val="21"/>
              </w:rPr>
            </w:pPr>
            <w:r>
              <w:rPr>
                <w:rFonts w:hint="eastAsia" w:ascii="宋体" w:hAnsi="宋体" w:eastAsia="宋体" w:cs="宋体"/>
                <w:color w:val="auto"/>
                <w:szCs w:val="21"/>
              </w:rPr>
              <w:t>2.需在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天内提交项目进度计划表，并经甲方同意后按照进度计划表按期完工。 </w:t>
            </w:r>
          </w:p>
        </w:tc>
      </w:tr>
      <w:tr w14:paraId="58F20BEE">
        <w:tblPrEx>
          <w:tblCellMar>
            <w:top w:w="0" w:type="dxa"/>
            <w:left w:w="108" w:type="dxa"/>
            <w:bottom w:w="0" w:type="dxa"/>
            <w:right w:w="108" w:type="dxa"/>
          </w:tblCellMar>
        </w:tblPrEx>
        <w:trPr>
          <w:trHeight w:val="804" w:hRule="atLeast"/>
        </w:trPr>
        <w:tc>
          <w:tcPr>
            <w:tcW w:w="1523" w:type="pct"/>
            <w:tcBorders>
              <w:top w:val="nil"/>
              <w:left w:val="single" w:color="auto" w:sz="4" w:space="0"/>
              <w:bottom w:val="single" w:color="auto" w:sz="4" w:space="0"/>
              <w:right w:val="single" w:color="auto" w:sz="4" w:space="0"/>
            </w:tcBorders>
            <w:vAlign w:val="center"/>
          </w:tcPr>
          <w:p w14:paraId="251A160A">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估算（或预算）价（下浮前，含增值税）</w:t>
            </w:r>
          </w:p>
        </w:tc>
        <w:tc>
          <w:tcPr>
            <w:tcW w:w="3477" w:type="pct"/>
            <w:tcBorders>
              <w:top w:val="nil"/>
              <w:left w:val="nil"/>
              <w:bottom w:val="single" w:color="auto" w:sz="4" w:space="0"/>
              <w:right w:val="single" w:color="auto" w:sz="4" w:space="0"/>
            </w:tcBorders>
            <w:vAlign w:val="center"/>
          </w:tcPr>
          <w:p w14:paraId="74CC33F4">
            <w:pPr>
              <w:widowControl/>
              <w:snapToGrid w:val="0"/>
              <w:spacing w:line="360" w:lineRule="auto"/>
              <w:rPr>
                <w:rFonts w:ascii="宋体" w:hAnsi="宋体" w:eastAsia="宋体" w:cs="宋体"/>
                <w:b/>
                <w:color w:val="auto"/>
                <w:szCs w:val="21"/>
              </w:rPr>
            </w:pP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元（大写人民币</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）其中税费</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元</w:t>
            </w:r>
          </w:p>
        </w:tc>
      </w:tr>
      <w:tr w14:paraId="702AA294">
        <w:tblPrEx>
          <w:tblCellMar>
            <w:top w:w="0" w:type="dxa"/>
            <w:left w:w="108" w:type="dxa"/>
            <w:bottom w:w="0" w:type="dxa"/>
            <w:right w:w="108" w:type="dxa"/>
          </w:tblCellMar>
        </w:tblPrEx>
        <w:trPr>
          <w:trHeight w:val="804" w:hRule="atLeast"/>
        </w:trPr>
        <w:tc>
          <w:tcPr>
            <w:tcW w:w="1523" w:type="pct"/>
            <w:tcBorders>
              <w:top w:val="nil"/>
              <w:left w:val="single" w:color="auto" w:sz="4" w:space="0"/>
              <w:bottom w:val="single" w:color="auto" w:sz="4" w:space="0"/>
              <w:right w:val="single" w:color="auto" w:sz="4" w:space="0"/>
            </w:tcBorders>
            <w:vAlign w:val="center"/>
          </w:tcPr>
          <w:p w14:paraId="58C07FB4">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下浮率</w:t>
            </w:r>
          </w:p>
        </w:tc>
        <w:tc>
          <w:tcPr>
            <w:tcW w:w="3477" w:type="pct"/>
            <w:tcBorders>
              <w:top w:val="nil"/>
              <w:left w:val="nil"/>
              <w:bottom w:val="single" w:color="auto" w:sz="4" w:space="0"/>
              <w:right w:val="single" w:color="auto" w:sz="4" w:space="0"/>
            </w:tcBorders>
            <w:vAlign w:val="center"/>
          </w:tcPr>
          <w:p w14:paraId="6BEFF8DA">
            <w:pPr>
              <w:widowControl/>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w:t>
            </w:r>
          </w:p>
        </w:tc>
      </w:tr>
      <w:tr w14:paraId="0E74CD8C">
        <w:tblPrEx>
          <w:tblCellMar>
            <w:top w:w="0" w:type="dxa"/>
            <w:left w:w="108" w:type="dxa"/>
            <w:bottom w:w="0" w:type="dxa"/>
            <w:right w:w="108" w:type="dxa"/>
          </w:tblCellMar>
        </w:tblPrEx>
        <w:trPr>
          <w:trHeight w:val="804" w:hRule="atLeast"/>
        </w:trPr>
        <w:tc>
          <w:tcPr>
            <w:tcW w:w="1523" w:type="pct"/>
            <w:tcBorders>
              <w:top w:val="nil"/>
              <w:left w:val="single" w:color="auto" w:sz="4" w:space="0"/>
              <w:bottom w:val="single" w:color="auto" w:sz="4" w:space="0"/>
              <w:right w:val="single" w:color="auto" w:sz="4" w:space="0"/>
            </w:tcBorders>
            <w:vAlign w:val="center"/>
          </w:tcPr>
          <w:p w14:paraId="2EABEA73">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乙方增值税专用发票的税率</w:t>
            </w:r>
          </w:p>
        </w:tc>
        <w:tc>
          <w:tcPr>
            <w:tcW w:w="3477" w:type="pct"/>
            <w:tcBorders>
              <w:top w:val="nil"/>
              <w:left w:val="nil"/>
              <w:bottom w:val="single" w:color="auto" w:sz="4" w:space="0"/>
              <w:right w:val="single" w:color="auto" w:sz="4" w:space="0"/>
            </w:tcBorders>
            <w:vAlign w:val="center"/>
          </w:tcPr>
          <w:p w14:paraId="144DF9CC">
            <w:pPr>
              <w:widowControl/>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w:t>
            </w:r>
          </w:p>
        </w:tc>
      </w:tr>
      <w:tr w14:paraId="1F67D598">
        <w:tblPrEx>
          <w:tblCellMar>
            <w:top w:w="0" w:type="dxa"/>
            <w:left w:w="108" w:type="dxa"/>
            <w:bottom w:w="0" w:type="dxa"/>
            <w:right w:w="108" w:type="dxa"/>
          </w:tblCellMar>
        </w:tblPrEx>
        <w:trPr>
          <w:trHeight w:val="804" w:hRule="atLeast"/>
        </w:trPr>
        <w:tc>
          <w:tcPr>
            <w:tcW w:w="1523" w:type="pct"/>
            <w:tcBorders>
              <w:top w:val="nil"/>
              <w:left w:val="single" w:color="auto" w:sz="4" w:space="0"/>
              <w:bottom w:val="single" w:color="auto" w:sz="4" w:space="0"/>
              <w:right w:val="single" w:color="auto" w:sz="4" w:space="0"/>
            </w:tcBorders>
            <w:vAlign w:val="center"/>
          </w:tcPr>
          <w:p w14:paraId="31FE1D72">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项目暂定价（下浮后，含增值税）</w:t>
            </w:r>
          </w:p>
        </w:tc>
        <w:tc>
          <w:tcPr>
            <w:tcW w:w="3477" w:type="pct"/>
            <w:tcBorders>
              <w:top w:val="nil"/>
              <w:left w:val="nil"/>
              <w:bottom w:val="single" w:color="auto" w:sz="4" w:space="0"/>
              <w:right w:val="single" w:color="auto" w:sz="4" w:space="0"/>
            </w:tcBorders>
            <w:vAlign w:val="center"/>
          </w:tcPr>
          <w:p w14:paraId="7CBC70FB">
            <w:pPr>
              <w:widowControl/>
              <w:snapToGrid w:val="0"/>
              <w:spacing w:line="360" w:lineRule="auto"/>
              <w:rPr>
                <w:rFonts w:ascii="宋体" w:hAnsi="宋体" w:eastAsia="宋体" w:cs="宋体"/>
                <w:bCs/>
                <w:color w:val="auto"/>
                <w:szCs w:val="21"/>
              </w:rPr>
            </w:pP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元（大写人民币</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w:t>
            </w:r>
          </w:p>
          <w:p w14:paraId="644753D4">
            <w:pPr>
              <w:widowControl/>
              <w:snapToGrid w:val="0"/>
              <w:spacing w:line="360" w:lineRule="auto"/>
              <w:rPr>
                <w:rFonts w:ascii="宋体" w:hAnsi="宋体" w:eastAsia="宋体" w:cs="宋体"/>
                <w:bCs/>
                <w:color w:val="auto"/>
                <w:szCs w:val="21"/>
                <w:u w:val="single"/>
              </w:rPr>
            </w:pPr>
            <w:r>
              <w:rPr>
                <w:rFonts w:hint="eastAsia" w:ascii="宋体" w:hAnsi="宋体" w:eastAsia="宋体" w:cs="宋体"/>
                <w:bCs/>
                <w:color w:val="auto"/>
                <w:szCs w:val="21"/>
              </w:rPr>
              <w:t>其中税费：</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元</w:t>
            </w:r>
          </w:p>
        </w:tc>
      </w:tr>
      <w:tr w14:paraId="4516A529">
        <w:tblPrEx>
          <w:tblCellMar>
            <w:top w:w="0" w:type="dxa"/>
            <w:left w:w="108" w:type="dxa"/>
            <w:bottom w:w="0" w:type="dxa"/>
            <w:right w:w="108" w:type="dxa"/>
          </w:tblCellMar>
        </w:tblPrEx>
        <w:trPr>
          <w:trHeight w:val="804" w:hRule="atLeast"/>
        </w:trPr>
        <w:tc>
          <w:tcPr>
            <w:tcW w:w="1523" w:type="pct"/>
            <w:tcBorders>
              <w:top w:val="nil"/>
              <w:left w:val="single" w:color="auto" w:sz="4" w:space="0"/>
              <w:bottom w:val="single" w:color="auto" w:sz="4" w:space="0"/>
              <w:right w:val="single" w:color="auto" w:sz="4" w:space="0"/>
            </w:tcBorders>
            <w:vAlign w:val="center"/>
          </w:tcPr>
          <w:p w14:paraId="6D79D912">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进度款条款</w:t>
            </w:r>
          </w:p>
        </w:tc>
        <w:tc>
          <w:tcPr>
            <w:tcW w:w="3477" w:type="pct"/>
            <w:tcBorders>
              <w:top w:val="nil"/>
              <w:left w:val="nil"/>
              <w:bottom w:val="single" w:color="auto" w:sz="4" w:space="0"/>
              <w:right w:val="single" w:color="auto" w:sz="4" w:space="0"/>
            </w:tcBorders>
            <w:vAlign w:val="center"/>
          </w:tcPr>
          <w:p w14:paraId="768971DC">
            <w:pPr>
              <w:tabs>
                <w:tab w:val="left" w:pos="-720"/>
              </w:tabs>
              <w:snapToGrid w:val="0"/>
              <w:spacing w:line="360" w:lineRule="auto"/>
              <w:rPr>
                <w:rFonts w:ascii="宋体" w:hAnsi="宋体" w:eastAsia="宋体" w:cs="宋体"/>
                <w:color w:val="auto"/>
                <w:szCs w:val="21"/>
              </w:rPr>
            </w:pPr>
            <w:r>
              <w:rPr>
                <w:rFonts w:hint="eastAsia" w:ascii="宋体" w:hAnsi="宋体" w:eastAsia="宋体" w:cs="宋体"/>
                <w:color w:val="auto"/>
                <w:szCs w:val="21"/>
              </w:rPr>
              <w:sym w:font="Times New Roman" w:char="0000"/>
            </w:r>
            <w:r>
              <w:rPr>
                <w:rFonts w:hint="eastAsia" w:ascii="宋体" w:hAnsi="宋体" w:eastAsia="宋体" w:cs="宋体"/>
                <w:color w:val="auto"/>
                <w:szCs w:val="21"/>
              </w:rPr>
              <w:t xml:space="preserve"> 1.不设进度款，结算完成后一次性付清。</w:t>
            </w:r>
          </w:p>
          <w:p w14:paraId="11E1FB89">
            <w:pPr>
              <w:tabs>
                <w:tab w:val="left" w:pos="-720"/>
              </w:tabs>
              <w:snapToGrid w:val="0"/>
              <w:spacing w:line="360" w:lineRule="auto"/>
              <w:rPr>
                <w:rFonts w:ascii="宋体" w:hAnsi="宋体" w:eastAsia="宋体" w:cs="宋体"/>
                <w:color w:val="auto"/>
                <w:szCs w:val="21"/>
              </w:rPr>
            </w:pPr>
            <w:r>
              <w:rPr>
                <w:rFonts w:hint="eastAsia" w:ascii="宋体" w:hAnsi="宋体" w:eastAsia="宋体" w:cs="宋体"/>
                <w:color w:val="auto"/>
                <w:szCs w:val="21"/>
              </w:rPr>
              <w:sym w:font="Times New Roman" w:char="0000"/>
            </w:r>
            <w:r>
              <w:rPr>
                <w:rFonts w:hint="eastAsia" w:ascii="宋体" w:hAnsi="宋体" w:eastAsia="宋体" w:cs="宋体"/>
                <w:color w:val="auto"/>
                <w:szCs w:val="21"/>
              </w:rPr>
              <w:t xml:space="preserve"> 2.项目通过验收合格后，根据已确认的工程量支付进度款，最高不超过单项报价表暂定价或任务通知单中暂定合同价的50%。</w:t>
            </w:r>
          </w:p>
          <w:p w14:paraId="257B7EED">
            <w:pPr>
              <w:tabs>
                <w:tab w:val="left" w:pos="-720"/>
              </w:tabs>
              <w:snapToGrid w:val="0"/>
              <w:spacing w:line="360" w:lineRule="auto"/>
              <w:rPr>
                <w:rFonts w:ascii="宋体" w:hAnsi="宋体" w:eastAsia="宋体" w:cs="宋体"/>
                <w:color w:val="auto"/>
                <w:szCs w:val="21"/>
              </w:rPr>
            </w:pPr>
            <w:r>
              <w:rPr>
                <w:rFonts w:hint="eastAsia" w:ascii="宋体" w:hAnsi="宋体" w:eastAsia="宋体" w:cs="宋体"/>
                <w:color w:val="auto"/>
                <w:szCs w:val="21"/>
              </w:rPr>
              <w:sym w:font="Times New Roman" w:char="0000"/>
            </w:r>
            <w:r>
              <w:rPr>
                <w:rFonts w:hint="eastAsia" w:ascii="宋体" w:hAnsi="宋体" w:eastAsia="宋体" w:cs="宋体"/>
                <w:color w:val="auto"/>
                <w:szCs w:val="21"/>
              </w:rPr>
              <w:t xml:space="preserve"> 3.每月根据已确认的工程量申请进度款，进度款累计最高不超过单项报价表暂定价或任务通知单中暂定合同价的50%。</w:t>
            </w:r>
          </w:p>
          <w:p w14:paraId="0DC120DE">
            <w:pPr>
              <w:pStyle w:val="18"/>
              <w:spacing w:line="360" w:lineRule="auto"/>
              <w:jc w:val="left"/>
              <w:rPr>
                <w:rFonts w:hAnsi="宋体" w:cs="宋体"/>
                <w:color w:val="auto"/>
                <w:sz w:val="21"/>
                <w:szCs w:val="21"/>
                <w:lang w:val="en-US"/>
              </w:rPr>
            </w:pPr>
            <w:r>
              <w:rPr>
                <w:rFonts w:hint="eastAsia" w:hAnsi="宋体" w:cs="宋体"/>
                <w:b w:val="0"/>
                <w:bCs w:val="0"/>
                <w:color w:val="auto"/>
                <w:sz w:val="21"/>
                <w:szCs w:val="21"/>
                <w:lang w:val="en-US"/>
              </w:rPr>
              <w:sym w:font="Times New Roman" w:char="0000"/>
            </w:r>
            <w:r>
              <w:rPr>
                <w:rFonts w:hint="eastAsia" w:hAnsi="宋体" w:cs="宋体"/>
                <w:b w:val="0"/>
                <w:bCs w:val="0"/>
                <w:color w:val="auto"/>
                <w:sz w:val="21"/>
                <w:szCs w:val="21"/>
                <w:lang w:val="en-US"/>
              </w:rPr>
              <w:t>4.暂定合同价按照估算（或预算）的增值税税率进行计算税费，结算时按乙方实际提供的增值税专用发票税率进行结算税费。</w:t>
            </w:r>
          </w:p>
        </w:tc>
      </w:tr>
      <w:tr w14:paraId="76B5B781">
        <w:tblPrEx>
          <w:tblCellMar>
            <w:top w:w="0" w:type="dxa"/>
            <w:left w:w="108" w:type="dxa"/>
            <w:bottom w:w="0" w:type="dxa"/>
            <w:right w:w="108" w:type="dxa"/>
          </w:tblCellMar>
        </w:tblPrEx>
        <w:trPr>
          <w:trHeight w:val="816" w:hRule="atLeast"/>
        </w:trPr>
        <w:tc>
          <w:tcPr>
            <w:tcW w:w="1523" w:type="pct"/>
            <w:tcBorders>
              <w:top w:val="nil"/>
              <w:left w:val="single" w:color="auto" w:sz="4" w:space="0"/>
              <w:bottom w:val="single" w:color="auto" w:sz="4" w:space="0"/>
              <w:right w:val="single" w:color="auto" w:sz="4" w:space="0"/>
            </w:tcBorders>
            <w:vAlign w:val="center"/>
          </w:tcPr>
          <w:p w14:paraId="10CAFECC">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甲方指定联系人及电话</w:t>
            </w:r>
          </w:p>
        </w:tc>
        <w:tc>
          <w:tcPr>
            <w:tcW w:w="3477" w:type="pct"/>
            <w:tcBorders>
              <w:top w:val="nil"/>
              <w:left w:val="nil"/>
              <w:bottom w:val="single" w:color="auto" w:sz="4" w:space="0"/>
              <w:right w:val="single" w:color="auto" w:sz="4" w:space="0"/>
            </w:tcBorders>
            <w:vAlign w:val="center"/>
          </w:tcPr>
          <w:p w14:paraId="569D96F9">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w:t>
            </w:r>
          </w:p>
        </w:tc>
      </w:tr>
      <w:tr w14:paraId="775F5E1D">
        <w:tblPrEx>
          <w:tblCellMar>
            <w:top w:w="0" w:type="dxa"/>
            <w:left w:w="108" w:type="dxa"/>
            <w:bottom w:w="0" w:type="dxa"/>
            <w:right w:w="108" w:type="dxa"/>
          </w:tblCellMar>
        </w:tblPrEx>
        <w:trPr>
          <w:trHeight w:val="845" w:hRule="atLeast"/>
        </w:trPr>
        <w:tc>
          <w:tcPr>
            <w:tcW w:w="1523" w:type="pct"/>
            <w:tcBorders>
              <w:top w:val="nil"/>
              <w:left w:val="single" w:color="auto" w:sz="4" w:space="0"/>
              <w:bottom w:val="single" w:color="auto" w:sz="4" w:space="0"/>
              <w:right w:val="single" w:color="auto" w:sz="4" w:space="0"/>
            </w:tcBorders>
            <w:vAlign w:val="center"/>
          </w:tcPr>
          <w:p w14:paraId="344DC307">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甲方现场工程师及电话</w:t>
            </w:r>
          </w:p>
        </w:tc>
        <w:tc>
          <w:tcPr>
            <w:tcW w:w="3477" w:type="pct"/>
            <w:tcBorders>
              <w:top w:val="nil"/>
              <w:left w:val="nil"/>
              <w:bottom w:val="single" w:color="auto" w:sz="4" w:space="0"/>
              <w:right w:val="single" w:color="auto" w:sz="4" w:space="0"/>
            </w:tcBorders>
            <w:vAlign w:val="center"/>
          </w:tcPr>
          <w:p w14:paraId="263FC46D">
            <w:pPr>
              <w:widowControl/>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w:t>
            </w:r>
          </w:p>
        </w:tc>
      </w:tr>
      <w:tr w14:paraId="22012A75">
        <w:tblPrEx>
          <w:tblCellMar>
            <w:top w:w="0" w:type="dxa"/>
            <w:left w:w="108" w:type="dxa"/>
            <w:bottom w:w="0" w:type="dxa"/>
            <w:right w:w="108" w:type="dxa"/>
          </w:tblCellMar>
        </w:tblPrEx>
        <w:trPr>
          <w:trHeight w:val="1026" w:hRule="atLeast"/>
        </w:trPr>
        <w:tc>
          <w:tcPr>
            <w:tcW w:w="1523" w:type="pct"/>
            <w:tcBorders>
              <w:top w:val="nil"/>
              <w:left w:val="single" w:color="auto" w:sz="4" w:space="0"/>
              <w:bottom w:val="single" w:color="auto" w:sz="4" w:space="0"/>
              <w:right w:val="single" w:color="auto" w:sz="4" w:space="0"/>
            </w:tcBorders>
            <w:vAlign w:val="center"/>
          </w:tcPr>
          <w:p w14:paraId="20AA7A8B">
            <w:pPr>
              <w:widowControl/>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其他说明</w:t>
            </w:r>
          </w:p>
        </w:tc>
        <w:tc>
          <w:tcPr>
            <w:tcW w:w="3477" w:type="pct"/>
            <w:tcBorders>
              <w:top w:val="nil"/>
              <w:left w:val="nil"/>
              <w:bottom w:val="single" w:color="auto" w:sz="4" w:space="0"/>
              <w:right w:val="single" w:color="auto" w:sz="4" w:space="0"/>
            </w:tcBorders>
            <w:vAlign w:val="center"/>
          </w:tcPr>
          <w:p w14:paraId="472BF1A6">
            <w:pPr>
              <w:widowControl/>
              <w:snapToGrid w:val="0"/>
              <w:spacing w:line="360" w:lineRule="auto"/>
              <w:ind w:firstLine="420" w:firstLineChars="200"/>
              <w:rPr>
                <w:rFonts w:ascii="宋体" w:hAnsi="宋体" w:eastAsia="宋体" w:cs="宋体"/>
                <w:color w:val="auto"/>
                <w:szCs w:val="21"/>
              </w:rPr>
            </w:pPr>
          </w:p>
          <w:p w14:paraId="7BE24E42">
            <w:pPr>
              <w:widowControl/>
              <w:snapToGrid w:val="0"/>
              <w:spacing w:line="360" w:lineRule="auto"/>
              <w:rPr>
                <w:rFonts w:ascii="宋体" w:hAnsi="宋体" w:eastAsia="宋体" w:cs="宋体"/>
                <w:color w:val="auto"/>
                <w:szCs w:val="21"/>
              </w:rPr>
            </w:pPr>
            <w:r>
              <w:rPr>
                <w:rFonts w:hint="eastAsia" w:ascii="宋体" w:hAnsi="宋体" w:eastAsia="宋体" w:cs="宋体"/>
                <w:color w:val="auto"/>
                <w:szCs w:val="21"/>
              </w:rPr>
              <w:t>（含验收标准、质保期等）</w:t>
            </w:r>
          </w:p>
          <w:p w14:paraId="33E13BD4">
            <w:pPr>
              <w:widowControl/>
              <w:snapToGrid w:val="0"/>
              <w:spacing w:line="360" w:lineRule="auto"/>
              <w:ind w:firstLine="420" w:firstLineChars="200"/>
              <w:rPr>
                <w:rFonts w:ascii="宋体" w:hAnsi="宋体" w:eastAsia="宋体" w:cs="宋体"/>
                <w:color w:val="auto"/>
                <w:szCs w:val="21"/>
              </w:rPr>
            </w:pPr>
          </w:p>
          <w:p w14:paraId="62C1059C">
            <w:pPr>
              <w:widowControl/>
              <w:snapToGrid w:val="0"/>
              <w:spacing w:line="360" w:lineRule="auto"/>
              <w:ind w:firstLine="420" w:firstLineChars="200"/>
              <w:rPr>
                <w:rFonts w:ascii="宋体" w:hAnsi="宋体" w:eastAsia="宋体" w:cs="宋体"/>
                <w:color w:val="auto"/>
                <w:szCs w:val="21"/>
              </w:rPr>
            </w:pPr>
          </w:p>
        </w:tc>
      </w:tr>
    </w:tbl>
    <w:p w14:paraId="21C69CDA">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说明：本确认协议书未尽事宜，双方按照《           合同》的约定执行。本确认协议书一式</w:t>
      </w:r>
      <w:r>
        <w:rPr>
          <w:rFonts w:hint="eastAsia" w:ascii="宋体" w:hAnsi="宋体" w:eastAsia="宋体" w:cs="宋体"/>
          <w:color w:val="auto"/>
          <w:szCs w:val="21"/>
          <w:u w:val="single"/>
        </w:rPr>
        <w:t>叁</w:t>
      </w:r>
      <w:r>
        <w:rPr>
          <w:rFonts w:hint="eastAsia" w:ascii="宋体" w:hAnsi="宋体" w:eastAsia="宋体" w:cs="宋体"/>
          <w:color w:val="auto"/>
          <w:szCs w:val="21"/>
        </w:rPr>
        <w:t>份，甲方执</w:t>
      </w:r>
      <w:r>
        <w:rPr>
          <w:rFonts w:hint="eastAsia" w:ascii="宋体" w:hAnsi="宋体" w:eastAsia="宋体" w:cs="宋体"/>
          <w:color w:val="auto"/>
          <w:szCs w:val="21"/>
          <w:u w:val="single"/>
        </w:rPr>
        <w:t>贰</w:t>
      </w:r>
      <w:r>
        <w:rPr>
          <w:rFonts w:hint="eastAsia" w:ascii="宋体" w:hAnsi="宋体" w:eastAsia="宋体" w:cs="宋体"/>
          <w:color w:val="auto"/>
          <w:szCs w:val="21"/>
        </w:rPr>
        <w:t>份，乙方执</w:t>
      </w:r>
      <w:r>
        <w:rPr>
          <w:rFonts w:hint="eastAsia" w:ascii="宋体" w:hAnsi="宋体" w:eastAsia="宋体" w:cs="宋体"/>
          <w:color w:val="auto"/>
          <w:szCs w:val="21"/>
          <w:u w:val="single"/>
        </w:rPr>
        <w:t>壹</w:t>
      </w:r>
      <w:r>
        <w:rPr>
          <w:rFonts w:hint="eastAsia" w:ascii="宋体" w:hAnsi="宋体" w:eastAsia="宋体" w:cs="宋体"/>
          <w:color w:val="auto"/>
          <w:szCs w:val="21"/>
        </w:rPr>
        <w:t>份，自双方签字盖章后生效。</w:t>
      </w:r>
    </w:p>
    <w:p w14:paraId="5B7C2292">
      <w:pPr>
        <w:snapToGrid w:val="0"/>
        <w:spacing w:line="360" w:lineRule="auto"/>
        <w:ind w:firstLine="420" w:firstLineChars="200"/>
        <w:jc w:val="center"/>
        <w:rPr>
          <w:rFonts w:ascii="宋体" w:hAnsi="宋体" w:eastAsia="宋体" w:cs="宋体"/>
          <w:color w:val="auto"/>
          <w:szCs w:val="21"/>
        </w:rPr>
      </w:pPr>
      <w:r>
        <w:rPr>
          <w:rFonts w:hint="eastAsia" w:ascii="宋体" w:hAnsi="宋体" w:eastAsia="宋体" w:cs="宋体"/>
          <w:color w:val="auto"/>
          <w:szCs w:val="21"/>
        </w:rPr>
        <w:t>（以下无正文）</w:t>
      </w:r>
    </w:p>
    <w:p w14:paraId="444730E7">
      <w:pPr>
        <w:wordWrap w:val="0"/>
        <w:snapToGrid w:val="0"/>
        <w:spacing w:line="360" w:lineRule="auto"/>
        <w:ind w:firstLine="420" w:firstLineChars="200"/>
        <w:jc w:val="right"/>
        <w:rPr>
          <w:rFonts w:ascii="宋体" w:hAnsi="宋体" w:eastAsia="宋体" w:cs="宋体"/>
          <w:color w:val="auto"/>
          <w:szCs w:val="21"/>
        </w:rPr>
      </w:pPr>
    </w:p>
    <w:p w14:paraId="7A2BDD0A">
      <w:pPr>
        <w:snapToGrid w:val="0"/>
        <w:spacing w:line="360" w:lineRule="auto"/>
        <w:ind w:firstLine="420" w:firstLineChars="200"/>
        <w:jc w:val="right"/>
        <w:rPr>
          <w:rFonts w:ascii="宋体" w:hAnsi="宋体" w:eastAsia="宋体" w:cs="宋体"/>
          <w:color w:val="auto"/>
          <w:szCs w:val="21"/>
        </w:rPr>
      </w:pPr>
    </w:p>
    <w:p w14:paraId="7FCBC1A3">
      <w:pPr>
        <w:wordWrap w:val="0"/>
        <w:snapToGrid w:val="0"/>
        <w:spacing w:line="360" w:lineRule="auto"/>
        <w:ind w:firstLine="420" w:firstLineChars="200"/>
        <w:jc w:val="right"/>
        <w:rPr>
          <w:rFonts w:ascii="宋体" w:hAnsi="宋体" w:eastAsia="宋体" w:cs="宋体"/>
          <w:color w:val="auto"/>
          <w:szCs w:val="21"/>
        </w:rPr>
      </w:pPr>
    </w:p>
    <w:p w14:paraId="46D097E7">
      <w:pPr>
        <w:wordWrap w:val="0"/>
        <w:snapToGrid w:val="0"/>
        <w:spacing w:line="360" w:lineRule="auto"/>
        <w:rPr>
          <w:rFonts w:ascii="宋体" w:hAnsi="宋体" w:eastAsia="宋体" w:cs="宋体"/>
          <w:color w:val="auto"/>
          <w:szCs w:val="21"/>
        </w:rPr>
      </w:pPr>
      <w:r>
        <w:rPr>
          <w:rFonts w:hint="eastAsia" w:ascii="宋体" w:hAnsi="宋体" w:eastAsia="宋体" w:cs="宋体"/>
          <w:color w:val="auto"/>
          <w:szCs w:val="21"/>
        </w:rPr>
        <w:t>甲方：                                   乙方：</w:t>
      </w:r>
    </w:p>
    <w:p w14:paraId="4B606557">
      <w:pPr>
        <w:wordWrap w:val="0"/>
        <w:snapToGrid w:val="0"/>
        <w:spacing w:line="360" w:lineRule="auto"/>
        <w:rPr>
          <w:rFonts w:ascii="宋体" w:hAnsi="宋体" w:eastAsia="宋体" w:cs="宋体"/>
          <w:color w:val="auto"/>
          <w:szCs w:val="21"/>
        </w:rPr>
      </w:pPr>
      <w:r>
        <w:rPr>
          <w:rFonts w:hint="eastAsia" w:ascii="宋体" w:hAnsi="宋体" w:eastAsia="宋体" w:cs="宋体"/>
          <w:color w:val="auto"/>
          <w:szCs w:val="21"/>
        </w:rPr>
        <w:t>法定代表人或授权代表：                   法定代表人或授权代表：</w:t>
      </w:r>
    </w:p>
    <w:p w14:paraId="4C1C8E13">
      <w:pPr>
        <w:wordWrap w:val="0"/>
        <w:snapToGrid w:val="0"/>
        <w:spacing w:line="360" w:lineRule="auto"/>
        <w:rPr>
          <w:rFonts w:ascii="宋体" w:hAnsi="宋体" w:eastAsia="宋体" w:cs="宋体"/>
          <w:color w:val="auto"/>
          <w:szCs w:val="21"/>
        </w:rPr>
      </w:pPr>
    </w:p>
    <w:p w14:paraId="7E835613">
      <w:pPr>
        <w:wordWrap w:val="0"/>
        <w:snapToGrid w:val="0"/>
        <w:spacing w:line="360" w:lineRule="auto"/>
        <w:rPr>
          <w:rFonts w:ascii="宋体" w:hAnsi="宋体" w:eastAsia="宋体" w:cs="宋体"/>
          <w:color w:val="auto"/>
          <w:szCs w:val="21"/>
        </w:rPr>
      </w:pPr>
    </w:p>
    <w:p w14:paraId="0F8A1BAE">
      <w:pPr>
        <w:wordWrap w:val="0"/>
        <w:snapToGrid w:val="0"/>
        <w:spacing w:line="360" w:lineRule="auto"/>
        <w:jc w:val="center"/>
        <w:rPr>
          <w:rFonts w:ascii="宋体" w:hAnsi="宋体" w:eastAsia="宋体" w:cs="宋体"/>
          <w:b/>
          <w:color w:val="auto"/>
          <w:szCs w:val="21"/>
        </w:rPr>
      </w:pPr>
      <w:r>
        <w:rPr>
          <w:rFonts w:hint="eastAsia" w:ascii="宋体" w:hAnsi="宋体" w:eastAsia="宋体" w:cs="宋体"/>
          <w:color w:val="auto"/>
          <w:szCs w:val="21"/>
        </w:rPr>
        <w:t>签订日期：    年    月    日</w:t>
      </w:r>
    </w:p>
    <w:p w14:paraId="35E40052">
      <w:pPr>
        <w:wordWrap w:val="0"/>
        <w:spacing w:line="360" w:lineRule="auto"/>
        <w:jc w:val="right"/>
        <w:rPr>
          <w:rFonts w:ascii="宋体" w:hAnsi="宋体" w:eastAsia="宋体" w:cs="宋体"/>
          <w:color w:val="auto"/>
          <w:szCs w:val="21"/>
        </w:rPr>
        <w:sectPr>
          <w:headerReference r:id="rId3" w:type="default"/>
          <w:footerReference r:id="rId4" w:type="default"/>
          <w:pgSz w:w="11906" w:h="16838"/>
          <w:pgMar w:top="1418" w:right="1418" w:bottom="1418" w:left="1418" w:header="720" w:footer="1004" w:gutter="0"/>
          <w:cols w:space="720" w:num="1"/>
          <w:docGrid w:linePitch="326" w:charSpace="0"/>
        </w:sectPr>
      </w:pPr>
      <w:r>
        <w:rPr>
          <w:rFonts w:hint="eastAsia" w:ascii="宋体" w:hAnsi="宋体" w:eastAsia="宋体" w:cs="宋体"/>
          <w:color w:val="auto"/>
          <w:szCs w:val="21"/>
        </w:rPr>
        <w:t xml:space="preserve"> </w:t>
      </w:r>
    </w:p>
    <w:p w14:paraId="4F22F9F8">
      <w:pPr>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附件</w:t>
      </w:r>
      <w:r>
        <w:rPr>
          <w:rFonts w:hint="eastAsia" w:ascii="宋体" w:hAnsi="宋体" w:eastAsia="宋体" w:cs="宋体"/>
          <w:b/>
          <w:color w:val="auto"/>
          <w:szCs w:val="21"/>
        </w:rPr>
        <w:t>4</w:t>
      </w:r>
      <w:r>
        <w:rPr>
          <w:rFonts w:hint="eastAsia" w:ascii="宋体" w:hAnsi="宋体" w:eastAsia="宋体" w:cs="宋体"/>
          <w:b/>
          <w:color w:val="auto"/>
          <w:szCs w:val="21"/>
          <w:lang w:val="zh-CN"/>
        </w:rPr>
        <w:t>：整改通知书</w:t>
      </w:r>
    </w:p>
    <w:p w14:paraId="0BDC8513">
      <w:pPr>
        <w:spacing w:line="480" w:lineRule="exact"/>
        <w:jc w:val="center"/>
        <w:rPr>
          <w:rFonts w:ascii="宋体" w:hAnsi="宋体" w:eastAsia="宋体" w:cs="宋体"/>
          <w:b/>
          <w:color w:val="auto"/>
          <w:szCs w:val="21"/>
        </w:rPr>
      </w:pPr>
    </w:p>
    <w:p w14:paraId="25E9E58C">
      <w:pPr>
        <w:spacing w:line="480" w:lineRule="exact"/>
        <w:jc w:val="center"/>
        <w:rPr>
          <w:rFonts w:ascii="宋体" w:hAnsi="宋体" w:eastAsia="宋体" w:cs="宋体"/>
          <w:b/>
          <w:color w:val="auto"/>
          <w:szCs w:val="21"/>
        </w:rPr>
      </w:pPr>
      <w:r>
        <w:rPr>
          <w:rFonts w:hint="eastAsia" w:ascii="宋体" w:hAnsi="宋体" w:eastAsia="宋体" w:cs="宋体"/>
          <w:b/>
          <w:color w:val="auto"/>
          <w:szCs w:val="21"/>
        </w:rPr>
        <w:t>东莞市水务集团管网有限公司</w:t>
      </w:r>
    </w:p>
    <w:p w14:paraId="1917F5D1">
      <w:pPr>
        <w:spacing w:line="480" w:lineRule="exact"/>
        <w:jc w:val="center"/>
        <w:rPr>
          <w:rFonts w:ascii="宋体" w:hAnsi="宋体" w:eastAsia="宋体" w:cs="宋体"/>
          <w:b/>
          <w:color w:val="auto"/>
          <w:szCs w:val="21"/>
        </w:rPr>
      </w:pPr>
      <w:r>
        <w:rPr>
          <w:rFonts w:hint="eastAsia" w:ascii="宋体" w:hAnsi="宋体" w:eastAsia="宋体" w:cs="宋体"/>
          <w:b/>
          <w:color w:val="auto"/>
          <w:szCs w:val="21"/>
        </w:rPr>
        <w:t>机电设备委外维修项目整改书</w:t>
      </w:r>
    </w:p>
    <w:p w14:paraId="473E111E">
      <w:pPr>
        <w:spacing w:line="480" w:lineRule="exact"/>
        <w:jc w:val="right"/>
        <w:rPr>
          <w:rFonts w:ascii="宋体" w:hAnsi="宋体" w:eastAsia="宋体" w:cs="宋体"/>
          <w:color w:val="auto"/>
          <w:szCs w:val="21"/>
        </w:rPr>
      </w:pPr>
      <w:r>
        <w:rPr>
          <w:rFonts w:hint="eastAsia" w:ascii="宋体" w:hAnsi="宋体" w:eastAsia="宋体" w:cs="宋体"/>
          <w:color w:val="auto"/>
          <w:szCs w:val="21"/>
        </w:rPr>
        <w:t>编号：管网公司整改[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]号</w:t>
      </w:r>
    </w:p>
    <w:p w14:paraId="33237C99">
      <w:pPr>
        <w:spacing w:line="480" w:lineRule="exact"/>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36FC51B">
      <w:pPr>
        <w:snapToGrid w:val="0"/>
        <w:spacing w:line="600" w:lineRule="atLeas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根据《定点合同》《东莞市水务集团管网有限公司机电设备委外维修供应商库管理办法（试行）》以及《用户需求书》等文件的相关规定，贵公司承接负责的</w:t>
      </w:r>
      <w:r>
        <w:rPr>
          <w:rFonts w:hint="eastAsia" w:ascii="宋体" w:hAnsi="宋体" w:eastAsia="宋体" w:cs="宋体"/>
          <w:color w:val="auto"/>
          <w:szCs w:val="21"/>
          <w:u w:val="single"/>
        </w:rPr>
        <w:t xml:space="preserve">                                       机电维修</w:t>
      </w:r>
      <w:r>
        <w:rPr>
          <w:rFonts w:hint="eastAsia" w:ascii="宋体" w:hAnsi="宋体" w:eastAsia="宋体" w:cs="宋体"/>
          <w:color w:val="auto"/>
          <w:szCs w:val="21"/>
        </w:rPr>
        <w:t>服务项目存在下列问题，现决定对该项目实施（停工/委派其他服务单位）。</w:t>
      </w:r>
    </w:p>
    <w:p w14:paraId="21E9A09C">
      <w:pPr>
        <w:numPr>
          <w:ilvl w:val="0"/>
          <w:numId w:val="9"/>
        </w:numPr>
        <w:spacing w:after="120"/>
        <w:ind w:firstLine="211" w:firstLineChars="100"/>
        <w:rPr>
          <w:rFonts w:ascii="宋体" w:hAnsi="宋体" w:eastAsia="宋体" w:cs="宋体"/>
          <w:b/>
          <w:bCs/>
          <w:color w:val="auto"/>
          <w:szCs w:val="21"/>
        </w:rPr>
      </w:pP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w:t>
      </w:r>
    </w:p>
    <w:p w14:paraId="1AC347A2">
      <w:pPr>
        <w:numPr>
          <w:ilvl w:val="0"/>
          <w:numId w:val="9"/>
        </w:numPr>
        <w:spacing w:after="120"/>
        <w:ind w:firstLine="211" w:firstLineChars="100"/>
        <w:rPr>
          <w:rFonts w:ascii="宋体" w:hAnsi="宋体" w:eastAsia="宋体" w:cs="宋体"/>
          <w:b/>
          <w:bCs/>
          <w:color w:val="auto"/>
          <w:szCs w:val="21"/>
        </w:rPr>
      </w:pP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w:t>
      </w:r>
    </w:p>
    <w:p w14:paraId="509FC5DA">
      <w:pPr>
        <w:numPr>
          <w:ilvl w:val="0"/>
          <w:numId w:val="9"/>
        </w:numPr>
        <w:spacing w:after="120"/>
        <w:ind w:firstLine="211" w:firstLineChars="100"/>
        <w:rPr>
          <w:rFonts w:ascii="宋体" w:hAnsi="宋体" w:eastAsia="宋体" w:cs="宋体"/>
          <w:b/>
          <w:bCs/>
          <w:color w:val="auto"/>
          <w:szCs w:val="21"/>
        </w:rPr>
      </w:pP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w:t>
      </w:r>
    </w:p>
    <w:p w14:paraId="1C761849">
      <w:pPr>
        <w:spacing w:after="120"/>
        <w:rPr>
          <w:rFonts w:ascii="宋体" w:hAnsi="宋体" w:eastAsia="宋体" w:cs="宋体"/>
          <w:b/>
          <w:bCs/>
          <w:color w:val="auto"/>
          <w:szCs w:val="21"/>
        </w:rPr>
      </w:pPr>
      <w:r>
        <w:rPr>
          <w:rFonts w:hint="eastAsia" w:ascii="宋体" w:hAnsi="宋体" w:eastAsia="宋体" w:cs="宋体"/>
          <w:b/>
          <w:bCs/>
          <w:color w:val="auto"/>
          <w:szCs w:val="21"/>
        </w:rPr>
        <w:t xml:space="preserve">    请贵司讲上述问题于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天内完成整改，并将相关整改情况报我部门审核通过后再行复工。</w:t>
      </w:r>
    </w:p>
    <w:p w14:paraId="798E650F">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敬请签收，多谢合作！</w:t>
      </w:r>
    </w:p>
    <w:p w14:paraId="66C7E7A8">
      <w:pPr>
        <w:spacing w:line="480" w:lineRule="exact"/>
        <w:ind w:firstLine="3360" w:firstLineChars="1600"/>
        <w:jc w:val="center"/>
        <w:rPr>
          <w:rFonts w:ascii="宋体" w:hAnsi="宋体" w:eastAsia="宋体" w:cs="宋体"/>
          <w:color w:val="auto"/>
          <w:szCs w:val="21"/>
          <w:u w:val="single"/>
        </w:rPr>
      </w:pPr>
      <w:r>
        <w:rPr>
          <w:rFonts w:hint="eastAsia" w:ascii="宋体" w:hAnsi="宋体" w:eastAsia="宋体" w:cs="宋体"/>
          <w:color w:val="auto"/>
          <w:szCs w:val="21"/>
          <w:u w:val="single"/>
        </w:rPr>
        <w:t xml:space="preserve">           （派单主体）</w:t>
      </w:r>
    </w:p>
    <w:p w14:paraId="1E0F17F0">
      <w:pPr>
        <w:wordWrap w:val="0"/>
        <w:spacing w:line="480" w:lineRule="exact"/>
        <w:ind w:firstLine="420" w:firstLineChars="200"/>
        <w:jc w:val="center"/>
        <w:rPr>
          <w:rFonts w:ascii="宋体" w:hAnsi="宋体" w:eastAsia="宋体" w:cs="宋体"/>
          <w:color w:val="auto"/>
          <w:szCs w:val="21"/>
        </w:rPr>
      </w:pPr>
      <w:r>
        <w:rPr>
          <w:rFonts w:hint="eastAsia" w:ascii="宋体" w:hAnsi="宋体" w:eastAsia="宋体" w:cs="宋体"/>
          <w:color w:val="auto"/>
          <w:szCs w:val="21"/>
        </w:rPr>
        <w:t xml:space="preserve">                    填发日期：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441607FC">
      <w:pPr>
        <w:spacing w:line="480" w:lineRule="exact"/>
        <w:jc w:val="center"/>
        <w:rPr>
          <w:rFonts w:ascii="宋体" w:hAnsi="宋体" w:eastAsia="宋体" w:cs="宋体"/>
          <w:color w:val="auto"/>
          <w:szCs w:val="21"/>
        </w:rPr>
      </w:pPr>
    </w:p>
    <w:p w14:paraId="1C3D386C">
      <w:pPr>
        <w:spacing w:line="480" w:lineRule="exact"/>
        <w:jc w:val="center"/>
        <w:rPr>
          <w:rFonts w:ascii="宋体" w:hAnsi="宋体" w:eastAsia="宋体" w:cs="宋体"/>
          <w:color w:val="auto"/>
          <w:szCs w:val="21"/>
        </w:rPr>
      </w:pPr>
    </w:p>
    <w:p w14:paraId="73AA53F5">
      <w:pPr>
        <w:spacing w:line="480" w:lineRule="exact"/>
        <w:jc w:val="center"/>
        <w:rPr>
          <w:rFonts w:ascii="宋体" w:hAnsi="宋体" w:eastAsia="宋体" w:cs="宋体"/>
          <w:color w:val="auto"/>
          <w:szCs w:val="21"/>
        </w:rPr>
      </w:pPr>
    </w:p>
    <w:p w14:paraId="6863DE34">
      <w:pPr>
        <w:spacing w:line="480" w:lineRule="exact"/>
        <w:jc w:val="center"/>
        <w:rPr>
          <w:rFonts w:ascii="宋体" w:hAnsi="宋体" w:eastAsia="宋体" w:cs="宋体"/>
          <w:color w:val="auto"/>
          <w:szCs w:val="21"/>
        </w:rPr>
      </w:pPr>
    </w:p>
    <w:p w14:paraId="5A506900">
      <w:pPr>
        <w:spacing w:line="480" w:lineRule="exact"/>
        <w:jc w:val="center"/>
        <w:rPr>
          <w:rFonts w:ascii="宋体" w:hAnsi="宋体" w:eastAsia="宋体" w:cs="宋体"/>
          <w:color w:val="auto"/>
          <w:szCs w:val="21"/>
        </w:rPr>
      </w:pPr>
    </w:p>
    <w:p w14:paraId="59D9055B">
      <w:pPr>
        <w:spacing w:line="480" w:lineRule="exact"/>
        <w:jc w:val="center"/>
        <w:rPr>
          <w:rFonts w:ascii="宋体" w:hAnsi="宋体" w:eastAsia="宋体" w:cs="宋体"/>
          <w:color w:val="auto"/>
          <w:szCs w:val="21"/>
        </w:rPr>
      </w:pPr>
    </w:p>
    <w:p w14:paraId="75AF6486">
      <w:pPr>
        <w:spacing w:line="480" w:lineRule="exact"/>
        <w:jc w:val="center"/>
        <w:rPr>
          <w:rFonts w:ascii="宋体" w:hAnsi="宋体" w:eastAsia="宋体" w:cs="宋体"/>
          <w:color w:val="auto"/>
          <w:szCs w:val="21"/>
        </w:rPr>
      </w:pPr>
    </w:p>
    <w:p w14:paraId="64B05B2B">
      <w:pPr>
        <w:spacing w:line="480" w:lineRule="exact"/>
        <w:jc w:val="center"/>
        <w:rPr>
          <w:rFonts w:ascii="宋体" w:hAnsi="宋体" w:eastAsia="宋体" w:cs="宋体"/>
          <w:color w:val="auto"/>
          <w:szCs w:val="21"/>
        </w:rPr>
      </w:pPr>
    </w:p>
    <w:p w14:paraId="5CA66F70">
      <w:pPr>
        <w:spacing w:line="480" w:lineRule="exact"/>
        <w:jc w:val="center"/>
        <w:rPr>
          <w:rFonts w:ascii="宋体" w:hAnsi="宋体" w:eastAsia="宋体" w:cs="宋体"/>
          <w:color w:val="auto"/>
          <w:szCs w:val="21"/>
        </w:rPr>
      </w:pPr>
    </w:p>
    <w:p w14:paraId="780E0E53">
      <w:pPr>
        <w:pStyle w:val="18"/>
        <w:rPr>
          <w:rFonts w:hAnsi="宋体" w:cs="宋体"/>
          <w:color w:val="auto"/>
          <w:sz w:val="21"/>
          <w:szCs w:val="21"/>
          <w:lang w:val="en-US"/>
        </w:rPr>
      </w:pPr>
    </w:p>
    <w:p w14:paraId="4E4882E8">
      <w:pPr>
        <w:spacing w:line="480" w:lineRule="exact"/>
        <w:jc w:val="center"/>
        <w:rPr>
          <w:rFonts w:ascii="宋体" w:hAnsi="宋体" w:eastAsia="宋体" w:cs="宋体"/>
          <w:color w:val="auto"/>
          <w:szCs w:val="21"/>
        </w:rPr>
      </w:pPr>
    </w:p>
    <w:p w14:paraId="4ED2E8C1">
      <w:pPr>
        <w:spacing w:line="480" w:lineRule="exact"/>
        <w:jc w:val="center"/>
        <w:rPr>
          <w:rFonts w:ascii="宋体" w:hAnsi="宋体" w:eastAsia="宋体" w:cs="宋体"/>
          <w:color w:val="auto"/>
          <w:szCs w:val="21"/>
        </w:rPr>
      </w:pPr>
    </w:p>
    <w:p w14:paraId="0C38123A">
      <w:pPr>
        <w:spacing w:line="480" w:lineRule="exact"/>
        <w:jc w:val="center"/>
        <w:rPr>
          <w:rFonts w:ascii="宋体" w:hAnsi="宋体" w:eastAsia="宋体" w:cs="宋体"/>
          <w:color w:val="auto"/>
          <w:szCs w:val="21"/>
        </w:rPr>
      </w:pPr>
    </w:p>
    <w:p w14:paraId="5E1FF3F0">
      <w:pPr>
        <w:spacing w:line="480" w:lineRule="exact"/>
        <w:jc w:val="center"/>
        <w:rPr>
          <w:rFonts w:ascii="宋体" w:hAnsi="宋体" w:eastAsia="宋体" w:cs="宋体"/>
          <w:b/>
          <w:color w:val="auto"/>
          <w:szCs w:val="21"/>
        </w:rPr>
      </w:pPr>
      <w:r>
        <w:rPr>
          <w:rFonts w:hint="eastAsia" w:ascii="宋体" w:hAnsi="宋体" w:eastAsia="宋体" w:cs="宋体"/>
          <w:b/>
          <w:color w:val="auto"/>
          <w:szCs w:val="21"/>
        </w:rPr>
        <w:t>回  执</w:t>
      </w:r>
    </w:p>
    <w:p w14:paraId="0ADE3939">
      <w:pPr>
        <w:spacing w:line="480" w:lineRule="exact"/>
        <w:jc w:val="center"/>
        <w:rPr>
          <w:rFonts w:ascii="宋体" w:hAnsi="宋体" w:eastAsia="宋体" w:cs="宋体"/>
          <w:color w:val="auto"/>
          <w:szCs w:val="21"/>
        </w:rPr>
      </w:pPr>
    </w:p>
    <w:p w14:paraId="0A45FCED">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兹收到东莞市水务集团管网有限公司《东莞市水务集团管网有限公司</w:t>
      </w:r>
    </w:p>
    <w:p w14:paraId="3A04D2EF">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机电设备委外维修项目整改书》（编号：管网公司整改[    ]号）；我公司承诺将按期完成整改。</w:t>
      </w:r>
    </w:p>
    <w:p w14:paraId="661CF58F">
      <w:pPr>
        <w:spacing w:line="480" w:lineRule="exact"/>
        <w:ind w:firstLine="420" w:firstLineChars="200"/>
        <w:rPr>
          <w:rFonts w:ascii="宋体" w:hAnsi="宋体" w:eastAsia="宋体" w:cs="宋体"/>
          <w:color w:val="auto"/>
          <w:szCs w:val="21"/>
        </w:rPr>
      </w:pPr>
    </w:p>
    <w:p w14:paraId="00056DE2">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6B551F09">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服务单位：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B94955B">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作业地点：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E3299DA">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作业日期：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06451937">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签 收 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3E4FE5E">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2FF1625">
      <w:pPr>
        <w:spacing w:line="480" w:lineRule="exact"/>
        <w:ind w:firstLine="420" w:firstLineChars="200"/>
        <w:rPr>
          <w:rFonts w:ascii="宋体" w:hAnsi="宋体" w:eastAsia="宋体" w:cs="宋体"/>
          <w:color w:val="auto"/>
          <w:szCs w:val="21"/>
        </w:rPr>
      </w:pPr>
      <w:r>
        <w:rPr>
          <w:rFonts w:hint="eastAsia" w:ascii="宋体" w:hAnsi="宋体" w:eastAsia="宋体" w:cs="宋体"/>
          <w:color w:val="auto"/>
          <w:szCs w:val="21"/>
        </w:rPr>
        <w:t>签收日期：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2F01538C">
      <w:pPr>
        <w:rPr>
          <w:rFonts w:ascii="宋体" w:hAnsi="宋体" w:eastAsia="宋体" w:cs="宋体"/>
          <w:b/>
          <w:color w:val="auto"/>
          <w:szCs w:val="21"/>
          <w:lang w:val="zh-CN"/>
        </w:rPr>
      </w:pPr>
    </w:p>
    <w:p w14:paraId="60EEEDFC">
      <w:pPr>
        <w:pStyle w:val="18"/>
        <w:rPr>
          <w:rFonts w:hAnsi="宋体" w:cs="宋体"/>
          <w:color w:val="auto"/>
          <w:sz w:val="21"/>
          <w:szCs w:val="21"/>
        </w:rPr>
      </w:pPr>
    </w:p>
    <w:p w14:paraId="492CCB5E">
      <w:pPr>
        <w:pStyle w:val="19"/>
        <w:ind w:firstLine="211"/>
        <w:rPr>
          <w:rFonts w:ascii="宋体" w:hAnsi="宋体" w:eastAsia="宋体" w:cs="宋体"/>
          <w:b/>
          <w:color w:val="auto"/>
          <w:kern w:val="0"/>
          <w:szCs w:val="21"/>
        </w:rPr>
      </w:pPr>
    </w:p>
    <w:p w14:paraId="5682A16D">
      <w:pPr>
        <w:pStyle w:val="19"/>
        <w:ind w:firstLine="211"/>
        <w:rPr>
          <w:rFonts w:ascii="宋体" w:hAnsi="宋体" w:eastAsia="宋体" w:cs="宋体"/>
          <w:b/>
          <w:color w:val="auto"/>
          <w:kern w:val="0"/>
          <w:szCs w:val="21"/>
        </w:rPr>
      </w:pPr>
    </w:p>
    <w:p w14:paraId="6C77A8FD">
      <w:pPr>
        <w:pStyle w:val="19"/>
        <w:ind w:firstLine="211"/>
        <w:rPr>
          <w:rFonts w:ascii="宋体" w:hAnsi="宋体" w:eastAsia="宋体" w:cs="宋体"/>
          <w:b/>
          <w:color w:val="auto"/>
          <w:kern w:val="0"/>
          <w:szCs w:val="21"/>
        </w:rPr>
      </w:pPr>
    </w:p>
    <w:p w14:paraId="459ADC4F">
      <w:pPr>
        <w:pStyle w:val="19"/>
        <w:ind w:firstLine="211"/>
        <w:rPr>
          <w:rFonts w:ascii="宋体" w:hAnsi="宋体" w:eastAsia="宋体" w:cs="宋体"/>
          <w:b/>
          <w:color w:val="auto"/>
          <w:kern w:val="0"/>
          <w:szCs w:val="21"/>
        </w:rPr>
      </w:pPr>
    </w:p>
    <w:p w14:paraId="610299D7">
      <w:pPr>
        <w:pStyle w:val="19"/>
        <w:ind w:firstLine="211"/>
        <w:rPr>
          <w:rFonts w:ascii="宋体" w:hAnsi="宋体" w:eastAsia="宋体" w:cs="宋体"/>
          <w:b/>
          <w:color w:val="auto"/>
          <w:kern w:val="0"/>
          <w:szCs w:val="21"/>
        </w:rPr>
      </w:pPr>
    </w:p>
    <w:p w14:paraId="3BD4B076">
      <w:pPr>
        <w:pStyle w:val="19"/>
        <w:ind w:firstLine="211"/>
        <w:rPr>
          <w:rFonts w:ascii="宋体" w:hAnsi="宋体" w:eastAsia="宋体" w:cs="宋体"/>
          <w:b/>
          <w:color w:val="auto"/>
          <w:kern w:val="0"/>
          <w:szCs w:val="21"/>
        </w:rPr>
      </w:pPr>
    </w:p>
    <w:p w14:paraId="69827329">
      <w:pPr>
        <w:pStyle w:val="19"/>
        <w:ind w:firstLine="211"/>
        <w:rPr>
          <w:rFonts w:ascii="宋体" w:hAnsi="宋体" w:eastAsia="宋体" w:cs="宋体"/>
          <w:b/>
          <w:color w:val="auto"/>
          <w:kern w:val="0"/>
          <w:szCs w:val="21"/>
        </w:rPr>
      </w:pPr>
    </w:p>
    <w:p w14:paraId="4C88D2FF">
      <w:pPr>
        <w:pStyle w:val="19"/>
        <w:ind w:firstLine="211"/>
        <w:rPr>
          <w:rFonts w:ascii="宋体" w:hAnsi="宋体" w:eastAsia="宋体" w:cs="宋体"/>
          <w:b/>
          <w:color w:val="auto"/>
          <w:kern w:val="0"/>
          <w:szCs w:val="21"/>
        </w:rPr>
      </w:pPr>
    </w:p>
    <w:p w14:paraId="38135814">
      <w:pPr>
        <w:pStyle w:val="19"/>
        <w:ind w:firstLine="211"/>
        <w:rPr>
          <w:rFonts w:ascii="宋体" w:hAnsi="宋体" w:eastAsia="宋体" w:cs="宋体"/>
          <w:b/>
          <w:color w:val="auto"/>
          <w:kern w:val="0"/>
          <w:szCs w:val="21"/>
        </w:rPr>
      </w:pPr>
    </w:p>
    <w:p w14:paraId="5926D021">
      <w:pPr>
        <w:pStyle w:val="19"/>
        <w:ind w:firstLine="211"/>
        <w:rPr>
          <w:rFonts w:ascii="宋体" w:hAnsi="宋体" w:eastAsia="宋体" w:cs="宋体"/>
          <w:b/>
          <w:color w:val="auto"/>
          <w:kern w:val="0"/>
          <w:szCs w:val="21"/>
        </w:rPr>
      </w:pPr>
    </w:p>
    <w:p w14:paraId="410B6C29">
      <w:pPr>
        <w:pStyle w:val="19"/>
        <w:ind w:firstLine="211"/>
        <w:rPr>
          <w:rFonts w:ascii="宋体" w:hAnsi="宋体" w:eastAsia="宋体" w:cs="宋体"/>
          <w:b/>
          <w:color w:val="auto"/>
          <w:kern w:val="0"/>
          <w:szCs w:val="21"/>
        </w:rPr>
      </w:pPr>
    </w:p>
    <w:p w14:paraId="6E41497E">
      <w:pPr>
        <w:pStyle w:val="19"/>
        <w:ind w:firstLine="211"/>
        <w:rPr>
          <w:rFonts w:ascii="宋体" w:hAnsi="宋体" w:eastAsia="宋体" w:cs="宋体"/>
          <w:b/>
          <w:color w:val="auto"/>
          <w:kern w:val="0"/>
          <w:szCs w:val="21"/>
        </w:rPr>
      </w:pPr>
    </w:p>
    <w:p w14:paraId="59AD567E">
      <w:pPr>
        <w:pStyle w:val="19"/>
        <w:ind w:firstLine="211"/>
        <w:rPr>
          <w:rFonts w:ascii="宋体" w:hAnsi="宋体" w:eastAsia="宋体" w:cs="宋体"/>
          <w:b/>
          <w:color w:val="auto"/>
          <w:kern w:val="0"/>
          <w:szCs w:val="21"/>
        </w:rPr>
      </w:pPr>
    </w:p>
    <w:p w14:paraId="69DBF304">
      <w:pPr>
        <w:pStyle w:val="19"/>
        <w:ind w:firstLine="211"/>
        <w:rPr>
          <w:rFonts w:ascii="宋体" w:hAnsi="宋体" w:eastAsia="宋体" w:cs="宋体"/>
          <w:b/>
          <w:color w:val="auto"/>
          <w:kern w:val="0"/>
          <w:szCs w:val="21"/>
        </w:rPr>
      </w:pPr>
    </w:p>
    <w:p w14:paraId="3606D917">
      <w:pPr>
        <w:pStyle w:val="19"/>
        <w:ind w:firstLine="211"/>
        <w:rPr>
          <w:rFonts w:ascii="宋体" w:hAnsi="宋体" w:eastAsia="宋体" w:cs="宋体"/>
          <w:b/>
          <w:color w:val="auto"/>
          <w:kern w:val="0"/>
          <w:szCs w:val="21"/>
        </w:rPr>
      </w:pPr>
    </w:p>
    <w:p w14:paraId="3FC30BC4">
      <w:pPr>
        <w:pStyle w:val="19"/>
        <w:ind w:firstLine="211"/>
        <w:rPr>
          <w:rFonts w:ascii="宋体" w:hAnsi="宋体" w:eastAsia="宋体" w:cs="宋体"/>
          <w:b/>
          <w:color w:val="auto"/>
          <w:kern w:val="0"/>
          <w:szCs w:val="21"/>
        </w:rPr>
      </w:pPr>
    </w:p>
    <w:p w14:paraId="38A731D3">
      <w:pPr>
        <w:spacing w:line="360" w:lineRule="auto"/>
        <w:rPr>
          <w:rFonts w:ascii="宋体" w:hAnsi="宋体" w:eastAsia="宋体" w:cs="宋体"/>
          <w:b/>
          <w:color w:val="auto"/>
          <w:szCs w:val="21"/>
          <w:lang w:val="zh-CN"/>
        </w:rPr>
      </w:pPr>
    </w:p>
    <w:p w14:paraId="012F3A68">
      <w:pPr>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附件</w:t>
      </w:r>
      <w:r>
        <w:rPr>
          <w:rFonts w:hint="eastAsia" w:ascii="宋体" w:hAnsi="宋体" w:eastAsia="宋体" w:cs="宋体"/>
          <w:b/>
          <w:color w:val="auto"/>
          <w:szCs w:val="21"/>
        </w:rPr>
        <w:t>5</w:t>
      </w:r>
      <w:r>
        <w:rPr>
          <w:rFonts w:hint="eastAsia" w:ascii="宋体" w:hAnsi="宋体" w:eastAsia="宋体" w:cs="宋体"/>
          <w:b/>
          <w:color w:val="auto"/>
          <w:szCs w:val="21"/>
          <w:lang w:val="zh-CN"/>
        </w:rPr>
        <w:t>：机电设备维修服务项目常用清单库</w:t>
      </w:r>
    </w:p>
    <w:p w14:paraId="0BE05797">
      <w:pPr>
        <w:spacing w:after="120"/>
        <w:ind w:firstLine="211" w:firstLineChars="100"/>
        <w:rPr>
          <w:rFonts w:ascii="宋体" w:hAnsi="宋体" w:eastAsia="宋体" w:cs="宋体"/>
          <w:b/>
          <w:bCs/>
          <w:color w:val="auto"/>
          <w:szCs w:val="21"/>
          <w:lang w:val="zh-CN"/>
        </w:rPr>
      </w:pPr>
      <w:r>
        <w:rPr>
          <w:rFonts w:hint="eastAsia" w:ascii="宋体" w:hAnsi="宋体" w:eastAsia="宋体" w:cs="宋体"/>
          <w:b/>
          <w:bCs/>
          <w:color w:val="auto"/>
          <w:szCs w:val="21"/>
          <w:lang w:val="zh-CN"/>
        </w:rPr>
        <w:t>详见附件</w:t>
      </w:r>
    </w:p>
    <w:p w14:paraId="388CEAFD">
      <w:pPr>
        <w:pageBreakBefore/>
        <w:spacing w:line="360" w:lineRule="auto"/>
        <w:rPr>
          <w:rFonts w:ascii="宋体" w:hAnsi="宋体" w:eastAsia="宋体" w:cs="宋体"/>
          <w:b/>
          <w:bCs/>
          <w:color w:val="auto"/>
          <w:szCs w:val="21"/>
          <w:lang w:val="zh-CN"/>
        </w:rPr>
      </w:pPr>
      <w:r>
        <w:rPr>
          <w:rFonts w:hint="eastAsia" w:ascii="宋体" w:hAnsi="宋体" w:eastAsia="宋体" w:cs="宋体"/>
          <w:b/>
          <w:bCs/>
          <w:color w:val="auto"/>
          <w:szCs w:val="21"/>
        </w:rPr>
        <w:t>附件6：机电设备维修</w:t>
      </w:r>
      <w:r>
        <w:rPr>
          <w:rFonts w:hint="eastAsia" w:ascii="宋体" w:hAnsi="宋体" w:eastAsia="宋体" w:cs="宋体"/>
          <w:b/>
          <w:bCs/>
          <w:color w:val="auto"/>
          <w:szCs w:val="21"/>
          <w:lang w:val="zh-CN"/>
        </w:rPr>
        <w:t>项目请款资料清单</w:t>
      </w:r>
    </w:p>
    <w:tbl>
      <w:tblPr>
        <w:tblStyle w:val="37"/>
        <w:tblpPr w:leftFromText="180" w:rightFromText="180" w:vertAnchor="text" w:horzAnchor="page" w:tblpX="1804" w:tblpY="709"/>
        <w:tblOverlap w:val="never"/>
        <w:tblW w:w="5000" w:type="pct"/>
        <w:tblInd w:w="0" w:type="dxa"/>
        <w:tblLayout w:type="autofit"/>
        <w:tblCellMar>
          <w:top w:w="0" w:type="dxa"/>
          <w:left w:w="0" w:type="dxa"/>
          <w:bottom w:w="0" w:type="dxa"/>
          <w:right w:w="0" w:type="dxa"/>
        </w:tblCellMar>
      </w:tblPr>
      <w:tblGrid>
        <w:gridCol w:w="584"/>
        <w:gridCol w:w="2407"/>
        <w:gridCol w:w="2751"/>
        <w:gridCol w:w="2735"/>
        <w:gridCol w:w="1707"/>
      </w:tblGrid>
      <w:tr w14:paraId="085E7612">
        <w:tblPrEx>
          <w:tblCellMar>
            <w:top w:w="0" w:type="dxa"/>
            <w:left w:w="0" w:type="dxa"/>
            <w:bottom w:w="0" w:type="dxa"/>
            <w:right w:w="0" w:type="dxa"/>
          </w:tblCellMar>
        </w:tblPrEx>
        <w:trPr>
          <w:trHeight w:val="860" w:hRule="atLeast"/>
        </w:trPr>
        <w:tc>
          <w:tcPr>
            <w:tcW w:w="5000" w:type="pct"/>
            <w:gridSpan w:val="5"/>
            <w:tcBorders>
              <w:top w:val="nil"/>
              <w:left w:val="nil"/>
              <w:bottom w:val="nil"/>
              <w:right w:val="nil"/>
            </w:tcBorders>
            <w:noWrap/>
            <w:tcMar>
              <w:top w:w="15" w:type="dxa"/>
              <w:left w:w="15" w:type="dxa"/>
              <w:right w:w="15" w:type="dxa"/>
            </w:tcMar>
            <w:vAlign w:val="center"/>
          </w:tcPr>
          <w:p w14:paraId="111FB48E">
            <w:pPr>
              <w:widowControl/>
              <w:jc w:val="center"/>
              <w:textAlignment w:val="center"/>
              <w:rPr>
                <w:rFonts w:ascii="宋体" w:hAnsi="宋体" w:eastAsia="宋体" w:cs="宋体"/>
                <w:b/>
                <w:color w:val="auto"/>
                <w:szCs w:val="21"/>
                <w:lang w:bidi="ar"/>
              </w:rPr>
            </w:pPr>
            <w:r>
              <w:rPr>
                <w:rFonts w:hint="eastAsia" w:ascii="宋体" w:hAnsi="宋体" w:eastAsia="宋体" w:cs="宋体"/>
                <w:b/>
                <w:color w:val="auto"/>
                <w:szCs w:val="21"/>
                <w:lang w:bidi="ar"/>
              </w:rPr>
              <w:t>机电设备维修项目请款资料清单</w:t>
            </w:r>
          </w:p>
        </w:tc>
      </w:tr>
      <w:tr w14:paraId="6779C039">
        <w:tblPrEx>
          <w:tblCellMar>
            <w:top w:w="0" w:type="dxa"/>
            <w:left w:w="0" w:type="dxa"/>
            <w:bottom w:w="0" w:type="dxa"/>
            <w:right w:w="0" w:type="dxa"/>
          </w:tblCellMar>
        </w:tblPrEx>
        <w:trPr>
          <w:trHeight w:val="357"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432C8">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szCs w:val="21"/>
                <w:lang w:bidi="ar"/>
              </w:rPr>
              <w:t>序号</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CFCE0">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szCs w:val="21"/>
                <w:lang w:bidi="ar"/>
              </w:rPr>
              <w:t>进度款</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DC529">
            <w:pPr>
              <w:widowControl/>
              <w:jc w:val="center"/>
              <w:textAlignment w:val="center"/>
              <w:rPr>
                <w:rFonts w:ascii="宋体" w:hAnsi="宋体" w:eastAsia="宋体" w:cs="宋体"/>
                <w:b/>
                <w:bCs/>
                <w:color w:val="auto"/>
                <w:szCs w:val="21"/>
                <w:lang w:bidi="ar"/>
              </w:rPr>
            </w:pPr>
            <w:r>
              <w:rPr>
                <w:rFonts w:hint="eastAsia" w:ascii="宋体" w:hAnsi="宋体" w:eastAsia="宋体" w:cs="宋体"/>
                <w:b/>
                <w:bCs/>
                <w:color w:val="auto"/>
                <w:szCs w:val="21"/>
                <w:lang w:bidi="ar"/>
              </w:rPr>
              <w:t>结算款</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1A10B">
            <w:pPr>
              <w:widowControl/>
              <w:jc w:val="center"/>
              <w:textAlignment w:val="center"/>
              <w:rPr>
                <w:rFonts w:ascii="宋体" w:hAnsi="宋体" w:eastAsia="宋体" w:cs="宋体"/>
                <w:b/>
                <w:bCs/>
                <w:color w:val="auto"/>
                <w:szCs w:val="21"/>
                <w:lang w:bidi="ar"/>
              </w:rPr>
            </w:pPr>
            <w:r>
              <w:rPr>
                <w:rFonts w:hint="eastAsia" w:ascii="宋体" w:hAnsi="宋体" w:eastAsia="宋体" w:cs="宋体"/>
                <w:b/>
                <w:bCs/>
                <w:color w:val="auto"/>
                <w:szCs w:val="21"/>
                <w:lang w:bidi="ar"/>
              </w:rPr>
              <w:t>质保金</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BF318">
            <w:pPr>
              <w:widowControl/>
              <w:jc w:val="center"/>
              <w:textAlignment w:val="center"/>
              <w:rPr>
                <w:rFonts w:ascii="宋体" w:hAnsi="宋体" w:eastAsia="宋体" w:cs="宋体"/>
                <w:b/>
                <w:bCs/>
                <w:color w:val="auto"/>
                <w:szCs w:val="21"/>
                <w:lang w:bidi="ar"/>
              </w:rPr>
            </w:pPr>
            <w:r>
              <w:rPr>
                <w:rFonts w:hint="eastAsia" w:ascii="宋体" w:hAnsi="宋体" w:eastAsia="宋体" w:cs="宋体"/>
                <w:b/>
                <w:bCs/>
                <w:color w:val="auto"/>
                <w:szCs w:val="21"/>
                <w:lang w:bidi="ar"/>
              </w:rPr>
              <w:t>备注</w:t>
            </w:r>
          </w:p>
        </w:tc>
      </w:tr>
      <w:tr w14:paraId="52FC24F5">
        <w:tblPrEx>
          <w:tblCellMar>
            <w:top w:w="0" w:type="dxa"/>
            <w:left w:w="0" w:type="dxa"/>
            <w:bottom w:w="0" w:type="dxa"/>
            <w:right w:w="0" w:type="dxa"/>
          </w:tblCellMar>
        </w:tblPrEx>
        <w:trPr>
          <w:trHeight w:val="367"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0491C">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1A16D">
            <w:pPr>
              <w:widowControl/>
              <w:jc w:val="center"/>
              <w:textAlignment w:val="center"/>
              <w:rPr>
                <w:rFonts w:ascii="宋体" w:hAnsi="宋体" w:eastAsia="宋体" w:cs="宋体"/>
                <w:color w:val="auto"/>
                <w:szCs w:val="21"/>
              </w:rPr>
            </w:pPr>
            <w:r>
              <w:rPr>
                <w:rFonts w:hint="eastAsia" w:ascii="宋体" w:hAnsi="宋体" w:eastAsia="宋体" w:cs="宋体"/>
                <w:color w:val="auto"/>
                <w:szCs w:val="21"/>
                <w:lang w:bidi="ar"/>
              </w:rPr>
              <w:t>请款报告</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A7571">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请款报告</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83549">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请款报告</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110511">
            <w:pPr>
              <w:widowControl/>
              <w:jc w:val="center"/>
              <w:textAlignment w:val="center"/>
              <w:rPr>
                <w:rFonts w:ascii="宋体" w:hAnsi="宋体" w:eastAsia="宋体" w:cs="宋体"/>
                <w:color w:val="auto"/>
                <w:szCs w:val="21"/>
                <w:lang w:bidi="ar"/>
              </w:rPr>
            </w:pPr>
          </w:p>
        </w:tc>
      </w:tr>
      <w:tr w14:paraId="1D281A95">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2A54B">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2</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C035E">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进度款支付申请表</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9EDCF">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建设工程造价审核表（审批完后再通知盖章）</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51509">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建设工程造价审核表（审批完后再通知盖章）</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4EE56">
            <w:pPr>
              <w:widowControl/>
              <w:jc w:val="center"/>
              <w:textAlignment w:val="center"/>
              <w:rPr>
                <w:rFonts w:ascii="宋体" w:hAnsi="宋体" w:eastAsia="宋体" w:cs="宋体"/>
                <w:color w:val="auto"/>
                <w:szCs w:val="21"/>
                <w:lang w:bidi="ar"/>
              </w:rPr>
            </w:pPr>
          </w:p>
        </w:tc>
      </w:tr>
      <w:tr w14:paraId="3CA8A2CA">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08898">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3</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4E71E">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本期应支付金额计算表</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330B5">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送货单（若有）</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05C2F">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送货单（若有）</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D3509">
            <w:pPr>
              <w:widowControl/>
              <w:jc w:val="center"/>
              <w:textAlignment w:val="center"/>
              <w:rPr>
                <w:rFonts w:ascii="宋体" w:hAnsi="宋体" w:eastAsia="宋体" w:cs="宋体"/>
                <w:color w:val="auto"/>
                <w:szCs w:val="21"/>
                <w:lang w:bidi="ar"/>
              </w:rPr>
            </w:pPr>
          </w:p>
        </w:tc>
      </w:tr>
      <w:tr w14:paraId="31754505">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9F76D">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4</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5D47B">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中间计量表</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56241">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到货验收单（若有）</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71CD9">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到货验收单（若有）</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A8460">
            <w:pPr>
              <w:widowControl/>
              <w:jc w:val="center"/>
              <w:textAlignment w:val="center"/>
              <w:rPr>
                <w:rFonts w:ascii="宋体" w:hAnsi="宋体" w:eastAsia="宋体" w:cs="宋体"/>
                <w:color w:val="auto"/>
                <w:szCs w:val="21"/>
                <w:lang w:bidi="ar"/>
              </w:rPr>
            </w:pPr>
          </w:p>
        </w:tc>
      </w:tr>
      <w:tr w14:paraId="3D4EC9EF">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5AB40">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5</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7BFAB">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已支付汇总表</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0E20D">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维修、采购安装、重置项目验收表</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D123F">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维修、采购安装、重置项目验收表</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1C8BC">
            <w:pPr>
              <w:widowControl/>
              <w:jc w:val="center"/>
              <w:textAlignment w:val="center"/>
              <w:rPr>
                <w:rFonts w:ascii="宋体" w:hAnsi="宋体" w:eastAsia="宋体" w:cs="宋体"/>
                <w:color w:val="auto"/>
                <w:szCs w:val="21"/>
                <w:lang w:bidi="ar"/>
              </w:rPr>
            </w:pPr>
          </w:p>
        </w:tc>
      </w:tr>
      <w:tr w14:paraId="3F893CBB">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5B669">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6</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392C9">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工程预算书、预算价呈批确认表</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33582">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rPr>
              <w:t>项目承接确认协议书</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8AC3F">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rPr>
              <w:t>项目承接确认协议书</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4B5A5">
            <w:pPr>
              <w:widowControl/>
              <w:textAlignment w:val="center"/>
              <w:rPr>
                <w:rFonts w:ascii="宋体" w:hAnsi="宋体" w:eastAsia="宋体" w:cs="宋体"/>
                <w:color w:val="auto"/>
                <w:szCs w:val="21"/>
                <w:lang w:bidi="ar"/>
              </w:rPr>
            </w:pPr>
          </w:p>
        </w:tc>
      </w:tr>
      <w:tr w14:paraId="7A4B27F4">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B97D8">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7</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CFF00">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项目承接确认协议书</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3F926A">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设备维修拆装各部件更换照片（前后）</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0F09C">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设备维修拆装各部件更换照片（前后）</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B4D24">
            <w:pPr>
              <w:widowControl/>
              <w:textAlignment w:val="center"/>
              <w:rPr>
                <w:rFonts w:ascii="宋体" w:hAnsi="宋体" w:eastAsia="宋体" w:cs="宋体"/>
                <w:color w:val="auto"/>
                <w:szCs w:val="21"/>
                <w:lang w:bidi="ar"/>
              </w:rPr>
            </w:pPr>
          </w:p>
        </w:tc>
      </w:tr>
      <w:tr w14:paraId="2A0E64AB">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8BF97">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8</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AD8BF">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相关施工过程记录照片</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A0FDF">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相关施工过程记录照片（前后）</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FBADA">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相关施工过程记录照片（前后）</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FF2B2">
            <w:pPr>
              <w:widowControl/>
              <w:textAlignment w:val="center"/>
              <w:rPr>
                <w:rFonts w:ascii="宋体" w:hAnsi="宋体" w:eastAsia="宋体" w:cs="宋体"/>
                <w:color w:val="auto"/>
                <w:szCs w:val="21"/>
                <w:lang w:bidi="ar"/>
              </w:rPr>
            </w:pPr>
          </w:p>
        </w:tc>
      </w:tr>
      <w:tr w14:paraId="4ADB3C70">
        <w:tblPrEx>
          <w:tblCellMar>
            <w:top w:w="0" w:type="dxa"/>
            <w:left w:w="0" w:type="dxa"/>
            <w:bottom w:w="0" w:type="dxa"/>
            <w:right w:w="0" w:type="dxa"/>
          </w:tblCellMar>
        </w:tblPrEx>
        <w:trPr>
          <w:trHeight w:val="482"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8AAF9">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9</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3C46F">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送货单（若有）</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3B616">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相关检修报告（水泵外委维修请款需提供）</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D22B7">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相关检修报告（水泵外委维修请款需提供）</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98D36">
            <w:pPr>
              <w:widowControl/>
              <w:textAlignment w:val="center"/>
              <w:rPr>
                <w:rFonts w:ascii="宋体" w:hAnsi="宋体" w:eastAsia="宋体" w:cs="宋体"/>
                <w:color w:val="auto"/>
                <w:szCs w:val="21"/>
                <w:lang w:bidi="ar"/>
              </w:rPr>
            </w:pPr>
          </w:p>
        </w:tc>
      </w:tr>
      <w:tr w14:paraId="045CA5A7">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A7D36">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10</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2695E">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到货验收单（若有）</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11272">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相关变更确认资料（若有）</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D43FB">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相关变更确认资料（若有）</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5C03D">
            <w:pPr>
              <w:widowControl/>
              <w:textAlignment w:val="center"/>
              <w:rPr>
                <w:rFonts w:ascii="宋体" w:hAnsi="宋体" w:eastAsia="宋体" w:cs="宋体"/>
                <w:color w:val="auto"/>
                <w:szCs w:val="21"/>
                <w:lang w:bidi="ar"/>
              </w:rPr>
            </w:pPr>
          </w:p>
        </w:tc>
      </w:tr>
      <w:tr w14:paraId="56300DF0">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BA1B3">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11</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74C68">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往期用款审批表（含往期发票）</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B1FB3">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rPr>
              <w:t>往期用款审批表（含往期发票）</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C01D9">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rPr>
              <w:t>往期用款审批表（含往期发票）</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FCA48">
            <w:pPr>
              <w:widowControl/>
              <w:textAlignment w:val="center"/>
              <w:rPr>
                <w:rFonts w:ascii="宋体" w:hAnsi="宋体" w:eastAsia="宋体" w:cs="宋体"/>
                <w:color w:val="auto"/>
                <w:szCs w:val="21"/>
                <w:lang w:bidi="ar"/>
              </w:rPr>
            </w:pPr>
          </w:p>
        </w:tc>
      </w:tr>
      <w:tr w14:paraId="63755E85">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38B9A">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12</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F5D81">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发票（审批后在通知开票）</w:t>
            </w: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2C713">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发票（审批完后再通知开票）</w:t>
            </w: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BF9FF">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发票（审批完后再通知开票）</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27A2A">
            <w:pPr>
              <w:widowControl/>
              <w:textAlignment w:val="center"/>
              <w:rPr>
                <w:rFonts w:ascii="宋体" w:hAnsi="宋体" w:eastAsia="宋体" w:cs="宋体"/>
                <w:color w:val="auto"/>
                <w:szCs w:val="21"/>
                <w:lang w:bidi="ar"/>
              </w:rPr>
            </w:pPr>
          </w:p>
        </w:tc>
      </w:tr>
      <w:tr w14:paraId="6C76C706">
        <w:tblPrEx>
          <w:tblCellMar>
            <w:top w:w="0" w:type="dxa"/>
            <w:left w:w="0" w:type="dxa"/>
            <w:bottom w:w="0" w:type="dxa"/>
            <w:right w:w="0" w:type="dxa"/>
          </w:tblCellMar>
        </w:tblPrEx>
        <w:trPr>
          <w:trHeight w:val="375" w:hRule="atLeast"/>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7F62D">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13</w:t>
            </w:r>
          </w:p>
        </w:tc>
        <w:tc>
          <w:tcPr>
            <w:tcW w:w="11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BD85E">
            <w:pPr>
              <w:widowControl/>
              <w:jc w:val="center"/>
              <w:textAlignment w:val="center"/>
              <w:rPr>
                <w:rFonts w:ascii="宋体" w:hAnsi="宋体" w:eastAsia="宋体" w:cs="宋体"/>
                <w:color w:val="auto"/>
                <w:szCs w:val="21"/>
              </w:rPr>
            </w:pPr>
          </w:p>
        </w:tc>
        <w:tc>
          <w:tcPr>
            <w:tcW w:w="13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85495">
            <w:pPr>
              <w:widowControl/>
              <w:jc w:val="center"/>
              <w:textAlignment w:val="center"/>
              <w:rPr>
                <w:rFonts w:ascii="宋体" w:hAnsi="宋体" w:eastAsia="宋体" w:cs="宋体"/>
                <w:color w:val="auto"/>
                <w:szCs w:val="21"/>
                <w:lang w:bidi="ar"/>
              </w:rPr>
            </w:pPr>
          </w:p>
        </w:tc>
        <w:tc>
          <w:tcPr>
            <w:tcW w:w="13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1A813">
            <w:pPr>
              <w:widowControl/>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缺陷期责任终止证书</w:t>
            </w:r>
          </w:p>
        </w:tc>
        <w:tc>
          <w:tcPr>
            <w:tcW w:w="8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89D9D6">
            <w:pPr>
              <w:widowControl/>
              <w:textAlignment w:val="center"/>
              <w:rPr>
                <w:rFonts w:ascii="宋体" w:hAnsi="宋体" w:eastAsia="宋体" w:cs="宋体"/>
                <w:color w:val="auto"/>
                <w:szCs w:val="21"/>
                <w:lang w:bidi="ar"/>
              </w:rPr>
            </w:pPr>
          </w:p>
        </w:tc>
      </w:tr>
      <w:tr w14:paraId="03EBD514">
        <w:tblPrEx>
          <w:tblCellMar>
            <w:top w:w="0" w:type="dxa"/>
            <w:left w:w="0" w:type="dxa"/>
            <w:bottom w:w="0" w:type="dxa"/>
            <w:right w:w="0" w:type="dxa"/>
          </w:tblCellMar>
        </w:tblPrEx>
        <w:trPr>
          <w:trHeight w:val="375" w:hRule="atLeast"/>
        </w:trPr>
        <w:tc>
          <w:tcPr>
            <w:tcW w:w="5000"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E1AAE">
            <w:pPr>
              <w:widowControl/>
              <w:textAlignment w:val="center"/>
              <w:rPr>
                <w:rFonts w:ascii="宋体" w:hAnsi="宋体" w:eastAsia="宋体" w:cs="宋体"/>
                <w:color w:val="auto"/>
                <w:szCs w:val="21"/>
                <w:lang w:bidi="ar"/>
              </w:rPr>
            </w:pPr>
            <w:r>
              <w:rPr>
                <w:rFonts w:hint="eastAsia" w:ascii="宋体" w:hAnsi="宋体" w:eastAsia="宋体" w:cs="宋体"/>
                <w:color w:val="auto"/>
                <w:szCs w:val="21"/>
                <w:lang w:bidi="ar"/>
              </w:rPr>
              <w:t>注：</w:t>
            </w:r>
          </w:p>
          <w:p w14:paraId="4F125575">
            <w:pPr>
              <w:widowControl/>
              <w:textAlignment w:val="center"/>
              <w:rPr>
                <w:rFonts w:ascii="宋体" w:hAnsi="宋体" w:eastAsia="宋体" w:cs="宋体"/>
                <w:color w:val="auto"/>
                <w:szCs w:val="21"/>
                <w:lang w:bidi="ar"/>
              </w:rPr>
            </w:pPr>
            <w:r>
              <w:rPr>
                <w:rFonts w:hint="eastAsia" w:ascii="宋体" w:hAnsi="宋体" w:eastAsia="宋体" w:cs="宋体"/>
                <w:color w:val="auto"/>
                <w:szCs w:val="21"/>
                <w:lang w:bidi="ar"/>
              </w:rPr>
              <w:t>1.现场照片须为水印照片，并有对应的参照物，参考《截污次支管网工程全时域留痕管理工作指引》东水治建2018 16号，其中施工中照片留痕内容为正在作业照片，照片中要包括作业人员、作业机械等。</w:t>
            </w:r>
          </w:p>
          <w:p w14:paraId="0D6557F4">
            <w:pPr>
              <w:widowControl/>
              <w:textAlignment w:val="center"/>
              <w:rPr>
                <w:rFonts w:ascii="宋体" w:hAnsi="宋体" w:eastAsia="宋体" w:cs="宋体"/>
                <w:color w:val="auto"/>
                <w:szCs w:val="21"/>
                <w:lang w:bidi="ar"/>
              </w:rPr>
            </w:pPr>
            <w:r>
              <w:rPr>
                <w:rFonts w:hint="eastAsia" w:ascii="宋体" w:hAnsi="宋体" w:eastAsia="宋体" w:cs="宋体"/>
                <w:color w:val="auto"/>
                <w:szCs w:val="21"/>
                <w:lang w:bidi="ar"/>
              </w:rPr>
              <w:t>2.请款资料清单具体按照甲方实际要求为准。</w:t>
            </w:r>
          </w:p>
        </w:tc>
      </w:tr>
    </w:tbl>
    <w:p w14:paraId="095A24E7">
      <w:pPr>
        <w:rPr>
          <w:rFonts w:ascii="宋体" w:hAnsi="宋体" w:eastAsia="宋体" w:cs="宋体"/>
          <w:color w:val="auto"/>
          <w:szCs w:val="21"/>
          <w:lang w:val="zh-CN"/>
        </w:rPr>
      </w:pPr>
    </w:p>
    <w:p w14:paraId="62467414">
      <w:pPr>
        <w:pageBreakBefore/>
        <w:spacing w:line="360" w:lineRule="auto"/>
        <w:rPr>
          <w:rFonts w:ascii="宋体" w:hAnsi="宋体" w:eastAsia="宋体" w:cs="宋体"/>
          <w:b/>
          <w:bCs/>
          <w:color w:val="auto"/>
          <w:szCs w:val="21"/>
          <w:lang w:val="zh-CN"/>
        </w:rPr>
      </w:pPr>
      <w:r>
        <w:rPr>
          <w:rFonts w:hint="eastAsia" w:ascii="宋体" w:hAnsi="宋体" w:eastAsia="宋体" w:cs="宋体"/>
          <w:b/>
          <w:bCs/>
          <w:color w:val="auto"/>
          <w:szCs w:val="21"/>
          <w:lang w:val="zh-CN"/>
        </w:rPr>
        <w:t>附件</w:t>
      </w:r>
      <w:r>
        <w:rPr>
          <w:rFonts w:hint="eastAsia" w:ascii="宋体" w:hAnsi="宋体" w:eastAsia="宋体" w:cs="宋体"/>
          <w:b/>
          <w:bCs/>
          <w:color w:val="auto"/>
          <w:szCs w:val="21"/>
        </w:rPr>
        <w:t>7</w:t>
      </w:r>
      <w:r>
        <w:rPr>
          <w:rFonts w:hint="eastAsia" w:ascii="宋体" w:hAnsi="宋体" w:eastAsia="宋体" w:cs="宋体"/>
          <w:b/>
          <w:bCs/>
          <w:color w:val="auto"/>
          <w:szCs w:val="21"/>
          <w:lang w:val="zh-CN"/>
        </w:rPr>
        <w:t>：《东莞市水务集团管网有限公司机电设备委外维修供应商管理办法（试行）》</w:t>
      </w:r>
    </w:p>
    <w:p w14:paraId="43E00C04">
      <w:pPr>
        <w:rPr>
          <w:rFonts w:ascii="宋体" w:hAnsi="宋体" w:eastAsia="宋体" w:cs="宋体"/>
          <w:color w:val="auto"/>
          <w:szCs w:val="21"/>
        </w:rPr>
      </w:pPr>
    </w:p>
    <w:p w14:paraId="0539CCC0">
      <w:pPr>
        <w:snapToGrid w:val="0"/>
        <w:spacing w:line="600" w:lineRule="exact"/>
        <w:jc w:val="center"/>
        <w:textAlignment w:val="baseline"/>
        <w:rPr>
          <w:rFonts w:ascii="宋体" w:hAnsi="宋体" w:eastAsia="宋体" w:cs="宋体"/>
          <w:color w:val="auto"/>
          <w:szCs w:val="21"/>
        </w:rPr>
      </w:pPr>
      <w:r>
        <w:rPr>
          <w:rFonts w:hint="eastAsia" w:ascii="宋体" w:hAnsi="宋体" w:eastAsia="宋体" w:cs="宋体"/>
          <w:color w:val="auto"/>
          <w:szCs w:val="21"/>
        </w:rPr>
        <w:t>东莞市水务集团管网有限公司机电设备</w:t>
      </w:r>
    </w:p>
    <w:p w14:paraId="15708651">
      <w:pPr>
        <w:snapToGrid w:val="0"/>
        <w:spacing w:line="600" w:lineRule="exact"/>
        <w:jc w:val="center"/>
        <w:textAlignment w:val="baseline"/>
        <w:rPr>
          <w:rFonts w:ascii="宋体" w:hAnsi="宋体" w:eastAsia="宋体" w:cs="宋体"/>
          <w:color w:val="auto"/>
          <w:szCs w:val="21"/>
        </w:rPr>
      </w:pPr>
      <w:r>
        <w:rPr>
          <w:rFonts w:hint="eastAsia" w:ascii="宋体" w:hAnsi="宋体" w:eastAsia="宋体" w:cs="宋体"/>
          <w:color w:val="auto"/>
          <w:szCs w:val="21"/>
        </w:rPr>
        <w:t>委外维修服务单位</w:t>
      </w:r>
      <w:bookmarkStart w:id="380" w:name="OLE_LINK4"/>
      <w:r>
        <w:rPr>
          <w:rFonts w:hint="eastAsia" w:ascii="宋体" w:hAnsi="宋体" w:eastAsia="宋体" w:cs="宋体"/>
          <w:color w:val="auto"/>
          <w:szCs w:val="21"/>
        </w:rPr>
        <w:t>管理办法</w:t>
      </w:r>
      <w:bookmarkEnd w:id="380"/>
    </w:p>
    <w:p w14:paraId="18DD9D7B">
      <w:pPr>
        <w:snapToGrid w:val="0"/>
        <w:spacing w:line="600" w:lineRule="exact"/>
        <w:jc w:val="center"/>
        <w:textAlignment w:val="baseline"/>
        <w:rPr>
          <w:rFonts w:ascii="宋体" w:hAnsi="宋体" w:eastAsia="宋体" w:cs="宋体"/>
          <w:color w:val="auto"/>
          <w:szCs w:val="21"/>
        </w:rPr>
      </w:pPr>
      <w:r>
        <w:rPr>
          <w:rFonts w:hint="eastAsia" w:ascii="宋体" w:hAnsi="宋体" w:eastAsia="宋体" w:cs="宋体"/>
          <w:color w:val="auto"/>
          <w:szCs w:val="21"/>
        </w:rPr>
        <w:t>（试行）</w:t>
      </w:r>
    </w:p>
    <w:p w14:paraId="08EF392D">
      <w:pPr>
        <w:pStyle w:val="19"/>
        <w:spacing w:line="600" w:lineRule="exact"/>
        <w:ind w:firstLine="0" w:firstLineChars="0"/>
        <w:rPr>
          <w:rFonts w:ascii="宋体" w:hAnsi="宋体" w:eastAsia="宋体" w:cs="宋体"/>
          <w:b/>
          <w:color w:val="auto"/>
          <w:szCs w:val="21"/>
        </w:rPr>
      </w:pPr>
    </w:p>
    <w:p w14:paraId="5C711D62">
      <w:pPr>
        <w:numPr>
          <w:ilvl w:val="0"/>
          <w:numId w:val="10"/>
        </w:numPr>
        <w:snapToGrid w:val="0"/>
        <w:spacing w:line="600" w:lineRule="exact"/>
        <w:jc w:val="center"/>
        <w:textAlignment w:val="baseline"/>
        <w:rPr>
          <w:rFonts w:ascii="宋体" w:hAnsi="宋体" w:eastAsia="宋体" w:cs="宋体"/>
          <w:b/>
          <w:bCs/>
          <w:color w:val="auto"/>
          <w:szCs w:val="21"/>
        </w:rPr>
      </w:pPr>
      <w:r>
        <w:rPr>
          <w:rFonts w:hint="eastAsia" w:ascii="宋体" w:hAnsi="宋体" w:eastAsia="宋体" w:cs="宋体"/>
          <w:b/>
          <w:bCs/>
          <w:color w:val="auto"/>
          <w:szCs w:val="21"/>
        </w:rPr>
        <w:t>总则</w:t>
      </w:r>
    </w:p>
    <w:p w14:paraId="7A810E9E">
      <w:pPr>
        <w:numPr>
          <w:ilvl w:val="0"/>
          <w:numId w:val="11"/>
        </w:numPr>
        <w:snapToGrid w:val="0"/>
        <w:spacing w:line="600" w:lineRule="exact"/>
        <w:ind w:left="0"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 xml:space="preserve"> 为有效提高东莞市水务集团管网有限公司（以下简称“管网公司”）机电设备维修委外服务的质量和水平，提升管网运营维护维修效率，结合管网公司实际情况，特制定本办法。</w:t>
      </w:r>
    </w:p>
    <w:p w14:paraId="441AB151">
      <w:pPr>
        <w:numPr>
          <w:ilvl w:val="0"/>
          <w:numId w:val="11"/>
        </w:numPr>
        <w:snapToGrid w:val="0"/>
        <w:spacing w:line="600" w:lineRule="exact"/>
        <w:ind w:left="0"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 xml:space="preserve"> 适用范围。本办法所称机电设备维修服务适用范围仅限于管网公司及其子公司日常生产经营过程中所需要的估算（或预算）200万元（不含）以下的机电设备维修委外项目服务单位管理。根据相关法律、法规、行业主管部门、上级部门、上级集团公司及本公司（含分公司、子公司）相关制度规定，需单独进行招标采购的单项项目不在范围之内。</w:t>
      </w:r>
    </w:p>
    <w:p w14:paraId="4F115C3F">
      <w:pPr>
        <w:numPr>
          <w:ilvl w:val="0"/>
          <w:numId w:val="11"/>
        </w:numPr>
        <w:snapToGrid w:val="0"/>
        <w:spacing w:line="600" w:lineRule="exact"/>
        <w:ind w:left="0"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机电设备维修单位是指管网公司通过招标或者其它方式采购的在管网公司指定范围内开展机电设备维修的委外服务单位（以下简称为“服务单位”）。</w:t>
      </w:r>
    </w:p>
    <w:p w14:paraId="680CC556">
      <w:pPr>
        <w:numPr>
          <w:ilvl w:val="0"/>
          <w:numId w:val="11"/>
        </w:numPr>
        <w:snapToGrid w:val="0"/>
        <w:spacing w:line="600" w:lineRule="exact"/>
        <w:ind w:left="0"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机电设备维修项目是指单项项目承接限额为估算（或预算）200万元（不含）以下的机电设备维修项目，主要是包括以机电设备的维修、技术改造、重置、应急抢修、设备拆卸、零配件加工及修复等技术服务项目（指机电设备专业维修为主的设备设施委外技术服务，也包括雨棚及停车棚、围栏等设施维修，不包括全土建专业的或以土建专业为主的设施委外技术服务），对于上述工作而引发的开挖、井室修复及改造管道接合、路面恢复等零星土建工程以及水下封堵作业等工作。</w:t>
      </w:r>
    </w:p>
    <w:p w14:paraId="4CFB5606">
      <w:pPr>
        <w:numPr>
          <w:ilvl w:val="0"/>
          <w:numId w:val="11"/>
        </w:numPr>
        <w:snapToGrid w:val="0"/>
        <w:spacing w:line="600" w:lineRule="exact"/>
        <w:ind w:left="0"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管网公司</w:t>
      </w:r>
      <w:r>
        <w:rPr>
          <w:rFonts w:hint="eastAsia" w:ascii="宋体" w:hAnsi="宋体" w:eastAsia="宋体" w:cs="宋体"/>
          <w:color w:val="auto"/>
          <w:szCs w:val="21"/>
          <w:lang w:bidi="ar"/>
        </w:rPr>
        <w:t>设备管理部</w:t>
      </w:r>
      <w:r>
        <w:rPr>
          <w:rFonts w:hint="eastAsia" w:ascii="宋体" w:hAnsi="宋体" w:eastAsia="宋体" w:cs="宋体"/>
          <w:color w:val="auto"/>
          <w:szCs w:val="21"/>
        </w:rPr>
        <w:t>负责</w:t>
      </w:r>
      <w:r>
        <w:rPr>
          <w:rFonts w:hint="eastAsia" w:ascii="宋体" w:hAnsi="宋体" w:eastAsia="宋体" w:cs="宋体"/>
          <w:color w:val="auto"/>
          <w:szCs w:val="21"/>
          <w:lang w:bidi="ar"/>
        </w:rPr>
        <w:t>统筹协调相关部门及各分公司开展机电设备维修工作，每季度组织各分公司对机电维修服务单位进行履约考核评价</w:t>
      </w:r>
      <w:r>
        <w:rPr>
          <w:rFonts w:hint="eastAsia" w:ascii="宋体" w:hAnsi="宋体" w:eastAsia="宋体" w:cs="宋体"/>
          <w:color w:val="auto"/>
          <w:szCs w:val="21"/>
        </w:rPr>
        <w:t>，管网公司各相关部门及各分公司应予以配合。</w:t>
      </w:r>
    </w:p>
    <w:p w14:paraId="611FFF97">
      <w:pPr>
        <w:numPr>
          <w:ilvl w:val="255"/>
          <w:numId w:val="0"/>
        </w:numPr>
        <w:tabs>
          <w:tab w:val="left" w:pos="0"/>
        </w:tabs>
        <w:snapToGrid w:val="0"/>
        <w:spacing w:line="600" w:lineRule="exact"/>
        <w:textAlignment w:val="baseline"/>
        <w:rPr>
          <w:rFonts w:ascii="宋体" w:hAnsi="宋体" w:eastAsia="宋体" w:cs="宋体"/>
          <w:color w:val="auto"/>
          <w:szCs w:val="21"/>
        </w:rPr>
      </w:pPr>
    </w:p>
    <w:p w14:paraId="239D34C6">
      <w:pPr>
        <w:keepNext/>
        <w:keepLines/>
        <w:numPr>
          <w:ilvl w:val="0"/>
          <w:numId w:val="10"/>
        </w:numPr>
        <w:snapToGrid w:val="0"/>
        <w:spacing w:line="600" w:lineRule="exact"/>
        <w:jc w:val="center"/>
        <w:textAlignment w:val="baseline"/>
        <w:rPr>
          <w:rFonts w:ascii="宋体" w:hAnsi="宋体" w:eastAsia="宋体" w:cs="宋体"/>
          <w:b/>
          <w:bCs/>
          <w:color w:val="auto"/>
          <w:szCs w:val="21"/>
        </w:rPr>
      </w:pPr>
      <w:r>
        <w:rPr>
          <w:rFonts w:hint="eastAsia" w:ascii="宋体" w:hAnsi="宋体" w:eastAsia="宋体" w:cs="宋体"/>
          <w:b/>
          <w:bCs/>
          <w:color w:val="auto"/>
          <w:szCs w:val="21"/>
        </w:rPr>
        <w:t>职责分工</w:t>
      </w:r>
    </w:p>
    <w:p w14:paraId="60FE5F80">
      <w:pPr>
        <w:numPr>
          <w:ilvl w:val="0"/>
          <w:numId w:val="12"/>
        </w:numPr>
        <w:spacing w:line="600" w:lineRule="exact"/>
        <w:ind w:left="0" w:firstLine="422" w:firstLineChars="200"/>
        <w:rPr>
          <w:rFonts w:ascii="宋体" w:hAnsi="宋体" w:eastAsia="宋体" w:cs="宋体"/>
          <w:color w:val="auto"/>
          <w:kern w:val="0"/>
          <w:szCs w:val="21"/>
        </w:rPr>
      </w:pPr>
      <w:r>
        <w:rPr>
          <w:rFonts w:hint="eastAsia" w:ascii="宋体" w:hAnsi="宋体" w:eastAsia="宋体" w:cs="宋体"/>
          <w:b/>
          <w:bCs/>
          <w:color w:val="auto"/>
          <w:kern w:val="0"/>
          <w:szCs w:val="21"/>
        </w:rPr>
        <w:t>设备管理部</w:t>
      </w:r>
      <w:r>
        <w:rPr>
          <w:rFonts w:hint="eastAsia" w:ascii="宋体" w:hAnsi="宋体" w:eastAsia="宋体" w:cs="宋体"/>
          <w:color w:val="auto"/>
          <w:kern w:val="0"/>
          <w:szCs w:val="21"/>
        </w:rPr>
        <w:t>是委外机电设备维修服务工作的主管部门，负责统筹、监督、考核委外机电设备维修服务工作，对分公司、服务单位进行管理，每季度组织对委外服务单位考核，牵头处理服务单位违约行为，审核机电维修项目服务费；牵头组织或参与相关安全演练工作；</w:t>
      </w:r>
      <w:r>
        <w:rPr>
          <w:rFonts w:hint="eastAsia" w:ascii="宋体" w:hAnsi="宋体" w:eastAsia="宋体" w:cs="宋体"/>
          <w:color w:val="auto"/>
          <w:szCs w:val="21"/>
        </w:rPr>
        <w:t>负责制订和完善设备维修管理各项技术措施和对设备维修工作的相关业务进行管理和监督检查；审核分公司设备维修立项文件及需求书编制；协助各分公司开展设备维修工作。</w:t>
      </w:r>
    </w:p>
    <w:p w14:paraId="19A2ADF5">
      <w:pPr>
        <w:pStyle w:val="19"/>
        <w:numPr>
          <w:ilvl w:val="255"/>
          <w:numId w:val="0"/>
        </w:numPr>
        <w:adjustRightInd w:val="0"/>
        <w:snapToGrid w:val="0"/>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第七条</w:t>
      </w:r>
      <w:r>
        <w:rPr>
          <w:rFonts w:hint="eastAsia" w:ascii="宋体" w:hAnsi="宋体" w:eastAsia="宋体" w:cs="宋体"/>
          <w:color w:val="auto"/>
          <w:szCs w:val="21"/>
        </w:rPr>
        <w:t xml:space="preserve"> </w:t>
      </w:r>
      <w:r>
        <w:rPr>
          <w:rFonts w:hint="eastAsia" w:ascii="宋体" w:hAnsi="宋体" w:eastAsia="宋体" w:cs="宋体"/>
          <w:b/>
          <w:bCs/>
          <w:color w:val="auto"/>
          <w:szCs w:val="21"/>
        </w:rPr>
        <w:t>分公司</w:t>
      </w:r>
      <w:r>
        <w:rPr>
          <w:rFonts w:hint="eastAsia" w:ascii="宋体" w:hAnsi="宋体" w:eastAsia="宋体" w:cs="宋体"/>
          <w:color w:val="auto"/>
          <w:szCs w:val="21"/>
        </w:rPr>
        <w:t>是负责委外机电设备维修工作的具体组织实施部门，负责辖区所涉及的机电设备维修立项、用户需求书编制和组织实施，申报机电设备维修任务及委派申请，现场组织协调，工作量确认，组织验收，督促服务单位提交结算资料，对资料完整性及真实性负责；参与对服务单位季度考核；发起服务费支付流程；做好机电维修资料管理工作。</w:t>
      </w:r>
    </w:p>
    <w:p w14:paraId="10F85E88">
      <w:pPr>
        <w:numPr>
          <w:ilvl w:val="255"/>
          <w:numId w:val="0"/>
        </w:num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lang w:bidi="zh-CN"/>
        </w:rPr>
        <w:t>第八条</w:t>
      </w:r>
      <w:r>
        <w:rPr>
          <w:rFonts w:hint="eastAsia" w:ascii="宋体" w:hAnsi="宋体" w:eastAsia="宋体" w:cs="宋体"/>
          <w:color w:val="auto"/>
          <w:szCs w:val="21"/>
          <w:lang w:bidi="zh-CN"/>
        </w:rPr>
        <w:t xml:space="preserve"> </w:t>
      </w:r>
      <w:r>
        <w:rPr>
          <w:rFonts w:hint="eastAsia" w:ascii="宋体" w:hAnsi="宋体" w:eastAsia="宋体" w:cs="宋体"/>
          <w:b/>
          <w:bCs/>
          <w:color w:val="auto"/>
          <w:szCs w:val="21"/>
        </w:rPr>
        <w:t>服务单位</w:t>
      </w:r>
      <w:r>
        <w:rPr>
          <w:rFonts w:hint="eastAsia" w:ascii="宋体" w:hAnsi="宋体" w:eastAsia="宋体" w:cs="宋体"/>
          <w:color w:val="auto"/>
          <w:szCs w:val="21"/>
        </w:rPr>
        <w:t>是机电维修项目具体的实施单位，主要职责为:</w:t>
      </w:r>
    </w:p>
    <w:p w14:paraId="234F48AC">
      <w:pPr>
        <w:numPr>
          <w:ilvl w:val="0"/>
          <w:numId w:val="13"/>
        </w:num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按照有关规范规定的安全防护、文明施工的要求，按质按量高效完成机电设备维修工作。</w:t>
      </w:r>
    </w:p>
    <w:p w14:paraId="33A3A9FB">
      <w:pPr>
        <w:numPr>
          <w:ilvl w:val="0"/>
          <w:numId w:val="13"/>
        </w:num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在本公司规定的时限内完成机电设备维修工作。</w:t>
      </w:r>
    </w:p>
    <w:p w14:paraId="28BCBE34">
      <w:pPr>
        <w:numPr>
          <w:ilvl w:val="0"/>
          <w:numId w:val="13"/>
        </w:num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应严格落实安全生产措施，并按公司以及有关部门的要求，配备相关安全警示标志及设施，作业人员上岗前必须进行安全教育和技术培训，自行解决安全作业问题。下井、下池作业时，应有满足管网公司要求安全防护措施，确保有限空间的作业安全。</w:t>
      </w:r>
    </w:p>
    <w:p w14:paraId="6BD99752">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（四）在服务过程中应按进度情况及时整理资料，项目完工后1个月内向本公司提交合格的竣工验收及结算资料，并在工程结算经双方确认后15个工作日内提交完整的结算款请款资料。</w:t>
      </w:r>
    </w:p>
    <w:p w14:paraId="158F1B1B">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（五）按照本公司的要求提交真实的作业现场的视频和带水印相机图片等影像资料。</w:t>
      </w:r>
    </w:p>
    <w:p w14:paraId="2E0F8718">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（六）应按实际上岗人数自行到有关部门申办有关用工手续，为员工劳动购买意外保险等手续，安排好下属人员的住宿和安全教育管理工作。</w:t>
      </w:r>
    </w:p>
    <w:p w14:paraId="24BE649C">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七）对项目负责人、项目安全员、造价员、资料员实行实名制管理，各单项项目人员进场时应当向本公司提交拟委派进场人员清单，信息包括姓名、身份证号、岗位职责等信息，并提交现场人员的身份证复印件、资质证书等（加盖公司公章），确保派出的特种作业人员必须持证上岗。</w:t>
      </w:r>
    </w:p>
    <w:p w14:paraId="372673B0">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（八）确保维修人员有足够技术能力完成服务工作，在提供服务的过程中，严格遵守国家和地方的安全法律法规。</w:t>
      </w:r>
    </w:p>
    <w:p w14:paraId="5930F78F">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（九）协助各分公司开展预防性维修工作，配合制订相关维修方案，提供相关维修技术咨询服务。</w:t>
      </w:r>
    </w:p>
    <w:p w14:paraId="469613DF">
      <w:pPr>
        <w:pStyle w:val="19"/>
        <w:spacing w:line="600" w:lineRule="exact"/>
        <w:ind w:firstLineChars="200"/>
        <w:rPr>
          <w:rFonts w:ascii="宋体" w:hAnsi="宋体" w:eastAsia="宋体" w:cs="宋体"/>
          <w:color w:val="auto"/>
          <w:szCs w:val="21"/>
        </w:rPr>
      </w:pPr>
      <w:r>
        <w:rPr>
          <w:rFonts w:hint="eastAsia" w:ascii="宋体" w:hAnsi="宋体" w:eastAsia="宋体" w:cs="宋体"/>
          <w:color w:val="auto"/>
          <w:szCs w:val="21"/>
        </w:rPr>
        <w:t>（十）严格执行国家和地方防疫政策及要求。</w:t>
      </w:r>
    </w:p>
    <w:p w14:paraId="06853392">
      <w:pPr>
        <w:pStyle w:val="19"/>
        <w:adjustRightInd w:val="0"/>
        <w:snapToGrid w:val="0"/>
        <w:spacing w:line="600" w:lineRule="exact"/>
        <w:ind w:firstLine="0" w:firstLineChars="0"/>
        <w:rPr>
          <w:rFonts w:ascii="宋体" w:hAnsi="宋体" w:eastAsia="宋体" w:cs="宋体"/>
          <w:color w:val="auto"/>
          <w:szCs w:val="21"/>
        </w:rPr>
      </w:pPr>
    </w:p>
    <w:p w14:paraId="3F182E8C">
      <w:pPr>
        <w:numPr>
          <w:ilvl w:val="0"/>
          <w:numId w:val="10"/>
        </w:numPr>
        <w:snapToGrid w:val="0"/>
        <w:spacing w:line="600" w:lineRule="exact"/>
        <w:jc w:val="center"/>
        <w:textAlignment w:val="baseline"/>
        <w:rPr>
          <w:rFonts w:ascii="宋体" w:hAnsi="宋体" w:eastAsia="宋体" w:cs="宋体"/>
          <w:b/>
          <w:bCs/>
          <w:color w:val="auto"/>
          <w:szCs w:val="21"/>
        </w:rPr>
      </w:pPr>
      <w:r>
        <w:rPr>
          <w:rFonts w:hint="eastAsia" w:ascii="宋体" w:hAnsi="宋体" w:eastAsia="宋体" w:cs="宋体"/>
          <w:b/>
          <w:bCs/>
          <w:color w:val="auto"/>
          <w:szCs w:val="21"/>
        </w:rPr>
        <w:t>服务单位的资质标准</w:t>
      </w:r>
    </w:p>
    <w:p w14:paraId="1DBE87C7">
      <w:p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lang w:bidi="zh-CN"/>
        </w:rPr>
        <w:t>第九条</w:t>
      </w:r>
      <w:r>
        <w:rPr>
          <w:rFonts w:hint="eastAsia" w:ascii="宋体" w:hAnsi="宋体" w:eastAsia="宋体" w:cs="宋体"/>
          <w:color w:val="auto"/>
          <w:szCs w:val="21"/>
        </w:rPr>
        <w:t xml:space="preserve"> 机电设备维修服务商的基本要求：具有合法市场主体的资格，具有良好的商业信誉，近三年经营活动中无违法记录和重大法律纠纷，能独立承担民事责任，满足管网公司机电设备维修服务商专业及维修条件，具备与公司规模相适应的管理人员和专业技术人员，专业人员应持有相关资质证书。</w:t>
      </w:r>
    </w:p>
    <w:p w14:paraId="316BABBE">
      <w:p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lang w:bidi="zh-CN"/>
        </w:rPr>
        <w:t>第十条</w:t>
      </w:r>
      <w:r>
        <w:rPr>
          <w:rFonts w:hint="eastAsia" w:ascii="宋体" w:hAnsi="宋体" w:eastAsia="宋体" w:cs="宋体"/>
          <w:color w:val="auto"/>
          <w:szCs w:val="21"/>
        </w:rPr>
        <w:t xml:space="preserve"> 机电设备维修服务商的技术要求：具有提供机电设备维修服务内容的所需工器具及维修场所，具有最近3年在污水处理厂或提升泵站从事过潜水泵、格栅机、闸门（阀门）、管道等机电设备安装或者维修的经历。</w:t>
      </w:r>
    </w:p>
    <w:p w14:paraId="0AA878AF">
      <w:p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lang w:bidi="zh-CN"/>
        </w:rPr>
        <w:t>第十一条</w:t>
      </w:r>
      <w:r>
        <w:rPr>
          <w:rFonts w:hint="eastAsia" w:ascii="宋体" w:hAnsi="宋体" w:eastAsia="宋体" w:cs="宋体"/>
          <w:color w:val="auto"/>
          <w:szCs w:val="21"/>
          <w:lang w:bidi="zh-CN"/>
        </w:rPr>
        <w:t xml:space="preserve"> </w:t>
      </w:r>
      <w:r>
        <w:rPr>
          <w:rFonts w:hint="eastAsia" w:ascii="宋体" w:hAnsi="宋体" w:eastAsia="宋体" w:cs="宋体"/>
          <w:color w:val="auto"/>
          <w:szCs w:val="21"/>
        </w:rPr>
        <w:t>机电设备维修服务商应具备的技术能力：</w:t>
      </w:r>
    </w:p>
    <w:p w14:paraId="7C2A912F">
      <w:pPr>
        <w:numPr>
          <w:ilvl w:val="255"/>
          <w:numId w:val="0"/>
        </w:num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（1）应具备对专业服务对象（如潜水泵、格栅机、闸门、变频器等）的故障诊断、排除、维修和技术支持能力。</w:t>
      </w:r>
    </w:p>
    <w:p w14:paraId="0810C073">
      <w:pPr>
        <w:numPr>
          <w:ilvl w:val="255"/>
          <w:numId w:val="0"/>
        </w:num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（2）具备制订（制定）机电设备维修解决方案和实施的能力。</w:t>
      </w:r>
    </w:p>
    <w:p w14:paraId="05B39F5F">
      <w:pPr>
        <w:numPr>
          <w:ilvl w:val="255"/>
          <w:numId w:val="0"/>
        </w:num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（3）具有同主流泵站主要机电设备厂商有良好的合作关系。</w:t>
      </w:r>
    </w:p>
    <w:p w14:paraId="56F5BDB3">
      <w:pPr>
        <w:numPr>
          <w:ilvl w:val="255"/>
          <w:numId w:val="0"/>
        </w:numPr>
        <w:tabs>
          <w:tab w:val="left" w:pos="0"/>
        </w:tabs>
        <w:snapToGrid w:val="0"/>
        <w:spacing w:line="600" w:lineRule="exact"/>
        <w:ind w:left="1002" w:leftChars="477"/>
        <w:textAlignment w:val="baseline"/>
        <w:rPr>
          <w:rFonts w:ascii="宋体" w:hAnsi="宋体" w:eastAsia="宋体" w:cs="宋体"/>
          <w:color w:val="auto"/>
          <w:szCs w:val="21"/>
        </w:rPr>
      </w:pPr>
    </w:p>
    <w:p w14:paraId="2C7B7317">
      <w:pPr>
        <w:numPr>
          <w:ilvl w:val="0"/>
          <w:numId w:val="10"/>
        </w:numPr>
        <w:snapToGrid w:val="0"/>
        <w:spacing w:line="600" w:lineRule="exact"/>
        <w:jc w:val="center"/>
        <w:textAlignment w:val="baseline"/>
        <w:rPr>
          <w:rFonts w:ascii="宋体" w:hAnsi="宋体" w:eastAsia="宋体" w:cs="宋体"/>
          <w:b/>
          <w:bCs/>
          <w:color w:val="auto"/>
          <w:szCs w:val="21"/>
          <w:u w:val="single"/>
        </w:rPr>
      </w:pPr>
      <w:r>
        <w:rPr>
          <w:rFonts w:hint="eastAsia" w:ascii="宋体" w:hAnsi="宋体" w:eastAsia="宋体" w:cs="宋体"/>
          <w:b/>
          <w:bCs/>
          <w:color w:val="auto"/>
          <w:szCs w:val="21"/>
        </w:rPr>
        <w:t>服务单位提供的业务范围</w:t>
      </w:r>
    </w:p>
    <w:p w14:paraId="16FB04E3">
      <w:p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rPr>
        <w:t>第十二条</w:t>
      </w:r>
      <w:r>
        <w:rPr>
          <w:rFonts w:hint="eastAsia" w:ascii="宋体" w:hAnsi="宋体" w:eastAsia="宋体" w:cs="宋体"/>
          <w:color w:val="auto"/>
          <w:szCs w:val="21"/>
        </w:rPr>
        <w:t xml:space="preserve">  机电设备维修维护。</w:t>
      </w:r>
    </w:p>
    <w:p w14:paraId="36F72F8A">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（1）负责各片区范围内机电设备的维修、技术改造、重置、应急抢修、运输、拆卸、零配件加工及修复。</w:t>
      </w:r>
    </w:p>
    <w:p w14:paraId="43E78804">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（2）负责各片区范围内雨棚及停车棚、围栏等设施维修。</w:t>
      </w:r>
    </w:p>
    <w:p w14:paraId="2459D4DA">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（3）负责各片区范围内机电设备维修所需的开挖、井室修复及改造、管道接合、路面恢复等零星土建工程以及水下封堵作业等工作（以机电设备维修为主）。</w:t>
      </w:r>
    </w:p>
    <w:p w14:paraId="2547690B">
      <w:p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rPr>
        <w:t>第十三条</w:t>
      </w:r>
      <w:r>
        <w:rPr>
          <w:rFonts w:hint="eastAsia" w:ascii="宋体" w:hAnsi="宋体" w:eastAsia="宋体" w:cs="宋体"/>
          <w:color w:val="auto"/>
          <w:szCs w:val="21"/>
        </w:rPr>
        <w:t xml:space="preserve">  技术咨询。</w:t>
      </w:r>
    </w:p>
    <w:p w14:paraId="3F95872A">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（1）根据管网公司设备管理总体部署及泵站现状，协助各分公司制订切实可行的机电设备预防性维修技术实施方案。</w:t>
      </w:r>
    </w:p>
    <w:p w14:paraId="666F2AA0">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（2）协助各分公司对现有的泵站设备设施、设备运行状态及应用情况进行诊断和评估，提出合理建议。</w:t>
      </w:r>
    </w:p>
    <w:p w14:paraId="51C32A32">
      <w:pPr>
        <w:tabs>
          <w:tab w:val="left" w:pos="0"/>
        </w:tabs>
        <w:snapToGrid w:val="0"/>
        <w:spacing w:line="600" w:lineRule="exact"/>
        <w:ind w:firstLine="420" w:firstLineChars="200"/>
        <w:textAlignment w:val="baseline"/>
        <w:rPr>
          <w:rFonts w:ascii="宋体" w:hAnsi="宋体" w:eastAsia="宋体" w:cs="宋体"/>
          <w:color w:val="auto"/>
          <w:szCs w:val="21"/>
          <w:u w:val="single"/>
        </w:rPr>
      </w:pPr>
      <w:r>
        <w:rPr>
          <w:rFonts w:hint="eastAsia" w:ascii="宋体" w:hAnsi="宋体" w:eastAsia="宋体" w:cs="宋体"/>
          <w:color w:val="auto"/>
          <w:szCs w:val="21"/>
        </w:rPr>
        <w:t>（3）提供其他需要的技术咨询。</w:t>
      </w:r>
    </w:p>
    <w:p w14:paraId="4736937C">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第十四条  技术和管理培训。</w:t>
      </w:r>
    </w:p>
    <w:p w14:paraId="13C4D54A">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（1）根据管网公司的实际情况适当提供设备维修技术或管理培训。</w:t>
      </w:r>
    </w:p>
    <w:p w14:paraId="0137382D">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（2）跟踪适合于管网公司应用发展的设备维修国际先进技术和管理经验并及时推介。</w:t>
      </w:r>
    </w:p>
    <w:p w14:paraId="3E72C3FB">
      <w:p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rPr>
        <w:t>第十五条</w:t>
      </w:r>
      <w:r>
        <w:rPr>
          <w:rFonts w:hint="eastAsia" w:ascii="宋体" w:hAnsi="宋体" w:eastAsia="宋体" w:cs="宋体"/>
          <w:color w:val="auto"/>
          <w:szCs w:val="21"/>
        </w:rPr>
        <w:t xml:space="preserve">  其他工作。</w:t>
      </w:r>
    </w:p>
    <w:p w14:paraId="53D53F69">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（1）提供相关厂家产品资料供管网公司使用部门选型。</w:t>
      </w:r>
    </w:p>
    <w:p w14:paraId="36EE9289">
      <w:pPr>
        <w:tabs>
          <w:tab w:val="left" w:pos="0"/>
        </w:tabs>
        <w:snapToGrid w:val="0"/>
        <w:spacing w:line="600" w:lineRule="exact"/>
        <w:ind w:firstLine="420" w:firstLineChars="200"/>
        <w:textAlignment w:val="baseline"/>
        <w:rPr>
          <w:rFonts w:ascii="宋体" w:hAnsi="宋体" w:eastAsia="宋体" w:cs="宋体"/>
          <w:color w:val="auto"/>
          <w:szCs w:val="21"/>
        </w:rPr>
      </w:pPr>
      <w:r>
        <w:rPr>
          <w:rFonts w:hint="eastAsia" w:ascii="宋体" w:hAnsi="宋体" w:eastAsia="宋体" w:cs="宋体"/>
          <w:color w:val="auto"/>
          <w:szCs w:val="21"/>
        </w:rPr>
        <w:t>（2）需要完成的其他技术工作。</w:t>
      </w:r>
    </w:p>
    <w:p w14:paraId="7978611E">
      <w:pPr>
        <w:tabs>
          <w:tab w:val="left" w:pos="0"/>
        </w:tabs>
        <w:snapToGrid w:val="0"/>
        <w:spacing w:line="600" w:lineRule="exact"/>
        <w:ind w:firstLine="464" w:firstLineChars="221"/>
        <w:textAlignment w:val="baseline"/>
        <w:rPr>
          <w:rFonts w:ascii="宋体" w:hAnsi="宋体" w:eastAsia="宋体" w:cs="宋体"/>
          <w:color w:val="auto"/>
          <w:szCs w:val="21"/>
        </w:rPr>
      </w:pPr>
    </w:p>
    <w:p w14:paraId="1A32A374">
      <w:pPr>
        <w:numPr>
          <w:ilvl w:val="0"/>
          <w:numId w:val="10"/>
        </w:numPr>
        <w:snapToGrid w:val="0"/>
        <w:spacing w:line="600" w:lineRule="exact"/>
        <w:jc w:val="center"/>
        <w:textAlignment w:val="baseline"/>
        <w:rPr>
          <w:rFonts w:ascii="宋体" w:hAnsi="宋体" w:eastAsia="宋体" w:cs="宋体"/>
          <w:b/>
          <w:bCs/>
          <w:color w:val="auto"/>
          <w:szCs w:val="21"/>
        </w:rPr>
      </w:pPr>
      <w:r>
        <w:rPr>
          <w:rFonts w:hint="eastAsia" w:ascii="宋体" w:hAnsi="宋体" w:eastAsia="宋体" w:cs="宋体"/>
          <w:b/>
          <w:bCs/>
          <w:color w:val="auto"/>
          <w:szCs w:val="21"/>
        </w:rPr>
        <w:t>委外维修工作流程</w:t>
      </w:r>
    </w:p>
    <w:p w14:paraId="23B54DD1">
      <w:pPr>
        <w:numPr>
          <w:ilvl w:val="255"/>
          <w:numId w:val="0"/>
        </w:num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rPr>
        <w:t>第十六条</w:t>
      </w:r>
      <w:r>
        <w:rPr>
          <w:rFonts w:hint="eastAsia" w:ascii="宋体" w:hAnsi="宋体" w:eastAsia="宋体" w:cs="宋体"/>
          <w:color w:val="auto"/>
          <w:szCs w:val="21"/>
        </w:rPr>
        <w:t xml:space="preserve">  计划类委外机电维修。由分公司设备工作部根据泵站运行故障情况，制订单位委外机电维修项目实施计划，编制单项机电设备维修任务需求书。</w:t>
      </w:r>
    </w:p>
    <w:p w14:paraId="7D7718FF">
      <w:pPr>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第十七条</w:t>
      </w:r>
      <w:r>
        <w:rPr>
          <w:rFonts w:hint="eastAsia" w:ascii="宋体" w:hAnsi="宋体" w:eastAsia="宋体" w:cs="宋体"/>
          <w:color w:val="auto"/>
          <w:szCs w:val="21"/>
        </w:rPr>
        <w:t xml:space="preserve"> 技术诊断。</w:t>
      </w:r>
    </w:p>
    <w:p w14:paraId="5D06F92D">
      <w:pPr>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各分公司设备工作部接到报修单后，应根据项目轻重缓急和工种需要分派任务，原则上应在48小时内进行响应。如报修项目影响到泵站输水能力满足不了设计规模的，各分公司设备工作部负责人应在2个小时内通知设备管理部；</w:t>
      </w:r>
    </w:p>
    <w:p w14:paraId="6F922E01">
      <w:pPr>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（二）对于重要泵站的紧急报修，各分公司设备工作部在接到报修后1小时内应派人到达维修现场，排查故障，开展维修，必要时请求设备管理部支援；</w:t>
      </w:r>
    </w:p>
    <w:p w14:paraId="55FBC377">
      <w:pPr>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当分公司设备工作部不能确定设备故障原因，应及时上报给公司设备管理部，由设备管理部协助分公司进行故障检修工作，判断公司内技术力量能否修复，确定内修或外委，能修复则按维修流程进行修复，如不能修复则立项委外；</w:t>
      </w:r>
    </w:p>
    <w:p w14:paraId="368683AC">
      <w:pPr>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（四）故障设备经检查诊断后，需要发外维修的，由设备管理部确认后，由分公司设备工作部发起立项申请委外维修。</w:t>
      </w:r>
    </w:p>
    <w:p w14:paraId="61763659">
      <w:pPr>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第十八条</w:t>
      </w:r>
      <w:r>
        <w:rPr>
          <w:rFonts w:hint="eastAsia" w:ascii="宋体" w:hAnsi="宋体" w:eastAsia="宋体" w:cs="宋体"/>
          <w:color w:val="auto"/>
          <w:szCs w:val="21"/>
        </w:rPr>
        <w:t xml:space="preserve"> 委外维修</w:t>
      </w:r>
    </w:p>
    <w:p w14:paraId="0F0FDE82">
      <w:pPr>
        <w:tabs>
          <w:tab w:val="left" w:pos="1080"/>
          <w:tab w:val="left" w:pos="1440"/>
          <w:tab w:val="left" w:pos="1843"/>
          <w:tab w:val="left" w:pos="2127"/>
        </w:tabs>
        <w:adjustRightInd w:val="0"/>
        <w:snapToGrid w:val="0"/>
        <w:spacing w:line="600" w:lineRule="exact"/>
        <w:ind w:firstLine="420" w:firstLineChars="200"/>
        <w:rPr>
          <w:rFonts w:ascii="宋体" w:hAnsi="宋体" w:eastAsia="宋体" w:cs="宋体"/>
          <w:color w:val="auto"/>
          <w:szCs w:val="21"/>
          <w:lang w:bidi="zh-CN"/>
        </w:rPr>
      </w:pPr>
      <w:r>
        <w:rPr>
          <w:rFonts w:hint="eastAsia" w:ascii="宋体" w:hAnsi="宋体" w:eastAsia="宋体" w:cs="宋体"/>
          <w:color w:val="auto"/>
          <w:szCs w:val="21"/>
        </w:rPr>
        <w:t>（一）委外原则。</w:t>
      </w:r>
    </w:p>
    <w:p w14:paraId="6ED7E376">
      <w:pPr>
        <w:pStyle w:val="19"/>
        <w:spacing w:line="600" w:lineRule="exact"/>
        <w:ind w:firstLineChars="200"/>
        <w:rPr>
          <w:rFonts w:ascii="宋体" w:hAnsi="宋体" w:eastAsia="宋体" w:cs="宋体"/>
          <w:color w:val="auto"/>
          <w:szCs w:val="21"/>
        </w:rPr>
      </w:pPr>
      <w:r>
        <w:rPr>
          <w:rFonts w:hint="eastAsia" w:ascii="宋体" w:hAnsi="宋体" w:eastAsia="宋体" w:cs="宋体"/>
          <w:color w:val="auto"/>
          <w:szCs w:val="21"/>
        </w:rPr>
        <w:t>（1）机电设备委外维修只限对各分公司的机电设备维修力量不足、工器具、车辆、场地等条件不具备或是紧急维修而服务单位又具备技术服务能力的项目，服务单位不得要求管网公司将运营的提升泵站项目的所有维修、采购技术服务发包给服务单位实施。</w:t>
      </w:r>
    </w:p>
    <w:p w14:paraId="6B3E1595">
      <w:pPr>
        <w:pStyle w:val="19"/>
        <w:spacing w:line="600" w:lineRule="exact"/>
        <w:ind w:firstLineChars="200"/>
        <w:rPr>
          <w:rFonts w:ascii="宋体" w:hAnsi="宋体" w:eastAsia="宋体" w:cs="宋体"/>
          <w:color w:val="auto"/>
          <w:szCs w:val="21"/>
        </w:rPr>
      </w:pPr>
      <w:r>
        <w:rPr>
          <w:rFonts w:hint="eastAsia" w:ascii="宋体" w:hAnsi="宋体" w:eastAsia="宋体" w:cs="宋体"/>
          <w:color w:val="auto"/>
          <w:szCs w:val="21"/>
        </w:rPr>
        <w:t>（2）对于拟委外的维修项目，设备管理部与分公司应现场核查后形成书面依据共同确认委外事宜，包括但不限于故障状况描述、实施理由、初步方案等，作为后续办理委外内部立项的原始依据。</w:t>
      </w:r>
    </w:p>
    <w:p w14:paraId="47CEEEBD">
      <w:pPr>
        <w:pStyle w:val="19"/>
        <w:spacing w:line="600" w:lineRule="exact"/>
        <w:ind w:firstLineChars="200"/>
        <w:rPr>
          <w:rFonts w:ascii="宋体" w:hAnsi="宋体" w:eastAsia="宋体" w:cs="宋体"/>
          <w:color w:val="auto"/>
          <w:szCs w:val="21"/>
        </w:rPr>
      </w:pPr>
      <w:r>
        <w:rPr>
          <w:rFonts w:hint="eastAsia" w:ascii="宋体" w:hAnsi="宋体" w:eastAsia="宋体" w:cs="宋体"/>
          <w:color w:val="auto"/>
          <w:szCs w:val="21"/>
        </w:rPr>
        <w:t>（二）委外立项。</w:t>
      </w:r>
    </w:p>
    <w:p w14:paraId="68A99B01">
      <w:p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rPr>
        <w:t>（1）编制委外维修需求书。</w:t>
      </w:r>
      <w:r>
        <w:rPr>
          <w:rFonts w:hint="eastAsia" w:ascii="宋体" w:hAnsi="宋体" w:eastAsia="宋体" w:cs="宋体"/>
          <w:color w:val="auto"/>
          <w:szCs w:val="21"/>
        </w:rPr>
        <w:t>委外维修前设备管理部与分公司应派人对设备故障进行初步判定，由分公司编制委外维修需求书，设备委外维修需求书应包括设备故障状况评定、委外修理立项原因、修理范围、修理内容、质量要求、估算、验收标准等内容，要求理由充分、方案合理、表述清楚。</w:t>
      </w:r>
    </w:p>
    <w:p w14:paraId="4DAC671B">
      <w:pPr>
        <w:tabs>
          <w:tab w:val="left" w:pos="0"/>
        </w:tabs>
        <w:snapToGrid w:val="0"/>
        <w:spacing w:line="600" w:lineRule="exact"/>
        <w:ind w:firstLine="422" w:firstLineChars="200"/>
        <w:textAlignment w:val="baseline"/>
        <w:rPr>
          <w:rFonts w:ascii="宋体" w:hAnsi="宋体" w:eastAsia="宋体" w:cs="宋体"/>
          <w:color w:val="auto"/>
          <w:szCs w:val="21"/>
        </w:rPr>
      </w:pPr>
      <w:r>
        <w:rPr>
          <w:rFonts w:hint="eastAsia" w:ascii="宋体" w:hAnsi="宋体" w:eastAsia="宋体" w:cs="宋体"/>
          <w:b/>
          <w:bCs/>
          <w:color w:val="auto"/>
          <w:szCs w:val="21"/>
        </w:rPr>
        <w:t>（2）编制委外维修服务费估算。</w:t>
      </w:r>
      <w:r>
        <w:rPr>
          <w:rFonts w:hint="eastAsia" w:ascii="宋体" w:hAnsi="宋体" w:eastAsia="宋体" w:cs="宋体"/>
          <w:color w:val="auto"/>
          <w:szCs w:val="21"/>
        </w:rPr>
        <w:t>委外维修前，分公司须按照《机电设备维修服务项目清单库》编制项目预算估算；若常用清单库缺少相关现场实际工况项目子项，分公司可以以市场价进行估算立项，后由合同管理部进行审定。对于单项机电设备维修项目≥10万元的，分公司须向合同管理部提出请求编制预算书面申请，由合同管理部编制机电设备维修项目预算书。</w:t>
      </w:r>
    </w:p>
    <w:p w14:paraId="69FC464E">
      <w:pPr>
        <w:snapToGrid w:val="0"/>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（3）立项审批。</w:t>
      </w:r>
      <w:r>
        <w:rPr>
          <w:rFonts w:hint="eastAsia" w:ascii="宋体" w:hAnsi="宋体" w:eastAsia="宋体" w:cs="宋体"/>
          <w:color w:val="auto"/>
          <w:szCs w:val="21"/>
        </w:rPr>
        <w:t>设备委外维修由各分公司设备工作部立项走项目采购呈批，并按公司审批权限相关规定报相关管理层级审批。</w:t>
      </w:r>
    </w:p>
    <w:p w14:paraId="0E2213D4">
      <w:pPr>
        <w:snapToGrid w:val="0"/>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（4）委外派单。</w:t>
      </w:r>
      <w:r>
        <w:rPr>
          <w:rFonts w:hint="eastAsia" w:ascii="宋体" w:hAnsi="宋体" w:eastAsia="宋体" w:cs="宋体"/>
          <w:color w:val="auto"/>
          <w:szCs w:val="21"/>
        </w:rPr>
        <w:t>委外采购立项后，由分公司根据立项审批批复，发起委外派单申请，项目名称应参考“xx镇街xx项目（项目类别，如管网一体化、水生态xx期等）xx机电设备维修项目委派申请”，呈批内容直接写明委外维修的单位，需盖xx项目公司公章等要求，委外呈批附件须包含的内容：用户需求书、</w:t>
      </w:r>
    </w:p>
    <w:p w14:paraId="4C5F584C">
      <w:pPr>
        <w:snapToGrid w:val="0"/>
        <w:spacing w:line="600" w:lineRule="exact"/>
        <w:rPr>
          <w:rFonts w:ascii="宋体" w:hAnsi="宋体" w:eastAsia="宋体" w:cs="宋体"/>
          <w:color w:val="auto"/>
          <w:szCs w:val="21"/>
        </w:rPr>
      </w:pPr>
      <w:r>
        <w:rPr>
          <w:rFonts w:hint="eastAsia" w:ascii="宋体" w:hAnsi="宋体" w:eastAsia="宋体" w:cs="宋体"/>
          <w:color w:val="auto"/>
          <w:szCs w:val="21"/>
        </w:rPr>
        <w:t>项目估算表或者预算书、相关立项审批文件、项目承接协议书。</w:t>
      </w:r>
    </w:p>
    <w:p w14:paraId="00CB42DD">
      <w:pPr>
        <w:widowControl/>
        <w:numPr>
          <w:ilvl w:val="255"/>
          <w:numId w:val="0"/>
        </w:numPr>
        <w:snapToGrid w:val="0"/>
        <w:spacing w:line="600" w:lineRule="exact"/>
        <w:ind w:firstLine="422" w:firstLineChars="200"/>
        <w:jc w:val="left"/>
        <w:rPr>
          <w:rFonts w:ascii="宋体" w:hAnsi="宋体" w:eastAsia="宋体" w:cs="宋体"/>
          <w:color w:val="auto"/>
          <w:szCs w:val="21"/>
          <w:lang w:bidi="ar"/>
        </w:rPr>
      </w:pPr>
      <w:r>
        <w:rPr>
          <w:rFonts w:hint="eastAsia" w:ascii="宋体" w:hAnsi="宋体" w:eastAsia="宋体" w:cs="宋体"/>
          <w:b/>
          <w:bCs/>
          <w:color w:val="auto"/>
          <w:szCs w:val="21"/>
        </w:rPr>
        <w:t>（5）签订项目承接协议书。</w:t>
      </w:r>
      <w:r>
        <w:rPr>
          <w:rFonts w:hint="eastAsia" w:ascii="宋体" w:hAnsi="宋体" w:eastAsia="宋体" w:cs="宋体"/>
          <w:color w:val="auto"/>
          <w:szCs w:val="21"/>
        </w:rPr>
        <w:t>设备委外维修项目批准后，各分公司应与外修单位签订书面【项目承接协议书】。协议书应包括委外维修（服务）项目的名称、维修（服务）内容质量要求及验收标准、维修（服务）费用、质保期等基本内容，条款应当详尽、明确。服务单位接到任务通知后2个小时内需予以电话或信息响应，并于次日（包括节假日）上午下班前正式实际性的开展所需的技术服务工作（如现场踏勘等），并于接到【项目承接确认协议书】后的3个自然日内提交维修技术服务方案和管网公司要求的安全资料给需求部门审核。对于特别紧急的技术服务项目，服务单位应在接到通知后3个小时内需实际性的开展所需的技术服务工作。</w:t>
      </w:r>
    </w:p>
    <w:p w14:paraId="10D0D74E">
      <w:pPr>
        <w:numPr>
          <w:ilvl w:val="255"/>
          <w:numId w:val="0"/>
        </w:numPr>
        <w:snapToGrid w:val="0"/>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（6）应急委外派单。</w:t>
      </w:r>
      <w:r>
        <w:rPr>
          <w:rFonts w:hint="eastAsia" w:ascii="宋体" w:hAnsi="宋体" w:eastAsia="宋体" w:cs="宋体"/>
          <w:color w:val="auto"/>
          <w:szCs w:val="21"/>
        </w:rPr>
        <w:t>根据东莞市水务集团管网有限公司生产运营突发异常情况应急处置工作方案，符合以下情形之一，可按应急机电维修项目实施；</w:t>
      </w:r>
    </w:p>
    <w:p w14:paraId="36E07599">
      <w:pPr>
        <w:numPr>
          <w:ilvl w:val="255"/>
          <w:numId w:val="0"/>
        </w:numPr>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1．污水泵站主要设备如水泵突然停运导致溢流，严重影响考核断面的；</w:t>
      </w:r>
    </w:p>
    <w:p w14:paraId="5C0C3EA4">
      <w:pPr>
        <w:numPr>
          <w:ilvl w:val="255"/>
          <w:numId w:val="0"/>
        </w:numPr>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2．泵站电力设备、闸门、排水管网等突然发生严重故障，短期内如无法恢复正常生产会造成严重社会影响的，须立即请求外援单位给以协助的；</w:t>
      </w:r>
    </w:p>
    <w:p w14:paraId="5CCC09D2">
      <w:pPr>
        <w:numPr>
          <w:ilvl w:val="255"/>
          <w:numId w:val="0"/>
        </w:numPr>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3．因市政府或镇街相关政府职能部门、市水务集团要求限期完成；</w:t>
      </w:r>
    </w:p>
    <w:p w14:paraId="1AA19AE1">
      <w:pPr>
        <w:numPr>
          <w:ilvl w:val="255"/>
          <w:numId w:val="0"/>
        </w:numPr>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应急机电维修项目在估算（预算）、技术方案未确定之前，由需求部门提交书面申请（详见附件10），并提交至设备管理部审批签字作为先行派单的依据，由分公司指派负责辖区机电维修服务单位直接进场，开展修复或止损作业，按实结算。分公司须在服务单位派出之日起，2个工作日内完成立项申请并于10个工作日内完成立项流程。</w:t>
      </w:r>
    </w:p>
    <w:p w14:paraId="44BF5832">
      <w:pPr>
        <w:tabs>
          <w:tab w:val="left" w:pos="1080"/>
          <w:tab w:val="left" w:pos="1440"/>
          <w:tab w:val="left" w:pos="1843"/>
          <w:tab w:val="left" w:pos="2127"/>
        </w:tabs>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（三）委外实施。</w:t>
      </w:r>
    </w:p>
    <w:p w14:paraId="7BA74150">
      <w:pPr>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（1）设备委外维修项目实施过程中，各分公司应当安排专业技术人员或维修人员参与设备维修监督工作，协调维修进度，监督维修质量，收集相关维修资料。</w:t>
      </w:r>
    </w:p>
    <w:p w14:paraId="5A81A162">
      <w:pPr>
        <w:numPr>
          <w:ilvl w:val="255"/>
          <w:numId w:val="0"/>
        </w:numPr>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（2）在委外维修过程中，涉及设备解体的，送外维修的分公司设备工作部需派专人到维修单位对解体过程监督，对于新发现的问题应拍照取证，判断确认是否按维修项目进行维修或更换配件。</w:t>
      </w:r>
    </w:p>
    <w:p w14:paraId="3A19083D">
      <w:pPr>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3）对送外加工的零件，委外加工前，各分公司维修人员应与服务单位双方确认送外前加工件的尺寸参数、缺损情况或技术参数，拍照取证，确认验收标准或加工后的尺寸、精度、技术达标要求，返回后复查上述参数并双方确认。相关信息需做好书面记录，按设备技术资料管理要求整理存档。</w:t>
      </w:r>
    </w:p>
    <w:p w14:paraId="6D5DEB9E">
      <w:pPr>
        <w:tabs>
          <w:tab w:val="left" w:pos="0"/>
        </w:tabs>
        <w:snapToGrid w:val="0"/>
        <w:spacing w:line="600" w:lineRule="exact"/>
        <w:textAlignment w:val="baseline"/>
        <w:rPr>
          <w:rFonts w:ascii="宋体" w:hAnsi="宋体" w:eastAsia="宋体" w:cs="宋体"/>
          <w:color w:val="auto"/>
          <w:szCs w:val="21"/>
        </w:rPr>
      </w:pPr>
    </w:p>
    <w:p w14:paraId="4724F5F9">
      <w:pPr>
        <w:numPr>
          <w:ilvl w:val="0"/>
          <w:numId w:val="10"/>
        </w:numPr>
        <w:snapToGrid w:val="0"/>
        <w:spacing w:line="600" w:lineRule="exact"/>
        <w:jc w:val="center"/>
        <w:textAlignment w:val="baseline"/>
        <w:rPr>
          <w:rFonts w:ascii="宋体" w:hAnsi="宋体" w:eastAsia="宋体" w:cs="宋体"/>
          <w:b/>
          <w:bCs/>
          <w:color w:val="auto"/>
          <w:szCs w:val="21"/>
        </w:rPr>
      </w:pPr>
      <w:r>
        <w:rPr>
          <w:rFonts w:hint="eastAsia" w:ascii="宋体" w:hAnsi="宋体" w:eastAsia="宋体" w:cs="宋体"/>
          <w:b/>
          <w:bCs/>
          <w:color w:val="auto"/>
          <w:szCs w:val="21"/>
        </w:rPr>
        <w:t>委外维修项目的验收</w:t>
      </w:r>
    </w:p>
    <w:p w14:paraId="6FFD28BF">
      <w:pPr>
        <w:tabs>
          <w:tab w:val="left" w:pos="1080"/>
          <w:tab w:val="left" w:pos="1440"/>
          <w:tab w:val="left" w:pos="1843"/>
          <w:tab w:val="left" w:pos="2127"/>
        </w:tabs>
        <w:adjustRightInd w:val="0"/>
        <w:snapToGrid w:val="0"/>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第十九条</w:t>
      </w:r>
      <w:r>
        <w:rPr>
          <w:rFonts w:hint="eastAsia" w:ascii="宋体" w:hAnsi="宋体" w:eastAsia="宋体" w:cs="宋体"/>
          <w:color w:val="auto"/>
          <w:szCs w:val="21"/>
        </w:rPr>
        <w:t xml:space="preserve"> 设备维修完成后需对其维修项目进行验收，由使用部门（分公司）填写</w:t>
      </w:r>
      <w:r>
        <w:rPr>
          <w:rFonts w:hint="eastAsia" w:ascii="宋体" w:hAnsi="宋体" w:eastAsia="宋体" w:cs="宋体"/>
          <w:color w:val="auto"/>
          <w:kern w:val="0"/>
          <w:szCs w:val="21"/>
          <w:lang w:bidi="zh-TW"/>
        </w:rPr>
        <w:t>《到货验收单》、</w:t>
      </w:r>
      <w:r>
        <w:rPr>
          <w:rFonts w:hint="eastAsia" w:ascii="宋体" w:hAnsi="宋体" w:eastAsia="宋体" w:cs="宋体"/>
          <w:color w:val="auto"/>
          <w:szCs w:val="21"/>
        </w:rPr>
        <w:t>《xx项目验收报告单》，明确表述维修项目验收情况，描述性能试验、检测情况。设备管理部、合同管理部、使用部门（分公司）及维修服务单位视情况参与验收。</w:t>
      </w:r>
    </w:p>
    <w:p w14:paraId="5E1118AD">
      <w:pPr>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（一）对于单项单价小于或等于3万元以下的委外维修项目，由需求部门（分公司）组织设备工作部相关技术人员进行验收，验收成员原则上不应少于2人。</w:t>
      </w:r>
    </w:p>
    <w:p w14:paraId="50EC9743">
      <w:pPr>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（二）对于维修单项单价大于3万元以上的委外维修项目，由</w:t>
      </w:r>
      <w:r>
        <w:rPr>
          <w:rFonts w:hint="eastAsia" w:ascii="宋体" w:hAnsi="宋体" w:eastAsia="宋体" w:cs="宋体"/>
          <w:bCs/>
          <w:color w:val="auto"/>
          <w:szCs w:val="21"/>
        </w:rPr>
        <w:t>设备管理部、需求部门（分公司）组成验收小组</w:t>
      </w:r>
      <w:r>
        <w:rPr>
          <w:rFonts w:hint="eastAsia" w:ascii="宋体" w:hAnsi="宋体" w:eastAsia="宋体" w:cs="宋体"/>
          <w:color w:val="auto"/>
          <w:szCs w:val="21"/>
        </w:rPr>
        <w:t>进行验收。</w:t>
      </w:r>
    </w:p>
    <w:p w14:paraId="1F73CD31">
      <w:pPr>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（三）对于自主维修项目，一般情况由分公司自行组织验收，如涉及较大设备维修项目验收，分公司可视情况通知设备管理部派员参加。</w:t>
      </w:r>
    </w:p>
    <w:p w14:paraId="3893A133">
      <w:pPr>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第二十条</w:t>
      </w:r>
      <w:r>
        <w:rPr>
          <w:rFonts w:hint="eastAsia" w:ascii="宋体" w:hAnsi="宋体" w:eastAsia="宋体" w:cs="宋体"/>
          <w:color w:val="auto"/>
          <w:szCs w:val="21"/>
        </w:rPr>
        <w:t xml:space="preserve"> 机电设备维修项目验收不合格时，由使用部门（分公司）联系服务单位进行返修；如有重大争议确需</w:t>
      </w:r>
      <w:r>
        <w:rPr>
          <w:rFonts w:hint="eastAsia" w:ascii="宋体" w:hAnsi="宋体" w:eastAsia="宋体" w:cs="宋体"/>
          <w:color w:val="auto"/>
          <w:kern w:val="0"/>
          <w:szCs w:val="21"/>
          <w:lang w:bidi="zh-TW"/>
        </w:rPr>
        <w:t>设备管理部协助的，分公司应</w:t>
      </w:r>
      <w:r>
        <w:rPr>
          <w:rFonts w:hint="eastAsia" w:ascii="宋体" w:hAnsi="宋体" w:eastAsia="宋体" w:cs="宋体"/>
          <w:color w:val="auto"/>
          <w:szCs w:val="21"/>
        </w:rPr>
        <w:t>及时将情况反馈给设备管理部，可</w:t>
      </w:r>
      <w:r>
        <w:rPr>
          <w:rFonts w:hint="eastAsia" w:ascii="宋体" w:hAnsi="宋体" w:eastAsia="宋体" w:cs="宋体"/>
          <w:color w:val="auto"/>
          <w:kern w:val="0"/>
          <w:szCs w:val="21"/>
          <w:lang w:bidi="zh-TW"/>
        </w:rPr>
        <w:t>由</w:t>
      </w:r>
      <w:r>
        <w:rPr>
          <w:rFonts w:hint="eastAsia" w:ascii="宋体" w:hAnsi="宋体" w:eastAsia="宋体" w:cs="宋体"/>
          <w:color w:val="auto"/>
          <w:szCs w:val="21"/>
          <w:lang w:bidi="zh-TW"/>
        </w:rPr>
        <w:t>设备</w:t>
      </w:r>
      <w:r>
        <w:rPr>
          <w:rFonts w:hint="eastAsia" w:ascii="宋体" w:hAnsi="宋体" w:eastAsia="宋体" w:cs="宋体"/>
          <w:color w:val="auto"/>
          <w:kern w:val="0"/>
          <w:szCs w:val="21"/>
          <w:lang w:bidi="zh-TW"/>
        </w:rPr>
        <w:t>管理部通知维修单位，视情况决定是否退货、更换或者组织分公司约谈服务单位</w:t>
      </w:r>
      <w:r>
        <w:rPr>
          <w:rFonts w:hint="eastAsia" w:ascii="宋体" w:hAnsi="宋体" w:eastAsia="宋体" w:cs="宋体"/>
          <w:color w:val="auto"/>
          <w:szCs w:val="21"/>
        </w:rPr>
        <w:t>。</w:t>
      </w:r>
    </w:p>
    <w:p w14:paraId="129BF78C">
      <w:pPr>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第二十一条</w:t>
      </w:r>
      <w:r>
        <w:rPr>
          <w:rFonts w:hint="eastAsia" w:ascii="宋体" w:hAnsi="宋体" w:eastAsia="宋体" w:cs="宋体"/>
          <w:color w:val="auto"/>
          <w:szCs w:val="21"/>
        </w:rPr>
        <w:t xml:space="preserve"> 委外维修项目对于设备零部件更换或者修理部位，服务单位需对委外项目的隐蔽施工要分工序进行验收并拍照，经分公司设备工作部验收合格才能进行下一道工序施工。</w:t>
      </w:r>
    </w:p>
    <w:p w14:paraId="04747D6B">
      <w:pPr>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第二十二条</w:t>
      </w:r>
      <w:r>
        <w:rPr>
          <w:rFonts w:hint="eastAsia" w:ascii="宋体" w:hAnsi="宋体" w:eastAsia="宋体" w:cs="宋体"/>
          <w:color w:val="auto"/>
          <w:szCs w:val="21"/>
        </w:rPr>
        <w:t xml:space="preserve"> 机电委外维修项目涉及重要设备货物（如水泵、格栅）重置的，要在到货验收单写明设备名称、规格型号、出厂编号、生产厂家以及备品备件等信息，对于柴油发电机、水泵、格栅，必须附上《xxx设备试运行验收记录》，参与验收使用部门（设备管理部、分公司等）要认真核对用户需求书参数与供货设备参数、试运行参数进行比对，并对其验收结果负责。</w:t>
      </w:r>
    </w:p>
    <w:p w14:paraId="03FC3742">
      <w:pPr>
        <w:pStyle w:val="18"/>
        <w:autoSpaceDE/>
        <w:autoSpaceDN/>
        <w:spacing w:line="600" w:lineRule="exact"/>
        <w:ind w:right="-28" w:firstLine="422" w:firstLineChars="200"/>
        <w:jc w:val="left"/>
        <w:rPr>
          <w:rFonts w:hAnsi="宋体" w:cs="宋体"/>
          <w:b w:val="0"/>
          <w:bCs w:val="0"/>
          <w:color w:val="auto"/>
          <w:sz w:val="21"/>
          <w:szCs w:val="21"/>
          <w:lang w:val="en-US"/>
        </w:rPr>
      </w:pPr>
      <w:r>
        <w:rPr>
          <w:rFonts w:hint="eastAsia" w:hAnsi="宋体" w:cs="宋体"/>
          <w:color w:val="auto"/>
          <w:sz w:val="21"/>
          <w:szCs w:val="21"/>
        </w:rPr>
        <w:t>第</w:t>
      </w:r>
      <w:r>
        <w:rPr>
          <w:rFonts w:hint="eastAsia" w:hAnsi="宋体" w:cs="宋体"/>
          <w:color w:val="auto"/>
          <w:sz w:val="21"/>
          <w:szCs w:val="21"/>
          <w:lang w:val="en-US"/>
        </w:rPr>
        <w:t>二十三</w:t>
      </w:r>
      <w:r>
        <w:rPr>
          <w:rFonts w:hint="eastAsia" w:hAnsi="宋体" w:cs="宋体"/>
          <w:color w:val="auto"/>
          <w:sz w:val="21"/>
          <w:szCs w:val="21"/>
        </w:rPr>
        <w:t>条</w:t>
      </w:r>
      <w:r>
        <w:rPr>
          <w:rFonts w:hint="eastAsia" w:hAnsi="宋体" w:cs="宋体"/>
          <w:b w:val="0"/>
          <w:bCs w:val="0"/>
          <w:color w:val="auto"/>
          <w:sz w:val="21"/>
          <w:szCs w:val="21"/>
        </w:rPr>
        <w:t xml:space="preserve"> </w:t>
      </w:r>
      <w:r>
        <w:rPr>
          <w:rFonts w:hint="eastAsia" w:hAnsi="宋体" w:cs="宋体"/>
          <w:b w:val="0"/>
          <w:bCs w:val="0"/>
          <w:color w:val="auto"/>
          <w:sz w:val="21"/>
          <w:szCs w:val="21"/>
          <w:lang w:val="en-US"/>
        </w:rPr>
        <w:t>对于重要设备选型（如发电机、水泵、格栅机等），服务单位要严格按照《机电设备维修服务项目常用清单库》推荐的品牌供货。为避免日后供货纠纷，服务单位在订货前，需将拟供货设备的型号、生产厂家、品牌及产品样本等提交给分公司设备工作部审核签字确认。对于设备货物类的验收，如拟供货设备的参数与用户需求书出现较大偏差，已严重影响设备功能性使用的，必须作无条件退货处理；对于不影响设备主要功能性使用且因泵站需要需马上投入使用的，经设备管理部和分公司同意后可以根据合同协商作降质处理，但必须延长质保期（一般不低于半年）或作折价处理，必要时请管网公司合同管理部法务介入，同时附上设备管理部组织相关部门协商处理会议纪要。</w:t>
      </w:r>
    </w:p>
    <w:p w14:paraId="7DE09A17">
      <w:pPr>
        <w:spacing w:line="600" w:lineRule="exact"/>
        <w:ind w:firstLine="420" w:firstLineChars="200"/>
        <w:rPr>
          <w:rFonts w:ascii="宋体" w:hAnsi="宋体" w:eastAsia="宋体" w:cs="宋体"/>
          <w:color w:val="auto"/>
          <w:szCs w:val="21"/>
        </w:rPr>
      </w:pPr>
    </w:p>
    <w:p w14:paraId="2C84709F">
      <w:pPr>
        <w:numPr>
          <w:ilvl w:val="0"/>
          <w:numId w:val="10"/>
        </w:numPr>
        <w:spacing w:line="600" w:lineRule="exact"/>
        <w:jc w:val="center"/>
        <w:outlineLvl w:val="0"/>
        <w:rPr>
          <w:rFonts w:ascii="宋体" w:hAnsi="宋体" w:eastAsia="宋体" w:cs="宋体"/>
          <w:b/>
          <w:bCs/>
          <w:color w:val="auto"/>
          <w:szCs w:val="21"/>
          <w:lang w:val="zh-CN"/>
        </w:rPr>
      </w:pPr>
      <w:r>
        <w:rPr>
          <w:rFonts w:hint="eastAsia" w:ascii="宋体" w:hAnsi="宋体" w:eastAsia="宋体" w:cs="宋体"/>
          <w:b/>
          <w:bCs/>
          <w:color w:val="auto"/>
          <w:szCs w:val="21"/>
        </w:rPr>
        <w:t>结算及请款管理</w:t>
      </w:r>
    </w:p>
    <w:p w14:paraId="6FE15ECC">
      <w:pPr>
        <w:spacing w:line="600" w:lineRule="exact"/>
        <w:jc w:val="center"/>
        <w:outlineLvl w:val="1"/>
        <w:rPr>
          <w:rFonts w:ascii="宋体" w:hAnsi="宋体" w:eastAsia="宋体" w:cs="宋体"/>
          <w:b/>
          <w:bCs/>
          <w:color w:val="auto"/>
          <w:szCs w:val="21"/>
        </w:rPr>
      </w:pPr>
      <w:r>
        <w:rPr>
          <w:rFonts w:hint="eastAsia" w:ascii="宋体" w:hAnsi="宋体" w:eastAsia="宋体" w:cs="宋体"/>
          <w:b/>
          <w:bCs/>
          <w:color w:val="auto"/>
          <w:szCs w:val="21"/>
        </w:rPr>
        <w:t>第一节 进度款及结算款管理</w:t>
      </w:r>
    </w:p>
    <w:p w14:paraId="33FEAC8D">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第二十四条</w:t>
      </w:r>
      <w:r>
        <w:rPr>
          <w:rFonts w:hint="eastAsia" w:ascii="宋体" w:hAnsi="宋体" w:eastAsia="宋体" w:cs="宋体"/>
          <w:color w:val="auto"/>
          <w:szCs w:val="21"/>
        </w:rPr>
        <w:t xml:space="preserve"> 机电设备维修工程完工后1个月内，服务单位必须完成提交真实的、完整的（含附过程工序照片）、准确的（通过监理单位审核，如有）结算资料至管网公司审核。</w:t>
      </w:r>
    </w:p>
    <w:p w14:paraId="4C2E5B30">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第二十五条</w:t>
      </w:r>
      <w:r>
        <w:rPr>
          <w:rFonts w:hint="eastAsia" w:ascii="宋体" w:hAnsi="宋体" w:eastAsia="宋体" w:cs="宋体"/>
          <w:color w:val="auto"/>
          <w:szCs w:val="21"/>
        </w:rPr>
        <w:t xml:space="preserve"> 监理单位（如有）、分公司承诺在结算资料审核过程中，将存在的问题（或缺失资料）一次性告知服务单位，服务单位须在3工作日之内予以补齐。</w:t>
      </w:r>
    </w:p>
    <w:p w14:paraId="296D2298">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第二十六条</w:t>
      </w:r>
      <w:r>
        <w:rPr>
          <w:rFonts w:hint="eastAsia" w:ascii="宋体" w:hAnsi="宋体" w:eastAsia="宋体" w:cs="宋体"/>
          <w:color w:val="auto"/>
          <w:szCs w:val="21"/>
        </w:rPr>
        <w:t xml:space="preserve"> 服务单位必须保证提交资料的真实性、准确性、完整性，监理单位（如有）或管网公司要求补充资料的过程中，除需要补充的资料及相关结算依据外，服务单位不得新增原上报结算中缺失或不足的工程量内容。</w:t>
      </w:r>
    </w:p>
    <w:p w14:paraId="5AD4F91C">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第二十七条</w:t>
      </w:r>
      <w:r>
        <w:rPr>
          <w:rFonts w:hint="eastAsia" w:ascii="宋体" w:hAnsi="宋体" w:eastAsia="宋体" w:cs="宋体"/>
          <w:color w:val="auto"/>
          <w:szCs w:val="21"/>
        </w:rPr>
        <w:t xml:space="preserve"> 管网公司在本部审核过程中，发现缺失的资料，服务单位须在3个工作日内补齐资料，无法补充的按照缺失资料审核结果进行结算。</w:t>
      </w:r>
    </w:p>
    <w:p w14:paraId="3765837C">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第二十八条</w:t>
      </w:r>
      <w:r>
        <w:rPr>
          <w:rFonts w:hint="eastAsia" w:ascii="宋体" w:hAnsi="宋体" w:eastAsia="宋体" w:cs="宋体"/>
          <w:color w:val="auto"/>
          <w:szCs w:val="21"/>
        </w:rPr>
        <w:t xml:space="preserve"> 接到管网公司出具结算初审意见后，服务单位如有意见的，须在3个工作日内反馈意见；若需对数的，服务单位应在2个工作日内提出对数要求，在提出对数要求后3天内由管网公司组织服务单位进行对数，由管网公司合同管理部出具《工程评审对数记录表》。</w:t>
      </w:r>
    </w:p>
    <w:p w14:paraId="4C71FD7E">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第二十九条</w:t>
      </w:r>
      <w:r>
        <w:rPr>
          <w:rFonts w:hint="eastAsia" w:ascii="宋体" w:hAnsi="宋体" w:eastAsia="宋体" w:cs="宋体"/>
          <w:color w:val="auto"/>
          <w:szCs w:val="21"/>
        </w:rPr>
        <w:t xml:space="preserve"> 对数达成一致意见的，由合同管理部重新出具《项目造价审核表》，施工单位、监理单位（如有）盖章后完成结算办理。</w:t>
      </w:r>
    </w:p>
    <w:p w14:paraId="4C16B59F">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第三十条</w:t>
      </w:r>
      <w:r>
        <w:rPr>
          <w:rFonts w:hint="eastAsia" w:ascii="宋体" w:hAnsi="宋体" w:eastAsia="宋体" w:cs="宋体"/>
          <w:color w:val="auto"/>
          <w:szCs w:val="21"/>
        </w:rPr>
        <w:t xml:space="preserve"> 对数无法达成一致意见的，按照《东莞市水务集团管网有限公司机电维修项目造价管理办法（试行）》及合同条款开展审核及协商工作。</w:t>
      </w:r>
    </w:p>
    <w:p w14:paraId="1E426F5A">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第三十一条</w:t>
      </w:r>
      <w:r>
        <w:rPr>
          <w:rFonts w:hint="eastAsia" w:ascii="宋体" w:hAnsi="宋体" w:eastAsia="宋体" w:cs="宋体"/>
          <w:color w:val="auto"/>
          <w:szCs w:val="21"/>
        </w:rPr>
        <w:t xml:space="preserve"> 机电设备维修项目的结算及请款资料详见附件13《机电项目进度款、结算款请款资料清单》。</w:t>
      </w:r>
    </w:p>
    <w:p w14:paraId="75B69A52">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第三十二条</w:t>
      </w:r>
      <w:r>
        <w:rPr>
          <w:rFonts w:hint="eastAsia" w:ascii="宋体" w:hAnsi="宋体" w:eastAsia="宋体" w:cs="宋体"/>
          <w:color w:val="auto"/>
          <w:szCs w:val="21"/>
        </w:rPr>
        <w:t xml:space="preserve"> 结算及请款过程中，服务单位应积极配合，按照相应时限要求办理具体事项，详细流程按照《东莞市水务集团管网有限公司机电维修项目造价管理办法（试行）》执行。</w:t>
      </w:r>
    </w:p>
    <w:p w14:paraId="794B38B1">
      <w:pPr>
        <w:spacing w:line="600" w:lineRule="exact"/>
        <w:jc w:val="center"/>
        <w:outlineLvl w:val="1"/>
        <w:rPr>
          <w:rFonts w:ascii="宋体" w:hAnsi="宋体" w:eastAsia="宋体" w:cs="宋体"/>
          <w:b/>
          <w:bCs/>
          <w:color w:val="auto"/>
          <w:szCs w:val="21"/>
        </w:rPr>
      </w:pPr>
    </w:p>
    <w:p w14:paraId="55CAD6B6">
      <w:pPr>
        <w:spacing w:line="600" w:lineRule="exact"/>
        <w:jc w:val="center"/>
        <w:outlineLvl w:val="1"/>
        <w:rPr>
          <w:rFonts w:ascii="宋体" w:hAnsi="宋体" w:eastAsia="宋体" w:cs="宋体"/>
          <w:b/>
          <w:bCs/>
          <w:color w:val="auto"/>
          <w:szCs w:val="21"/>
        </w:rPr>
      </w:pPr>
      <w:r>
        <w:rPr>
          <w:rFonts w:hint="eastAsia" w:ascii="宋体" w:hAnsi="宋体" w:eastAsia="宋体" w:cs="宋体"/>
          <w:b/>
          <w:bCs/>
          <w:color w:val="auto"/>
          <w:szCs w:val="21"/>
        </w:rPr>
        <w:t>第二节 单方面结算管理</w:t>
      </w:r>
    </w:p>
    <w:p w14:paraId="619BDA0F">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第三十三条</w:t>
      </w:r>
      <w:r>
        <w:rPr>
          <w:rFonts w:hint="eastAsia" w:ascii="宋体" w:hAnsi="宋体" w:eastAsia="宋体" w:cs="宋体"/>
          <w:color w:val="auto"/>
          <w:szCs w:val="21"/>
        </w:rPr>
        <w:t xml:space="preserve"> 委外服务单位存在以下行为的，管网公司有权启动单方结算程序，服务单位对此表示同意且无异议。</w:t>
      </w:r>
    </w:p>
    <w:p w14:paraId="33095867">
      <w:pPr>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（一）服务单位由于自身原因在工程竣工验收后，规定时限内（完工后2个月）不提交结算资料给管网公司进行初审且经管网公司2次（含）催促（不限于发函、约谈等）的。</w:t>
      </w:r>
    </w:p>
    <w:p w14:paraId="089130ED">
      <w:pPr>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（二）管网公司完成工程结算审核后发出征求意见稿，服务单位由于自身原因在规定时限内（15天）不对初步审核结果提出反馈意见的。</w:t>
      </w:r>
    </w:p>
    <w:p w14:paraId="450EAED7">
      <w:pPr>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（三）服务单位对管网公司的结算审核结果有异议但不能提出有效依据，未在规定时限内（15天）确认的。</w:t>
      </w:r>
    </w:p>
    <w:p w14:paraId="5F565787">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第三十四条</w:t>
      </w:r>
      <w:r>
        <w:rPr>
          <w:rFonts w:hint="eastAsia" w:ascii="宋体" w:hAnsi="宋体" w:eastAsia="宋体" w:cs="宋体"/>
          <w:color w:val="auto"/>
          <w:szCs w:val="21"/>
        </w:rPr>
        <w:t xml:space="preserve"> 具体单方面结算流程以管网公司印发的相关制度为准，服务单位对此表示同意且无异议。</w:t>
      </w:r>
    </w:p>
    <w:p w14:paraId="0E68C5B1">
      <w:pPr>
        <w:numPr>
          <w:ilvl w:val="255"/>
          <w:numId w:val="0"/>
        </w:numPr>
        <w:tabs>
          <w:tab w:val="left" w:pos="0"/>
        </w:tabs>
        <w:spacing w:line="600" w:lineRule="exact"/>
        <w:ind w:firstLine="420" w:firstLineChars="200"/>
        <w:rPr>
          <w:rFonts w:ascii="宋体" w:hAnsi="宋体" w:eastAsia="宋体" w:cs="宋体"/>
          <w:color w:val="auto"/>
          <w:szCs w:val="21"/>
        </w:rPr>
      </w:pPr>
    </w:p>
    <w:p w14:paraId="6474BD23">
      <w:pPr>
        <w:numPr>
          <w:ilvl w:val="0"/>
          <w:numId w:val="10"/>
        </w:numPr>
        <w:spacing w:line="600" w:lineRule="exact"/>
        <w:jc w:val="center"/>
        <w:outlineLvl w:val="0"/>
        <w:rPr>
          <w:rFonts w:ascii="宋体" w:hAnsi="宋体" w:eastAsia="宋体" w:cs="宋体"/>
          <w:b/>
          <w:bCs/>
          <w:color w:val="auto"/>
          <w:szCs w:val="21"/>
        </w:rPr>
      </w:pPr>
      <w:r>
        <w:rPr>
          <w:rFonts w:hint="eastAsia" w:ascii="宋体" w:hAnsi="宋体" w:eastAsia="宋体" w:cs="宋体"/>
          <w:b/>
          <w:bCs/>
          <w:color w:val="auto"/>
          <w:szCs w:val="21"/>
        </w:rPr>
        <w:t>安全文明施工管理</w:t>
      </w:r>
    </w:p>
    <w:p w14:paraId="6D88DD80">
      <w:pPr>
        <w:numPr>
          <w:ilvl w:val="255"/>
          <w:numId w:val="0"/>
        </w:numPr>
        <w:tabs>
          <w:tab w:val="left" w:pos="0"/>
        </w:tabs>
        <w:spacing w:line="600" w:lineRule="exact"/>
        <w:ind w:firstLine="422" w:firstLineChars="200"/>
        <w:jc w:val="left"/>
        <w:rPr>
          <w:rFonts w:ascii="宋体" w:hAnsi="宋体" w:eastAsia="宋体" w:cs="宋体"/>
          <w:color w:val="auto"/>
          <w:szCs w:val="21"/>
        </w:rPr>
      </w:pPr>
      <w:r>
        <w:rPr>
          <w:rFonts w:hint="eastAsia" w:ascii="宋体" w:hAnsi="宋体" w:eastAsia="宋体" w:cs="宋体"/>
          <w:b/>
          <w:bCs/>
          <w:color w:val="auto"/>
          <w:szCs w:val="21"/>
        </w:rPr>
        <w:t>第三十五条</w:t>
      </w:r>
      <w:r>
        <w:rPr>
          <w:rFonts w:hint="eastAsia" w:ascii="宋体" w:hAnsi="宋体" w:eastAsia="宋体" w:cs="宋体"/>
          <w:color w:val="auto"/>
          <w:szCs w:val="21"/>
        </w:rPr>
        <w:t xml:space="preserve"> 机电设备维修施工现场参照</w:t>
      </w:r>
      <w:r>
        <w:rPr>
          <w:rFonts w:hint="eastAsia" w:ascii="宋体" w:hAnsi="宋体" w:eastAsia="宋体" w:cs="宋体"/>
          <w:color w:val="auto"/>
          <w:szCs w:val="21"/>
          <w:lang w:bidi="ar"/>
        </w:rPr>
        <w:t>《东莞市水务集团管网有限公司安全文明施工标准化图册（试行）》等文件要求布设</w:t>
      </w:r>
      <w:r>
        <w:rPr>
          <w:rFonts w:hint="eastAsia" w:ascii="宋体" w:hAnsi="宋体" w:eastAsia="宋体" w:cs="宋体"/>
          <w:color w:val="auto"/>
          <w:szCs w:val="21"/>
        </w:rPr>
        <w:t>（如有其他设计要求除外）</w:t>
      </w:r>
      <w:r>
        <w:rPr>
          <w:rFonts w:hint="eastAsia" w:ascii="宋体" w:hAnsi="宋体" w:eastAsia="宋体" w:cs="宋体"/>
          <w:color w:val="auto"/>
          <w:szCs w:val="21"/>
          <w:lang w:bidi="ar"/>
        </w:rPr>
        <w:t>，如施工图册的内容与设备维修的施工现场存在差异的，以需求部门具体实际要求的为准。</w:t>
      </w:r>
    </w:p>
    <w:p w14:paraId="36A66605">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第三十六条</w:t>
      </w:r>
      <w:r>
        <w:rPr>
          <w:rFonts w:hint="eastAsia" w:ascii="宋体" w:hAnsi="宋体" w:eastAsia="宋体" w:cs="宋体"/>
          <w:color w:val="auto"/>
          <w:szCs w:val="21"/>
        </w:rPr>
        <w:t xml:space="preserve"> 参加机电维修施工的所有人员都要经过入场安全教育、岗位安全操作技术教育和文明施工教育。坚决制止违章指挥和违章作业。作业人员进入现场应佩戴安全帽，严禁穿拖鞋、短裤进入施工现场；严禁酒后作业；严禁具有高血压等严重疾病工人进入施工现场。</w:t>
      </w:r>
    </w:p>
    <w:p w14:paraId="28A4A4A9">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第三十七条</w:t>
      </w:r>
      <w:r>
        <w:rPr>
          <w:rFonts w:hint="eastAsia" w:ascii="宋体" w:hAnsi="宋体" w:eastAsia="宋体" w:cs="宋体"/>
          <w:color w:val="auto"/>
          <w:szCs w:val="21"/>
        </w:rPr>
        <w:t xml:space="preserve"> 施工机械进场必须经过安全检查，经检查合格的方能使用，特种作业人员（如低压电工、焊工、起重机工等）应依照有关规定持证上岗。</w:t>
      </w:r>
    </w:p>
    <w:p w14:paraId="4F4DAEE0">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第三十八条</w:t>
      </w:r>
      <w:r>
        <w:rPr>
          <w:rFonts w:hint="eastAsia" w:ascii="宋体" w:hAnsi="宋体" w:eastAsia="宋体" w:cs="宋体"/>
          <w:color w:val="auto"/>
          <w:szCs w:val="21"/>
        </w:rPr>
        <w:t xml:space="preserve"> 3吨以上现场吊装设备应有特种检测机构检验合格，并按要求办理年审；租赁机械设备，应提前检查相关证件（设备年检、操作人员证书）是否齐全，并按照设备进场制度报审报批。</w:t>
      </w:r>
    </w:p>
    <w:p w14:paraId="723AAC27">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第三十九条</w:t>
      </w:r>
      <w:r>
        <w:rPr>
          <w:rFonts w:hint="eastAsia" w:ascii="宋体" w:hAnsi="宋体" w:eastAsia="宋体" w:cs="宋体"/>
          <w:color w:val="auto"/>
          <w:szCs w:val="21"/>
        </w:rPr>
        <w:t xml:space="preserve"> 危险作业安全管理。管网公司危险作业主要为吊装作业、有限空间作业、高处作业、动土作业、水下作业、动火作业等作业风险较大的生产经营活动。危险作业的安全管理要求如下：</w:t>
      </w:r>
    </w:p>
    <w:p w14:paraId="4FEB39C5">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（一）相关方应每年自主开展有限空间作业培训。危险作业的审批人员、作业负责人、监护人员、作业人员等人员每年参加有限空间作业培训的时间不得少于8学时，并须考核合格后方可上岗。</w:t>
      </w:r>
    </w:p>
    <w:p w14:paraId="0E142019">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（二）相关方</w:t>
      </w:r>
      <w:r>
        <w:rPr>
          <w:rFonts w:hint="eastAsia" w:ascii="宋体" w:hAnsi="宋体" w:eastAsia="宋体" w:cs="宋体"/>
          <w:color w:val="auto"/>
          <w:szCs w:val="21"/>
          <w:lang w:bidi="zh-CN"/>
        </w:rPr>
        <w:t>每个作业班组的现场负责人、监护人及涉及有限空间作业的作业人员必须持有相应资质机构发放的有效期内的有限空间培训合格证，潜水员应持有经中国潜水打捞行业协会培训、经考核合格取得的证书。相关方的有限空间作业负责人、监护人有管网公司进行安全告知及考核合格后方可进场作业。</w:t>
      </w:r>
    </w:p>
    <w:p w14:paraId="35201747">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相关方实施危险作业前，作业单位应当对作业环境进行安全风险辨识，分析存在的危险有害因素，提出消除、控制危害的措施，制定危险作业方案，并经其单位安全管理人员审核，单位负责人批准后提交分公司审批。</w:t>
      </w:r>
    </w:p>
    <w:p w14:paraId="2B29E17A">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（四）相关方应在有限空间作业开展的前三天提交有限空间作业申请表及相关资料至管网公司分公司审核，经分公司负责人批准后方可进场开展有限空间作业。相关资料包括但不限于：</w:t>
      </w:r>
    </w:p>
    <w:p w14:paraId="00BBC144">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1．合同及安全生产管理协议；</w:t>
      </w:r>
    </w:p>
    <w:p w14:paraId="3DF20D2B">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2．有限空间作业专项应急预案及演练记录；</w:t>
      </w:r>
    </w:p>
    <w:p w14:paraId="09EFFEB2">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3．经审批有效的有限空间作业方案；</w:t>
      </w:r>
    </w:p>
    <w:p w14:paraId="570AA9F6">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4．参与本次有限空间作业人员的安全培训考核合格记录；</w:t>
      </w:r>
    </w:p>
    <w:p w14:paraId="4F271E27">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5．特种作业人员特种作业证书；</w:t>
      </w:r>
    </w:p>
    <w:p w14:paraId="2ABCAB91">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6．作业负责人、监护人和</w:t>
      </w:r>
      <w:r>
        <w:rPr>
          <w:rFonts w:hint="eastAsia" w:ascii="宋体" w:hAnsi="宋体" w:eastAsia="宋体" w:cs="宋体"/>
          <w:color w:val="auto"/>
          <w:szCs w:val="21"/>
          <w:lang w:bidi="zh-CN"/>
        </w:rPr>
        <w:t>涉及有限空间作业的作业人员</w:t>
      </w:r>
      <w:r>
        <w:rPr>
          <w:rFonts w:hint="eastAsia" w:ascii="宋体" w:hAnsi="宋体" w:eastAsia="宋体" w:cs="宋体"/>
          <w:color w:val="auto"/>
          <w:szCs w:val="21"/>
        </w:rPr>
        <w:t>应经省安协等</w:t>
      </w:r>
      <w:r>
        <w:rPr>
          <w:rFonts w:hint="eastAsia" w:ascii="宋体" w:hAnsi="宋体" w:eastAsia="宋体" w:cs="宋体"/>
          <w:color w:val="auto"/>
          <w:szCs w:val="21"/>
          <w:lang w:bidi="zh-CN"/>
        </w:rPr>
        <w:t>持有相应资质的机构</w:t>
      </w:r>
      <w:r>
        <w:rPr>
          <w:rFonts w:hint="eastAsia" w:ascii="宋体" w:hAnsi="宋体" w:eastAsia="宋体" w:cs="宋体"/>
          <w:color w:val="auto"/>
          <w:szCs w:val="21"/>
        </w:rPr>
        <w:t>安全机构进行有限空间作业培训考核，持有</w:t>
      </w:r>
      <w:r>
        <w:rPr>
          <w:rFonts w:hint="eastAsia" w:ascii="宋体" w:hAnsi="宋体" w:eastAsia="宋体" w:cs="宋体"/>
          <w:color w:val="auto"/>
          <w:szCs w:val="21"/>
          <w:lang w:bidi="zh-CN"/>
        </w:rPr>
        <w:t>有效期内的</w:t>
      </w:r>
      <w:r>
        <w:rPr>
          <w:rFonts w:hint="eastAsia" w:ascii="宋体" w:hAnsi="宋体" w:eastAsia="宋体" w:cs="宋体"/>
          <w:color w:val="auto"/>
          <w:szCs w:val="21"/>
        </w:rPr>
        <w:t>有限空间作业合格证；</w:t>
      </w:r>
    </w:p>
    <w:p w14:paraId="230E94A5">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7．本次作业的安全防护设备、个人防护用品、作业工具设备及应急救援装备清单并确保齐全有效；</w:t>
      </w:r>
    </w:p>
    <w:p w14:paraId="016955E9">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8．作业人员花名册，作业负责人、监护人</w:t>
      </w:r>
      <w:r>
        <w:rPr>
          <w:rFonts w:hint="eastAsia" w:ascii="宋体" w:hAnsi="宋体" w:eastAsia="宋体" w:cs="宋体"/>
          <w:color w:val="auto"/>
          <w:szCs w:val="21"/>
          <w:lang w:bidi="zh-CN"/>
        </w:rPr>
        <w:t>和涉及有限空间作业的作业人员有</w:t>
      </w:r>
      <w:r>
        <w:rPr>
          <w:rFonts w:hint="eastAsia" w:ascii="宋体" w:hAnsi="宋体" w:eastAsia="宋体" w:cs="宋体"/>
          <w:color w:val="auto"/>
          <w:szCs w:val="21"/>
        </w:rPr>
        <w:t>购买社会保险（6个月及以上）记录，其他作业人员有购买工伤保险或商业保险记录。</w:t>
      </w:r>
    </w:p>
    <w:p w14:paraId="41118890">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（五）安全告知：危险作业前，相关方全体作业人员必须接受管网公司的安全告知，了解管网公司的危险作业管理规定、作业可能存在的安全风险及注意事项等，并签字确认。</w:t>
      </w:r>
    </w:p>
    <w:p w14:paraId="58B0C9A3">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六）危险作业开展前，相关方作业负责人应对实施作业的全体人员进行安全交底，告知作业内容、作业方案、作业现场可能存在的危险有害因素、作业安全要求及自救互救应急处置措施等。交底完成后，双方签字确认。</w:t>
      </w:r>
    </w:p>
    <w:p w14:paraId="113468E8">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七）在确认现场作业环境、作业程序、安全防护设备和个体防护用品等符合要求后，相关方现场负责人、管网公司现场管理人必须在危险作业许可票上签名同意，方可准许开展危险作业。危险作业过程必须严格执行危险作业程序，按照经审批的作业方案开展作业。</w:t>
      </w:r>
    </w:p>
    <w:p w14:paraId="22A934F8">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（八）不宜在晚上开展危险作业，但如因工作连贯性确需晚上开展危险性作业需加强安全防护措施，且征得业务部门同意后方可执行的除外。</w:t>
      </w:r>
    </w:p>
    <w:p w14:paraId="5061D9C5">
      <w:pPr>
        <w:adjustRightInd w:val="0"/>
        <w:snapToGrid w:val="0"/>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（九）作业结束后必须清理作业现场，将现场恢复至安全状态。</w:t>
      </w:r>
    </w:p>
    <w:p w14:paraId="54EC45F0">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第四十条</w:t>
      </w:r>
      <w:r>
        <w:rPr>
          <w:rFonts w:hint="eastAsia" w:ascii="宋体" w:hAnsi="宋体" w:eastAsia="宋体" w:cs="宋体"/>
          <w:color w:val="auto"/>
          <w:szCs w:val="21"/>
        </w:rPr>
        <w:t xml:space="preserve"> 危险作业开展前，施工单位应针对维修项目实际情况编制应急预案，服务单位在分公司辖区内每年至少开展两次应急演练。</w:t>
      </w:r>
    </w:p>
    <w:p w14:paraId="0743ED32">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第四十一条</w:t>
      </w:r>
      <w:r>
        <w:rPr>
          <w:rFonts w:hint="eastAsia" w:ascii="宋体" w:hAnsi="宋体" w:eastAsia="宋体" w:cs="宋体"/>
          <w:color w:val="auto"/>
          <w:szCs w:val="21"/>
        </w:rPr>
        <w:t xml:space="preserve"> 机电设备维修项目实施过程中，应严格遵守管网公司安监部门相关管理规定，如本文规定与管网公司安监部门规定不一致，以管网公司安监部门文件为准。</w:t>
      </w:r>
    </w:p>
    <w:p w14:paraId="53EF44F2">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第四十二条</w:t>
      </w:r>
      <w:r>
        <w:rPr>
          <w:rFonts w:hint="eastAsia" w:ascii="宋体" w:hAnsi="宋体" w:eastAsia="宋体" w:cs="宋体"/>
          <w:color w:val="auto"/>
          <w:szCs w:val="21"/>
        </w:rPr>
        <w:t xml:space="preserve"> 出现不可抗力情形（如遇见疫情期间、暴雨等），可视情况申请项目延期，但必须遵循广东省、东莞市及各镇街（园区）的各项规章制度，提前办理工期延期申请审批手续。</w:t>
      </w:r>
    </w:p>
    <w:p w14:paraId="1D34D115">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第四十三条</w:t>
      </w:r>
      <w:r>
        <w:rPr>
          <w:rFonts w:hint="eastAsia" w:ascii="宋体" w:hAnsi="宋体" w:eastAsia="宋体" w:cs="宋体"/>
          <w:color w:val="auto"/>
          <w:szCs w:val="21"/>
        </w:rPr>
        <w:t xml:space="preserve"> 相关方需无条件配合管网公司开展防疫工作，如管控区开展应急抢修等工作。</w:t>
      </w:r>
    </w:p>
    <w:p w14:paraId="0E45CBF4">
      <w:p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第四十四条</w:t>
      </w:r>
      <w:r>
        <w:rPr>
          <w:rFonts w:hint="eastAsia" w:ascii="宋体" w:hAnsi="宋体" w:eastAsia="宋体" w:cs="宋体"/>
          <w:color w:val="auto"/>
          <w:szCs w:val="21"/>
        </w:rPr>
        <w:t xml:space="preserve"> 其他未尽之处，按照《污水治理设施工程安全标准化图集》（污水治理设施工程分册）《东莞市有限空间作业安全监管技术指引》《东莞市水务集团管网有限公司安全文明施工标准化图册（试行）》《东莞市水务集团管网有限公司相关方安全管理制度》《东莞市水务集团管网有限公司相关方安全考核细则》《东莞市水务集团管网有限公司危险作业安全管理办法》等文件执行。</w:t>
      </w:r>
    </w:p>
    <w:p w14:paraId="26AE0165">
      <w:pPr>
        <w:tabs>
          <w:tab w:val="left" w:pos="0"/>
        </w:tabs>
        <w:spacing w:line="600" w:lineRule="exact"/>
        <w:ind w:left="420" w:leftChars="200" w:firstLine="420" w:firstLineChars="200"/>
        <w:rPr>
          <w:rFonts w:ascii="宋体" w:hAnsi="宋体" w:eastAsia="宋体" w:cs="宋体"/>
          <w:color w:val="auto"/>
          <w:szCs w:val="21"/>
          <w:lang w:bidi="ar"/>
        </w:rPr>
      </w:pPr>
    </w:p>
    <w:p w14:paraId="7C784A8B">
      <w:pPr>
        <w:widowControl/>
        <w:numPr>
          <w:ilvl w:val="0"/>
          <w:numId w:val="10"/>
        </w:numPr>
        <w:snapToGrid w:val="0"/>
        <w:spacing w:line="600" w:lineRule="exact"/>
        <w:jc w:val="center"/>
        <w:textAlignment w:val="baseline"/>
        <w:rPr>
          <w:rFonts w:ascii="宋体" w:hAnsi="宋体" w:eastAsia="宋体" w:cs="宋体"/>
          <w:b/>
          <w:bCs/>
          <w:color w:val="auto"/>
          <w:szCs w:val="21"/>
        </w:rPr>
      </w:pPr>
      <w:r>
        <w:rPr>
          <w:rFonts w:hint="eastAsia" w:ascii="宋体" w:hAnsi="宋体" w:eastAsia="宋体" w:cs="宋体"/>
          <w:b/>
          <w:bCs/>
          <w:color w:val="auto"/>
          <w:szCs w:val="21"/>
        </w:rPr>
        <w:t>对服务商的监控和考核</w:t>
      </w:r>
    </w:p>
    <w:p w14:paraId="2DD0A1F2">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第四十五条</w:t>
      </w:r>
      <w:r>
        <w:rPr>
          <w:rFonts w:hint="eastAsia" w:ascii="宋体" w:hAnsi="宋体" w:eastAsia="宋体" w:cs="宋体"/>
          <w:color w:val="auto"/>
          <w:szCs w:val="21"/>
        </w:rPr>
        <w:t xml:space="preserve"> 管网公司将通过不定期检查及定期考评对服务单位开展考核工作，其中不定期检查包括项目现场抽查为辅，定期考评主要为季度考核评价（综合考评）。</w:t>
      </w:r>
    </w:p>
    <w:p w14:paraId="37E186AC">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第四十六条</w:t>
      </w:r>
      <w:r>
        <w:rPr>
          <w:rFonts w:hint="eastAsia" w:ascii="宋体" w:hAnsi="宋体" w:eastAsia="宋体" w:cs="宋体"/>
          <w:color w:val="auto"/>
          <w:szCs w:val="21"/>
        </w:rPr>
        <w:t xml:space="preserve"> 季度综合考评主要针对每个季度已开工项目（开工超过3天，零星项目除外）进行综合考评，考核从维修响应、人员及设备配备、服务质量、安全管理、质量控制、资料管理等六大方面对服务单位进行综合打分，具体考核项目及评分标准详见《机电设备维修供应商季度考核评分表》（见附件8）。</w:t>
      </w:r>
    </w:p>
    <w:p w14:paraId="61F85271">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第四十七条</w:t>
      </w:r>
      <w:r>
        <w:rPr>
          <w:rFonts w:hint="eastAsia" w:ascii="宋体" w:hAnsi="宋体" w:eastAsia="宋体" w:cs="宋体"/>
          <w:color w:val="auto"/>
          <w:szCs w:val="21"/>
        </w:rPr>
        <w:t xml:space="preserve"> 管网公司设备管理部每季度组织各分公司设备工作部对辖区服务单位开展季度服务质量评价工作，具体评分规则如下：</w:t>
      </w:r>
    </w:p>
    <w:p w14:paraId="0E7FB0B7">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季度评价最终得分=分公司季度考核得分*70%+设备管理部季度考核得分*30%。</w:t>
      </w:r>
    </w:p>
    <w:p w14:paraId="53AB1307">
      <w:pPr>
        <w:numPr>
          <w:ilvl w:val="255"/>
          <w:numId w:val="0"/>
        </w:numPr>
        <w:tabs>
          <w:tab w:val="left" w:pos="0"/>
        </w:tabs>
        <w:spacing w:line="600" w:lineRule="exact"/>
        <w:ind w:left="420" w:leftChars="200"/>
        <w:rPr>
          <w:rFonts w:ascii="宋体" w:hAnsi="宋体" w:eastAsia="宋体" w:cs="宋体"/>
          <w:color w:val="auto"/>
          <w:szCs w:val="21"/>
          <w:lang w:val="zh-CN"/>
        </w:rPr>
      </w:pPr>
      <w:r>
        <w:rPr>
          <w:rFonts w:hint="eastAsia" w:ascii="宋体" w:hAnsi="宋体" w:eastAsia="宋体" w:cs="宋体"/>
          <w:b/>
          <w:bCs/>
          <w:color w:val="auto"/>
          <w:szCs w:val="21"/>
        </w:rPr>
        <w:t>第四十八条</w:t>
      </w:r>
      <w:r>
        <w:rPr>
          <w:rFonts w:hint="eastAsia" w:ascii="宋体" w:hAnsi="宋体" w:eastAsia="宋体" w:cs="宋体"/>
          <w:color w:val="auto"/>
          <w:szCs w:val="21"/>
        </w:rPr>
        <w:t xml:space="preserve"> 其它扣分包括：</w:t>
      </w:r>
    </w:p>
    <w:p w14:paraId="6505D65F">
      <w:pPr>
        <w:numPr>
          <w:ilvl w:val="0"/>
          <w:numId w:val="14"/>
        </w:num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按照《东莞市水务集团管网有限公司相关方安全考核细则（试行）》承担相应违约金，每承担违约金500元则季度考核扣1分；</w:t>
      </w:r>
    </w:p>
    <w:p w14:paraId="2BFDEAC1">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（二）接到管网公司或监理公司（如有）发出的警告（包括但不限于发出整改通知单、预处罚通知单、各类通报、约谈等），每次扣1分；接到管网公司处罚通知单的，每次扣2分；</w:t>
      </w:r>
    </w:p>
    <w:p w14:paraId="4723CBB3">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（三）在考核季度期内，每拒单1次，季度考核扣3分；</w:t>
      </w:r>
    </w:p>
    <w:p w14:paraId="434A66D9">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（四）每发生一次劳资纠纷，季度考核扣5分。（经管网公司核实劳资纠纷非服务单位原因的可免除）</w:t>
      </w:r>
    </w:p>
    <w:p w14:paraId="18585DFD">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第四十九条</w:t>
      </w:r>
      <w:r>
        <w:rPr>
          <w:rFonts w:hint="eastAsia" w:ascii="宋体" w:hAnsi="宋体" w:eastAsia="宋体" w:cs="宋体"/>
          <w:color w:val="auto"/>
          <w:szCs w:val="21"/>
        </w:rPr>
        <w:t xml:space="preserve"> 各个分公司评分占总分的70%，公司总部评分占总分的30%，并据此计算出每个服务商的评分。管网公司根据服务单位季度评价最终得分情况开展季度等级评价工作，分优秀、优良、良好、合格和不合格五个等级，其中：</w:t>
      </w:r>
    </w:p>
    <w:p w14:paraId="111A6D82">
      <w:pPr>
        <w:spacing w:line="60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（一）得分90分（含）以上为优秀；</w:t>
      </w:r>
    </w:p>
    <w:p w14:paraId="3DE7C95A">
      <w:pPr>
        <w:spacing w:line="60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（二）得分80分（含）~90分（不含）为优良；</w:t>
      </w:r>
    </w:p>
    <w:p w14:paraId="00245339">
      <w:pPr>
        <w:spacing w:line="60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（三）得分70分（含）~80分（不含）为良好；</w:t>
      </w:r>
    </w:p>
    <w:p w14:paraId="0C9956CD">
      <w:pPr>
        <w:spacing w:line="60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（四）得分60分（不含）~70分（不含）为合格；</w:t>
      </w:r>
    </w:p>
    <w:p w14:paraId="71A3A693">
      <w:pPr>
        <w:spacing w:line="60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（五）得分60分（含）以下为不合格。</w:t>
      </w:r>
    </w:p>
    <w:p w14:paraId="2E3A5526">
      <w:pPr>
        <w:spacing w:line="600" w:lineRule="exact"/>
        <w:ind w:firstLine="420" w:firstLineChars="200"/>
        <w:rPr>
          <w:rFonts w:ascii="宋体" w:hAnsi="宋体" w:eastAsia="宋体" w:cs="宋体"/>
          <w:color w:val="auto"/>
          <w:szCs w:val="21"/>
          <w:lang w:bidi="ar"/>
        </w:rPr>
      </w:pPr>
    </w:p>
    <w:p w14:paraId="0EE151D3">
      <w:pPr>
        <w:widowControl/>
        <w:numPr>
          <w:ilvl w:val="0"/>
          <w:numId w:val="10"/>
        </w:numPr>
        <w:snapToGrid w:val="0"/>
        <w:spacing w:line="600" w:lineRule="exact"/>
        <w:jc w:val="center"/>
        <w:textAlignment w:val="baseline"/>
        <w:rPr>
          <w:rFonts w:ascii="宋体" w:hAnsi="宋体" w:eastAsia="宋体" w:cs="宋体"/>
          <w:color w:val="auto"/>
          <w:szCs w:val="21"/>
        </w:rPr>
      </w:pPr>
      <w:r>
        <w:rPr>
          <w:rFonts w:hint="eastAsia" w:ascii="宋体" w:hAnsi="宋体" w:eastAsia="宋体" w:cs="宋体"/>
          <w:color w:val="auto"/>
          <w:szCs w:val="21"/>
        </w:rPr>
        <w:t>申诉与争议处理</w:t>
      </w:r>
    </w:p>
    <w:p w14:paraId="750CB5E9">
      <w:pPr>
        <w:widowControl/>
        <w:numPr>
          <w:ilvl w:val="255"/>
          <w:numId w:val="0"/>
        </w:numPr>
        <w:tabs>
          <w:tab w:val="left" w:pos="0"/>
        </w:tabs>
        <w:snapToGrid w:val="0"/>
        <w:spacing w:line="600" w:lineRule="exact"/>
        <w:ind w:firstLine="422" w:firstLineChars="200"/>
        <w:jc w:val="left"/>
        <w:textAlignment w:val="baseline"/>
        <w:rPr>
          <w:rFonts w:ascii="宋体" w:hAnsi="宋体" w:eastAsia="宋体" w:cs="宋体"/>
          <w:color w:val="auto"/>
          <w:szCs w:val="21"/>
          <w:lang w:bidi="ar"/>
        </w:rPr>
      </w:pPr>
      <w:r>
        <w:rPr>
          <w:rFonts w:hint="eastAsia" w:ascii="宋体" w:hAnsi="宋体" w:eastAsia="宋体" w:cs="宋体"/>
          <w:b/>
          <w:bCs/>
          <w:color w:val="auto"/>
          <w:szCs w:val="21"/>
        </w:rPr>
        <w:t>第五十条</w:t>
      </w:r>
      <w:r>
        <w:rPr>
          <w:rFonts w:hint="eastAsia" w:ascii="宋体" w:hAnsi="宋体" w:eastAsia="宋体" w:cs="宋体"/>
          <w:color w:val="auto"/>
          <w:szCs w:val="21"/>
          <w:lang w:bidi="ar"/>
        </w:rPr>
        <w:t xml:space="preserve"> 处罚通知书一般由分公司发出，服务单位对于分公司发出的处罚或者处理有异议的，可在收到通知书后在3个工作日内，向本公司设备管理部提交申诉函及相关佐证材料，公司设备管理部将于10个工作日内予以书面回复。</w:t>
      </w:r>
    </w:p>
    <w:p w14:paraId="03AB9692">
      <w:pPr>
        <w:widowControl/>
        <w:numPr>
          <w:ilvl w:val="255"/>
          <w:numId w:val="0"/>
        </w:numPr>
        <w:tabs>
          <w:tab w:val="left" w:pos="0"/>
        </w:tabs>
        <w:snapToGrid w:val="0"/>
        <w:spacing w:line="600" w:lineRule="exact"/>
        <w:ind w:firstLine="422" w:firstLineChars="200"/>
        <w:jc w:val="left"/>
        <w:textAlignment w:val="baseline"/>
        <w:rPr>
          <w:rFonts w:ascii="宋体" w:hAnsi="宋体" w:eastAsia="宋体" w:cs="宋体"/>
          <w:color w:val="auto"/>
          <w:szCs w:val="21"/>
          <w:lang w:bidi="ar"/>
        </w:rPr>
      </w:pPr>
      <w:r>
        <w:rPr>
          <w:rFonts w:hint="eastAsia" w:ascii="宋体" w:hAnsi="宋体" w:eastAsia="宋体" w:cs="宋体"/>
          <w:b/>
          <w:bCs/>
          <w:color w:val="auto"/>
          <w:szCs w:val="21"/>
        </w:rPr>
        <w:t>第五十一条</w:t>
      </w:r>
      <w:r>
        <w:rPr>
          <w:rFonts w:hint="eastAsia" w:ascii="宋体" w:hAnsi="宋体" w:eastAsia="宋体" w:cs="宋体"/>
          <w:color w:val="auto"/>
          <w:szCs w:val="21"/>
          <w:lang w:bidi="ar"/>
        </w:rPr>
        <w:t xml:space="preserve"> 如服务单位对季度考核评价结果有异议的，服务单位可在考核结果公布后5个工作日内书面向管网公司设备管理部提出申诉，并提供相关佐证材料。如申诉属实，管网公司设备管理部将调整相应单项考核分数；如申诉不实（含恶意申诉或弄虚作假等），将双倍扣除单项考核分数并计入违约行为。</w:t>
      </w:r>
    </w:p>
    <w:p w14:paraId="68BC1A4E">
      <w:pPr>
        <w:widowControl/>
        <w:numPr>
          <w:ilvl w:val="255"/>
          <w:numId w:val="0"/>
        </w:numPr>
        <w:tabs>
          <w:tab w:val="left" w:pos="0"/>
        </w:tabs>
        <w:snapToGrid w:val="0"/>
        <w:spacing w:line="600" w:lineRule="exact"/>
        <w:ind w:firstLine="422" w:firstLineChars="200"/>
        <w:jc w:val="left"/>
        <w:textAlignment w:val="baseline"/>
        <w:rPr>
          <w:rFonts w:ascii="宋体" w:hAnsi="宋体" w:eastAsia="宋体" w:cs="宋体"/>
          <w:color w:val="auto"/>
          <w:szCs w:val="21"/>
        </w:rPr>
      </w:pPr>
      <w:r>
        <w:rPr>
          <w:rFonts w:hint="eastAsia" w:ascii="宋体" w:hAnsi="宋体" w:eastAsia="宋体" w:cs="宋体"/>
          <w:b/>
          <w:bCs/>
          <w:color w:val="auto"/>
          <w:szCs w:val="21"/>
        </w:rPr>
        <w:t>第五十二条</w:t>
      </w:r>
      <w:r>
        <w:rPr>
          <w:rFonts w:hint="eastAsia" w:ascii="宋体" w:hAnsi="宋体" w:eastAsia="宋体" w:cs="宋体"/>
          <w:color w:val="auto"/>
          <w:szCs w:val="21"/>
          <w:lang w:bidi="ar"/>
        </w:rPr>
        <w:t xml:space="preserve"> 服务单位对管网公司合同管理部出具的项目结算审核书有争议的，应在收到结算审核书后3个工作日内提出修改意见。</w:t>
      </w:r>
    </w:p>
    <w:p w14:paraId="134A162E">
      <w:pPr>
        <w:widowControl/>
        <w:spacing w:after="100" w:afterAutospacing="1" w:line="600" w:lineRule="exact"/>
        <w:ind w:firstLine="422" w:firstLineChars="200"/>
        <w:jc w:val="left"/>
        <w:rPr>
          <w:rFonts w:ascii="宋体" w:hAnsi="宋体" w:eastAsia="宋体" w:cs="宋体"/>
          <w:color w:val="auto"/>
          <w:szCs w:val="21"/>
        </w:rPr>
      </w:pPr>
      <w:r>
        <w:rPr>
          <w:rFonts w:hint="eastAsia" w:ascii="宋体" w:hAnsi="宋体" w:eastAsia="宋体" w:cs="宋体"/>
          <w:b/>
          <w:bCs/>
          <w:color w:val="auto"/>
          <w:szCs w:val="21"/>
        </w:rPr>
        <w:t>第五十三条</w:t>
      </w:r>
      <w:r>
        <w:rPr>
          <w:rFonts w:hint="eastAsia" w:ascii="宋体" w:hAnsi="宋体" w:eastAsia="宋体" w:cs="宋体"/>
          <w:color w:val="auto"/>
          <w:szCs w:val="21"/>
        </w:rPr>
        <w:t xml:space="preserve"> 对于货物设备类验收，如拟供货设备的参数与用户需求书出现较大偏差，严重影响设备功能性使用的，必须作无条件退货处理；对于不影响设备主要功能性使用且因泵站需要需马上投入使用的，经设备管理部和分公司同意后可以根据合同协商作降质验收处理，但必须延长质保期（一般不低于半年）或作折价处理，必要时请公司合同管理部法务介入，同时附上设备管理部组织相关部门协商处理会议纪要。</w:t>
      </w:r>
    </w:p>
    <w:p w14:paraId="1C418F25">
      <w:pPr>
        <w:widowControl/>
        <w:spacing w:after="100" w:afterAutospacing="1" w:line="600" w:lineRule="exact"/>
        <w:ind w:firstLine="420" w:firstLineChars="200"/>
        <w:jc w:val="left"/>
        <w:rPr>
          <w:rFonts w:ascii="宋体" w:hAnsi="宋体" w:eastAsia="宋体" w:cs="宋体"/>
          <w:color w:val="auto"/>
          <w:szCs w:val="21"/>
        </w:rPr>
      </w:pPr>
    </w:p>
    <w:p w14:paraId="1A1D4D45">
      <w:pPr>
        <w:numPr>
          <w:ilvl w:val="0"/>
          <w:numId w:val="10"/>
        </w:numPr>
        <w:spacing w:line="600" w:lineRule="exact"/>
        <w:jc w:val="center"/>
        <w:outlineLvl w:val="0"/>
        <w:rPr>
          <w:rFonts w:ascii="宋体" w:hAnsi="宋体" w:eastAsia="宋体" w:cs="宋体"/>
          <w:b/>
          <w:bCs/>
          <w:color w:val="auto"/>
          <w:szCs w:val="21"/>
        </w:rPr>
      </w:pPr>
      <w:r>
        <w:rPr>
          <w:rFonts w:hint="eastAsia" w:ascii="宋体" w:hAnsi="宋体" w:eastAsia="宋体" w:cs="宋体"/>
          <w:b/>
          <w:bCs/>
          <w:color w:val="auto"/>
          <w:szCs w:val="21"/>
        </w:rPr>
        <w:t>奖惩方案</w:t>
      </w:r>
    </w:p>
    <w:p w14:paraId="712A06D6">
      <w:pPr>
        <w:spacing w:line="600" w:lineRule="exact"/>
        <w:jc w:val="center"/>
        <w:outlineLvl w:val="1"/>
        <w:rPr>
          <w:rFonts w:ascii="宋体" w:hAnsi="宋体" w:eastAsia="宋体" w:cs="宋体"/>
          <w:b/>
          <w:bCs/>
          <w:color w:val="auto"/>
          <w:szCs w:val="21"/>
        </w:rPr>
      </w:pPr>
      <w:r>
        <w:rPr>
          <w:rFonts w:hint="eastAsia" w:ascii="宋体" w:hAnsi="宋体" w:eastAsia="宋体" w:cs="宋体"/>
          <w:b/>
          <w:bCs/>
          <w:color w:val="auto"/>
          <w:szCs w:val="21"/>
        </w:rPr>
        <w:t>第一节 违约责任</w:t>
      </w:r>
    </w:p>
    <w:p w14:paraId="7455377A">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第五十四条</w:t>
      </w:r>
      <w:r>
        <w:rPr>
          <w:rFonts w:hint="eastAsia" w:ascii="宋体" w:hAnsi="宋体" w:eastAsia="宋体" w:cs="宋体"/>
          <w:color w:val="auto"/>
          <w:szCs w:val="21"/>
        </w:rPr>
        <w:t xml:space="preserve"> 服务单位违反本办法条款内容即视为违约，服务单位触发违约条款时，管网公司或监理单位（如有）有权对其发出处罚通知单或警告（包括但不限于发出监理整改通知单、预处罚通知单、各类通报、约谈等，下同），并责令限期改正。</w:t>
      </w:r>
    </w:p>
    <w:p w14:paraId="043E275B">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第五十五条</w:t>
      </w:r>
      <w:r>
        <w:rPr>
          <w:rFonts w:hint="eastAsia" w:ascii="宋体" w:hAnsi="宋体" w:eastAsia="宋体" w:cs="宋体"/>
          <w:color w:val="auto"/>
          <w:szCs w:val="21"/>
        </w:rPr>
        <w:t xml:space="preserve"> 接到警告后，如服务单位在限期时间内予以改正的，相应处罚措施可按警告约定取消，但上述行为纳入季度考核扣分范畴。</w:t>
      </w:r>
    </w:p>
    <w:p w14:paraId="5F786E0D">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第五十六条</w:t>
      </w:r>
      <w:r>
        <w:rPr>
          <w:rFonts w:hint="eastAsia" w:ascii="宋体" w:hAnsi="宋体" w:eastAsia="宋体" w:cs="宋体"/>
          <w:color w:val="auto"/>
          <w:szCs w:val="21"/>
        </w:rPr>
        <w:t xml:space="preserve"> 接到警告后，如服务单位未能在限期时间内予以改正的，管网公司发出正式处罚通知单，责令服务单位继续改正，且服务单位须向管网公司支付违约金（有专项条款的，按专项条款计，无专项条款的按2000.00元/次计），同时，上述行为纳入季度考核扣分范畴。如果服务单位仍不整改的，按照本办法相应条款进行处罚。</w:t>
      </w:r>
    </w:p>
    <w:p w14:paraId="2A22D811">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第五十七条</w:t>
      </w:r>
      <w:r>
        <w:rPr>
          <w:rFonts w:hint="eastAsia" w:ascii="宋体" w:hAnsi="宋体" w:eastAsia="宋体" w:cs="宋体"/>
          <w:color w:val="auto"/>
          <w:szCs w:val="21"/>
        </w:rPr>
        <w:t xml:space="preserve"> 服务单位因同一项目同一事项被警告2次的，管网公司可直接发出正式处罚通知单（无需预处罚），服务单位须向管网公司支付双倍违约金。</w:t>
      </w:r>
    </w:p>
    <w:p w14:paraId="15C7DADF">
      <w:p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第五十八条</w:t>
      </w:r>
      <w:r>
        <w:rPr>
          <w:rFonts w:hint="eastAsia" w:ascii="宋体" w:hAnsi="宋体" w:eastAsia="宋体" w:cs="宋体"/>
          <w:color w:val="auto"/>
          <w:szCs w:val="21"/>
        </w:rPr>
        <w:t xml:space="preserve"> 服务单位因同一项目同一事项被警告或处罚3次（含）以上的，暂停委派新任务1个月。</w:t>
      </w:r>
    </w:p>
    <w:p w14:paraId="2F24568F">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第五十九条</w:t>
      </w:r>
      <w:r>
        <w:rPr>
          <w:rFonts w:hint="eastAsia" w:ascii="宋体" w:hAnsi="宋体" w:eastAsia="宋体" w:cs="宋体"/>
          <w:color w:val="auto"/>
          <w:szCs w:val="21"/>
        </w:rPr>
        <w:t xml:space="preserve"> 服务单位因同一项目同一事项被严重警告或处罚5次（含）以上的，管网公司可取消服务单位承接业务的资格，有权单方面解除合同并没收履约担保。</w:t>
      </w:r>
    </w:p>
    <w:p w14:paraId="2019729C">
      <w:p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第六十条</w:t>
      </w:r>
      <w:r>
        <w:rPr>
          <w:rFonts w:hint="eastAsia" w:ascii="宋体" w:hAnsi="宋体" w:eastAsia="宋体" w:cs="宋体"/>
          <w:color w:val="auto"/>
          <w:szCs w:val="21"/>
        </w:rPr>
        <w:t xml:space="preserve"> 服务单位无正当理由拒绝接受具体委派项目，管网公司有权向服务单位进行5000.00元/次违约罚款；累计拒单超过3次（含）以上的，管网公司可取消服务单位承接业务的资格，有权单方面解除合同并没收履约担保。</w:t>
      </w:r>
    </w:p>
    <w:p w14:paraId="0B4E892A">
      <w:pPr>
        <w:tabs>
          <w:tab w:val="left" w:pos="0"/>
        </w:tabs>
        <w:spacing w:line="600" w:lineRule="exact"/>
        <w:ind w:right="-28" w:firstLine="422" w:firstLineChars="200"/>
        <w:jc w:val="left"/>
        <w:rPr>
          <w:rFonts w:ascii="宋体" w:hAnsi="宋体" w:eastAsia="宋体" w:cs="宋体"/>
          <w:color w:val="auto"/>
          <w:szCs w:val="21"/>
        </w:rPr>
      </w:pPr>
      <w:r>
        <w:rPr>
          <w:rFonts w:hint="eastAsia" w:ascii="宋体" w:hAnsi="宋体" w:eastAsia="宋体" w:cs="宋体"/>
          <w:b/>
          <w:bCs/>
          <w:color w:val="auto"/>
          <w:szCs w:val="21"/>
        </w:rPr>
        <w:t>第六十一条</w:t>
      </w:r>
      <w:r>
        <w:rPr>
          <w:rFonts w:hint="eastAsia" w:ascii="宋体" w:hAnsi="宋体" w:eastAsia="宋体" w:cs="宋体"/>
          <w:color w:val="auto"/>
          <w:szCs w:val="21"/>
        </w:rPr>
        <w:t xml:space="preserve"> 服务单位在具体实施的项目中需开展有限空间作业的，应按照管网公司相关要求通过分公司审批，在接到分公司允许作业书面回执后，服务单位应根据具体项目实施方案严格落实通风及气体检测等安全防护措施，才能进行作业。服务单位若未得到分公司审批同意，擅自开展有限空间、潜水作业等危险作业的，分公司有权要求服务单位按10000.00元/次支付违约金，因擅自进行危险作业导致的所有责任均由服务单位承担。对于一个年度内累计出现三次（含）以上未经审批擅自进行有限作业的服务单位，管网公司有权单方面取消服务合同，没收履约担保金。服务单位因未执行管网公司规章制度条款或未经批准擅自进行危险作业导致的安全事故，所有责任均由服务单位承担。</w:t>
      </w:r>
    </w:p>
    <w:p w14:paraId="5EF0D677">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第六十二条</w:t>
      </w:r>
      <w:r>
        <w:rPr>
          <w:rFonts w:hint="eastAsia" w:ascii="宋体" w:hAnsi="宋体" w:eastAsia="宋体" w:cs="宋体"/>
          <w:color w:val="auto"/>
          <w:szCs w:val="21"/>
        </w:rPr>
        <w:t xml:space="preserve"> 本管理办法处罚措施如与招投标文件、合同文件及本办法专项条款约定不一致的，以最高的处罚方式及措施（含违约金金额、暂停派单、解除合同等）为准。</w:t>
      </w:r>
    </w:p>
    <w:p w14:paraId="586074A3">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第六十三条</w:t>
      </w:r>
      <w:r>
        <w:rPr>
          <w:rFonts w:hint="eastAsia" w:ascii="宋体" w:hAnsi="宋体" w:eastAsia="宋体" w:cs="宋体"/>
          <w:color w:val="auto"/>
          <w:szCs w:val="21"/>
        </w:rPr>
        <w:t xml:space="preserve"> 如服务单位须向管网公司支付违约金，违约金可采用以下三种方式之一清缴，具体以实际处罚通知单为准：</w:t>
      </w:r>
    </w:p>
    <w:p w14:paraId="07677027">
      <w:pPr>
        <w:numPr>
          <w:ilvl w:val="255"/>
          <w:numId w:val="0"/>
        </w:numPr>
        <w:tabs>
          <w:tab w:val="left" w:pos="0"/>
        </w:tabs>
        <w:spacing w:line="600" w:lineRule="exact"/>
        <w:ind w:right="-28" w:firstLine="420" w:firstLineChars="200"/>
        <w:jc w:val="left"/>
        <w:rPr>
          <w:rFonts w:ascii="宋体" w:hAnsi="宋体" w:eastAsia="宋体" w:cs="宋体"/>
          <w:color w:val="auto"/>
          <w:szCs w:val="21"/>
        </w:rPr>
      </w:pPr>
      <w:r>
        <w:rPr>
          <w:rFonts w:hint="eastAsia" w:ascii="宋体" w:hAnsi="宋体" w:eastAsia="宋体" w:cs="宋体"/>
          <w:color w:val="auto"/>
          <w:szCs w:val="21"/>
        </w:rPr>
        <w:t>（一）违约金应自发出处罚通知单起10个工作日内缴至管网公司指定账户（如服务单位迟交或拒交，则在项目进度款（如有）或结算款或履约保函中予以双倍扣除）；</w:t>
      </w:r>
    </w:p>
    <w:p w14:paraId="264640F7">
      <w:pPr>
        <w:numPr>
          <w:ilvl w:val="255"/>
          <w:numId w:val="0"/>
        </w:numPr>
        <w:tabs>
          <w:tab w:val="left" w:pos="0"/>
        </w:tabs>
        <w:spacing w:line="600" w:lineRule="exact"/>
        <w:ind w:right="-28" w:firstLine="420" w:firstLineChars="200"/>
        <w:jc w:val="left"/>
        <w:rPr>
          <w:rFonts w:ascii="宋体" w:hAnsi="宋体" w:eastAsia="宋体" w:cs="宋体"/>
          <w:color w:val="auto"/>
          <w:szCs w:val="21"/>
        </w:rPr>
      </w:pPr>
      <w:r>
        <w:rPr>
          <w:rFonts w:hint="eastAsia" w:ascii="宋体" w:hAnsi="宋体" w:eastAsia="宋体" w:cs="宋体"/>
          <w:color w:val="auto"/>
          <w:szCs w:val="21"/>
        </w:rPr>
        <w:t>（二）违约金在项目进度款（如有）或结算款中予以扣除；</w:t>
      </w:r>
    </w:p>
    <w:p w14:paraId="7037116E">
      <w:pPr>
        <w:numPr>
          <w:ilvl w:val="255"/>
          <w:numId w:val="0"/>
        </w:numPr>
        <w:tabs>
          <w:tab w:val="left" w:pos="0"/>
        </w:tabs>
        <w:spacing w:line="600" w:lineRule="exact"/>
        <w:ind w:right="-28" w:firstLine="420" w:firstLineChars="200"/>
        <w:jc w:val="left"/>
        <w:rPr>
          <w:rFonts w:ascii="宋体" w:hAnsi="宋体" w:eastAsia="宋体" w:cs="宋体"/>
          <w:color w:val="auto"/>
          <w:szCs w:val="21"/>
        </w:rPr>
      </w:pPr>
      <w:r>
        <w:rPr>
          <w:rFonts w:hint="eastAsia" w:ascii="宋体" w:hAnsi="宋体" w:eastAsia="宋体" w:cs="宋体"/>
          <w:color w:val="auto"/>
          <w:szCs w:val="21"/>
        </w:rPr>
        <w:t>（三）违约金从履约保函中提取。</w:t>
      </w:r>
    </w:p>
    <w:p w14:paraId="0BA490AA">
      <w:pPr>
        <w:pStyle w:val="19"/>
        <w:spacing w:line="600" w:lineRule="exact"/>
        <w:ind w:right="-28" w:firstLine="0" w:firstLineChars="0"/>
        <w:jc w:val="left"/>
        <w:rPr>
          <w:rFonts w:ascii="宋体" w:hAnsi="宋体" w:eastAsia="宋体" w:cs="宋体"/>
          <w:color w:val="auto"/>
          <w:szCs w:val="21"/>
        </w:rPr>
      </w:pPr>
    </w:p>
    <w:p w14:paraId="434E8C38">
      <w:pPr>
        <w:spacing w:line="600" w:lineRule="exact"/>
        <w:jc w:val="center"/>
        <w:outlineLvl w:val="1"/>
        <w:rPr>
          <w:rFonts w:ascii="宋体" w:hAnsi="宋体" w:eastAsia="宋体" w:cs="宋体"/>
          <w:b/>
          <w:bCs/>
          <w:color w:val="auto"/>
          <w:szCs w:val="21"/>
        </w:rPr>
      </w:pPr>
      <w:r>
        <w:rPr>
          <w:rFonts w:hint="eastAsia" w:ascii="宋体" w:hAnsi="宋体" w:eastAsia="宋体" w:cs="宋体"/>
          <w:b/>
          <w:bCs/>
          <w:color w:val="auto"/>
          <w:szCs w:val="21"/>
        </w:rPr>
        <w:t>第二节 考核奖惩</w:t>
      </w:r>
    </w:p>
    <w:p w14:paraId="37661E9B">
      <w:pPr>
        <w:numPr>
          <w:ilvl w:val="255"/>
          <w:numId w:val="0"/>
        </w:numPr>
        <w:tabs>
          <w:tab w:val="left" w:pos="0"/>
        </w:tabs>
        <w:spacing w:line="600" w:lineRule="exact"/>
        <w:ind w:firstLine="422" w:firstLineChars="200"/>
        <w:rPr>
          <w:rFonts w:ascii="宋体" w:hAnsi="宋体" w:eastAsia="宋体" w:cs="宋体"/>
          <w:color w:val="auto"/>
          <w:szCs w:val="21"/>
          <w:lang w:val="zh-CN"/>
        </w:rPr>
      </w:pPr>
      <w:r>
        <w:rPr>
          <w:rFonts w:hint="eastAsia" w:ascii="宋体" w:hAnsi="宋体" w:eastAsia="宋体" w:cs="宋体"/>
          <w:b/>
          <w:bCs/>
          <w:color w:val="auto"/>
          <w:szCs w:val="21"/>
        </w:rPr>
        <w:t>第六十四条</w:t>
      </w:r>
      <w:r>
        <w:rPr>
          <w:rFonts w:hint="eastAsia" w:ascii="宋体" w:hAnsi="宋体" w:eastAsia="宋体" w:cs="宋体"/>
          <w:color w:val="auto"/>
          <w:szCs w:val="21"/>
        </w:rPr>
        <w:t xml:space="preserve"> 管网公司设备管理部及分公司对服务单位进行季度履约评价情况进行排名通报，并执行如下奖惩方案：</w:t>
      </w:r>
    </w:p>
    <w:p w14:paraId="63B0E71D">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zh-CN"/>
        </w:rPr>
        <w:t>（</w:t>
      </w:r>
      <w:r>
        <w:rPr>
          <w:rFonts w:hint="eastAsia" w:ascii="宋体" w:hAnsi="宋体" w:eastAsia="宋体" w:cs="宋体"/>
          <w:color w:val="auto"/>
          <w:szCs w:val="21"/>
        </w:rPr>
        <w:t>一</w:t>
      </w:r>
      <w:r>
        <w:rPr>
          <w:rFonts w:hint="eastAsia" w:ascii="宋体" w:hAnsi="宋体" w:eastAsia="宋体" w:cs="宋体"/>
          <w:color w:val="auto"/>
          <w:szCs w:val="21"/>
          <w:lang w:val="zh-CN"/>
        </w:rPr>
        <w:t>）</w:t>
      </w:r>
      <w:r>
        <w:rPr>
          <w:rFonts w:hint="eastAsia" w:ascii="宋体" w:hAnsi="宋体" w:eastAsia="宋体" w:cs="宋体"/>
          <w:color w:val="auto"/>
          <w:szCs w:val="21"/>
        </w:rPr>
        <w:t>单季度考核评价60分（不含）以下的单位，暂停委派新任务1个月；</w:t>
      </w:r>
    </w:p>
    <w:p w14:paraId="149F3654">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zh-CN"/>
        </w:rPr>
        <w:t>（</w:t>
      </w:r>
      <w:r>
        <w:rPr>
          <w:rFonts w:hint="eastAsia" w:ascii="宋体" w:hAnsi="宋体" w:eastAsia="宋体" w:cs="宋体"/>
          <w:color w:val="auto"/>
          <w:szCs w:val="21"/>
        </w:rPr>
        <w:t>二</w:t>
      </w:r>
      <w:r>
        <w:rPr>
          <w:rFonts w:hint="eastAsia" w:ascii="宋体" w:hAnsi="宋体" w:eastAsia="宋体" w:cs="宋体"/>
          <w:color w:val="auto"/>
          <w:szCs w:val="21"/>
          <w:lang w:val="zh-CN"/>
        </w:rPr>
        <w:t>）</w:t>
      </w:r>
      <w:r>
        <w:rPr>
          <w:rFonts w:hint="eastAsia" w:ascii="宋体" w:hAnsi="宋体" w:eastAsia="宋体" w:cs="宋体"/>
          <w:color w:val="auto"/>
          <w:szCs w:val="21"/>
        </w:rPr>
        <w:t>连续两个季度考核评价70分（不含）以下的单位，暂停委派新任务1个月；</w:t>
      </w:r>
    </w:p>
    <w:p w14:paraId="3AF3F27B">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zh-CN"/>
        </w:rPr>
        <w:t>（</w:t>
      </w:r>
      <w:r>
        <w:rPr>
          <w:rFonts w:hint="eastAsia" w:ascii="宋体" w:hAnsi="宋体" w:eastAsia="宋体" w:cs="宋体"/>
          <w:color w:val="auto"/>
          <w:szCs w:val="21"/>
        </w:rPr>
        <w:t>三</w:t>
      </w:r>
      <w:r>
        <w:rPr>
          <w:rFonts w:hint="eastAsia" w:ascii="宋体" w:hAnsi="宋体" w:eastAsia="宋体" w:cs="宋体"/>
          <w:color w:val="auto"/>
          <w:szCs w:val="21"/>
          <w:lang w:val="zh-CN"/>
        </w:rPr>
        <w:t>）</w:t>
      </w:r>
      <w:r>
        <w:rPr>
          <w:rFonts w:hint="eastAsia" w:ascii="宋体" w:hAnsi="宋体" w:eastAsia="宋体" w:cs="宋体"/>
          <w:color w:val="auto"/>
          <w:szCs w:val="21"/>
        </w:rPr>
        <w:t>暂停委派新任务片区的施工任务由季度评价最终得分排名第1的施工单位承接，当排名第1的施工单位不愿承接时，由排名第2的施工单位承接，依次类推；如直至排名第3片区的施工单位都无承接意愿时，由管网公司委派具有相关资质的单位承接业务。当暂未开展考核无季度评价最终得分排名时，以开标先后顺序排名。（任务委派由分公司实施，具体排名资格单位由设备管理部指派）</w:t>
      </w:r>
    </w:p>
    <w:p w14:paraId="3BAA3AD7">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zh-CN"/>
        </w:rPr>
        <w:t>（</w:t>
      </w:r>
      <w:r>
        <w:rPr>
          <w:rFonts w:hint="eastAsia" w:ascii="宋体" w:hAnsi="宋体" w:eastAsia="宋体" w:cs="宋体"/>
          <w:color w:val="auto"/>
          <w:szCs w:val="21"/>
        </w:rPr>
        <w:t>四</w:t>
      </w:r>
      <w:r>
        <w:rPr>
          <w:rFonts w:hint="eastAsia" w:ascii="宋体" w:hAnsi="宋体" w:eastAsia="宋体" w:cs="宋体"/>
          <w:color w:val="auto"/>
          <w:szCs w:val="21"/>
          <w:lang w:val="zh-CN"/>
        </w:rPr>
        <w:t>）</w:t>
      </w:r>
      <w:r>
        <w:rPr>
          <w:rFonts w:hint="eastAsia" w:ascii="宋体" w:hAnsi="宋体" w:eastAsia="宋体" w:cs="宋体"/>
          <w:color w:val="auto"/>
          <w:szCs w:val="21"/>
        </w:rPr>
        <w:t>当某一片区机电维修服务单位触发暂停委派新任务或解除合同机制时，该片区机电维修任务承接模式按照本条第（三）规定执行，直至该片区机电设备维修单位恢复委派新任务资格或重新招标产生新的服务单位为止。</w:t>
      </w:r>
    </w:p>
    <w:p w14:paraId="0CA02200">
      <w:pPr>
        <w:pStyle w:val="19"/>
        <w:spacing w:line="600" w:lineRule="exact"/>
        <w:ind w:firstLine="0" w:firstLineChars="0"/>
        <w:rPr>
          <w:rFonts w:ascii="宋体" w:hAnsi="宋体" w:eastAsia="宋体" w:cs="宋体"/>
          <w:color w:val="auto"/>
          <w:szCs w:val="21"/>
        </w:rPr>
      </w:pPr>
    </w:p>
    <w:p w14:paraId="76450FF2">
      <w:pPr>
        <w:spacing w:line="600" w:lineRule="exact"/>
        <w:jc w:val="center"/>
        <w:outlineLvl w:val="1"/>
        <w:rPr>
          <w:rFonts w:ascii="宋体" w:hAnsi="宋体" w:eastAsia="宋体" w:cs="宋体"/>
          <w:b/>
          <w:bCs/>
          <w:color w:val="auto"/>
          <w:szCs w:val="21"/>
        </w:rPr>
      </w:pPr>
      <w:r>
        <w:rPr>
          <w:rFonts w:hint="eastAsia" w:ascii="宋体" w:hAnsi="宋体" w:eastAsia="宋体" w:cs="宋体"/>
          <w:b/>
          <w:bCs/>
          <w:color w:val="auto"/>
          <w:szCs w:val="21"/>
        </w:rPr>
        <w:t>第三节 其他要求</w:t>
      </w:r>
    </w:p>
    <w:p w14:paraId="5281AEB9">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第六十五条</w:t>
      </w:r>
      <w:r>
        <w:rPr>
          <w:rFonts w:hint="eastAsia" w:ascii="宋体" w:hAnsi="宋体" w:eastAsia="宋体" w:cs="宋体"/>
          <w:color w:val="auto"/>
          <w:szCs w:val="21"/>
        </w:rPr>
        <w:t xml:space="preserve"> 当机电设备维修单位出现以下情况时，管网公司将直接暂停委派新任务1个月。</w:t>
      </w:r>
    </w:p>
    <w:p w14:paraId="5418DA21">
      <w:pPr>
        <w:tabs>
          <w:tab w:val="left" w:pos="0"/>
        </w:tabs>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（一）累计超过5个（含）项目未按时提交符合要求的请款资料的。</w:t>
      </w:r>
    </w:p>
    <w:p w14:paraId="5875058B">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kern w:val="0"/>
          <w:szCs w:val="21"/>
        </w:rPr>
        <w:t>（二）累计超过5个（含）项目未按时提交符合要求的竣工、结算资料的。</w:t>
      </w:r>
    </w:p>
    <w:p w14:paraId="1C62925F">
      <w:pPr>
        <w:tabs>
          <w:tab w:val="left" w:pos="0"/>
        </w:tabs>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（三）不积极配合协助处理业务履行中发生的争议，不主动提供真实情况的。</w:t>
      </w:r>
    </w:p>
    <w:p w14:paraId="0C95F712">
      <w:pPr>
        <w:tabs>
          <w:tab w:val="left" w:pos="0"/>
        </w:tabs>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（四）缺陷责任期内，不配合管网公司开展工作的。</w:t>
      </w:r>
    </w:p>
    <w:p w14:paraId="703415A0">
      <w:pPr>
        <w:tabs>
          <w:tab w:val="left" w:pos="0"/>
        </w:tabs>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服务单位未能在暂停委派新任务期间完成相应问题整改（涉及第（一）、第（二）项的须提交全部资料）的，</w:t>
      </w:r>
      <w:r>
        <w:rPr>
          <w:rFonts w:hint="eastAsia" w:ascii="宋体" w:hAnsi="宋体" w:eastAsia="宋体" w:cs="宋体"/>
          <w:color w:val="auto"/>
          <w:szCs w:val="21"/>
        </w:rPr>
        <w:t>管网公司将继续暂停委派新任务</w:t>
      </w:r>
      <w:r>
        <w:rPr>
          <w:rFonts w:hint="eastAsia" w:ascii="宋体" w:hAnsi="宋体" w:eastAsia="宋体" w:cs="宋体"/>
          <w:color w:val="auto"/>
          <w:kern w:val="0"/>
          <w:szCs w:val="21"/>
        </w:rPr>
        <w:t>，直至服务单位完成整改并提出恢复</w:t>
      </w:r>
      <w:r>
        <w:rPr>
          <w:rFonts w:hint="eastAsia" w:ascii="宋体" w:hAnsi="宋体" w:eastAsia="宋体" w:cs="宋体"/>
          <w:color w:val="auto"/>
          <w:szCs w:val="21"/>
        </w:rPr>
        <w:t>委派新任务</w:t>
      </w:r>
      <w:r>
        <w:rPr>
          <w:rFonts w:hint="eastAsia" w:ascii="宋体" w:hAnsi="宋体" w:eastAsia="宋体" w:cs="宋体"/>
          <w:color w:val="auto"/>
          <w:kern w:val="0"/>
          <w:szCs w:val="21"/>
        </w:rPr>
        <w:t>申请，且由管网公司复核通过后方可恢复委派新任务。</w:t>
      </w:r>
    </w:p>
    <w:p w14:paraId="192E7BC9">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第六十六条</w:t>
      </w:r>
      <w:r>
        <w:rPr>
          <w:rFonts w:hint="eastAsia" w:ascii="宋体" w:hAnsi="宋体" w:eastAsia="宋体" w:cs="宋体"/>
          <w:color w:val="auto"/>
          <w:szCs w:val="21"/>
        </w:rPr>
        <w:t xml:space="preserve"> 当服务单位出现以下情况时，一经发现，管网公司有权直接解除合同、没收履约保证金，在一年内禁止其参与管网公司招投标、采购活动，上报市水务集团列入黑名单，并视情况移交东莞市住房和城乡建设局；涉嫌犯罪的，移交司法机关依法追究刑事责任。</w:t>
      </w:r>
    </w:p>
    <w:p w14:paraId="274F8DC9">
      <w:pPr>
        <w:numPr>
          <w:ilvl w:val="0"/>
          <w:numId w:val="15"/>
        </w:numPr>
        <w:tabs>
          <w:tab w:val="left" w:pos="0"/>
        </w:tabs>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累计超过10个（含）项目未按时提交符合要求的请款资料的。</w:t>
      </w:r>
    </w:p>
    <w:p w14:paraId="31FF219A">
      <w:pPr>
        <w:numPr>
          <w:ilvl w:val="0"/>
          <w:numId w:val="15"/>
        </w:numPr>
        <w:tabs>
          <w:tab w:val="left" w:pos="0"/>
        </w:tabs>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累计超过10个（含）项目未按时提交符合要求的竣工、结算资料的。</w:t>
      </w:r>
    </w:p>
    <w:p w14:paraId="23B8D2A9">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（三）出现质量事故或安全事故且不积极、拒不配合处理的。</w:t>
      </w:r>
    </w:p>
    <w:p w14:paraId="04765C57">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（四）违反廉政纪律。</w:t>
      </w:r>
    </w:p>
    <w:p w14:paraId="4BC118E5">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（五）采取不正当手段诋毁、排挤其他参建单位的。</w:t>
      </w:r>
    </w:p>
    <w:p w14:paraId="49E4F83C">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（六）与其他服务位恶意串通的。</w:t>
      </w:r>
    </w:p>
    <w:p w14:paraId="7013F6FA">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（七）在检查中发现违规行为严重损害管网公司利益或形象。</w:t>
      </w:r>
    </w:p>
    <w:p w14:paraId="48F6C536">
      <w:pPr>
        <w:tabs>
          <w:tab w:val="left" w:pos="0"/>
        </w:tabs>
        <w:spacing w:line="6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（八）发生各类纠纷，造成群体性事件，发生伤亡事件的。</w:t>
      </w:r>
    </w:p>
    <w:p w14:paraId="3DF89424">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（十）拒绝有关部门监督检查或者提供虚假情况的。</w:t>
      </w:r>
    </w:p>
    <w:p w14:paraId="0457F5A9">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（十一）蓄意或恶意破坏现有机电设备，扩大维修范围的。</w:t>
      </w:r>
    </w:p>
    <w:p w14:paraId="3D77F9EF">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（十二）在施工过程中违反相关法律法规的。</w:t>
      </w:r>
    </w:p>
    <w:p w14:paraId="3EBC1FBD">
      <w:pPr>
        <w:tabs>
          <w:tab w:val="left" w:pos="0"/>
        </w:tabs>
        <w:spacing w:line="600" w:lineRule="exact"/>
        <w:ind w:firstLine="420" w:firstLineChars="200"/>
        <w:rPr>
          <w:rFonts w:ascii="宋体" w:hAnsi="宋体" w:eastAsia="宋体" w:cs="宋体"/>
          <w:color w:val="auto"/>
          <w:szCs w:val="21"/>
        </w:rPr>
      </w:pPr>
      <w:r>
        <w:rPr>
          <w:rFonts w:hint="eastAsia" w:ascii="宋体" w:hAnsi="宋体" w:eastAsia="宋体" w:cs="宋体"/>
          <w:color w:val="auto"/>
          <w:szCs w:val="21"/>
        </w:rPr>
        <w:t>（十三）累计暂停委派新任务超过4个月（不含）的。</w:t>
      </w:r>
    </w:p>
    <w:p w14:paraId="521A6E4D">
      <w:pPr>
        <w:pStyle w:val="19"/>
        <w:spacing w:line="600" w:lineRule="exact"/>
        <w:ind w:firstLineChars="200"/>
        <w:rPr>
          <w:rFonts w:ascii="宋体" w:hAnsi="宋体" w:eastAsia="宋体" w:cs="宋体"/>
          <w:color w:val="auto"/>
          <w:szCs w:val="21"/>
        </w:rPr>
      </w:pPr>
      <w:r>
        <w:rPr>
          <w:rFonts w:hint="eastAsia" w:ascii="宋体" w:hAnsi="宋体" w:eastAsia="宋体" w:cs="宋体"/>
          <w:color w:val="auto"/>
          <w:szCs w:val="21"/>
        </w:rPr>
        <w:t>（十四）累计拒单超过3次（含）的。</w:t>
      </w:r>
    </w:p>
    <w:p w14:paraId="5B06553D">
      <w:pPr>
        <w:numPr>
          <w:ilvl w:val="255"/>
          <w:numId w:val="0"/>
        </w:numPr>
        <w:tabs>
          <w:tab w:val="left" w:pos="0"/>
        </w:tabs>
        <w:spacing w:line="600" w:lineRule="exact"/>
        <w:ind w:left="420" w:leftChars="200" w:firstLine="420" w:firstLineChars="200"/>
        <w:rPr>
          <w:rFonts w:ascii="宋体" w:hAnsi="宋体" w:eastAsia="宋体" w:cs="宋体"/>
          <w:color w:val="auto"/>
          <w:szCs w:val="21"/>
        </w:rPr>
      </w:pPr>
      <w:r>
        <w:rPr>
          <w:rFonts w:hint="eastAsia" w:ascii="宋体" w:hAnsi="宋体" w:eastAsia="宋体" w:cs="宋体"/>
          <w:color w:val="auto"/>
          <w:szCs w:val="21"/>
        </w:rPr>
        <w:t>以上，所有处罚措施均为累计数计算。</w:t>
      </w:r>
    </w:p>
    <w:p w14:paraId="1D00FA20">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第六十七条</w:t>
      </w:r>
      <w:r>
        <w:rPr>
          <w:rFonts w:hint="eastAsia" w:ascii="宋体" w:hAnsi="宋体" w:eastAsia="宋体" w:cs="宋体"/>
          <w:color w:val="auto"/>
          <w:szCs w:val="21"/>
        </w:rPr>
        <w:t xml:space="preserve"> 服务单位对于管网公司的处罚或者处理有异议的，可在收到管网公司处理通知3个工作日内，向管网公司提交申诉函，管网公司将于10个工作日内予以书面回复。3个工作日内未提交申诉函的视为对处罚无异议，管网公司不受理超过3个工作日后提交的申诉请求。</w:t>
      </w:r>
    </w:p>
    <w:p w14:paraId="498865DB">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第六十八条</w:t>
      </w:r>
      <w:r>
        <w:rPr>
          <w:rFonts w:hint="eastAsia" w:ascii="宋体" w:hAnsi="宋体" w:eastAsia="宋体" w:cs="宋体"/>
          <w:color w:val="auto"/>
          <w:szCs w:val="21"/>
        </w:rPr>
        <w:t xml:space="preserve"> 服务单位在收到管网公司处理通知3个工作日内未能向管网公司提交申诉函，且拒不履行处罚事项的（包括签认处罚单、限期内缴纳违约金等），暂停委派新任务1个月。</w:t>
      </w:r>
    </w:p>
    <w:p w14:paraId="10B8604C">
      <w:pPr>
        <w:widowControl/>
        <w:numPr>
          <w:ilvl w:val="255"/>
          <w:numId w:val="0"/>
        </w:numPr>
        <w:tabs>
          <w:tab w:val="left" w:pos="0"/>
        </w:tabs>
        <w:snapToGrid w:val="0"/>
        <w:spacing w:line="600" w:lineRule="exact"/>
        <w:jc w:val="left"/>
        <w:textAlignment w:val="baseline"/>
        <w:rPr>
          <w:rFonts w:ascii="宋体" w:hAnsi="宋体" w:eastAsia="宋体" w:cs="宋体"/>
          <w:color w:val="auto"/>
          <w:szCs w:val="21"/>
          <w:lang w:bidi="ar"/>
        </w:rPr>
      </w:pPr>
      <w:r>
        <w:rPr>
          <w:rFonts w:hint="eastAsia" w:ascii="宋体" w:hAnsi="宋体" w:eastAsia="宋体" w:cs="宋体"/>
          <w:color w:val="auto"/>
          <w:szCs w:val="21"/>
          <w:lang w:bidi="ar"/>
        </w:rPr>
        <w:t xml:space="preserve">  </w:t>
      </w:r>
    </w:p>
    <w:p w14:paraId="0C530001">
      <w:pPr>
        <w:numPr>
          <w:ilvl w:val="0"/>
          <w:numId w:val="10"/>
        </w:numPr>
        <w:spacing w:line="600" w:lineRule="exact"/>
        <w:jc w:val="center"/>
        <w:outlineLvl w:val="0"/>
        <w:rPr>
          <w:rFonts w:ascii="宋体" w:hAnsi="宋体" w:eastAsia="宋体" w:cs="宋体"/>
          <w:b/>
          <w:bCs/>
          <w:color w:val="auto"/>
          <w:szCs w:val="21"/>
        </w:rPr>
      </w:pPr>
      <w:r>
        <w:rPr>
          <w:rFonts w:hint="eastAsia" w:ascii="宋体" w:hAnsi="宋体" w:eastAsia="宋体" w:cs="宋体"/>
          <w:b/>
          <w:bCs/>
          <w:color w:val="auto"/>
          <w:szCs w:val="21"/>
        </w:rPr>
        <w:t>合同解除管理</w:t>
      </w:r>
    </w:p>
    <w:p w14:paraId="6733E946">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第六十九条</w:t>
      </w:r>
      <w:r>
        <w:rPr>
          <w:rFonts w:hint="eastAsia" w:ascii="宋体" w:hAnsi="宋体" w:eastAsia="宋体" w:cs="宋体"/>
          <w:color w:val="auto"/>
          <w:szCs w:val="21"/>
        </w:rPr>
        <w:t xml:space="preserve"> 服务单位触发本办法中解除合同条款或合同文件，已严重影响管网公司正常生产经营的，由分公司或具体使用部门上报给合同管理部，并经管网公司招标采购领导小组会议决议同意后，可单方面解除服务合同，服务单位不得追偿。</w:t>
      </w:r>
    </w:p>
    <w:p w14:paraId="4D890423">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第七十条</w:t>
      </w:r>
      <w:r>
        <w:rPr>
          <w:rFonts w:hint="eastAsia" w:ascii="宋体" w:hAnsi="宋体" w:eastAsia="宋体" w:cs="宋体"/>
          <w:color w:val="auto"/>
          <w:szCs w:val="21"/>
        </w:rPr>
        <w:t xml:space="preserve"> 合同解除后，服务单位仍须按原合同约定承担已完成项目的质量责任及相关违约责任（如有）等。</w:t>
      </w:r>
    </w:p>
    <w:p w14:paraId="1C708729">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第七十一条</w:t>
      </w:r>
      <w:r>
        <w:rPr>
          <w:rFonts w:hint="eastAsia" w:ascii="宋体" w:hAnsi="宋体" w:eastAsia="宋体" w:cs="宋体"/>
          <w:color w:val="auto"/>
          <w:szCs w:val="21"/>
        </w:rPr>
        <w:t xml:space="preserve"> 服务单位所承接的项目尚未履行完毕的，仍须按照原合同约定的权利及义务继续履行，直至全部项目完成结算支付工作，双方权利及义务终止。服务单位在履行剩余承接项目时存在违反原合同或本办法约定行为的，管网公司有权按照原合同及本办法之约定追究服务单位违约责任。</w:t>
      </w:r>
    </w:p>
    <w:p w14:paraId="23FDFE92">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第七十二条</w:t>
      </w:r>
      <w:r>
        <w:rPr>
          <w:rFonts w:hint="eastAsia" w:ascii="宋体" w:hAnsi="宋体" w:eastAsia="宋体" w:cs="宋体"/>
          <w:color w:val="auto"/>
          <w:szCs w:val="21"/>
        </w:rPr>
        <w:t xml:space="preserve"> 服务单位已缴纳的履约担保，待其所承接的全部项目结算完成后，由管网公司合同管理部按照原合同约定在合理的期限内向服务单位退还。</w:t>
      </w:r>
    </w:p>
    <w:p w14:paraId="621BF63D">
      <w:pPr>
        <w:tabs>
          <w:tab w:val="left" w:pos="0"/>
        </w:tabs>
        <w:snapToGrid w:val="0"/>
        <w:spacing w:line="600" w:lineRule="exact"/>
        <w:textAlignment w:val="baseline"/>
        <w:rPr>
          <w:rFonts w:ascii="宋体" w:hAnsi="宋体" w:eastAsia="宋体" w:cs="宋体"/>
          <w:color w:val="auto"/>
          <w:szCs w:val="21"/>
        </w:rPr>
      </w:pPr>
    </w:p>
    <w:p w14:paraId="65C25BC6">
      <w:pPr>
        <w:numPr>
          <w:ilvl w:val="0"/>
          <w:numId w:val="10"/>
        </w:numPr>
        <w:spacing w:line="600" w:lineRule="exact"/>
        <w:jc w:val="center"/>
        <w:outlineLvl w:val="0"/>
        <w:rPr>
          <w:rFonts w:ascii="宋体" w:hAnsi="宋体" w:eastAsia="宋体" w:cs="宋体"/>
          <w:b/>
          <w:bCs/>
          <w:color w:val="auto"/>
          <w:szCs w:val="21"/>
        </w:rPr>
      </w:pPr>
      <w:r>
        <w:rPr>
          <w:rFonts w:hint="eastAsia" w:ascii="宋体" w:hAnsi="宋体" w:eastAsia="宋体" w:cs="宋体"/>
          <w:b/>
          <w:bCs/>
          <w:color w:val="auto"/>
          <w:szCs w:val="21"/>
        </w:rPr>
        <w:t>附则</w:t>
      </w:r>
    </w:p>
    <w:p w14:paraId="6C479E0F">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第七十三条</w:t>
      </w:r>
      <w:r>
        <w:rPr>
          <w:rFonts w:hint="eastAsia" w:ascii="宋体" w:hAnsi="宋体" w:eastAsia="宋体" w:cs="宋体"/>
          <w:color w:val="auto"/>
          <w:szCs w:val="21"/>
        </w:rPr>
        <w:t xml:space="preserve"> 本办法中所涉及的规范标准及管理办法若有更新版本，按最新的版本执行。</w:t>
      </w:r>
    </w:p>
    <w:p w14:paraId="12878B34">
      <w:pPr>
        <w:numPr>
          <w:ilvl w:val="255"/>
          <w:numId w:val="0"/>
        </w:num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第七十四条</w:t>
      </w:r>
      <w:r>
        <w:rPr>
          <w:rFonts w:hint="eastAsia" w:ascii="宋体" w:hAnsi="宋体" w:eastAsia="宋体" w:cs="宋体"/>
          <w:color w:val="auto"/>
          <w:szCs w:val="21"/>
        </w:rPr>
        <w:t xml:space="preserve"> 管网公司有权根据机电设备维修的实际需要，对本办法进行修订，以及出台配套管理制度细化规范管理。</w:t>
      </w:r>
    </w:p>
    <w:p w14:paraId="74F41724">
      <w:pPr>
        <w:tabs>
          <w:tab w:val="left" w:pos="0"/>
        </w:tabs>
        <w:spacing w:line="600" w:lineRule="exact"/>
        <w:ind w:firstLine="422" w:firstLineChars="200"/>
        <w:rPr>
          <w:rFonts w:ascii="宋体" w:hAnsi="宋体" w:eastAsia="宋体" w:cs="宋体"/>
          <w:color w:val="auto"/>
          <w:szCs w:val="21"/>
        </w:rPr>
      </w:pPr>
      <w:r>
        <w:rPr>
          <w:rFonts w:hint="eastAsia" w:ascii="宋体" w:hAnsi="宋体" w:eastAsia="宋体" w:cs="宋体"/>
          <w:b/>
          <w:bCs/>
          <w:color w:val="auto"/>
          <w:szCs w:val="21"/>
        </w:rPr>
        <w:t>第七十五条</w:t>
      </w:r>
      <w:r>
        <w:rPr>
          <w:rFonts w:hint="eastAsia" w:ascii="宋体" w:hAnsi="宋体" w:eastAsia="宋体" w:cs="宋体"/>
          <w:color w:val="auto"/>
          <w:szCs w:val="21"/>
        </w:rPr>
        <w:t xml:space="preserve"> 本办法由管网公司设备管理部负责解释。</w:t>
      </w:r>
    </w:p>
    <w:p w14:paraId="5328A455">
      <w:pPr>
        <w:pStyle w:val="19"/>
        <w:spacing w:line="600" w:lineRule="exact"/>
        <w:ind w:firstLine="0" w:firstLineChars="0"/>
        <w:rPr>
          <w:rFonts w:ascii="宋体" w:hAnsi="宋体" w:eastAsia="宋体" w:cs="宋体"/>
          <w:color w:val="auto"/>
          <w:szCs w:val="21"/>
        </w:rPr>
      </w:pPr>
    </w:p>
    <w:p w14:paraId="59352C37">
      <w:pPr>
        <w:spacing w:line="600" w:lineRule="exact"/>
        <w:ind w:firstLine="420" w:firstLineChars="200"/>
        <w:rPr>
          <w:rFonts w:ascii="宋体" w:hAnsi="宋体" w:eastAsia="宋体" w:cs="宋体"/>
          <w:bCs/>
          <w:color w:val="auto"/>
          <w:kern w:val="0"/>
          <w:szCs w:val="21"/>
        </w:rPr>
      </w:pPr>
      <w:r>
        <w:rPr>
          <w:rFonts w:hint="eastAsia" w:ascii="宋体" w:hAnsi="宋体" w:eastAsia="宋体" w:cs="宋体"/>
          <w:color w:val="auto"/>
          <w:szCs w:val="21"/>
        </w:rPr>
        <w:t>附件：</w:t>
      </w:r>
      <w:r>
        <w:rPr>
          <w:rFonts w:hint="eastAsia" w:ascii="宋体" w:hAnsi="宋体" w:eastAsia="宋体" w:cs="宋体"/>
          <w:bCs/>
          <w:color w:val="auto"/>
          <w:kern w:val="0"/>
          <w:szCs w:val="21"/>
        </w:rPr>
        <w:t>1．预处罚通知单</w:t>
      </w:r>
    </w:p>
    <w:p w14:paraId="67EE23ED">
      <w:pPr>
        <w:spacing w:line="600" w:lineRule="exact"/>
        <w:ind w:firstLine="1050" w:firstLineChars="500"/>
        <w:rPr>
          <w:rFonts w:ascii="宋体" w:hAnsi="宋体" w:eastAsia="宋体" w:cs="宋体"/>
          <w:bCs/>
          <w:color w:val="auto"/>
          <w:kern w:val="0"/>
          <w:szCs w:val="21"/>
        </w:rPr>
      </w:pPr>
      <w:r>
        <w:rPr>
          <w:rFonts w:hint="eastAsia" w:ascii="宋体" w:hAnsi="宋体" w:eastAsia="宋体" w:cs="宋体"/>
          <w:color w:val="auto"/>
          <w:szCs w:val="21"/>
          <w:lang w:bidi="ar"/>
        </w:rPr>
        <w:t>2．不良行为通报</w:t>
      </w:r>
    </w:p>
    <w:p w14:paraId="35E53528">
      <w:pPr>
        <w:spacing w:line="600" w:lineRule="exact"/>
        <w:ind w:firstLine="1050" w:firstLineChars="500"/>
        <w:rPr>
          <w:rFonts w:ascii="宋体" w:hAnsi="宋体" w:eastAsia="宋体" w:cs="宋体"/>
          <w:bCs/>
          <w:color w:val="auto"/>
          <w:kern w:val="0"/>
          <w:szCs w:val="21"/>
        </w:rPr>
      </w:pPr>
      <w:r>
        <w:rPr>
          <w:rFonts w:hint="eastAsia" w:ascii="宋体" w:hAnsi="宋体" w:eastAsia="宋体" w:cs="宋体"/>
          <w:bCs/>
          <w:color w:val="auto"/>
          <w:kern w:val="0"/>
          <w:szCs w:val="21"/>
        </w:rPr>
        <w:t>3．约谈通知书</w:t>
      </w:r>
    </w:p>
    <w:p w14:paraId="35351540">
      <w:pPr>
        <w:tabs>
          <w:tab w:val="left" w:pos="0"/>
        </w:tabs>
        <w:spacing w:line="600" w:lineRule="exact"/>
        <w:ind w:firstLine="1050" w:firstLineChars="500"/>
        <w:rPr>
          <w:rFonts w:ascii="宋体" w:hAnsi="宋体" w:eastAsia="宋体" w:cs="宋体"/>
          <w:color w:val="auto"/>
          <w:szCs w:val="21"/>
        </w:rPr>
      </w:pPr>
      <w:r>
        <w:rPr>
          <w:rFonts w:hint="eastAsia" w:ascii="宋体" w:hAnsi="宋体" w:eastAsia="宋体" w:cs="宋体"/>
          <w:color w:val="auto"/>
          <w:szCs w:val="21"/>
        </w:rPr>
        <w:t>4．约谈记录</w:t>
      </w:r>
    </w:p>
    <w:p w14:paraId="507D0A4C">
      <w:pPr>
        <w:spacing w:line="600" w:lineRule="exact"/>
        <w:ind w:firstLine="1050" w:firstLineChars="500"/>
        <w:rPr>
          <w:rFonts w:ascii="宋体" w:hAnsi="宋体" w:eastAsia="宋体" w:cs="宋体"/>
          <w:color w:val="auto"/>
          <w:szCs w:val="21"/>
        </w:rPr>
      </w:pPr>
      <w:r>
        <w:rPr>
          <w:rFonts w:hint="eastAsia" w:ascii="宋体" w:hAnsi="宋体" w:eastAsia="宋体" w:cs="宋体"/>
          <w:color w:val="auto"/>
          <w:szCs w:val="21"/>
        </w:rPr>
        <w:t>5．处罚通知单</w:t>
      </w:r>
    </w:p>
    <w:p w14:paraId="6800DB7A">
      <w:pPr>
        <w:spacing w:line="600" w:lineRule="exact"/>
        <w:ind w:firstLine="1050" w:firstLineChars="500"/>
        <w:rPr>
          <w:rFonts w:ascii="宋体" w:hAnsi="宋体" w:eastAsia="宋体" w:cs="宋体"/>
          <w:bCs/>
          <w:color w:val="auto"/>
          <w:kern w:val="0"/>
          <w:szCs w:val="21"/>
        </w:rPr>
      </w:pPr>
      <w:r>
        <w:rPr>
          <w:rFonts w:hint="eastAsia" w:ascii="宋体" w:hAnsi="宋体" w:eastAsia="宋体" w:cs="宋体"/>
          <w:bCs/>
          <w:color w:val="auto"/>
          <w:kern w:val="0"/>
          <w:szCs w:val="21"/>
        </w:rPr>
        <w:t>6．暂停派单通知书</w:t>
      </w:r>
    </w:p>
    <w:p w14:paraId="03F0B74F">
      <w:pPr>
        <w:spacing w:line="600" w:lineRule="exact"/>
        <w:ind w:firstLine="1050" w:firstLineChars="500"/>
        <w:rPr>
          <w:rFonts w:ascii="宋体" w:hAnsi="宋体" w:eastAsia="宋体" w:cs="宋体"/>
          <w:bCs/>
          <w:color w:val="auto"/>
          <w:kern w:val="0"/>
          <w:szCs w:val="21"/>
        </w:rPr>
      </w:pPr>
      <w:r>
        <w:rPr>
          <w:rFonts w:hint="eastAsia" w:ascii="宋体" w:hAnsi="宋体" w:eastAsia="宋体" w:cs="宋体"/>
          <w:color w:val="auto"/>
          <w:szCs w:val="21"/>
          <w:lang w:bidi="ar"/>
        </w:rPr>
        <w:t>7．服务单位违约行为登记表</w:t>
      </w:r>
    </w:p>
    <w:p w14:paraId="44B4F8F6">
      <w:pPr>
        <w:spacing w:line="600" w:lineRule="exact"/>
        <w:ind w:firstLine="1050" w:firstLineChars="500"/>
        <w:rPr>
          <w:rFonts w:ascii="宋体" w:hAnsi="宋体" w:eastAsia="宋体" w:cs="宋体"/>
          <w:bCs/>
          <w:color w:val="auto"/>
          <w:kern w:val="0"/>
          <w:szCs w:val="21"/>
        </w:rPr>
      </w:pPr>
      <w:r>
        <w:rPr>
          <w:rFonts w:hint="eastAsia" w:ascii="宋体" w:hAnsi="宋体" w:eastAsia="宋体" w:cs="宋体"/>
          <w:bCs/>
          <w:color w:val="auto"/>
          <w:kern w:val="0"/>
          <w:szCs w:val="21"/>
        </w:rPr>
        <w:t>8．机电设备维修服务商季度考核评分表</w:t>
      </w:r>
    </w:p>
    <w:p w14:paraId="6DBFD619">
      <w:pPr>
        <w:spacing w:line="600" w:lineRule="exact"/>
        <w:ind w:firstLine="1050" w:firstLineChars="500"/>
        <w:rPr>
          <w:rFonts w:ascii="宋体" w:hAnsi="宋体" w:eastAsia="宋体" w:cs="宋体"/>
          <w:color w:val="auto"/>
          <w:szCs w:val="21"/>
        </w:rPr>
      </w:pPr>
      <w:r>
        <w:rPr>
          <w:rFonts w:hint="eastAsia" w:ascii="宋体" w:hAnsi="宋体" w:eastAsia="宋体" w:cs="宋体"/>
          <w:color w:val="auto"/>
          <w:szCs w:val="21"/>
        </w:rPr>
        <w:t>9．机电设备维修服务商季度考核等级评价汇总表</w:t>
      </w:r>
    </w:p>
    <w:p w14:paraId="73856A06">
      <w:pPr>
        <w:spacing w:line="600" w:lineRule="exact"/>
        <w:ind w:firstLine="1050" w:firstLineChars="500"/>
        <w:rPr>
          <w:rFonts w:ascii="宋体" w:hAnsi="宋体" w:eastAsia="宋体" w:cs="宋体"/>
          <w:bCs/>
          <w:color w:val="auto"/>
          <w:kern w:val="0"/>
          <w:szCs w:val="21"/>
        </w:rPr>
      </w:pPr>
      <w:r>
        <w:rPr>
          <w:rFonts w:hint="eastAsia" w:ascii="宋体" w:hAnsi="宋体" w:eastAsia="宋体" w:cs="宋体"/>
          <w:bCs/>
          <w:color w:val="auto"/>
          <w:kern w:val="0"/>
          <w:szCs w:val="21"/>
        </w:rPr>
        <w:t>10．应急派单申请书</w:t>
      </w:r>
    </w:p>
    <w:p w14:paraId="60416C94">
      <w:pPr>
        <w:spacing w:line="600" w:lineRule="exact"/>
        <w:ind w:firstLine="1050" w:firstLineChars="500"/>
        <w:rPr>
          <w:rFonts w:ascii="宋体" w:hAnsi="宋体" w:eastAsia="宋体" w:cs="宋体"/>
          <w:bCs/>
          <w:color w:val="auto"/>
          <w:kern w:val="0"/>
          <w:szCs w:val="21"/>
        </w:rPr>
      </w:pPr>
      <w:r>
        <w:rPr>
          <w:rFonts w:hint="eastAsia" w:ascii="宋体" w:hAnsi="宋体" w:eastAsia="宋体" w:cs="宋体"/>
          <w:bCs/>
          <w:color w:val="auto"/>
          <w:kern w:val="0"/>
          <w:szCs w:val="21"/>
        </w:rPr>
        <w:t>11．整改通知书</w:t>
      </w:r>
    </w:p>
    <w:p w14:paraId="48EF421B">
      <w:pPr>
        <w:spacing w:line="600" w:lineRule="exact"/>
        <w:ind w:firstLine="1050" w:firstLineChars="500"/>
        <w:rPr>
          <w:rFonts w:ascii="宋体" w:hAnsi="宋体" w:eastAsia="宋体" w:cs="宋体"/>
          <w:color w:val="auto"/>
          <w:szCs w:val="21"/>
        </w:rPr>
      </w:pPr>
      <w:r>
        <w:rPr>
          <w:rFonts w:hint="eastAsia" w:ascii="宋体" w:hAnsi="宋体" w:eastAsia="宋体" w:cs="宋体"/>
          <w:color w:val="auto"/>
          <w:szCs w:val="21"/>
        </w:rPr>
        <w:t>12．机电项目结算资料清单</w:t>
      </w:r>
    </w:p>
    <w:p w14:paraId="1DC7E592">
      <w:pPr>
        <w:spacing w:line="600" w:lineRule="exact"/>
        <w:ind w:firstLine="1050" w:firstLineChars="500"/>
        <w:jc w:val="left"/>
        <w:rPr>
          <w:rFonts w:ascii="宋体" w:hAnsi="宋体" w:eastAsia="宋体" w:cs="宋体"/>
          <w:color w:val="auto"/>
          <w:szCs w:val="21"/>
        </w:rPr>
      </w:pPr>
      <w:r>
        <w:rPr>
          <w:rFonts w:hint="eastAsia" w:ascii="宋体" w:hAnsi="宋体" w:eastAsia="宋体" w:cs="宋体"/>
          <w:color w:val="auto"/>
          <w:szCs w:val="21"/>
        </w:rPr>
        <w:t>13．机电项目进度款、结算款请款资料清单</w:t>
      </w:r>
    </w:p>
    <w:p w14:paraId="18BECAC3">
      <w:pPr>
        <w:rPr>
          <w:rFonts w:ascii="宋体" w:hAnsi="宋体" w:eastAsia="宋体" w:cs="宋体"/>
          <w:color w:val="auto"/>
          <w:szCs w:val="21"/>
        </w:rPr>
      </w:pPr>
    </w:p>
    <w:p w14:paraId="6A756192">
      <w:pPr>
        <w:rPr>
          <w:rFonts w:ascii="宋体" w:hAnsi="宋体" w:eastAsia="宋体" w:cs="宋体"/>
          <w:color w:val="auto"/>
          <w:szCs w:val="21"/>
        </w:rPr>
      </w:pPr>
      <w:r>
        <w:rPr>
          <w:rFonts w:hint="eastAsia" w:ascii="宋体" w:hAnsi="宋体" w:eastAsia="宋体" w:cs="宋体"/>
          <w:color w:val="auto"/>
          <w:szCs w:val="21"/>
        </w:rPr>
        <w:t>附件1：预处罚通知单</w:t>
      </w:r>
    </w:p>
    <w:p w14:paraId="342D09DD">
      <w:pPr>
        <w:snapToGrid w:val="0"/>
        <w:spacing w:line="520" w:lineRule="exact"/>
        <w:ind w:right="-40"/>
        <w:jc w:val="center"/>
        <w:rPr>
          <w:rFonts w:ascii="宋体" w:hAnsi="宋体" w:eastAsia="宋体" w:cs="宋体"/>
          <w:b/>
          <w:color w:val="auto"/>
          <w:szCs w:val="21"/>
        </w:rPr>
      </w:pPr>
      <w:r>
        <w:rPr>
          <w:rFonts w:hint="eastAsia" w:ascii="宋体" w:hAnsi="宋体" w:eastAsia="宋体" w:cs="宋体"/>
          <w:b/>
          <w:color w:val="auto"/>
          <w:szCs w:val="21"/>
        </w:rPr>
        <w:t>预处罚通知单（机电维修）</w:t>
      </w:r>
    </w:p>
    <w:p w14:paraId="3EE0255F">
      <w:pPr>
        <w:snapToGrid w:val="0"/>
        <w:spacing w:line="520" w:lineRule="exact"/>
        <w:ind w:right="-40"/>
        <w:jc w:val="right"/>
        <w:rPr>
          <w:rFonts w:ascii="宋体" w:hAnsi="宋体" w:eastAsia="宋体" w:cs="宋体"/>
          <w:color w:val="auto"/>
          <w:szCs w:val="21"/>
        </w:rPr>
      </w:pPr>
      <w:r>
        <w:rPr>
          <w:rFonts w:hint="eastAsia" w:ascii="宋体" w:hAnsi="宋体" w:eastAsia="宋体" w:cs="宋体"/>
          <w:color w:val="auto"/>
          <w:szCs w:val="21"/>
        </w:rPr>
        <w:t>XX分公司【202X】预罚-XXX号/设备管理部【202X】预罚-XXX号</w:t>
      </w:r>
    </w:p>
    <w:tbl>
      <w:tblPr>
        <w:tblStyle w:val="37"/>
        <w:tblpPr w:leftFromText="180" w:rightFromText="180" w:vertAnchor="text" w:horzAnchor="page" w:tblpX="1032" w:tblpY="509"/>
        <w:tblOverlap w:val="never"/>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5413"/>
        <w:gridCol w:w="2926"/>
      </w:tblGrid>
      <w:tr w14:paraId="0C30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80" w:type="dxa"/>
            <w:vAlign w:val="center"/>
          </w:tcPr>
          <w:p w14:paraId="38068F4B">
            <w:pPr>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8339" w:type="dxa"/>
            <w:gridSpan w:val="2"/>
            <w:vAlign w:val="center"/>
          </w:tcPr>
          <w:p w14:paraId="6EB40BA8">
            <w:pPr>
              <w:jc w:val="center"/>
              <w:rPr>
                <w:rFonts w:ascii="宋体" w:hAnsi="宋体" w:eastAsia="宋体" w:cs="宋体"/>
                <w:color w:val="auto"/>
                <w:szCs w:val="21"/>
              </w:rPr>
            </w:pPr>
          </w:p>
        </w:tc>
      </w:tr>
      <w:tr w14:paraId="4897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80" w:type="dxa"/>
            <w:vAlign w:val="center"/>
          </w:tcPr>
          <w:p w14:paraId="2CD365ED">
            <w:pPr>
              <w:jc w:val="center"/>
              <w:rPr>
                <w:rFonts w:ascii="宋体" w:hAnsi="宋体" w:eastAsia="宋体" w:cs="宋体"/>
                <w:color w:val="auto"/>
                <w:szCs w:val="21"/>
              </w:rPr>
            </w:pPr>
            <w:r>
              <w:rPr>
                <w:rFonts w:hint="eastAsia" w:ascii="宋体" w:hAnsi="宋体" w:eastAsia="宋体" w:cs="宋体"/>
                <w:color w:val="auto"/>
                <w:szCs w:val="21"/>
              </w:rPr>
              <w:t>施工单位</w:t>
            </w:r>
          </w:p>
        </w:tc>
        <w:tc>
          <w:tcPr>
            <w:tcW w:w="8339" w:type="dxa"/>
            <w:gridSpan w:val="2"/>
            <w:vAlign w:val="center"/>
          </w:tcPr>
          <w:p w14:paraId="44FA1229">
            <w:pPr>
              <w:jc w:val="center"/>
              <w:rPr>
                <w:rFonts w:ascii="宋体" w:hAnsi="宋体" w:eastAsia="宋体" w:cs="宋体"/>
                <w:color w:val="auto"/>
                <w:szCs w:val="21"/>
              </w:rPr>
            </w:pPr>
          </w:p>
        </w:tc>
      </w:tr>
      <w:tr w14:paraId="7F81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80" w:type="dxa"/>
            <w:vAlign w:val="center"/>
          </w:tcPr>
          <w:p w14:paraId="7615409B">
            <w:pPr>
              <w:jc w:val="center"/>
              <w:rPr>
                <w:rFonts w:ascii="宋体" w:hAnsi="宋体" w:eastAsia="宋体" w:cs="宋体"/>
                <w:color w:val="auto"/>
                <w:szCs w:val="21"/>
              </w:rPr>
            </w:pPr>
            <w:r>
              <w:rPr>
                <w:rFonts w:hint="eastAsia" w:ascii="宋体" w:hAnsi="宋体" w:eastAsia="宋体" w:cs="宋体"/>
                <w:color w:val="auto"/>
                <w:szCs w:val="21"/>
              </w:rPr>
              <w:t>检查时间</w:t>
            </w:r>
          </w:p>
        </w:tc>
        <w:tc>
          <w:tcPr>
            <w:tcW w:w="8339" w:type="dxa"/>
            <w:gridSpan w:val="2"/>
          </w:tcPr>
          <w:p w14:paraId="285C7F02">
            <w:pPr>
              <w:rPr>
                <w:rFonts w:ascii="宋体" w:hAnsi="宋体" w:eastAsia="宋体" w:cs="宋体"/>
                <w:color w:val="auto"/>
                <w:szCs w:val="21"/>
              </w:rPr>
            </w:pPr>
            <w:r>
              <w:rPr>
                <w:rFonts w:hint="eastAsia" w:ascii="宋体" w:hAnsi="宋体" w:eastAsia="宋体" w:cs="宋体"/>
                <w:color w:val="auto"/>
                <w:szCs w:val="21"/>
              </w:rPr>
              <w:t xml:space="preserve">202  年  月  日        </w:t>
            </w:r>
          </w:p>
        </w:tc>
      </w:tr>
      <w:tr w14:paraId="0FD7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1380" w:type="dxa"/>
            <w:vAlign w:val="center"/>
          </w:tcPr>
          <w:p w14:paraId="1C24260B">
            <w:pPr>
              <w:jc w:val="center"/>
              <w:rPr>
                <w:rFonts w:ascii="宋体" w:hAnsi="宋体" w:eastAsia="宋体" w:cs="宋体"/>
                <w:color w:val="auto"/>
                <w:szCs w:val="21"/>
              </w:rPr>
            </w:pPr>
            <w:r>
              <w:rPr>
                <w:rFonts w:hint="eastAsia" w:ascii="宋体" w:hAnsi="宋体" w:eastAsia="宋体" w:cs="宋体"/>
                <w:color w:val="auto"/>
                <w:szCs w:val="21"/>
              </w:rPr>
              <w:t>问题（缺陷）清单</w:t>
            </w:r>
          </w:p>
        </w:tc>
        <w:tc>
          <w:tcPr>
            <w:tcW w:w="8339" w:type="dxa"/>
            <w:gridSpan w:val="2"/>
          </w:tcPr>
          <w:p w14:paraId="31D42E5E">
            <w:pPr>
              <w:rPr>
                <w:rFonts w:ascii="宋体" w:hAnsi="宋体" w:eastAsia="宋体" w:cs="宋体"/>
                <w:color w:val="auto"/>
                <w:szCs w:val="21"/>
              </w:rPr>
            </w:pPr>
            <w:r>
              <w:rPr>
                <w:rFonts w:hint="eastAsia" w:ascii="宋体" w:hAnsi="宋体" w:eastAsia="宋体" w:cs="宋体"/>
                <w:color w:val="auto"/>
                <w:szCs w:val="21"/>
              </w:rPr>
              <w:t>1、</w:t>
            </w:r>
          </w:p>
          <w:p w14:paraId="340392BB">
            <w:pPr>
              <w:rPr>
                <w:rFonts w:ascii="宋体" w:hAnsi="宋体" w:eastAsia="宋体" w:cs="宋体"/>
                <w:color w:val="auto"/>
                <w:szCs w:val="21"/>
              </w:rPr>
            </w:pPr>
            <w:r>
              <w:rPr>
                <w:rFonts w:hint="eastAsia" w:ascii="宋体" w:hAnsi="宋体" w:eastAsia="宋体" w:cs="宋体"/>
                <w:color w:val="auto"/>
                <w:szCs w:val="21"/>
              </w:rPr>
              <w:t>2、</w:t>
            </w:r>
          </w:p>
          <w:p w14:paraId="0820EDD3">
            <w:pPr>
              <w:rPr>
                <w:rFonts w:ascii="宋体" w:hAnsi="宋体" w:eastAsia="宋体" w:cs="宋体"/>
                <w:color w:val="auto"/>
                <w:szCs w:val="21"/>
              </w:rPr>
            </w:pPr>
            <w:r>
              <w:rPr>
                <w:rFonts w:hint="eastAsia" w:ascii="宋体" w:hAnsi="宋体" w:eastAsia="宋体" w:cs="宋体"/>
                <w:color w:val="auto"/>
                <w:szCs w:val="21"/>
              </w:rPr>
              <w:t>3、</w:t>
            </w:r>
          </w:p>
          <w:p w14:paraId="72505B9D">
            <w:pPr>
              <w:rPr>
                <w:rFonts w:ascii="宋体" w:hAnsi="宋体" w:eastAsia="宋体" w:cs="宋体"/>
                <w:color w:val="auto"/>
                <w:szCs w:val="21"/>
              </w:rPr>
            </w:pPr>
          </w:p>
        </w:tc>
      </w:tr>
      <w:tr w14:paraId="0E57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8" w:hRule="atLeast"/>
        </w:trPr>
        <w:tc>
          <w:tcPr>
            <w:tcW w:w="1380" w:type="dxa"/>
            <w:vAlign w:val="center"/>
          </w:tcPr>
          <w:p w14:paraId="5DBF677D">
            <w:pPr>
              <w:pStyle w:val="18"/>
              <w:rPr>
                <w:rFonts w:hAnsi="宋体" w:cs="宋体"/>
                <w:color w:val="auto"/>
                <w:sz w:val="21"/>
                <w:szCs w:val="21"/>
              </w:rPr>
            </w:pPr>
          </w:p>
          <w:p w14:paraId="12F22125">
            <w:pPr>
              <w:spacing w:line="320" w:lineRule="exact"/>
              <w:ind w:firstLine="411" w:firstLineChars="196"/>
              <w:rPr>
                <w:rFonts w:ascii="宋体" w:hAnsi="宋体" w:eastAsia="宋体" w:cs="宋体"/>
                <w:color w:val="auto"/>
                <w:szCs w:val="21"/>
              </w:rPr>
            </w:pPr>
            <w:r>
              <w:rPr>
                <w:rFonts w:hint="eastAsia" w:ascii="宋体" w:hAnsi="宋体" w:eastAsia="宋体" w:cs="宋体"/>
                <w:color w:val="auto"/>
                <w:szCs w:val="21"/>
              </w:rPr>
              <w:t>处</w:t>
            </w:r>
          </w:p>
          <w:p w14:paraId="6DEE5025">
            <w:pPr>
              <w:spacing w:line="320" w:lineRule="exact"/>
              <w:ind w:firstLine="411" w:firstLineChars="196"/>
              <w:rPr>
                <w:rFonts w:ascii="宋体" w:hAnsi="宋体" w:eastAsia="宋体" w:cs="宋体"/>
                <w:color w:val="auto"/>
                <w:szCs w:val="21"/>
              </w:rPr>
            </w:pPr>
            <w:r>
              <w:rPr>
                <w:rFonts w:hint="eastAsia" w:ascii="宋体" w:hAnsi="宋体" w:eastAsia="宋体" w:cs="宋体"/>
                <w:color w:val="auto"/>
                <w:szCs w:val="21"/>
              </w:rPr>
              <w:t>理</w:t>
            </w:r>
          </w:p>
          <w:p w14:paraId="6A85951F">
            <w:pPr>
              <w:spacing w:line="320" w:lineRule="exact"/>
              <w:ind w:firstLine="411" w:firstLineChars="196"/>
              <w:rPr>
                <w:rFonts w:ascii="宋体" w:hAnsi="宋体" w:eastAsia="宋体" w:cs="宋体"/>
                <w:color w:val="auto"/>
                <w:szCs w:val="21"/>
              </w:rPr>
            </w:pPr>
            <w:r>
              <w:rPr>
                <w:rFonts w:hint="eastAsia" w:ascii="宋体" w:hAnsi="宋体" w:eastAsia="宋体" w:cs="宋体"/>
                <w:color w:val="auto"/>
                <w:szCs w:val="21"/>
              </w:rPr>
              <w:t>意</w:t>
            </w:r>
          </w:p>
          <w:p w14:paraId="21B6C5DE">
            <w:pPr>
              <w:spacing w:line="320" w:lineRule="exact"/>
              <w:ind w:firstLine="411" w:firstLineChars="196"/>
              <w:rPr>
                <w:rFonts w:ascii="宋体" w:hAnsi="宋体" w:eastAsia="宋体" w:cs="宋体"/>
                <w:color w:val="auto"/>
                <w:szCs w:val="21"/>
              </w:rPr>
            </w:pPr>
            <w:r>
              <w:rPr>
                <w:rFonts w:hint="eastAsia" w:ascii="宋体" w:hAnsi="宋体" w:eastAsia="宋体" w:cs="宋体"/>
                <w:color w:val="auto"/>
                <w:szCs w:val="21"/>
              </w:rPr>
              <w:t>见</w:t>
            </w:r>
          </w:p>
        </w:tc>
        <w:tc>
          <w:tcPr>
            <w:tcW w:w="8339" w:type="dxa"/>
            <w:gridSpan w:val="2"/>
          </w:tcPr>
          <w:p w14:paraId="7BD195EF">
            <w:pPr>
              <w:spacing w:line="320" w:lineRule="exact"/>
              <w:rPr>
                <w:rFonts w:ascii="宋体" w:hAnsi="宋体" w:eastAsia="宋体" w:cs="宋体"/>
                <w:b/>
                <w:bCs/>
                <w:color w:val="auto"/>
                <w:szCs w:val="21"/>
              </w:rPr>
            </w:pPr>
            <w:r>
              <w:rPr>
                <w:rFonts w:hint="eastAsia" w:ascii="宋体" w:hAnsi="宋体" w:eastAsia="宋体" w:cs="宋体"/>
                <w:b/>
                <w:bCs/>
                <w:color w:val="auto"/>
                <w:szCs w:val="21"/>
              </w:rPr>
              <w:t>一、违约情况</w:t>
            </w:r>
          </w:p>
          <w:p w14:paraId="3271EC2F">
            <w:pPr>
              <w:spacing w:line="320" w:lineRule="exact"/>
              <w:rPr>
                <w:rFonts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rPr>
              <w:t>以上问题（缺陷）清单中第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条违反《XXXX合同》第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的约定。</w:t>
            </w:r>
          </w:p>
          <w:p w14:paraId="577E9260">
            <w:pPr>
              <w:spacing w:line="320" w:lineRule="exact"/>
              <w:rPr>
                <w:rFonts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rPr>
              <w:t>以上问题（缺陷）清单中第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条违反《东莞市水务集团管网有限公司机电设备维修服务供应商管理办法》第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的规定。</w:t>
            </w:r>
          </w:p>
          <w:p w14:paraId="2DC25BC5">
            <w:pPr>
              <w:spacing w:line="320" w:lineRule="exact"/>
              <w:rPr>
                <w:rFonts w:ascii="宋体" w:hAnsi="宋体" w:eastAsia="宋体" w:cs="宋体"/>
                <w:color w:val="auto"/>
                <w:szCs w:val="21"/>
              </w:rPr>
            </w:pPr>
            <w:r>
              <w:rPr>
                <w:rFonts w:hint="eastAsia" w:ascii="宋体" w:hAnsi="宋体" w:eastAsia="宋体" w:cs="宋体"/>
                <w:color w:val="auto"/>
                <w:szCs w:val="21"/>
              </w:rPr>
              <w:t>……</w:t>
            </w:r>
          </w:p>
          <w:p w14:paraId="144767D1">
            <w:pPr>
              <w:spacing w:line="320" w:lineRule="exact"/>
              <w:rPr>
                <w:rFonts w:ascii="宋体" w:hAnsi="宋体" w:eastAsia="宋体" w:cs="宋体"/>
                <w:b/>
                <w:bCs/>
                <w:color w:val="auto"/>
                <w:szCs w:val="21"/>
              </w:rPr>
            </w:pPr>
            <w:r>
              <w:rPr>
                <w:rFonts w:hint="eastAsia" w:ascii="宋体" w:hAnsi="宋体" w:eastAsia="宋体" w:cs="宋体"/>
                <w:b/>
                <w:bCs/>
                <w:color w:val="auto"/>
                <w:szCs w:val="21"/>
              </w:rPr>
              <w:t>二、整改要求</w:t>
            </w:r>
          </w:p>
          <w:p w14:paraId="126668D6">
            <w:pPr>
              <w:spacing w:line="320" w:lineRule="exact"/>
              <w:rPr>
                <w:rFonts w:ascii="宋体" w:hAnsi="宋体" w:eastAsia="宋体" w:cs="宋体"/>
                <w:color w:val="auto"/>
                <w:szCs w:val="21"/>
              </w:rPr>
            </w:pPr>
            <w:r>
              <w:rPr>
                <w:rFonts w:hint="eastAsia" w:ascii="宋体" w:hAnsi="宋体" w:eastAsia="宋体" w:cs="宋体"/>
                <w:color w:val="auto"/>
                <w:szCs w:val="21"/>
              </w:rPr>
              <w:t>现责令你单位对问题（缺陷）清单中的第</w:t>
            </w:r>
            <w:r>
              <w:rPr>
                <w:rFonts w:hint="eastAsia" w:ascii="宋体" w:hAnsi="宋体" w:eastAsia="宋体" w:cs="宋体"/>
                <w:color w:val="auto"/>
                <w:szCs w:val="21"/>
                <w:u w:val="single"/>
              </w:rPr>
              <w:t>　 　　</w:t>
            </w:r>
            <w:r>
              <w:rPr>
                <w:rFonts w:hint="eastAsia" w:ascii="宋体" w:hAnsi="宋体" w:eastAsia="宋体" w:cs="宋体"/>
                <w:color w:val="auto"/>
                <w:szCs w:val="21"/>
              </w:rPr>
              <w:t>条问题进行整改，并在</w:t>
            </w:r>
            <w:r>
              <w:rPr>
                <w:rFonts w:hint="eastAsia" w:ascii="宋体" w:hAnsi="宋体" w:eastAsia="宋体" w:cs="宋体"/>
                <w:color w:val="auto"/>
                <w:szCs w:val="21"/>
                <w:u w:val="single"/>
              </w:rPr>
              <w:t>X年X月X日</w:t>
            </w:r>
            <w:r>
              <w:rPr>
                <w:rFonts w:hint="eastAsia" w:ascii="宋体" w:hAnsi="宋体" w:eastAsia="宋体" w:cs="宋体"/>
                <w:color w:val="auto"/>
                <w:szCs w:val="21"/>
              </w:rPr>
              <w:t xml:space="preserve">前整改完毕。 </w:t>
            </w:r>
          </w:p>
          <w:p w14:paraId="7DD09E26">
            <w:pPr>
              <w:pStyle w:val="19"/>
              <w:ind w:firstLine="0" w:firstLineChars="0"/>
              <w:rPr>
                <w:rFonts w:ascii="宋体" w:hAnsi="宋体" w:eastAsia="宋体" w:cs="宋体"/>
                <w:color w:val="auto"/>
                <w:szCs w:val="21"/>
              </w:rPr>
            </w:pPr>
            <w:r>
              <w:rPr>
                <w:rFonts w:hint="eastAsia" w:ascii="宋体" w:hAnsi="宋体" w:eastAsia="宋体" w:cs="宋体"/>
                <w:color w:val="auto"/>
                <w:szCs w:val="21"/>
              </w:rPr>
              <w:t>（如有其他要求）……</w:t>
            </w:r>
          </w:p>
          <w:p w14:paraId="475011CA">
            <w:pPr>
              <w:pStyle w:val="19"/>
              <w:ind w:firstLine="0" w:firstLineChars="0"/>
              <w:rPr>
                <w:rFonts w:ascii="宋体" w:hAnsi="宋体" w:eastAsia="宋体" w:cs="宋体"/>
                <w:b/>
                <w:bCs/>
                <w:color w:val="auto"/>
                <w:szCs w:val="21"/>
              </w:rPr>
            </w:pPr>
            <w:r>
              <w:rPr>
                <w:rFonts w:hint="eastAsia" w:ascii="宋体" w:hAnsi="宋体" w:eastAsia="宋体" w:cs="宋体"/>
                <w:b/>
                <w:bCs/>
                <w:color w:val="auto"/>
                <w:szCs w:val="21"/>
              </w:rPr>
              <w:t>三、预处罚措施</w:t>
            </w:r>
          </w:p>
          <w:p w14:paraId="65C74121">
            <w:pPr>
              <w:pStyle w:val="19"/>
              <w:ind w:firstLine="0" w:firstLineChars="0"/>
              <w:rPr>
                <w:rFonts w:ascii="宋体" w:hAnsi="宋体" w:eastAsia="宋体" w:cs="宋体"/>
                <w:color w:val="auto"/>
                <w:szCs w:val="21"/>
              </w:rPr>
            </w:pPr>
            <w:r>
              <w:rPr>
                <w:rFonts w:hint="eastAsia" w:ascii="宋体" w:hAnsi="宋体" w:eastAsia="宋体" w:cs="宋体"/>
                <w:color w:val="auto"/>
                <w:szCs w:val="21"/>
              </w:rPr>
              <w:t>鉴于你司上述行为，</w:t>
            </w:r>
            <w:r>
              <w:rPr>
                <w:rFonts w:hint="eastAsia" w:ascii="宋体" w:hAnsi="宋体" w:eastAsia="宋体" w:cs="宋体"/>
                <w:color w:val="auto"/>
                <w:szCs w:val="21"/>
              </w:rPr>
              <w:sym w:font="Wingdings 2" w:char="00A3"/>
            </w:r>
            <w:r>
              <w:rPr>
                <w:rFonts w:hint="eastAsia" w:ascii="宋体" w:hAnsi="宋体" w:eastAsia="宋体" w:cs="宋体"/>
                <w:color w:val="auto"/>
                <w:szCs w:val="21"/>
              </w:rPr>
              <w:t>我司按照框架合同第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条，对你单位预处以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元的违约金。</w:t>
            </w:r>
          </w:p>
          <w:p w14:paraId="281A8B85">
            <w:pPr>
              <w:pStyle w:val="19"/>
              <w:ind w:firstLine="0" w:firstLineChars="0"/>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rPr>
              <w:sym w:font="Wingdings 2" w:char="00A3"/>
            </w:r>
            <w:r>
              <w:rPr>
                <w:rFonts w:hint="eastAsia" w:ascii="宋体" w:hAnsi="宋体" w:eastAsia="宋体" w:cs="宋体"/>
                <w:color w:val="auto"/>
                <w:szCs w:val="21"/>
              </w:rPr>
              <w:t>我司按照管理办法第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条，对你单位预处以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元的违约金。</w:t>
            </w:r>
          </w:p>
          <w:p w14:paraId="1D6742D0">
            <w:pPr>
              <w:pStyle w:val="19"/>
              <w:ind w:firstLine="0" w:firstLineChars="0"/>
              <w:rPr>
                <w:rFonts w:ascii="宋体" w:hAnsi="宋体" w:eastAsia="宋体" w:cs="宋体"/>
                <w:color w:val="auto"/>
                <w:szCs w:val="21"/>
              </w:rPr>
            </w:pPr>
            <w:r>
              <w:rPr>
                <w:rFonts w:hint="eastAsia" w:ascii="宋体" w:hAnsi="宋体" w:eastAsia="宋体" w:cs="宋体"/>
                <w:color w:val="auto"/>
                <w:szCs w:val="21"/>
              </w:rPr>
              <w:t xml:space="preserve">                   ……   </w:t>
            </w:r>
          </w:p>
          <w:p w14:paraId="1D7AE2B5">
            <w:pPr>
              <w:pStyle w:val="19"/>
              <w:ind w:firstLine="0" w:firstLineChars="0"/>
              <w:rPr>
                <w:rFonts w:ascii="宋体" w:hAnsi="宋体" w:eastAsia="宋体" w:cs="宋体"/>
                <w:color w:val="auto"/>
                <w:szCs w:val="21"/>
              </w:rPr>
            </w:pPr>
            <w:r>
              <w:rPr>
                <w:rFonts w:hint="eastAsia" w:ascii="宋体" w:hAnsi="宋体" w:eastAsia="宋体" w:cs="宋体"/>
                <w:color w:val="auto"/>
                <w:szCs w:val="21"/>
              </w:rPr>
              <w:t>若你司无法在限期内完成整改或整改后仍不符合要求，我司将发出正式处罚单。</w:t>
            </w:r>
          </w:p>
        </w:tc>
      </w:tr>
      <w:tr w14:paraId="1FE4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80" w:type="dxa"/>
            <w:vAlign w:val="center"/>
          </w:tcPr>
          <w:p w14:paraId="5F76B39F">
            <w:pPr>
              <w:jc w:val="center"/>
              <w:rPr>
                <w:rFonts w:ascii="宋体" w:hAnsi="宋体" w:eastAsia="宋体" w:cs="宋体"/>
                <w:color w:val="auto"/>
                <w:szCs w:val="21"/>
              </w:rPr>
            </w:pPr>
            <w:r>
              <w:rPr>
                <w:rFonts w:hint="eastAsia" w:ascii="宋体" w:hAnsi="宋体" w:eastAsia="宋体" w:cs="宋体"/>
                <w:color w:val="auto"/>
                <w:szCs w:val="21"/>
              </w:rPr>
              <w:t>检查人员</w:t>
            </w:r>
          </w:p>
        </w:tc>
        <w:tc>
          <w:tcPr>
            <w:tcW w:w="5413" w:type="dxa"/>
          </w:tcPr>
          <w:p w14:paraId="67D5B2F3">
            <w:pPr>
              <w:jc w:val="center"/>
              <w:rPr>
                <w:rFonts w:ascii="宋体" w:hAnsi="宋体" w:eastAsia="宋体" w:cs="宋体"/>
                <w:color w:val="auto"/>
                <w:szCs w:val="21"/>
              </w:rPr>
            </w:pPr>
          </w:p>
        </w:tc>
        <w:tc>
          <w:tcPr>
            <w:tcW w:w="2926" w:type="dxa"/>
            <w:vMerge w:val="restart"/>
            <w:vAlign w:val="center"/>
          </w:tcPr>
          <w:p w14:paraId="0C3F0C77">
            <w:pPr>
              <w:spacing w:line="240" w:lineRule="exact"/>
              <w:jc w:val="center"/>
              <w:rPr>
                <w:rFonts w:ascii="宋体" w:hAnsi="宋体" w:eastAsia="宋体" w:cs="宋体"/>
                <w:color w:val="auto"/>
                <w:szCs w:val="21"/>
              </w:rPr>
            </w:pPr>
            <w:r>
              <w:rPr>
                <w:rFonts w:hint="eastAsia" w:ascii="宋体" w:hAnsi="宋体" w:eastAsia="宋体" w:cs="宋体"/>
                <w:color w:val="auto"/>
                <w:szCs w:val="21"/>
              </w:rPr>
              <w:t>签发分公司/部门</w:t>
            </w:r>
          </w:p>
          <w:p w14:paraId="69CDF231">
            <w:pPr>
              <w:spacing w:line="240" w:lineRule="exact"/>
              <w:jc w:val="center"/>
              <w:rPr>
                <w:rFonts w:ascii="宋体" w:hAnsi="宋体" w:eastAsia="宋体" w:cs="宋体"/>
                <w:color w:val="auto"/>
                <w:szCs w:val="21"/>
              </w:rPr>
            </w:pPr>
            <w:r>
              <w:rPr>
                <w:rFonts w:hint="eastAsia" w:ascii="宋体" w:hAnsi="宋体" w:eastAsia="宋体" w:cs="宋体"/>
                <w:color w:val="auto"/>
                <w:szCs w:val="21"/>
              </w:rPr>
              <w:t>（章）</w:t>
            </w:r>
          </w:p>
          <w:p w14:paraId="1CD12E26">
            <w:pPr>
              <w:spacing w:line="240" w:lineRule="exact"/>
              <w:jc w:val="center"/>
              <w:rPr>
                <w:rFonts w:ascii="宋体" w:hAnsi="宋体" w:eastAsia="宋体" w:cs="宋体"/>
                <w:color w:val="auto"/>
                <w:szCs w:val="21"/>
              </w:rPr>
            </w:pPr>
            <w:r>
              <w:rPr>
                <w:rFonts w:hint="eastAsia" w:ascii="宋体" w:hAnsi="宋体" w:eastAsia="宋体" w:cs="宋体"/>
                <w:color w:val="auto"/>
                <w:szCs w:val="21"/>
              </w:rPr>
              <w:t xml:space="preserve">  年　 　月　 　日</w:t>
            </w:r>
          </w:p>
        </w:tc>
      </w:tr>
      <w:tr w14:paraId="6361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80" w:type="dxa"/>
            <w:vAlign w:val="center"/>
          </w:tcPr>
          <w:p w14:paraId="10B77FA3">
            <w:pPr>
              <w:jc w:val="center"/>
              <w:rPr>
                <w:rFonts w:ascii="宋体" w:hAnsi="宋体" w:eastAsia="宋体" w:cs="宋体"/>
                <w:color w:val="auto"/>
                <w:szCs w:val="21"/>
              </w:rPr>
            </w:pPr>
            <w:r>
              <w:rPr>
                <w:rFonts w:hint="eastAsia" w:ascii="宋体" w:hAnsi="宋体" w:eastAsia="宋体" w:cs="宋体"/>
                <w:color w:val="auto"/>
                <w:szCs w:val="21"/>
              </w:rPr>
              <w:t>部门/分公司负责人</w:t>
            </w:r>
          </w:p>
        </w:tc>
        <w:tc>
          <w:tcPr>
            <w:tcW w:w="5413" w:type="dxa"/>
          </w:tcPr>
          <w:p w14:paraId="6AA847E2">
            <w:pPr>
              <w:jc w:val="center"/>
              <w:rPr>
                <w:rFonts w:ascii="宋体" w:hAnsi="宋体" w:eastAsia="宋体" w:cs="宋体"/>
                <w:color w:val="auto"/>
                <w:szCs w:val="21"/>
              </w:rPr>
            </w:pPr>
          </w:p>
        </w:tc>
        <w:tc>
          <w:tcPr>
            <w:tcW w:w="2926" w:type="dxa"/>
            <w:vMerge w:val="continue"/>
          </w:tcPr>
          <w:p w14:paraId="54DAA7BB">
            <w:pPr>
              <w:rPr>
                <w:rFonts w:ascii="宋体" w:hAnsi="宋体" w:eastAsia="宋体" w:cs="宋体"/>
                <w:color w:val="auto"/>
                <w:szCs w:val="21"/>
              </w:rPr>
            </w:pPr>
          </w:p>
        </w:tc>
      </w:tr>
      <w:tr w14:paraId="70C0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380" w:type="dxa"/>
            <w:vAlign w:val="center"/>
          </w:tcPr>
          <w:p w14:paraId="2FED616A">
            <w:pPr>
              <w:jc w:val="center"/>
              <w:rPr>
                <w:rFonts w:ascii="宋体" w:hAnsi="宋体" w:eastAsia="宋体" w:cs="宋体"/>
                <w:color w:val="auto"/>
                <w:szCs w:val="21"/>
              </w:rPr>
            </w:pPr>
            <w:r>
              <w:rPr>
                <w:rFonts w:hint="eastAsia" w:ascii="宋体" w:hAnsi="宋体" w:eastAsia="宋体" w:cs="宋体"/>
                <w:color w:val="auto"/>
                <w:szCs w:val="21"/>
              </w:rPr>
              <w:t>签收单位</w:t>
            </w:r>
          </w:p>
          <w:p w14:paraId="40BEE5DE">
            <w:pPr>
              <w:jc w:val="center"/>
              <w:rPr>
                <w:rFonts w:ascii="宋体" w:hAnsi="宋体" w:eastAsia="宋体" w:cs="宋体"/>
                <w:color w:val="auto"/>
                <w:szCs w:val="21"/>
              </w:rPr>
            </w:pPr>
            <w:r>
              <w:rPr>
                <w:rFonts w:hint="eastAsia" w:ascii="宋体" w:hAnsi="宋体" w:eastAsia="宋体" w:cs="宋体"/>
                <w:color w:val="auto"/>
                <w:szCs w:val="21"/>
              </w:rPr>
              <w:t>签字/时间</w:t>
            </w:r>
          </w:p>
        </w:tc>
        <w:tc>
          <w:tcPr>
            <w:tcW w:w="8339" w:type="dxa"/>
            <w:gridSpan w:val="2"/>
            <w:vAlign w:val="bottom"/>
          </w:tcPr>
          <w:p w14:paraId="76853EA0">
            <w:pPr>
              <w:pStyle w:val="18"/>
              <w:jc w:val="right"/>
              <w:rPr>
                <w:rFonts w:hAnsi="宋体" w:cs="宋体"/>
                <w:b w:val="0"/>
                <w:bCs w:val="0"/>
                <w:color w:val="auto"/>
                <w:sz w:val="21"/>
                <w:szCs w:val="21"/>
                <w:lang w:val="en-US"/>
              </w:rPr>
            </w:pPr>
            <w:r>
              <w:rPr>
                <w:rFonts w:hint="eastAsia" w:hAnsi="宋体" w:cs="宋体"/>
                <w:b w:val="0"/>
                <w:bCs w:val="0"/>
                <w:color w:val="auto"/>
                <w:sz w:val="21"/>
                <w:szCs w:val="21"/>
                <w:lang w:val="en-US"/>
              </w:rPr>
              <w:t xml:space="preserve">         项目负责人：                  日期：   年   月   日</w:t>
            </w:r>
          </w:p>
        </w:tc>
      </w:tr>
      <w:tr w14:paraId="0731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80" w:type="dxa"/>
            <w:vAlign w:val="center"/>
          </w:tcPr>
          <w:p w14:paraId="238F2DB2">
            <w:pPr>
              <w:jc w:val="center"/>
              <w:rPr>
                <w:rFonts w:ascii="宋体" w:hAnsi="宋体" w:eastAsia="宋体" w:cs="宋体"/>
                <w:color w:val="auto"/>
                <w:szCs w:val="21"/>
              </w:rPr>
            </w:pPr>
            <w:r>
              <w:rPr>
                <w:rFonts w:hint="eastAsia" w:ascii="宋体" w:hAnsi="宋体" w:eastAsia="宋体" w:cs="宋体"/>
                <w:color w:val="auto"/>
                <w:szCs w:val="21"/>
              </w:rPr>
              <w:t>备　　注</w:t>
            </w:r>
          </w:p>
        </w:tc>
        <w:tc>
          <w:tcPr>
            <w:tcW w:w="8339" w:type="dxa"/>
            <w:gridSpan w:val="2"/>
            <w:vAlign w:val="center"/>
          </w:tcPr>
          <w:p w14:paraId="46D8D35D">
            <w:pPr>
              <w:rPr>
                <w:rFonts w:ascii="宋体" w:hAnsi="宋体" w:eastAsia="宋体" w:cs="宋体"/>
                <w:color w:val="auto"/>
                <w:szCs w:val="21"/>
              </w:rPr>
            </w:pPr>
            <w:r>
              <w:rPr>
                <w:rFonts w:hint="eastAsia" w:ascii="宋体" w:hAnsi="宋体" w:eastAsia="宋体" w:cs="宋体"/>
                <w:color w:val="auto"/>
                <w:szCs w:val="21"/>
              </w:rPr>
              <w:t>本通知书一式二份，签发部门、施工单位各一份；整改回复单参照统表编制。</w:t>
            </w:r>
          </w:p>
        </w:tc>
      </w:tr>
    </w:tbl>
    <w:p w14:paraId="10CE43E0">
      <w:pPr>
        <w:rPr>
          <w:rFonts w:ascii="宋体" w:hAnsi="宋体" w:eastAsia="宋体" w:cs="宋体"/>
          <w:color w:val="auto"/>
          <w:szCs w:val="21"/>
        </w:rPr>
      </w:pPr>
    </w:p>
    <w:p w14:paraId="540EA045">
      <w:pPr>
        <w:rPr>
          <w:rFonts w:ascii="宋体" w:hAnsi="宋体" w:eastAsia="宋体" w:cs="宋体"/>
          <w:color w:val="auto"/>
          <w:szCs w:val="21"/>
        </w:rPr>
      </w:pPr>
    </w:p>
    <w:p w14:paraId="5027643C">
      <w:pPr>
        <w:rPr>
          <w:rFonts w:ascii="宋体" w:hAnsi="宋体" w:eastAsia="宋体" w:cs="宋体"/>
          <w:color w:val="auto"/>
          <w:szCs w:val="21"/>
        </w:rPr>
      </w:pPr>
    </w:p>
    <w:p w14:paraId="123D4497">
      <w:pPr>
        <w:rPr>
          <w:rFonts w:ascii="宋体" w:hAnsi="宋体" w:eastAsia="宋体" w:cs="宋体"/>
          <w:color w:val="auto"/>
          <w:szCs w:val="21"/>
        </w:rPr>
      </w:pPr>
    </w:p>
    <w:p w14:paraId="537D12D2">
      <w:pPr>
        <w:rPr>
          <w:rFonts w:ascii="宋体" w:hAnsi="宋体" w:eastAsia="宋体" w:cs="宋体"/>
          <w:color w:val="auto"/>
          <w:szCs w:val="21"/>
        </w:rPr>
      </w:pPr>
    </w:p>
    <w:p w14:paraId="0047E473">
      <w:pPr>
        <w:rPr>
          <w:rFonts w:ascii="宋体" w:hAnsi="宋体" w:eastAsia="宋体" w:cs="宋体"/>
          <w:color w:val="auto"/>
          <w:szCs w:val="21"/>
        </w:rPr>
      </w:pPr>
    </w:p>
    <w:p w14:paraId="6113C14E">
      <w:pPr>
        <w:rPr>
          <w:rFonts w:ascii="宋体" w:hAnsi="宋体" w:eastAsia="宋体" w:cs="宋体"/>
          <w:color w:val="auto"/>
          <w:szCs w:val="21"/>
        </w:rPr>
      </w:pPr>
    </w:p>
    <w:p w14:paraId="4DEBA9A6">
      <w:pPr>
        <w:rPr>
          <w:rFonts w:ascii="宋体" w:hAnsi="宋体" w:eastAsia="宋体" w:cs="宋体"/>
          <w:color w:val="auto"/>
          <w:szCs w:val="21"/>
        </w:rPr>
      </w:pPr>
    </w:p>
    <w:p w14:paraId="64D82523">
      <w:pPr>
        <w:rPr>
          <w:rFonts w:ascii="宋体" w:hAnsi="宋体" w:eastAsia="宋体" w:cs="宋体"/>
          <w:color w:val="auto"/>
          <w:szCs w:val="21"/>
        </w:rPr>
      </w:pPr>
    </w:p>
    <w:p w14:paraId="531595C4">
      <w:pPr>
        <w:rPr>
          <w:rFonts w:ascii="宋体" w:hAnsi="宋体" w:eastAsia="宋体" w:cs="宋体"/>
          <w:color w:val="auto"/>
          <w:szCs w:val="21"/>
        </w:rPr>
      </w:pPr>
    </w:p>
    <w:p w14:paraId="7E1F692D">
      <w:pPr>
        <w:rPr>
          <w:rFonts w:ascii="宋体" w:hAnsi="宋体" w:eastAsia="宋体" w:cs="宋体"/>
          <w:color w:val="auto"/>
          <w:szCs w:val="21"/>
        </w:rPr>
      </w:pPr>
    </w:p>
    <w:p w14:paraId="1612CF8C">
      <w:pPr>
        <w:rPr>
          <w:rFonts w:ascii="宋体" w:hAnsi="宋体" w:eastAsia="宋体" w:cs="宋体"/>
          <w:color w:val="auto"/>
          <w:szCs w:val="21"/>
        </w:rPr>
      </w:pPr>
    </w:p>
    <w:p w14:paraId="6AB0EC6C">
      <w:pPr>
        <w:rPr>
          <w:rFonts w:ascii="宋体" w:hAnsi="宋体" w:eastAsia="宋体" w:cs="宋体"/>
          <w:color w:val="auto"/>
          <w:szCs w:val="21"/>
        </w:rPr>
      </w:pPr>
    </w:p>
    <w:p w14:paraId="206ADEC7">
      <w:pPr>
        <w:rPr>
          <w:rFonts w:ascii="宋体" w:hAnsi="宋体" w:eastAsia="宋体" w:cs="宋体"/>
          <w:color w:val="auto"/>
          <w:szCs w:val="21"/>
        </w:rPr>
      </w:pPr>
    </w:p>
    <w:p w14:paraId="3EF12F37">
      <w:pPr>
        <w:rPr>
          <w:rFonts w:ascii="宋体" w:hAnsi="宋体" w:eastAsia="宋体" w:cs="宋体"/>
          <w:color w:val="auto"/>
          <w:szCs w:val="21"/>
        </w:rPr>
      </w:pPr>
    </w:p>
    <w:p w14:paraId="45AD304A">
      <w:pPr>
        <w:rPr>
          <w:rFonts w:ascii="宋体" w:hAnsi="宋体" w:eastAsia="宋体" w:cs="宋体"/>
          <w:color w:val="auto"/>
          <w:szCs w:val="21"/>
        </w:rPr>
      </w:pPr>
    </w:p>
    <w:p w14:paraId="20226286">
      <w:pPr>
        <w:rPr>
          <w:rFonts w:ascii="宋体" w:hAnsi="宋体" w:eastAsia="宋体" w:cs="宋体"/>
          <w:color w:val="auto"/>
          <w:szCs w:val="21"/>
        </w:rPr>
      </w:pPr>
    </w:p>
    <w:p w14:paraId="622A67C6">
      <w:pPr>
        <w:rPr>
          <w:rFonts w:ascii="宋体" w:hAnsi="宋体" w:eastAsia="宋体" w:cs="宋体"/>
          <w:color w:val="auto"/>
          <w:szCs w:val="21"/>
        </w:rPr>
      </w:pPr>
    </w:p>
    <w:p w14:paraId="0FDC0082">
      <w:pPr>
        <w:rPr>
          <w:rFonts w:ascii="宋体" w:hAnsi="宋体" w:eastAsia="宋体" w:cs="宋体"/>
          <w:color w:val="auto"/>
          <w:szCs w:val="21"/>
        </w:rPr>
      </w:pPr>
    </w:p>
    <w:p w14:paraId="060C2C15">
      <w:pPr>
        <w:rPr>
          <w:rFonts w:ascii="宋体" w:hAnsi="宋体" w:eastAsia="宋体" w:cs="宋体"/>
          <w:color w:val="auto"/>
          <w:szCs w:val="21"/>
        </w:rPr>
      </w:pPr>
    </w:p>
    <w:p w14:paraId="1C03E597">
      <w:pPr>
        <w:rPr>
          <w:rFonts w:ascii="宋体" w:hAnsi="宋体" w:eastAsia="宋体" w:cs="宋体"/>
          <w:color w:val="auto"/>
          <w:szCs w:val="21"/>
        </w:rPr>
      </w:pPr>
    </w:p>
    <w:p w14:paraId="5C8BA207">
      <w:pPr>
        <w:rPr>
          <w:rFonts w:ascii="宋体" w:hAnsi="宋体" w:eastAsia="宋体" w:cs="宋体"/>
          <w:color w:val="auto"/>
          <w:szCs w:val="21"/>
        </w:rPr>
      </w:pPr>
    </w:p>
    <w:p w14:paraId="73D3CE04">
      <w:pPr>
        <w:rPr>
          <w:rFonts w:ascii="宋体" w:hAnsi="宋体" w:eastAsia="宋体" w:cs="宋体"/>
          <w:color w:val="auto"/>
          <w:szCs w:val="21"/>
        </w:rPr>
      </w:pPr>
    </w:p>
    <w:p w14:paraId="1F9369BD">
      <w:pPr>
        <w:rPr>
          <w:rFonts w:ascii="宋体" w:hAnsi="宋体" w:eastAsia="宋体" w:cs="宋体"/>
          <w:color w:val="auto"/>
          <w:szCs w:val="21"/>
        </w:rPr>
      </w:pPr>
    </w:p>
    <w:p w14:paraId="754C3BEB">
      <w:pPr>
        <w:rPr>
          <w:rFonts w:ascii="宋体" w:hAnsi="宋体" w:eastAsia="宋体" w:cs="宋体"/>
          <w:color w:val="auto"/>
          <w:szCs w:val="21"/>
        </w:rPr>
      </w:pPr>
    </w:p>
    <w:p w14:paraId="08A3926C">
      <w:pPr>
        <w:rPr>
          <w:rFonts w:ascii="宋体" w:hAnsi="宋体" w:eastAsia="宋体" w:cs="宋体"/>
          <w:color w:val="auto"/>
          <w:szCs w:val="21"/>
        </w:rPr>
      </w:pPr>
    </w:p>
    <w:p w14:paraId="0634EA04">
      <w:pPr>
        <w:rPr>
          <w:rFonts w:ascii="宋体" w:hAnsi="宋体" w:eastAsia="宋体" w:cs="宋体"/>
          <w:color w:val="auto"/>
          <w:szCs w:val="21"/>
        </w:rPr>
      </w:pPr>
    </w:p>
    <w:p w14:paraId="37025872">
      <w:pPr>
        <w:rPr>
          <w:rFonts w:ascii="宋体" w:hAnsi="宋体" w:eastAsia="宋体" w:cs="宋体"/>
          <w:color w:val="auto"/>
          <w:szCs w:val="21"/>
        </w:rPr>
      </w:pPr>
    </w:p>
    <w:p w14:paraId="7007E1B5">
      <w:pPr>
        <w:rPr>
          <w:rFonts w:ascii="宋体" w:hAnsi="宋体" w:eastAsia="宋体" w:cs="宋体"/>
          <w:color w:val="auto"/>
          <w:szCs w:val="21"/>
        </w:rPr>
      </w:pPr>
    </w:p>
    <w:p w14:paraId="796AC3DA">
      <w:pPr>
        <w:rPr>
          <w:rFonts w:ascii="宋体" w:hAnsi="宋体" w:eastAsia="宋体" w:cs="宋体"/>
          <w:color w:val="auto"/>
          <w:szCs w:val="21"/>
        </w:rPr>
      </w:pPr>
    </w:p>
    <w:p w14:paraId="0FE88001">
      <w:pPr>
        <w:rPr>
          <w:rFonts w:ascii="宋体" w:hAnsi="宋体" w:eastAsia="宋体" w:cs="宋体"/>
          <w:color w:val="auto"/>
          <w:szCs w:val="21"/>
        </w:rPr>
      </w:pPr>
    </w:p>
    <w:p w14:paraId="658358F0">
      <w:pPr>
        <w:rPr>
          <w:rFonts w:ascii="宋体" w:hAnsi="宋体" w:eastAsia="宋体" w:cs="宋体"/>
          <w:color w:val="auto"/>
          <w:szCs w:val="21"/>
        </w:rPr>
      </w:pPr>
    </w:p>
    <w:p w14:paraId="7AF7E053">
      <w:pPr>
        <w:rPr>
          <w:rFonts w:ascii="宋体" w:hAnsi="宋体" w:eastAsia="宋体" w:cs="宋体"/>
          <w:color w:val="auto"/>
          <w:szCs w:val="21"/>
        </w:rPr>
      </w:pPr>
    </w:p>
    <w:p w14:paraId="1265DAFF">
      <w:pPr>
        <w:rPr>
          <w:rFonts w:ascii="宋体" w:hAnsi="宋体" w:eastAsia="宋体" w:cs="宋体"/>
          <w:color w:val="auto"/>
          <w:szCs w:val="21"/>
        </w:rPr>
      </w:pPr>
    </w:p>
    <w:p w14:paraId="688F3270">
      <w:pPr>
        <w:rPr>
          <w:rFonts w:ascii="宋体" w:hAnsi="宋体" w:eastAsia="宋体" w:cs="宋体"/>
          <w:color w:val="auto"/>
          <w:szCs w:val="21"/>
        </w:rPr>
      </w:pPr>
    </w:p>
    <w:p w14:paraId="588EEFAB">
      <w:pPr>
        <w:rPr>
          <w:rFonts w:ascii="宋体" w:hAnsi="宋体" w:eastAsia="宋体" w:cs="宋体"/>
          <w:color w:val="auto"/>
          <w:szCs w:val="21"/>
        </w:rPr>
      </w:pPr>
    </w:p>
    <w:p w14:paraId="7E8D4C0F">
      <w:pPr>
        <w:rPr>
          <w:rFonts w:ascii="宋体" w:hAnsi="宋体" w:eastAsia="宋体" w:cs="宋体"/>
          <w:color w:val="auto"/>
          <w:szCs w:val="21"/>
        </w:rPr>
      </w:pPr>
    </w:p>
    <w:p w14:paraId="0DABCC98">
      <w:pPr>
        <w:rPr>
          <w:rFonts w:ascii="宋体" w:hAnsi="宋体" w:eastAsia="宋体" w:cs="宋体"/>
          <w:color w:val="auto"/>
          <w:szCs w:val="21"/>
        </w:rPr>
      </w:pPr>
    </w:p>
    <w:p w14:paraId="12D4A17D">
      <w:pPr>
        <w:rPr>
          <w:rFonts w:ascii="宋体" w:hAnsi="宋体" w:eastAsia="宋体" w:cs="宋体"/>
          <w:color w:val="auto"/>
          <w:szCs w:val="21"/>
        </w:rPr>
      </w:pPr>
    </w:p>
    <w:p w14:paraId="0243E9B8">
      <w:pPr>
        <w:rPr>
          <w:rFonts w:ascii="宋体" w:hAnsi="宋体" w:eastAsia="宋体" w:cs="宋体"/>
          <w:color w:val="auto"/>
          <w:szCs w:val="21"/>
        </w:rPr>
      </w:pPr>
    </w:p>
    <w:p w14:paraId="0269D8E4">
      <w:pPr>
        <w:rPr>
          <w:rFonts w:ascii="宋体" w:hAnsi="宋体" w:eastAsia="宋体" w:cs="宋体"/>
          <w:color w:val="auto"/>
          <w:szCs w:val="21"/>
        </w:rPr>
      </w:pPr>
    </w:p>
    <w:p w14:paraId="31B25A47">
      <w:pPr>
        <w:rPr>
          <w:rFonts w:ascii="宋体" w:hAnsi="宋体" w:eastAsia="宋体" w:cs="宋体"/>
          <w:color w:val="auto"/>
          <w:szCs w:val="21"/>
        </w:rPr>
      </w:pPr>
      <w:r>
        <w:rPr>
          <w:rFonts w:hint="eastAsia" w:ascii="宋体" w:hAnsi="宋体" w:eastAsia="宋体" w:cs="宋体"/>
          <w:color w:val="auto"/>
          <w:szCs w:val="21"/>
        </w:rPr>
        <w:t>抄送：合同管理部、设备管理部（或分公司）、监理单位（如有）</w:t>
      </w:r>
    </w:p>
    <w:p w14:paraId="223E3027">
      <w:pPr>
        <w:rPr>
          <w:rFonts w:ascii="宋体" w:hAnsi="宋体" w:eastAsia="宋体" w:cs="宋体"/>
          <w:color w:val="auto"/>
          <w:szCs w:val="21"/>
        </w:rPr>
      </w:pPr>
    </w:p>
    <w:p w14:paraId="46CA1C9D">
      <w:pPr>
        <w:widowControl/>
        <w:rPr>
          <w:rFonts w:ascii="宋体" w:hAnsi="宋体" w:eastAsia="宋体" w:cs="宋体"/>
          <w:color w:val="auto"/>
          <w:szCs w:val="21"/>
        </w:rPr>
      </w:pPr>
      <w:r>
        <w:rPr>
          <w:rFonts w:hint="eastAsia" w:ascii="宋体" w:hAnsi="宋体" w:eastAsia="宋体" w:cs="宋体"/>
          <w:color w:val="auto"/>
          <w:szCs w:val="21"/>
        </w:rPr>
        <w:br w:type="page"/>
      </w:r>
    </w:p>
    <w:p w14:paraId="52B881B6">
      <w:pPr>
        <w:spacing w:line="360" w:lineRule="auto"/>
        <w:contextualSpacing/>
        <w:rPr>
          <w:rFonts w:ascii="宋体" w:hAnsi="宋体" w:eastAsia="宋体" w:cs="宋体"/>
          <w:color w:val="auto"/>
          <w:szCs w:val="21"/>
        </w:rPr>
      </w:pPr>
      <w:r>
        <w:rPr>
          <w:rFonts w:hint="eastAsia" w:ascii="宋体" w:hAnsi="宋体" w:eastAsia="宋体" w:cs="宋体"/>
          <w:color w:val="auto"/>
          <w:szCs w:val="21"/>
        </w:rPr>
        <w:t>附件2：不良行为通报</w:t>
      </w:r>
    </w:p>
    <w:p w14:paraId="0B54F252">
      <w:pPr>
        <w:widowControl/>
        <w:spacing w:line="360" w:lineRule="auto"/>
        <w:contextualSpacing/>
        <w:rPr>
          <w:rFonts w:ascii="宋体" w:hAnsi="宋体" w:eastAsia="宋体" w:cs="宋体"/>
          <w:b/>
          <w:color w:val="auto"/>
          <w:szCs w:val="21"/>
        </w:rPr>
      </w:pPr>
    </w:p>
    <w:p w14:paraId="54E0E70A">
      <w:pPr>
        <w:widowControl/>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关于XX公司不良行为的通报</w:t>
      </w:r>
    </w:p>
    <w:p w14:paraId="530C4DC3">
      <w:pPr>
        <w:spacing w:line="360" w:lineRule="auto"/>
        <w:contextualSpacing/>
        <w:jc w:val="right"/>
        <w:rPr>
          <w:rFonts w:ascii="宋体" w:hAnsi="宋体" w:eastAsia="宋体" w:cs="宋体"/>
          <w:color w:val="auto"/>
          <w:szCs w:val="21"/>
        </w:rPr>
      </w:pPr>
      <w:r>
        <w:rPr>
          <w:rFonts w:hint="eastAsia" w:ascii="宋体" w:hAnsi="宋体" w:eastAsia="宋体" w:cs="宋体"/>
          <w:color w:val="auto"/>
          <w:szCs w:val="21"/>
        </w:rPr>
        <w:t>XX分公司【202X】通报-XXX号/设备管理部【202X】通报-XXX号</w:t>
      </w:r>
    </w:p>
    <w:p w14:paraId="1A101798">
      <w:pPr>
        <w:spacing w:line="360" w:lineRule="auto"/>
        <w:contextualSpacing/>
        <w:rPr>
          <w:rFonts w:ascii="宋体" w:hAnsi="宋体" w:eastAsia="宋体" w:cs="宋体"/>
          <w:color w:val="auto"/>
          <w:szCs w:val="21"/>
        </w:rPr>
      </w:pPr>
    </w:p>
    <w:p w14:paraId="7665EF51">
      <w:pPr>
        <w:spacing w:line="360" w:lineRule="auto"/>
        <w:contextualSpacing/>
        <w:rPr>
          <w:rFonts w:ascii="宋体" w:hAnsi="宋体" w:eastAsia="宋体" w:cs="宋体"/>
          <w:color w:val="auto"/>
          <w:szCs w:val="21"/>
        </w:rPr>
      </w:pPr>
      <w:r>
        <w:rPr>
          <w:rFonts w:hint="eastAsia" w:ascii="宋体" w:hAnsi="宋体" w:eastAsia="宋体" w:cs="宋体"/>
          <w:color w:val="auto"/>
          <w:szCs w:val="21"/>
        </w:rPr>
        <w:t>各相关单位：</w:t>
      </w:r>
    </w:p>
    <w:p w14:paraId="3F9AF31B">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202  年  月  日，管网公司第X分公司/设备管理部在检查XX项目时发现，承接该项目的XX公司存在XX不良行为，具体如下：</w:t>
      </w:r>
    </w:p>
    <w:p w14:paraId="366D363D">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w:t>
      </w:r>
    </w:p>
    <w:p w14:paraId="16C69D6D">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w:t>
      </w:r>
    </w:p>
    <w:p w14:paraId="5C921B37">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鉴于XX公司的上述不良行为，现决定在我公司范围内予以通报批评。望承接我公司相关机电维修工程的各相关单位以此为戒，加强现场施工管理，杜绝此类事件发生……。如再发生此类行为，我公司将严厉处理并保留进一步追责的权力。</w:t>
      </w:r>
    </w:p>
    <w:p w14:paraId="6C2AE4CB">
      <w:pPr>
        <w:snapToGrid w:val="0"/>
        <w:spacing w:line="360" w:lineRule="auto"/>
        <w:contextualSpacing/>
        <w:jc w:val="center"/>
        <w:rPr>
          <w:rFonts w:ascii="宋体" w:hAnsi="宋体" w:eastAsia="宋体" w:cs="宋体"/>
          <w:color w:val="auto"/>
          <w:szCs w:val="21"/>
        </w:rPr>
      </w:pPr>
    </w:p>
    <w:p w14:paraId="44983B74">
      <w:pPr>
        <w:snapToGrid w:val="0"/>
        <w:spacing w:line="360" w:lineRule="auto"/>
        <w:contextualSpacing/>
        <w:jc w:val="center"/>
        <w:rPr>
          <w:rFonts w:ascii="宋体" w:hAnsi="宋体" w:eastAsia="宋体" w:cs="宋体"/>
          <w:color w:val="auto"/>
          <w:szCs w:val="21"/>
        </w:rPr>
      </w:pPr>
    </w:p>
    <w:p w14:paraId="1F2DA6C9">
      <w:pPr>
        <w:spacing w:line="360" w:lineRule="auto"/>
        <w:ind w:firstLine="648"/>
        <w:contextualSpacing/>
        <w:jc w:val="right"/>
        <w:rPr>
          <w:rFonts w:ascii="宋体" w:hAnsi="宋体" w:eastAsia="宋体" w:cs="宋体"/>
          <w:color w:val="auto"/>
          <w:szCs w:val="21"/>
        </w:rPr>
      </w:pPr>
      <w:r>
        <w:rPr>
          <w:rFonts w:hint="eastAsia" w:ascii="宋体" w:hAnsi="宋体" w:eastAsia="宋体" w:cs="宋体"/>
          <w:color w:val="auto"/>
          <w:szCs w:val="21"/>
        </w:rPr>
        <w:t>东莞市水务集团管网有限公司</w:t>
      </w:r>
    </w:p>
    <w:p w14:paraId="35643819">
      <w:pPr>
        <w:spacing w:line="360" w:lineRule="auto"/>
        <w:ind w:firstLine="648"/>
        <w:contextualSpacing/>
        <w:jc w:val="center"/>
        <w:rPr>
          <w:rFonts w:ascii="宋体" w:hAnsi="宋体" w:eastAsia="宋体" w:cs="宋体"/>
          <w:color w:val="auto"/>
          <w:szCs w:val="21"/>
        </w:rPr>
      </w:pPr>
      <w:r>
        <w:rPr>
          <w:rFonts w:hint="eastAsia" w:ascii="宋体" w:hAnsi="宋体" w:eastAsia="宋体" w:cs="宋体"/>
          <w:color w:val="auto"/>
          <w:szCs w:val="21"/>
        </w:rPr>
        <w:t xml:space="preserve">                                                    第X分公司/设备管理部        </w:t>
      </w:r>
    </w:p>
    <w:p w14:paraId="60C8F112">
      <w:pPr>
        <w:spacing w:line="360" w:lineRule="auto"/>
        <w:ind w:firstLine="648"/>
        <w:contextualSpacing/>
        <w:jc w:val="center"/>
        <w:rPr>
          <w:rFonts w:ascii="宋体" w:hAnsi="宋体" w:eastAsia="宋体" w:cs="宋体"/>
          <w:color w:val="auto"/>
          <w:szCs w:val="21"/>
        </w:rPr>
      </w:pPr>
      <w:r>
        <w:rPr>
          <w:rFonts w:hint="eastAsia" w:ascii="宋体" w:hAnsi="宋体" w:eastAsia="宋体" w:cs="宋体"/>
          <w:color w:val="auto"/>
          <w:szCs w:val="21"/>
        </w:rPr>
        <w:t xml:space="preserve">                                                     日期：202 年 月 日</w:t>
      </w:r>
    </w:p>
    <w:p w14:paraId="17D51F26">
      <w:pPr>
        <w:rPr>
          <w:rFonts w:ascii="宋体" w:hAnsi="宋体" w:eastAsia="宋体" w:cs="宋体"/>
          <w:color w:val="auto"/>
          <w:szCs w:val="21"/>
        </w:rPr>
      </w:pPr>
    </w:p>
    <w:p w14:paraId="6618C5F3">
      <w:pPr>
        <w:rPr>
          <w:rFonts w:ascii="宋体" w:hAnsi="宋体" w:eastAsia="宋体" w:cs="宋体"/>
          <w:color w:val="auto"/>
          <w:szCs w:val="21"/>
        </w:rPr>
      </w:pPr>
    </w:p>
    <w:p w14:paraId="5F6EF09D">
      <w:pPr>
        <w:rPr>
          <w:rFonts w:ascii="宋体" w:hAnsi="宋体" w:eastAsia="宋体" w:cs="宋体"/>
          <w:color w:val="auto"/>
          <w:szCs w:val="21"/>
        </w:rPr>
      </w:pPr>
    </w:p>
    <w:p w14:paraId="3E11A21C">
      <w:pPr>
        <w:rPr>
          <w:rFonts w:ascii="宋体" w:hAnsi="宋体" w:eastAsia="宋体" w:cs="宋体"/>
          <w:color w:val="auto"/>
          <w:szCs w:val="21"/>
        </w:rPr>
      </w:pPr>
    </w:p>
    <w:p w14:paraId="4584D54D">
      <w:pPr>
        <w:rPr>
          <w:rFonts w:ascii="宋体" w:hAnsi="宋体" w:eastAsia="宋体" w:cs="宋体"/>
          <w:color w:val="auto"/>
          <w:szCs w:val="21"/>
        </w:rPr>
      </w:pPr>
    </w:p>
    <w:p w14:paraId="13F7CF9B">
      <w:pPr>
        <w:widowControl/>
        <w:rPr>
          <w:rFonts w:ascii="宋体" w:hAnsi="宋体" w:eastAsia="宋体" w:cs="宋体"/>
          <w:color w:val="auto"/>
          <w:szCs w:val="21"/>
        </w:rPr>
      </w:pPr>
      <w:r>
        <w:rPr>
          <w:rFonts w:hint="eastAsia" w:ascii="宋体" w:hAnsi="宋体" w:eastAsia="宋体" w:cs="宋体"/>
          <w:color w:val="auto"/>
          <w:szCs w:val="21"/>
        </w:rPr>
        <w:br w:type="page"/>
      </w:r>
    </w:p>
    <w:p w14:paraId="24E41E9D">
      <w:pPr>
        <w:rPr>
          <w:rFonts w:ascii="宋体" w:hAnsi="宋体" w:eastAsia="宋体" w:cs="宋体"/>
          <w:color w:val="auto"/>
          <w:szCs w:val="21"/>
        </w:rPr>
      </w:pPr>
      <w:r>
        <w:rPr>
          <w:rFonts w:hint="eastAsia" w:ascii="宋体" w:hAnsi="宋体" w:eastAsia="宋体" w:cs="宋体"/>
          <w:color w:val="auto"/>
          <w:szCs w:val="21"/>
        </w:rPr>
        <w:t>附件3：约谈通知书</w:t>
      </w:r>
    </w:p>
    <w:p w14:paraId="5E773471">
      <w:pPr>
        <w:widowControl/>
        <w:jc w:val="center"/>
        <w:rPr>
          <w:rFonts w:ascii="宋体" w:hAnsi="宋体" w:eastAsia="宋体" w:cs="宋体"/>
          <w:b/>
          <w:color w:val="auto"/>
          <w:szCs w:val="21"/>
        </w:rPr>
      </w:pPr>
      <w:r>
        <w:rPr>
          <w:rFonts w:hint="eastAsia" w:ascii="宋体" w:hAnsi="宋体" w:eastAsia="宋体" w:cs="宋体"/>
          <w:b/>
          <w:color w:val="auto"/>
          <w:szCs w:val="21"/>
        </w:rPr>
        <w:t>约谈通知书</w:t>
      </w:r>
    </w:p>
    <w:p w14:paraId="1E23B0DD">
      <w:pPr>
        <w:spacing w:line="360" w:lineRule="auto"/>
        <w:contextualSpacing/>
        <w:jc w:val="center"/>
        <w:rPr>
          <w:rFonts w:ascii="宋体" w:hAnsi="宋体" w:eastAsia="宋体" w:cs="宋体"/>
          <w:color w:val="auto"/>
          <w:szCs w:val="21"/>
        </w:rPr>
      </w:pPr>
    </w:p>
    <w:p w14:paraId="5A44D1A5">
      <w:pPr>
        <w:spacing w:line="360" w:lineRule="auto"/>
        <w:contextualSpacing/>
        <w:rPr>
          <w:rFonts w:ascii="宋体" w:hAnsi="宋体" w:eastAsia="宋体" w:cs="宋体"/>
          <w:color w:val="auto"/>
          <w:szCs w:val="21"/>
        </w:rPr>
      </w:pPr>
      <w:r>
        <w:rPr>
          <w:rFonts w:hint="eastAsia" w:ascii="宋体" w:hAnsi="宋体" w:eastAsia="宋体" w:cs="宋体"/>
          <w:color w:val="auto"/>
          <w:szCs w:val="21"/>
        </w:rPr>
        <w:t>XX公司：</w:t>
      </w:r>
    </w:p>
    <w:p w14:paraId="1D2B8C19">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由你司承接的XX工程存在的主要问题如下：</w:t>
      </w:r>
    </w:p>
    <w:p w14:paraId="2AAA56CD">
      <w:pPr>
        <w:numPr>
          <w:ilvl w:val="255"/>
          <w:numId w:val="0"/>
        </w:num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1.……；2……</w:t>
      </w:r>
    </w:p>
    <w:p w14:paraId="63D0C765">
      <w:pPr>
        <w:numPr>
          <w:ilvl w:val="255"/>
          <w:numId w:val="0"/>
        </w:num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上述问题已导致本项目XX现象。鉴于上述情况，我司定于202X年XX月XX日下午15:30在XX（地点）约谈你司法定代表人或授权代表（公司副总经理或以上职务人员）。</w:t>
      </w:r>
    </w:p>
    <w:p w14:paraId="5B7E4E1F">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请你司提前准备以下材料，并于202X年XX月XX日上午11时前发我公司审核，包括：</w:t>
      </w:r>
    </w:p>
    <w:p w14:paraId="1787F2B3">
      <w:pPr>
        <w:pStyle w:val="129"/>
        <w:numPr>
          <w:ilvl w:val="0"/>
          <w:numId w:val="16"/>
        </w:numPr>
        <w:spacing w:line="360" w:lineRule="auto"/>
        <w:ind w:left="648"/>
        <w:contextualSpacing/>
        <w:rPr>
          <w:rFonts w:ascii="宋体" w:hAnsi="宋体" w:eastAsia="宋体" w:cs="宋体"/>
          <w:color w:val="auto"/>
          <w:szCs w:val="21"/>
        </w:rPr>
      </w:pPr>
      <w:r>
        <w:rPr>
          <w:rFonts w:hint="eastAsia" w:ascii="宋体" w:hAnsi="宋体" w:eastAsia="宋体" w:cs="宋体"/>
          <w:color w:val="auto"/>
          <w:szCs w:val="21"/>
        </w:rPr>
        <w:t>法人代表证明书或授权委托书（详见附件）；</w:t>
      </w:r>
    </w:p>
    <w:p w14:paraId="55768508">
      <w:pPr>
        <w:numPr>
          <w:ilvl w:val="0"/>
          <w:numId w:val="16"/>
        </w:num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工程实施情况报告，包括：工程实施进度情况说明、滞后原因分析、工期计划、工期延误的补救措施、拟投入的人员、设备、材料等。</w:t>
      </w:r>
    </w:p>
    <w:p w14:paraId="3EDA731A">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请你司派人准时出席约谈会，对无故不参加约谈或不认真落实约谈要求的单位将进行通报批评，情节严重的，将按照管网公司相关文件及合同要求采取暂停轮单工作或取消供应商资格等措施。</w:t>
      </w:r>
    </w:p>
    <w:p w14:paraId="5D7E7533">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特此通知</w:t>
      </w:r>
    </w:p>
    <w:p w14:paraId="57630DAD">
      <w:pPr>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         </w:t>
      </w:r>
    </w:p>
    <w:p w14:paraId="0E10921F">
      <w:pPr>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                       </w:t>
      </w:r>
    </w:p>
    <w:p w14:paraId="2CC274CC">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附件：法定代表人证明书及授权委托书</w:t>
      </w:r>
    </w:p>
    <w:p w14:paraId="3B077F2A">
      <w:pPr>
        <w:spacing w:line="360" w:lineRule="auto"/>
        <w:contextualSpacing/>
        <w:rPr>
          <w:rFonts w:ascii="宋体" w:hAnsi="宋体" w:eastAsia="宋体" w:cs="宋体"/>
          <w:color w:val="auto"/>
          <w:szCs w:val="21"/>
        </w:rPr>
      </w:pPr>
    </w:p>
    <w:p w14:paraId="29A64BEB">
      <w:pPr>
        <w:spacing w:line="360" w:lineRule="auto"/>
        <w:contextualSpacing/>
        <w:rPr>
          <w:rFonts w:ascii="宋体" w:hAnsi="宋体" w:eastAsia="宋体" w:cs="宋体"/>
          <w:color w:val="auto"/>
          <w:szCs w:val="21"/>
        </w:rPr>
      </w:pPr>
    </w:p>
    <w:p w14:paraId="6BBB5228">
      <w:pPr>
        <w:spacing w:line="360" w:lineRule="auto"/>
        <w:ind w:right="210"/>
        <w:contextualSpacing/>
        <w:jc w:val="right"/>
        <w:rPr>
          <w:rFonts w:ascii="宋体" w:hAnsi="宋体" w:eastAsia="宋体" w:cs="宋体"/>
          <w:color w:val="auto"/>
          <w:szCs w:val="21"/>
        </w:rPr>
      </w:pPr>
      <w:r>
        <w:rPr>
          <w:rFonts w:hint="eastAsia" w:ascii="宋体" w:hAnsi="宋体" w:eastAsia="宋体" w:cs="宋体"/>
          <w:color w:val="auto"/>
          <w:szCs w:val="21"/>
        </w:rPr>
        <w:t>东莞市水务集团管网有限公司</w:t>
      </w:r>
    </w:p>
    <w:p w14:paraId="0C4BB5EE">
      <w:pPr>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xml:space="preserve">                                                       设备管理部/第X分公司</w:t>
      </w:r>
    </w:p>
    <w:p w14:paraId="4F8F266E">
      <w:pPr>
        <w:spacing w:line="360" w:lineRule="auto"/>
        <w:ind w:right="840"/>
        <w:contextualSpacing/>
        <w:jc w:val="right"/>
        <w:rPr>
          <w:rFonts w:ascii="宋体" w:hAnsi="宋体" w:eastAsia="宋体" w:cs="宋体"/>
          <w:color w:val="auto"/>
          <w:szCs w:val="21"/>
        </w:rPr>
      </w:pPr>
      <w:r>
        <w:rPr>
          <w:rFonts w:hint="eastAsia" w:ascii="宋体" w:hAnsi="宋体" w:eastAsia="宋体" w:cs="宋体"/>
          <w:color w:val="auto"/>
          <w:szCs w:val="21"/>
        </w:rPr>
        <w:t xml:space="preserve">202X年XX月XX日      </w:t>
      </w:r>
    </w:p>
    <w:p w14:paraId="41C221ED">
      <w:pPr>
        <w:spacing w:line="360" w:lineRule="auto"/>
        <w:contextualSpacing/>
        <w:jc w:val="center"/>
        <w:rPr>
          <w:rFonts w:ascii="宋体" w:hAnsi="宋体" w:eastAsia="宋体" w:cs="宋体"/>
          <w:color w:val="auto"/>
          <w:szCs w:val="21"/>
        </w:rPr>
      </w:pPr>
    </w:p>
    <w:p w14:paraId="4F9C6461">
      <w:pPr>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（联系人：   ，联系电话：  ）</w:t>
      </w:r>
    </w:p>
    <w:p w14:paraId="3DC3AA91">
      <w:pPr>
        <w:spacing w:line="600" w:lineRule="exact"/>
        <w:rPr>
          <w:rFonts w:ascii="宋体" w:hAnsi="宋体" w:eastAsia="宋体" w:cs="宋体"/>
          <w:color w:val="auto"/>
          <w:szCs w:val="21"/>
        </w:rPr>
      </w:pPr>
    </w:p>
    <w:p w14:paraId="1673418A">
      <w:pPr>
        <w:rPr>
          <w:rFonts w:ascii="宋体" w:hAnsi="宋体" w:eastAsia="宋体" w:cs="宋体"/>
          <w:color w:val="auto"/>
          <w:szCs w:val="21"/>
        </w:rPr>
      </w:pPr>
    </w:p>
    <w:p w14:paraId="5EA5FBD6">
      <w:pPr>
        <w:rPr>
          <w:rFonts w:ascii="宋体" w:hAnsi="宋体" w:eastAsia="宋体" w:cs="宋体"/>
          <w:color w:val="auto"/>
          <w:szCs w:val="21"/>
        </w:rPr>
      </w:pPr>
    </w:p>
    <w:p w14:paraId="20BB1D22">
      <w:pPr>
        <w:rPr>
          <w:rFonts w:ascii="宋体" w:hAnsi="宋体" w:eastAsia="宋体" w:cs="宋体"/>
          <w:color w:val="auto"/>
          <w:szCs w:val="21"/>
        </w:rPr>
      </w:pPr>
    </w:p>
    <w:p w14:paraId="45595367">
      <w:pPr>
        <w:spacing w:line="500" w:lineRule="exact"/>
        <w:rPr>
          <w:rFonts w:ascii="宋体" w:hAnsi="宋体" w:eastAsia="宋体" w:cs="宋体"/>
          <w:color w:val="auto"/>
          <w:szCs w:val="21"/>
        </w:rPr>
      </w:pPr>
    </w:p>
    <w:p w14:paraId="0EE17D26">
      <w:pPr>
        <w:spacing w:line="500" w:lineRule="exact"/>
        <w:rPr>
          <w:rFonts w:ascii="宋体" w:hAnsi="宋体" w:eastAsia="宋体" w:cs="宋体"/>
          <w:color w:val="auto"/>
          <w:szCs w:val="21"/>
        </w:rPr>
      </w:pPr>
    </w:p>
    <w:p w14:paraId="7B8ACF67">
      <w:pPr>
        <w:spacing w:line="500" w:lineRule="exact"/>
        <w:rPr>
          <w:rFonts w:ascii="宋体" w:hAnsi="宋体" w:eastAsia="宋体" w:cs="宋体"/>
          <w:color w:val="auto"/>
          <w:szCs w:val="21"/>
        </w:rPr>
      </w:pPr>
    </w:p>
    <w:p w14:paraId="17438FE4">
      <w:pPr>
        <w:spacing w:line="360" w:lineRule="auto"/>
        <w:contextualSpacing/>
        <w:rPr>
          <w:rFonts w:ascii="宋体" w:hAnsi="宋体" w:eastAsia="宋体" w:cs="宋体"/>
          <w:b/>
          <w:color w:val="auto"/>
          <w:szCs w:val="21"/>
        </w:rPr>
      </w:pPr>
    </w:p>
    <w:p w14:paraId="15F3DFD8">
      <w:pPr>
        <w:spacing w:line="340" w:lineRule="exact"/>
        <w:contextualSpacing/>
        <w:rPr>
          <w:rFonts w:ascii="宋体" w:hAnsi="宋体" w:eastAsia="宋体" w:cs="宋体"/>
          <w:bCs/>
          <w:color w:val="auto"/>
          <w:szCs w:val="21"/>
        </w:rPr>
      </w:pPr>
      <w:r>
        <w:rPr>
          <w:rFonts w:hint="eastAsia" w:ascii="宋体" w:hAnsi="宋体" w:eastAsia="宋体" w:cs="宋体"/>
          <w:bCs/>
          <w:color w:val="auto"/>
          <w:szCs w:val="21"/>
        </w:rPr>
        <w:t>附件</w:t>
      </w:r>
    </w:p>
    <w:p w14:paraId="47DF15EB">
      <w:pPr>
        <w:widowControl/>
        <w:spacing w:line="340" w:lineRule="exact"/>
        <w:contextualSpacing/>
        <w:jc w:val="center"/>
        <w:rPr>
          <w:rFonts w:ascii="宋体" w:hAnsi="宋体" w:eastAsia="宋体" w:cs="宋体"/>
          <w:b/>
          <w:color w:val="auto"/>
          <w:szCs w:val="21"/>
        </w:rPr>
      </w:pPr>
      <w:r>
        <w:rPr>
          <w:rFonts w:hint="eastAsia" w:ascii="宋体" w:hAnsi="宋体" w:eastAsia="宋体" w:cs="宋体"/>
          <w:b/>
          <w:color w:val="auto"/>
          <w:szCs w:val="21"/>
        </w:rPr>
        <w:t>法定代表人证明书</w:t>
      </w:r>
    </w:p>
    <w:p w14:paraId="5458B7E7">
      <w:pPr>
        <w:spacing w:line="340" w:lineRule="exact"/>
        <w:contextualSpacing/>
        <w:rPr>
          <w:rFonts w:ascii="宋体" w:hAnsi="宋体" w:eastAsia="宋体" w:cs="宋体"/>
          <w:color w:val="auto"/>
          <w:szCs w:val="21"/>
        </w:rPr>
      </w:pPr>
    </w:p>
    <w:p w14:paraId="6A940975">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先生/小姐，现任我单位（填写单位名称）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职务，为法定代表人，特此证明。</w:t>
      </w:r>
    </w:p>
    <w:p w14:paraId="4C3BC6F6">
      <w:pPr>
        <w:spacing w:line="340" w:lineRule="exact"/>
        <w:ind w:firstLine="420" w:firstLineChars="200"/>
        <w:contextualSpacing/>
        <w:rPr>
          <w:rFonts w:ascii="宋体" w:hAnsi="宋体" w:eastAsia="宋体" w:cs="宋体"/>
          <w:color w:val="auto"/>
          <w:szCs w:val="21"/>
        </w:rPr>
      </w:pPr>
    </w:p>
    <w:p w14:paraId="2C4CB611">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 xml:space="preserve">有效日期：               </w:t>
      </w:r>
    </w:p>
    <w:p w14:paraId="15F176D5">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 xml:space="preserve">签发日期：        </w:t>
      </w:r>
    </w:p>
    <w:p w14:paraId="6B6875E2">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单位：                 （盖章）</w:t>
      </w:r>
    </w:p>
    <w:p w14:paraId="217F5B43">
      <w:pPr>
        <w:spacing w:line="340" w:lineRule="exact"/>
        <w:ind w:firstLine="420" w:firstLineChars="200"/>
        <w:contextualSpacing/>
        <w:rPr>
          <w:rFonts w:ascii="宋体" w:hAnsi="宋体" w:eastAsia="宋体" w:cs="宋体"/>
          <w:color w:val="auto"/>
          <w:szCs w:val="21"/>
        </w:rPr>
      </w:pPr>
    </w:p>
    <w:p w14:paraId="2DDCCC11">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附：</w:t>
      </w:r>
    </w:p>
    <w:p w14:paraId="0A8D80E5">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 xml:space="preserve">代表人性别：        </w:t>
      </w:r>
    </w:p>
    <w:p w14:paraId="71968710">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 xml:space="preserve">年龄：       </w:t>
      </w:r>
    </w:p>
    <w:p w14:paraId="36C861A8">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身份证号码：</w:t>
      </w:r>
    </w:p>
    <w:p w14:paraId="405732C9">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 xml:space="preserve">营业执照号码：                       </w:t>
      </w:r>
    </w:p>
    <w:p w14:paraId="6C44312B">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经济性质：</w:t>
      </w:r>
    </w:p>
    <w:p w14:paraId="0F1F2AE5">
      <w:pPr>
        <w:spacing w:line="340" w:lineRule="exact"/>
        <w:contextualSpacing/>
        <w:rPr>
          <w:rFonts w:ascii="宋体" w:hAnsi="宋体" w:eastAsia="宋体" w:cs="宋体"/>
          <w:color w:val="auto"/>
          <w:szCs w:val="21"/>
        </w:rPr>
      </w:pPr>
    </w:p>
    <w:p w14:paraId="39BD58CD">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注：法定代表人身份证明书需附法人代表身份证复印件（加盖公章）。</w:t>
      </w:r>
    </w:p>
    <w:p w14:paraId="3004807F">
      <w:pPr>
        <w:spacing w:line="340" w:lineRule="exact"/>
        <w:contextualSpacing/>
        <w:rPr>
          <w:rFonts w:ascii="宋体" w:hAnsi="宋体" w:eastAsia="宋体" w:cs="宋体"/>
          <w:color w:val="auto"/>
          <w:szCs w:val="21"/>
        </w:rPr>
      </w:pPr>
    </w:p>
    <w:p w14:paraId="37C261AD">
      <w:pPr>
        <w:spacing w:after="120" w:afterLines="50" w:line="340" w:lineRule="exact"/>
        <w:contextualSpacing/>
        <w:rPr>
          <w:rFonts w:ascii="宋体" w:hAnsi="宋体" w:eastAsia="宋体" w:cs="宋体"/>
          <w:color w:val="auto"/>
          <w:szCs w:val="21"/>
        </w:rPr>
      </w:pPr>
    </w:p>
    <w:p w14:paraId="372A0603">
      <w:pPr>
        <w:widowControl/>
        <w:spacing w:line="340" w:lineRule="exact"/>
        <w:contextualSpacing/>
        <w:jc w:val="center"/>
        <w:rPr>
          <w:rFonts w:ascii="宋体" w:hAnsi="宋体" w:eastAsia="宋体" w:cs="宋体"/>
          <w:b/>
          <w:color w:val="auto"/>
          <w:szCs w:val="21"/>
        </w:rPr>
      </w:pPr>
      <w:r>
        <w:rPr>
          <w:rFonts w:hint="eastAsia" w:ascii="宋体" w:hAnsi="宋体" w:eastAsia="宋体" w:cs="宋体"/>
          <w:b/>
          <w:color w:val="auto"/>
          <w:szCs w:val="21"/>
        </w:rPr>
        <w:t>授权委托书</w:t>
      </w:r>
    </w:p>
    <w:p w14:paraId="62356499">
      <w:pPr>
        <w:spacing w:line="340" w:lineRule="exact"/>
        <w:contextualSpacing/>
        <w:jc w:val="center"/>
        <w:rPr>
          <w:rFonts w:ascii="宋体" w:hAnsi="宋体" w:eastAsia="宋体" w:cs="宋体"/>
          <w:color w:val="auto"/>
          <w:szCs w:val="21"/>
        </w:rPr>
      </w:pPr>
    </w:p>
    <w:p w14:paraId="356134AC">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委托人：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日出生，民族：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族，身份证号：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D2E8452">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授权代理人：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日出生，民族：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族，身份证号：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C9735D3">
      <w:pPr>
        <w:spacing w:line="340" w:lineRule="exact"/>
        <w:ind w:firstLine="420" w:firstLineChars="200"/>
        <w:contextualSpacing/>
        <w:rPr>
          <w:rFonts w:ascii="宋体" w:hAnsi="宋体" w:eastAsia="宋体" w:cs="宋体"/>
          <w:color w:val="auto"/>
          <w:szCs w:val="21"/>
        </w:rPr>
      </w:pPr>
    </w:p>
    <w:p w14:paraId="3FF8B931">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委托人现因故无法出席于……约谈会，现特全权委托授权代理人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代为出席本次会议，并对会议审议处理事项代为发表意见（包括但不限于对xx工程的工程进度、工期调整、赶工费等相关问题发表意见或签署相关文件）。</w:t>
      </w:r>
    </w:p>
    <w:p w14:paraId="43E568F6">
      <w:pPr>
        <w:spacing w:line="340" w:lineRule="exact"/>
        <w:ind w:firstLine="480"/>
        <w:contextualSpacing/>
        <w:rPr>
          <w:rFonts w:ascii="宋体" w:hAnsi="宋体" w:eastAsia="宋体" w:cs="宋体"/>
          <w:color w:val="auto"/>
          <w:szCs w:val="21"/>
        </w:rPr>
      </w:pPr>
    </w:p>
    <w:p w14:paraId="52F88F3D">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授权代理人在上述代理事项范围内的代理行为的法律后果由委托人承担。</w:t>
      </w:r>
    </w:p>
    <w:p w14:paraId="249C0A41">
      <w:pPr>
        <w:spacing w:line="340" w:lineRule="exact"/>
        <w:contextualSpacing/>
        <w:rPr>
          <w:rFonts w:ascii="宋体" w:hAnsi="宋体" w:eastAsia="宋体" w:cs="宋体"/>
          <w:color w:val="auto"/>
          <w:szCs w:val="21"/>
        </w:rPr>
      </w:pPr>
    </w:p>
    <w:p w14:paraId="11421318">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授权代理人意见及签名：</w:t>
      </w:r>
    </w:p>
    <w:p w14:paraId="2EE32B07">
      <w:pPr>
        <w:spacing w:line="340" w:lineRule="exact"/>
        <w:ind w:firstLine="420" w:firstLineChars="200"/>
        <w:contextualSpacing/>
        <w:rPr>
          <w:rFonts w:ascii="宋体" w:hAnsi="宋体" w:eastAsia="宋体" w:cs="宋体"/>
          <w:color w:val="auto"/>
          <w:szCs w:val="21"/>
        </w:rPr>
      </w:pPr>
    </w:p>
    <w:p w14:paraId="5BF684EE">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委托人签名：</w:t>
      </w:r>
    </w:p>
    <w:p w14:paraId="1B56930D">
      <w:pPr>
        <w:spacing w:line="340" w:lineRule="exact"/>
        <w:ind w:firstLine="420" w:firstLineChars="200"/>
        <w:contextualSpacing/>
        <w:rPr>
          <w:rFonts w:ascii="宋体" w:hAnsi="宋体" w:eastAsia="宋体" w:cs="宋体"/>
          <w:color w:val="auto"/>
          <w:szCs w:val="21"/>
        </w:rPr>
      </w:pPr>
    </w:p>
    <w:p w14:paraId="63542579">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日期：</w:t>
      </w:r>
    </w:p>
    <w:p w14:paraId="2E2E854D">
      <w:pPr>
        <w:spacing w:line="340" w:lineRule="exact"/>
        <w:ind w:firstLine="420" w:firstLineChars="200"/>
        <w:contextualSpacing/>
        <w:rPr>
          <w:rFonts w:ascii="宋体" w:hAnsi="宋体" w:eastAsia="宋体" w:cs="宋体"/>
          <w:color w:val="auto"/>
          <w:szCs w:val="21"/>
        </w:rPr>
      </w:pPr>
    </w:p>
    <w:p w14:paraId="49BC957E">
      <w:pPr>
        <w:spacing w:line="340" w:lineRule="exact"/>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注：附授权代理人身份证复印件（加盖公章并带原件核验）</w:t>
      </w:r>
    </w:p>
    <w:p w14:paraId="62BFD74A">
      <w:pPr>
        <w:rPr>
          <w:rFonts w:ascii="宋体" w:hAnsi="宋体" w:eastAsia="宋体" w:cs="宋体"/>
          <w:color w:val="auto"/>
          <w:szCs w:val="21"/>
        </w:rPr>
      </w:pPr>
    </w:p>
    <w:p w14:paraId="74B32DE3">
      <w:pPr>
        <w:widowControl/>
        <w:rPr>
          <w:rFonts w:ascii="宋体" w:hAnsi="宋体" w:eastAsia="宋体" w:cs="宋体"/>
          <w:color w:val="auto"/>
          <w:szCs w:val="21"/>
        </w:rPr>
      </w:pPr>
      <w:r>
        <w:rPr>
          <w:rFonts w:hint="eastAsia" w:ascii="宋体" w:hAnsi="宋体" w:eastAsia="宋体" w:cs="宋体"/>
          <w:color w:val="auto"/>
          <w:szCs w:val="21"/>
        </w:rPr>
        <w:br w:type="page"/>
      </w:r>
    </w:p>
    <w:p w14:paraId="18F44EE9">
      <w:pPr>
        <w:rPr>
          <w:rFonts w:ascii="宋体" w:hAnsi="宋体" w:eastAsia="宋体" w:cs="宋体"/>
          <w:color w:val="auto"/>
          <w:szCs w:val="21"/>
        </w:rPr>
      </w:pPr>
      <w:r>
        <w:rPr>
          <w:rFonts w:hint="eastAsia" w:ascii="宋体" w:hAnsi="宋体" w:eastAsia="宋体" w:cs="宋体"/>
          <w:color w:val="auto"/>
          <w:szCs w:val="21"/>
        </w:rPr>
        <w:t>附件4：约谈记录</w:t>
      </w:r>
    </w:p>
    <w:p w14:paraId="6F83F46B">
      <w:pPr>
        <w:widowControl/>
        <w:jc w:val="center"/>
        <w:rPr>
          <w:rFonts w:ascii="宋体" w:hAnsi="宋体" w:eastAsia="宋体" w:cs="宋体"/>
          <w:b/>
          <w:color w:val="auto"/>
          <w:szCs w:val="21"/>
        </w:rPr>
      </w:pPr>
      <w:r>
        <w:rPr>
          <w:rFonts w:hint="eastAsia" w:ascii="宋体" w:hAnsi="宋体" w:eastAsia="宋体" w:cs="宋体"/>
          <w:b/>
          <w:color w:val="auto"/>
          <w:szCs w:val="21"/>
        </w:rPr>
        <w:t>约谈记录</w:t>
      </w:r>
    </w:p>
    <w:p w14:paraId="34449A6B">
      <w:pPr>
        <w:spacing w:line="600" w:lineRule="exact"/>
        <w:jc w:val="right"/>
        <w:rPr>
          <w:rFonts w:ascii="宋体" w:hAnsi="宋体" w:eastAsia="宋体" w:cs="宋体"/>
          <w:color w:val="auto"/>
          <w:szCs w:val="21"/>
        </w:rPr>
      </w:pPr>
      <w:r>
        <w:rPr>
          <w:rFonts w:hint="eastAsia" w:ascii="宋体" w:hAnsi="宋体" w:eastAsia="宋体" w:cs="宋体"/>
          <w:color w:val="auto"/>
          <w:szCs w:val="21"/>
        </w:rPr>
        <w:t>XX分公司【202X】约谈-XXX号/设备管理部【202X】约谈-XXX号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2466"/>
        <w:gridCol w:w="2466"/>
        <w:gridCol w:w="2972"/>
      </w:tblGrid>
      <w:tr w14:paraId="34B7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1189" w:type="pct"/>
            <w:vAlign w:val="center"/>
          </w:tcPr>
          <w:p w14:paraId="46E4C3ED">
            <w:pPr>
              <w:jc w:val="center"/>
              <w:rPr>
                <w:rFonts w:ascii="宋体" w:hAnsi="宋体" w:eastAsia="宋体" w:cs="宋体"/>
                <w:b/>
                <w:bCs/>
                <w:color w:val="auto"/>
                <w:szCs w:val="21"/>
              </w:rPr>
            </w:pPr>
            <w:r>
              <w:rPr>
                <w:rFonts w:hint="eastAsia" w:ascii="宋体" w:hAnsi="宋体" w:eastAsia="宋体" w:cs="宋体"/>
                <w:b/>
                <w:bCs/>
                <w:color w:val="auto"/>
                <w:szCs w:val="21"/>
              </w:rPr>
              <w:t>约谈事项</w:t>
            </w:r>
          </w:p>
        </w:tc>
        <w:tc>
          <w:tcPr>
            <w:tcW w:w="3811" w:type="pct"/>
            <w:gridSpan w:val="3"/>
            <w:vAlign w:val="center"/>
          </w:tcPr>
          <w:p w14:paraId="513D38C2">
            <w:pPr>
              <w:jc w:val="center"/>
              <w:rPr>
                <w:rFonts w:ascii="宋体" w:hAnsi="宋体" w:eastAsia="宋体" w:cs="宋体"/>
                <w:color w:val="auto"/>
                <w:szCs w:val="21"/>
              </w:rPr>
            </w:pPr>
            <w:r>
              <w:rPr>
                <w:rFonts w:hint="eastAsia" w:ascii="宋体" w:hAnsi="宋体" w:eastAsia="宋体" w:cs="宋体"/>
                <w:color w:val="auto"/>
                <w:szCs w:val="21"/>
              </w:rPr>
              <w:t>工期严重滞后、现场管理混乱、施工人员专业水平较差</w:t>
            </w:r>
          </w:p>
        </w:tc>
      </w:tr>
      <w:tr w14:paraId="09E8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trPr>
        <w:tc>
          <w:tcPr>
            <w:tcW w:w="1189" w:type="pct"/>
            <w:vAlign w:val="center"/>
          </w:tcPr>
          <w:p w14:paraId="760F65BB">
            <w:pPr>
              <w:jc w:val="center"/>
              <w:rPr>
                <w:rFonts w:ascii="宋体" w:hAnsi="宋体" w:eastAsia="宋体" w:cs="宋体"/>
                <w:b/>
                <w:bCs/>
                <w:color w:val="auto"/>
                <w:szCs w:val="21"/>
              </w:rPr>
            </w:pPr>
            <w:r>
              <w:rPr>
                <w:rFonts w:hint="eastAsia" w:ascii="宋体" w:hAnsi="宋体" w:eastAsia="宋体" w:cs="宋体"/>
                <w:b/>
                <w:bCs/>
                <w:color w:val="auto"/>
                <w:szCs w:val="21"/>
              </w:rPr>
              <w:t>被约谈人姓名</w:t>
            </w:r>
          </w:p>
        </w:tc>
        <w:tc>
          <w:tcPr>
            <w:tcW w:w="1189" w:type="pct"/>
            <w:vAlign w:val="center"/>
          </w:tcPr>
          <w:p w14:paraId="47BEBEA1">
            <w:pPr>
              <w:jc w:val="center"/>
              <w:rPr>
                <w:rFonts w:ascii="宋体" w:hAnsi="宋体" w:eastAsia="宋体" w:cs="宋体"/>
                <w:color w:val="auto"/>
                <w:szCs w:val="21"/>
              </w:rPr>
            </w:pPr>
            <w:r>
              <w:rPr>
                <w:rFonts w:hint="eastAsia" w:ascii="宋体" w:hAnsi="宋体" w:eastAsia="宋体" w:cs="宋体"/>
                <w:color w:val="auto"/>
                <w:szCs w:val="21"/>
              </w:rPr>
              <w:t xml:space="preserve"> </w:t>
            </w:r>
          </w:p>
        </w:tc>
        <w:tc>
          <w:tcPr>
            <w:tcW w:w="1189" w:type="pct"/>
            <w:vAlign w:val="center"/>
          </w:tcPr>
          <w:p w14:paraId="7BA3FE87">
            <w:pPr>
              <w:jc w:val="center"/>
              <w:rPr>
                <w:rFonts w:ascii="宋体" w:hAnsi="宋体" w:eastAsia="宋体" w:cs="宋体"/>
                <w:b/>
                <w:bCs/>
                <w:color w:val="auto"/>
                <w:szCs w:val="21"/>
              </w:rPr>
            </w:pPr>
            <w:r>
              <w:rPr>
                <w:rFonts w:hint="eastAsia" w:ascii="宋体" w:hAnsi="宋体" w:eastAsia="宋体" w:cs="宋体"/>
                <w:b/>
                <w:bCs/>
                <w:color w:val="auto"/>
                <w:szCs w:val="21"/>
              </w:rPr>
              <w:t>单位及职务</w:t>
            </w:r>
          </w:p>
        </w:tc>
        <w:tc>
          <w:tcPr>
            <w:tcW w:w="1434" w:type="pct"/>
            <w:vAlign w:val="center"/>
          </w:tcPr>
          <w:p w14:paraId="5D686B4A">
            <w:pPr>
              <w:jc w:val="center"/>
              <w:rPr>
                <w:rFonts w:ascii="宋体" w:hAnsi="宋体" w:eastAsia="宋体" w:cs="宋体"/>
                <w:color w:val="auto"/>
                <w:szCs w:val="21"/>
              </w:rPr>
            </w:pPr>
            <w:r>
              <w:rPr>
                <w:rFonts w:hint="eastAsia" w:ascii="宋体" w:hAnsi="宋体" w:eastAsia="宋体" w:cs="宋体"/>
                <w:color w:val="auto"/>
                <w:szCs w:val="21"/>
                <w:shd w:val="clear" w:color="auto" w:fill="FFFFFF"/>
              </w:rPr>
              <w:t>XX公司副经理</w:t>
            </w:r>
          </w:p>
        </w:tc>
      </w:tr>
      <w:tr w14:paraId="3FD2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189" w:type="pct"/>
            <w:vAlign w:val="center"/>
          </w:tcPr>
          <w:p w14:paraId="46BD181E">
            <w:pPr>
              <w:jc w:val="center"/>
              <w:rPr>
                <w:rFonts w:ascii="宋体" w:hAnsi="宋体" w:eastAsia="宋体" w:cs="宋体"/>
                <w:b/>
                <w:bCs/>
                <w:color w:val="auto"/>
                <w:szCs w:val="21"/>
              </w:rPr>
            </w:pPr>
            <w:r>
              <w:rPr>
                <w:rFonts w:hint="eastAsia" w:ascii="宋体" w:hAnsi="宋体" w:eastAsia="宋体" w:cs="宋体"/>
                <w:b/>
                <w:bCs/>
                <w:color w:val="auto"/>
                <w:szCs w:val="21"/>
              </w:rPr>
              <w:t>约谈时间</w:t>
            </w:r>
          </w:p>
        </w:tc>
        <w:tc>
          <w:tcPr>
            <w:tcW w:w="1189" w:type="pct"/>
            <w:vAlign w:val="center"/>
          </w:tcPr>
          <w:p w14:paraId="5F530233">
            <w:pPr>
              <w:jc w:val="center"/>
              <w:rPr>
                <w:rFonts w:ascii="宋体" w:hAnsi="宋体" w:eastAsia="宋体" w:cs="宋体"/>
                <w:color w:val="auto"/>
                <w:szCs w:val="21"/>
              </w:rPr>
            </w:pPr>
            <w:r>
              <w:rPr>
                <w:rFonts w:hint="eastAsia" w:ascii="宋体" w:hAnsi="宋体" w:eastAsia="宋体" w:cs="宋体"/>
                <w:color w:val="auto"/>
                <w:szCs w:val="21"/>
              </w:rPr>
              <w:t xml:space="preserve"> </w:t>
            </w:r>
          </w:p>
        </w:tc>
        <w:tc>
          <w:tcPr>
            <w:tcW w:w="1189" w:type="pct"/>
            <w:vAlign w:val="center"/>
          </w:tcPr>
          <w:p w14:paraId="0E884D6D">
            <w:pPr>
              <w:jc w:val="center"/>
              <w:rPr>
                <w:rFonts w:ascii="宋体" w:hAnsi="宋体" w:eastAsia="宋体" w:cs="宋体"/>
                <w:b/>
                <w:bCs/>
                <w:color w:val="auto"/>
                <w:szCs w:val="21"/>
              </w:rPr>
            </w:pPr>
            <w:r>
              <w:rPr>
                <w:rFonts w:hint="eastAsia" w:ascii="宋体" w:hAnsi="宋体" w:eastAsia="宋体" w:cs="宋体"/>
                <w:b/>
                <w:bCs/>
                <w:color w:val="auto"/>
                <w:szCs w:val="21"/>
              </w:rPr>
              <w:t>约谈地点</w:t>
            </w:r>
          </w:p>
        </w:tc>
        <w:tc>
          <w:tcPr>
            <w:tcW w:w="1434" w:type="pct"/>
            <w:vAlign w:val="center"/>
          </w:tcPr>
          <w:p w14:paraId="1E0EFB7B">
            <w:pPr>
              <w:jc w:val="center"/>
              <w:rPr>
                <w:rFonts w:ascii="宋体" w:hAnsi="宋体" w:eastAsia="宋体" w:cs="宋体"/>
                <w:color w:val="auto"/>
                <w:szCs w:val="21"/>
              </w:rPr>
            </w:pPr>
            <w:r>
              <w:rPr>
                <w:rFonts w:hint="eastAsia" w:ascii="宋体" w:hAnsi="宋体" w:eastAsia="宋体" w:cs="宋体"/>
                <w:color w:val="auto"/>
                <w:szCs w:val="21"/>
              </w:rPr>
              <w:t xml:space="preserve"> </w:t>
            </w:r>
          </w:p>
        </w:tc>
      </w:tr>
      <w:tr w14:paraId="0100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1189" w:type="pct"/>
            <w:vAlign w:val="center"/>
          </w:tcPr>
          <w:p w14:paraId="071DCE6B">
            <w:pPr>
              <w:jc w:val="center"/>
              <w:rPr>
                <w:rFonts w:ascii="宋体" w:hAnsi="宋体" w:eastAsia="宋体" w:cs="宋体"/>
                <w:b/>
                <w:bCs/>
                <w:color w:val="auto"/>
                <w:szCs w:val="21"/>
              </w:rPr>
            </w:pPr>
            <w:r>
              <w:rPr>
                <w:rFonts w:hint="eastAsia" w:ascii="宋体" w:hAnsi="宋体" w:eastAsia="宋体" w:cs="宋体"/>
                <w:b/>
                <w:bCs/>
                <w:color w:val="auto"/>
                <w:szCs w:val="21"/>
              </w:rPr>
              <w:t>约谈人</w:t>
            </w:r>
          </w:p>
        </w:tc>
        <w:tc>
          <w:tcPr>
            <w:tcW w:w="3811" w:type="pct"/>
            <w:gridSpan w:val="3"/>
            <w:vAlign w:val="center"/>
          </w:tcPr>
          <w:p w14:paraId="1D848C21">
            <w:pPr>
              <w:jc w:val="center"/>
              <w:rPr>
                <w:rFonts w:ascii="宋体" w:hAnsi="宋体" w:eastAsia="宋体" w:cs="宋体"/>
                <w:color w:val="auto"/>
                <w:szCs w:val="21"/>
              </w:rPr>
            </w:pPr>
            <w:r>
              <w:rPr>
                <w:rFonts w:hint="eastAsia" w:ascii="宋体" w:hAnsi="宋体" w:eastAsia="宋体" w:cs="宋体"/>
                <w:color w:val="auto"/>
                <w:szCs w:val="21"/>
              </w:rPr>
              <w:t xml:space="preserve"> </w:t>
            </w:r>
          </w:p>
        </w:tc>
      </w:tr>
      <w:tr w14:paraId="5609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exact"/>
        </w:trPr>
        <w:tc>
          <w:tcPr>
            <w:tcW w:w="1189" w:type="pct"/>
            <w:vAlign w:val="center"/>
          </w:tcPr>
          <w:p w14:paraId="0F89D4D5">
            <w:pPr>
              <w:jc w:val="center"/>
              <w:rPr>
                <w:rFonts w:ascii="宋体" w:hAnsi="宋体" w:eastAsia="宋体" w:cs="宋体"/>
                <w:b/>
                <w:bCs/>
                <w:color w:val="auto"/>
                <w:szCs w:val="21"/>
              </w:rPr>
            </w:pPr>
            <w:r>
              <w:rPr>
                <w:rFonts w:hint="eastAsia" w:ascii="宋体" w:hAnsi="宋体" w:eastAsia="宋体" w:cs="宋体"/>
                <w:b/>
                <w:bCs/>
                <w:color w:val="auto"/>
                <w:szCs w:val="21"/>
              </w:rPr>
              <w:t>约谈内容记录</w:t>
            </w:r>
          </w:p>
        </w:tc>
        <w:tc>
          <w:tcPr>
            <w:tcW w:w="3811" w:type="pct"/>
            <w:gridSpan w:val="3"/>
          </w:tcPr>
          <w:p w14:paraId="35B69E83">
            <w:pPr>
              <w:pStyle w:val="33"/>
              <w:shd w:val="clear" w:color="auto" w:fill="FFFFFF"/>
              <w:wordWrap w:val="0"/>
              <w:rPr>
                <w:rFonts w:ascii="宋体" w:hAnsi="宋体" w:cs="宋体"/>
                <w:b/>
                <w:bCs/>
                <w:color w:val="auto"/>
              </w:rPr>
            </w:pPr>
            <w:r>
              <w:rPr>
                <w:rFonts w:hint="eastAsia" w:ascii="宋体" w:hAnsi="宋体" w:cs="宋体"/>
                <w:b/>
                <w:bCs/>
                <w:color w:val="auto"/>
              </w:rPr>
              <w:t>约谈原因：</w:t>
            </w:r>
          </w:p>
          <w:p w14:paraId="39EBD03C">
            <w:pPr>
              <w:pStyle w:val="33"/>
              <w:shd w:val="clear" w:color="auto" w:fill="FFFFFF"/>
              <w:wordWrap w:val="0"/>
              <w:ind w:firstLine="420" w:firstLineChars="200"/>
              <w:rPr>
                <w:rFonts w:ascii="宋体" w:hAnsi="宋体" w:cs="宋体"/>
                <w:color w:val="auto"/>
              </w:rPr>
            </w:pPr>
            <w:r>
              <w:rPr>
                <w:rFonts w:hint="eastAsia" w:ascii="宋体" w:hAnsi="宋体" w:cs="宋体"/>
                <w:color w:val="auto"/>
              </w:rPr>
              <w:t xml:space="preserve"> </w:t>
            </w:r>
          </w:p>
          <w:p w14:paraId="26A05847">
            <w:pPr>
              <w:pStyle w:val="33"/>
              <w:shd w:val="clear" w:color="auto" w:fill="FFFFFF"/>
              <w:wordWrap w:val="0"/>
              <w:rPr>
                <w:rFonts w:ascii="宋体" w:hAnsi="宋体" w:cs="宋体"/>
                <w:b/>
                <w:bCs/>
                <w:color w:val="auto"/>
              </w:rPr>
            </w:pPr>
            <w:r>
              <w:rPr>
                <w:rFonts w:hint="eastAsia" w:ascii="宋体" w:hAnsi="宋体" w:cs="宋体"/>
                <w:b/>
                <w:bCs/>
                <w:color w:val="auto"/>
              </w:rPr>
              <w:t>处置措施：</w:t>
            </w:r>
          </w:p>
          <w:p w14:paraId="70676465">
            <w:pPr>
              <w:pStyle w:val="33"/>
              <w:shd w:val="clear" w:color="auto" w:fill="FFFFFF"/>
              <w:wordWrap w:val="0"/>
              <w:ind w:firstLine="420" w:firstLineChars="200"/>
              <w:rPr>
                <w:rFonts w:ascii="宋体" w:hAnsi="宋体" w:cs="宋体"/>
                <w:color w:val="auto"/>
              </w:rPr>
            </w:pPr>
            <w:r>
              <w:rPr>
                <w:rFonts w:hint="eastAsia" w:ascii="宋体" w:hAnsi="宋体" w:cs="宋体"/>
                <w:color w:val="auto"/>
              </w:rPr>
              <w:t>1.经设备管理部/第X分公司综合评估，对XX公司警告一次；</w:t>
            </w:r>
          </w:p>
          <w:p w14:paraId="49837745">
            <w:pPr>
              <w:pStyle w:val="33"/>
              <w:shd w:val="clear" w:color="auto" w:fill="FFFFFF"/>
              <w:wordWrap w:val="0"/>
              <w:ind w:firstLine="420" w:firstLineChars="200"/>
              <w:rPr>
                <w:rFonts w:ascii="宋体" w:hAnsi="宋体" w:cs="宋体"/>
                <w:color w:val="auto"/>
              </w:rPr>
            </w:pPr>
            <w:r>
              <w:rPr>
                <w:rFonts w:hint="eastAsia" w:ascii="宋体" w:hAnsi="宋体" w:cs="宋体"/>
                <w:color w:val="auto"/>
              </w:rPr>
              <w:t>2.于7月24日提交完整、详细的施工计划，包括每天人力物力的投入情况；</w:t>
            </w:r>
          </w:p>
          <w:p w14:paraId="53836037">
            <w:pPr>
              <w:pStyle w:val="33"/>
              <w:shd w:val="clear" w:color="auto" w:fill="FFFFFF"/>
              <w:wordWrap w:val="0"/>
              <w:ind w:firstLine="420" w:firstLineChars="200"/>
              <w:rPr>
                <w:rFonts w:ascii="宋体" w:hAnsi="宋体" w:cs="宋体"/>
                <w:color w:val="auto"/>
              </w:rPr>
            </w:pPr>
            <w:r>
              <w:rPr>
                <w:rFonts w:hint="eastAsia" w:ascii="宋体" w:hAnsi="宋体" w:cs="宋体"/>
                <w:color w:val="auto"/>
              </w:rPr>
              <w:t>……</w:t>
            </w:r>
          </w:p>
          <w:p w14:paraId="720F0920">
            <w:pPr>
              <w:pStyle w:val="33"/>
              <w:shd w:val="clear" w:color="auto" w:fill="FFFFFF"/>
              <w:wordWrap w:val="0"/>
              <w:ind w:firstLine="420" w:firstLineChars="200"/>
              <w:rPr>
                <w:rFonts w:ascii="宋体" w:hAnsi="宋体" w:cs="宋体"/>
                <w:color w:val="auto"/>
              </w:rPr>
            </w:pPr>
            <w:r>
              <w:rPr>
                <w:rFonts w:hint="eastAsia" w:ascii="宋体" w:hAnsi="宋体" w:cs="宋体"/>
                <w:color w:val="auto"/>
              </w:rPr>
              <w:t>如XX公司未能达成以上目标的，管网公司有权按照合同及相关文件约定，视情况停止派单、更换施工单位、中止在库的供应商资格、提取履约保证金等，并保留进一步追究责任的权利。</w:t>
            </w:r>
          </w:p>
          <w:p w14:paraId="45DE0716">
            <w:pPr>
              <w:ind w:firstLine="420" w:firstLineChars="200"/>
              <w:rPr>
                <w:rFonts w:ascii="宋体" w:hAnsi="宋体" w:eastAsia="宋体" w:cs="宋体"/>
                <w:color w:val="auto"/>
                <w:szCs w:val="21"/>
              </w:rPr>
            </w:pPr>
          </w:p>
          <w:p w14:paraId="71C2B792">
            <w:pPr>
              <w:rPr>
                <w:rFonts w:ascii="宋体" w:hAnsi="宋体" w:eastAsia="宋体" w:cs="宋体"/>
                <w:color w:val="auto"/>
                <w:szCs w:val="21"/>
              </w:rPr>
            </w:pPr>
          </w:p>
        </w:tc>
      </w:tr>
      <w:tr w14:paraId="271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exact"/>
        </w:trPr>
        <w:tc>
          <w:tcPr>
            <w:tcW w:w="1189" w:type="pct"/>
            <w:vAlign w:val="center"/>
          </w:tcPr>
          <w:p w14:paraId="40EADF46">
            <w:pPr>
              <w:jc w:val="center"/>
              <w:rPr>
                <w:rFonts w:ascii="宋体" w:hAnsi="宋体" w:eastAsia="宋体" w:cs="宋体"/>
                <w:b/>
                <w:bCs/>
                <w:color w:val="auto"/>
                <w:szCs w:val="21"/>
              </w:rPr>
            </w:pPr>
            <w:r>
              <w:rPr>
                <w:rFonts w:hint="eastAsia" w:ascii="宋体" w:hAnsi="宋体" w:eastAsia="宋体" w:cs="宋体"/>
                <w:b/>
                <w:bCs/>
                <w:color w:val="auto"/>
                <w:szCs w:val="21"/>
              </w:rPr>
              <w:t>被约谈人签字</w:t>
            </w:r>
          </w:p>
        </w:tc>
        <w:tc>
          <w:tcPr>
            <w:tcW w:w="3811" w:type="pct"/>
            <w:gridSpan w:val="3"/>
            <w:vAlign w:val="center"/>
          </w:tcPr>
          <w:p w14:paraId="0D844A03">
            <w:pPr>
              <w:jc w:val="center"/>
              <w:rPr>
                <w:rFonts w:ascii="宋体" w:hAnsi="宋体" w:eastAsia="宋体" w:cs="宋体"/>
                <w:color w:val="auto"/>
                <w:szCs w:val="21"/>
              </w:rPr>
            </w:pPr>
          </w:p>
        </w:tc>
      </w:tr>
    </w:tbl>
    <w:p w14:paraId="622F9BC6">
      <w:pPr>
        <w:rPr>
          <w:rFonts w:ascii="宋体" w:hAnsi="宋体" w:eastAsia="宋体" w:cs="宋体"/>
          <w:color w:val="auto"/>
          <w:szCs w:val="21"/>
        </w:rPr>
      </w:pPr>
      <w:r>
        <w:rPr>
          <w:rFonts w:hint="eastAsia" w:ascii="宋体" w:hAnsi="宋体" w:eastAsia="宋体" w:cs="宋体"/>
          <w:color w:val="auto"/>
          <w:szCs w:val="21"/>
        </w:rPr>
        <w:t>附件：</w:t>
      </w:r>
    </w:p>
    <w:p w14:paraId="5777EAF2">
      <w:pPr>
        <w:jc w:val="center"/>
        <w:rPr>
          <w:rFonts w:ascii="宋体" w:hAnsi="宋体" w:eastAsia="宋体" w:cs="宋体"/>
          <w:b/>
          <w:bCs/>
          <w:color w:val="auto"/>
          <w:szCs w:val="21"/>
        </w:rPr>
      </w:pPr>
      <w:r>
        <w:rPr>
          <w:rFonts w:hint="eastAsia" w:ascii="宋体" w:hAnsi="宋体" w:eastAsia="宋体" w:cs="宋体"/>
          <w:b/>
          <w:bCs/>
          <w:color w:val="auto"/>
          <w:szCs w:val="21"/>
        </w:rPr>
        <w:t>约谈照片</w:t>
      </w:r>
    </w:p>
    <w:p w14:paraId="2E7D34F6">
      <w:pPr>
        <w:jc w:val="center"/>
        <w:rPr>
          <w:rFonts w:ascii="宋体" w:hAnsi="宋体" w:eastAsia="宋体" w:cs="宋体"/>
          <w:color w:val="auto"/>
          <w:szCs w:val="21"/>
        </w:rPr>
      </w:pPr>
    </w:p>
    <w:p w14:paraId="14657C30">
      <w:pPr>
        <w:jc w:val="center"/>
        <w:rPr>
          <w:rFonts w:ascii="宋体" w:hAnsi="宋体" w:eastAsia="宋体" w:cs="宋体"/>
          <w:color w:val="auto"/>
          <w:szCs w:val="21"/>
        </w:rPr>
      </w:pPr>
    </w:p>
    <w:p w14:paraId="145A0778">
      <w:pPr>
        <w:jc w:val="center"/>
        <w:rPr>
          <w:rFonts w:ascii="宋体" w:hAnsi="宋体" w:eastAsia="宋体" w:cs="宋体"/>
          <w:color w:val="auto"/>
          <w:szCs w:val="21"/>
        </w:rPr>
      </w:pPr>
    </w:p>
    <w:p w14:paraId="5CDD4BC0">
      <w:pPr>
        <w:jc w:val="center"/>
        <w:rPr>
          <w:rFonts w:ascii="宋体" w:hAnsi="宋体" w:eastAsia="宋体" w:cs="宋体"/>
          <w:color w:val="auto"/>
          <w:szCs w:val="21"/>
        </w:rPr>
      </w:pPr>
    </w:p>
    <w:p w14:paraId="30AFF7B1">
      <w:pPr>
        <w:rPr>
          <w:rFonts w:ascii="宋体" w:hAnsi="宋体" w:eastAsia="宋体" w:cs="宋体"/>
          <w:color w:val="auto"/>
          <w:szCs w:val="21"/>
        </w:rPr>
      </w:pPr>
    </w:p>
    <w:p w14:paraId="69BE0D33">
      <w:pPr>
        <w:widowControl/>
        <w:rPr>
          <w:rFonts w:ascii="宋体" w:hAnsi="宋体" w:eastAsia="宋体" w:cs="宋体"/>
          <w:color w:val="auto"/>
          <w:szCs w:val="21"/>
        </w:rPr>
      </w:pPr>
    </w:p>
    <w:p w14:paraId="3B0D5DCE">
      <w:pPr>
        <w:rPr>
          <w:rFonts w:ascii="宋体" w:hAnsi="宋体" w:eastAsia="宋体" w:cs="宋体"/>
          <w:color w:val="auto"/>
          <w:szCs w:val="21"/>
        </w:rPr>
      </w:pPr>
      <w:r>
        <w:rPr>
          <w:rFonts w:hint="eastAsia" w:ascii="宋体" w:hAnsi="宋体" w:eastAsia="宋体" w:cs="宋体"/>
          <w:color w:val="auto"/>
          <w:szCs w:val="21"/>
        </w:rPr>
        <w:t>附件5：处罚通知单</w:t>
      </w:r>
    </w:p>
    <w:p w14:paraId="0AD4807B">
      <w:pPr>
        <w:widowControl/>
        <w:jc w:val="center"/>
        <w:rPr>
          <w:rFonts w:ascii="宋体" w:hAnsi="宋体" w:eastAsia="宋体" w:cs="宋体"/>
          <w:b/>
          <w:color w:val="auto"/>
          <w:szCs w:val="21"/>
        </w:rPr>
      </w:pPr>
      <w:r>
        <w:rPr>
          <w:rFonts w:hint="eastAsia" w:ascii="宋体" w:hAnsi="宋体" w:eastAsia="宋体" w:cs="宋体"/>
          <w:b/>
          <w:color w:val="auto"/>
          <w:szCs w:val="21"/>
        </w:rPr>
        <w:t>处罚通知单</w:t>
      </w:r>
    </w:p>
    <w:p w14:paraId="15519D97">
      <w:pPr>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                                        【202X】处罚-XXX号</w:t>
      </w:r>
    </w:p>
    <w:p w14:paraId="77177874">
      <w:pPr>
        <w:spacing w:line="360" w:lineRule="auto"/>
        <w:contextualSpacing/>
        <w:rPr>
          <w:rFonts w:ascii="宋体" w:hAnsi="宋体" w:eastAsia="宋体" w:cs="宋体"/>
          <w:color w:val="auto"/>
          <w:szCs w:val="21"/>
        </w:rPr>
      </w:pPr>
      <w:r>
        <w:rPr>
          <w:rFonts w:hint="eastAsia" w:ascii="宋体" w:hAnsi="宋体" w:eastAsia="宋体" w:cs="宋体"/>
          <w:color w:val="auto"/>
          <w:szCs w:val="21"/>
        </w:rPr>
        <w:t>XX单位：</w:t>
      </w:r>
    </w:p>
    <w:p w14:paraId="5A74E8BC">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我司在202x年xx月xx日发现，你司承接的XX项目存在以下问题（或存在以下不良行为）：</w:t>
      </w:r>
    </w:p>
    <w:p w14:paraId="52115208">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w:t>
      </w:r>
    </w:p>
    <w:p w14:paraId="7D84DFA9">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如有）鉴于XX公司的XX项目存在的问题（或上述不良行为），我司通过于XX年XX月XX日通过监理通知单（预处罚通知单、不良行为通报、约谈等）发出相应整改要求。截止目前（时间点），你司未能按照时间节点要求（可细化）完成整改工作。</w:t>
      </w:r>
    </w:p>
    <w:p w14:paraId="6D853FAB">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现我司按照框架合同第X条（《东莞市水务集团管网有限公司机电设备维修服务供应商管理办法》第X条），对你单位处以XX元的违约金。以上违约金罚款将在最近一期工程进度款、结算款或履约保证金中直接扣除。</w:t>
      </w:r>
    </w:p>
    <w:p w14:paraId="2BE864E7">
      <w:pPr>
        <w:spacing w:line="360" w:lineRule="auto"/>
        <w:ind w:firstLine="648"/>
        <w:contextualSpacing/>
        <w:jc w:val="right"/>
        <w:rPr>
          <w:rFonts w:ascii="宋体" w:hAnsi="宋体" w:eastAsia="宋体" w:cs="宋体"/>
          <w:color w:val="auto"/>
          <w:szCs w:val="21"/>
        </w:rPr>
      </w:pPr>
      <w:r>
        <w:rPr>
          <w:rFonts w:hint="eastAsia" w:ascii="宋体" w:hAnsi="宋体" w:eastAsia="宋体" w:cs="宋体"/>
          <w:color w:val="auto"/>
          <w:szCs w:val="21"/>
        </w:rPr>
        <w:t xml:space="preserve">                     东莞市水务集团管网有限公司</w:t>
      </w:r>
    </w:p>
    <w:p w14:paraId="0D73CD69">
      <w:pPr>
        <w:spacing w:line="360" w:lineRule="auto"/>
        <w:ind w:firstLine="648"/>
        <w:contextualSpacing/>
        <w:jc w:val="right"/>
        <w:rPr>
          <w:rFonts w:ascii="宋体" w:hAnsi="宋体" w:eastAsia="宋体" w:cs="宋体"/>
          <w:color w:val="auto"/>
          <w:szCs w:val="21"/>
        </w:rPr>
      </w:pPr>
      <w:r>
        <w:rPr>
          <w:rFonts w:hint="eastAsia" w:ascii="宋体" w:hAnsi="宋体" w:eastAsia="宋体" w:cs="宋体"/>
          <w:color w:val="auto"/>
          <w:szCs w:val="21"/>
        </w:rPr>
        <w:t xml:space="preserve">（或项目公司）                              </w:t>
      </w:r>
    </w:p>
    <w:p w14:paraId="2E9BE04E">
      <w:pPr>
        <w:spacing w:line="360" w:lineRule="auto"/>
        <w:ind w:firstLine="648"/>
        <w:contextualSpacing/>
        <w:jc w:val="right"/>
        <w:rPr>
          <w:rFonts w:ascii="宋体" w:hAnsi="宋体" w:eastAsia="宋体" w:cs="宋体"/>
          <w:color w:val="auto"/>
          <w:szCs w:val="21"/>
        </w:rPr>
      </w:pPr>
      <w:r>
        <w:rPr>
          <w:rFonts w:hint="eastAsia" w:ascii="宋体" w:hAnsi="宋体" w:eastAsia="宋体" w:cs="宋体"/>
          <w:color w:val="auto"/>
          <w:szCs w:val="21"/>
        </w:rPr>
        <w:t xml:space="preserve">                          日期：202 年 月 日</w:t>
      </w:r>
    </w:p>
    <w:p w14:paraId="2CF8DBCA">
      <w:pPr>
        <w:spacing w:line="360" w:lineRule="auto"/>
        <w:contextualSpacing/>
        <w:rPr>
          <w:rFonts w:ascii="宋体" w:hAnsi="宋体" w:eastAsia="宋体" w:cs="宋体"/>
          <w:color w:val="auto"/>
          <w:szCs w:val="21"/>
        </w:rPr>
      </w:pPr>
      <w:r>
        <w:rPr>
          <w:rFonts w:hint="eastAsia" w:ascii="宋体" w:hAnsi="宋体" w:eastAsia="宋体" w:cs="宋体"/>
          <w:color w:val="auto"/>
          <w:szCs w:val="21"/>
        </w:rPr>
        <w:t>XX公司对上述处罚无异议：（签字）</w:t>
      </w:r>
    </w:p>
    <w:p w14:paraId="6214AAD9">
      <w:pPr>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                    日期：</w:t>
      </w:r>
    </w:p>
    <w:p w14:paraId="4DEB3833">
      <w:pPr>
        <w:rPr>
          <w:rFonts w:ascii="宋体" w:hAnsi="宋体" w:eastAsia="宋体" w:cs="宋体"/>
          <w:color w:val="auto"/>
          <w:szCs w:val="21"/>
        </w:rPr>
      </w:pPr>
    </w:p>
    <w:p w14:paraId="53D7CF8C">
      <w:pPr>
        <w:rPr>
          <w:rFonts w:ascii="宋体" w:hAnsi="宋体" w:eastAsia="宋体" w:cs="宋体"/>
          <w:color w:val="auto"/>
          <w:szCs w:val="21"/>
        </w:rPr>
      </w:pPr>
    </w:p>
    <w:p w14:paraId="19421197">
      <w:pPr>
        <w:rPr>
          <w:rFonts w:ascii="宋体" w:hAnsi="宋体" w:eastAsia="宋体" w:cs="宋体"/>
          <w:color w:val="auto"/>
          <w:szCs w:val="21"/>
        </w:rPr>
      </w:pPr>
    </w:p>
    <w:p w14:paraId="16A99EA2">
      <w:pPr>
        <w:rPr>
          <w:rFonts w:ascii="宋体" w:hAnsi="宋体" w:eastAsia="宋体" w:cs="宋体"/>
          <w:color w:val="auto"/>
          <w:szCs w:val="21"/>
        </w:rPr>
      </w:pPr>
    </w:p>
    <w:p w14:paraId="043758FD">
      <w:pPr>
        <w:rPr>
          <w:rFonts w:ascii="宋体" w:hAnsi="宋体" w:eastAsia="宋体" w:cs="宋体"/>
          <w:color w:val="auto"/>
          <w:szCs w:val="21"/>
        </w:rPr>
      </w:pPr>
    </w:p>
    <w:p w14:paraId="5A5D94DC">
      <w:pPr>
        <w:widowControl/>
        <w:rPr>
          <w:rFonts w:ascii="宋体" w:hAnsi="宋体" w:eastAsia="宋体" w:cs="宋体"/>
          <w:color w:val="auto"/>
          <w:szCs w:val="21"/>
        </w:rPr>
      </w:pPr>
      <w:r>
        <w:rPr>
          <w:rFonts w:hint="eastAsia" w:ascii="宋体" w:hAnsi="宋体" w:eastAsia="宋体" w:cs="宋体"/>
          <w:color w:val="auto"/>
          <w:szCs w:val="21"/>
        </w:rPr>
        <w:br w:type="page"/>
      </w:r>
    </w:p>
    <w:p w14:paraId="5324A98B">
      <w:pPr>
        <w:rPr>
          <w:rFonts w:ascii="宋体" w:hAnsi="宋体" w:eastAsia="宋体" w:cs="宋体"/>
          <w:color w:val="auto"/>
          <w:szCs w:val="21"/>
        </w:rPr>
      </w:pPr>
      <w:r>
        <w:rPr>
          <w:rFonts w:hint="eastAsia" w:ascii="宋体" w:hAnsi="宋体" w:eastAsia="宋体" w:cs="宋体"/>
          <w:color w:val="auto"/>
          <w:szCs w:val="21"/>
        </w:rPr>
        <w:t>附件6：暂停派单通知书</w:t>
      </w:r>
    </w:p>
    <w:p w14:paraId="4089095F">
      <w:pPr>
        <w:widowControl/>
        <w:jc w:val="center"/>
        <w:rPr>
          <w:rFonts w:ascii="宋体" w:hAnsi="宋体" w:eastAsia="宋体" w:cs="宋体"/>
          <w:b/>
          <w:color w:val="auto"/>
          <w:szCs w:val="21"/>
        </w:rPr>
      </w:pPr>
      <w:r>
        <w:rPr>
          <w:rFonts w:hint="eastAsia" w:ascii="宋体" w:hAnsi="宋体" w:eastAsia="宋体" w:cs="宋体"/>
          <w:b/>
          <w:color w:val="auto"/>
          <w:szCs w:val="21"/>
        </w:rPr>
        <w:t>关于暂停XXXXX单位派单的通知书</w:t>
      </w:r>
    </w:p>
    <w:p w14:paraId="64394D1D">
      <w:pPr>
        <w:snapToGrid w:val="0"/>
        <w:spacing w:line="360" w:lineRule="auto"/>
        <w:contextualSpacing/>
        <w:jc w:val="right"/>
        <w:rPr>
          <w:rFonts w:ascii="宋体" w:hAnsi="宋体" w:eastAsia="宋体" w:cs="宋体"/>
          <w:color w:val="auto"/>
          <w:szCs w:val="21"/>
        </w:rPr>
      </w:pPr>
      <w:r>
        <w:rPr>
          <w:rFonts w:hint="eastAsia" w:ascii="宋体" w:hAnsi="宋体" w:eastAsia="宋体" w:cs="宋体"/>
          <w:color w:val="auto"/>
          <w:szCs w:val="21"/>
        </w:rPr>
        <w:t>【202X】暂停-XXX号</w:t>
      </w:r>
    </w:p>
    <w:p w14:paraId="055035F1">
      <w:pPr>
        <w:snapToGrid w:val="0"/>
        <w:spacing w:line="360" w:lineRule="auto"/>
        <w:contextualSpacing/>
        <w:rPr>
          <w:rFonts w:ascii="宋体" w:hAnsi="宋体" w:eastAsia="宋体" w:cs="宋体"/>
          <w:color w:val="auto"/>
          <w:szCs w:val="21"/>
        </w:rPr>
      </w:pPr>
      <w:r>
        <w:rPr>
          <w:rFonts w:hint="eastAsia" w:ascii="宋体" w:hAnsi="宋体" w:eastAsia="宋体" w:cs="宋体"/>
          <w:color w:val="auto"/>
          <w:szCs w:val="21"/>
        </w:rPr>
        <w:t>XXXXX（公司）：</w:t>
      </w:r>
    </w:p>
    <w:p w14:paraId="7132214F">
      <w:pPr>
        <w:snapToGrid w:val="0"/>
        <w:spacing w:line="360" w:lineRule="auto"/>
        <w:ind w:firstLine="640"/>
        <w:contextualSpacing/>
        <w:rPr>
          <w:rFonts w:ascii="宋体" w:hAnsi="宋体" w:eastAsia="宋体" w:cs="宋体"/>
          <w:color w:val="auto"/>
          <w:szCs w:val="21"/>
        </w:rPr>
      </w:pPr>
      <w:r>
        <w:rPr>
          <w:rFonts w:hint="eastAsia" w:ascii="宋体" w:hAnsi="宋体" w:eastAsia="宋体" w:cs="宋体"/>
          <w:color w:val="auto"/>
          <w:szCs w:val="21"/>
        </w:rPr>
        <w:t>你司于XXX年X月X日签订了《XX合同》（下称“框架合同”），成为东莞市水务集团管网有限公司机电设备维修供应商。</w:t>
      </w:r>
    </w:p>
    <w:p w14:paraId="2B34CDD5">
      <w:pPr>
        <w:snapToGrid w:val="0"/>
        <w:spacing w:line="360" w:lineRule="auto"/>
        <w:ind w:firstLine="640"/>
        <w:contextualSpacing/>
        <w:rPr>
          <w:rFonts w:ascii="宋体" w:hAnsi="宋体" w:eastAsia="宋体" w:cs="宋体"/>
          <w:color w:val="auto"/>
          <w:szCs w:val="21"/>
        </w:rPr>
      </w:pPr>
      <w:r>
        <w:rPr>
          <w:rFonts w:hint="eastAsia" w:ascii="宋体" w:hAnsi="宋体" w:eastAsia="宋体" w:cs="宋体"/>
          <w:color w:val="auto"/>
          <w:szCs w:val="21"/>
        </w:rPr>
        <w:t>鉴于你公司XX项目实施（或其他情况）过程中，出现以下情况：</w:t>
      </w:r>
    </w:p>
    <w:p w14:paraId="23C94138">
      <w:pPr>
        <w:snapToGrid w:val="0"/>
        <w:spacing w:line="360" w:lineRule="auto"/>
        <w:ind w:firstLine="640"/>
        <w:contextualSpacing/>
        <w:rPr>
          <w:rFonts w:ascii="宋体" w:hAnsi="宋体" w:eastAsia="宋体" w:cs="宋体"/>
          <w:color w:val="auto"/>
          <w:szCs w:val="21"/>
        </w:rPr>
      </w:pPr>
      <w:r>
        <w:rPr>
          <w:rFonts w:hint="eastAsia" w:ascii="宋体" w:hAnsi="宋体" w:eastAsia="宋体" w:cs="宋体"/>
          <w:color w:val="auto"/>
          <w:szCs w:val="21"/>
        </w:rPr>
        <w:t>1、……；2……</w:t>
      </w:r>
    </w:p>
    <w:p w14:paraId="7AD7B6D7">
      <w:pPr>
        <w:snapToGrid w:val="0"/>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上述情况违反合同条款第X款第X条及《东莞市水务集团管网有限公司机电设备维修供应商管理办法》款第X条规定，现对你司作出暂停派单X个月的处罚，（后续部分视情况填写）①后续视整改情况并在你司提出恢复派单申请后，并由我司作出评估，考虑是否恢复派单资格。如你司在X个月内未能完成整改的，我司有权中止你司服务资格。②并于XX年XX月XX日起恢复派单资格。</w:t>
      </w:r>
    </w:p>
    <w:p w14:paraId="408E4A78">
      <w:pPr>
        <w:snapToGrid w:val="0"/>
        <w:spacing w:line="360" w:lineRule="auto"/>
        <w:ind w:firstLine="642"/>
        <w:contextualSpacing/>
        <w:rPr>
          <w:rFonts w:ascii="宋体" w:hAnsi="宋体" w:eastAsia="宋体" w:cs="宋体"/>
          <w:color w:val="auto"/>
          <w:szCs w:val="21"/>
        </w:rPr>
      </w:pPr>
      <w:r>
        <w:rPr>
          <w:rFonts w:hint="eastAsia" w:ascii="宋体" w:hAnsi="宋体" w:eastAsia="宋体" w:cs="宋体"/>
          <w:color w:val="auto"/>
          <w:szCs w:val="21"/>
        </w:rPr>
        <w:t xml:space="preserve">特此通知。                    </w:t>
      </w:r>
    </w:p>
    <w:p w14:paraId="2DCBBAE2">
      <w:pPr>
        <w:snapToGrid w:val="0"/>
        <w:spacing w:line="360" w:lineRule="auto"/>
        <w:ind w:firstLine="2530" w:firstLineChars="1205"/>
        <w:contextualSpacing/>
        <w:jc w:val="right"/>
        <w:rPr>
          <w:rFonts w:ascii="宋体" w:hAnsi="宋体" w:eastAsia="宋体" w:cs="宋体"/>
          <w:color w:val="auto"/>
          <w:szCs w:val="21"/>
        </w:rPr>
      </w:pPr>
      <w:r>
        <w:rPr>
          <w:rFonts w:hint="eastAsia" w:ascii="宋体" w:hAnsi="宋体" w:eastAsia="宋体" w:cs="宋体"/>
          <w:color w:val="auto"/>
          <w:szCs w:val="21"/>
        </w:rPr>
        <w:t>东莞市水务集团管网有限公司</w:t>
      </w:r>
    </w:p>
    <w:p w14:paraId="7BCD290B">
      <w:pPr>
        <w:pStyle w:val="19"/>
        <w:adjustRightInd w:val="0"/>
        <w:snapToGrid w:val="0"/>
        <w:spacing w:line="360" w:lineRule="auto"/>
        <w:ind w:firstLine="2940" w:firstLineChars="1400"/>
        <w:contextualSpacing/>
        <w:jc w:val="right"/>
        <w:rPr>
          <w:rFonts w:ascii="宋体" w:hAnsi="宋体" w:eastAsia="宋体" w:cs="宋体"/>
          <w:color w:val="auto"/>
          <w:szCs w:val="21"/>
        </w:rPr>
      </w:pPr>
      <w:r>
        <w:rPr>
          <w:rFonts w:hint="eastAsia" w:ascii="宋体" w:hAnsi="宋体" w:eastAsia="宋体" w:cs="宋体"/>
          <w:color w:val="auto"/>
          <w:szCs w:val="21"/>
        </w:rPr>
        <w:t xml:space="preserve">202 年   月   日 </w:t>
      </w:r>
    </w:p>
    <w:p w14:paraId="08AC8D00">
      <w:pPr>
        <w:spacing w:line="360" w:lineRule="auto"/>
        <w:contextualSpacing/>
        <w:rPr>
          <w:rFonts w:ascii="宋体" w:hAnsi="宋体" w:eastAsia="宋体" w:cs="宋体"/>
          <w:color w:val="auto"/>
          <w:szCs w:val="21"/>
        </w:rPr>
      </w:pPr>
      <w:r>
        <w:rPr>
          <w:rFonts w:hint="eastAsia" w:ascii="宋体" w:hAnsi="宋体" w:eastAsia="宋体" w:cs="宋体"/>
          <w:color w:val="auto"/>
          <w:szCs w:val="21"/>
        </w:rPr>
        <w:t>XX公司对上述处罚无异议：（签字）</w:t>
      </w:r>
    </w:p>
    <w:p w14:paraId="5EA9F22B">
      <w:pPr>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                    日期：    </w:t>
      </w:r>
    </w:p>
    <w:p w14:paraId="38BC4C2A">
      <w:pPr>
        <w:rPr>
          <w:rFonts w:ascii="宋体" w:hAnsi="宋体" w:eastAsia="宋体" w:cs="宋体"/>
          <w:color w:val="auto"/>
          <w:szCs w:val="21"/>
        </w:rPr>
      </w:pPr>
    </w:p>
    <w:p w14:paraId="2AC2BA5B">
      <w:pPr>
        <w:rPr>
          <w:rFonts w:ascii="宋体" w:hAnsi="宋体" w:eastAsia="宋体" w:cs="宋体"/>
          <w:color w:val="auto"/>
          <w:szCs w:val="21"/>
        </w:rPr>
      </w:pPr>
    </w:p>
    <w:p w14:paraId="0B73F966">
      <w:pPr>
        <w:rPr>
          <w:rFonts w:ascii="宋体" w:hAnsi="宋体" w:eastAsia="宋体" w:cs="宋体"/>
          <w:color w:val="auto"/>
          <w:szCs w:val="21"/>
        </w:rPr>
      </w:pPr>
    </w:p>
    <w:p w14:paraId="7B336457">
      <w:pPr>
        <w:rPr>
          <w:rFonts w:ascii="宋体" w:hAnsi="宋体" w:eastAsia="宋体" w:cs="宋体"/>
          <w:color w:val="auto"/>
          <w:szCs w:val="21"/>
        </w:rPr>
      </w:pPr>
    </w:p>
    <w:p w14:paraId="7D9D56D6">
      <w:pPr>
        <w:rPr>
          <w:rFonts w:ascii="宋体" w:hAnsi="宋体" w:eastAsia="宋体" w:cs="宋体"/>
          <w:color w:val="auto"/>
          <w:szCs w:val="21"/>
        </w:rPr>
      </w:pPr>
    </w:p>
    <w:p w14:paraId="18194C0D">
      <w:pPr>
        <w:widowControl/>
        <w:rPr>
          <w:rFonts w:ascii="宋体" w:hAnsi="宋体" w:eastAsia="宋体" w:cs="宋体"/>
          <w:color w:val="auto"/>
          <w:szCs w:val="21"/>
        </w:rPr>
      </w:pPr>
      <w:r>
        <w:rPr>
          <w:rFonts w:hint="eastAsia" w:ascii="宋体" w:hAnsi="宋体" w:eastAsia="宋体" w:cs="宋体"/>
          <w:color w:val="auto"/>
          <w:szCs w:val="21"/>
        </w:rPr>
        <w:br w:type="page"/>
      </w:r>
    </w:p>
    <w:p w14:paraId="1D874F63">
      <w:pPr>
        <w:rPr>
          <w:rFonts w:ascii="宋体" w:hAnsi="宋体" w:eastAsia="宋体" w:cs="宋体"/>
          <w:color w:val="auto"/>
          <w:szCs w:val="21"/>
        </w:rPr>
      </w:pPr>
      <w:r>
        <w:rPr>
          <w:rFonts w:hint="eastAsia" w:ascii="宋体" w:hAnsi="宋体" w:eastAsia="宋体" w:cs="宋体"/>
          <w:color w:val="auto"/>
          <w:szCs w:val="21"/>
        </w:rPr>
        <w:t>附件7：服务单位违约行为登记表</w:t>
      </w:r>
    </w:p>
    <w:p w14:paraId="6AFD596F">
      <w:pPr>
        <w:rPr>
          <w:rFonts w:ascii="宋体" w:hAnsi="宋体" w:eastAsia="宋体" w:cs="宋体"/>
          <w:color w:val="auto"/>
          <w:szCs w:val="21"/>
        </w:rPr>
      </w:pPr>
    </w:p>
    <w:tbl>
      <w:tblPr>
        <w:tblStyle w:val="37"/>
        <w:tblW w:w="5000" w:type="pct"/>
        <w:tblInd w:w="0" w:type="dxa"/>
        <w:tblLayout w:type="autofit"/>
        <w:tblCellMar>
          <w:top w:w="0" w:type="dxa"/>
          <w:left w:w="108" w:type="dxa"/>
          <w:bottom w:w="0" w:type="dxa"/>
          <w:right w:w="108" w:type="dxa"/>
        </w:tblCellMar>
      </w:tblPr>
      <w:tblGrid>
        <w:gridCol w:w="635"/>
        <w:gridCol w:w="1054"/>
        <w:gridCol w:w="1054"/>
        <w:gridCol w:w="1054"/>
        <w:gridCol w:w="1054"/>
        <w:gridCol w:w="1054"/>
        <w:gridCol w:w="2146"/>
        <w:gridCol w:w="1683"/>
        <w:gridCol w:w="636"/>
      </w:tblGrid>
      <w:tr w14:paraId="4E09825C">
        <w:tblPrEx>
          <w:tblCellMar>
            <w:top w:w="0" w:type="dxa"/>
            <w:left w:w="108" w:type="dxa"/>
            <w:bottom w:w="0" w:type="dxa"/>
            <w:right w:w="108" w:type="dxa"/>
          </w:tblCellMar>
        </w:tblPrEx>
        <w:trPr>
          <w:trHeight w:val="739" w:hRule="atLeast"/>
        </w:trPr>
        <w:tc>
          <w:tcPr>
            <w:tcW w:w="5000" w:type="pct"/>
            <w:gridSpan w:val="9"/>
            <w:tcBorders>
              <w:top w:val="nil"/>
              <w:left w:val="nil"/>
              <w:bottom w:val="nil"/>
              <w:right w:val="nil"/>
            </w:tcBorders>
            <w:shd w:val="clear" w:color="auto" w:fill="auto"/>
            <w:noWrap/>
            <w:vAlign w:val="center"/>
          </w:tcPr>
          <w:p w14:paraId="145CFAAD">
            <w:pPr>
              <w:widowControl/>
              <w:spacing w:line="360" w:lineRule="auto"/>
              <w:contextualSpacing/>
              <w:jc w:val="center"/>
              <w:rPr>
                <w:rFonts w:ascii="宋体" w:hAnsi="宋体" w:eastAsia="宋体" w:cs="宋体"/>
                <w:color w:val="auto"/>
                <w:szCs w:val="21"/>
              </w:rPr>
            </w:pPr>
            <w:r>
              <w:rPr>
                <w:rFonts w:hint="eastAsia" w:ascii="宋体" w:hAnsi="宋体" w:eastAsia="宋体" w:cs="宋体"/>
                <w:b/>
                <w:color w:val="auto"/>
                <w:szCs w:val="21"/>
              </w:rPr>
              <w:t>施工单位违约行为登记表</w:t>
            </w:r>
          </w:p>
        </w:tc>
      </w:tr>
      <w:tr w14:paraId="513C5F31">
        <w:tblPrEx>
          <w:tblCellMar>
            <w:top w:w="0" w:type="dxa"/>
            <w:left w:w="108" w:type="dxa"/>
            <w:bottom w:w="0" w:type="dxa"/>
            <w:right w:w="108" w:type="dxa"/>
          </w:tblCellMar>
        </w:tblPrEx>
        <w:trPr>
          <w:trHeight w:val="379" w:hRule="atLeast"/>
        </w:trPr>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AD026">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2E701BA5">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单位名称</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1DE15A9E">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项目名称</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695E126C">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违约行为</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58F5ADD2">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违约时间</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641A4367">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处罚措施</w:t>
            </w:r>
          </w:p>
        </w:tc>
        <w:tc>
          <w:tcPr>
            <w:tcW w:w="1007" w:type="pct"/>
            <w:tcBorders>
              <w:top w:val="single" w:color="auto" w:sz="4" w:space="0"/>
              <w:left w:val="nil"/>
              <w:bottom w:val="single" w:color="auto" w:sz="4" w:space="0"/>
              <w:right w:val="single" w:color="auto" w:sz="4" w:space="0"/>
            </w:tcBorders>
            <w:shd w:val="clear" w:color="auto" w:fill="auto"/>
            <w:noWrap/>
            <w:vAlign w:val="center"/>
          </w:tcPr>
          <w:p w14:paraId="5E98B8C2">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处罚单号</w:t>
            </w:r>
          </w:p>
        </w:tc>
        <w:tc>
          <w:tcPr>
            <w:tcW w:w="793" w:type="pct"/>
            <w:tcBorders>
              <w:top w:val="single" w:color="auto" w:sz="4" w:space="0"/>
              <w:left w:val="nil"/>
              <w:bottom w:val="single" w:color="auto" w:sz="4" w:space="0"/>
              <w:right w:val="single" w:color="auto" w:sz="4" w:space="0"/>
            </w:tcBorders>
            <w:shd w:val="clear" w:color="auto" w:fill="auto"/>
            <w:noWrap/>
            <w:vAlign w:val="center"/>
          </w:tcPr>
          <w:p w14:paraId="23F4CB5C">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处罚金额（元）</w:t>
            </w:r>
          </w:p>
        </w:tc>
        <w:tc>
          <w:tcPr>
            <w:tcW w:w="309" w:type="pct"/>
            <w:tcBorders>
              <w:top w:val="single" w:color="auto" w:sz="4" w:space="0"/>
              <w:left w:val="nil"/>
              <w:bottom w:val="single" w:color="auto" w:sz="4" w:space="0"/>
              <w:right w:val="single" w:color="auto" w:sz="4" w:space="0"/>
            </w:tcBorders>
            <w:shd w:val="clear" w:color="auto" w:fill="auto"/>
            <w:noWrap/>
            <w:vAlign w:val="center"/>
          </w:tcPr>
          <w:p w14:paraId="012A5CF2">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备注</w:t>
            </w:r>
          </w:p>
        </w:tc>
      </w:tr>
      <w:tr w14:paraId="030279FC">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141CCC3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1</w:t>
            </w:r>
          </w:p>
        </w:tc>
        <w:tc>
          <w:tcPr>
            <w:tcW w:w="502" w:type="pct"/>
            <w:vMerge w:val="restart"/>
            <w:tcBorders>
              <w:top w:val="nil"/>
              <w:left w:val="single" w:color="auto" w:sz="4" w:space="0"/>
              <w:bottom w:val="single" w:color="000000" w:sz="4" w:space="0"/>
              <w:right w:val="single" w:color="auto" w:sz="4" w:space="0"/>
            </w:tcBorders>
            <w:shd w:val="clear" w:color="auto" w:fill="auto"/>
            <w:noWrap/>
            <w:vAlign w:val="center"/>
          </w:tcPr>
          <w:p w14:paraId="2FD44BF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XX公司</w:t>
            </w:r>
          </w:p>
        </w:tc>
        <w:tc>
          <w:tcPr>
            <w:tcW w:w="502" w:type="pct"/>
            <w:tcBorders>
              <w:top w:val="nil"/>
              <w:left w:val="nil"/>
              <w:bottom w:val="single" w:color="auto" w:sz="4" w:space="0"/>
              <w:right w:val="single" w:color="auto" w:sz="4" w:space="0"/>
            </w:tcBorders>
            <w:shd w:val="clear" w:color="auto" w:fill="auto"/>
            <w:noWrap/>
            <w:vAlign w:val="center"/>
          </w:tcPr>
          <w:p w14:paraId="7E738D6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XX工程</w:t>
            </w:r>
          </w:p>
        </w:tc>
        <w:tc>
          <w:tcPr>
            <w:tcW w:w="502" w:type="pct"/>
            <w:tcBorders>
              <w:top w:val="nil"/>
              <w:left w:val="nil"/>
              <w:bottom w:val="single" w:color="auto" w:sz="4" w:space="0"/>
              <w:right w:val="single" w:color="auto" w:sz="4" w:space="0"/>
            </w:tcBorders>
            <w:shd w:val="clear" w:color="auto" w:fill="auto"/>
            <w:noWrap/>
            <w:vAlign w:val="center"/>
          </w:tcPr>
          <w:p w14:paraId="3204DBF3">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XX</w:t>
            </w:r>
          </w:p>
        </w:tc>
        <w:tc>
          <w:tcPr>
            <w:tcW w:w="502" w:type="pct"/>
            <w:tcBorders>
              <w:top w:val="nil"/>
              <w:left w:val="nil"/>
              <w:bottom w:val="single" w:color="auto" w:sz="4" w:space="0"/>
              <w:right w:val="single" w:color="auto" w:sz="4" w:space="0"/>
            </w:tcBorders>
            <w:shd w:val="clear" w:color="auto" w:fill="auto"/>
            <w:noWrap/>
            <w:vAlign w:val="center"/>
          </w:tcPr>
          <w:p w14:paraId="7F76B4D7">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2022.7.1</w:t>
            </w:r>
          </w:p>
        </w:tc>
        <w:tc>
          <w:tcPr>
            <w:tcW w:w="502" w:type="pct"/>
            <w:tcBorders>
              <w:top w:val="nil"/>
              <w:left w:val="nil"/>
              <w:bottom w:val="single" w:color="auto" w:sz="4" w:space="0"/>
              <w:right w:val="single" w:color="auto" w:sz="4" w:space="0"/>
            </w:tcBorders>
            <w:shd w:val="clear" w:color="auto" w:fill="auto"/>
            <w:noWrap/>
            <w:vAlign w:val="center"/>
          </w:tcPr>
          <w:p w14:paraId="0804ABD2">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暂停派单</w:t>
            </w:r>
          </w:p>
        </w:tc>
        <w:tc>
          <w:tcPr>
            <w:tcW w:w="1007" w:type="pct"/>
            <w:tcBorders>
              <w:top w:val="nil"/>
              <w:left w:val="nil"/>
              <w:bottom w:val="single" w:color="auto" w:sz="4" w:space="0"/>
              <w:right w:val="single" w:color="auto" w:sz="4" w:space="0"/>
            </w:tcBorders>
            <w:shd w:val="clear" w:color="auto" w:fill="auto"/>
            <w:noWrap/>
            <w:vAlign w:val="center"/>
          </w:tcPr>
          <w:p w14:paraId="364059C0">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【202X】暂停-XXX号</w:t>
            </w:r>
          </w:p>
        </w:tc>
        <w:tc>
          <w:tcPr>
            <w:tcW w:w="793" w:type="pct"/>
            <w:tcBorders>
              <w:top w:val="nil"/>
              <w:left w:val="nil"/>
              <w:bottom w:val="single" w:color="auto" w:sz="4" w:space="0"/>
              <w:right w:val="single" w:color="auto" w:sz="4" w:space="0"/>
            </w:tcBorders>
            <w:shd w:val="clear" w:color="auto" w:fill="auto"/>
            <w:noWrap/>
            <w:vAlign w:val="center"/>
          </w:tcPr>
          <w:p w14:paraId="5DBFF902">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309" w:type="pct"/>
            <w:tcBorders>
              <w:top w:val="nil"/>
              <w:left w:val="nil"/>
              <w:bottom w:val="single" w:color="auto" w:sz="4" w:space="0"/>
              <w:right w:val="single" w:color="auto" w:sz="4" w:space="0"/>
            </w:tcBorders>
            <w:shd w:val="clear" w:color="auto" w:fill="auto"/>
            <w:noWrap/>
            <w:vAlign w:val="center"/>
          </w:tcPr>
          <w:p w14:paraId="28C0AEE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310ED58F">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110E7684">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w:t>
            </w:r>
          </w:p>
        </w:tc>
        <w:tc>
          <w:tcPr>
            <w:tcW w:w="502" w:type="pct"/>
            <w:vMerge w:val="continue"/>
            <w:tcBorders>
              <w:top w:val="nil"/>
              <w:left w:val="single" w:color="auto" w:sz="4" w:space="0"/>
              <w:bottom w:val="single" w:color="000000" w:sz="4" w:space="0"/>
              <w:right w:val="single" w:color="auto" w:sz="4" w:space="0"/>
            </w:tcBorders>
            <w:vAlign w:val="center"/>
          </w:tcPr>
          <w:p w14:paraId="72E561BF">
            <w:pPr>
              <w:widowControl/>
              <w:spacing w:line="360" w:lineRule="auto"/>
              <w:contextualSpacing/>
              <w:rPr>
                <w:rFonts w:ascii="宋体" w:hAnsi="宋体" w:eastAsia="宋体" w:cs="宋体"/>
                <w:color w:val="auto"/>
                <w:szCs w:val="21"/>
              </w:rPr>
            </w:pPr>
          </w:p>
        </w:tc>
        <w:tc>
          <w:tcPr>
            <w:tcW w:w="502" w:type="pct"/>
            <w:tcBorders>
              <w:top w:val="nil"/>
              <w:left w:val="nil"/>
              <w:bottom w:val="single" w:color="auto" w:sz="4" w:space="0"/>
              <w:right w:val="single" w:color="auto" w:sz="4" w:space="0"/>
            </w:tcBorders>
            <w:shd w:val="clear" w:color="auto" w:fill="auto"/>
            <w:noWrap/>
            <w:vAlign w:val="center"/>
          </w:tcPr>
          <w:p w14:paraId="64E3CB47">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XX工程</w:t>
            </w:r>
          </w:p>
        </w:tc>
        <w:tc>
          <w:tcPr>
            <w:tcW w:w="502" w:type="pct"/>
            <w:tcBorders>
              <w:top w:val="nil"/>
              <w:left w:val="nil"/>
              <w:bottom w:val="single" w:color="auto" w:sz="4" w:space="0"/>
              <w:right w:val="single" w:color="auto" w:sz="4" w:space="0"/>
            </w:tcBorders>
            <w:shd w:val="clear" w:color="auto" w:fill="auto"/>
            <w:noWrap/>
            <w:vAlign w:val="center"/>
          </w:tcPr>
          <w:p w14:paraId="11FA5C6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XX</w:t>
            </w:r>
          </w:p>
        </w:tc>
        <w:tc>
          <w:tcPr>
            <w:tcW w:w="502" w:type="pct"/>
            <w:tcBorders>
              <w:top w:val="nil"/>
              <w:left w:val="nil"/>
              <w:bottom w:val="single" w:color="auto" w:sz="4" w:space="0"/>
              <w:right w:val="single" w:color="auto" w:sz="4" w:space="0"/>
            </w:tcBorders>
            <w:shd w:val="clear" w:color="auto" w:fill="auto"/>
            <w:noWrap/>
            <w:vAlign w:val="center"/>
          </w:tcPr>
          <w:p w14:paraId="4CB7ADB0">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2022.7.1</w:t>
            </w:r>
          </w:p>
        </w:tc>
        <w:tc>
          <w:tcPr>
            <w:tcW w:w="502" w:type="pct"/>
            <w:tcBorders>
              <w:top w:val="nil"/>
              <w:left w:val="nil"/>
              <w:bottom w:val="single" w:color="auto" w:sz="4" w:space="0"/>
              <w:right w:val="single" w:color="auto" w:sz="4" w:space="0"/>
            </w:tcBorders>
            <w:shd w:val="clear" w:color="auto" w:fill="auto"/>
            <w:noWrap/>
            <w:vAlign w:val="center"/>
          </w:tcPr>
          <w:p w14:paraId="3D8F23B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罚违约金</w:t>
            </w:r>
          </w:p>
        </w:tc>
        <w:tc>
          <w:tcPr>
            <w:tcW w:w="1007" w:type="pct"/>
            <w:tcBorders>
              <w:top w:val="nil"/>
              <w:left w:val="nil"/>
              <w:bottom w:val="single" w:color="auto" w:sz="4" w:space="0"/>
              <w:right w:val="single" w:color="auto" w:sz="4" w:space="0"/>
            </w:tcBorders>
            <w:shd w:val="clear" w:color="auto" w:fill="auto"/>
            <w:noWrap/>
            <w:vAlign w:val="center"/>
          </w:tcPr>
          <w:p w14:paraId="3759D0BD">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【202X】处罚-XXX号</w:t>
            </w:r>
          </w:p>
        </w:tc>
        <w:tc>
          <w:tcPr>
            <w:tcW w:w="793" w:type="pct"/>
            <w:tcBorders>
              <w:top w:val="nil"/>
              <w:left w:val="nil"/>
              <w:bottom w:val="single" w:color="auto" w:sz="4" w:space="0"/>
              <w:right w:val="single" w:color="auto" w:sz="4" w:space="0"/>
            </w:tcBorders>
            <w:shd w:val="clear" w:color="auto" w:fill="auto"/>
            <w:noWrap/>
            <w:vAlign w:val="center"/>
          </w:tcPr>
          <w:p w14:paraId="0BA9B16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2000</w:t>
            </w:r>
          </w:p>
        </w:tc>
        <w:tc>
          <w:tcPr>
            <w:tcW w:w="309" w:type="pct"/>
            <w:tcBorders>
              <w:top w:val="nil"/>
              <w:left w:val="nil"/>
              <w:bottom w:val="single" w:color="auto" w:sz="4" w:space="0"/>
              <w:right w:val="single" w:color="auto" w:sz="4" w:space="0"/>
            </w:tcBorders>
            <w:shd w:val="clear" w:color="auto" w:fill="auto"/>
            <w:noWrap/>
            <w:vAlign w:val="center"/>
          </w:tcPr>
          <w:p w14:paraId="0807DF5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3884D438">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21238C1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3</w:t>
            </w:r>
          </w:p>
        </w:tc>
        <w:tc>
          <w:tcPr>
            <w:tcW w:w="502" w:type="pct"/>
            <w:vMerge w:val="continue"/>
            <w:tcBorders>
              <w:top w:val="nil"/>
              <w:left w:val="single" w:color="auto" w:sz="4" w:space="0"/>
              <w:bottom w:val="single" w:color="000000" w:sz="4" w:space="0"/>
              <w:right w:val="single" w:color="auto" w:sz="4" w:space="0"/>
            </w:tcBorders>
            <w:vAlign w:val="center"/>
          </w:tcPr>
          <w:p w14:paraId="6BC23096">
            <w:pPr>
              <w:widowControl/>
              <w:spacing w:line="360" w:lineRule="auto"/>
              <w:contextualSpacing/>
              <w:rPr>
                <w:rFonts w:ascii="宋体" w:hAnsi="宋体" w:eastAsia="宋体" w:cs="宋体"/>
                <w:color w:val="auto"/>
                <w:szCs w:val="21"/>
              </w:rPr>
            </w:pPr>
          </w:p>
        </w:tc>
        <w:tc>
          <w:tcPr>
            <w:tcW w:w="502" w:type="pct"/>
            <w:tcBorders>
              <w:top w:val="nil"/>
              <w:left w:val="nil"/>
              <w:bottom w:val="single" w:color="auto" w:sz="4" w:space="0"/>
              <w:right w:val="single" w:color="auto" w:sz="4" w:space="0"/>
            </w:tcBorders>
            <w:shd w:val="clear" w:color="auto" w:fill="auto"/>
            <w:noWrap/>
            <w:vAlign w:val="center"/>
          </w:tcPr>
          <w:p w14:paraId="13CEC95B">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XX工程</w:t>
            </w:r>
          </w:p>
        </w:tc>
        <w:tc>
          <w:tcPr>
            <w:tcW w:w="502" w:type="pct"/>
            <w:tcBorders>
              <w:top w:val="nil"/>
              <w:left w:val="nil"/>
              <w:bottom w:val="single" w:color="auto" w:sz="4" w:space="0"/>
              <w:right w:val="single" w:color="auto" w:sz="4" w:space="0"/>
            </w:tcBorders>
            <w:shd w:val="clear" w:color="auto" w:fill="auto"/>
            <w:noWrap/>
            <w:vAlign w:val="center"/>
          </w:tcPr>
          <w:p w14:paraId="7F0F5A0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0AFDEB0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4A2E4AC7">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07" w:type="pct"/>
            <w:tcBorders>
              <w:top w:val="nil"/>
              <w:left w:val="nil"/>
              <w:bottom w:val="single" w:color="auto" w:sz="4" w:space="0"/>
              <w:right w:val="single" w:color="auto" w:sz="4" w:space="0"/>
            </w:tcBorders>
            <w:shd w:val="clear" w:color="auto" w:fill="auto"/>
            <w:noWrap/>
            <w:vAlign w:val="center"/>
          </w:tcPr>
          <w:p w14:paraId="6CF788F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793" w:type="pct"/>
            <w:tcBorders>
              <w:top w:val="nil"/>
              <w:left w:val="nil"/>
              <w:bottom w:val="single" w:color="auto" w:sz="4" w:space="0"/>
              <w:right w:val="single" w:color="auto" w:sz="4" w:space="0"/>
            </w:tcBorders>
            <w:shd w:val="clear" w:color="auto" w:fill="auto"/>
            <w:noWrap/>
            <w:vAlign w:val="center"/>
          </w:tcPr>
          <w:p w14:paraId="6F4E28F2">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309" w:type="pct"/>
            <w:tcBorders>
              <w:top w:val="nil"/>
              <w:left w:val="nil"/>
              <w:bottom w:val="single" w:color="auto" w:sz="4" w:space="0"/>
              <w:right w:val="single" w:color="auto" w:sz="4" w:space="0"/>
            </w:tcBorders>
            <w:shd w:val="clear" w:color="auto" w:fill="auto"/>
            <w:noWrap/>
            <w:vAlign w:val="center"/>
          </w:tcPr>
          <w:p w14:paraId="2485B53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F6D539B">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5ACE43C1">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4</w:t>
            </w:r>
          </w:p>
        </w:tc>
        <w:tc>
          <w:tcPr>
            <w:tcW w:w="502" w:type="pct"/>
            <w:tcBorders>
              <w:top w:val="nil"/>
              <w:left w:val="nil"/>
              <w:bottom w:val="single" w:color="auto" w:sz="4" w:space="0"/>
              <w:right w:val="single" w:color="auto" w:sz="4" w:space="0"/>
            </w:tcBorders>
            <w:shd w:val="clear" w:color="auto" w:fill="auto"/>
            <w:noWrap/>
            <w:vAlign w:val="center"/>
          </w:tcPr>
          <w:p w14:paraId="360A340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407AE67B">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45E8D2C7">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0FEAEAD2">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423F3B8D">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07" w:type="pct"/>
            <w:tcBorders>
              <w:top w:val="nil"/>
              <w:left w:val="nil"/>
              <w:bottom w:val="single" w:color="auto" w:sz="4" w:space="0"/>
              <w:right w:val="single" w:color="auto" w:sz="4" w:space="0"/>
            </w:tcBorders>
            <w:shd w:val="clear" w:color="auto" w:fill="auto"/>
            <w:noWrap/>
            <w:vAlign w:val="center"/>
          </w:tcPr>
          <w:p w14:paraId="0EDC7215">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793" w:type="pct"/>
            <w:tcBorders>
              <w:top w:val="nil"/>
              <w:left w:val="nil"/>
              <w:bottom w:val="single" w:color="auto" w:sz="4" w:space="0"/>
              <w:right w:val="single" w:color="auto" w:sz="4" w:space="0"/>
            </w:tcBorders>
            <w:shd w:val="clear" w:color="auto" w:fill="auto"/>
            <w:noWrap/>
            <w:vAlign w:val="center"/>
          </w:tcPr>
          <w:p w14:paraId="3A114BA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309" w:type="pct"/>
            <w:tcBorders>
              <w:top w:val="nil"/>
              <w:left w:val="nil"/>
              <w:bottom w:val="single" w:color="auto" w:sz="4" w:space="0"/>
              <w:right w:val="single" w:color="auto" w:sz="4" w:space="0"/>
            </w:tcBorders>
            <w:shd w:val="clear" w:color="auto" w:fill="auto"/>
            <w:noWrap/>
            <w:vAlign w:val="center"/>
          </w:tcPr>
          <w:p w14:paraId="448FE5B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286F884C">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002D5A3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5</w:t>
            </w:r>
          </w:p>
        </w:tc>
        <w:tc>
          <w:tcPr>
            <w:tcW w:w="502" w:type="pct"/>
            <w:tcBorders>
              <w:top w:val="nil"/>
              <w:left w:val="nil"/>
              <w:bottom w:val="single" w:color="auto" w:sz="4" w:space="0"/>
              <w:right w:val="single" w:color="auto" w:sz="4" w:space="0"/>
            </w:tcBorders>
            <w:shd w:val="clear" w:color="auto" w:fill="auto"/>
            <w:noWrap/>
            <w:vAlign w:val="center"/>
          </w:tcPr>
          <w:p w14:paraId="66EBDCCE">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0182B457">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0E4D25E1">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40B2EC0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2B158BDE">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07" w:type="pct"/>
            <w:tcBorders>
              <w:top w:val="nil"/>
              <w:left w:val="nil"/>
              <w:bottom w:val="single" w:color="auto" w:sz="4" w:space="0"/>
              <w:right w:val="single" w:color="auto" w:sz="4" w:space="0"/>
            </w:tcBorders>
            <w:shd w:val="clear" w:color="auto" w:fill="auto"/>
            <w:noWrap/>
            <w:vAlign w:val="center"/>
          </w:tcPr>
          <w:p w14:paraId="74A3922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793" w:type="pct"/>
            <w:tcBorders>
              <w:top w:val="nil"/>
              <w:left w:val="nil"/>
              <w:bottom w:val="single" w:color="auto" w:sz="4" w:space="0"/>
              <w:right w:val="single" w:color="auto" w:sz="4" w:space="0"/>
            </w:tcBorders>
            <w:shd w:val="clear" w:color="auto" w:fill="auto"/>
            <w:noWrap/>
            <w:vAlign w:val="center"/>
          </w:tcPr>
          <w:p w14:paraId="422B899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309" w:type="pct"/>
            <w:tcBorders>
              <w:top w:val="nil"/>
              <w:left w:val="nil"/>
              <w:bottom w:val="single" w:color="auto" w:sz="4" w:space="0"/>
              <w:right w:val="single" w:color="auto" w:sz="4" w:space="0"/>
            </w:tcBorders>
            <w:shd w:val="clear" w:color="auto" w:fill="auto"/>
            <w:noWrap/>
            <w:vAlign w:val="center"/>
          </w:tcPr>
          <w:p w14:paraId="1B4B079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ADF989F">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59CC8DEB">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6</w:t>
            </w:r>
          </w:p>
        </w:tc>
        <w:tc>
          <w:tcPr>
            <w:tcW w:w="502" w:type="pct"/>
            <w:tcBorders>
              <w:top w:val="nil"/>
              <w:left w:val="nil"/>
              <w:bottom w:val="single" w:color="auto" w:sz="4" w:space="0"/>
              <w:right w:val="single" w:color="auto" w:sz="4" w:space="0"/>
            </w:tcBorders>
            <w:shd w:val="clear" w:color="auto" w:fill="auto"/>
            <w:noWrap/>
            <w:vAlign w:val="center"/>
          </w:tcPr>
          <w:p w14:paraId="176D670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5B17797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2E9CEF2E">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55907CB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230D83D9">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07" w:type="pct"/>
            <w:tcBorders>
              <w:top w:val="nil"/>
              <w:left w:val="nil"/>
              <w:bottom w:val="single" w:color="auto" w:sz="4" w:space="0"/>
              <w:right w:val="single" w:color="auto" w:sz="4" w:space="0"/>
            </w:tcBorders>
            <w:shd w:val="clear" w:color="auto" w:fill="auto"/>
            <w:noWrap/>
            <w:vAlign w:val="center"/>
          </w:tcPr>
          <w:p w14:paraId="5887EFF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793" w:type="pct"/>
            <w:tcBorders>
              <w:top w:val="nil"/>
              <w:left w:val="nil"/>
              <w:bottom w:val="single" w:color="auto" w:sz="4" w:space="0"/>
              <w:right w:val="single" w:color="auto" w:sz="4" w:space="0"/>
            </w:tcBorders>
            <w:shd w:val="clear" w:color="auto" w:fill="auto"/>
            <w:noWrap/>
            <w:vAlign w:val="center"/>
          </w:tcPr>
          <w:p w14:paraId="720E22FB">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309" w:type="pct"/>
            <w:tcBorders>
              <w:top w:val="nil"/>
              <w:left w:val="nil"/>
              <w:bottom w:val="single" w:color="auto" w:sz="4" w:space="0"/>
              <w:right w:val="single" w:color="auto" w:sz="4" w:space="0"/>
            </w:tcBorders>
            <w:shd w:val="clear" w:color="auto" w:fill="auto"/>
            <w:noWrap/>
            <w:vAlign w:val="center"/>
          </w:tcPr>
          <w:p w14:paraId="2360FD3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6F56A051">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4EEF03F2">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7</w:t>
            </w:r>
          </w:p>
        </w:tc>
        <w:tc>
          <w:tcPr>
            <w:tcW w:w="502" w:type="pct"/>
            <w:tcBorders>
              <w:top w:val="nil"/>
              <w:left w:val="nil"/>
              <w:bottom w:val="single" w:color="auto" w:sz="4" w:space="0"/>
              <w:right w:val="single" w:color="auto" w:sz="4" w:space="0"/>
            </w:tcBorders>
            <w:shd w:val="clear" w:color="auto" w:fill="auto"/>
            <w:noWrap/>
            <w:vAlign w:val="center"/>
          </w:tcPr>
          <w:p w14:paraId="4277423E">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74350A81">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31E0E9BB">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1C736FF2">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139A558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07" w:type="pct"/>
            <w:tcBorders>
              <w:top w:val="nil"/>
              <w:left w:val="nil"/>
              <w:bottom w:val="single" w:color="auto" w:sz="4" w:space="0"/>
              <w:right w:val="single" w:color="auto" w:sz="4" w:space="0"/>
            </w:tcBorders>
            <w:shd w:val="clear" w:color="auto" w:fill="auto"/>
            <w:noWrap/>
            <w:vAlign w:val="center"/>
          </w:tcPr>
          <w:p w14:paraId="22D0FCB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793" w:type="pct"/>
            <w:tcBorders>
              <w:top w:val="nil"/>
              <w:left w:val="nil"/>
              <w:bottom w:val="single" w:color="auto" w:sz="4" w:space="0"/>
              <w:right w:val="single" w:color="auto" w:sz="4" w:space="0"/>
            </w:tcBorders>
            <w:shd w:val="clear" w:color="auto" w:fill="auto"/>
            <w:noWrap/>
            <w:vAlign w:val="center"/>
          </w:tcPr>
          <w:p w14:paraId="467C6B19">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309" w:type="pct"/>
            <w:tcBorders>
              <w:top w:val="nil"/>
              <w:left w:val="nil"/>
              <w:bottom w:val="single" w:color="auto" w:sz="4" w:space="0"/>
              <w:right w:val="single" w:color="auto" w:sz="4" w:space="0"/>
            </w:tcBorders>
            <w:shd w:val="clear" w:color="auto" w:fill="auto"/>
            <w:noWrap/>
            <w:vAlign w:val="center"/>
          </w:tcPr>
          <w:p w14:paraId="2E257DC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CA3473A">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695134A4">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8</w:t>
            </w:r>
          </w:p>
        </w:tc>
        <w:tc>
          <w:tcPr>
            <w:tcW w:w="502" w:type="pct"/>
            <w:tcBorders>
              <w:top w:val="nil"/>
              <w:left w:val="nil"/>
              <w:bottom w:val="single" w:color="auto" w:sz="4" w:space="0"/>
              <w:right w:val="single" w:color="auto" w:sz="4" w:space="0"/>
            </w:tcBorders>
            <w:shd w:val="clear" w:color="auto" w:fill="auto"/>
            <w:noWrap/>
            <w:vAlign w:val="center"/>
          </w:tcPr>
          <w:p w14:paraId="6B5D6319">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78AFA905">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05F4173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002C1A5D">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36FC12C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07" w:type="pct"/>
            <w:tcBorders>
              <w:top w:val="nil"/>
              <w:left w:val="nil"/>
              <w:bottom w:val="single" w:color="auto" w:sz="4" w:space="0"/>
              <w:right w:val="single" w:color="auto" w:sz="4" w:space="0"/>
            </w:tcBorders>
            <w:shd w:val="clear" w:color="auto" w:fill="auto"/>
            <w:noWrap/>
            <w:vAlign w:val="center"/>
          </w:tcPr>
          <w:p w14:paraId="7F69A147">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793" w:type="pct"/>
            <w:tcBorders>
              <w:top w:val="nil"/>
              <w:left w:val="nil"/>
              <w:bottom w:val="single" w:color="auto" w:sz="4" w:space="0"/>
              <w:right w:val="single" w:color="auto" w:sz="4" w:space="0"/>
            </w:tcBorders>
            <w:shd w:val="clear" w:color="auto" w:fill="auto"/>
            <w:noWrap/>
            <w:vAlign w:val="center"/>
          </w:tcPr>
          <w:p w14:paraId="125D1D7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309" w:type="pct"/>
            <w:tcBorders>
              <w:top w:val="nil"/>
              <w:left w:val="nil"/>
              <w:bottom w:val="single" w:color="auto" w:sz="4" w:space="0"/>
              <w:right w:val="single" w:color="auto" w:sz="4" w:space="0"/>
            </w:tcBorders>
            <w:shd w:val="clear" w:color="auto" w:fill="auto"/>
            <w:noWrap/>
            <w:vAlign w:val="center"/>
          </w:tcPr>
          <w:p w14:paraId="19408E6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62437B7C">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7EF05F0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9</w:t>
            </w:r>
          </w:p>
        </w:tc>
        <w:tc>
          <w:tcPr>
            <w:tcW w:w="502" w:type="pct"/>
            <w:tcBorders>
              <w:top w:val="nil"/>
              <w:left w:val="nil"/>
              <w:bottom w:val="single" w:color="auto" w:sz="4" w:space="0"/>
              <w:right w:val="single" w:color="auto" w:sz="4" w:space="0"/>
            </w:tcBorders>
            <w:shd w:val="clear" w:color="auto" w:fill="auto"/>
            <w:noWrap/>
            <w:vAlign w:val="center"/>
          </w:tcPr>
          <w:p w14:paraId="667B4D89">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235A7C7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616629E3">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2761D3F1">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6F0C7C4B">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07" w:type="pct"/>
            <w:tcBorders>
              <w:top w:val="nil"/>
              <w:left w:val="nil"/>
              <w:bottom w:val="single" w:color="auto" w:sz="4" w:space="0"/>
              <w:right w:val="single" w:color="auto" w:sz="4" w:space="0"/>
            </w:tcBorders>
            <w:shd w:val="clear" w:color="auto" w:fill="auto"/>
            <w:noWrap/>
            <w:vAlign w:val="center"/>
          </w:tcPr>
          <w:p w14:paraId="4D094ED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793" w:type="pct"/>
            <w:tcBorders>
              <w:top w:val="nil"/>
              <w:left w:val="nil"/>
              <w:bottom w:val="single" w:color="auto" w:sz="4" w:space="0"/>
              <w:right w:val="single" w:color="auto" w:sz="4" w:space="0"/>
            </w:tcBorders>
            <w:shd w:val="clear" w:color="auto" w:fill="auto"/>
            <w:noWrap/>
            <w:vAlign w:val="center"/>
          </w:tcPr>
          <w:p w14:paraId="7922893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309" w:type="pct"/>
            <w:tcBorders>
              <w:top w:val="nil"/>
              <w:left w:val="nil"/>
              <w:bottom w:val="single" w:color="auto" w:sz="4" w:space="0"/>
              <w:right w:val="single" w:color="auto" w:sz="4" w:space="0"/>
            </w:tcBorders>
            <w:shd w:val="clear" w:color="auto" w:fill="auto"/>
            <w:noWrap/>
            <w:vAlign w:val="center"/>
          </w:tcPr>
          <w:p w14:paraId="3CF6C72A">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2A6F1BEF">
        <w:tblPrEx>
          <w:tblCellMar>
            <w:top w:w="0" w:type="dxa"/>
            <w:left w:w="108" w:type="dxa"/>
            <w:bottom w:w="0" w:type="dxa"/>
            <w:right w:w="108" w:type="dxa"/>
          </w:tblCellMar>
        </w:tblPrEx>
        <w:trPr>
          <w:trHeight w:val="27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14:paraId="51E52D1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5FFFE4E2">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76FC92E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529CC232">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62D2D200">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502" w:type="pct"/>
            <w:tcBorders>
              <w:top w:val="nil"/>
              <w:left w:val="nil"/>
              <w:bottom w:val="single" w:color="auto" w:sz="4" w:space="0"/>
              <w:right w:val="single" w:color="auto" w:sz="4" w:space="0"/>
            </w:tcBorders>
            <w:shd w:val="clear" w:color="auto" w:fill="auto"/>
            <w:noWrap/>
            <w:vAlign w:val="center"/>
          </w:tcPr>
          <w:p w14:paraId="4CCF4209">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07" w:type="pct"/>
            <w:tcBorders>
              <w:top w:val="nil"/>
              <w:left w:val="nil"/>
              <w:bottom w:val="single" w:color="auto" w:sz="4" w:space="0"/>
              <w:right w:val="single" w:color="auto" w:sz="4" w:space="0"/>
            </w:tcBorders>
            <w:shd w:val="clear" w:color="auto" w:fill="auto"/>
            <w:noWrap/>
            <w:vAlign w:val="center"/>
          </w:tcPr>
          <w:p w14:paraId="46252CA9">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793" w:type="pct"/>
            <w:tcBorders>
              <w:top w:val="nil"/>
              <w:left w:val="nil"/>
              <w:bottom w:val="single" w:color="auto" w:sz="4" w:space="0"/>
              <w:right w:val="single" w:color="auto" w:sz="4" w:space="0"/>
            </w:tcBorders>
            <w:shd w:val="clear" w:color="auto" w:fill="auto"/>
            <w:noWrap/>
            <w:vAlign w:val="center"/>
          </w:tcPr>
          <w:p w14:paraId="1B2F1D9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309" w:type="pct"/>
            <w:tcBorders>
              <w:top w:val="nil"/>
              <w:left w:val="nil"/>
              <w:bottom w:val="single" w:color="auto" w:sz="4" w:space="0"/>
              <w:right w:val="single" w:color="auto" w:sz="4" w:space="0"/>
            </w:tcBorders>
            <w:shd w:val="clear" w:color="auto" w:fill="auto"/>
            <w:noWrap/>
            <w:vAlign w:val="center"/>
          </w:tcPr>
          <w:p w14:paraId="7990288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bl>
    <w:p w14:paraId="038F5A7F">
      <w:pPr>
        <w:rPr>
          <w:rFonts w:ascii="宋体" w:hAnsi="宋体" w:eastAsia="宋体" w:cs="宋体"/>
          <w:color w:val="auto"/>
          <w:szCs w:val="21"/>
        </w:rPr>
      </w:pPr>
    </w:p>
    <w:p w14:paraId="2D8F763B">
      <w:pPr>
        <w:rPr>
          <w:rFonts w:ascii="宋体" w:hAnsi="宋体" w:eastAsia="宋体" w:cs="宋体"/>
          <w:color w:val="auto"/>
          <w:szCs w:val="21"/>
        </w:rPr>
      </w:pPr>
    </w:p>
    <w:p w14:paraId="73B782D5">
      <w:pPr>
        <w:rPr>
          <w:rFonts w:ascii="宋体" w:hAnsi="宋体" w:eastAsia="宋体" w:cs="宋体"/>
          <w:color w:val="auto"/>
          <w:szCs w:val="21"/>
        </w:rPr>
      </w:pPr>
    </w:p>
    <w:p w14:paraId="62231791">
      <w:pPr>
        <w:rPr>
          <w:rFonts w:ascii="宋体" w:hAnsi="宋体" w:eastAsia="宋体" w:cs="宋体"/>
          <w:color w:val="auto"/>
          <w:szCs w:val="21"/>
        </w:rPr>
      </w:pPr>
    </w:p>
    <w:p w14:paraId="774C0EFB">
      <w:pPr>
        <w:rPr>
          <w:rFonts w:ascii="宋体" w:hAnsi="宋体" w:eastAsia="宋体" w:cs="宋体"/>
          <w:color w:val="auto"/>
          <w:szCs w:val="21"/>
        </w:rPr>
      </w:pPr>
    </w:p>
    <w:p w14:paraId="3BE7B64F">
      <w:pPr>
        <w:widowControl/>
        <w:rPr>
          <w:rFonts w:ascii="宋体" w:hAnsi="宋体" w:eastAsia="宋体" w:cs="宋体"/>
          <w:color w:val="auto"/>
          <w:szCs w:val="21"/>
        </w:rPr>
      </w:pPr>
      <w:r>
        <w:rPr>
          <w:rFonts w:hint="eastAsia" w:ascii="宋体" w:hAnsi="宋体" w:eastAsia="宋体" w:cs="宋体"/>
          <w:color w:val="auto"/>
          <w:szCs w:val="21"/>
        </w:rPr>
        <w:br w:type="page"/>
      </w:r>
    </w:p>
    <w:p w14:paraId="4349C9BE">
      <w:pPr>
        <w:spacing w:line="360" w:lineRule="auto"/>
        <w:contextualSpacing/>
        <w:rPr>
          <w:rFonts w:ascii="宋体" w:hAnsi="宋体" w:eastAsia="宋体" w:cs="宋体"/>
          <w:color w:val="auto"/>
          <w:szCs w:val="21"/>
        </w:rPr>
      </w:pPr>
      <w:r>
        <w:rPr>
          <w:rFonts w:hint="eastAsia" w:ascii="宋体" w:hAnsi="宋体" w:eastAsia="宋体" w:cs="宋体"/>
          <w:color w:val="auto"/>
          <w:szCs w:val="21"/>
        </w:rPr>
        <w:t>附件8：机电设备维修供应商季度考核评分表</w:t>
      </w:r>
    </w:p>
    <w:p w14:paraId="00CD5E16">
      <w:pPr>
        <w:spacing w:line="360" w:lineRule="auto"/>
        <w:contextualSpacing/>
        <w:rPr>
          <w:rFonts w:ascii="宋体" w:hAnsi="宋体" w:eastAsia="宋体" w:cs="宋体"/>
          <w:color w:val="auto"/>
          <w:szCs w:val="21"/>
        </w:rPr>
      </w:pPr>
      <w:r>
        <w:rPr>
          <w:rFonts w:hint="eastAsia" w:ascii="宋体" w:hAnsi="宋体" w:eastAsia="宋体" w:cs="宋体"/>
          <w:color w:val="auto"/>
          <w:szCs w:val="21"/>
        </w:rPr>
        <w:t>附件8-1：机电设备维修供应商季度考核评分表（分公司）</w:t>
      </w:r>
    </w:p>
    <w:tbl>
      <w:tblPr>
        <w:tblStyle w:val="37"/>
        <w:tblW w:w="5000" w:type="pct"/>
        <w:tblInd w:w="0" w:type="dxa"/>
        <w:tblLayout w:type="autofit"/>
        <w:tblCellMar>
          <w:top w:w="0" w:type="dxa"/>
          <w:left w:w="108" w:type="dxa"/>
          <w:bottom w:w="0" w:type="dxa"/>
          <w:right w:w="108" w:type="dxa"/>
        </w:tblCellMar>
      </w:tblPr>
      <w:tblGrid>
        <w:gridCol w:w="1347"/>
        <w:gridCol w:w="776"/>
        <w:gridCol w:w="4117"/>
        <w:gridCol w:w="1305"/>
        <w:gridCol w:w="2825"/>
      </w:tblGrid>
      <w:tr w14:paraId="30A40752">
        <w:trPr>
          <w:trHeight w:val="540" w:hRule="atLeast"/>
        </w:trPr>
        <w:tc>
          <w:tcPr>
            <w:tcW w:w="5000" w:type="pct"/>
            <w:gridSpan w:val="5"/>
            <w:tcBorders>
              <w:top w:val="nil"/>
              <w:left w:val="nil"/>
              <w:bottom w:val="nil"/>
              <w:right w:val="nil"/>
            </w:tcBorders>
            <w:shd w:val="clear" w:color="auto" w:fill="auto"/>
            <w:noWrap/>
            <w:vAlign w:val="center"/>
          </w:tcPr>
          <w:p w14:paraId="619F2039">
            <w:pPr>
              <w:widowControl/>
              <w:spacing w:line="360" w:lineRule="auto"/>
              <w:contextualSpacing/>
              <w:jc w:val="center"/>
              <w:rPr>
                <w:rFonts w:ascii="宋体" w:hAnsi="宋体" w:eastAsia="宋体" w:cs="宋体"/>
                <w:color w:val="auto"/>
                <w:szCs w:val="21"/>
              </w:rPr>
            </w:pPr>
            <w:r>
              <w:rPr>
                <w:rFonts w:hint="eastAsia" w:ascii="宋体" w:hAnsi="宋体" w:eastAsia="宋体" w:cs="宋体"/>
                <w:b/>
                <w:color w:val="auto"/>
                <w:szCs w:val="21"/>
              </w:rPr>
              <w:t>机电设备维修供应商季度考核评分表（分公司）</w:t>
            </w:r>
          </w:p>
        </w:tc>
      </w:tr>
      <w:tr w14:paraId="689B5D9B">
        <w:tblPrEx>
          <w:tblCellMar>
            <w:top w:w="0" w:type="dxa"/>
            <w:left w:w="108" w:type="dxa"/>
            <w:bottom w:w="0" w:type="dxa"/>
            <w:right w:w="108" w:type="dxa"/>
          </w:tblCellMar>
        </w:tblPrEx>
        <w:trPr>
          <w:trHeight w:val="540" w:hRule="atLeast"/>
        </w:trPr>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B9A736">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 xml:space="preserve">被考核服务单位名称     </w:t>
            </w:r>
          </w:p>
        </w:tc>
        <w:tc>
          <w:tcPr>
            <w:tcW w:w="1985" w:type="pct"/>
            <w:tcBorders>
              <w:top w:val="single" w:color="auto" w:sz="4" w:space="0"/>
              <w:left w:val="nil"/>
              <w:bottom w:val="single" w:color="auto" w:sz="4" w:space="0"/>
              <w:right w:val="single" w:color="auto" w:sz="4" w:space="0"/>
            </w:tcBorders>
            <w:shd w:val="clear" w:color="auto" w:fill="auto"/>
            <w:noWrap/>
            <w:vAlign w:val="center"/>
          </w:tcPr>
          <w:p w14:paraId="305094F7">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　</w:t>
            </w:r>
          </w:p>
        </w:tc>
        <w:tc>
          <w:tcPr>
            <w:tcW w:w="629" w:type="pct"/>
            <w:tcBorders>
              <w:top w:val="single" w:color="auto" w:sz="4" w:space="0"/>
              <w:left w:val="nil"/>
              <w:bottom w:val="single" w:color="auto" w:sz="4" w:space="0"/>
              <w:right w:val="single" w:color="auto" w:sz="4" w:space="0"/>
            </w:tcBorders>
            <w:shd w:val="clear" w:color="auto" w:fill="auto"/>
            <w:vAlign w:val="center"/>
          </w:tcPr>
          <w:p w14:paraId="1E6F931C">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分公司</w:t>
            </w:r>
          </w:p>
        </w:tc>
        <w:tc>
          <w:tcPr>
            <w:tcW w:w="1362" w:type="pct"/>
            <w:tcBorders>
              <w:top w:val="single" w:color="auto" w:sz="4" w:space="0"/>
              <w:left w:val="nil"/>
              <w:bottom w:val="single" w:color="auto" w:sz="4" w:space="0"/>
              <w:right w:val="single" w:color="auto" w:sz="4" w:space="0"/>
            </w:tcBorders>
            <w:shd w:val="clear" w:color="auto" w:fill="auto"/>
            <w:vAlign w:val="center"/>
          </w:tcPr>
          <w:p w14:paraId="396B68A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第xx分公司</w:t>
            </w:r>
          </w:p>
        </w:tc>
      </w:tr>
      <w:tr w14:paraId="0F7696AE">
        <w:tblPrEx>
          <w:tblCellMar>
            <w:top w:w="0" w:type="dxa"/>
            <w:left w:w="108" w:type="dxa"/>
            <w:bottom w:w="0" w:type="dxa"/>
            <w:right w:w="108" w:type="dxa"/>
          </w:tblCellMar>
        </w:tblPrEx>
        <w:trPr>
          <w:trHeight w:val="540"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B62FC5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考核季度：2022年第x季度          </w:t>
            </w:r>
          </w:p>
        </w:tc>
      </w:tr>
      <w:tr w14:paraId="6A9FC135">
        <w:tblPrEx>
          <w:tblCellMar>
            <w:top w:w="0" w:type="dxa"/>
            <w:left w:w="108" w:type="dxa"/>
            <w:bottom w:w="0" w:type="dxa"/>
            <w:right w:w="108" w:type="dxa"/>
          </w:tblCellMar>
        </w:tblPrEx>
        <w:trPr>
          <w:trHeight w:val="480" w:hRule="atLeast"/>
        </w:trPr>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537F503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考核项目</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tcPr>
          <w:p w14:paraId="563591B1">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扣分上限</w:t>
            </w:r>
          </w:p>
        </w:tc>
        <w:tc>
          <w:tcPr>
            <w:tcW w:w="1985" w:type="pct"/>
            <w:vMerge w:val="restart"/>
            <w:tcBorders>
              <w:top w:val="nil"/>
              <w:left w:val="single" w:color="auto" w:sz="4" w:space="0"/>
              <w:bottom w:val="single" w:color="auto" w:sz="4" w:space="0"/>
              <w:right w:val="single" w:color="auto" w:sz="4" w:space="0"/>
            </w:tcBorders>
            <w:shd w:val="clear" w:color="auto" w:fill="auto"/>
            <w:vAlign w:val="center"/>
          </w:tcPr>
          <w:p w14:paraId="60231E39">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评分标准（免责条件:非维修单位原因所致的）</w:t>
            </w:r>
          </w:p>
        </w:tc>
        <w:tc>
          <w:tcPr>
            <w:tcW w:w="1991" w:type="pct"/>
            <w:gridSpan w:val="2"/>
            <w:tcBorders>
              <w:top w:val="single" w:color="auto" w:sz="4" w:space="0"/>
              <w:left w:val="nil"/>
              <w:bottom w:val="single" w:color="auto" w:sz="4" w:space="0"/>
              <w:right w:val="single" w:color="000000" w:sz="4" w:space="0"/>
            </w:tcBorders>
            <w:shd w:val="clear" w:color="auto" w:fill="auto"/>
            <w:vAlign w:val="center"/>
          </w:tcPr>
          <w:p w14:paraId="3E4B5244">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分公司设备工作部评分及备注扣分原由、依据</w:t>
            </w:r>
          </w:p>
        </w:tc>
      </w:tr>
      <w:tr w14:paraId="176D11F9">
        <w:tblPrEx>
          <w:tblCellMar>
            <w:top w:w="0" w:type="dxa"/>
            <w:left w:w="108" w:type="dxa"/>
            <w:bottom w:w="0" w:type="dxa"/>
            <w:right w:w="108" w:type="dxa"/>
          </w:tblCellMar>
        </w:tblPrEx>
        <w:trPr>
          <w:trHeight w:val="360" w:hRule="atLeast"/>
        </w:trPr>
        <w:tc>
          <w:tcPr>
            <w:tcW w:w="650" w:type="pct"/>
            <w:vMerge w:val="continue"/>
            <w:tcBorders>
              <w:top w:val="nil"/>
              <w:left w:val="single" w:color="auto" w:sz="4" w:space="0"/>
              <w:bottom w:val="single" w:color="auto" w:sz="4" w:space="0"/>
              <w:right w:val="single" w:color="auto" w:sz="4" w:space="0"/>
            </w:tcBorders>
            <w:vAlign w:val="center"/>
          </w:tcPr>
          <w:p w14:paraId="0DC40B8A">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34FB5538">
            <w:pPr>
              <w:widowControl/>
              <w:spacing w:line="360" w:lineRule="auto"/>
              <w:contextualSpacing/>
              <w:rPr>
                <w:rFonts w:ascii="宋体" w:hAnsi="宋体" w:eastAsia="宋体" w:cs="宋体"/>
                <w:color w:val="auto"/>
                <w:szCs w:val="21"/>
              </w:rPr>
            </w:pPr>
          </w:p>
        </w:tc>
        <w:tc>
          <w:tcPr>
            <w:tcW w:w="1985" w:type="pct"/>
            <w:vMerge w:val="continue"/>
            <w:tcBorders>
              <w:top w:val="nil"/>
              <w:left w:val="single" w:color="auto" w:sz="4" w:space="0"/>
              <w:bottom w:val="single" w:color="auto" w:sz="4" w:space="0"/>
              <w:right w:val="single" w:color="auto" w:sz="4" w:space="0"/>
            </w:tcBorders>
            <w:vAlign w:val="center"/>
          </w:tcPr>
          <w:p w14:paraId="29012601">
            <w:pPr>
              <w:widowControl/>
              <w:spacing w:line="360" w:lineRule="auto"/>
              <w:contextualSpacing/>
              <w:rPr>
                <w:rFonts w:ascii="宋体" w:hAnsi="宋体" w:eastAsia="宋体" w:cs="宋体"/>
                <w:color w:val="auto"/>
                <w:szCs w:val="21"/>
              </w:rPr>
            </w:pPr>
          </w:p>
        </w:tc>
        <w:tc>
          <w:tcPr>
            <w:tcW w:w="629" w:type="pct"/>
            <w:tcBorders>
              <w:top w:val="nil"/>
              <w:left w:val="nil"/>
              <w:bottom w:val="single" w:color="auto" w:sz="4" w:space="0"/>
              <w:right w:val="single" w:color="auto" w:sz="4" w:space="0"/>
            </w:tcBorders>
            <w:shd w:val="clear" w:color="auto" w:fill="auto"/>
            <w:noWrap/>
            <w:vAlign w:val="center"/>
          </w:tcPr>
          <w:p w14:paraId="2C1BB3FB">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扣分</w:t>
            </w:r>
          </w:p>
        </w:tc>
        <w:tc>
          <w:tcPr>
            <w:tcW w:w="1362" w:type="pct"/>
            <w:tcBorders>
              <w:top w:val="nil"/>
              <w:left w:val="nil"/>
              <w:bottom w:val="single" w:color="auto" w:sz="4" w:space="0"/>
              <w:right w:val="single" w:color="auto" w:sz="4" w:space="0"/>
            </w:tcBorders>
            <w:shd w:val="clear" w:color="auto" w:fill="auto"/>
            <w:noWrap/>
            <w:vAlign w:val="center"/>
          </w:tcPr>
          <w:p w14:paraId="3DD45FD4">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备注</w:t>
            </w:r>
          </w:p>
        </w:tc>
      </w:tr>
      <w:tr w14:paraId="4E9805C2">
        <w:tblPrEx>
          <w:tblCellMar>
            <w:top w:w="0" w:type="dxa"/>
            <w:left w:w="108" w:type="dxa"/>
            <w:bottom w:w="0" w:type="dxa"/>
            <w:right w:w="108" w:type="dxa"/>
          </w:tblCellMar>
        </w:tblPrEx>
        <w:trPr>
          <w:trHeight w:val="480" w:hRule="atLeast"/>
        </w:trPr>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4E573BA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一、维修响应</w:t>
            </w:r>
          </w:p>
        </w:tc>
        <w:tc>
          <w:tcPr>
            <w:tcW w:w="374" w:type="pct"/>
            <w:vMerge w:val="restart"/>
            <w:tcBorders>
              <w:top w:val="nil"/>
              <w:left w:val="single" w:color="auto" w:sz="4" w:space="0"/>
              <w:bottom w:val="single" w:color="000000" w:sz="4" w:space="0"/>
              <w:right w:val="single" w:color="auto" w:sz="4" w:space="0"/>
            </w:tcBorders>
            <w:shd w:val="clear" w:color="auto" w:fill="auto"/>
            <w:vAlign w:val="center"/>
          </w:tcPr>
          <w:p w14:paraId="03982002">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15</w:t>
            </w:r>
          </w:p>
        </w:tc>
        <w:tc>
          <w:tcPr>
            <w:tcW w:w="1985" w:type="pct"/>
            <w:tcBorders>
              <w:top w:val="nil"/>
              <w:left w:val="nil"/>
              <w:bottom w:val="single" w:color="auto" w:sz="4" w:space="0"/>
              <w:right w:val="single" w:color="auto" w:sz="4" w:space="0"/>
            </w:tcBorders>
            <w:shd w:val="clear" w:color="auto" w:fill="auto"/>
            <w:vAlign w:val="center"/>
          </w:tcPr>
          <w:p w14:paraId="7E1091E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1.未能按约定时间回传加盖派单回执，每次扣1分。</w:t>
            </w:r>
          </w:p>
        </w:tc>
        <w:tc>
          <w:tcPr>
            <w:tcW w:w="629" w:type="pct"/>
            <w:tcBorders>
              <w:top w:val="nil"/>
              <w:left w:val="nil"/>
              <w:bottom w:val="single" w:color="auto" w:sz="4" w:space="0"/>
              <w:right w:val="single" w:color="auto" w:sz="4" w:space="0"/>
            </w:tcBorders>
            <w:shd w:val="clear" w:color="auto" w:fill="auto"/>
            <w:vAlign w:val="center"/>
          </w:tcPr>
          <w:p w14:paraId="5CB9B543">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vAlign w:val="center"/>
          </w:tcPr>
          <w:p w14:paraId="5B6BB8A9">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r>
      <w:tr w14:paraId="42A98C30">
        <w:tblPrEx>
          <w:tblCellMar>
            <w:top w:w="0" w:type="dxa"/>
            <w:left w:w="108" w:type="dxa"/>
            <w:bottom w:w="0" w:type="dxa"/>
            <w:right w:w="108" w:type="dxa"/>
          </w:tblCellMar>
        </w:tblPrEx>
        <w:trPr>
          <w:trHeight w:val="480" w:hRule="atLeast"/>
        </w:trPr>
        <w:tc>
          <w:tcPr>
            <w:tcW w:w="650" w:type="pct"/>
            <w:vMerge w:val="continue"/>
            <w:tcBorders>
              <w:top w:val="nil"/>
              <w:left w:val="single" w:color="auto" w:sz="4" w:space="0"/>
              <w:bottom w:val="single" w:color="auto" w:sz="4" w:space="0"/>
              <w:right w:val="single" w:color="auto" w:sz="4" w:space="0"/>
            </w:tcBorders>
            <w:vAlign w:val="center"/>
          </w:tcPr>
          <w:p w14:paraId="3921BF90">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5EBEDA37">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vAlign w:val="center"/>
          </w:tcPr>
          <w:p w14:paraId="5AC6673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2.接单后未按规定时间进场实施的，每次扣2分。</w:t>
            </w:r>
          </w:p>
        </w:tc>
        <w:tc>
          <w:tcPr>
            <w:tcW w:w="629" w:type="pct"/>
            <w:tcBorders>
              <w:top w:val="nil"/>
              <w:left w:val="nil"/>
              <w:bottom w:val="single" w:color="auto" w:sz="4" w:space="0"/>
              <w:right w:val="single" w:color="auto" w:sz="4" w:space="0"/>
            </w:tcBorders>
            <w:shd w:val="clear" w:color="auto" w:fill="auto"/>
            <w:vAlign w:val="center"/>
          </w:tcPr>
          <w:p w14:paraId="08719C45">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vAlign w:val="center"/>
          </w:tcPr>
          <w:p w14:paraId="0984B1E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r>
      <w:tr w14:paraId="7774CB0E">
        <w:tblPrEx>
          <w:tblCellMar>
            <w:top w:w="0" w:type="dxa"/>
            <w:left w:w="108" w:type="dxa"/>
            <w:bottom w:w="0" w:type="dxa"/>
            <w:right w:w="108" w:type="dxa"/>
          </w:tblCellMar>
        </w:tblPrEx>
        <w:trPr>
          <w:trHeight w:val="960" w:hRule="atLeast"/>
        </w:trPr>
        <w:tc>
          <w:tcPr>
            <w:tcW w:w="650" w:type="pct"/>
            <w:vMerge w:val="continue"/>
            <w:tcBorders>
              <w:top w:val="nil"/>
              <w:left w:val="single" w:color="auto" w:sz="4" w:space="0"/>
              <w:bottom w:val="single" w:color="auto" w:sz="4" w:space="0"/>
              <w:right w:val="single" w:color="auto" w:sz="4" w:space="0"/>
            </w:tcBorders>
            <w:vAlign w:val="center"/>
          </w:tcPr>
          <w:p w14:paraId="7D73D9C9">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6076F7BE">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vAlign w:val="center"/>
          </w:tcPr>
          <w:p w14:paraId="4F0B1A7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 未发生不可抗力的情况下，维修单位原因造成没有在规定时间内完成服务内容或没有在规定时间内整过复工的，每次扣3分。</w:t>
            </w:r>
          </w:p>
        </w:tc>
        <w:tc>
          <w:tcPr>
            <w:tcW w:w="629" w:type="pct"/>
            <w:tcBorders>
              <w:top w:val="nil"/>
              <w:left w:val="nil"/>
              <w:bottom w:val="single" w:color="auto" w:sz="4" w:space="0"/>
              <w:right w:val="single" w:color="auto" w:sz="4" w:space="0"/>
            </w:tcBorders>
            <w:shd w:val="clear" w:color="auto" w:fill="auto"/>
          </w:tcPr>
          <w:p w14:paraId="7802933A">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15D7160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0D54217C">
        <w:tblPrEx>
          <w:tblCellMar>
            <w:top w:w="0" w:type="dxa"/>
            <w:left w:w="108" w:type="dxa"/>
            <w:bottom w:w="0" w:type="dxa"/>
            <w:right w:w="108" w:type="dxa"/>
          </w:tblCellMar>
        </w:tblPrEx>
        <w:trPr>
          <w:trHeight w:val="642" w:hRule="atLeast"/>
        </w:trPr>
        <w:tc>
          <w:tcPr>
            <w:tcW w:w="650" w:type="pct"/>
            <w:vMerge w:val="continue"/>
            <w:tcBorders>
              <w:top w:val="nil"/>
              <w:left w:val="single" w:color="auto" w:sz="4" w:space="0"/>
              <w:bottom w:val="single" w:color="auto" w:sz="4" w:space="0"/>
              <w:right w:val="single" w:color="auto" w:sz="4" w:space="0"/>
            </w:tcBorders>
            <w:vAlign w:val="center"/>
          </w:tcPr>
          <w:p w14:paraId="569EC0FC">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235E68C7">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vAlign w:val="center"/>
          </w:tcPr>
          <w:p w14:paraId="77E65CFA">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4.业务履行中发生争议，没有按通知时间到场协商解决的，每次扣3分。</w:t>
            </w:r>
          </w:p>
        </w:tc>
        <w:tc>
          <w:tcPr>
            <w:tcW w:w="629" w:type="pct"/>
            <w:tcBorders>
              <w:top w:val="nil"/>
              <w:left w:val="nil"/>
              <w:bottom w:val="single" w:color="auto" w:sz="4" w:space="0"/>
              <w:right w:val="single" w:color="auto" w:sz="4" w:space="0"/>
            </w:tcBorders>
            <w:shd w:val="clear" w:color="auto" w:fill="auto"/>
          </w:tcPr>
          <w:p w14:paraId="5B89D5FC">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51E3056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40E9B7C8">
        <w:tblPrEx>
          <w:tblCellMar>
            <w:top w:w="0" w:type="dxa"/>
            <w:left w:w="108" w:type="dxa"/>
            <w:bottom w:w="0" w:type="dxa"/>
            <w:right w:w="108" w:type="dxa"/>
          </w:tblCellMar>
        </w:tblPrEx>
        <w:trPr>
          <w:trHeight w:val="1039" w:hRule="atLeast"/>
        </w:trPr>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6F954153">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二、人员及设备配置</w:t>
            </w:r>
          </w:p>
        </w:tc>
        <w:tc>
          <w:tcPr>
            <w:tcW w:w="374" w:type="pct"/>
            <w:vMerge w:val="restart"/>
            <w:tcBorders>
              <w:top w:val="nil"/>
              <w:left w:val="single" w:color="auto" w:sz="4" w:space="0"/>
              <w:bottom w:val="single" w:color="000000" w:sz="4" w:space="0"/>
              <w:right w:val="single" w:color="auto" w:sz="4" w:space="0"/>
            </w:tcBorders>
            <w:shd w:val="clear" w:color="auto" w:fill="auto"/>
            <w:vAlign w:val="center"/>
          </w:tcPr>
          <w:p w14:paraId="4BF7FE98">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10</w:t>
            </w:r>
          </w:p>
        </w:tc>
        <w:tc>
          <w:tcPr>
            <w:tcW w:w="1985" w:type="pct"/>
            <w:tcBorders>
              <w:top w:val="nil"/>
              <w:left w:val="nil"/>
              <w:bottom w:val="single" w:color="auto" w:sz="4" w:space="0"/>
              <w:right w:val="single" w:color="auto" w:sz="4" w:space="0"/>
            </w:tcBorders>
            <w:shd w:val="clear" w:color="auto" w:fill="auto"/>
            <w:vAlign w:val="center"/>
          </w:tcPr>
          <w:p w14:paraId="03EEE75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1.不按合同要求设置固定不少于100平方的电机维修车间，不具备200KW以下潜水泵维修能力，不具有配套齐全的专业维修工器具，扣5分。</w:t>
            </w:r>
          </w:p>
        </w:tc>
        <w:tc>
          <w:tcPr>
            <w:tcW w:w="629" w:type="pct"/>
            <w:tcBorders>
              <w:top w:val="nil"/>
              <w:left w:val="nil"/>
              <w:bottom w:val="single" w:color="auto" w:sz="4" w:space="0"/>
              <w:right w:val="single" w:color="auto" w:sz="4" w:space="0"/>
            </w:tcBorders>
            <w:shd w:val="clear" w:color="auto" w:fill="auto"/>
          </w:tcPr>
          <w:p w14:paraId="7F2E7B9A">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3548B23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0D5F010F">
        <w:tblPrEx>
          <w:tblCellMar>
            <w:top w:w="0" w:type="dxa"/>
            <w:left w:w="108" w:type="dxa"/>
            <w:bottom w:w="0" w:type="dxa"/>
            <w:right w:w="108" w:type="dxa"/>
          </w:tblCellMar>
        </w:tblPrEx>
        <w:trPr>
          <w:trHeight w:val="642" w:hRule="atLeast"/>
        </w:trPr>
        <w:tc>
          <w:tcPr>
            <w:tcW w:w="650" w:type="pct"/>
            <w:vMerge w:val="continue"/>
            <w:tcBorders>
              <w:top w:val="nil"/>
              <w:left w:val="single" w:color="auto" w:sz="4" w:space="0"/>
              <w:bottom w:val="single" w:color="auto" w:sz="4" w:space="0"/>
              <w:right w:val="single" w:color="auto" w:sz="4" w:space="0"/>
            </w:tcBorders>
            <w:vAlign w:val="center"/>
          </w:tcPr>
          <w:p w14:paraId="613C384A">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5E485768">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vAlign w:val="center"/>
          </w:tcPr>
          <w:p w14:paraId="184E198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2.配备相应的机电设备维修人员、工器具等未满足机电设备维修项目实施要求，每次扣2分。</w:t>
            </w:r>
          </w:p>
        </w:tc>
        <w:tc>
          <w:tcPr>
            <w:tcW w:w="629" w:type="pct"/>
            <w:tcBorders>
              <w:top w:val="nil"/>
              <w:left w:val="nil"/>
              <w:bottom w:val="single" w:color="auto" w:sz="4" w:space="0"/>
              <w:right w:val="single" w:color="auto" w:sz="4" w:space="0"/>
            </w:tcBorders>
            <w:shd w:val="clear" w:color="auto" w:fill="auto"/>
          </w:tcPr>
          <w:p w14:paraId="07364DB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494F96F5">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1578DEEC">
        <w:tblPrEx>
          <w:tblCellMar>
            <w:top w:w="0" w:type="dxa"/>
            <w:left w:w="108" w:type="dxa"/>
            <w:bottom w:w="0" w:type="dxa"/>
            <w:right w:w="108" w:type="dxa"/>
          </w:tblCellMar>
        </w:tblPrEx>
        <w:trPr>
          <w:trHeight w:val="642" w:hRule="atLeast"/>
        </w:trPr>
        <w:tc>
          <w:tcPr>
            <w:tcW w:w="650" w:type="pct"/>
            <w:vMerge w:val="continue"/>
            <w:tcBorders>
              <w:top w:val="nil"/>
              <w:left w:val="single" w:color="auto" w:sz="4" w:space="0"/>
              <w:bottom w:val="single" w:color="auto" w:sz="4" w:space="0"/>
              <w:right w:val="single" w:color="auto" w:sz="4" w:space="0"/>
            </w:tcBorders>
            <w:vAlign w:val="center"/>
          </w:tcPr>
          <w:p w14:paraId="10B85DF1">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0BF89097">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vAlign w:val="center"/>
          </w:tcPr>
          <w:p w14:paraId="59CFA08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3.未经甲方同意更换项目负责人、现场负责人、安全员、造价员、资料员，每人每次扣1分。</w:t>
            </w:r>
          </w:p>
        </w:tc>
        <w:tc>
          <w:tcPr>
            <w:tcW w:w="629" w:type="pct"/>
            <w:tcBorders>
              <w:top w:val="nil"/>
              <w:left w:val="nil"/>
              <w:bottom w:val="single" w:color="auto" w:sz="4" w:space="0"/>
              <w:right w:val="single" w:color="auto" w:sz="4" w:space="0"/>
            </w:tcBorders>
            <w:shd w:val="clear" w:color="auto" w:fill="auto"/>
          </w:tcPr>
          <w:p w14:paraId="0D4D892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72933C2F">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321790D7">
        <w:tblPrEx>
          <w:tblCellMar>
            <w:top w:w="0" w:type="dxa"/>
            <w:left w:w="108" w:type="dxa"/>
            <w:bottom w:w="0" w:type="dxa"/>
            <w:right w:w="108" w:type="dxa"/>
          </w:tblCellMar>
        </w:tblPrEx>
        <w:trPr>
          <w:trHeight w:val="642" w:hRule="atLeast"/>
        </w:trPr>
        <w:tc>
          <w:tcPr>
            <w:tcW w:w="650" w:type="pct"/>
            <w:vMerge w:val="continue"/>
            <w:tcBorders>
              <w:top w:val="nil"/>
              <w:left w:val="single" w:color="auto" w:sz="4" w:space="0"/>
              <w:bottom w:val="single" w:color="auto" w:sz="4" w:space="0"/>
              <w:right w:val="single" w:color="auto" w:sz="4" w:space="0"/>
            </w:tcBorders>
            <w:vAlign w:val="center"/>
          </w:tcPr>
          <w:p w14:paraId="590CC359">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59AF0F56">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vAlign w:val="center"/>
          </w:tcPr>
          <w:p w14:paraId="2BEC4690">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4.项目实施现场实施中，现场负责人或安全员不在岗的，每发现一次扣2分。</w:t>
            </w:r>
          </w:p>
        </w:tc>
        <w:tc>
          <w:tcPr>
            <w:tcW w:w="629" w:type="pct"/>
            <w:tcBorders>
              <w:top w:val="nil"/>
              <w:left w:val="nil"/>
              <w:bottom w:val="single" w:color="auto" w:sz="4" w:space="0"/>
              <w:right w:val="single" w:color="auto" w:sz="4" w:space="0"/>
            </w:tcBorders>
            <w:shd w:val="clear" w:color="auto" w:fill="auto"/>
          </w:tcPr>
          <w:p w14:paraId="225BC08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34F4E590">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3038E58E">
        <w:tblPrEx>
          <w:tblCellMar>
            <w:top w:w="0" w:type="dxa"/>
            <w:left w:w="108" w:type="dxa"/>
            <w:bottom w:w="0" w:type="dxa"/>
            <w:right w:w="108" w:type="dxa"/>
          </w:tblCellMar>
        </w:tblPrEx>
        <w:trPr>
          <w:trHeight w:val="642" w:hRule="atLeast"/>
        </w:trPr>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4D1C658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三、服务质量</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tcPr>
          <w:p w14:paraId="55704C61">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w:t>
            </w:r>
          </w:p>
        </w:tc>
        <w:tc>
          <w:tcPr>
            <w:tcW w:w="1985" w:type="pct"/>
            <w:tcBorders>
              <w:top w:val="nil"/>
              <w:left w:val="nil"/>
              <w:bottom w:val="single" w:color="auto" w:sz="4" w:space="0"/>
              <w:right w:val="single" w:color="auto" w:sz="4" w:space="0"/>
            </w:tcBorders>
            <w:shd w:val="clear" w:color="auto" w:fill="auto"/>
            <w:vAlign w:val="center"/>
          </w:tcPr>
          <w:p w14:paraId="502EF8A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1.质保期内，接通知后，不按通知规定的时间内来现场处理质保范围内故障问题的，每次扣6分。</w:t>
            </w:r>
          </w:p>
        </w:tc>
        <w:tc>
          <w:tcPr>
            <w:tcW w:w="629" w:type="pct"/>
            <w:tcBorders>
              <w:top w:val="nil"/>
              <w:left w:val="nil"/>
              <w:bottom w:val="single" w:color="auto" w:sz="4" w:space="0"/>
              <w:right w:val="single" w:color="auto" w:sz="4" w:space="0"/>
            </w:tcBorders>
            <w:shd w:val="clear" w:color="auto" w:fill="auto"/>
          </w:tcPr>
          <w:p w14:paraId="35053F0F">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255104F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698A10A1">
        <w:tblPrEx>
          <w:tblCellMar>
            <w:top w:w="0" w:type="dxa"/>
            <w:left w:w="108" w:type="dxa"/>
            <w:bottom w:w="0" w:type="dxa"/>
            <w:right w:w="108" w:type="dxa"/>
          </w:tblCellMar>
        </w:tblPrEx>
        <w:trPr>
          <w:trHeight w:val="642" w:hRule="atLeast"/>
        </w:trPr>
        <w:tc>
          <w:tcPr>
            <w:tcW w:w="650" w:type="pct"/>
            <w:vMerge w:val="continue"/>
            <w:tcBorders>
              <w:top w:val="nil"/>
              <w:left w:val="single" w:color="auto" w:sz="4" w:space="0"/>
              <w:bottom w:val="single" w:color="auto" w:sz="4" w:space="0"/>
              <w:right w:val="single" w:color="auto" w:sz="4" w:space="0"/>
            </w:tcBorders>
            <w:vAlign w:val="center"/>
          </w:tcPr>
          <w:p w14:paraId="11CB404C">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3D6E5091">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4C15A3EA">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 未按约定时间足额支付工人工资及设备租赁费用的，发生劳务纠纷的，每次扣5分。</w:t>
            </w:r>
          </w:p>
        </w:tc>
        <w:tc>
          <w:tcPr>
            <w:tcW w:w="629" w:type="pct"/>
            <w:tcBorders>
              <w:top w:val="nil"/>
              <w:left w:val="nil"/>
              <w:bottom w:val="single" w:color="auto" w:sz="4" w:space="0"/>
              <w:right w:val="single" w:color="auto" w:sz="4" w:space="0"/>
            </w:tcBorders>
            <w:shd w:val="clear" w:color="auto" w:fill="auto"/>
          </w:tcPr>
          <w:p w14:paraId="753E2EA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6D90DD6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2BAC6821">
        <w:tblPrEx>
          <w:tblCellMar>
            <w:top w:w="0" w:type="dxa"/>
            <w:left w:w="108" w:type="dxa"/>
            <w:bottom w:w="0" w:type="dxa"/>
            <w:right w:w="108" w:type="dxa"/>
          </w:tblCellMar>
        </w:tblPrEx>
        <w:trPr>
          <w:trHeight w:val="480" w:hRule="atLeast"/>
        </w:trPr>
        <w:tc>
          <w:tcPr>
            <w:tcW w:w="650" w:type="pct"/>
            <w:vMerge w:val="continue"/>
            <w:tcBorders>
              <w:top w:val="nil"/>
              <w:left w:val="single" w:color="auto" w:sz="4" w:space="0"/>
              <w:bottom w:val="single" w:color="auto" w:sz="4" w:space="0"/>
              <w:right w:val="single" w:color="auto" w:sz="4" w:space="0"/>
            </w:tcBorders>
            <w:vAlign w:val="center"/>
          </w:tcPr>
          <w:p w14:paraId="70ACDF74">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330565B8">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vAlign w:val="center"/>
          </w:tcPr>
          <w:p w14:paraId="711C11F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3.不服从维修工作安排的，每次扣10分。</w:t>
            </w:r>
          </w:p>
        </w:tc>
        <w:tc>
          <w:tcPr>
            <w:tcW w:w="629" w:type="pct"/>
            <w:tcBorders>
              <w:top w:val="nil"/>
              <w:left w:val="nil"/>
              <w:bottom w:val="single" w:color="auto" w:sz="4" w:space="0"/>
              <w:right w:val="single" w:color="auto" w:sz="4" w:space="0"/>
            </w:tcBorders>
            <w:shd w:val="clear" w:color="auto" w:fill="auto"/>
          </w:tcPr>
          <w:p w14:paraId="5CEB286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447A877C">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7723A8D">
        <w:tblPrEx>
          <w:tblCellMar>
            <w:top w:w="0" w:type="dxa"/>
            <w:left w:w="108" w:type="dxa"/>
            <w:bottom w:w="0" w:type="dxa"/>
            <w:right w:w="108" w:type="dxa"/>
          </w:tblCellMar>
        </w:tblPrEx>
        <w:trPr>
          <w:trHeight w:val="630" w:hRule="atLeast"/>
        </w:trPr>
        <w:tc>
          <w:tcPr>
            <w:tcW w:w="650" w:type="pct"/>
            <w:vMerge w:val="continue"/>
            <w:tcBorders>
              <w:top w:val="nil"/>
              <w:left w:val="single" w:color="auto" w:sz="4" w:space="0"/>
              <w:bottom w:val="single" w:color="auto" w:sz="4" w:space="0"/>
              <w:right w:val="single" w:color="auto" w:sz="4" w:space="0"/>
            </w:tcBorders>
            <w:vAlign w:val="center"/>
          </w:tcPr>
          <w:p w14:paraId="102389CA">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3E69CF04">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7C37B4FA">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 维修效率低效，如项目实施期间内因供应商原因造成工程延期的，每发生一次扣3分。</w:t>
            </w:r>
          </w:p>
        </w:tc>
        <w:tc>
          <w:tcPr>
            <w:tcW w:w="629" w:type="pct"/>
            <w:tcBorders>
              <w:top w:val="nil"/>
              <w:left w:val="nil"/>
              <w:bottom w:val="single" w:color="auto" w:sz="4" w:space="0"/>
              <w:right w:val="single" w:color="auto" w:sz="4" w:space="0"/>
            </w:tcBorders>
            <w:shd w:val="clear" w:color="auto" w:fill="auto"/>
          </w:tcPr>
          <w:p w14:paraId="0026C39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6A298F7A">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479A245C">
        <w:tblPrEx>
          <w:tblCellMar>
            <w:top w:w="0" w:type="dxa"/>
            <w:left w:w="108" w:type="dxa"/>
            <w:bottom w:w="0" w:type="dxa"/>
            <w:right w:w="108" w:type="dxa"/>
          </w:tblCellMar>
        </w:tblPrEx>
        <w:trPr>
          <w:trHeight w:val="642" w:hRule="atLeast"/>
        </w:trPr>
        <w:tc>
          <w:tcPr>
            <w:tcW w:w="650" w:type="pct"/>
            <w:vMerge w:val="restart"/>
            <w:tcBorders>
              <w:top w:val="nil"/>
              <w:left w:val="single" w:color="auto" w:sz="4" w:space="0"/>
              <w:bottom w:val="single" w:color="000000" w:sz="4" w:space="0"/>
              <w:right w:val="single" w:color="auto" w:sz="4" w:space="0"/>
            </w:tcBorders>
            <w:shd w:val="clear" w:color="auto" w:fill="auto"/>
            <w:vAlign w:val="center"/>
          </w:tcPr>
          <w:p w14:paraId="543D056B">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四、安全管理</w:t>
            </w:r>
          </w:p>
        </w:tc>
        <w:tc>
          <w:tcPr>
            <w:tcW w:w="374" w:type="pct"/>
            <w:vMerge w:val="restart"/>
            <w:tcBorders>
              <w:top w:val="nil"/>
              <w:left w:val="single" w:color="auto" w:sz="4" w:space="0"/>
              <w:bottom w:val="single" w:color="000000" w:sz="4" w:space="0"/>
              <w:right w:val="single" w:color="auto" w:sz="4" w:space="0"/>
            </w:tcBorders>
            <w:shd w:val="clear" w:color="auto" w:fill="auto"/>
            <w:vAlign w:val="center"/>
          </w:tcPr>
          <w:p w14:paraId="4405BDAD">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15</w:t>
            </w:r>
          </w:p>
        </w:tc>
        <w:tc>
          <w:tcPr>
            <w:tcW w:w="1985" w:type="pct"/>
            <w:tcBorders>
              <w:top w:val="nil"/>
              <w:left w:val="nil"/>
              <w:bottom w:val="single" w:color="auto" w:sz="4" w:space="0"/>
              <w:right w:val="single" w:color="auto" w:sz="4" w:space="0"/>
            </w:tcBorders>
            <w:shd w:val="clear" w:color="auto" w:fill="auto"/>
            <w:vAlign w:val="center"/>
          </w:tcPr>
          <w:p w14:paraId="2B4A6D9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 特种作业人员、 安全员、电焊工等人员没有持证上岗的，每人每次扣2分。</w:t>
            </w:r>
          </w:p>
        </w:tc>
        <w:tc>
          <w:tcPr>
            <w:tcW w:w="629" w:type="pct"/>
            <w:tcBorders>
              <w:top w:val="nil"/>
              <w:left w:val="nil"/>
              <w:bottom w:val="single" w:color="auto" w:sz="4" w:space="0"/>
              <w:right w:val="single" w:color="auto" w:sz="4" w:space="0"/>
            </w:tcBorders>
            <w:shd w:val="clear" w:color="auto" w:fill="auto"/>
          </w:tcPr>
          <w:p w14:paraId="615B083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7C57991F">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EE5A0B5">
        <w:tblPrEx>
          <w:tblCellMar>
            <w:top w:w="0" w:type="dxa"/>
            <w:left w:w="108" w:type="dxa"/>
            <w:bottom w:w="0" w:type="dxa"/>
            <w:right w:w="108" w:type="dxa"/>
          </w:tblCellMar>
        </w:tblPrEx>
        <w:trPr>
          <w:trHeight w:val="480" w:hRule="atLeast"/>
        </w:trPr>
        <w:tc>
          <w:tcPr>
            <w:tcW w:w="650" w:type="pct"/>
            <w:vMerge w:val="continue"/>
            <w:tcBorders>
              <w:top w:val="nil"/>
              <w:left w:val="single" w:color="auto" w:sz="4" w:space="0"/>
              <w:bottom w:val="single" w:color="000000" w:sz="4" w:space="0"/>
              <w:right w:val="single" w:color="auto" w:sz="4" w:space="0"/>
            </w:tcBorders>
            <w:vAlign w:val="center"/>
          </w:tcPr>
          <w:p w14:paraId="7F71BF0D">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49BB4990">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vAlign w:val="center"/>
          </w:tcPr>
          <w:p w14:paraId="3101EC4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 未按甲方要求安全防护文明施工的，每次扣5分。</w:t>
            </w:r>
          </w:p>
        </w:tc>
        <w:tc>
          <w:tcPr>
            <w:tcW w:w="629" w:type="pct"/>
            <w:tcBorders>
              <w:top w:val="nil"/>
              <w:left w:val="nil"/>
              <w:bottom w:val="single" w:color="auto" w:sz="4" w:space="0"/>
              <w:right w:val="single" w:color="auto" w:sz="4" w:space="0"/>
            </w:tcBorders>
            <w:shd w:val="clear" w:color="auto" w:fill="auto"/>
          </w:tcPr>
          <w:p w14:paraId="31D17CB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4CAB338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6060BAFB">
        <w:tblPrEx>
          <w:tblCellMar>
            <w:top w:w="0" w:type="dxa"/>
            <w:left w:w="108" w:type="dxa"/>
            <w:bottom w:w="0" w:type="dxa"/>
            <w:right w:w="108" w:type="dxa"/>
          </w:tblCellMar>
        </w:tblPrEx>
        <w:trPr>
          <w:trHeight w:val="642" w:hRule="atLeast"/>
        </w:trPr>
        <w:tc>
          <w:tcPr>
            <w:tcW w:w="650" w:type="pct"/>
            <w:vMerge w:val="continue"/>
            <w:tcBorders>
              <w:top w:val="nil"/>
              <w:left w:val="single" w:color="auto" w:sz="4" w:space="0"/>
              <w:bottom w:val="single" w:color="000000" w:sz="4" w:space="0"/>
              <w:right w:val="single" w:color="auto" w:sz="4" w:space="0"/>
            </w:tcBorders>
            <w:vAlign w:val="center"/>
          </w:tcPr>
          <w:p w14:paraId="2A531C97">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517CA8B8">
            <w:pPr>
              <w:widowControl/>
              <w:spacing w:line="360" w:lineRule="auto"/>
              <w:contextualSpacing/>
              <w:rPr>
                <w:rFonts w:ascii="宋体" w:hAnsi="宋体" w:eastAsia="宋体" w:cs="宋体"/>
                <w:color w:val="auto"/>
                <w:szCs w:val="21"/>
              </w:rPr>
            </w:pPr>
          </w:p>
        </w:tc>
        <w:tc>
          <w:tcPr>
            <w:tcW w:w="1985" w:type="pct"/>
            <w:tcBorders>
              <w:top w:val="nil"/>
              <w:left w:val="nil"/>
              <w:bottom w:val="nil"/>
              <w:right w:val="nil"/>
            </w:tcBorders>
            <w:shd w:val="clear" w:color="auto" w:fill="auto"/>
            <w:vAlign w:val="center"/>
          </w:tcPr>
          <w:p w14:paraId="366168D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3.人员未经安全教育及安全交底，未按要求配齐安全防护用具的，每发现一次扣5分。</w:t>
            </w:r>
          </w:p>
        </w:tc>
        <w:tc>
          <w:tcPr>
            <w:tcW w:w="629" w:type="pct"/>
            <w:tcBorders>
              <w:top w:val="nil"/>
              <w:left w:val="single" w:color="auto" w:sz="4" w:space="0"/>
              <w:bottom w:val="single" w:color="auto" w:sz="4" w:space="0"/>
              <w:right w:val="single" w:color="auto" w:sz="4" w:space="0"/>
            </w:tcBorders>
            <w:shd w:val="clear" w:color="auto" w:fill="auto"/>
          </w:tcPr>
          <w:p w14:paraId="520003A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noWrap/>
            <w:vAlign w:val="center"/>
          </w:tcPr>
          <w:p w14:paraId="659A028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75190315">
        <w:tblPrEx>
          <w:tblCellMar>
            <w:top w:w="0" w:type="dxa"/>
            <w:left w:w="108" w:type="dxa"/>
            <w:bottom w:w="0" w:type="dxa"/>
            <w:right w:w="108" w:type="dxa"/>
          </w:tblCellMar>
        </w:tblPrEx>
        <w:trPr>
          <w:trHeight w:val="702" w:hRule="atLeast"/>
        </w:trPr>
        <w:tc>
          <w:tcPr>
            <w:tcW w:w="650" w:type="pct"/>
            <w:vMerge w:val="continue"/>
            <w:tcBorders>
              <w:top w:val="nil"/>
              <w:left w:val="single" w:color="auto" w:sz="4" w:space="0"/>
              <w:bottom w:val="single" w:color="000000" w:sz="4" w:space="0"/>
              <w:right w:val="single" w:color="auto" w:sz="4" w:space="0"/>
            </w:tcBorders>
            <w:vAlign w:val="center"/>
          </w:tcPr>
          <w:p w14:paraId="79F20E44">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561A33CC">
            <w:pPr>
              <w:widowControl/>
              <w:spacing w:line="360" w:lineRule="auto"/>
              <w:contextualSpacing/>
              <w:rPr>
                <w:rFonts w:ascii="宋体" w:hAnsi="宋体" w:eastAsia="宋体" w:cs="宋体"/>
                <w:color w:val="auto"/>
                <w:szCs w:val="21"/>
              </w:rPr>
            </w:pPr>
          </w:p>
        </w:tc>
        <w:tc>
          <w:tcPr>
            <w:tcW w:w="1985" w:type="pct"/>
            <w:tcBorders>
              <w:top w:val="single" w:color="auto" w:sz="4" w:space="0"/>
              <w:left w:val="nil"/>
              <w:bottom w:val="single" w:color="auto" w:sz="4" w:space="0"/>
              <w:right w:val="single" w:color="auto" w:sz="4" w:space="0"/>
            </w:tcBorders>
            <w:shd w:val="clear" w:color="auto" w:fill="auto"/>
          </w:tcPr>
          <w:p w14:paraId="464204E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4.按《东莞市水务集团管网有限公司相关方安全考核细则》，供应商每承担500元违约金，总分扣1分。</w:t>
            </w:r>
          </w:p>
        </w:tc>
        <w:tc>
          <w:tcPr>
            <w:tcW w:w="629" w:type="pct"/>
            <w:tcBorders>
              <w:top w:val="nil"/>
              <w:left w:val="nil"/>
              <w:bottom w:val="single" w:color="auto" w:sz="4" w:space="0"/>
              <w:right w:val="single" w:color="auto" w:sz="4" w:space="0"/>
            </w:tcBorders>
            <w:shd w:val="clear" w:color="auto" w:fill="auto"/>
          </w:tcPr>
          <w:p w14:paraId="6DC406E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1449FA6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BF4835C">
        <w:tblPrEx>
          <w:tblCellMar>
            <w:top w:w="0" w:type="dxa"/>
            <w:left w:w="108" w:type="dxa"/>
            <w:bottom w:w="0" w:type="dxa"/>
            <w:right w:w="108" w:type="dxa"/>
          </w:tblCellMar>
        </w:tblPrEx>
        <w:trPr>
          <w:trHeight w:val="942" w:hRule="atLeast"/>
        </w:trPr>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5B983483">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五、质量控制</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tcPr>
          <w:p w14:paraId="79237767">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w:t>
            </w:r>
          </w:p>
        </w:tc>
        <w:tc>
          <w:tcPr>
            <w:tcW w:w="1985" w:type="pct"/>
            <w:tcBorders>
              <w:top w:val="nil"/>
              <w:left w:val="nil"/>
              <w:bottom w:val="single" w:color="auto" w:sz="4" w:space="0"/>
              <w:right w:val="single" w:color="auto" w:sz="4" w:space="0"/>
            </w:tcBorders>
            <w:shd w:val="clear" w:color="auto" w:fill="auto"/>
          </w:tcPr>
          <w:p w14:paraId="60A8A73F">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 供应商所供的设备(包括但不限于品牌、型号、规格、质量)不符合合同采购技术要求或国家质量标准的，每次扣5分。</w:t>
            </w:r>
          </w:p>
        </w:tc>
        <w:tc>
          <w:tcPr>
            <w:tcW w:w="629" w:type="pct"/>
            <w:tcBorders>
              <w:top w:val="nil"/>
              <w:left w:val="nil"/>
              <w:bottom w:val="single" w:color="auto" w:sz="4" w:space="0"/>
              <w:right w:val="single" w:color="auto" w:sz="4" w:space="0"/>
            </w:tcBorders>
            <w:shd w:val="clear" w:color="auto" w:fill="auto"/>
          </w:tcPr>
          <w:p w14:paraId="41250D6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45800960">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1BF6C663">
        <w:tblPrEx>
          <w:tblCellMar>
            <w:top w:w="0" w:type="dxa"/>
            <w:left w:w="108" w:type="dxa"/>
            <w:bottom w:w="0" w:type="dxa"/>
            <w:right w:w="108" w:type="dxa"/>
          </w:tblCellMar>
        </w:tblPrEx>
        <w:trPr>
          <w:trHeight w:val="660" w:hRule="atLeast"/>
        </w:trPr>
        <w:tc>
          <w:tcPr>
            <w:tcW w:w="650" w:type="pct"/>
            <w:vMerge w:val="continue"/>
            <w:tcBorders>
              <w:top w:val="nil"/>
              <w:left w:val="single" w:color="auto" w:sz="4" w:space="0"/>
              <w:bottom w:val="single" w:color="auto" w:sz="4" w:space="0"/>
              <w:right w:val="single" w:color="auto" w:sz="4" w:space="0"/>
            </w:tcBorders>
            <w:vAlign w:val="center"/>
          </w:tcPr>
          <w:p w14:paraId="4E60584E">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61289A26">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6DAEA0A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2.检修过程中的问题部位、处理方法、处理结果需要提供记录，没有记录的，每单扣5分。</w:t>
            </w:r>
          </w:p>
        </w:tc>
        <w:tc>
          <w:tcPr>
            <w:tcW w:w="629" w:type="pct"/>
            <w:tcBorders>
              <w:top w:val="nil"/>
              <w:left w:val="nil"/>
              <w:bottom w:val="single" w:color="auto" w:sz="4" w:space="0"/>
              <w:right w:val="single" w:color="auto" w:sz="4" w:space="0"/>
            </w:tcBorders>
            <w:shd w:val="clear" w:color="auto" w:fill="auto"/>
          </w:tcPr>
          <w:p w14:paraId="5F55583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68262F70">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9119EF1">
        <w:tblPrEx>
          <w:tblCellMar>
            <w:top w:w="0" w:type="dxa"/>
            <w:left w:w="108" w:type="dxa"/>
            <w:bottom w:w="0" w:type="dxa"/>
            <w:right w:w="108" w:type="dxa"/>
          </w:tblCellMar>
        </w:tblPrEx>
        <w:trPr>
          <w:trHeight w:val="642" w:hRule="atLeast"/>
        </w:trPr>
        <w:tc>
          <w:tcPr>
            <w:tcW w:w="650" w:type="pct"/>
            <w:vMerge w:val="continue"/>
            <w:tcBorders>
              <w:top w:val="nil"/>
              <w:left w:val="single" w:color="auto" w:sz="4" w:space="0"/>
              <w:bottom w:val="single" w:color="auto" w:sz="4" w:space="0"/>
              <w:right w:val="single" w:color="auto" w:sz="4" w:space="0"/>
            </w:tcBorders>
            <w:vAlign w:val="center"/>
          </w:tcPr>
          <w:p w14:paraId="6525909D">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6D29D044">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7827BCD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3.维修回来的设备，第一次试车因维修质量问题试车不成功的，每次扣5分。</w:t>
            </w:r>
          </w:p>
        </w:tc>
        <w:tc>
          <w:tcPr>
            <w:tcW w:w="629" w:type="pct"/>
            <w:tcBorders>
              <w:top w:val="nil"/>
              <w:left w:val="nil"/>
              <w:bottom w:val="single" w:color="auto" w:sz="4" w:space="0"/>
              <w:right w:val="single" w:color="auto" w:sz="4" w:space="0"/>
            </w:tcBorders>
            <w:shd w:val="clear" w:color="auto" w:fill="auto"/>
          </w:tcPr>
          <w:p w14:paraId="27851D0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38B6D4E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6718B701">
        <w:tblPrEx>
          <w:tblCellMar>
            <w:top w:w="0" w:type="dxa"/>
            <w:left w:w="108" w:type="dxa"/>
            <w:bottom w:w="0" w:type="dxa"/>
            <w:right w:w="108" w:type="dxa"/>
          </w:tblCellMar>
        </w:tblPrEx>
        <w:trPr>
          <w:trHeight w:val="619" w:hRule="atLeast"/>
        </w:trPr>
        <w:tc>
          <w:tcPr>
            <w:tcW w:w="650" w:type="pct"/>
            <w:vMerge w:val="continue"/>
            <w:tcBorders>
              <w:top w:val="nil"/>
              <w:left w:val="single" w:color="auto" w:sz="4" w:space="0"/>
              <w:bottom w:val="single" w:color="auto" w:sz="4" w:space="0"/>
              <w:right w:val="single" w:color="auto" w:sz="4" w:space="0"/>
            </w:tcBorders>
            <w:vAlign w:val="center"/>
          </w:tcPr>
          <w:p w14:paraId="140B7046">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15DEF66A">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259FF0D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4、维修回来的设备，验收出现达不到采购技术要求的，每次扣5分。</w:t>
            </w:r>
          </w:p>
        </w:tc>
        <w:tc>
          <w:tcPr>
            <w:tcW w:w="629" w:type="pct"/>
            <w:tcBorders>
              <w:top w:val="nil"/>
              <w:left w:val="nil"/>
              <w:bottom w:val="single" w:color="auto" w:sz="4" w:space="0"/>
              <w:right w:val="single" w:color="auto" w:sz="4" w:space="0"/>
            </w:tcBorders>
            <w:shd w:val="clear" w:color="auto" w:fill="auto"/>
          </w:tcPr>
          <w:p w14:paraId="03E721A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5502CA5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38DA8AC2">
        <w:tblPrEx>
          <w:tblCellMar>
            <w:top w:w="0" w:type="dxa"/>
            <w:left w:w="108" w:type="dxa"/>
            <w:bottom w:w="0" w:type="dxa"/>
            <w:right w:w="108" w:type="dxa"/>
          </w:tblCellMar>
        </w:tblPrEx>
        <w:trPr>
          <w:trHeight w:val="945" w:hRule="atLeast"/>
        </w:trPr>
        <w:tc>
          <w:tcPr>
            <w:tcW w:w="650" w:type="pct"/>
            <w:vMerge w:val="continue"/>
            <w:tcBorders>
              <w:top w:val="nil"/>
              <w:left w:val="single" w:color="auto" w:sz="4" w:space="0"/>
              <w:bottom w:val="single" w:color="auto" w:sz="4" w:space="0"/>
              <w:right w:val="single" w:color="auto" w:sz="4" w:space="0"/>
            </w:tcBorders>
            <w:vAlign w:val="center"/>
          </w:tcPr>
          <w:p w14:paraId="3A318DEF">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1A1EEB3C">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2F33155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5、潜水泵进行机械密封更换维修后，在7天的试运行期间，对地绝缘电阻与验收时不变，或不低于200MΩ，否则每次扣5分。</w:t>
            </w:r>
          </w:p>
        </w:tc>
        <w:tc>
          <w:tcPr>
            <w:tcW w:w="629" w:type="pct"/>
            <w:tcBorders>
              <w:top w:val="nil"/>
              <w:left w:val="nil"/>
              <w:bottom w:val="single" w:color="auto" w:sz="4" w:space="0"/>
              <w:right w:val="single" w:color="auto" w:sz="4" w:space="0"/>
            </w:tcBorders>
            <w:shd w:val="clear" w:color="auto" w:fill="auto"/>
          </w:tcPr>
          <w:p w14:paraId="55C7964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64DE226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0F9B2730">
        <w:tblPrEx>
          <w:tblCellMar>
            <w:top w:w="0" w:type="dxa"/>
            <w:left w:w="108" w:type="dxa"/>
            <w:bottom w:w="0" w:type="dxa"/>
            <w:right w:w="108" w:type="dxa"/>
          </w:tblCellMar>
        </w:tblPrEx>
        <w:trPr>
          <w:trHeight w:val="630" w:hRule="atLeast"/>
        </w:trPr>
        <w:tc>
          <w:tcPr>
            <w:tcW w:w="650" w:type="pct"/>
            <w:vMerge w:val="continue"/>
            <w:tcBorders>
              <w:top w:val="nil"/>
              <w:left w:val="single" w:color="auto" w:sz="4" w:space="0"/>
              <w:bottom w:val="single" w:color="auto" w:sz="4" w:space="0"/>
              <w:right w:val="single" w:color="auto" w:sz="4" w:space="0"/>
            </w:tcBorders>
            <w:vAlign w:val="center"/>
          </w:tcPr>
          <w:p w14:paraId="3309F6F0">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20533373">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32E9899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6.维修设备处理好后，如水泵维修出厂须进行试验或检验并出具合格报告，没有的，每次扣3分</w:t>
            </w:r>
          </w:p>
        </w:tc>
        <w:tc>
          <w:tcPr>
            <w:tcW w:w="629" w:type="pct"/>
            <w:tcBorders>
              <w:top w:val="nil"/>
              <w:left w:val="nil"/>
              <w:bottom w:val="single" w:color="auto" w:sz="4" w:space="0"/>
              <w:right w:val="single" w:color="auto" w:sz="4" w:space="0"/>
            </w:tcBorders>
            <w:shd w:val="clear" w:color="auto" w:fill="auto"/>
          </w:tcPr>
          <w:p w14:paraId="44500BE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4DE61AB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0A62BD13">
        <w:tblPrEx>
          <w:tblCellMar>
            <w:top w:w="0" w:type="dxa"/>
            <w:left w:w="108" w:type="dxa"/>
            <w:bottom w:w="0" w:type="dxa"/>
            <w:right w:w="108" w:type="dxa"/>
          </w:tblCellMar>
        </w:tblPrEx>
        <w:trPr>
          <w:trHeight w:val="600" w:hRule="atLeast"/>
        </w:trPr>
        <w:tc>
          <w:tcPr>
            <w:tcW w:w="650" w:type="pct"/>
            <w:vMerge w:val="continue"/>
            <w:tcBorders>
              <w:top w:val="nil"/>
              <w:left w:val="single" w:color="auto" w:sz="4" w:space="0"/>
              <w:bottom w:val="single" w:color="auto" w:sz="4" w:space="0"/>
              <w:right w:val="single" w:color="auto" w:sz="4" w:space="0"/>
            </w:tcBorders>
            <w:vAlign w:val="center"/>
          </w:tcPr>
          <w:p w14:paraId="4E3B0DF7">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4A93990B">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1B630C7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7.维修或者重置的闸门，在7天的试运行期间，没有出现脱落、变形，卡死，否则每次扣5分。</w:t>
            </w:r>
          </w:p>
        </w:tc>
        <w:tc>
          <w:tcPr>
            <w:tcW w:w="629" w:type="pct"/>
            <w:tcBorders>
              <w:top w:val="nil"/>
              <w:left w:val="nil"/>
              <w:bottom w:val="single" w:color="auto" w:sz="4" w:space="0"/>
              <w:right w:val="single" w:color="auto" w:sz="4" w:space="0"/>
            </w:tcBorders>
            <w:shd w:val="clear" w:color="auto" w:fill="auto"/>
          </w:tcPr>
          <w:p w14:paraId="41E135E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77DD932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D671BEC">
        <w:tblPrEx>
          <w:tblCellMar>
            <w:top w:w="0" w:type="dxa"/>
            <w:left w:w="108" w:type="dxa"/>
            <w:bottom w:w="0" w:type="dxa"/>
            <w:right w:w="108" w:type="dxa"/>
          </w:tblCellMar>
        </w:tblPrEx>
        <w:trPr>
          <w:trHeight w:val="360" w:hRule="atLeast"/>
        </w:trPr>
        <w:tc>
          <w:tcPr>
            <w:tcW w:w="650" w:type="pct"/>
            <w:vMerge w:val="restart"/>
            <w:tcBorders>
              <w:top w:val="nil"/>
              <w:left w:val="single" w:color="auto" w:sz="4" w:space="0"/>
              <w:bottom w:val="single" w:color="000000" w:sz="4" w:space="0"/>
              <w:right w:val="single" w:color="auto" w:sz="4" w:space="0"/>
            </w:tcBorders>
            <w:shd w:val="clear" w:color="auto" w:fill="auto"/>
            <w:vAlign w:val="center"/>
          </w:tcPr>
          <w:p w14:paraId="08FC321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六、资料管理</w:t>
            </w:r>
          </w:p>
        </w:tc>
        <w:tc>
          <w:tcPr>
            <w:tcW w:w="374" w:type="pct"/>
            <w:vMerge w:val="restart"/>
            <w:tcBorders>
              <w:top w:val="nil"/>
              <w:left w:val="single" w:color="auto" w:sz="4" w:space="0"/>
              <w:bottom w:val="single" w:color="000000" w:sz="4" w:space="0"/>
              <w:right w:val="single" w:color="auto" w:sz="4" w:space="0"/>
            </w:tcBorders>
            <w:shd w:val="clear" w:color="auto" w:fill="auto"/>
            <w:vAlign w:val="center"/>
          </w:tcPr>
          <w:p w14:paraId="4E1A219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10</w:t>
            </w:r>
          </w:p>
        </w:tc>
        <w:tc>
          <w:tcPr>
            <w:tcW w:w="1985" w:type="pct"/>
            <w:tcBorders>
              <w:top w:val="nil"/>
              <w:left w:val="nil"/>
              <w:bottom w:val="single" w:color="auto" w:sz="4" w:space="0"/>
              <w:right w:val="single" w:color="auto" w:sz="4" w:space="0"/>
            </w:tcBorders>
            <w:shd w:val="clear" w:color="auto" w:fill="auto"/>
          </w:tcPr>
          <w:p w14:paraId="5B87DFD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1.未按规定时间编制项目结算资料的，每次扣2分。</w:t>
            </w:r>
          </w:p>
        </w:tc>
        <w:tc>
          <w:tcPr>
            <w:tcW w:w="629" w:type="pct"/>
            <w:tcBorders>
              <w:top w:val="nil"/>
              <w:left w:val="nil"/>
              <w:bottom w:val="single" w:color="auto" w:sz="4" w:space="0"/>
              <w:right w:val="single" w:color="auto" w:sz="4" w:space="0"/>
            </w:tcBorders>
            <w:shd w:val="clear" w:color="auto" w:fill="auto"/>
          </w:tcPr>
          <w:p w14:paraId="06A3459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40B0E5A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0DF17328">
        <w:tblPrEx>
          <w:tblCellMar>
            <w:top w:w="0" w:type="dxa"/>
            <w:left w:w="108" w:type="dxa"/>
            <w:bottom w:w="0" w:type="dxa"/>
            <w:right w:w="108" w:type="dxa"/>
          </w:tblCellMar>
        </w:tblPrEx>
        <w:trPr>
          <w:trHeight w:val="360" w:hRule="atLeast"/>
        </w:trPr>
        <w:tc>
          <w:tcPr>
            <w:tcW w:w="650" w:type="pct"/>
            <w:vMerge w:val="continue"/>
            <w:tcBorders>
              <w:top w:val="nil"/>
              <w:left w:val="single" w:color="auto" w:sz="4" w:space="0"/>
              <w:bottom w:val="single" w:color="000000" w:sz="4" w:space="0"/>
              <w:right w:val="single" w:color="auto" w:sz="4" w:space="0"/>
            </w:tcBorders>
            <w:vAlign w:val="center"/>
          </w:tcPr>
          <w:p w14:paraId="57A707EC">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3DE7C4BF">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7F73AF5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2.提供虚假现场施工资料的，每次扣5分。</w:t>
            </w:r>
          </w:p>
        </w:tc>
        <w:tc>
          <w:tcPr>
            <w:tcW w:w="629" w:type="pct"/>
            <w:tcBorders>
              <w:top w:val="nil"/>
              <w:left w:val="nil"/>
              <w:bottom w:val="single" w:color="auto" w:sz="4" w:space="0"/>
              <w:right w:val="single" w:color="auto" w:sz="4" w:space="0"/>
            </w:tcBorders>
            <w:shd w:val="clear" w:color="auto" w:fill="auto"/>
          </w:tcPr>
          <w:p w14:paraId="1419D820">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3E84F680">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200D0D97">
        <w:tblPrEx>
          <w:tblCellMar>
            <w:top w:w="0" w:type="dxa"/>
            <w:left w:w="108" w:type="dxa"/>
            <w:bottom w:w="0" w:type="dxa"/>
            <w:right w:w="108" w:type="dxa"/>
          </w:tblCellMar>
        </w:tblPrEx>
        <w:trPr>
          <w:trHeight w:val="360" w:hRule="atLeast"/>
        </w:trPr>
        <w:tc>
          <w:tcPr>
            <w:tcW w:w="650" w:type="pct"/>
            <w:vMerge w:val="continue"/>
            <w:tcBorders>
              <w:top w:val="nil"/>
              <w:left w:val="single" w:color="auto" w:sz="4" w:space="0"/>
              <w:bottom w:val="single" w:color="000000" w:sz="4" w:space="0"/>
              <w:right w:val="single" w:color="auto" w:sz="4" w:space="0"/>
            </w:tcBorders>
            <w:vAlign w:val="center"/>
          </w:tcPr>
          <w:p w14:paraId="02DB732B">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37DDDD7D">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vAlign w:val="center"/>
          </w:tcPr>
          <w:p w14:paraId="5586C5F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3.维修记录留痕资料缺失或不准确的，每次扣2分。</w:t>
            </w:r>
          </w:p>
        </w:tc>
        <w:tc>
          <w:tcPr>
            <w:tcW w:w="629" w:type="pct"/>
            <w:tcBorders>
              <w:top w:val="nil"/>
              <w:left w:val="nil"/>
              <w:bottom w:val="single" w:color="auto" w:sz="4" w:space="0"/>
              <w:right w:val="single" w:color="auto" w:sz="4" w:space="0"/>
            </w:tcBorders>
            <w:shd w:val="clear" w:color="auto" w:fill="auto"/>
          </w:tcPr>
          <w:p w14:paraId="2E65CFD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12E2C0D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6E7A3FA">
        <w:tblPrEx>
          <w:tblCellMar>
            <w:top w:w="0" w:type="dxa"/>
            <w:left w:w="108" w:type="dxa"/>
            <w:bottom w:w="0" w:type="dxa"/>
            <w:right w:w="108" w:type="dxa"/>
          </w:tblCellMar>
        </w:tblPrEx>
        <w:trPr>
          <w:trHeight w:val="360" w:hRule="atLeast"/>
        </w:trPr>
        <w:tc>
          <w:tcPr>
            <w:tcW w:w="650" w:type="pct"/>
            <w:vMerge w:val="continue"/>
            <w:tcBorders>
              <w:top w:val="nil"/>
              <w:left w:val="single" w:color="auto" w:sz="4" w:space="0"/>
              <w:bottom w:val="single" w:color="000000" w:sz="4" w:space="0"/>
              <w:right w:val="single" w:color="auto" w:sz="4" w:space="0"/>
            </w:tcBorders>
            <w:vAlign w:val="center"/>
          </w:tcPr>
          <w:p w14:paraId="2FCF1BA5">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37644EDA">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1E31C6B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4.项目结算资料编制质量不高，每被回退一次扣1分。</w:t>
            </w:r>
          </w:p>
        </w:tc>
        <w:tc>
          <w:tcPr>
            <w:tcW w:w="629" w:type="pct"/>
            <w:tcBorders>
              <w:top w:val="nil"/>
              <w:left w:val="nil"/>
              <w:bottom w:val="single" w:color="auto" w:sz="4" w:space="0"/>
              <w:right w:val="single" w:color="auto" w:sz="4" w:space="0"/>
            </w:tcBorders>
            <w:shd w:val="clear" w:color="auto" w:fill="auto"/>
          </w:tcPr>
          <w:p w14:paraId="76A1BCFC">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35DC139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3822AB8B">
        <w:tblPrEx>
          <w:tblCellMar>
            <w:top w:w="0" w:type="dxa"/>
            <w:left w:w="108" w:type="dxa"/>
            <w:bottom w:w="0" w:type="dxa"/>
            <w:right w:w="108" w:type="dxa"/>
          </w:tblCellMar>
        </w:tblPrEx>
        <w:trPr>
          <w:trHeight w:val="642" w:hRule="atLeast"/>
        </w:trPr>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0F8A82C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 七、其它</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tcPr>
          <w:p w14:paraId="4FC85879">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10</w:t>
            </w:r>
          </w:p>
        </w:tc>
        <w:tc>
          <w:tcPr>
            <w:tcW w:w="1985" w:type="pct"/>
            <w:tcBorders>
              <w:top w:val="nil"/>
              <w:left w:val="nil"/>
              <w:bottom w:val="single" w:color="auto" w:sz="4" w:space="0"/>
              <w:right w:val="single" w:color="auto" w:sz="4" w:space="0"/>
            </w:tcBorders>
            <w:shd w:val="clear" w:color="auto" w:fill="auto"/>
            <w:vAlign w:val="center"/>
          </w:tcPr>
          <w:p w14:paraId="53F6F2AC">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 在维修过程中违反相关廉洁协议书规定行为的，每次扣5分，并追究相应法律责任。</w:t>
            </w:r>
          </w:p>
        </w:tc>
        <w:tc>
          <w:tcPr>
            <w:tcW w:w="629" w:type="pct"/>
            <w:tcBorders>
              <w:top w:val="nil"/>
              <w:left w:val="nil"/>
              <w:bottom w:val="single" w:color="auto" w:sz="4" w:space="0"/>
              <w:right w:val="single" w:color="auto" w:sz="4" w:space="0"/>
            </w:tcBorders>
            <w:shd w:val="clear" w:color="auto" w:fill="auto"/>
          </w:tcPr>
          <w:p w14:paraId="43C88CB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7FCB5FAF">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3BC386CD">
        <w:tblPrEx>
          <w:tblCellMar>
            <w:top w:w="0" w:type="dxa"/>
            <w:left w:w="108" w:type="dxa"/>
            <w:bottom w:w="0" w:type="dxa"/>
            <w:right w:w="108" w:type="dxa"/>
          </w:tblCellMar>
        </w:tblPrEx>
        <w:trPr>
          <w:trHeight w:val="642" w:hRule="atLeast"/>
        </w:trPr>
        <w:tc>
          <w:tcPr>
            <w:tcW w:w="650" w:type="pct"/>
            <w:vMerge w:val="continue"/>
            <w:tcBorders>
              <w:top w:val="nil"/>
              <w:left w:val="single" w:color="auto" w:sz="4" w:space="0"/>
              <w:bottom w:val="single" w:color="auto" w:sz="4" w:space="0"/>
              <w:right w:val="single" w:color="auto" w:sz="4" w:space="0"/>
            </w:tcBorders>
            <w:vAlign w:val="center"/>
          </w:tcPr>
          <w:p w14:paraId="251BCDC9">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36B26D24">
            <w:pPr>
              <w:widowControl/>
              <w:spacing w:line="360" w:lineRule="auto"/>
              <w:contextualSpacing/>
              <w:rPr>
                <w:rFonts w:ascii="宋体" w:hAnsi="宋体" w:eastAsia="宋体" w:cs="宋体"/>
                <w:color w:val="auto"/>
                <w:szCs w:val="21"/>
              </w:rPr>
            </w:pPr>
          </w:p>
        </w:tc>
        <w:tc>
          <w:tcPr>
            <w:tcW w:w="1985" w:type="pct"/>
            <w:tcBorders>
              <w:top w:val="nil"/>
              <w:left w:val="nil"/>
              <w:bottom w:val="single" w:color="auto" w:sz="4" w:space="0"/>
              <w:right w:val="single" w:color="auto" w:sz="4" w:space="0"/>
            </w:tcBorders>
            <w:shd w:val="clear" w:color="auto" w:fill="auto"/>
          </w:tcPr>
          <w:p w14:paraId="7611BEB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2.未经审批，擅自进行有限空间等危险作业的，每发现一次扣10分。</w:t>
            </w:r>
          </w:p>
        </w:tc>
        <w:tc>
          <w:tcPr>
            <w:tcW w:w="629" w:type="pct"/>
            <w:tcBorders>
              <w:top w:val="nil"/>
              <w:left w:val="nil"/>
              <w:bottom w:val="single" w:color="auto" w:sz="4" w:space="0"/>
              <w:right w:val="single" w:color="auto" w:sz="4" w:space="0"/>
            </w:tcBorders>
            <w:shd w:val="clear" w:color="auto" w:fill="auto"/>
          </w:tcPr>
          <w:p w14:paraId="21CF4F80">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vAlign w:val="center"/>
          </w:tcPr>
          <w:p w14:paraId="2929984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2FC1F856">
        <w:tblPrEx>
          <w:tblCellMar>
            <w:top w:w="0" w:type="dxa"/>
            <w:left w:w="108" w:type="dxa"/>
            <w:bottom w:w="0" w:type="dxa"/>
            <w:right w:w="108" w:type="dxa"/>
          </w:tblCellMar>
        </w:tblPrEx>
        <w:trPr>
          <w:trHeight w:val="480" w:hRule="atLeast"/>
        </w:trPr>
        <w:tc>
          <w:tcPr>
            <w:tcW w:w="3009" w:type="pct"/>
            <w:gridSpan w:val="3"/>
            <w:tcBorders>
              <w:top w:val="nil"/>
              <w:left w:val="single" w:color="auto" w:sz="4" w:space="0"/>
              <w:bottom w:val="single" w:color="auto" w:sz="4" w:space="0"/>
              <w:right w:val="single" w:color="000000" w:sz="4" w:space="0"/>
            </w:tcBorders>
            <w:shd w:val="clear" w:color="auto" w:fill="auto"/>
            <w:vAlign w:val="center"/>
          </w:tcPr>
          <w:p w14:paraId="57174A5A">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本季度累计扣分</w:t>
            </w:r>
          </w:p>
        </w:tc>
        <w:tc>
          <w:tcPr>
            <w:tcW w:w="629" w:type="pct"/>
            <w:tcBorders>
              <w:top w:val="nil"/>
              <w:left w:val="nil"/>
              <w:bottom w:val="single" w:color="auto" w:sz="4" w:space="0"/>
              <w:right w:val="single" w:color="auto" w:sz="4" w:space="0"/>
            </w:tcBorders>
            <w:shd w:val="clear" w:color="auto" w:fill="auto"/>
          </w:tcPr>
          <w:p w14:paraId="338C3D6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261C890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6DE5A7BD">
        <w:tblPrEx>
          <w:tblCellMar>
            <w:top w:w="0" w:type="dxa"/>
            <w:left w:w="108" w:type="dxa"/>
            <w:bottom w:w="0" w:type="dxa"/>
            <w:right w:w="108" w:type="dxa"/>
          </w:tblCellMar>
        </w:tblPrEx>
        <w:trPr>
          <w:trHeight w:val="480" w:hRule="atLeast"/>
        </w:trPr>
        <w:tc>
          <w:tcPr>
            <w:tcW w:w="300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60BB75">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本季度最终考核得分</w:t>
            </w:r>
          </w:p>
        </w:tc>
        <w:tc>
          <w:tcPr>
            <w:tcW w:w="629" w:type="pct"/>
            <w:tcBorders>
              <w:top w:val="nil"/>
              <w:left w:val="nil"/>
              <w:bottom w:val="single" w:color="auto" w:sz="4" w:space="0"/>
              <w:right w:val="single" w:color="auto" w:sz="4" w:space="0"/>
            </w:tcBorders>
            <w:shd w:val="clear" w:color="auto" w:fill="auto"/>
          </w:tcPr>
          <w:p w14:paraId="7D04448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362" w:type="pct"/>
            <w:tcBorders>
              <w:top w:val="nil"/>
              <w:left w:val="nil"/>
              <w:bottom w:val="single" w:color="auto" w:sz="4" w:space="0"/>
              <w:right w:val="single" w:color="auto" w:sz="4" w:space="0"/>
            </w:tcBorders>
            <w:shd w:val="clear" w:color="auto" w:fill="auto"/>
          </w:tcPr>
          <w:p w14:paraId="27C5E4C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64451C3B">
        <w:tblPrEx>
          <w:tblCellMar>
            <w:top w:w="0" w:type="dxa"/>
            <w:left w:w="108" w:type="dxa"/>
            <w:bottom w:w="0" w:type="dxa"/>
            <w:right w:w="108" w:type="dxa"/>
          </w:tblCellMar>
        </w:tblPrEx>
        <w:trPr>
          <w:trHeight w:val="642" w:hRule="atLeast"/>
        </w:trPr>
        <w:tc>
          <w:tcPr>
            <w:tcW w:w="1024"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1E60DF85">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考核评分人（签名）：</w:t>
            </w:r>
          </w:p>
        </w:tc>
        <w:tc>
          <w:tcPr>
            <w:tcW w:w="1985" w:type="pct"/>
            <w:tcBorders>
              <w:top w:val="nil"/>
              <w:left w:val="nil"/>
              <w:bottom w:val="single" w:color="auto" w:sz="4" w:space="0"/>
              <w:right w:val="single" w:color="auto" w:sz="4" w:space="0"/>
            </w:tcBorders>
            <w:shd w:val="clear" w:color="auto" w:fill="auto"/>
            <w:vAlign w:val="center"/>
          </w:tcPr>
          <w:p w14:paraId="056BAD7D">
            <w:pPr>
              <w:widowControl/>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　</w:t>
            </w:r>
          </w:p>
        </w:tc>
        <w:tc>
          <w:tcPr>
            <w:tcW w:w="629" w:type="pct"/>
            <w:tcBorders>
              <w:top w:val="nil"/>
              <w:left w:val="nil"/>
              <w:bottom w:val="single" w:color="auto" w:sz="4" w:space="0"/>
              <w:right w:val="single" w:color="auto" w:sz="4" w:space="0"/>
            </w:tcBorders>
            <w:shd w:val="clear" w:color="auto" w:fill="auto"/>
            <w:vAlign w:val="center"/>
          </w:tcPr>
          <w:p w14:paraId="0EEB426B">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服务单位</w:t>
            </w:r>
          </w:p>
          <w:p w14:paraId="725FCA93">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（签名）：</w:t>
            </w:r>
          </w:p>
        </w:tc>
        <w:tc>
          <w:tcPr>
            <w:tcW w:w="1362" w:type="pct"/>
            <w:tcBorders>
              <w:top w:val="nil"/>
              <w:left w:val="nil"/>
              <w:bottom w:val="single" w:color="auto" w:sz="4" w:space="0"/>
              <w:right w:val="single" w:color="auto" w:sz="4" w:space="0"/>
            </w:tcBorders>
            <w:shd w:val="clear" w:color="auto" w:fill="auto"/>
          </w:tcPr>
          <w:p w14:paraId="5FEB631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D17FB05">
        <w:tblPrEx>
          <w:tblCellMar>
            <w:top w:w="0" w:type="dxa"/>
            <w:left w:w="108" w:type="dxa"/>
            <w:bottom w:w="0" w:type="dxa"/>
            <w:right w:w="108" w:type="dxa"/>
          </w:tblCellMar>
        </w:tblPrEx>
        <w:trPr>
          <w:trHeight w:val="642" w:hRule="atLeast"/>
        </w:trPr>
        <w:tc>
          <w:tcPr>
            <w:tcW w:w="1024"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A58EA16">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日期</w:t>
            </w:r>
          </w:p>
        </w:tc>
        <w:tc>
          <w:tcPr>
            <w:tcW w:w="1985" w:type="pct"/>
            <w:tcBorders>
              <w:top w:val="nil"/>
              <w:left w:val="nil"/>
              <w:bottom w:val="single" w:color="auto" w:sz="4" w:space="0"/>
              <w:right w:val="single" w:color="auto" w:sz="4" w:space="0"/>
            </w:tcBorders>
            <w:shd w:val="clear" w:color="auto" w:fill="auto"/>
            <w:vAlign w:val="center"/>
          </w:tcPr>
          <w:p w14:paraId="501921FC">
            <w:pPr>
              <w:widowControl/>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　</w:t>
            </w:r>
          </w:p>
        </w:tc>
        <w:tc>
          <w:tcPr>
            <w:tcW w:w="629" w:type="pct"/>
            <w:tcBorders>
              <w:top w:val="nil"/>
              <w:left w:val="nil"/>
              <w:bottom w:val="single" w:color="auto" w:sz="4" w:space="0"/>
              <w:right w:val="single" w:color="auto" w:sz="4" w:space="0"/>
            </w:tcBorders>
            <w:shd w:val="clear" w:color="auto" w:fill="auto"/>
            <w:vAlign w:val="center"/>
          </w:tcPr>
          <w:p w14:paraId="6F39B223">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日期</w:t>
            </w:r>
          </w:p>
        </w:tc>
        <w:tc>
          <w:tcPr>
            <w:tcW w:w="1362" w:type="pct"/>
            <w:tcBorders>
              <w:top w:val="nil"/>
              <w:left w:val="nil"/>
              <w:bottom w:val="single" w:color="auto" w:sz="4" w:space="0"/>
              <w:right w:val="single" w:color="auto" w:sz="4" w:space="0"/>
            </w:tcBorders>
            <w:shd w:val="clear" w:color="auto" w:fill="auto"/>
          </w:tcPr>
          <w:p w14:paraId="1373D0A5">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bl>
    <w:p w14:paraId="7C05C7AE">
      <w:pPr>
        <w:rPr>
          <w:rFonts w:ascii="宋体" w:hAnsi="宋体" w:eastAsia="宋体" w:cs="宋体"/>
          <w:color w:val="auto"/>
          <w:szCs w:val="21"/>
        </w:rPr>
      </w:pPr>
    </w:p>
    <w:p w14:paraId="04CA4863">
      <w:pPr>
        <w:rPr>
          <w:rFonts w:ascii="宋体" w:hAnsi="宋体" w:eastAsia="宋体" w:cs="宋体"/>
          <w:color w:val="auto"/>
          <w:szCs w:val="21"/>
        </w:rPr>
      </w:pPr>
    </w:p>
    <w:p w14:paraId="5F47C046">
      <w:pPr>
        <w:rPr>
          <w:rFonts w:ascii="宋体" w:hAnsi="宋体" w:eastAsia="宋体" w:cs="宋体"/>
          <w:color w:val="auto"/>
          <w:szCs w:val="21"/>
        </w:rPr>
      </w:pPr>
    </w:p>
    <w:p w14:paraId="5EA8341D">
      <w:pPr>
        <w:rPr>
          <w:rFonts w:ascii="宋体" w:hAnsi="宋体" w:eastAsia="宋体" w:cs="宋体"/>
          <w:color w:val="auto"/>
          <w:szCs w:val="21"/>
        </w:rPr>
      </w:pPr>
    </w:p>
    <w:p w14:paraId="75E431F2">
      <w:pPr>
        <w:rPr>
          <w:rFonts w:ascii="宋体" w:hAnsi="宋体" w:eastAsia="宋体" w:cs="宋体"/>
          <w:color w:val="auto"/>
          <w:szCs w:val="21"/>
        </w:rPr>
      </w:pPr>
    </w:p>
    <w:p w14:paraId="4E5D02F4">
      <w:pPr>
        <w:widowControl/>
        <w:rPr>
          <w:rFonts w:ascii="宋体" w:hAnsi="宋体" w:eastAsia="宋体" w:cs="宋体"/>
          <w:color w:val="auto"/>
          <w:szCs w:val="21"/>
        </w:rPr>
      </w:pPr>
      <w:r>
        <w:rPr>
          <w:rFonts w:hint="eastAsia" w:ascii="宋体" w:hAnsi="宋体" w:eastAsia="宋体" w:cs="宋体"/>
          <w:color w:val="auto"/>
          <w:szCs w:val="21"/>
        </w:rPr>
        <w:br w:type="page"/>
      </w:r>
    </w:p>
    <w:p w14:paraId="61473629">
      <w:pPr>
        <w:rPr>
          <w:rFonts w:ascii="宋体" w:hAnsi="宋体" w:eastAsia="宋体" w:cs="宋体"/>
          <w:color w:val="auto"/>
          <w:szCs w:val="21"/>
        </w:rPr>
      </w:pPr>
      <w:r>
        <w:rPr>
          <w:rFonts w:hint="eastAsia" w:ascii="宋体" w:hAnsi="宋体" w:eastAsia="宋体" w:cs="宋体"/>
          <w:color w:val="auto"/>
          <w:szCs w:val="21"/>
        </w:rPr>
        <w:t>附件8-2：机电设备维修供应商季度考核评分表（设备管理部）</w:t>
      </w:r>
    </w:p>
    <w:p w14:paraId="03F5B5D7">
      <w:pPr>
        <w:rPr>
          <w:rFonts w:ascii="宋体" w:hAnsi="宋体" w:eastAsia="宋体" w:cs="宋体"/>
          <w:color w:val="auto"/>
          <w:szCs w:val="21"/>
        </w:rPr>
      </w:pPr>
    </w:p>
    <w:tbl>
      <w:tblPr>
        <w:tblStyle w:val="37"/>
        <w:tblW w:w="5000" w:type="pct"/>
        <w:tblInd w:w="0" w:type="dxa"/>
        <w:tblLayout w:type="autofit"/>
        <w:tblCellMar>
          <w:top w:w="0" w:type="dxa"/>
          <w:left w:w="108" w:type="dxa"/>
          <w:bottom w:w="0" w:type="dxa"/>
          <w:right w:w="108" w:type="dxa"/>
        </w:tblCellMar>
      </w:tblPr>
      <w:tblGrid>
        <w:gridCol w:w="1352"/>
        <w:gridCol w:w="776"/>
        <w:gridCol w:w="4696"/>
        <w:gridCol w:w="1404"/>
        <w:gridCol w:w="2142"/>
      </w:tblGrid>
      <w:tr w14:paraId="30CBF9DB">
        <w:trPr>
          <w:trHeight w:val="540" w:hRule="atLeast"/>
        </w:trPr>
        <w:tc>
          <w:tcPr>
            <w:tcW w:w="5000" w:type="pct"/>
            <w:gridSpan w:val="5"/>
            <w:tcBorders>
              <w:top w:val="nil"/>
              <w:left w:val="nil"/>
              <w:bottom w:val="nil"/>
              <w:right w:val="nil"/>
            </w:tcBorders>
            <w:shd w:val="clear" w:color="auto" w:fill="auto"/>
            <w:noWrap/>
            <w:vAlign w:val="center"/>
          </w:tcPr>
          <w:p w14:paraId="044D9EA6">
            <w:pPr>
              <w:widowControl/>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机电设备维修供应商季度考核评分表（设备管理部）</w:t>
            </w:r>
          </w:p>
        </w:tc>
      </w:tr>
      <w:tr w14:paraId="2BFA35F1">
        <w:tblPrEx>
          <w:tblCellMar>
            <w:top w:w="0" w:type="dxa"/>
            <w:left w:w="108" w:type="dxa"/>
            <w:bottom w:w="0" w:type="dxa"/>
            <w:right w:w="108" w:type="dxa"/>
          </w:tblCellMar>
        </w:tblPrEx>
        <w:trPr>
          <w:trHeight w:val="540" w:hRule="atLeast"/>
        </w:trPr>
        <w:tc>
          <w:tcPr>
            <w:tcW w:w="102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3D1F34">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 xml:space="preserve">被考核服务单位名称     </w:t>
            </w:r>
          </w:p>
        </w:tc>
        <w:tc>
          <w:tcPr>
            <w:tcW w:w="2264" w:type="pct"/>
            <w:tcBorders>
              <w:top w:val="single" w:color="auto" w:sz="4" w:space="0"/>
              <w:left w:val="nil"/>
              <w:bottom w:val="single" w:color="auto" w:sz="4" w:space="0"/>
              <w:right w:val="single" w:color="auto" w:sz="4" w:space="0"/>
            </w:tcBorders>
            <w:shd w:val="clear" w:color="auto" w:fill="auto"/>
            <w:noWrap/>
            <w:vAlign w:val="center"/>
          </w:tcPr>
          <w:p w14:paraId="6FE2BCCB">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　</w:t>
            </w:r>
          </w:p>
        </w:tc>
        <w:tc>
          <w:tcPr>
            <w:tcW w:w="677" w:type="pct"/>
            <w:tcBorders>
              <w:top w:val="single" w:color="auto" w:sz="4" w:space="0"/>
              <w:left w:val="nil"/>
              <w:bottom w:val="single" w:color="auto" w:sz="4" w:space="0"/>
              <w:right w:val="single" w:color="auto" w:sz="4" w:space="0"/>
            </w:tcBorders>
            <w:shd w:val="clear" w:color="auto" w:fill="auto"/>
            <w:vAlign w:val="center"/>
          </w:tcPr>
          <w:p w14:paraId="6871ACB5">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分公司</w:t>
            </w:r>
          </w:p>
        </w:tc>
        <w:tc>
          <w:tcPr>
            <w:tcW w:w="1033" w:type="pct"/>
            <w:tcBorders>
              <w:top w:val="single" w:color="auto" w:sz="4" w:space="0"/>
              <w:left w:val="nil"/>
              <w:bottom w:val="single" w:color="auto" w:sz="4" w:space="0"/>
              <w:right w:val="single" w:color="auto" w:sz="4" w:space="0"/>
            </w:tcBorders>
            <w:shd w:val="clear" w:color="auto" w:fill="auto"/>
            <w:vAlign w:val="center"/>
          </w:tcPr>
          <w:p w14:paraId="6BFB8A6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第xx分公司</w:t>
            </w:r>
          </w:p>
        </w:tc>
      </w:tr>
      <w:tr w14:paraId="071C5FF1">
        <w:tblPrEx>
          <w:tblCellMar>
            <w:top w:w="0" w:type="dxa"/>
            <w:left w:w="108" w:type="dxa"/>
            <w:bottom w:w="0" w:type="dxa"/>
            <w:right w:w="108" w:type="dxa"/>
          </w:tblCellMar>
        </w:tblPrEx>
        <w:trPr>
          <w:trHeight w:val="540"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38F416D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考核季度：2022年第x季度               </w:t>
            </w:r>
          </w:p>
        </w:tc>
      </w:tr>
      <w:tr w14:paraId="412184D1">
        <w:tblPrEx>
          <w:tblCellMar>
            <w:top w:w="0" w:type="dxa"/>
            <w:left w:w="108" w:type="dxa"/>
            <w:bottom w:w="0" w:type="dxa"/>
            <w:right w:w="108" w:type="dxa"/>
          </w:tblCellMar>
        </w:tblPrEx>
        <w:trPr>
          <w:trHeight w:val="480" w:hRule="atLeast"/>
        </w:trPr>
        <w:tc>
          <w:tcPr>
            <w:tcW w:w="652" w:type="pct"/>
            <w:vMerge w:val="restart"/>
            <w:tcBorders>
              <w:top w:val="nil"/>
              <w:left w:val="single" w:color="auto" w:sz="4" w:space="0"/>
              <w:bottom w:val="single" w:color="auto" w:sz="4" w:space="0"/>
              <w:right w:val="single" w:color="auto" w:sz="4" w:space="0"/>
            </w:tcBorders>
            <w:shd w:val="clear" w:color="auto" w:fill="auto"/>
            <w:vAlign w:val="center"/>
          </w:tcPr>
          <w:p w14:paraId="6699585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考核项目</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tcPr>
          <w:p w14:paraId="23E01AB7">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扣分上限</w:t>
            </w:r>
          </w:p>
        </w:tc>
        <w:tc>
          <w:tcPr>
            <w:tcW w:w="2264" w:type="pct"/>
            <w:vMerge w:val="restart"/>
            <w:tcBorders>
              <w:top w:val="nil"/>
              <w:left w:val="single" w:color="auto" w:sz="4" w:space="0"/>
              <w:bottom w:val="single" w:color="auto" w:sz="4" w:space="0"/>
              <w:right w:val="single" w:color="auto" w:sz="4" w:space="0"/>
            </w:tcBorders>
            <w:shd w:val="clear" w:color="auto" w:fill="auto"/>
            <w:vAlign w:val="center"/>
          </w:tcPr>
          <w:p w14:paraId="676DAF07">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评分标准（免责条件:非维修单位原因所致的）</w:t>
            </w:r>
          </w:p>
        </w:tc>
        <w:tc>
          <w:tcPr>
            <w:tcW w:w="1710" w:type="pct"/>
            <w:gridSpan w:val="2"/>
            <w:tcBorders>
              <w:top w:val="single" w:color="auto" w:sz="4" w:space="0"/>
              <w:left w:val="nil"/>
              <w:bottom w:val="single" w:color="auto" w:sz="4" w:space="0"/>
              <w:right w:val="single" w:color="000000" w:sz="4" w:space="0"/>
            </w:tcBorders>
            <w:shd w:val="clear" w:color="auto" w:fill="auto"/>
            <w:vAlign w:val="center"/>
          </w:tcPr>
          <w:p w14:paraId="75E0837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设备工管理部评分及备注扣分原由、依据</w:t>
            </w:r>
          </w:p>
        </w:tc>
      </w:tr>
      <w:tr w14:paraId="0B79D40C">
        <w:tblPrEx>
          <w:tblCellMar>
            <w:top w:w="0" w:type="dxa"/>
            <w:left w:w="108" w:type="dxa"/>
            <w:bottom w:w="0" w:type="dxa"/>
            <w:right w:w="108" w:type="dxa"/>
          </w:tblCellMar>
        </w:tblPrEx>
        <w:trPr>
          <w:trHeight w:val="360" w:hRule="atLeast"/>
        </w:trPr>
        <w:tc>
          <w:tcPr>
            <w:tcW w:w="652" w:type="pct"/>
            <w:vMerge w:val="continue"/>
            <w:tcBorders>
              <w:top w:val="nil"/>
              <w:left w:val="single" w:color="auto" w:sz="4" w:space="0"/>
              <w:bottom w:val="single" w:color="auto" w:sz="4" w:space="0"/>
              <w:right w:val="single" w:color="auto" w:sz="4" w:space="0"/>
            </w:tcBorders>
            <w:vAlign w:val="center"/>
          </w:tcPr>
          <w:p w14:paraId="3DF10C22">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636B55C2">
            <w:pPr>
              <w:widowControl/>
              <w:spacing w:line="360" w:lineRule="auto"/>
              <w:contextualSpacing/>
              <w:rPr>
                <w:rFonts w:ascii="宋体" w:hAnsi="宋体" w:eastAsia="宋体" w:cs="宋体"/>
                <w:color w:val="auto"/>
                <w:szCs w:val="21"/>
              </w:rPr>
            </w:pPr>
          </w:p>
        </w:tc>
        <w:tc>
          <w:tcPr>
            <w:tcW w:w="2264" w:type="pct"/>
            <w:vMerge w:val="continue"/>
            <w:tcBorders>
              <w:top w:val="nil"/>
              <w:left w:val="single" w:color="auto" w:sz="4" w:space="0"/>
              <w:bottom w:val="single" w:color="auto" w:sz="4" w:space="0"/>
              <w:right w:val="single" w:color="auto" w:sz="4" w:space="0"/>
            </w:tcBorders>
            <w:vAlign w:val="center"/>
          </w:tcPr>
          <w:p w14:paraId="27C5D26A">
            <w:pPr>
              <w:widowControl/>
              <w:spacing w:line="360" w:lineRule="auto"/>
              <w:contextualSpacing/>
              <w:rPr>
                <w:rFonts w:ascii="宋体" w:hAnsi="宋体" w:eastAsia="宋体" w:cs="宋体"/>
                <w:color w:val="auto"/>
                <w:szCs w:val="21"/>
              </w:rPr>
            </w:pPr>
          </w:p>
        </w:tc>
        <w:tc>
          <w:tcPr>
            <w:tcW w:w="677" w:type="pct"/>
            <w:tcBorders>
              <w:top w:val="nil"/>
              <w:left w:val="nil"/>
              <w:bottom w:val="single" w:color="auto" w:sz="4" w:space="0"/>
              <w:right w:val="single" w:color="auto" w:sz="4" w:space="0"/>
            </w:tcBorders>
            <w:shd w:val="clear" w:color="auto" w:fill="auto"/>
            <w:noWrap/>
            <w:vAlign w:val="center"/>
          </w:tcPr>
          <w:p w14:paraId="6B25E54D">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扣分</w:t>
            </w:r>
          </w:p>
        </w:tc>
        <w:tc>
          <w:tcPr>
            <w:tcW w:w="1033" w:type="pct"/>
            <w:tcBorders>
              <w:top w:val="nil"/>
              <w:left w:val="nil"/>
              <w:bottom w:val="single" w:color="auto" w:sz="4" w:space="0"/>
              <w:right w:val="single" w:color="auto" w:sz="4" w:space="0"/>
            </w:tcBorders>
            <w:shd w:val="clear" w:color="auto" w:fill="auto"/>
            <w:noWrap/>
            <w:vAlign w:val="center"/>
          </w:tcPr>
          <w:p w14:paraId="27DAAF0A">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备注</w:t>
            </w:r>
          </w:p>
        </w:tc>
      </w:tr>
      <w:tr w14:paraId="654DBDB5">
        <w:tblPrEx>
          <w:tblCellMar>
            <w:top w:w="0" w:type="dxa"/>
            <w:left w:w="108" w:type="dxa"/>
            <w:bottom w:w="0" w:type="dxa"/>
            <w:right w:w="108" w:type="dxa"/>
          </w:tblCellMar>
        </w:tblPrEx>
        <w:trPr>
          <w:trHeight w:val="480" w:hRule="atLeast"/>
        </w:trPr>
        <w:tc>
          <w:tcPr>
            <w:tcW w:w="652" w:type="pct"/>
            <w:vMerge w:val="restart"/>
            <w:tcBorders>
              <w:top w:val="nil"/>
              <w:left w:val="single" w:color="auto" w:sz="4" w:space="0"/>
              <w:bottom w:val="single" w:color="000000" w:sz="4" w:space="0"/>
              <w:right w:val="single" w:color="auto" w:sz="4" w:space="0"/>
            </w:tcBorders>
            <w:shd w:val="clear" w:color="auto" w:fill="auto"/>
            <w:vAlign w:val="center"/>
          </w:tcPr>
          <w:p w14:paraId="5BC899C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一、维修响应</w:t>
            </w:r>
          </w:p>
        </w:tc>
        <w:tc>
          <w:tcPr>
            <w:tcW w:w="374" w:type="pct"/>
            <w:vMerge w:val="restart"/>
            <w:tcBorders>
              <w:top w:val="nil"/>
              <w:left w:val="single" w:color="auto" w:sz="4" w:space="0"/>
              <w:bottom w:val="single" w:color="000000" w:sz="4" w:space="0"/>
              <w:right w:val="single" w:color="auto" w:sz="4" w:space="0"/>
            </w:tcBorders>
            <w:shd w:val="clear" w:color="auto" w:fill="auto"/>
            <w:vAlign w:val="center"/>
          </w:tcPr>
          <w:p w14:paraId="39C0B48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15</w:t>
            </w:r>
          </w:p>
        </w:tc>
        <w:tc>
          <w:tcPr>
            <w:tcW w:w="2264" w:type="pct"/>
            <w:tcBorders>
              <w:top w:val="nil"/>
              <w:left w:val="nil"/>
              <w:bottom w:val="single" w:color="auto" w:sz="4" w:space="0"/>
              <w:right w:val="single" w:color="auto" w:sz="4" w:space="0"/>
            </w:tcBorders>
            <w:shd w:val="clear" w:color="auto" w:fill="auto"/>
            <w:vAlign w:val="center"/>
          </w:tcPr>
          <w:p w14:paraId="30DA3FD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1.未能按约定时间回传加盖派单回执，每次扣1分。</w:t>
            </w:r>
          </w:p>
        </w:tc>
        <w:tc>
          <w:tcPr>
            <w:tcW w:w="677" w:type="pct"/>
            <w:tcBorders>
              <w:top w:val="nil"/>
              <w:left w:val="nil"/>
              <w:bottom w:val="single" w:color="auto" w:sz="4" w:space="0"/>
              <w:right w:val="single" w:color="auto" w:sz="4" w:space="0"/>
            </w:tcBorders>
            <w:shd w:val="clear" w:color="auto" w:fill="auto"/>
            <w:vAlign w:val="center"/>
          </w:tcPr>
          <w:p w14:paraId="3FD0CA31">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vAlign w:val="center"/>
          </w:tcPr>
          <w:p w14:paraId="47E98986">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r>
      <w:tr w14:paraId="58B10571">
        <w:tblPrEx>
          <w:tblCellMar>
            <w:top w:w="0" w:type="dxa"/>
            <w:left w:w="108" w:type="dxa"/>
            <w:bottom w:w="0" w:type="dxa"/>
            <w:right w:w="108" w:type="dxa"/>
          </w:tblCellMar>
        </w:tblPrEx>
        <w:trPr>
          <w:trHeight w:val="480" w:hRule="atLeast"/>
        </w:trPr>
        <w:tc>
          <w:tcPr>
            <w:tcW w:w="652" w:type="pct"/>
            <w:vMerge w:val="continue"/>
            <w:tcBorders>
              <w:top w:val="nil"/>
              <w:left w:val="single" w:color="auto" w:sz="4" w:space="0"/>
              <w:bottom w:val="single" w:color="000000" w:sz="4" w:space="0"/>
              <w:right w:val="single" w:color="auto" w:sz="4" w:space="0"/>
            </w:tcBorders>
            <w:vAlign w:val="center"/>
          </w:tcPr>
          <w:p w14:paraId="7273B566">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5C02F26E">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vAlign w:val="center"/>
          </w:tcPr>
          <w:p w14:paraId="781B40D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2.接单后未按规定时间进场实施的，每次扣2分。</w:t>
            </w:r>
          </w:p>
        </w:tc>
        <w:tc>
          <w:tcPr>
            <w:tcW w:w="677" w:type="pct"/>
            <w:tcBorders>
              <w:top w:val="nil"/>
              <w:left w:val="nil"/>
              <w:bottom w:val="single" w:color="auto" w:sz="4" w:space="0"/>
              <w:right w:val="single" w:color="auto" w:sz="4" w:space="0"/>
            </w:tcBorders>
            <w:shd w:val="clear" w:color="auto" w:fill="auto"/>
            <w:vAlign w:val="center"/>
          </w:tcPr>
          <w:p w14:paraId="4893AB55">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vAlign w:val="center"/>
          </w:tcPr>
          <w:p w14:paraId="6420C84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w:t>
            </w:r>
          </w:p>
        </w:tc>
      </w:tr>
      <w:tr w14:paraId="2228CC79">
        <w:tblPrEx>
          <w:tblCellMar>
            <w:top w:w="0" w:type="dxa"/>
            <w:left w:w="108" w:type="dxa"/>
            <w:bottom w:w="0" w:type="dxa"/>
            <w:right w:w="108" w:type="dxa"/>
          </w:tblCellMar>
        </w:tblPrEx>
        <w:trPr>
          <w:trHeight w:val="960" w:hRule="atLeast"/>
        </w:trPr>
        <w:tc>
          <w:tcPr>
            <w:tcW w:w="652" w:type="pct"/>
            <w:vMerge w:val="continue"/>
            <w:tcBorders>
              <w:top w:val="nil"/>
              <w:left w:val="single" w:color="auto" w:sz="4" w:space="0"/>
              <w:bottom w:val="single" w:color="000000" w:sz="4" w:space="0"/>
              <w:right w:val="single" w:color="auto" w:sz="4" w:space="0"/>
            </w:tcBorders>
            <w:vAlign w:val="center"/>
          </w:tcPr>
          <w:p w14:paraId="1A2AA73B">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715E3A7A">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vAlign w:val="center"/>
          </w:tcPr>
          <w:p w14:paraId="46F6556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 未发生不可抗力的情况下，维修单位原因造成没有在规定时间内完成服务内容或没有在规定时间内整改复工的，每次扣3分。</w:t>
            </w:r>
          </w:p>
        </w:tc>
        <w:tc>
          <w:tcPr>
            <w:tcW w:w="677" w:type="pct"/>
            <w:tcBorders>
              <w:top w:val="nil"/>
              <w:left w:val="nil"/>
              <w:bottom w:val="single" w:color="auto" w:sz="4" w:space="0"/>
              <w:right w:val="single" w:color="auto" w:sz="4" w:space="0"/>
            </w:tcBorders>
            <w:shd w:val="clear" w:color="auto" w:fill="auto"/>
          </w:tcPr>
          <w:p w14:paraId="7338213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4B5F4D6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408E2DE3">
        <w:tblPrEx>
          <w:tblCellMar>
            <w:top w:w="0" w:type="dxa"/>
            <w:left w:w="108" w:type="dxa"/>
            <w:bottom w:w="0" w:type="dxa"/>
            <w:right w:w="108" w:type="dxa"/>
          </w:tblCellMar>
        </w:tblPrEx>
        <w:trPr>
          <w:trHeight w:val="642" w:hRule="atLeast"/>
        </w:trPr>
        <w:tc>
          <w:tcPr>
            <w:tcW w:w="652" w:type="pct"/>
            <w:vMerge w:val="continue"/>
            <w:tcBorders>
              <w:top w:val="nil"/>
              <w:left w:val="single" w:color="auto" w:sz="4" w:space="0"/>
              <w:bottom w:val="single" w:color="000000" w:sz="4" w:space="0"/>
              <w:right w:val="single" w:color="auto" w:sz="4" w:space="0"/>
            </w:tcBorders>
            <w:vAlign w:val="center"/>
          </w:tcPr>
          <w:p w14:paraId="1238FAF4">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2F001093">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vAlign w:val="center"/>
          </w:tcPr>
          <w:p w14:paraId="3088982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4.业务履行中发生争议，没有按通知时间到场协商解决的，每次扣3分。</w:t>
            </w:r>
          </w:p>
        </w:tc>
        <w:tc>
          <w:tcPr>
            <w:tcW w:w="677" w:type="pct"/>
            <w:tcBorders>
              <w:top w:val="nil"/>
              <w:left w:val="nil"/>
              <w:bottom w:val="single" w:color="auto" w:sz="4" w:space="0"/>
              <w:right w:val="single" w:color="auto" w:sz="4" w:space="0"/>
            </w:tcBorders>
            <w:shd w:val="clear" w:color="auto" w:fill="auto"/>
          </w:tcPr>
          <w:p w14:paraId="0341748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011FEB2F">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77105862">
        <w:tblPrEx>
          <w:tblCellMar>
            <w:top w:w="0" w:type="dxa"/>
            <w:left w:w="108" w:type="dxa"/>
            <w:bottom w:w="0" w:type="dxa"/>
            <w:right w:w="108" w:type="dxa"/>
          </w:tblCellMar>
        </w:tblPrEx>
        <w:trPr>
          <w:trHeight w:val="1039" w:hRule="atLeast"/>
        </w:trPr>
        <w:tc>
          <w:tcPr>
            <w:tcW w:w="652" w:type="pct"/>
            <w:vMerge w:val="restart"/>
            <w:tcBorders>
              <w:top w:val="nil"/>
              <w:left w:val="single" w:color="auto" w:sz="4" w:space="0"/>
              <w:bottom w:val="single" w:color="auto" w:sz="4" w:space="0"/>
              <w:right w:val="single" w:color="auto" w:sz="4" w:space="0"/>
            </w:tcBorders>
            <w:shd w:val="clear" w:color="auto" w:fill="auto"/>
            <w:vAlign w:val="center"/>
          </w:tcPr>
          <w:p w14:paraId="298336B3">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二、人员及设备</w:t>
            </w:r>
          </w:p>
          <w:p w14:paraId="29D64493">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配置</w:t>
            </w:r>
          </w:p>
        </w:tc>
        <w:tc>
          <w:tcPr>
            <w:tcW w:w="374" w:type="pct"/>
            <w:vMerge w:val="restart"/>
            <w:tcBorders>
              <w:top w:val="nil"/>
              <w:left w:val="single" w:color="auto" w:sz="4" w:space="0"/>
              <w:bottom w:val="nil"/>
              <w:right w:val="single" w:color="auto" w:sz="4" w:space="0"/>
            </w:tcBorders>
            <w:shd w:val="clear" w:color="auto" w:fill="auto"/>
            <w:vAlign w:val="center"/>
          </w:tcPr>
          <w:p w14:paraId="1C118330">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10</w:t>
            </w:r>
          </w:p>
        </w:tc>
        <w:tc>
          <w:tcPr>
            <w:tcW w:w="2264" w:type="pct"/>
            <w:tcBorders>
              <w:top w:val="nil"/>
              <w:left w:val="nil"/>
              <w:bottom w:val="single" w:color="auto" w:sz="4" w:space="0"/>
              <w:right w:val="single" w:color="auto" w:sz="4" w:space="0"/>
            </w:tcBorders>
            <w:shd w:val="clear" w:color="auto" w:fill="auto"/>
            <w:vAlign w:val="center"/>
          </w:tcPr>
          <w:p w14:paraId="66E27C5C">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1.未按合同要求配备不少于100平方的电机维修车间，不具备200KW以下潜水泵维修能力，不具有配套齐全的专业维修工器具，扣5分。</w:t>
            </w:r>
          </w:p>
        </w:tc>
        <w:tc>
          <w:tcPr>
            <w:tcW w:w="677" w:type="pct"/>
            <w:tcBorders>
              <w:top w:val="nil"/>
              <w:left w:val="nil"/>
              <w:bottom w:val="single" w:color="auto" w:sz="4" w:space="0"/>
              <w:right w:val="single" w:color="auto" w:sz="4" w:space="0"/>
            </w:tcBorders>
            <w:shd w:val="clear" w:color="auto" w:fill="auto"/>
          </w:tcPr>
          <w:p w14:paraId="19C9D0E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6E6014F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2F69EDF8">
        <w:tblPrEx>
          <w:tblCellMar>
            <w:top w:w="0" w:type="dxa"/>
            <w:left w:w="108" w:type="dxa"/>
            <w:bottom w:w="0" w:type="dxa"/>
            <w:right w:w="108" w:type="dxa"/>
          </w:tblCellMar>
        </w:tblPrEx>
        <w:trPr>
          <w:trHeight w:val="642" w:hRule="atLeast"/>
        </w:trPr>
        <w:tc>
          <w:tcPr>
            <w:tcW w:w="652" w:type="pct"/>
            <w:vMerge w:val="continue"/>
            <w:tcBorders>
              <w:top w:val="nil"/>
              <w:left w:val="single" w:color="auto" w:sz="4" w:space="0"/>
              <w:bottom w:val="single" w:color="auto" w:sz="4" w:space="0"/>
              <w:right w:val="single" w:color="auto" w:sz="4" w:space="0"/>
            </w:tcBorders>
            <w:vAlign w:val="center"/>
          </w:tcPr>
          <w:p w14:paraId="491BAB1A">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nil"/>
              <w:right w:val="single" w:color="auto" w:sz="4" w:space="0"/>
            </w:tcBorders>
            <w:vAlign w:val="center"/>
          </w:tcPr>
          <w:p w14:paraId="457FD5E4">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vAlign w:val="center"/>
          </w:tcPr>
          <w:p w14:paraId="543D76A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2.未经合同要求提交配置相应人员或者人员资格不符合要求的，每人扣1分。</w:t>
            </w:r>
          </w:p>
        </w:tc>
        <w:tc>
          <w:tcPr>
            <w:tcW w:w="677" w:type="pct"/>
            <w:tcBorders>
              <w:top w:val="nil"/>
              <w:left w:val="nil"/>
              <w:bottom w:val="single" w:color="auto" w:sz="4" w:space="0"/>
              <w:right w:val="single" w:color="auto" w:sz="4" w:space="0"/>
            </w:tcBorders>
            <w:shd w:val="clear" w:color="auto" w:fill="auto"/>
          </w:tcPr>
          <w:p w14:paraId="54FEA56F">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481D845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41F5DCA1">
        <w:tblPrEx>
          <w:tblCellMar>
            <w:top w:w="0" w:type="dxa"/>
            <w:left w:w="108" w:type="dxa"/>
            <w:bottom w:w="0" w:type="dxa"/>
            <w:right w:w="108" w:type="dxa"/>
          </w:tblCellMar>
        </w:tblPrEx>
        <w:trPr>
          <w:trHeight w:val="642" w:hRule="atLeast"/>
        </w:trPr>
        <w:tc>
          <w:tcPr>
            <w:tcW w:w="652" w:type="pct"/>
            <w:vMerge w:val="continue"/>
            <w:tcBorders>
              <w:top w:val="nil"/>
              <w:left w:val="single" w:color="auto" w:sz="4" w:space="0"/>
              <w:bottom w:val="single" w:color="auto" w:sz="4" w:space="0"/>
              <w:right w:val="single" w:color="auto" w:sz="4" w:space="0"/>
            </w:tcBorders>
            <w:vAlign w:val="center"/>
          </w:tcPr>
          <w:p w14:paraId="0DDB1512">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nil"/>
              <w:right w:val="single" w:color="auto" w:sz="4" w:space="0"/>
            </w:tcBorders>
            <w:vAlign w:val="center"/>
          </w:tcPr>
          <w:p w14:paraId="28C3FC14">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vAlign w:val="center"/>
          </w:tcPr>
          <w:p w14:paraId="01AA490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3.飞行检查时，现场负责人或安全员不在岗的，每发现一次扣2分。</w:t>
            </w:r>
          </w:p>
        </w:tc>
        <w:tc>
          <w:tcPr>
            <w:tcW w:w="677" w:type="pct"/>
            <w:tcBorders>
              <w:top w:val="nil"/>
              <w:left w:val="nil"/>
              <w:bottom w:val="single" w:color="auto" w:sz="4" w:space="0"/>
              <w:right w:val="single" w:color="auto" w:sz="4" w:space="0"/>
            </w:tcBorders>
            <w:shd w:val="clear" w:color="auto" w:fill="auto"/>
          </w:tcPr>
          <w:p w14:paraId="7CBF9EF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5E42C11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D45E371">
        <w:tblPrEx>
          <w:tblCellMar>
            <w:top w:w="0" w:type="dxa"/>
            <w:left w:w="108" w:type="dxa"/>
            <w:bottom w:w="0" w:type="dxa"/>
            <w:right w:w="108" w:type="dxa"/>
          </w:tblCellMar>
        </w:tblPrEx>
        <w:trPr>
          <w:trHeight w:val="642" w:hRule="atLeast"/>
        </w:trPr>
        <w:tc>
          <w:tcPr>
            <w:tcW w:w="652" w:type="pct"/>
            <w:vMerge w:val="restart"/>
            <w:tcBorders>
              <w:top w:val="nil"/>
              <w:left w:val="single" w:color="auto" w:sz="4" w:space="0"/>
              <w:bottom w:val="single" w:color="auto" w:sz="4" w:space="0"/>
              <w:right w:val="single" w:color="auto" w:sz="4" w:space="0"/>
            </w:tcBorders>
            <w:shd w:val="clear" w:color="auto" w:fill="auto"/>
            <w:vAlign w:val="center"/>
          </w:tcPr>
          <w:p w14:paraId="101DE774">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三、服务质量</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45143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w:t>
            </w:r>
          </w:p>
        </w:tc>
        <w:tc>
          <w:tcPr>
            <w:tcW w:w="2264" w:type="pct"/>
            <w:tcBorders>
              <w:top w:val="nil"/>
              <w:left w:val="nil"/>
              <w:bottom w:val="single" w:color="auto" w:sz="4" w:space="0"/>
              <w:right w:val="single" w:color="auto" w:sz="4" w:space="0"/>
            </w:tcBorders>
            <w:shd w:val="clear" w:color="auto" w:fill="auto"/>
            <w:vAlign w:val="center"/>
          </w:tcPr>
          <w:p w14:paraId="03269D3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1.质保期内，因维修质量出现返修的，每次扣2分。</w:t>
            </w:r>
          </w:p>
        </w:tc>
        <w:tc>
          <w:tcPr>
            <w:tcW w:w="677" w:type="pct"/>
            <w:tcBorders>
              <w:top w:val="nil"/>
              <w:left w:val="nil"/>
              <w:bottom w:val="single" w:color="auto" w:sz="4" w:space="0"/>
              <w:right w:val="single" w:color="auto" w:sz="4" w:space="0"/>
            </w:tcBorders>
            <w:shd w:val="clear" w:color="auto" w:fill="auto"/>
          </w:tcPr>
          <w:p w14:paraId="7B690E4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0855C3D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51DDACB1">
        <w:tblPrEx>
          <w:tblCellMar>
            <w:top w:w="0" w:type="dxa"/>
            <w:left w:w="108" w:type="dxa"/>
            <w:bottom w:w="0" w:type="dxa"/>
            <w:right w:w="108" w:type="dxa"/>
          </w:tblCellMar>
        </w:tblPrEx>
        <w:trPr>
          <w:trHeight w:val="642" w:hRule="atLeast"/>
        </w:trPr>
        <w:tc>
          <w:tcPr>
            <w:tcW w:w="652" w:type="pct"/>
            <w:vMerge w:val="continue"/>
            <w:tcBorders>
              <w:top w:val="nil"/>
              <w:left w:val="single" w:color="auto" w:sz="4" w:space="0"/>
              <w:bottom w:val="single" w:color="auto" w:sz="4" w:space="0"/>
              <w:right w:val="single" w:color="auto" w:sz="4" w:space="0"/>
            </w:tcBorders>
            <w:vAlign w:val="center"/>
          </w:tcPr>
          <w:p w14:paraId="5D3360EF">
            <w:pPr>
              <w:widowControl/>
              <w:spacing w:line="360" w:lineRule="auto"/>
              <w:contextualSpacing/>
              <w:rPr>
                <w:rFonts w:ascii="宋体" w:hAnsi="宋体" w:eastAsia="宋体" w:cs="宋体"/>
                <w:color w:val="auto"/>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171A8678">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tcPr>
          <w:p w14:paraId="6FA574AB">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 未按约定时间足额支付工人工资及设备租赁费用的，发生劳资纠纷的，每发现1次扣5分。</w:t>
            </w:r>
          </w:p>
        </w:tc>
        <w:tc>
          <w:tcPr>
            <w:tcW w:w="677" w:type="pct"/>
            <w:tcBorders>
              <w:top w:val="nil"/>
              <w:left w:val="nil"/>
              <w:bottom w:val="single" w:color="auto" w:sz="4" w:space="0"/>
              <w:right w:val="single" w:color="auto" w:sz="4" w:space="0"/>
            </w:tcBorders>
            <w:shd w:val="clear" w:color="auto" w:fill="auto"/>
          </w:tcPr>
          <w:p w14:paraId="3979C47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0F7335A5">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1AE9BD25">
        <w:tblPrEx>
          <w:tblCellMar>
            <w:top w:w="0" w:type="dxa"/>
            <w:left w:w="108" w:type="dxa"/>
            <w:bottom w:w="0" w:type="dxa"/>
            <w:right w:w="108" w:type="dxa"/>
          </w:tblCellMar>
        </w:tblPrEx>
        <w:trPr>
          <w:trHeight w:val="660" w:hRule="atLeast"/>
        </w:trPr>
        <w:tc>
          <w:tcPr>
            <w:tcW w:w="652" w:type="pct"/>
            <w:vMerge w:val="continue"/>
            <w:tcBorders>
              <w:top w:val="nil"/>
              <w:left w:val="single" w:color="auto" w:sz="4" w:space="0"/>
              <w:bottom w:val="single" w:color="auto" w:sz="4" w:space="0"/>
              <w:right w:val="single" w:color="auto" w:sz="4" w:space="0"/>
            </w:tcBorders>
            <w:vAlign w:val="center"/>
          </w:tcPr>
          <w:p w14:paraId="4036F385">
            <w:pPr>
              <w:widowControl/>
              <w:spacing w:line="360" w:lineRule="auto"/>
              <w:contextualSpacing/>
              <w:rPr>
                <w:rFonts w:ascii="宋体" w:hAnsi="宋体" w:eastAsia="宋体" w:cs="宋体"/>
                <w:color w:val="auto"/>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1728FA67">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vAlign w:val="center"/>
          </w:tcPr>
          <w:p w14:paraId="1A1B070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3.项目实施中，出现被约谈、发函催促、警告的，每次扣5分。</w:t>
            </w:r>
          </w:p>
        </w:tc>
        <w:tc>
          <w:tcPr>
            <w:tcW w:w="677" w:type="pct"/>
            <w:tcBorders>
              <w:top w:val="nil"/>
              <w:left w:val="nil"/>
              <w:bottom w:val="single" w:color="auto" w:sz="4" w:space="0"/>
              <w:right w:val="single" w:color="auto" w:sz="4" w:space="0"/>
            </w:tcBorders>
            <w:shd w:val="clear" w:color="auto" w:fill="auto"/>
          </w:tcPr>
          <w:p w14:paraId="19E9679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2A36FF3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030E2B8C">
        <w:tblPrEx>
          <w:tblCellMar>
            <w:top w:w="0" w:type="dxa"/>
            <w:left w:w="108" w:type="dxa"/>
            <w:bottom w:w="0" w:type="dxa"/>
            <w:right w:w="108" w:type="dxa"/>
          </w:tblCellMar>
        </w:tblPrEx>
        <w:trPr>
          <w:trHeight w:val="630" w:hRule="atLeast"/>
        </w:trPr>
        <w:tc>
          <w:tcPr>
            <w:tcW w:w="652" w:type="pct"/>
            <w:vMerge w:val="continue"/>
            <w:tcBorders>
              <w:top w:val="nil"/>
              <w:left w:val="single" w:color="auto" w:sz="4" w:space="0"/>
              <w:bottom w:val="single" w:color="auto" w:sz="4" w:space="0"/>
              <w:right w:val="single" w:color="auto" w:sz="4" w:space="0"/>
            </w:tcBorders>
            <w:vAlign w:val="center"/>
          </w:tcPr>
          <w:p w14:paraId="1409F7F4">
            <w:pPr>
              <w:widowControl/>
              <w:spacing w:line="360" w:lineRule="auto"/>
              <w:contextualSpacing/>
              <w:rPr>
                <w:rFonts w:ascii="宋体" w:hAnsi="宋体" w:eastAsia="宋体" w:cs="宋体"/>
                <w:color w:val="auto"/>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5D7A185E">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tcPr>
          <w:p w14:paraId="3005A7F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 维修效率低效，出现项目实施延期的，每发生2次扣3分。</w:t>
            </w:r>
          </w:p>
        </w:tc>
        <w:tc>
          <w:tcPr>
            <w:tcW w:w="677" w:type="pct"/>
            <w:tcBorders>
              <w:top w:val="nil"/>
              <w:left w:val="nil"/>
              <w:bottom w:val="single" w:color="auto" w:sz="4" w:space="0"/>
              <w:right w:val="single" w:color="auto" w:sz="4" w:space="0"/>
            </w:tcBorders>
            <w:shd w:val="clear" w:color="auto" w:fill="auto"/>
          </w:tcPr>
          <w:p w14:paraId="640A6695">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7E0E3B8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7BC2C175">
        <w:tblPrEx>
          <w:tblCellMar>
            <w:top w:w="0" w:type="dxa"/>
            <w:left w:w="108" w:type="dxa"/>
            <w:bottom w:w="0" w:type="dxa"/>
            <w:right w:w="108" w:type="dxa"/>
          </w:tblCellMar>
        </w:tblPrEx>
        <w:trPr>
          <w:trHeight w:val="642" w:hRule="atLeast"/>
        </w:trPr>
        <w:tc>
          <w:tcPr>
            <w:tcW w:w="652" w:type="pct"/>
            <w:vMerge w:val="restart"/>
            <w:tcBorders>
              <w:top w:val="nil"/>
              <w:left w:val="single" w:color="auto" w:sz="4" w:space="0"/>
              <w:bottom w:val="single" w:color="000000" w:sz="4" w:space="0"/>
              <w:right w:val="single" w:color="auto" w:sz="4" w:space="0"/>
            </w:tcBorders>
            <w:shd w:val="clear" w:color="auto" w:fill="auto"/>
            <w:vAlign w:val="center"/>
          </w:tcPr>
          <w:p w14:paraId="51A93F3F">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四、安全管理</w:t>
            </w:r>
          </w:p>
        </w:tc>
        <w:tc>
          <w:tcPr>
            <w:tcW w:w="374" w:type="pct"/>
            <w:vMerge w:val="restart"/>
            <w:tcBorders>
              <w:top w:val="nil"/>
              <w:left w:val="single" w:color="auto" w:sz="4" w:space="0"/>
              <w:bottom w:val="single" w:color="000000" w:sz="4" w:space="0"/>
              <w:right w:val="single" w:color="auto" w:sz="4" w:space="0"/>
            </w:tcBorders>
            <w:shd w:val="clear" w:color="auto" w:fill="auto"/>
            <w:vAlign w:val="center"/>
          </w:tcPr>
          <w:p w14:paraId="64EC463A">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w:t>
            </w:r>
          </w:p>
        </w:tc>
        <w:tc>
          <w:tcPr>
            <w:tcW w:w="2264" w:type="pct"/>
            <w:tcBorders>
              <w:top w:val="nil"/>
              <w:left w:val="nil"/>
              <w:bottom w:val="single" w:color="auto" w:sz="4" w:space="0"/>
              <w:right w:val="single" w:color="auto" w:sz="4" w:space="0"/>
            </w:tcBorders>
            <w:shd w:val="clear" w:color="auto" w:fill="auto"/>
            <w:vAlign w:val="center"/>
          </w:tcPr>
          <w:p w14:paraId="574F16F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 项目飞行检查中，特种作业人员、 安全员、电焊工等人员没有持证上岗的，每人每次扣2分。</w:t>
            </w:r>
          </w:p>
        </w:tc>
        <w:tc>
          <w:tcPr>
            <w:tcW w:w="677" w:type="pct"/>
            <w:tcBorders>
              <w:top w:val="nil"/>
              <w:left w:val="nil"/>
              <w:bottom w:val="single" w:color="auto" w:sz="4" w:space="0"/>
              <w:right w:val="single" w:color="auto" w:sz="4" w:space="0"/>
            </w:tcBorders>
            <w:shd w:val="clear" w:color="auto" w:fill="auto"/>
          </w:tcPr>
          <w:p w14:paraId="1030807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2FBCDEF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12193B2E">
        <w:tblPrEx>
          <w:tblCellMar>
            <w:top w:w="0" w:type="dxa"/>
            <w:left w:w="108" w:type="dxa"/>
            <w:bottom w:w="0" w:type="dxa"/>
            <w:right w:w="108" w:type="dxa"/>
          </w:tblCellMar>
        </w:tblPrEx>
        <w:trPr>
          <w:trHeight w:val="642" w:hRule="atLeast"/>
        </w:trPr>
        <w:tc>
          <w:tcPr>
            <w:tcW w:w="652" w:type="pct"/>
            <w:vMerge w:val="continue"/>
            <w:tcBorders>
              <w:top w:val="nil"/>
              <w:left w:val="single" w:color="auto" w:sz="4" w:space="0"/>
              <w:bottom w:val="single" w:color="000000" w:sz="4" w:space="0"/>
              <w:right w:val="single" w:color="auto" w:sz="4" w:space="0"/>
            </w:tcBorders>
            <w:vAlign w:val="center"/>
          </w:tcPr>
          <w:p w14:paraId="79849EE2">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6FD04E31">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vAlign w:val="center"/>
          </w:tcPr>
          <w:p w14:paraId="2554A50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2.项目飞行检查中，人员未经安全教育及安全交底，未按要求配齐安全防护用具的，每发现一次扣5分。</w:t>
            </w:r>
          </w:p>
        </w:tc>
        <w:tc>
          <w:tcPr>
            <w:tcW w:w="677" w:type="pct"/>
            <w:tcBorders>
              <w:top w:val="nil"/>
              <w:left w:val="nil"/>
              <w:bottom w:val="single" w:color="auto" w:sz="4" w:space="0"/>
              <w:right w:val="single" w:color="auto" w:sz="4" w:space="0"/>
            </w:tcBorders>
            <w:shd w:val="clear" w:color="auto" w:fill="auto"/>
          </w:tcPr>
          <w:p w14:paraId="3B4B3DA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508825A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3034401E">
        <w:tblPrEx>
          <w:tblCellMar>
            <w:top w:w="0" w:type="dxa"/>
            <w:left w:w="108" w:type="dxa"/>
            <w:bottom w:w="0" w:type="dxa"/>
            <w:right w:w="108" w:type="dxa"/>
          </w:tblCellMar>
        </w:tblPrEx>
        <w:trPr>
          <w:trHeight w:val="642" w:hRule="atLeast"/>
        </w:trPr>
        <w:tc>
          <w:tcPr>
            <w:tcW w:w="652" w:type="pct"/>
            <w:vMerge w:val="continue"/>
            <w:tcBorders>
              <w:top w:val="nil"/>
              <w:left w:val="single" w:color="auto" w:sz="4" w:space="0"/>
              <w:bottom w:val="single" w:color="000000" w:sz="4" w:space="0"/>
              <w:right w:val="single" w:color="auto" w:sz="4" w:space="0"/>
            </w:tcBorders>
            <w:vAlign w:val="center"/>
          </w:tcPr>
          <w:p w14:paraId="6D00206F">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38E94287">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vAlign w:val="center"/>
          </w:tcPr>
          <w:p w14:paraId="67AA06CA">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3.未按要求开展专项演练、安全演练的（两个季度1次），每次扣3分。</w:t>
            </w:r>
          </w:p>
        </w:tc>
        <w:tc>
          <w:tcPr>
            <w:tcW w:w="677" w:type="pct"/>
            <w:tcBorders>
              <w:top w:val="nil"/>
              <w:left w:val="nil"/>
              <w:bottom w:val="single" w:color="auto" w:sz="4" w:space="0"/>
              <w:right w:val="single" w:color="auto" w:sz="4" w:space="0"/>
            </w:tcBorders>
            <w:shd w:val="clear" w:color="auto" w:fill="auto"/>
          </w:tcPr>
          <w:p w14:paraId="00D353BF">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noWrap/>
            <w:vAlign w:val="center"/>
          </w:tcPr>
          <w:p w14:paraId="46406A21">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0897825F">
        <w:tblPrEx>
          <w:tblCellMar>
            <w:top w:w="0" w:type="dxa"/>
            <w:left w:w="108" w:type="dxa"/>
            <w:bottom w:w="0" w:type="dxa"/>
            <w:right w:w="108" w:type="dxa"/>
          </w:tblCellMar>
        </w:tblPrEx>
        <w:trPr>
          <w:trHeight w:val="702" w:hRule="atLeast"/>
        </w:trPr>
        <w:tc>
          <w:tcPr>
            <w:tcW w:w="652" w:type="pct"/>
            <w:vMerge w:val="continue"/>
            <w:tcBorders>
              <w:top w:val="nil"/>
              <w:left w:val="single" w:color="auto" w:sz="4" w:space="0"/>
              <w:bottom w:val="single" w:color="000000" w:sz="4" w:space="0"/>
              <w:right w:val="single" w:color="auto" w:sz="4" w:space="0"/>
            </w:tcBorders>
            <w:vAlign w:val="center"/>
          </w:tcPr>
          <w:p w14:paraId="5F8C92D1">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2EE9468D">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tcPr>
          <w:p w14:paraId="464454E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4.未按要求定期组织其所有服务人员参加相关安全培训（每季度一次），购买人身意外伤害保险，扣5分。</w:t>
            </w:r>
          </w:p>
        </w:tc>
        <w:tc>
          <w:tcPr>
            <w:tcW w:w="677" w:type="pct"/>
            <w:tcBorders>
              <w:top w:val="nil"/>
              <w:left w:val="nil"/>
              <w:bottom w:val="single" w:color="auto" w:sz="4" w:space="0"/>
              <w:right w:val="single" w:color="auto" w:sz="4" w:space="0"/>
            </w:tcBorders>
            <w:shd w:val="clear" w:color="auto" w:fill="auto"/>
          </w:tcPr>
          <w:p w14:paraId="467A1F4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560E95D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4DA145C1">
        <w:tblPrEx>
          <w:tblCellMar>
            <w:top w:w="0" w:type="dxa"/>
            <w:left w:w="108" w:type="dxa"/>
            <w:bottom w:w="0" w:type="dxa"/>
            <w:right w:w="108" w:type="dxa"/>
          </w:tblCellMar>
        </w:tblPrEx>
        <w:trPr>
          <w:trHeight w:val="360" w:hRule="atLeast"/>
        </w:trPr>
        <w:tc>
          <w:tcPr>
            <w:tcW w:w="652" w:type="pct"/>
            <w:vMerge w:val="restart"/>
            <w:tcBorders>
              <w:top w:val="nil"/>
              <w:left w:val="single" w:color="auto" w:sz="4" w:space="0"/>
              <w:bottom w:val="single" w:color="000000" w:sz="4" w:space="0"/>
              <w:right w:val="single" w:color="auto" w:sz="4" w:space="0"/>
            </w:tcBorders>
            <w:shd w:val="clear" w:color="auto" w:fill="auto"/>
            <w:vAlign w:val="center"/>
          </w:tcPr>
          <w:p w14:paraId="37713680">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五、资料管理</w:t>
            </w:r>
          </w:p>
        </w:tc>
        <w:tc>
          <w:tcPr>
            <w:tcW w:w="374" w:type="pct"/>
            <w:vMerge w:val="restart"/>
            <w:tcBorders>
              <w:top w:val="nil"/>
              <w:left w:val="single" w:color="auto" w:sz="4" w:space="0"/>
              <w:bottom w:val="single" w:color="000000" w:sz="4" w:space="0"/>
              <w:right w:val="single" w:color="auto" w:sz="4" w:space="0"/>
            </w:tcBorders>
            <w:shd w:val="clear" w:color="auto" w:fill="auto"/>
            <w:vAlign w:val="center"/>
          </w:tcPr>
          <w:p w14:paraId="0D44AAFD">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15</w:t>
            </w:r>
          </w:p>
        </w:tc>
        <w:tc>
          <w:tcPr>
            <w:tcW w:w="2264" w:type="pct"/>
            <w:tcBorders>
              <w:top w:val="nil"/>
              <w:left w:val="nil"/>
              <w:bottom w:val="single" w:color="auto" w:sz="4" w:space="0"/>
              <w:right w:val="single" w:color="auto" w:sz="4" w:space="0"/>
            </w:tcBorders>
            <w:shd w:val="clear" w:color="auto" w:fill="auto"/>
          </w:tcPr>
          <w:p w14:paraId="1E60614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1.未按规定时间编制项目结算资料的，每次扣2分。</w:t>
            </w:r>
          </w:p>
        </w:tc>
        <w:tc>
          <w:tcPr>
            <w:tcW w:w="677" w:type="pct"/>
            <w:tcBorders>
              <w:top w:val="nil"/>
              <w:left w:val="nil"/>
              <w:bottom w:val="single" w:color="auto" w:sz="4" w:space="0"/>
              <w:right w:val="single" w:color="auto" w:sz="4" w:space="0"/>
            </w:tcBorders>
            <w:shd w:val="clear" w:color="auto" w:fill="auto"/>
          </w:tcPr>
          <w:p w14:paraId="72800767">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34A8DFDF">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60F40814">
        <w:tblPrEx>
          <w:tblCellMar>
            <w:top w:w="0" w:type="dxa"/>
            <w:left w:w="108" w:type="dxa"/>
            <w:bottom w:w="0" w:type="dxa"/>
            <w:right w:w="108" w:type="dxa"/>
          </w:tblCellMar>
        </w:tblPrEx>
        <w:trPr>
          <w:trHeight w:val="360" w:hRule="atLeast"/>
        </w:trPr>
        <w:tc>
          <w:tcPr>
            <w:tcW w:w="652" w:type="pct"/>
            <w:vMerge w:val="continue"/>
            <w:tcBorders>
              <w:top w:val="nil"/>
              <w:left w:val="single" w:color="auto" w:sz="4" w:space="0"/>
              <w:bottom w:val="single" w:color="000000" w:sz="4" w:space="0"/>
              <w:right w:val="single" w:color="auto" w:sz="4" w:space="0"/>
            </w:tcBorders>
            <w:vAlign w:val="center"/>
          </w:tcPr>
          <w:p w14:paraId="3EFDCB7D">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2974541A">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tcPr>
          <w:p w14:paraId="6ECB2D2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2.结算资料编制出现错误，每被回退一次扣1分。</w:t>
            </w:r>
          </w:p>
        </w:tc>
        <w:tc>
          <w:tcPr>
            <w:tcW w:w="677" w:type="pct"/>
            <w:tcBorders>
              <w:top w:val="nil"/>
              <w:left w:val="nil"/>
              <w:bottom w:val="single" w:color="auto" w:sz="4" w:space="0"/>
              <w:right w:val="single" w:color="auto" w:sz="4" w:space="0"/>
            </w:tcBorders>
            <w:shd w:val="clear" w:color="auto" w:fill="auto"/>
          </w:tcPr>
          <w:p w14:paraId="03911F5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716C408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1CC819D0">
        <w:tblPrEx>
          <w:tblCellMar>
            <w:top w:w="0" w:type="dxa"/>
            <w:left w:w="108" w:type="dxa"/>
            <w:bottom w:w="0" w:type="dxa"/>
            <w:right w:w="108" w:type="dxa"/>
          </w:tblCellMar>
        </w:tblPrEx>
        <w:trPr>
          <w:trHeight w:val="360" w:hRule="atLeast"/>
        </w:trPr>
        <w:tc>
          <w:tcPr>
            <w:tcW w:w="652" w:type="pct"/>
            <w:vMerge w:val="continue"/>
            <w:tcBorders>
              <w:top w:val="nil"/>
              <w:left w:val="single" w:color="auto" w:sz="4" w:space="0"/>
              <w:bottom w:val="single" w:color="000000" w:sz="4" w:space="0"/>
              <w:right w:val="single" w:color="auto" w:sz="4" w:space="0"/>
            </w:tcBorders>
            <w:vAlign w:val="center"/>
          </w:tcPr>
          <w:p w14:paraId="0CE6D87C">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0F0BD222">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vAlign w:val="center"/>
          </w:tcPr>
          <w:p w14:paraId="538927F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3.出现单方面结算，每次扣2分。</w:t>
            </w:r>
          </w:p>
        </w:tc>
        <w:tc>
          <w:tcPr>
            <w:tcW w:w="677" w:type="pct"/>
            <w:tcBorders>
              <w:top w:val="nil"/>
              <w:left w:val="nil"/>
              <w:bottom w:val="single" w:color="auto" w:sz="4" w:space="0"/>
              <w:right w:val="single" w:color="auto" w:sz="4" w:space="0"/>
            </w:tcBorders>
            <w:shd w:val="clear" w:color="auto" w:fill="auto"/>
          </w:tcPr>
          <w:p w14:paraId="4FCED86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4D504DD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342D9222">
        <w:tblPrEx>
          <w:tblCellMar>
            <w:top w:w="0" w:type="dxa"/>
            <w:left w:w="108" w:type="dxa"/>
            <w:bottom w:w="0" w:type="dxa"/>
            <w:right w:w="108" w:type="dxa"/>
          </w:tblCellMar>
        </w:tblPrEx>
        <w:trPr>
          <w:trHeight w:val="642" w:hRule="atLeast"/>
        </w:trPr>
        <w:tc>
          <w:tcPr>
            <w:tcW w:w="652" w:type="pct"/>
            <w:vMerge w:val="continue"/>
            <w:tcBorders>
              <w:top w:val="nil"/>
              <w:left w:val="single" w:color="auto" w:sz="4" w:space="0"/>
              <w:bottom w:val="single" w:color="000000" w:sz="4" w:space="0"/>
              <w:right w:val="single" w:color="auto" w:sz="4" w:space="0"/>
            </w:tcBorders>
            <w:vAlign w:val="center"/>
          </w:tcPr>
          <w:p w14:paraId="43930413">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7A1019A0">
            <w:pPr>
              <w:widowControl/>
              <w:spacing w:line="360" w:lineRule="auto"/>
              <w:contextualSpacing/>
              <w:rPr>
                <w:rFonts w:ascii="宋体" w:hAnsi="宋体" w:eastAsia="宋体" w:cs="宋体"/>
                <w:color w:val="auto"/>
                <w:szCs w:val="21"/>
              </w:rPr>
            </w:pPr>
          </w:p>
        </w:tc>
        <w:tc>
          <w:tcPr>
            <w:tcW w:w="2264" w:type="pct"/>
            <w:tcBorders>
              <w:top w:val="nil"/>
              <w:left w:val="nil"/>
              <w:bottom w:val="nil"/>
              <w:right w:val="nil"/>
            </w:tcBorders>
            <w:shd w:val="clear" w:color="auto" w:fill="auto"/>
            <w:vAlign w:val="center"/>
          </w:tcPr>
          <w:p w14:paraId="56B40F54">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4.未按时参加甲方组织审核对数的，无法拿出有效佐证材料的，每次扣2分。</w:t>
            </w:r>
          </w:p>
        </w:tc>
        <w:tc>
          <w:tcPr>
            <w:tcW w:w="677" w:type="pct"/>
            <w:tcBorders>
              <w:top w:val="nil"/>
              <w:left w:val="single" w:color="auto" w:sz="4" w:space="0"/>
              <w:bottom w:val="single" w:color="auto" w:sz="4" w:space="0"/>
              <w:right w:val="single" w:color="auto" w:sz="4" w:space="0"/>
            </w:tcBorders>
            <w:shd w:val="clear" w:color="auto" w:fill="auto"/>
          </w:tcPr>
          <w:p w14:paraId="54BCDB4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6C3479B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2982D966">
        <w:tblPrEx>
          <w:tblCellMar>
            <w:top w:w="0" w:type="dxa"/>
            <w:left w:w="108" w:type="dxa"/>
            <w:bottom w:w="0" w:type="dxa"/>
            <w:right w:w="108" w:type="dxa"/>
          </w:tblCellMar>
        </w:tblPrEx>
        <w:trPr>
          <w:trHeight w:val="360" w:hRule="atLeast"/>
        </w:trPr>
        <w:tc>
          <w:tcPr>
            <w:tcW w:w="652" w:type="pct"/>
            <w:vMerge w:val="continue"/>
            <w:tcBorders>
              <w:top w:val="nil"/>
              <w:left w:val="single" w:color="auto" w:sz="4" w:space="0"/>
              <w:bottom w:val="single" w:color="000000" w:sz="4" w:space="0"/>
              <w:right w:val="single" w:color="auto" w:sz="4" w:space="0"/>
            </w:tcBorders>
            <w:vAlign w:val="center"/>
          </w:tcPr>
          <w:p w14:paraId="534BEE8E">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000000" w:sz="4" w:space="0"/>
              <w:right w:val="single" w:color="auto" w:sz="4" w:space="0"/>
            </w:tcBorders>
            <w:vAlign w:val="center"/>
          </w:tcPr>
          <w:p w14:paraId="230B8D03">
            <w:pPr>
              <w:widowControl/>
              <w:spacing w:line="360" w:lineRule="auto"/>
              <w:contextualSpacing/>
              <w:rPr>
                <w:rFonts w:ascii="宋体" w:hAnsi="宋体" w:eastAsia="宋体" w:cs="宋体"/>
                <w:color w:val="auto"/>
                <w:szCs w:val="21"/>
              </w:rPr>
            </w:pPr>
          </w:p>
        </w:tc>
        <w:tc>
          <w:tcPr>
            <w:tcW w:w="2264" w:type="pct"/>
            <w:tcBorders>
              <w:top w:val="nil"/>
              <w:left w:val="nil"/>
              <w:bottom w:val="nil"/>
              <w:right w:val="nil"/>
            </w:tcBorders>
            <w:shd w:val="clear" w:color="auto" w:fill="auto"/>
            <w:noWrap/>
            <w:vAlign w:val="center"/>
          </w:tcPr>
          <w:p w14:paraId="0D2D7440">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5.提供虚假资料的，每次扣5分。</w:t>
            </w:r>
          </w:p>
        </w:tc>
        <w:tc>
          <w:tcPr>
            <w:tcW w:w="677" w:type="pct"/>
            <w:tcBorders>
              <w:top w:val="nil"/>
              <w:left w:val="single" w:color="auto" w:sz="4" w:space="0"/>
              <w:bottom w:val="single" w:color="auto" w:sz="4" w:space="0"/>
              <w:right w:val="single" w:color="auto" w:sz="4" w:space="0"/>
            </w:tcBorders>
            <w:shd w:val="clear" w:color="auto" w:fill="auto"/>
          </w:tcPr>
          <w:p w14:paraId="23D16BA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341BCC8C">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47F789B1">
        <w:tblPrEx>
          <w:tblCellMar>
            <w:top w:w="0" w:type="dxa"/>
            <w:left w:w="108" w:type="dxa"/>
            <w:bottom w:w="0" w:type="dxa"/>
            <w:right w:w="108" w:type="dxa"/>
          </w:tblCellMar>
        </w:tblPrEx>
        <w:trPr>
          <w:trHeight w:val="642" w:hRule="atLeast"/>
        </w:trPr>
        <w:tc>
          <w:tcPr>
            <w:tcW w:w="652" w:type="pct"/>
            <w:vMerge w:val="restart"/>
            <w:tcBorders>
              <w:top w:val="nil"/>
              <w:left w:val="single" w:color="auto" w:sz="4" w:space="0"/>
              <w:bottom w:val="single" w:color="auto" w:sz="4" w:space="0"/>
              <w:right w:val="single" w:color="auto" w:sz="4" w:space="0"/>
            </w:tcBorders>
            <w:shd w:val="clear" w:color="auto" w:fill="auto"/>
            <w:vAlign w:val="center"/>
          </w:tcPr>
          <w:p w14:paraId="1BDADCE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六、其它</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tcPr>
          <w:p w14:paraId="365A0C6C">
            <w:pPr>
              <w:widowControl/>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20</w:t>
            </w:r>
          </w:p>
        </w:tc>
        <w:tc>
          <w:tcPr>
            <w:tcW w:w="2264" w:type="pct"/>
            <w:tcBorders>
              <w:top w:val="single" w:color="auto" w:sz="4" w:space="0"/>
              <w:left w:val="nil"/>
              <w:bottom w:val="single" w:color="auto" w:sz="4" w:space="0"/>
              <w:right w:val="single" w:color="auto" w:sz="4" w:space="0"/>
            </w:tcBorders>
            <w:shd w:val="clear" w:color="auto" w:fill="auto"/>
            <w:vAlign w:val="center"/>
          </w:tcPr>
          <w:p w14:paraId="379B580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1. 在维修过程中违反相关廉洁协议书规定行为的，每次扣5分，并追究相应法律责任。</w:t>
            </w:r>
          </w:p>
        </w:tc>
        <w:tc>
          <w:tcPr>
            <w:tcW w:w="677" w:type="pct"/>
            <w:tcBorders>
              <w:top w:val="nil"/>
              <w:left w:val="nil"/>
              <w:bottom w:val="single" w:color="auto" w:sz="4" w:space="0"/>
              <w:right w:val="single" w:color="auto" w:sz="4" w:space="0"/>
            </w:tcBorders>
            <w:shd w:val="clear" w:color="auto" w:fill="auto"/>
          </w:tcPr>
          <w:p w14:paraId="5D8D321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0CC6F6D2">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1AADFC4F">
        <w:tblPrEx>
          <w:tblCellMar>
            <w:top w:w="0" w:type="dxa"/>
            <w:left w:w="108" w:type="dxa"/>
            <w:bottom w:w="0" w:type="dxa"/>
            <w:right w:w="108" w:type="dxa"/>
          </w:tblCellMar>
        </w:tblPrEx>
        <w:trPr>
          <w:trHeight w:val="642" w:hRule="atLeast"/>
        </w:trPr>
        <w:tc>
          <w:tcPr>
            <w:tcW w:w="652" w:type="pct"/>
            <w:vMerge w:val="continue"/>
            <w:tcBorders>
              <w:top w:val="nil"/>
              <w:left w:val="single" w:color="auto" w:sz="4" w:space="0"/>
              <w:bottom w:val="single" w:color="auto" w:sz="4" w:space="0"/>
              <w:right w:val="single" w:color="auto" w:sz="4" w:space="0"/>
            </w:tcBorders>
            <w:vAlign w:val="center"/>
          </w:tcPr>
          <w:p w14:paraId="7E6A1600">
            <w:pPr>
              <w:widowControl/>
              <w:spacing w:line="360" w:lineRule="auto"/>
              <w:contextualSpacing/>
              <w:rPr>
                <w:rFonts w:ascii="宋体" w:hAnsi="宋体" w:eastAsia="宋体" w:cs="宋体"/>
                <w:color w:val="auto"/>
                <w:szCs w:val="21"/>
              </w:rPr>
            </w:pPr>
          </w:p>
        </w:tc>
        <w:tc>
          <w:tcPr>
            <w:tcW w:w="374" w:type="pct"/>
            <w:vMerge w:val="continue"/>
            <w:tcBorders>
              <w:top w:val="nil"/>
              <w:left w:val="single" w:color="auto" w:sz="4" w:space="0"/>
              <w:bottom w:val="single" w:color="auto" w:sz="4" w:space="0"/>
              <w:right w:val="single" w:color="auto" w:sz="4" w:space="0"/>
            </w:tcBorders>
            <w:vAlign w:val="center"/>
          </w:tcPr>
          <w:p w14:paraId="46DB01E0">
            <w:pPr>
              <w:widowControl/>
              <w:spacing w:line="360" w:lineRule="auto"/>
              <w:contextualSpacing/>
              <w:rPr>
                <w:rFonts w:ascii="宋体" w:hAnsi="宋体" w:eastAsia="宋体" w:cs="宋体"/>
                <w:color w:val="auto"/>
                <w:szCs w:val="21"/>
              </w:rPr>
            </w:pPr>
          </w:p>
        </w:tc>
        <w:tc>
          <w:tcPr>
            <w:tcW w:w="2264" w:type="pct"/>
            <w:tcBorders>
              <w:top w:val="nil"/>
              <w:left w:val="nil"/>
              <w:bottom w:val="single" w:color="auto" w:sz="4" w:space="0"/>
              <w:right w:val="single" w:color="auto" w:sz="4" w:space="0"/>
            </w:tcBorders>
            <w:shd w:val="clear" w:color="auto" w:fill="auto"/>
          </w:tcPr>
          <w:p w14:paraId="5AE3BC3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2.飞行检查中，发现未经审批擅自进行有限空间等危险作业的，每发现一次扣10分。</w:t>
            </w:r>
          </w:p>
        </w:tc>
        <w:tc>
          <w:tcPr>
            <w:tcW w:w="677" w:type="pct"/>
            <w:tcBorders>
              <w:top w:val="nil"/>
              <w:left w:val="nil"/>
              <w:bottom w:val="single" w:color="auto" w:sz="4" w:space="0"/>
              <w:right w:val="single" w:color="auto" w:sz="4" w:space="0"/>
            </w:tcBorders>
            <w:shd w:val="clear" w:color="auto" w:fill="auto"/>
          </w:tcPr>
          <w:p w14:paraId="6DB8CC58">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vAlign w:val="center"/>
          </w:tcPr>
          <w:p w14:paraId="65842C8D">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20BD5698">
        <w:tblPrEx>
          <w:tblCellMar>
            <w:top w:w="0" w:type="dxa"/>
            <w:left w:w="108" w:type="dxa"/>
            <w:bottom w:w="0" w:type="dxa"/>
            <w:right w:w="108" w:type="dxa"/>
          </w:tblCellMar>
        </w:tblPrEx>
        <w:trPr>
          <w:trHeight w:val="480" w:hRule="atLeast"/>
        </w:trPr>
        <w:tc>
          <w:tcPr>
            <w:tcW w:w="3290" w:type="pct"/>
            <w:gridSpan w:val="3"/>
            <w:tcBorders>
              <w:top w:val="nil"/>
              <w:left w:val="single" w:color="auto" w:sz="4" w:space="0"/>
              <w:bottom w:val="single" w:color="auto" w:sz="4" w:space="0"/>
              <w:right w:val="single" w:color="000000" w:sz="4" w:space="0"/>
            </w:tcBorders>
            <w:shd w:val="clear" w:color="auto" w:fill="auto"/>
            <w:vAlign w:val="center"/>
          </w:tcPr>
          <w:p w14:paraId="1FB5296F">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本季度累计扣分</w:t>
            </w:r>
          </w:p>
        </w:tc>
        <w:tc>
          <w:tcPr>
            <w:tcW w:w="677" w:type="pct"/>
            <w:tcBorders>
              <w:top w:val="nil"/>
              <w:left w:val="nil"/>
              <w:bottom w:val="single" w:color="auto" w:sz="4" w:space="0"/>
              <w:right w:val="single" w:color="auto" w:sz="4" w:space="0"/>
            </w:tcBorders>
            <w:shd w:val="clear" w:color="auto" w:fill="auto"/>
          </w:tcPr>
          <w:p w14:paraId="04034CC9">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0DA57D1C">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7BDF7B55">
        <w:tblPrEx>
          <w:tblCellMar>
            <w:top w:w="0" w:type="dxa"/>
            <w:left w:w="108" w:type="dxa"/>
            <w:bottom w:w="0" w:type="dxa"/>
            <w:right w:w="108" w:type="dxa"/>
          </w:tblCellMar>
        </w:tblPrEx>
        <w:trPr>
          <w:trHeight w:val="480" w:hRule="atLeast"/>
        </w:trPr>
        <w:tc>
          <w:tcPr>
            <w:tcW w:w="32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AFBA45">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本季度最终考核得分</w:t>
            </w:r>
          </w:p>
        </w:tc>
        <w:tc>
          <w:tcPr>
            <w:tcW w:w="677" w:type="pct"/>
            <w:tcBorders>
              <w:top w:val="nil"/>
              <w:left w:val="nil"/>
              <w:bottom w:val="single" w:color="auto" w:sz="4" w:space="0"/>
              <w:right w:val="single" w:color="auto" w:sz="4" w:space="0"/>
            </w:tcBorders>
            <w:shd w:val="clear" w:color="auto" w:fill="auto"/>
          </w:tcPr>
          <w:p w14:paraId="6289B39E">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c>
          <w:tcPr>
            <w:tcW w:w="1033" w:type="pct"/>
            <w:tcBorders>
              <w:top w:val="nil"/>
              <w:left w:val="nil"/>
              <w:bottom w:val="single" w:color="auto" w:sz="4" w:space="0"/>
              <w:right w:val="single" w:color="auto" w:sz="4" w:space="0"/>
            </w:tcBorders>
            <w:shd w:val="clear" w:color="auto" w:fill="auto"/>
          </w:tcPr>
          <w:p w14:paraId="57BCAA56">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13C5D972">
        <w:tblPrEx>
          <w:tblCellMar>
            <w:top w:w="0" w:type="dxa"/>
            <w:left w:w="108" w:type="dxa"/>
            <w:bottom w:w="0" w:type="dxa"/>
            <w:right w:w="108" w:type="dxa"/>
          </w:tblCellMar>
        </w:tblPrEx>
        <w:trPr>
          <w:trHeight w:val="642" w:hRule="atLeast"/>
        </w:trPr>
        <w:tc>
          <w:tcPr>
            <w:tcW w:w="1026"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78B60C4">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考核评分人（签名）：</w:t>
            </w:r>
          </w:p>
        </w:tc>
        <w:tc>
          <w:tcPr>
            <w:tcW w:w="2264" w:type="pct"/>
            <w:tcBorders>
              <w:top w:val="nil"/>
              <w:left w:val="nil"/>
              <w:bottom w:val="single" w:color="auto" w:sz="4" w:space="0"/>
              <w:right w:val="single" w:color="auto" w:sz="4" w:space="0"/>
            </w:tcBorders>
            <w:shd w:val="clear" w:color="auto" w:fill="auto"/>
            <w:vAlign w:val="center"/>
          </w:tcPr>
          <w:p w14:paraId="490C26D4">
            <w:pPr>
              <w:widowControl/>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　</w:t>
            </w:r>
          </w:p>
        </w:tc>
        <w:tc>
          <w:tcPr>
            <w:tcW w:w="677" w:type="pct"/>
            <w:tcBorders>
              <w:top w:val="nil"/>
              <w:left w:val="nil"/>
              <w:bottom w:val="single" w:color="auto" w:sz="4" w:space="0"/>
              <w:right w:val="single" w:color="auto" w:sz="4" w:space="0"/>
            </w:tcBorders>
            <w:shd w:val="clear" w:color="auto" w:fill="auto"/>
            <w:vAlign w:val="center"/>
          </w:tcPr>
          <w:p w14:paraId="723A74DF">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服务单位</w:t>
            </w:r>
          </w:p>
          <w:p w14:paraId="47A27164">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（签名）：</w:t>
            </w:r>
          </w:p>
        </w:tc>
        <w:tc>
          <w:tcPr>
            <w:tcW w:w="1033" w:type="pct"/>
            <w:tcBorders>
              <w:top w:val="nil"/>
              <w:left w:val="nil"/>
              <w:bottom w:val="single" w:color="auto" w:sz="4" w:space="0"/>
              <w:right w:val="single" w:color="auto" w:sz="4" w:space="0"/>
            </w:tcBorders>
            <w:shd w:val="clear" w:color="auto" w:fill="auto"/>
          </w:tcPr>
          <w:p w14:paraId="3DE4F633">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r w14:paraId="17ADCEAE">
        <w:tblPrEx>
          <w:tblCellMar>
            <w:top w:w="0" w:type="dxa"/>
            <w:left w:w="108" w:type="dxa"/>
            <w:bottom w:w="0" w:type="dxa"/>
            <w:right w:w="108" w:type="dxa"/>
          </w:tblCellMar>
        </w:tblPrEx>
        <w:trPr>
          <w:trHeight w:val="642" w:hRule="atLeast"/>
        </w:trPr>
        <w:tc>
          <w:tcPr>
            <w:tcW w:w="1026"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833B8DE">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日期</w:t>
            </w:r>
          </w:p>
        </w:tc>
        <w:tc>
          <w:tcPr>
            <w:tcW w:w="2264" w:type="pct"/>
            <w:tcBorders>
              <w:top w:val="nil"/>
              <w:left w:val="nil"/>
              <w:bottom w:val="single" w:color="auto" w:sz="4" w:space="0"/>
              <w:right w:val="single" w:color="auto" w:sz="4" w:space="0"/>
            </w:tcBorders>
            <w:shd w:val="clear" w:color="auto" w:fill="auto"/>
            <w:vAlign w:val="center"/>
          </w:tcPr>
          <w:p w14:paraId="6347D6F1">
            <w:pPr>
              <w:widowControl/>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　</w:t>
            </w:r>
          </w:p>
        </w:tc>
        <w:tc>
          <w:tcPr>
            <w:tcW w:w="677" w:type="pct"/>
            <w:tcBorders>
              <w:top w:val="nil"/>
              <w:left w:val="nil"/>
              <w:bottom w:val="single" w:color="auto" w:sz="4" w:space="0"/>
              <w:right w:val="single" w:color="auto" w:sz="4" w:space="0"/>
            </w:tcBorders>
            <w:shd w:val="clear" w:color="auto" w:fill="auto"/>
            <w:vAlign w:val="center"/>
          </w:tcPr>
          <w:p w14:paraId="560DC187">
            <w:pPr>
              <w:widowControl/>
              <w:spacing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日期</w:t>
            </w:r>
          </w:p>
        </w:tc>
        <w:tc>
          <w:tcPr>
            <w:tcW w:w="1033" w:type="pct"/>
            <w:tcBorders>
              <w:top w:val="nil"/>
              <w:left w:val="nil"/>
              <w:bottom w:val="single" w:color="auto" w:sz="4" w:space="0"/>
              <w:right w:val="single" w:color="auto" w:sz="4" w:space="0"/>
            </w:tcBorders>
            <w:shd w:val="clear" w:color="auto" w:fill="auto"/>
          </w:tcPr>
          <w:p w14:paraId="68C63A0C">
            <w:pPr>
              <w:widowControl/>
              <w:spacing w:line="360" w:lineRule="auto"/>
              <w:contextualSpacing/>
              <w:rPr>
                <w:rFonts w:ascii="宋体" w:hAnsi="宋体" w:eastAsia="宋体" w:cs="宋体"/>
                <w:color w:val="auto"/>
                <w:szCs w:val="21"/>
              </w:rPr>
            </w:pPr>
            <w:r>
              <w:rPr>
                <w:rFonts w:hint="eastAsia" w:ascii="宋体" w:hAnsi="宋体" w:eastAsia="宋体" w:cs="宋体"/>
                <w:color w:val="auto"/>
                <w:szCs w:val="21"/>
              </w:rPr>
              <w:t>　</w:t>
            </w:r>
          </w:p>
        </w:tc>
      </w:tr>
    </w:tbl>
    <w:p w14:paraId="01DEA768">
      <w:pPr>
        <w:rPr>
          <w:rFonts w:ascii="宋体" w:hAnsi="宋体" w:eastAsia="宋体" w:cs="宋体"/>
          <w:color w:val="auto"/>
          <w:szCs w:val="21"/>
        </w:rPr>
      </w:pPr>
    </w:p>
    <w:p w14:paraId="55C8EB1D">
      <w:pPr>
        <w:rPr>
          <w:rFonts w:ascii="宋体" w:hAnsi="宋体" w:eastAsia="宋体" w:cs="宋体"/>
          <w:color w:val="auto"/>
          <w:szCs w:val="21"/>
        </w:rPr>
      </w:pPr>
    </w:p>
    <w:p w14:paraId="17F0A96E">
      <w:pPr>
        <w:widowControl/>
        <w:rPr>
          <w:rFonts w:ascii="宋体" w:hAnsi="宋体" w:eastAsia="宋体" w:cs="宋体"/>
          <w:color w:val="auto"/>
          <w:szCs w:val="21"/>
        </w:rPr>
      </w:pPr>
      <w:r>
        <w:rPr>
          <w:rFonts w:hint="eastAsia" w:ascii="宋体" w:hAnsi="宋体" w:eastAsia="宋体" w:cs="宋体"/>
          <w:color w:val="auto"/>
          <w:szCs w:val="21"/>
        </w:rPr>
        <w:br w:type="page"/>
      </w:r>
    </w:p>
    <w:p w14:paraId="06A0AF0A">
      <w:pPr>
        <w:rPr>
          <w:rFonts w:ascii="宋体" w:hAnsi="宋体" w:eastAsia="宋体" w:cs="宋体"/>
          <w:color w:val="auto"/>
          <w:szCs w:val="21"/>
        </w:rPr>
      </w:pPr>
      <w:r>
        <w:rPr>
          <w:rFonts w:hint="eastAsia" w:ascii="宋体" w:hAnsi="宋体" w:eastAsia="宋体" w:cs="宋体"/>
          <w:color w:val="auto"/>
          <w:szCs w:val="21"/>
        </w:rPr>
        <w:t>附件9：机电设备维修服务商季度考核等级评价汇总表</w:t>
      </w:r>
    </w:p>
    <w:tbl>
      <w:tblPr>
        <w:tblStyle w:val="37"/>
        <w:tblW w:w="5000" w:type="pct"/>
        <w:tblInd w:w="0" w:type="dxa"/>
        <w:tblLayout w:type="autofit"/>
        <w:tblCellMar>
          <w:top w:w="0" w:type="dxa"/>
          <w:left w:w="108" w:type="dxa"/>
          <w:bottom w:w="0" w:type="dxa"/>
          <w:right w:w="108" w:type="dxa"/>
        </w:tblCellMar>
      </w:tblPr>
      <w:tblGrid>
        <w:gridCol w:w="636"/>
        <w:gridCol w:w="1736"/>
        <w:gridCol w:w="562"/>
        <w:gridCol w:w="562"/>
        <w:gridCol w:w="562"/>
        <w:gridCol w:w="643"/>
        <w:gridCol w:w="562"/>
        <w:gridCol w:w="750"/>
        <w:gridCol w:w="537"/>
        <w:gridCol w:w="1356"/>
        <w:gridCol w:w="771"/>
        <w:gridCol w:w="1056"/>
        <w:gridCol w:w="637"/>
      </w:tblGrid>
      <w:tr w14:paraId="72B49FFE">
        <w:trPr>
          <w:trHeight w:val="690" w:hRule="atLeast"/>
        </w:trPr>
        <w:tc>
          <w:tcPr>
            <w:tcW w:w="5000" w:type="pct"/>
            <w:gridSpan w:val="13"/>
            <w:tcBorders>
              <w:top w:val="nil"/>
              <w:left w:val="nil"/>
              <w:bottom w:val="nil"/>
              <w:right w:val="nil"/>
            </w:tcBorders>
            <w:shd w:val="clear" w:color="auto" w:fill="auto"/>
            <w:noWrap/>
            <w:vAlign w:val="center"/>
          </w:tcPr>
          <w:p w14:paraId="5D67D072">
            <w:pPr>
              <w:widowControl/>
              <w:jc w:val="center"/>
              <w:rPr>
                <w:rFonts w:ascii="宋体" w:hAnsi="宋体" w:eastAsia="宋体" w:cs="宋体"/>
                <w:color w:val="auto"/>
                <w:szCs w:val="21"/>
              </w:rPr>
            </w:pPr>
            <w:r>
              <w:rPr>
                <w:rFonts w:hint="eastAsia" w:ascii="宋体" w:hAnsi="宋体" w:eastAsia="宋体" w:cs="宋体"/>
                <w:b/>
                <w:color w:val="auto"/>
                <w:szCs w:val="21"/>
              </w:rPr>
              <w:t>机电设备维修供应商季度考核等级评价汇总表（20     年第     季度）</w:t>
            </w:r>
          </w:p>
        </w:tc>
      </w:tr>
      <w:tr w14:paraId="021EA3BB">
        <w:tblPrEx>
          <w:tblCellMar>
            <w:top w:w="0" w:type="dxa"/>
            <w:left w:w="108" w:type="dxa"/>
            <w:bottom w:w="0" w:type="dxa"/>
            <w:right w:w="108" w:type="dxa"/>
          </w:tblCellMar>
        </w:tblPrEx>
        <w:trPr>
          <w:trHeight w:val="870" w:hRule="atLeast"/>
        </w:trPr>
        <w:tc>
          <w:tcPr>
            <w:tcW w:w="3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AD9C6">
            <w:pPr>
              <w:widowControl/>
              <w:jc w:val="center"/>
              <w:rPr>
                <w:rFonts w:ascii="宋体" w:hAnsi="宋体" w:eastAsia="宋体" w:cs="宋体"/>
                <w:color w:val="auto"/>
                <w:szCs w:val="21"/>
              </w:rPr>
            </w:pPr>
            <w:r>
              <w:rPr>
                <w:rFonts w:hint="eastAsia" w:ascii="宋体" w:hAnsi="宋体" w:eastAsia="宋体" w:cs="宋体"/>
                <w:color w:val="auto"/>
                <w:szCs w:val="21"/>
              </w:rPr>
              <w:t>序号</w:t>
            </w:r>
          </w:p>
        </w:tc>
        <w:tc>
          <w:tcPr>
            <w:tcW w:w="846" w:type="pct"/>
            <w:tcBorders>
              <w:top w:val="single" w:color="auto" w:sz="4" w:space="0"/>
              <w:left w:val="nil"/>
              <w:bottom w:val="single" w:color="auto" w:sz="4" w:space="0"/>
              <w:right w:val="single" w:color="auto" w:sz="4" w:space="0"/>
            </w:tcBorders>
            <w:shd w:val="clear" w:color="auto" w:fill="auto"/>
            <w:noWrap/>
            <w:vAlign w:val="center"/>
          </w:tcPr>
          <w:p w14:paraId="1C313635">
            <w:pPr>
              <w:widowControl/>
              <w:jc w:val="center"/>
              <w:rPr>
                <w:rFonts w:ascii="宋体" w:hAnsi="宋体" w:eastAsia="宋体" w:cs="宋体"/>
                <w:color w:val="auto"/>
                <w:szCs w:val="21"/>
              </w:rPr>
            </w:pPr>
            <w:r>
              <w:rPr>
                <w:rFonts w:hint="eastAsia" w:ascii="宋体" w:hAnsi="宋体" w:eastAsia="宋体" w:cs="宋体"/>
                <w:color w:val="auto"/>
                <w:szCs w:val="21"/>
              </w:rPr>
              <w:t>定点维修单位</w:t>
            </w:r>
          </w:p>
        </w:tc>
        <w:tc>
          <w:tcPr>
            <w:tcW w:w="280" w:type="pct"/>
            <w:tcBorders>
              <w:top w:val="single" w:color="auto" w:sz="4" w:space="0"/>
              <w:left w:val="nil"/>
              <w:bottom w:val="single" w:color="auto" w:sz="4" w:space="0"/>
              <w:right w:val="single" w:color="auto" w:sz="4" w:space="0"/>
            </w:tcBorders>
            <w:shd w:val="clear" w:color="auto" w:fill="auto"/>
            <w:vAlign w:val="center"/>
          </w:tcPr>
          <w:p w14:paraId="26F9485A">
            <w:pPr>
              <w:widowControl/>
              <w:jc w:val="center"/>
              <w:rPr>
                <w:rFonts w:ascii="宋体" w:hAnsi="宋体" w:eastAsia="宋体" w:cs="宋体"/>
                <w:color w:val="auto"/>
                <w:szCs w:val="21"/>
              </w:rPr>
            </w:pPr>
            <w:r>
              <w:rPr>
                <w:rFonts w:hint="eastAsia" w:ascii="宋体" w:hAnsi="宋体" w:eastAsia="宋体" w:cs="宋体"/>
                <w:color w:val="auto"/>
                <w:szCs w:val="21"/>
              </w:rPr>
              <w:t>维修项目数量</w:t>
            </w:r>
          </w:p>
        </w:tc>
        <w:tc>
          <w:tcPr>
            <w:tcW w:w="280" w:type="pct"/>
            <w:tcBorders>
              <w:top w:val="single" w:color="auto" w:sz="4" w:space="0"/>
              <w:left w:val="nil"/>
              <w:bottom w:val="single" w:color="auto" w:sz="4" w:space="0"/>
              <w:right w:val="single" w:color="auto" w:sz="4" w:space="0"/>
            </w:tcBorders>
            <w:shd w:val="clear" w:color="auto" w:fill="auto"/>
            <w:vAlign w:val="center"/>
          </w:tcPr>
          <w:p w14:paraId="445967E8">
            <w:pPr>
              <w:widowControl/>
              <w:jc w:val="center"/>
              <w:rPr>
                <w:rFonts w:ascii="宋体" w:hAnsi="宋体" w:eastAsia="宋体" w:cs="宋体"/>
                <w:color w:val="auto"/>
                <w:szCs w:val="21"/>
              </w:rPr>
            </w:pPr>
            <w:r>
              <w:rPr>
                <w:rFonts w:hint="eastAsia" w:ascii="宋体" w:hAnsi="宋体" w:eastAsia="宋体" w:cs="宋体"/>
                <w:color w:val="auto"/>
                <w:szCs w:val="21"/>
              </w:rPr>
              <w:t>分公司季度评分</w:t>
            </w:r>
          </w:p>
        </w:tc>
        <w:tc>
          <w:tcPr>
            <w:tcW w:w="280" w:type="pct"/>
            <w:tcBorders>
              <w:top w:val="single" w:color="auto" w:sz="4" w:space="0"/>
              <w:left w:val="nil"/>
              <w:bottom w:val="single" w:color="auto" w:sz="4" w:space="0"/>
              <w:right w:val="single" w:color="auto" w:sz="4" w:space="0"/>
            </w:tcBorders>
            <w:shd w:val="clear" w:color="auto" w:fill="auto"/>
            <w:vAlign w:val="center"/>
          </w:tcPr>
          <w:p w14:paraId="34F40680">
            <w:pPr>
              <w:widowControl/>
              <w:jc w:val="center"/>
              <w:rPr>
                <w:rFonts w:ascii="宋体" w:hAnsi="宋体" w:eastAsia="宋体" w:cs="宋体"/>
                <w:color w:val="auto"/>
                <w:szCs w:val="21"/>
              </w:rPr>
            </w:pPr>
            <w:r>
              <w:rPr>
                <w:rFonts w:hint="eastAsia" w:ascii="宋体" w:hAnsi="宋体" w:eastAsia="宋体" w:cs="宋体"/>
                <w:color w:val="auto"/>
                <w:szCs w:val="21"/>
              </w:rPr>
              <w:t>设备管理部评分</w:t>
            </w:r>
          </w:p>
        </w:tc>
        <w:tc>
          <w:tcPr>
            <w:tcW w:w="319" w:type="pct"/>
            <w:tcBorders>
              <w:top w:val="single" w:color="auto" w:sz="4" w:space="0"/>
              <w:left w:val="nil"/>
              <w:bottom w:val="single" w:color="auto" w:sz="4" w:space="0"/>
              <w:right w:val="single" w:color="auto" w:sz="4" w:space="0"/>
            </w:tcBorders>
            <w:shd w:val="clear" w:color="auto" w:fill="auto"/>
            <w:vAlign w:val="center"/>
          </w:tcPr>
          <w:p w14:paraId="10AA2077">
            <w:pPr>
              <w:widowControl/>
              <w:jc w:val="center"/>
              <w:rPr>
                <w:rFonts w:ascii="宋体" w:hAnsi="宋体" w:eastAsia="宋体" w:cs="宋体"/>
                <w:color w:val="auto"/>
                <w:szCs w:val="21"/>
              </w:rPr>
            </w:pPr>
            <w:r>
              <w:rPr>
                <w:rFonts w:hint="eastAsia" w:ascii="宋体" w:hAnsi="宋体" w:eastAsia="宋体" w:cs="宋体"/>
                <w:color w:val="auto"/>
                <w:szCs w:val="21"/>
              </w:rPr>
              <w:t>本季度考核得分</w:t>
            </w:r>
          </w:p>
        </w:tc>
        <w:tc>
          <w:tcPr>
            <w:tcW w:w="280" w:type="pct"/>
            <w:tcBorders>
              <w:top w:val="single" w:color="auto" w:sz="4" w:space="0"/>
              <w:left w:val="nil"/>
              <w:bottom w:val="single" w:color="auto" w:sz="4" w:space="0"/>
              <w:right w:val="single" w:color="auto" w:sz="4" w:space="0"/>
            </w:tcBorders>
            <w:shd w:val="clear" w:color="auto" w:fill="auto"/>
            <w:vAlign w:val="center"/>
          </w:tcPr>
          <w:p w14:paraId="69AC1F0A">
            <w:pPr>
              <w:widowControl/>
              <w:jc w:val="center"/>
              <w:rPr>
                <w:rFonts w:ascii="宋体" w:hAnsi="宋体" w:eastAsia="宋体" w:cs="宋体"/>
                <w:color w:val="auto"/>
                <w:szCs w:val="21"/>
              </w:rPr>
            </w:pPr>
            <w:r>
              <w:rPr>
                <w:rFonts w:hint="eastAsia" w:ascii="宋体" w:hAnsi="宋体" w:eastAsia="宋体" w:cs="宋体"/>
                <w:color w:val="auto"/>
                <w:szCs w:val="21"/>
              </w:rPr>
              <w:t>季度等级评价</w:t>
            </w:r>
          </w:p>
        </w:tc>
        <w:tc>
          <w:tcPr>
            <w:tcW w:w="371" w:type="pct"/>
            <w:tcBorders>
              <w:top w:val="single" w:color="auto" w:sz="4" w:space="0"/>
              <w:left w:val="nil"/>
              <w:bottom w:val="single" w:color="auto" w:sz="4" w:space="0"/>
              <w:right w:val="single" w:color="auto" w:sz="4" w:space="0"/>
            </w:tcBorders>
            <w:shd w:val="clear" w:color="auto" w:fill="auto"/>
            <w:vAlign w:val="center"/>
          </w:tcPr>
          <w:p w14:paraId="0B2FAA1D">
            <w:pPr>
              <w:widowControl/>
              <w:jc w:val="center"/>
              <w:rPr>
                <w:rFonts w:ascii="宋体" w:hAnsi="宋体" w:eastAsia="宋体" w:cs="宋体"/>
                <w:color w:val="auto"/>
                <w:szCs w:val="21"/>
              </w:rPr>
            </w:pPr>
            <w:r>
              <w:rPr>
                <w:rFonts w:hint="eastAsia" w:ascii="宋体" w:hAnsi="宋体" w:eastAsia="宋体" w:cs="宋体"/>
                <w:color w:val="auto"/>
                <w:szCs w:val="21"/>
              </w:rPr>
              <w:t>本季度考核</w:t>
            </w:r>
          </w:p>
          <w:p w14:paraId="3E9DC818">
            <w:pPr>
              <w:widowControl/>
              <w:jc w:val="center"/>
              <w:rPr>
                <w:rFonts w:ascii="宋体" w:hAnsi="宋体" w:eastAsia="宋体" w:cs="宋体"/>
                <w:color w:val="auto"/>
                <w:szCs w:val="21"/>
              </w:rPr>
            </w:pPr>
            <w:r>
              <w:rPr>
                <w:rFonts w:hint="eastAsia" w:ascii="宋体" w:hAnsi="宋体" w:eastAsia="宋体" w:cs="宋体"/>
                <w:color w:val="auto"/>
                <w:szCs w:val="21"/>
              </w:rPr>
              <w:t>扣（-）分</w:t>
            </w:r>
          </w:p>
        </w:tc>
        <w:tc>
          <w:tcPr>
            <w:tcW w:w="268" w:type="pct"/>
            <w:tcBorders>
              <w:top w:val="single" w:color="auto" w:sz="4" w:space="0"/>
              <w:left w:val="nil"/>
              <w:bottom w:val="single" w:color="auto" w:sz="4" w:space="0"/>
              <w:right w:val="single" w:color="auto" w:sz="4" w:space="0"/>
            </w:tcBorders>
            <w:shd w:val="clear" w:color="auto" w:fill="auto"/>
            <w:vAlign w:val="center"/>
          </w:tcPr>
          <w:p w14:paraId="461204FA">
            <w:pPr>
              <w:widowControl/>
              <w:jc w:val="center"/>
              <w:rPr>
                <w:rFonts w:ascii="宋体" w:hAnsi="宋体" w:eastAsia="宋体" w:cs="宋体"/>
                <w:color w:val="auto"/>
                <w:szCs w:val="21"/>
              </w:rPr>
            </w:pPr>
            <w:r>
              <w:rPr>
                <w:rFonts w:hint="eastAsia" w:ascii="宋体" w:hAnsi="宋体" w:eastAsia="宋体" w:cs="宋体"/>
                <w:color w:val="auto"/>
                <w:szCs w:val="21"/>
              </w:rPr>
              <w:t>上季度</w:t>
            </w:r>
          </w:p>
          <w:p w14:paraId="3C55D6DE">
            <w:pPr>
              <w:widowControl/>
              <w:jc w:val="center"/>
              <w:rPr>
                <w:rFonts w:ascii="宋体" w:hAnsi="宋体" w:eastAsia="宋体" w:cs="宋体"/>
                <w:color w:val="auto"/>
                <w:szCs w:val="21"/>
              </w:rPr>
            </w:pPr>
            <w:r>
              <w:rPr>
                <w:rFonts w:hint="eastAsia" w:ascii="宋体" w:hAnsi="宋体" w:eastAsia="宋体" w:cs="宋体"/>
                <w:color w:val="auto"/>
                <w:szCs w:val="21"/>
              </w:rPr>
              <w:t>分数</w:t>
            </w:r>
          </w:p>
        </w:tc>
        <w:tc>
          <w:tcPr>
            <w:tcW w:w="663" w:type="pct"/>
            <w:tcBorders>
              <w:top w:val="single" w:color="auto" w:sz="4" w:space="0"/>
              <w:left w:val="nil"/>
              <w:bottom w:val="single" w:color="auto" w:sz="4" w:space="0"/>
              <w:right w:val="single" w:color="auto" w:sz="4" w:space="0"/>
            </w:tcBorders>
            <w:shd w:val="clear" w:color="auto" w:fill="auto"/>
            <w:vAlign w:val="center"/>
          </w:tcPr>
          <w:p w14:paraId="4420D9A4">
            <w:pPr>
              <w:widowControl/>
              <w:jc w:val="center"/>
              <w:rPr>
                <w:rFonts w:ascii="宋体" w:hAnsi="宋体" w:eastAsia="宋体" w:cs="宋体"/>
                <w:color w:val="auto"/>
                <w:szCs w:val="21"/>
              </w:rPr>
            </w:pPr>
            <w:r>
              <w:rPr>
                <w:rFonts w:hint="eastAsia" w:ascii="宋体" w:hAnsi="宋体" w:eastAsia="宋体" w:cs="宋体"/>
                <w:color w:val="auto"/>
                <w:szCs w:val="21"/>
              </w:rPr>
              <w:t>连续季度考核评级情况</w:t>
            </w:r>
          </w:p>
        </w:tc>
        <w:tc>
          <w:tcPr>
            <w:tcW w:w="381" w:type="pct"/>
            <w:tcBorders>
              <w:top w:val="single" w:color="auto" w:sz="4" w:space="0"/>
              <w:left w:val="nil"/>
              <w:bottom w:val="single" w:color="auto" w:sz="4" w:space="0"/>
              <w:right w:val="single" w:color="auto" w:sz="4" w:space="0"/>
            </w:tcBorders>
            <w:shd w:val="clear" w:color="auto" w:fill="auto"/>
            <w:vAlign w:val="center"/>
          </w:tcPr>
          <w:p w14:paraId="3B4A3DFF">
            <w:pPr>
              <w:widowControl/>
              <w:jc w:val="center"/>
              <w:rPr>
                <w:rFonts w:ascii="宋体" w:hAnsi="宋体" w:eastAsia="宋体" w:cs="宋体"/>
                <w:color w:val="auto"/>
                <w:szCs w:val="21"/>
              </w:rPr>
            </w:pPr>
            <w:r>
              <w:rPr>
                <w:rFonts w:hint="eastAsia" w:ascii="宋体" w:hAnsi="宋体" w:eastAsia="宋体" w:cs="宋体"/>
                <w:color w:val="auto"/>
                <w:szCs w:val="21"/>
              </w:rPr>
              <w:t>奖励/处罚措施</w:t>
            </w:r>
          </w:p>
        </w:tc>
        <w:tc>
          <w:tcPr>
            <w:tcW w:w="422" w:type="pct"/>
            <w:tcBorders>
              <w:top w:val="single" w:color="auto" w:sz="4" w:space="0"/>
              <w:left w:val="nil"/>
              <w:bottom w:val="single" w:color="auto" w:sz="4" w:space="0"/>
              <w:right w:val="single" w:color="auto" w:sz="4" w:space="0"/>
            </w:tcBorders>
            <w:shd w:val="clear" w:color="auto" w:fill="auto"/>
            <w:noWrap/>
            <w:vAlign w:val="center"/>
          </w:tcPr>
          <w:p w14:paraId="2A393C2D">
            <w:pPr>
              <w:widowControl/>
              <w:jc w:val="center"/>
              <w:rPr>
                <w:rFonts w:ascii="宋体" w:hAnsi="宋体" w:eastAsia="宋体" w:cs="宋体"/>
                <w:color w:val="auto"/>
                <w:szCs w:val="21"/>
              </w:rPr>
            </w:pPr>
            <w:r>
              <w:rPr>
                <w:rFonts w:hint="eastAsia" w:ascii="宋体" w:hAnsi="宋体" w:eastAsia="宋体" w:cs="宋体"/>
                <w:color w:val="auto"/>
                <w:szCs w:val="21"/>
              </w:rPr>
              <w:t>考评日期</w:t>
            </w:r>
          </w:p>
        </w:tc>
        <w:tc>
          <w:tcPr>
            <w:tcW w:w="295" w:type="pct"/>
            <w:tcBorders>
              <w:top w:val="single" w:color="auto" w:sz="4" w:space="0"/>
              <w:left w:val="nil"/>
              <w:bottom w:val="single" w:color="auto" w:sz="4" w:space="0"/>
              <w:right w:val="single" w:color="auto" w:sz="4" w:space="0"/>
            </w:tcBorders>
            <w:shd w:val="clear" w:color="auto" w:fill="auto"/>
            <w:noWrap/>
            <w:vAlign w:val="center"/>
          </w:tcPr>
          <w:p w14:paraId="70C64A55">
            <w:pPr>
              <w:widowControl/>
              <w:jc w:val="center"/>
              <w:rPr>
                <w:rFonts w:ascii="宋体" w:hAnsi="宋体" w:eastAsia="宋体" w:cs="宋体"/>
                <w:color w:val="auto"/>
                <w:szCs w:val="21"/>
              </w:rPr>
            </w:pPr>
            <w:r>
              <w:rPr>
                <w:rFonts w:hint="eastAsia" w:ascii="宋体" w:hAnsi="宋体" w:eastAsia="宋体" w:cs="宋体"/>
                <w:color w:val="auto"/>
                <w:szCs w:val="21"/>
              </w:rPr>
              <w:t>备注</w:t>
            </w:r>
          </w:p>
        </w:tc>
      </w:tr>
      <w:tr w14:paraId="7EC92645">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6C7BF25B">
            <w:pPr>
              <w:widowControl/>
              <w:jc w:val="center"/>
              <w:rPr>
                <w:rFonts w:ascii="宋体" w:hAnsi="宋体" w:eastAsia="宋体" w:cs="宋体"/>
                <w:color w:val="auto"/>
                <w:szCs w:val="21"/>
              </w:rPr>
            </w:pPr>
            <w:r>
              <w:rPr>
                <w:rFonts w:hint="eastAsia" w:ascii="宋体" w:hAnsi="宋体" w:eastAsia="宋体" w:cs="宋体"/>
                <w:color w:val="auto"/>
                <w:szCs w:val="21"/>
              </w:rPr>
              <w:t>1</w:t>
            </w:r>
          </w:p>
        </w:tc>
        <w:tc>
          <w:tcPr>
            <w:tcW w:w="846" w:type="pct"/>
            <w:tcBorders>
              <w:top w:val="nil"/>
              <w:left w:val="nil"/>
              <w:bottom w:val="single" w:color="auto" w:sz="4" w:space="0"/>
              <w:right w:val="single" w:color="auto" w:sz="4" w:space="0"/>
            </w:tcBorders>
            <w:shd w:val="clear" w:color="auto" w:fill="auto"/>
            <w:noWrap/>
            <w:vAlign w:val="center"/>
          </w:tcPr>
          <w:p w14:paraId="6A0D7A7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21FAC8D">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342B731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1EB195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3337EC3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36E742C">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3F6B7335">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182F8D13">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7343DD0D">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0D84430C">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260CD8A3">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55DF9E4F">
            <w:pPr>
              <w:widowControl/>
              <w:rPr>
                <w:rFonts w:ascii="宋体" w:hAnsi="宋体" w:eastAsia="宋体" w:cs="宋体"/>
                <w:color w:val="auto"/>
                <w:szCs w:val="21"/>
              </w:rPr>
            </w:pPr>
            <w:r>
              <w:rPr>
                <w:rFonts w:hint="eastAsia" w:ascii="宋体" w:hAnsi="宋体" w:eastAsia="宋体" w:cs="宋体"/>
                <w:color w:val="auto"/>
                <w:szCs w:val="21"/>
              </w:rPr>
              <w:t>　</w:t>
            </w:r>
          </w:p>
        </w:tc>
      </w:tr>
      <w:tr w14:paraId="3B972FAA">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05CE22A6">
            <w:pPr>
              <w:widowControl/>
              <w:jc w:val="center"/>
              <w:rPr>
                <w:rFonts w:ascii="宋体" w:hAnsi="宋体" w:eastAsia="宋体" w:cs="宋体"/>
                <w:color w:val="auto"/>
                <w:szCs w:val="21"/>
              </w:rPr>
            </w:pPr>
            <w:r>
              <w:rPr>
                <w:rFonts w:hint="eastAsia" w:ascii="宋体" w:hAnsi="宋体" w:eastAsia="宋体" w:cs="宋体"/>
                <w:color w:val="auto"/>
                <w:szCs w:val="21"/>
              </w:rPr>
              <w:t>2</w:t>
            </w:r>
          </w:p>
        </w:tc>
        <w:tc>
          <w:tcPr>
            <w:tcW w:w="846" w:type="pct"/>
            <w:tcBorders>
              <w:top w:val="nil"/>
              <w:left w:val="nil"/>
              <w:bottom w:val="single" w:color="auto" w:sz="4" w:space="0"/>
              <w:right w:val="single" w:color="auto" w:sz="4" w:space="0"/>
            </w:tcBorders>
            <w:shd w:val="clear" w:color="auto" w:fill="auto"/>
            <w:noWrap/>
            <w:vAlign w:val="center"/>
          </w:tcPr>
          <w:p w14:paraId="5013FE4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A0E46E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0C1E6D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9C20D1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147DFC2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403F821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5F6E1EE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1EA4802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27D511C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34184002">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215C6D7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71E00E72">
            <w:pPr>
              <w:widowControl/>
              <w:rPr>
                <w:rFonts w:ascii="宋体" w:hAnsi="宋体" w:eastAsia="宋体" w:cs="宋体"/>
                <w:color w:val="auto"/>
                <w:szCs w:val="21"/>
              </w:rPr>
            </w:pPr>
            <w:r>
              <w:rPr>
                <w:rFonts w:hint="eastAsia" w:ascii="宋体" w:hAnsi="宋体" w:eastAsia="宋体" w:cs="宋体"/>
                <w:color w:val="auto"/>
                <w:szCs w:val="21"/>
              </w:rPr>
              <w:t>　</w:t>
            </w:r>
          </w:p>
        </w:tc>
      </w:tr>
      <w:tr w14:paraId="553AE99E">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320C572A">
            <w:pPr>
              <w:widowControl/>
              <w:jc w:val="center"/>
              <w:rPr>
                <w:rFonts w:ascii="宋体" w:hAnsi="宋体" w:eastAsia="宋体" w:cs="宋体"/>
                <w:color w:val="auto"/>
                <w:szCs w:val="21"/>
              </w:rPr>
            </w:pPr>
            <w:r>
              <w:rPr>
                <w:rFonts w:hint="eastAsia" w:ascii="宋体" w:hAnsi="宋体" w:eastAsia="宋体" w:cs="宋体"/>
                <w:color w:val="auto"/>
                <w:szCs w:val="21"/>
              </w:rPr>
              <w:t>3</w:t>
            </w:r>
          </w:p>
        </w:tc>
        <w:tc>
          <w:tcPr>
            <w:tcW w:w="846" w:type="pct"/>
            <w:tcBorders>
              <w:top w:val="nil"/>
              <w:left w:val="nil"/>
              <w:bottom w:val="single" w:color="auto" w:sz="4" w:space="0"/>
              <w:right w:val="single" w:color="auto" w:sz="4" w:space="0"/>
            </w:tcBorders>
            <w:shd w:val="clear" w:color="auto" w:fill="auto"/>
            <w:noWrap/>
            <w:vAlign w:val="center"/>
          </w:tcPr>
          <w:p w14:paraId="1E78A7E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15CDDA8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15453AD2">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1BEE529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20E375ED">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512FBD5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2F80A8CC">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75D8784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0C8BBB7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67A2FB53">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7290831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2D02887D">
            <w:pPr>
              <w:widowControl/>
              <w:rPr>
                <w:rFonts w:ascii="宋体" w:hAnsi="宋体" w:eastAsia="宋体" w:cs="宋体"/>
                <w:color w:val="auto"/>
                <w:szCs w:val="21"/>
              </w:rPr>
            </w:pPr>
            <w:r>
              <w:rPr>
                <w:rFonts w:hint="eastAsia" w:ascii="宋体" w:hAnsi="宋体" w:eastAsia="宋体" w:cs="宋体"/>
                <w:color w:val="auto"/>
                <w:szCs w:val="21"/>
              </w:rPr>
              <w:t>　</w:t>
            </w:r>
          </w:p>
        </w:tc>
      </w:tr>
      <w:tr w14:paraId="5B57D954">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502133CE">
            <w:pPr>
              <w:widowControl/>
              <w:jc w:val="center"/>
              <w:rPr>
                <w:rFonts w:ascii="宋体" w:hAnsi="宋体" w:eastAsia="宋体" w:cs="宋体"/>
                <w:color w:val="auto"/>
                <w:szCs w:val="21"/>
              </w:rPr>
            </w:pPr>
            <w:r>
              <w:rPr>
                <w:rFonts w:hint="eastAsia" w:ascii="宋体" w:hAnsi="宋体" w:eastAsia="宋体" w:cs="宋体"/>
                <w:color w:val="auto"/>
                <w:szCs w:val="21"/>
              </w:rPr>
              <w:t>4</w:t>
            </w:r>
          </w:p>
        </w:tc>
        <w:tc>
          <w:tcPr>
            <w:tcW w:w="846" w:type="pct"/>
            <w:tcBorders>
              <w:top w:val="nil"/>
              <w:left w:val="nil"/>
              <w:bottom w:val="single" w:color="auto" w:sz="4" w:space="0"/>
              <w:right w:val="single" w:color="auto" w:sz="4" w:space="0"/>
            </w:tcBorders>
            <w:shd w:val="clear" w:color="auto" w:fill="auto"/>
            <w:noWrap/>
            <w:vAlign w:val="center"/>
          </w:tcPr>
          <w:p w14:paraId="24CD44C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71D418B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70C56545">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5FCAEFD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075FFAF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82C039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1B9194BD">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3B03DFF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1EB2ECC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5131778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71C3B14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7B753AA6">
            <w:pPr>
              <w:widowControl/>
              <w:rPr>
                <w:rFonts w:ascii="宋体" w:hAnsi="宋体" w:eastAsia="宋体" w:cs="宋体"/>
                <w:color w:val="auto"/>
                <w:szCs w:val="21"/>
              </w:rPr>
            </w:pPr>
            <w:r>
              <w:rPr>
                <w:rFonts w:hint="eastAsia" w:ascii="宋体" w:hAnsi="宋体" w:eastAsia="宋体" w:cs="宋体"/>
                <w:color w:val="auto"/>
                <w:szCs w:val="21"/>
              </w:rPr>
              <w:t>　</w:t>
            </w:r>
          </w:p>
        </w:tc>
      </w:tr>
      <w:tr w14:paraId="38A9F72A">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5439626D">
            <w:pPr>
              <w:widowControl/>
              <w:jc w:val="center"/>
              <w:rPr>
                <w:rFonts w:ascii="宋体" w:hAnsi="宋体" w:eastAsia="宋体" w:cs="宋体"/>
                <w:color w:val="auto"/>
                <w:szCs w:val="21"/>
              </w:rPr>
            </w:pPr>
            <w:r>
              <w:rPr>
                <w:rFonts w:hint="eastAsia" w:ascii="宋体" w:hAnsi="宋体" w:eastAsia="宋体" w:cs="宋体"/>
                <w:color w:val="auto"/>
                <w:szCs w:val="21"/>
              </w:rPr>
              <w:t>5</w:t>
            </w:r>
          </w:p>
        </w:tc>
        <w:tc>
          <w:tcPr>
            <w:tcW w:w="846" w:type="pct"/>
            <w:tcBorders>
              <w:top w:val="nil"/>
              <w:left w:val="nil"/>
              <w:bottom w:val="single" w:color="auto" w:sz="4" w:space="0"/>
              <w:right w:val="single" w:color="auto" w:sz="4" w:space="0"/>
            </w:tcBorders>
            <w:shd w:val="clear" w:color="auto" w:fill="auto"/>
            <w:noWrap/>
            <w:vAlign w:val="center"/>
          </w:tcPr>
          <w:p w14:paraId="3881D38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679DADE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7253D0D">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5AA3F62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5F2765F3">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57EFA1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734C090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4703743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6A8E22A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69D3E46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00EE937F">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5B9D3292">
            <w:pPr>
              <w:widowControl/>
              <w:rPr>
                <w:rFonts w:ascii="宋体" w:hAnsi="宋体" w:eastAsia="宋体" w:cs="宋体"/>
                <w:color w:val="auto"/>
                <w:szCs w:val="21"/>
              </w:rPr>
            </w:pPr>
            <w:r>
              <w:rPr>
                <w:rFonts w:hint="eastAsia" w:ascii="宋体" w:hAnsi="宋体" w:eastAsia="宋体" w:cs="宋体"/>
                <w:color w:val="auto"/>
                <w:szCs w:val="21"/>
              </w:rPr>
              <w:t>　</w:t>
            </w:r>
          </w:p>
        </w:tc>
      </w:tr>
      <w:tr w14:paraId="747F1526">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6B7BC951">
            <w:pPr>
              <w:widowControl/>
              <w:jc w:val="center"/>
              <w:rPr>
                <w:rFonts w:ascii="宋体" w:hAnsi="宋体" w:eastAsia="宋体" w:cs="宋体"/>
                <w:color w:val="auto"/>
                <w:szCs w:val="21"/>
              </w:rPr>
            </w:pPr>
            <w:r>
              <w:rPr>
                <w:rFonts w:hint="eastAsia" w:ascii="宋体" w:hAnsi="宋体" w:eastAsia="宋体" w:cs="宋体"/>
                <w:color w:val="auto"/>
                <w:szCs w:val="21"/>
              </w:rPr>
              <w:t>6</w:t>
            </w:r>
          </w:p>
        </w:tc>
        <w:tc>
          <w:tcPr>
            <w:tcW w:w="846" w:type="pct"/>
            <w:tcBorders>
              <w:top w:val="nil"/>
              <w:left w:val="nil"/>
              <w:bottom w:val="single" w:color="auto" w:sz="4" w:space="0"/>
              <w:right w:val="single" w:color="auto" w:sz="4" w:space="0"/>
            </w:tcBorders>
            <w:shd w:val="clear" w:color="auto" w:fill="auto"/>
            <w:noWrap/>
            <w:vAlign w:val="center"/>
          </w:tcPr>
          <w:p w14:paraId="06E71813">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6A9336E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CADA63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1CCD65B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0EC3F500">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E9ABA7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60F073A5">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039169EC">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7C992233">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19C209D2">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43FF8A8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3D72B463">
            <w:pPr>
              <w:widowControl/>
              <w:rPr>
                <w:rFonts w:ascii="宋体" w:hAnsi="宋体" w:eastAsia="宋体" w:cs="宋体"/>
                <w:color w:val="auto"/>
                <w:szCs w:val="21"/>
              </w:rPr>
            </w:pPr>
            <w:r>
              <w:rPr>
                <w:rFonts w:hint="eastAsia" w:ascii="宋体" w:hAnsi="宋体" w:eastAsia="宋体" w:cs="宋体"/>
                <w:color w:val="auto"/>
                <w:szCs w:val="21"/>
              </w:rPr>
              <w:t>　</w:t>
            </w:r>
          </w:p>
        </w:tc>
      </w:tr>
      <w:tr w14:paraId="292D5514">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4A5B552E">
            <w:pPr>
              <w:widowControl/>
              <w:jc w:val="center"/>
              <w:rPr>
                <w:rFonts w:ascii="宋体" w:hAnsi="宋体" w:eastAsia="宋体" w:cs="宋体"/>
                <w:color w:val="auto"/>
                <w:szCs w:val="21"/>
              </w:rPr>
            </w:pPr>
            <w:r>
              <w:rPr>
                <w:rFonts w:hint="eastAsia" w:ascii="宋体" w:hAnsi="宋体" w:eastAsia="宋体" w:cs="宋体"/>
                <w:color w:val="auto"/>
                <w:szCs w:val="21"/>
              </w:rPr>
              <w:t>7</w:t>
            </w:r>
          </w:p>
        </w:tc>
        <w:tc>
          <w:tcPr>
            <w:tcW w:w="846" w:type="pct"/>
            <w:tcBorders>
              <w:top w:val="nil"/>
              <w:left w:val="nil"/>
              <w:bottom w:val="single" w:color="auto" w:sz="4" w:space="0"/>
              <w:right w:val="single" w:color="auto" w:sz="4" w:space="0"/>
            </w:tcBorders>
            <w:shd w:val="clear" w:color="auto" w:fill="auto"/>
            <w:noWrap/>
            <w:vAlign w:val="center"/>
          </w:tcPr>
          <w:p w14:paraId="2CDFA1A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1A49324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51A808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64C1470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65CEDA2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4B9387E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75D2315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1BBBB0D2">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0A7B367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33E451D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59244ED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60F16E9D">
            <w:pPr>
              <w:widowControl/>
              <w:rPr>
                <w:rFonts w:ascii="宋体" w:hAnsi="宋体" w:eastAsia="宋体" w:cs="宋体"/>
                <w:color w:val="auto"/>
                <w:szCs w:val="21"/>
              </w:rPr>
            </w:pPr>
            <w:r>
              <w:rPr>
                <w:rFonts w:hint="eastAsia" w:ascii="宋体" w:hAnsi="宋体" w:eastAsia="宋体" w:cs="宋体"/>
                <w:color w:val="auto"/>
                <w:szCs w:val="21"/>
              </w:rPr>
              <w:t>　</w:t>
            </w:r>
          </w:p>
        </w:tc>
      </w:tr>
      <w:tr w14:paraId="4833B68D">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4B25A426">
            <w:pPr>
              <w:widowControl/>
              <w:jc w:val="center"/>
              <w:rPr>
                <w:rFonts w:ascii="宋体" w:hAnsi="宋体" w:eastAsia="宋体" w:cs="宋体"/>
                <w:color w:val="auto"/>
                <w:szCs w:val="21"/>
              </w:rPr>
            </w:pPr>
            <w:r>
              <w:rPr>
                <w:rFonts w:hint="eastAsia" w:ascii="宋体" w:hAnsi="宋体" w:eastAsia="宋体" w:cs="宋体"/>
                <w:color w:val="auto"/>
                <w:szCs w:val="21"/>
              </w:rPr>
              <w:t>8</w:t>
            </w:r>
          </w:p>
        </w:tc>
        <w:tc>
          <w:tcPr>
            <w:tcW w:w="846" w:type="pct"/>
            <w:tcBorders>
              <w:top w:val="nil"/>
              <w:left w:val="nil"/>
              <w:bottom w:val="single" w:color="auto" w:sz="4" w:space="0"/>
              <w:right w:val="single" w:color="auto" w:sz="4" w:space="0"/>
            </w:tcBorders>
            <w:shd w:val="clear" w:color="auto" w:fill="auto"/>
            <w:noWrap/>
            <w:vAlign w:val="center"/>
          </w:tcPr>
          <w:p w14:paraId="7E17355F">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5B67691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9382AB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6ACB9C9F">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2044806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7EFF37B3">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2008BC0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0A21FE8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552E84C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74A8397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74B1FB32">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6AFEB35C">
            <w:pPr>
              <w:widowControl/>
              <w:rPr>
                <w:rFonts w:ascii="宋体" w:hAnsi="宋体" w:eastAsia="宋体" w:cs="宋体"/>
                <w:color w:val="auto"/>
                <w:szCs w:val="21"/>
              </w:rPr>
            </w:pPr>
            <w:r>
              <w:rPr>
                <w:rFonts w:hint="eastAsia" w:ascii="宋体" w:hAnsi="宋体" w:eastAsia="宋体" w:cs="宋体"/>
                <w:color w:val="auto"/>
                <w:szCs w:val="21"/>
              </w:rPr>
              <w:t>　</w:t>
            </w:r>
          </w:p>
        </w:tc>
      </w:tr>
      <w:tr w14:paraId="427F4FD6">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02EF08E2">
            <w:pPr>
              <w:widowControl/>
              <w:jc w:val="center"/>
              <w:rPr>
                <w:rFonts w:ascii="宋体" w:hAnsi="宋体" w:eastAsia="宋体" w:cs="宋体"/>
                <w:color w:val="auto"/>
                <w:szCs w:val="21"/>
              </w:rPr>
            </w:pPr>
            <w:r>
              <w:rPr>
                <w:rFonts w:hint="eastAsia" w:ascii="宋体" w:hAnsi="宋体" w:eastAsia="宋体" w:cs="宋体"/>
                <w:color w:val="auto"/>
                <w:szCs w:val="21"/>
              </w:rPr>
              <w:t>9</w:t>
            </w:r>
          </w:p>
        </w:tc>
        <w:tc>
          <w:tcPr>
            <w:tcW w:w="846" w:type="pct"/>
            <w:tcBorders>
              <w:top w:val="nil"/>
              <w:left w:val="nil"/>
              <w:bottom w:val="single" w:color="auto" w:sz="4" w:space="0"/>
              <w:right w:val="single" w:color="auto" w:sz="4" w:space="0"/>
            </w:tcBorders>
            <w:shd w:val="clear" w:color="auto" w:fill="auto"/>
            <w:noWrap/>
            <w:vAlign w:val="center"/>
          </w:tcPr>
          <w:p w14:paraId="2734686C">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096B20F">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5039A41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4E59F55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6C267175">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19DB87B3">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15F18A9D">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6E5F5F6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5BDCFA3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4778088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62EC79EF">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250EC3EE">
            <w:pPr>
              <w:widowControl/>
              <w:rPr>
                <w:rFonts w:ascii="宋体" w:hAnsi="宋体" w:eastAsia="宋体" w:cs="宋体"/>
                <w:color w:val="auto"/>
                <w:szCs w:val="21"/>
              </w:rPr>
            </w:pPr>
            <w:r>
              <w:rPr>
                <w:rFonts w:hint="eastAsia" w:ascii="宋体" w:hAnsi="宋体" w:eastAsia="宋体" w:cs="宋体"/>
                <w:color w:val="auto"/>
                <w:szCs w:val="21"/>
              </w:rPr>
              <w:t>　</w:t>
            </w:r>
          </w:p>
        </w:tc>
      </w:tr>
      <w:tr w14:paraId="3F5353D7">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29269E6F">
            <w:pPr>
              <w:widowControl/>
              <w:jc w:val="center"/>
              <w:rPr>
                <w:rFonts w:ascii="宋体" w:hAnsi="宋体" w:eastAsia="宋体" w:cs="宋体"/>
                <w:color w:val="auto"/>
                <w:szCs w:val="21"/>
              </w:rPr>
            </w:pPr>
            <w:r>
              <w:rPr>
                <w:rFonts w:hint="eastAsia" w:ascii="宋体" w:hAnsi="宋体" w:eastAsia="宋体" w:cs="宋体"/>
                <w:color w:val="auto"/>
                <w:szCs w:val="21"/>
              </w:rPr>
              <w:t>10</w:t>
            </w:r>
          </w:p>
        </w:tc>
        <w:tc>
          <w:tcPr>
            <w:tcW w:w="846" w:type="pct"/>
            <w:tcBorders>
              <w:top w:val="nil"/>
              <w:left w:val="nil"/>
              <w:bottom w:val="single" w:color="auto" w:sz="4" w:space="0"/>
              <w:right w:val="single" w:color="auto" w:sz="4" w:space="0"/>
            </w:tcBorders>
            <w:shd w:val="clear" w:color="auto" w:fill="auto"/>
            <w:noWrap/>
            <w:vAlign w:val="center"/>
          </w:tcPr>
          <w:p w14:paraId="4998CC0F">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5D93D1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7A091C1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4A880A9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600BAB35">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3AB3F45C">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24B23AAD">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6481BCBD">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603279D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0B7955D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48DF1B6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322B39C0">
            <w:pPr>
              <w:widowControl/>
              <w:rPr>
                <w:rFonts w:ascii="宋体" w:hAnsi="宋体" w:eastAsia="宋体" w:cs="宋体"/>
                <w:color w:val="auto"/>
                <w:szCs w:val="21"/>
              </w:rPr>
            </w:pPr>
            <w:r>
              <w:rPr>
                <w:rFonts w:hint="eastAsia" w:ascii="宋体" w:hAnsi="宋体" w:eastAsia="宋体" w:cs="宋体"/>
                <w:color w:val="auto"/>
                <w:szCs w:val="21"/>
              </w:rPr>
              <w:t>　</w:t>
            </w:r>
          </w:p>
        </w:tc>
      </w:tr>
      <w:tr w14:paraId="64F4904A">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7AC437D1">
            <w:pPr>
              <w:widowControl/>
              <w:jc w:val="center"/>
              <w:rPr>
                <w:rFonts w:ascii="宋体" w:hAnsi="宋体" w:eastAsia="宋体" w:cs="宋体"/>
                <w:color w:val="auto"/>
                <w:szCs w:val="21"/>
              </w:rPr>
            </w:pPr>
            <w:r>
              <w:rPr>
                <w:rFonts w:hint="eastAsia" w:ascii="宋体" w:hAnsi="宋体" w:eastAsia="宋体" w:cs="宋体"/>
                <w:color w:val="auto"/>
                <w:szCs w:val="21"/>
              </w:rPr>
              <w:t>11</w:t>
            </w:r>
          </w:p>
        </w:tc>
        <w:tc>
          <w:tcPr>
            <w:tcW w:w="846" w:type="pct"/>
            <w:tcBorders>
              <w:top w:val="nil"/>
              <w:left w:val="nil"/>
              <w:bottom w:val="single" w:color="auto" w:sz="4" w:space="0"/>
              <w:right w:val="single" w:color="auto" w:sz="4" w:space="0"/>
            </w:tcBorders>
            <w:shd w:val="clear" w:color="auto" w:fill="auto"/>
            <w:noWrap/>
            <w:vAlign w:val="center"/>
          </w:tcPr>
          <w:p w14:paraId="549E4F8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585DB89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1E7F9529">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1F89F5A0">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0AA0C9A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5564CCE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1716A852">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5B440DC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5CD284A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13370AC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41A62D0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1F1ADF48">
            <w:pPr>
              <w:widowControl/>
              <w:rPr>
                <w:rFonts w:ascii="宋体" w:hAnsi="宋体" w:eastAsia="宋体" w:cs="宋体"/>
                <w:color w:val="auto"/>
                <w:szCs w:val="21"/>
              </w:rPr>
            </w:pPr>
            <w:r>
              <w:rPr>
                <w:rFonts w:hint="eastAsia" w:ascii="宋体" w:hAnsi="宋体" w:eastAsia="宋体" w:cs="宋体"/>
                <w:color w:val="auto"/>
                <w:szCs w:val="21"/>
              </w:rPr>
              <w:t>　</w:t>
            </w:r>
          </w:p>
        </w:tc>
      </w:tr>
      <w:tr w14:paraId="43ACFD47">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15505D7F">
            <w:pPr>
              <w:widowControl/>
              <w:jc w:val="center"/>
              <w:rPr>
                <w:rFonts w:ascii="宋体" w:hAnsi="宋体" w:eastAsia="宋体" w:cs="宋体"/>
                <w:color w:val="auto"/>
                <w:szCs w:val="21"/>
              </w:rPr>
            </w:pPr>
            <w:r>
              <w:rPr>
                <w:rFonts w:hint="eastAsia" w:ascii="宋体" w:hAnsi="宋体" w:eastAsia="宋体" w:cs="宋体"/>
                <w:color w:val="auto"/>
                <w:szCs w:val="21"/>
              </w:rPr>
              <w:t>12</w:t>
            </w:r>
          </w:p>
        </w:tc>
        <w:tc>
          <w:tcPr>
            <w:tcW w:w="846" w:type="pct"/>
            <w:tcBorders>
              <w:top w:val="nil"/>
              <w:left w:val="nil"/>
              <w:bottom w:val="single" w:color="auto" w:sz="4" w:space="0"/>
              <w:right w:val="single" w:color="auto" w:sz="4" w:space="0"/>
            </w:tcBorders>
            <w:shd w:val="clear" w:color="auto" w:fill="auto"/>
            <w:noWrap/>
            <w:vAlign w:val="center"/>
          </w:tcPr>
          <w:p w14:paraId="471F993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245C925">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6A425513">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DC6A26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1852185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07CE5A0">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7281F60D">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7EC94322">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0A217DA5">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41DDD405">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761B9CA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1C56A963">
            <w:pPr>
              <w:widowControl/>
              <w:rPr>
                <w:rFonts w:ascii="宋体" w:hAnsi="宋体" w:eastAsia="宋体" w:cs="宋体"/>
                <w:color w:val="auto"/>
                <w:szCs w:val="21"/>
              </w:rPr>
            </w:pPr>
            <w:r>
              <w:rPr>
                <w:rFonts w:hint="eastAsia" w:ascii="宋体" w:hAnsi="宋体" w:eastAsia="宋体" w:cs="宋体"/>
                <w:color w:val="auto"/>
                <w:szCs w:val="21"/>
              </w:rPr>
              <w:t>　</w:t>
            </w:r>
          </w:p>
        </w:tc>
      </w:tr>
      <w:tr w14:paraId="45FD2673">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5E7D5D1D">
            <w:pPr>
              <w:widowControl/>
              <w:jc w:val="center"/>
              <w:rPr>
                <w:rFonts w:ascii="宋体" w:hAnsi="宋体" w:eastAsia="宋体" w:cs="宋体"/>
                <w:color w:val="auto"/>
                <w:szCs w:val="21"/>
              </w:rPr>
            </w:pPr>
            <w:r>
              <w:rPr>
                <w:rFonts w:hint="eastAsia" w:ascii="宋体" w:hAnsi="宋体" w:eastAsia="宋体" w:cs="宋体"/>
                <w:color w:val="auto"/>
                <w:szCs w:val="21"/>
              </w:rPr>
              <w:t>13</w:t>
            </w:r>
          </w:p>
        </w:tc>
        <w:tc>
          <w:tcPr>
            <w:tcW w:w="846" w:type="pct"/>
            <w:tcBorders>
              <w:top w:val="nil"/>
              <w:left w:val="nil"/>
              <w:bottom w:val="single" w:color="auto" w:sz="4" w:space="0"/>
              <w:right w:val="single" w:color="auto" w:sz="4" w:space="0"/>
            </w:tcBorders>
            <w:shd w:val="clear" w:color="auto" w:fill="auto"/>
            <w:noWrap/>
            <w:vAlign w:val="center"/>
          </w:tcPr>
          <w:p w14:paraId="0A6A16F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2FF33F5">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3379030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44756F1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6833BFDC">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24545A7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531ECD7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5FBCFFF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70B53166">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72350180">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7687779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4604ECCC">
            <w:pPr>
              <w:widowControl/>
              <w:rPr>
                <w:rFonts w:ascii="宋体" w:hAnsi="宋体" w:eastAsia="宋体" w:cs="宋体"/>
                <w:color w:val="auto"/>
                <w:szCs w:val="21"/>
              </w:rPr>
            </w:pPr>
            <w:r>
              <w:rPr>
                <w:rFonts w:hint="eastAsia" w:ascii="宋体" w:hAnsi="宋体" w:eastAsia="宋体" w:cs="宋体"/>
                <w:color w:val="auto"/>
                <w:szCs w:val="21"/>
              </w:rPr>
              <w:t>　</w:t>
            </w:r>
          </w:p>
        </w:tc>
      </w:tr>
      <w:tr w14:paraId="2C3274CD">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1BB8E98A">
            <w:pPr>
              <w:widowControl/>
              <w:jc w:val="center"/>
              <w:rPr>
                <w:rFonts w:ascii="宋体" w:hAnsi="宋体" w:eastAsia="宋体" w:cs="宋体"/>
                <w:color w:val="auto"/>
                <w:szCs w:val="21"/>
              </w:rPr>
            </w:pPr>
            <w:r>
              <w:rPr>
                <w:rFonts w:hint="eastAsia" w:ascii="宋体" w:hAnsi="宋体" w:eastAsia="宋体" w:cs="宋体"/>
                <w:color w:val="auto"/>
                <w:szCs w:val="21"/>
              </w:rPr>
              <w:t>14</w:t>
            </w:r>
          </w:p>
        </w:tc>
        <w:tc>
          <w:tcPr>
            <w:tcW w:w="846" w:type="pct"/>
            <w:tcBorders>
              <w:top w:val="nil"/>
              <w:left w:val="nil"/>
              <w:bottom w:val="single" w:color="auto" w:sz="4" w:space="0"/>
              <w:right w:val="single" w:color="auto" w:sz="4" w:space="0"/>
            </w:tcBorders>
            <w:shd w:val="clear" w:color="auto" w:fill="auto"/>
            <w:noWrap/>
            <w:vAlign w:val="center"/>
          </w:tcPr>
          <w:p w14:paraId="1FE40BD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0AA7974B">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5A63DDB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443D2AD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79A15BE2">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3E4EEEE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752EF84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25F824D2">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3BA9628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6C35D7D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68A73F0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7329F896">
            <w:pPr>
              <w:widowControl/>
              <w:rPr>
                <w:rFonts w:ascii="宋体" w:hAnsi="宋体" w:eastAsia="宋体" w:cs="宋体"/>
                <w:color w:val="auto"/>
                <w:szCs w:val="21"/>
              </w:rPr>
            </w:pPr>
            <w:r>
              <w:rPr>
                <w:rFonts w:hint="eastAsia" w:ascii="宋体" w:hAnsi="宋体" w:eastAsia="宋体" w:cs="宋体"/>
                <w:color w:val="auto"/>
                <w:szCs w:val="21"/>
              </w:rPr>
              <w:t>　</w:t>
            </w:r>
          </w:p>
        </w:tc>
      </w:tr>
      <w:tr w14:paraId="05822103">
        <w:tblPrEx>
          <w:tblCellMar>
            <w:top w:w="0" w:type="dxa"/>
            <w:left w:w="108" w:type="dxa"/>
            <w:bottom w:w="0" w:type="dxa"/>
            <w:right w:w="108" w:type="dxa"/>
          </w:tblCellMar>
        </w:tblPrEx>
        <w:trPr>
          <w:trHeight w:val="480" w:hRule="atLeast"/>
        </w:trPr>
        <w:tc>
          <w:tcPr>
            <w:tcW w:w="316" w:type="pct"/>
            <w:tcBorders>
              <w:top w:val="nil"/>
              <w:left w:val="single" w:color="auto" w:sz="4" w:space="0"/>
              <w:bottom w:val="single" w:color="auto" w:sz="4" w:space="0"/>
              <w:right w:val="single" w:color="auto" w:sz="4" w:space="0"/>
            </w:tcBorders>
            <w:shd w:val="clear" w:color="auto" w:fill="auto"/>
            <w:noWrap/>
            <w:vAlign w:val="center"/>
          </w:tcPr>
          <w:p w14:paraId="26B79BF0">
            <w:pPr>
              <w:widowControl/>
              <w:jc w:val="center"/>
              <w:rPr>
                <w:rFonts w:ascii="宋体" w:hAnsi="宋体" w:eastAsia="宋体" w:cs="宋体"/>
                <w:color w:val="auto"/>
                <w:szCs w:val="21"/>
              </w:rPr>
            </w:pPr>
            <w:r>
              <w:rPr>
                <w:rFonts w:hint="eastAsia" w:ascii="宋体" w:hAnsi="宋体" w:eastAsia="宋体" w:cs="宋体"/>
                <w:color w:val="auto"/>
                <w:szCs w:val="21"/>
              </w:rPr>
              <w:t>15</w:t>
            </w:r>
          </w:p>
        </w:tc>
        <w:tc>
          <w:tcPr>
            <w:tcW w:w="846" w:type="pct"/>
            <w:tcBorders>
              <w:top w:val="nil"/>
              <w:left w:val="nil"/>
              <w:bottom w:val="single" w:color="auto" w:sz="4" w:space="0"/>
              <w:right w:val="single" w:color="auto" w:sz="4" w:space="0"/>
            </w:tcBorders>
            <w:shd w:val="clear" w:color="auto" w:fill="auto"/>
            <w:noWrap/>
            <w:vAlign w:val="center"/>
          </w:tcPr>
          <w:p w14:paraId="6CE61A41">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528A282C">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193403D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7B8513FE">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19" w:type="pct"/>
            <w:tcBorders>
              <w:top w:val="nil"/>
              <w:left w:val="nil"/>
              <w:bottom w:val="single" w:color="auto" w:sz="4" w:space="0"/>
              <w:right w:val="single" w:color="auto" w:sz="4" w:space="0"/>
            </w:tcBorders>
            <w:shd w:val="clear" w:color="auto" w:fill="auto"/>
            <w:noWrap/>
            <w:vAlign w:val="center"/>
          </w:tcPr>
          <w:p w14:paraId="3B5CE7E4">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80" w:type="pct"/>
            <w:tcBorders>
              <w:top w:val="nil"/>
              <w:left w:val="nil"/>
              <w:bottom w:val="single" w:color="auto" w:sz="4" w:space="0"/>
              <w:right w:val="single" w:color="auto" w:sz="4" w:space="0"/>
            </w:tcBorders>
            <w:shd w:val="clear" w:color="auto" w:fill="auto"/>
            <w:noWrap/>
            <w:vAlign w:val="center"/>
          </w:tcPr>
          <w:p w14:paraId="7638EFF7">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015AC44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68" w:type="pct"/>
            <w:tcBorders>
              <w:top w:val="nil"/>
              <w:left w:val="nil"/>
              <w:bottom w:val="single" w:color="auto" w:sz="4" w:space="0"/>
              <w:right w:val="single" w:color="auto" w:sz="4" w:space="0"/>
            </w:tcBorders>
            <w:shd w:val="clear" w:color="auto" w:fill="auto"/>
            <w:noWrap/>
            <w:vAlign w:val="center"/>
          </w:tcPr>
          <w:p w14:paraId="1228A0DA">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663" w:type="pct"/>
            <w:tcBorders>
              <w:top w:val="nil"/>
              <w:left w:val="nil"/>
              <w:bottom w:val="single" w:color="auto" w:sz="4" w:space="0"/>
              <w:right w:val="single" w:color="auto" w:sz="4" w:space="0"/>
            </w:tcBorders>
            <w:shd w:val="clear" w:color="auto" w:fill="auto"/>
            <w:noWrap/>
            <w:vAlign w:val="center"/>
          </w:tcPr>
          <w:p w14:paraId="3BAF827F">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381" w:type="pct"/>
            <w:tcBorders>
              <w:top w:val="nil"/>
              <w:left w:val="nil"/>
              <w:bottom w:val="single" w:color="auto" w:sz="4" w:space="0"/>
              <w:right w:val="single" w:color="auto" w:sz="4" w:space="0"/>
            </w:tcBorders>
            <w:shd w:val="clear" w:color="auto" w:fill="auto"/>
            <w:noWrap/>
            <w:vAlign w:val="center"/>
          </w:tcPr>
          <w:p w14:paraId="572E0310">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422" w:type="pct"/>
            <w:tcBorders>
              <w:top w:val="nil"/>
              <w:left w:val="nil"/>
              <w:bottom w:val="single" w:color="auto" w:sz="4" w:space="0"/>
              <w:right w:val="single" w:color="auto" w:sz="4" w:space="0"/>
            </w:tcBorders>
            <w:shd w:val="clear" w:color="auto" w:fill="auto"/>
            <w:noWrap/>
            <w:vAlign w:val="center"/>
          </w:tcPr>
          <w:p w14:paraId="1B385288">
            <w:pPr>
              <w:widowControl/>
              <w:jc w:val="center"/>
              <w:rPr>
                <w:rFonts w:ascii="宋体" w:hAnsi="宋体" w:eastAsia="宋体" w:cs="宋体"/>
                <w:color w:val="auto"/>
                <w:szCs w:val="21"/>
              </w:rPr>
            </w:pPr>
            <w:r>
              <w:rPr>
                <w:rFonts w:hint="eastAsia" w:ascii="宋体" w:hAnsi="宋体" w:eastAsia="宋体" w:cs="宋体"/>
                <w:color w:val="auto"/>
                <w:szCs w:val="21"/>
              </w:rPr>
              <w:t>　</w:t>
            </w:r>
          </w:p>
        </w:tc>
        <w:tc>
          <w:tcPr>
            <w:tcW w:w="295" w:type="pct"/>
            <w:tcBorders>
              <w:top w:val="nil"/>
              <w:left w:val="nil"/>
              <w:bottom w:val="single" w:color="auto" w:sz="4" w:space="0"/>
              <w:right w:val="single" w:color="auto" w:sz="4" w:space="0"/>
            </w:tcBorders>
            <w:shd w:val="clear" w:color="auto" w:fill="auto"/>
            <w:noWrap/>
            <w:vAlign w:val="center"/>
          </w:tcPr>
          <w:p w14:paraId="5AC2FD74">
            <w:pPr>
              <w:widowControl/>
              <w:rPr>
                <w:rFonts w:ascii="宋体" w:hAnsi="宋体" w:eastAsia="宋体" w:cs="宋体"/>
                <w:color w:val="auto"/>
                <w:szCs w:val="21"/>
              </w:rPr>
            </w:pPr>
            <w:r>
              <w:rPr>
                <w:rFonts w:hint="eastAsia" w:ascii="宋体" w:hAnsi="宋体" w:eastAsia="宋体" w:cs="宋体"/>
                <w:color w:val="auto"/>
                <w:szCs w:val="21"/>
              </w:rPr>
              <w:t>　</w:t>
            </w:r>
          </w:p>
        </w:tc>
      </w:tr>
      <w:tr w14:paraId="6801F8BE">
        <w:tblPrEx>
          <w:tblCellMar>
            <w:top w:w="0" w:type="dxa"/>
            <w:left w:w="108" w:type="dxa"/>
            <w:bottom w:w="0" w:type="dxa"/>
            <w:right w:w="108" w:type="dxa"/>
          </w:tblCellMar>
        </w:tblPrEx>
        <w:trPr>
          <w:trHeight w:val="342" w:hRule="atLeast"/>
        </w:trPr>
        <w:tc>
          <w:tcPr>
            <w:tcW w:w="5000" w:type="pct"/>
            <w:gridSpan w:val="13"/>
            <w:tcBorders>
              <w:top w:val="nil"/>
              <w:left w:val="nil"/>
              <w:bottom w:val="nil"/>
              <w:right w:val="nil"/>
            </w:tcBorders>
            <w:shd w:val="clear" w:color="auto" w:fill="auto"/>
            <w:noWrap/>
            <w:vAlign w:val="center"/>
          </w:tcPr>
          <w:p w14:paraId="6C3929B5">
            <w:pPr>
              <w:widowControl/>
              <w:rPr>
                <w:rFonts w:ascii="宋体" w:hAnsi="宋体" w:eastAsia="宋体" w:cs="宋体"/>
                <w:color w:val="auto"/>
                <w:szCs w:val="21"/>
              </w:rPr>
            </w:pPr>
            <w:r>
              <w:rPr>
                <w:rFonts w:hint="eastAsia" w:ascii="宋体" w:hAnsi="宋体" w:eastAsia="宋体" w:cs="宋体"/>
                <w:color w:val="auto"/>
                <w:szCs w:val="21"/>
              </w:rPr>
              <w:t>备注：本季度考核得分=分公司季度评分*70%+设备管理部季度评分*30%</w:t>
            </w:r>
          </w:p>
        </w:tc>
      </w:tr>
    </w:tbl>
    <w:p w14:paraId="2EB071C2">
      <w:pPr>
        <w:rPr>
          <w:rFonts w:ascii="宋体" w:hAnsi="宋体" w:eastAsia="宋体" w:cs="宋体"/>
          <w:color w:val="auto"/>
          <w:szCs w:val="21"/>
        </w:rPr>
      </w:pPr>
    </w:p>
    <w:p w14:paraId="4208E60F">
      <w:pPr>
        <w:rPr>
          <w:rFonts w:ascii="宋体" w:hAnsi="宋体" w:eastAsia="宋体" w:cs="宋体"/>
          <w:color w:val="auto"/>
          <w:szCs w:val="21"/>
        </w:rPr>
      </w:pPr>
    </w:p>
    <w:p w14:paraId="6A6EAB55">
      <w:pPr>
        <w:rPr>
          <w:rFonts w:ascii="宋体" w:hAnsi="宋体" w:eastAsia="宋体" w:cs="宋体"/>
          <w:color w:val="auto"/>
          <w:szCs w:val="21"/>
        </w:rPr>
      </w:pPr>
    </w:p>
    <w:p w14:paraId="32AFCC92">
      <w:pPr>
        <w:rPr>
          <w:rFonts w:ascii="宋体" w:hAnsi="宋体" w:eastAsia="宋体" w:cs="宋体"/>
          <w:color w:val="auto"/>
          <w:szCs w:val="21"/>
        </w:rPr>
      </w:pPr>
    </w:p>
    <w:p w14:paraId="1D47DE13">
      <w:pPr>
        <w:rPr>
          <w:rFonts w:ascii="宋体" w:hAnsi="宋体" w:eastAsia="宋体" w:cs="宋体"/>
          <w:color w:val="auto"/>
          <w:szCs w:val="21"/>
        </w:rPr>
      </w:pPr>
    </w:p>
    <w:p w14:paraId="691F3AFE">
      <w:pPr>
        <w:widowControl/>
        <w:rPr>
          <w:rFonts w:ascii="宋体" w:hAnsi="宋体" w:eastAsia="宋体" w:cs="宋体"/>
          <w:color w:val="auto"/>
          <w:szCs w:val="21"/>
        </w:rPr>
      </w:pPr>
      <w:r>
        <w:rPr>
          <w:rFonts w:hint="eastAsia" w:ascii="宋体" w:hAnsi="宋体" w:eastAsia="宋体" w:cs="宋体"/>
          <w:color w:val="auto"/>
          <w:szCs w:val="21"/>
        </w:rPr>
        <w:br w:type="page"/>
      </w:r>
    </w:p>
    <w:p w14:paraId="6E271609">
      <w:pPr>
        <w:rPr>
          <w:rFonts w:ascii="宋体" w:hAnsi="宋体" w:eastAsia="宋体" w:cs="宋体"/>
          <w:color w:val="auto"/>
          <w:szCs w:val="21"/>
        </w:rPr>
      </w:pPr>
      <w:r>
        <w:rPr>
          <w:rFonts w:hint="eastAsia" w:ascii="宋体" w:hAnsi="宋体" w:eastAsia="宋体" w:cs="宋体"/>
          <w:color w:val="auto"/>
          <w:szCs w:val="21"/>
        </w:rPr>
        <w:t>附件10：应急派单申请书</w:t>
      </w:r>
    </w:p>
    <w:p w14:paraId="6C854975">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应急派单申请表</w:t>
      </w:r>
    </w:p>
    <w:p w14:paraId="506006D0">
      <w:pPr>
        <w:pStyle w:val="68"/>
        <w:spacing w:line="360" w:lineRule="auto"/>
        <w:ind w:firstLine="5460" w:firstLineChars="2600"/>
        <w:contextualSpacing/>
        <w:rPr>
          <w:rFonts w:ascii="宋体" w:hAnsi="宋体" w:eastAsia="宋体" w:cs="宋体"/>
          <w:color w:val="auto"/>
          <w:szCs w:val="21"/>
          <w:u w:val="single"/>
        </w:rPr>
      </w:pPr>
    </w:p>
    <w:p w14:paraId="0EF23667">
      <w:pPr>
        <w:pStyle w:val="68"/>
        <w:spacing w:line="360" w:lineRule="auto"/>
        <w:ind w:firstLine="0" w:firstLineChars="0"/>
        <w:contextualSpacing/>
        <w:rPr>
          <w:rFonts w:ascii="宋体" w:hAnsi="宋体" w:eastAsia="宋体" w:cs="宋体"/>
          <w:color w:val="auto"/>
          <w:szCs w:val="21"/>
        </w:rPr>
      </w:pPr>
      <w:r>
        <w:rPr>
          <w:rFonts w:hint="eastAsia" w:ascii="宋体" w:hAnsi="宋体" w:eastAsia="宋体" w:cs="宋体"/>
          <w:color w:val="auto"/>
          <w:szCs w:val="21"/>
        </w:rPr>
        <w:t>管网公司设备管理部：</w:t>
      </w:r>
    </w:p>
    <w:p w14:paraId="7D1DC2EA">
      <w:pPr>
        <w:pStyle w:val="68"/>
        <w:spacing w:line="360" w:lineRule="auto"/>
        <w:ind w:right="-420" w:rightChars="-200"/>
        <w:contextualSpacing/>
        <w:rPr>
          <w:rFonts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7456" behindDoc="0" locked="0" layoutInCell="1" allowOverlap="1">
                <wp:simplePos x="0" y="0"/>
                <wp:positionH relativeFrom="column">
                  <wp:posOffset>167640</wp:posOffset>
                </wp:positionH>
                <wp:positionV relativeFrom="paragraph">
                  <wp:posOffset>476885</wp:posOffset>
                </wp:positionV>
                <wp:extent cx="172720" cy="182880"/>
                <wp:effectExtent l="6350" t="6350" r="11430" b="20320"/>
                <wp:wrapNone/>
                <wp:docPr id="13" name="矩形 13"/>
                <wp:cNvGraphicFramePr/>
                <a:graphic xmlns:a="http://schemas.openxmlformats.org/drawingml/2006/main">
                  <a:graphicData uri="http://schemas.microsoft.com/office/word/2010/wordprocessingShape">
                    <wps:wsp>
                      <wps:cNvSpPr/>
                      <wps:spPr>
                        <a:xfrm>
                          <a:off x="0" y="0"/>
                          <a:ext cx="172720" cy="182880"/>
                        </a:xfrm>
                        <a:prstGeom prst="rect">
                          <a:avLst/>
                        </a:prstGeom>
                        <a:solidFill>
                          <a:srgbClr val="FFFFFF"/>
                        </a:solidFill>
                        <a:ln w="12700" cap="flat" cmpd="sng" algn="ctr">
                          <a:solidFill>
                            <a:srgbClr val="70AD47"/>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pt;margin-top:37.55pt;height:14.4pt;width:13.6pt;z-index:251667456;v-text-anchor:middle;mso-width-relative:page;mso-height-relative:page;" fillcolor="#FFFFFF" filled="t" stroked="t" coordsize="21600,21600" o:gfxdata="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Y9O+tgAAAAIAQAADwAAAAAAAAABACAAAAAiAAAAZHJzL2Rv&#10;d25yZXYueG1sUEsBAhQAFAAAAAgAh07iQAa57m1zAgAA9QQAAA4AAAAAAAAAAQAgAAAAJwEAAGRy&#10;cy9lMm9Eb2MueG1sUEsFBgAAAAAGAAYAWQEAAAwGAAAAAA==&#10;">
                <v:fill on="t" focussize="0,0"/>
                <v:stroke weight="1pt" color="#70AD47" miterlimit="8" joinstyle="miter"/>
                <v:imagedata o:title=""/>
                <o:lock v:ext="edit" aspectratio="f"/>
              </v:rect>
            </w:pict>
          </mc:Fallback>
        </mc:AlternateContent>
      </w:r>
      <w:r>
        <w:rPr>
          <w:rFonts w:hint="eastAsia" w:ascii="宋体" w:hAnsi="宋体" w:eastAsia="宋体" w:cs="宋体"/>
          <w:color w:val="auto"/>
          <w:szCs w:val="21"/>
        </w:rPr>
        <w:t>现巡查发现          镇（园区） （主干管/水生态1-5期等）          存在       情况，影响较大。应急情况：</w:t>
      </w:r>
    </w:p>
    <w:p w14:paraId="79CB7F5E">
      <w:pPr>
        <w:pStyle w:val="129"/>
        <w:spacing w:line="360" w:lineRule="auto"/>
        <w:ind w:firstLine="630" w:firstLineChars="300"/>
        <w:contextualSpacing/>
        <w:rPr>
          <w:rFonts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8480" behindDoc="0" locked="0" layoutInCell="1" allowOverlap="1">
                <wp:simplePos x="0" y="0"/>
                <wp:positionH relativeFrom="column">
                  <wp:posOffset>163195</wp:posOffset>
                </wp:positionH>
                <wp:positionV relativeFrom="paragraph">
                  <wp:posOffset>215900</wp:posOffset>
                </wp:positionV>
                <wp:extent cx="172720" cy="182880"/>
                <wp:effectExtent l="6350" t="6350" r="11430" b="20320"/>
                <wp:wrapNone/>
                <wp:docPr id="14" name="矩形 14"/>
                <wp:cNvGraphicFramePr/>
                <a:graphic xmlns:a="http://schemas.openxmlformats.org/drawingml/2006/main">
                  <a:graphicData uri="http://schemas.microsoft.com/office/word/2010/wordprocessingShape">
                    <wps:wsp>
                      <wps:cNvSpPr/>
                      <wps:spPr>
                        <a:xfrm>
                          <a:off x="0" y="0"/>
                          <a:ext cx="172720" cy="182880"/>
                        </a:xfrm>
                        <a:prstGeom prst="rect">
                          <a:avLst/>
                        </a:prstGeom>
                        <a:solidFill>
                          <a:srgbClr val="FFFFFF"/>
                        </a:solidFill>
                        <a:ln w="12700" cap="flat" cmpd="sng" algn="ctr">
                          <a:solidFill>
                            <a:srgbClr val="70AD47"/>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5pt;margin-top:17pt;height:14.4pt;width:13.6pt;z-index:251668480;v-text-anchor:middle;mso-width-relative:page;mso-height-relative:page;" fillcolor="#FFFFFF" filled="t" stroked="t" coordsize="21600,21600" o:gfxdata="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A/JytgAAAAHAQAADwAAAAAAAAABACAAAAAiAAAAZHJzL2Rv&#10;d25yZXYueG1sUEsBAhQAFAAAAAgAh07iQOo6gOZzAgAA9QQAAA4AAAAAAAAAAQAgAAAAJwEAAGRy&#10;cy9lMm9Eb2MueG1sUEsFBgAAAAAGAAYAWQEAAAwGAAAAAA==&#10;">
                <v:fill on="t" focussize="0,0"/>
                <v:stroke weight="1pt" color="#70AD47" miterlimit="8" joinstyle="miter"/>
                <v:imagedata o:title=""/>
                <o:lock v:ext="edit" aspectratio="f"/>
              </v:rect>
            </w:pict>
          </mc:Fallback>
        </mc:AlternateContent>
      </w:r>
      <w:r>
        <w:rPr>
          <w:rFonts w:hint="eastAsia" w:ascii="宋体" w:hAnsi="宋体" w:eastAsia="宋体" w:cs="宋体"/>
          <w:color w:val="auto"/>
          <w:szCs w:val="21"/>
        </w:rPr>
        <w:t>导致溢流，严重影响周边水体环境或水质量的。</w:t>
      </w:r>
    </w:p>
    <w:p w14:paraId="0EE23CCD">
      <w:pPr>
        <w:pStyle w:val="129"/>
        <w:spacing w:line="360" w:lineRule="auto"/>
        <w:ind w:firstLine="630" w:firstLineChars="300"/>
        <w:contextualSpacing/>
        <w:rPr>
          <w:rFonts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9504" behindDoc="0" locked="0" layoutInCell="1" allowOverlap="1">
                <wp:simplePos x="0" y="0"/>
                <wp:positionH relativeFrom="column">
                  <wp:posOffset>163195</wp:posOffset>
                </wp:positionH>
                <wp:positionV relativeFrom="paragraph">
                  <wp:posOffset>249555</wp:posOffset>
                </wp:positionV>
                <wp:extent cx="172720" cy="182880"/>
                <wp:effectExtent l="6350" t="6350" r="11430" b="20320"/>
                <wp:wrapNone/>
                <wp:docPr id="15" name="矩形 15"/>
                <wp:cNvGraphicFramePr/>
                <a:graphic xmlns:a="http://schemas.openxmlformats.org/drawingml/2006/main">
                  <a:graphicData uri="http://schemas.microsoft.com/office/word/2010/wordprocessingShape">
                    <wps:wsp>
                      <wps:cNvSpPr/>
                      <wps:spPr>
                        <a:xfrm>
                          <a:off x="0" y="0"/>
                          <a:ext cx="172720" cy="182880"/>
                        </a:xfrm>
                        <a:prstGeom prst="rect">
                          <a:avLst/>
                        </a:prstGeom>
                        <a:solidFill>
                          <a:srgbClr val="FFFFFF"/>
                        </a:solidFill>
                        <a:ln w="12700" cap="flat" cmpd="sng" algn="ctr">
                          <a:solidFill>
                            <a:srgbClr val="70AD47"/>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5pt;margin-top:19.65pt;height:14.4pt;width:13.6pt;z-index:251669504;v-text-anchor:middle;mso-width-relative:page;mso-height-relative:page;" fillcolor="#FFFFFF" filled="t" stroked="t" coordsize="21600,21600" o:gfxdata="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SMcwV1wAAAAcBAAAPAAAAAAAAAAEAIAAAACIAAABkcnMvZG93&#10;bnJldi54bWxQSwECFAAUAAAACACHTuJASA60WXMCAAD1BAAADgAAAAAAAAABACAAAAAmAQAAZHJz&#10;L2Uyb0RvYy54bWxQSwUGAAAAAAYABgBZAQAACwYAAAAA&#10;">
                <v:fill on="t" focussize="0,0"/>
                <v:stroke weight="1pt" color="#70AD47" miterlimit="8" joinstyle="miter"/>
                <v:imagedata o:title=""/>
                <o:lock v:ext="edit" aspectratio="f"/>
              </v:rect>
            </w:pict>
          </mc:Fallback>
        </mc:AlternateContent>
      </w:r>
      <w:r>
        <w:rPr>
          <w:rFonts w:hint="eastAsia" w:ascii="宋体" w:hAnsi="宋体" w:eastAsia="宋体" w:cs="宋体"/>
          <w:color w:val="auto"/>
          <w:szCs w:val="21"/>
        </w:rPr>
        <w:t>导致污水处理厂水量骤降的。</w:t>
      </w:r>
    </w:p>
    <w:p w14:paraId="18433D7F">
      <w:pPr>
        <w:pStyle w:val="19"/>
        <w:adjustRightInd w:val="0"/>
        <w:snapToGrid w:val="0"/>
        <w:spacing w:line="360" w:lineRule="auto"/>
        <w:ind w:firstLine="630" w:firstLineChars="300"/>
        <w:contextualSpacing/>
        <w:rPr>
          <w:rFonts w:ascii="宋体" w:hAnsi="宋体" w:eastAsia="宋体" w:cs="宋体"/>
          <w:color w:val="auto"/>
          <w:szCs w:val="21"/>
        </w:rPr>
      </w:pPr>
      <w:r>
        <w:rPr>
          <w:rFonts w:hint="eastAsia" w:ascii="宋体" w:hAnsi="宋体" w:eastAsia="宋体" w:cs="宋体"/>
          <w:color w:val="auto"/>
          <w:szCs w:val="21"/>
        </w:rPr>
        <w:t>因市政府、相关职能部门、各镇街（园区）及集团公司要求限期完成或分管领导同意需按应急流程实施的服务项目。</w:t>
      </w:r>
    </w:p>
    <w:p w14:paraId="669AED61">
      <w:pPr>
        <w:pStyle w:val="68"/>
        <w:spacing w:line="360" w:lineRule="auto"/>
        <w:ind w:right="-420" w:rightChars="-200"/>
        <w:contextualSpacing/>
        <w:rPr>
          <w:rFonts w:ascii="宋体" w:hAnsi="宋体" w:eastAsia="宋体" w:cs="宋体"/>
          <w:color w:val="auto"/>
          <w:szCs w:val="21"/>
        </w:rPr>
      </w:pPr>
      <w:r>
        <w:rPr>
          <w:rFonts w:hint="eastAsia" w:ascii="宋体" w:hAnsi="宋体" w:eastAsia="宋体" w:cs="宋体"/>
          <w:color w:val="auto"/>
          <w:szCs w:val="21"/>
        </w:rPr>
        <w:t>我分公司启动应急工作，申请委派机电设备维修供应商服务库内单位实施应急修复、止损作业。</w:t>
      </w:r>
    </w:p>
    <w:p w14:paraId="60917D93">
      <w:pPr>
        <w:pStyle w:val="68"/>
        <w:spacing w:line="360" w:lineRule="auto"/>
        <w:ind w:right="-420" w:rightChars="-200"/>
        <w:contextualSpacing/>
        <w:rPr>
          <w:rFonts w:ascii="宋体" w:hAnsi="宋体" w:eastAsia="宋体" w:cs="宋体"/>
          <w:color w:val="auto"/>
          <w:szCs w:val="21"/>
        </w:rPr>
      </w:pPr>
      <w:r>
        <w:rPr>
          <w:rFonts w:hint="eastAsia" w:ascii="宋体" w:hAnsi="宋体" w:eastAsia="宋体" w:cs="宋体"/>
          <w:color w:val="auto"/>
          <w:szCs w:val="21"/>
        </w:rPr>
        <w:t>其他情况说明（包括水下封堵、清淤、开挖、导排）：</w:t>
      </w:r>
    </w:p>
    <w:p w14:paraId="488B5A5A">
      <w:pPr>
        <w:pStyle w:val="68"/>
        <w:spacing w:line="360" w:lineRule="auto"/>
        <w:ind w:right="-420" w:rightChars="-200"/>
        <w:contextualSpacing/>
        <w:rPr>
          <w:rFonts w:ascii="宋体" w:hAnsi="宋体" w:eastAsia="宋体" w:cs="宋体"/>
          <w:color w:val="auto"/>
          <w:szCs w:val="21"/>
        </w:rPr>
      </w:pPr>
    </w:p>
    <w:p w14:paraId="25160264">
      <w:pPr>
        <w:pStyle w:val="68"/>
        <w:spacing w:line="360" w:lineRule="auto"/>
        <w:ind w:right="-420" w:rightChars="-200"/>
        <w:contextualSpacing/>
        <w:rPr>
          <w:rFonts w:ascii="宋体" w:hAnsi="宋体" w:eastAsia="宋体" w:cs="宋体"/>
          <w:color w:val="auto"/>
          <w:szCs w:val="21"/>
        </w:rPr>
      </w:pPr>
    </w:p>
    <w:p w14:paraId="58668C0C">
      <w:pPr>
        <w:pStyle w:val="68"/>
        <w:spacing w:line="360" w:lineRule="auto"/>
        <w:ind w:right="-420" w:rightChars="-200"/>
        <w:contextualSpacing/>
        <w:rPr>
          <w:rFonts w:ascii="宋体" w:hAnsi="宋体" w:eastAsia="宋体" w:cs="宋体"/>
          <w:color w:val="auto"/>
          <w:szCs w:val="21"/>
        </w:rPr>
      </w:pPr>
    </w:p>
    <w:p w14:paraId="71177A67">
      <w:pPr>
        <w:pStyle w:val="68"/>
        <w:spacing w:line="360" w:lineRule="auto"/>
        <w:ind w:right="-420" w:rightChars="-200"/>
        <w:contextualSpacing/>
        <w:rPr>
          <w:rFonts w:ascii="宋体" w:hAnsi="宋体" w:eastAsia="宋体" w:cs="宋体"/>
          <w:color w:val="auto"/>
          <w:szCs w:val="21"/>
        </w:rPr>
      </w:pPr>
      <w:r>
        <w:rPr>
          <w:rFonts w:hint="eastAsia" w:ascii="宋体" w:hAnsi="宋体" w:eastAsia="宋体" w:cs="宋体"/>
          <w:color w:val="auto"/>
          <w:szCs w:val="21"/>
        </w:rPr>
        <w:t>上述项目由我分公司（经办人：XXX，联系方式：1XXXXXXXXXX）负责跟进完善立项全过程工作（立项呈批、预算编制等），待完成后报送设备管理部备案。</w:t>
      </w:r>
    </w:p>
    <w:p w14:paraId="2CBFBDA7">
      <w:pPr>
        <w:pStyle w:val="68"/>
        <w:spacing w:line="360" w:lineRule="auto"/>
        <w:ind w:right="-420" w:rightChars="-200" w:firstLine="0" w:firstLineChars="0"/>
        <w:contextualSpacing/>
        <w:rPr>
          <w:rFonts w:ascii="宋体" w:hAnsi="宋体" w:eastAsia="宋体" w:cs="宋体"/>
          <w:color w:val="auto"/>
          <w:szCs w:val="21"/>
        </w:rPr>
      </w:pPr>
      <w:r>
        <w:rPr>
          <w:rFonts w:hint="eastAsia" w:ascii="宋体" w:hAnsi="宋体" w:eastAsia="宋体" w:cs="宋体"/>
          <w:color w:val="auto"/>
          <w:szCs w:val="21"/>
        </w:rPr>
        <w:t xml:space="preserve">                                     </w:t>
      </w:r>
    </w:p>
    <w:p w14:paraId="52DB6970">
      <w:pPr>
        <w:pStyle w:val="68"/>
        <w:spacing w:line="360" w:lineRule="auto"/>
        <w:ind w:firstLine="0" w:firstLineChars="0"/>
        <w:contextualSpacing/>
        <w:jc w:val="right"/>
        <w:rPr>
          <w:rFonts w:ascii="宋体" w:hAnsi="宋体" w:eastAsia="宋体" w:cs="宋体"/>
          <w:color w:val="auto"/>
          <w:szCs w:val="21"/>
        </w:rPr>
      </w:pPr>
      <w:r>
        <w:rPr>
          <w:rFonts w:hint="eastAsia" w:ascii="宋体" w:hAnsi="宋体" w:eastAsia="宋体" w:cs="宋体"/>
          <w:color w:val="auto"/>
          <w:szCs w:val="21"/>
        </w:rPr>
        <w:t xml:space="preserve">                                管网公司第X分公司</w:t>
      </w:r>
    </w:p>
    <w:p w14:paraId="4668C940">
      <w:pPr>
        <w:pStyle w:val="68"/>
        <w:spacing w:line="360" w:lineRule="auto"/>
        <w:ind w:firstLine="0" w:firstLineChars="0"/>
        <w:contextualSpacing/>
        <w:jc w:val="center"/>
        <w:rPr>
          <w:rFonts w:ascii="宋体" w:hAnsi="宋体" w:eastAsia="宋体" w:cs="宋体"/>
          <w:color w:val="auto"/>
          <w:szCs w:val="21"/>
        </w:rPr>
      </w:pPr>
      <w:r>
        <w:rPr>
          <w:rFonts w:hint="eastAsia" w:ascii="宋体" w:hAnsi="宋体" w:eastAsia="宋体" w:cs="宋体"/>
          <w:color w:val="auto"/>
          <w:szCs w:val="21"/>
        </w:rPr>
        <w:t xml:space="preserve">                                  （部门章）                                                                                          </w:t>
      </w:r>
    </w:p>
    <w:p w14:paraId="3CFD74BE">
      <w:pPr>
        <w:spacing w:line="360" w:lineRule="auto"/>
        <w:contextualSpacing/>
        <w:jc w:val="right"/>
        <w:rPr>
          <w:rFonts w:ascii="宋体" w:hAnsi="宋体" w:eastAsia="宋体" w:cs="宋体"/>
          <w:color w:val="auto"/>
          <w:szCs w:val="21"/>
        </w:rPr>
      </w:pPr>
      <w:r>
        <w:rPr>
          <w:rFonts w:hint="eastAsia" w:ascii="宋体" w:hAnsi="宋体" w:eastAsia="宋体" w:cs="宋体"/>
          <w:color w:val="auto"/>
          <w:szCs w:val="21"/>
        </w:rPr>
        <w:t>2022年XX月XX日</w:t>
      </w:r>
    </w:p>
    <w:p w14:paraId="6274645A">
      <w:pPr>
        <w:rPr>
          <w:rFonts w:ascii="宋体" w:hAnsi="宋体" w:eastAsia="宋体" w:cs="宋体"/>
          <w:color w:val="auto"/>
          <w:szCs w:val="21"/>
        </w:rPr>
      </w:pPr>
    </w:p>
    <w:p w14:paraId="263ACDE7">
      <w:pPr>
        <w:rPr>
          <w:rFonts w:ascii="宋体" w:hAnsi="宋体" w:eastAsia="宋体" w:cs="宋体"/>
          <w:color w:val="auto"/>
          <w:szCs w:val="21"/>
        </w:rPr>
      </w:pPr>
    </w:p>
    <w:p w14:paraId="38F9DE66">
      <w:pPr>
        <w:rPr>
          <w:rFonts w:ascii="宋体" w:hAnsi="宋体" w:eastAsia="宋体" w:cs="宋体"/>
          <w:color w:val="auto"/>
          <w:szCs w:val="21"/>
        </w:rPr>
      </w:pPr>
    </w:p>
    <w:p w14:paraId="64D5D3D5">
      <w:pPr>
        <w:rPr>
          <w:rFonts w:ascii="宋体" w:hAnsi="宋体" w:eastAsia="宋体" w:cs="宋体"/>
          <w:color w:val="auto"/>
          <w:szCs w:val="21"/>
        </w:rPr>
      </w:pPr>
    </w:p>
    <w:p w14:paraId="7A2C77FA">
      <w:pPr>
        <w:rPr>
          <w:rFonts w:ascii="宋体" w:hAnsi="宋体" w:eastAsia="宋体" w:cs="宋体"/>
          <w:color w:val="auto"/>
          <w:szCs w:val="21"/>
        </w:rPr>
      </w:pPr>
    </w:p>
    <w:p w14:paraId="1703BDB7">
      <w:pPr>
        <w:rPr>
          <w:rFonts w:ascii="宋体" w:hAnsi="宋体" w:eastAsia="宋体" w:cs="宋体"/>
          <w:color w:val="auto"/>
          <w:szCs w:val="21"/>
        </w:rPr>
      </w:pPr>
    </w:p>
    <w:p w14:paraId="0591CDC1">
      <w:pPr>
        <w:widowControl/>
        <w:rPr>
          <w:rFonts w:ascii="宋体" w:hAnsi="宋体" w:eastAsia="宋体" w:cs="宋体"/>
          <w:color w:val="auto"/>
          <w:szCs w:val="21"/>
        </w:rPr>
      </w:pPr>
      <w:r>
        <w:rPr>
          <w:rFonts w:hint="eastAsia" w:ascii="宋体" w:hAnsi="宋体" w:eastAsia="宋体" w:cs="宋体"/>
          <w:color w:val="auto"/>
          <w:szCs w:val="21"/>
        </w:rPr>
        <w:br w:type="page"/>
      </w:r>
    </w:p>
    <w:p w14:paraId="458F2866">
      <w:pPr>
        <w:rPr>
          <w:rFonts w:ascii="宋体" w:hAnsi="宋体" w:eastAsia="宋体" w:cs="宋体"/>
          <w:color w:val="auto"/>
          <w:szCs w:val="21"/>
        </w:rPr>
      </w:pPr>
      <w:r>
        <w:rPr>
          <w:rFonts w:hint="eastAsia" w:ascii="宋体" w:hAnsi="宋体" w:eastAsia="宋体" w:cs="宋体"/>
          <w:color w:val="auto"/>
          <w:szCs w:val="21"/>
        </w:rPr>
        <w:t>附件11：整改通知单</w:t>
      </w:r>
    </w:p>
    <w:p w14:paraId="200DAF3E">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东莞市水务集团管网有限公司</w:t>
      </w:r>
    </w:p>
    <w:p w14:paraId="48089D5D">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机电设备委外维修项目整改书</w:t>
      </w:r>
    </w:p>
    <w:p w14:paraId="0D89C956">
      <w:pPr>
        <w:spacing w:line="480" w:lineRule="exact"/>
        <w:jc w:val="right"/>
        <w:rPr>
          <w:rFonts w:ascii="宋体" w:hAnsi="宋体" w:eastAsia="宋体" w:cs="宋体"/>
          <w:color w:val="auto"/>
          <w:szCs w:val="21"/>
        </w:rPr>
      </w:pPr>
      <w:r>
        <w:rPr>
          <w:rFonts w:hint="eastAsia" w:ascii="宋体" w:hAnsi="宋体" w:eastAsia="宋体" w:cs="宋体"/>
          <w:color w:val="auto"/>
          <w:szCs w:val="21"/>
        </w:rPr>
        <w:t>编号：管网公司整改[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]号</w:t>
      </w:r>
    </w:p>
    <w:p w14:paraId="79FDA5D4">
      <w:pPr>
        <w:spacing w:line="480" w:lineRule="exact"/>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12CFC20F">
      <w:pPr>
        <w:snapToGrid w:val="0"/>
        <w:spacing w:line="360" w:lineRule="auto"/>
        <w:ind w:firstLine="420" w:firstLineChars="200"/>
        <w:contextualSpacing/>
        <w:textAlignment w:val="baseline"/>
        <w:rPr>
          <w:rFonts w:ascii="宋体" w:hAnsi="宋体" w:eastAsia="宋体" w:cs="宋体"/>
          <w:color w:val="auto"/>
          <w:szCs w:val="21"/>
        </w:rPr>
      </w:pPr>
      <w:r>
        <w:rPr>
          <w:rFonts w:hint="eastAsia" w:ascii="宋体" w:hAnsi="宋体" w:eastAsia="宋体" w:cs="宋体"/>
          <w:color w:val="auto"/>
          <w:szCs w:val="21"/>
        </w:rPr>
        <w:t>根据《框架合同》、《东莞市水务集团管网有限公司机电设备维修供应商库管理办法（试行）》以及《用户需求书》等文件的相关规定，贵公司承接负责的</w:t>
      </w:r>
      <w:r>
        <w:rPr>
          <w:rFonts w:hint="eastAsia" w:ascii="宋体" w:hAnsi="宋体" w:eastAsia="宋体" w:cs="宋体"/>
          <w:color w:val="auto"/>
          <w:szCs w:val="21"/>
          <w:u w:val="single"/>
        </w:rPr>
        <w:t xml:space="preserve">                                       机电维修</w:t>
      </w:r>
      <w:r>
        <w:rPr>
          <w:rFonts w:hint="eastAsia" w:ascii="宋体" w:hAnsi="宋体" w:eastAsia="宋体" w:cs="宋体"/>
          <w:color w:val="auto"/>
          <w:szCs w:val="21"/>
        </w:rPr>
        <w:t>服务项目存在下列问题，现决定对该项目实施（停工/委派其他服务单位）。</w:t>
      </w:r>
    </w:p>
    <w:p w14:paraId="47547FA8">
      <w:pPr>
        <w:pStyle w:val="19"/>
        <w:numPr>
          <w:ilvl w:val="0"/>
          <w:numId w:val="9"/>
        </w:numPr>
        <w:spacing w:before="100" w:beforeAutospacing="1" w:line="360" w:lineRule="auto"/>
        <w:ind w:firstLine="210"/>
        <w:contextualSpacing/>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FB23171">
      <w:pPr>
        <w:pStyle w:val="19"/>
        <w:numPr>
          <w:ilvl w:val="0"/>
          <w:numId w:val="9"/>
        </w:numPr>
        <w:spacing w:before="100" w:beforeAutospacing="1" w:line="360" w:lineRule="auto"/>
        <w:ind w:firstLine="210"/>
        <w:contextualSpacing/>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21F749F">
      <w:pPr>
        <w:pStyle w:val="19"/>
        <w:numPr>
          <w:ilvl w:val="0"/>
          <w:numId w:val="9"/>
        </w:numPr>
        <w:spacing w:before="100" w:beforeAutospacing="1" w:line="360" w:lineRule="auto"/>
        <w:ind w:firstLine="210"/>
        <w:contextualSpacing/>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BC9D6EC">
      <w:pPr>
        <w:pStyle w:val="19"/>
        <w:spacing w:line="360" w:lineRule="auto"/>
        <w:ind w:firstLine="0" w:firstLineChars="0"/>
        <w:contextualSpacing/>
        <w:rPr>
          <w:rFonts w:ascii="宋体" w:hAnsi="宋体" w:eastAsia="宋体" w:cs="宋体"/>
          <w:color w:val="auto"/>
          <w:szCs w:val="21"/>
        </w:rPr>
      </w:pPr>
      <w:r>
        <w:rPr>
          <w:rFonts w:hint="eastAsia" w:ascii="宋体" w:hAnsi="宋体" w:eastAsia="宋体" w:cs="宋体"/>
          <w:color w:val="auto"/>
          <w:szCs w:val="21"/>
        </w:rPr>
        <w:t xml:space="preserve">    请贵司讲上述问题于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天内完成整改，并将相关整改情况报我部门审核通过后再行复工。</w:t>
      </w:r>
    </w:p>
    <w:p w14:paraId="1946E970">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敬请签收，多谢合作！</w:t>
      </w:r>
    </w:p>
    <w:p w14:paraId="50762F06">
      <w:pPr>
        <w:spacing w:line="360" w:lineRule="auto"/>
        <w:ind w:firstLine="3360" w:firstLineChars="1600"/>
        <w:contextualSpacing/>
        <w:rPr>
          <w:rFonts w:ascii="宋体" w:hAnsi="宋体" w:eastAsia="宋体" w:cs="宋体"/>
          <w:color w:val="auto"/>
          <w:szCs w:val="21"/>
          <w:u w:val="single"/>
        </w:rPr>
      </w:pPr>
      <w:r>
        <w:rPr>
          <w:rFonts w:hint="eastAsia" w:ascii="宋体" w:hAnsi="宋体" w:eastAsia="宋体" w:cs="宋体"/>
          <w:color w:val="auto"/>
          <w:szCs w:val="21"/>
        </w:rPr>
        <w:t>东莞市水务集团管网有限公司第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分公司</w:t>
      </w:r>
    </w:p>
    <w:p w14:paraId="60F6E201">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 xml:space="preserve"> 填发日期：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7A491E9F">
      <w:pPr>
        <w:spacing w:line="360" w:lineRule="auto"/>
        <w:contextualSpacing/>
        <w:jc w:val="center"/>
        <w:rPr>
          <w:rFonts w:ascii="宋体" w:hAnsi="宋体" w:eastAsia="宋体" w:cs="宋体"/>
          <w:color w:val="auto"/>
          <w:szCs w:val="21"/>
        </w:rPr>
      </w:pPr>
    </w:p>
    <w:p w14:paraId="6228A6EE">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回  执</w:t>
      </w:r>
    </w:p>
    <w:p w14:paraId="4C98EB53">
      <w:pPr>
        <w:spacing w:line="360" w:lineRule="auto"/>
        <w:contextualSpacing/>
        <w:jc w:val="center"/>
        <w:rPr>
          <w:rFonts w:ascii="宋体" w:hAnsi="宋体" w:eastAsia="宋体" w:cs="宋体"/>
          <w:color w:val="auto"/>
          <w:szCs w:val="21"/>
        </w:rPr>
      </w:pPr>
    </w:p>
    <w:p w14:paraId="2188BA74">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兹收到东莞市水务集团管网有限公司《管网设施委外清疏项目整改单》（编号：管网公司整改[    ]号）；我公司承诺将按期完成整改。</w:t>
      </w:r>
    </w:p>
    <w:p w14:paraId="1565ABD1">
      <w:pPr>
        <w:spacing w:line="360" w:lineRule="auto"/>
        <w:ind w:firstLine="420" w:firstLineChars="200"/>
        <w:contextualSpacing/>
        <w:rPr>
          <w:rFonts w:ascii="宋体" w:hAnsi="宋体" w:eastAsia="宋体" w:cs="宋体"/>
          <w:color w:val="auto"/>
          <w:szCs w:val="21"/>
        </w:rPr>
      </w:pPr>
    </w:p>
    <w:p w14:paraId="787D22D3">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3ADF7CE">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服务单位：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4087D1D">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作业地点：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04B4B54E">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作业日期：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39C16E1">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签 收 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626694A">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AA21485">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签收日期：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36FA2DF3">
      <w:pPr>
        <w:pStyle w:val="19"/>
        <w:spacing w:line="360" w:lineRule="auto"/>
        <w:ind w:firstLineChars="200"/>
        <w:contextualSpacing/>
        <w:rPr>
          <w:rFonts w:ascii="宋体" w:hAnsi="宋体" w:eastAsia="宋体" w:cs="宋体"/>
          <w:color w:val="auto"/>
          <w:szCs w:val="21"/>
        </w:rPr>
      </w:pPr>
    </w:p>
    <w:p w14:paraId="36C19207">
      <w:pPr>
        <w:spacing w:line="360" w:lineRule="auto"/>
        <w:contextualSpacing/>
        <w:rPr>
          <w:rFonts w:ascii="宋体" w:hAnsi="宋体" w:eastAsia="宋体" w:cs="宋体"/>
          <w:color w:val="auto"/>
          <w:szCs w:val="21"/>
        </w:rPr>
      </w:pPr>
    </w:p>
    <w:p w14:paraId="3B0BECB6">
      <w:pPr>
        <w:spacing w:line="360" w:lineRule="auto"/>
        <w:contextualSpacing/>
        <w:rPr>
          <w:rFonts w:ascii="宋体" w:hAnsi="宋体" w:eastAsia="宋体" w:cs="宋体"/>
          <w:color w:val="auto"/>
          <w:szCs w:val="21"/>
        </w:rPr>
      </w:pPr>
    </w:p>
    <w:p w14:paraId="5384D79C">
      <w:pPr>
        <w:rPr>
          <w:rFonts w:ascii="宋体" w:hAnsi="宋体" w:eastAsia="宋体" w:cs="宋体"/>
          <w:color w:val="auto"/>
          <w:szCs w:val="21"/>
        </w:rPr>
      </w:pPr>
      <w:r>
        <w:rPr>
          <w:rFonts w:hint="eastAsia" w:ascii="宋体" w:hAnsi="宋体" w:eastAsia="宋体" w:cs="宋体"/>
          <w:color w:val="auto"/>
          <w:szCs w:val="21"/>
        </w:rPr>
        <w:t>附件12：机电项目结算资料清单</w:t>
      </w:r>
    </w:p>
    <w:p w14:paraId="2A505F2E">
      <w:pPr>
        <w:spacing w:line="360" w:lineRule="auto"/>
        <w:contextualSpacing/>
        <w:rPr>
          <w:rFonts w:ascii="宋体" w:hAnsi="宋体" w:eastAsia="宋体" w:cs="宋体"/>
          <w:color w:val="auto"/>
          <w:szCs w:val="21"/>
        </w:rPr>
      </w:pPr>
    </w:p>
    <w:tbl>
      <w:tblPr>
        <w:tblStyle w:val="37"/>
        <w:tblW w:w="5000" w:type="pct"/>
        <w:tblInd w:w="0" w:type="dxa"/>
        <w:tblLayout w:type="autofit"/>
        <w:tblCellMar>
          <w:top w:w="0" w:type="dxa"/>
          <w:left w:w="0" w:type="dxa"/>
          <w:bottom w:w="0" w:type="dxa"/>
          <w:right w:w="0" w:type="dxa"/>
        </w:tblCellMar>
      </w:tblPr>
      <w:tblGrid>
        <w:gridCol w:w="458"/>
        <w:gridCol w:w="2073"/>
        <w:gridCol w:w="4672"/>
        <w:gridCol w:w="980"/>
        <w:gridCol w:w="2001"/>
      </w:tblGrid>
      <w:tr w14:paraId="4B41C3A0">
        <w:tblPrEx>
          <w:tblCellMar>
            <w:top w:w="0" w:type="dxa"/>
            <w:left w:w="0" w:type="dxa"/>
            <w:bottom w:w="0" w:type="dxa"/>
            <w:right w:w="0" w:type="dxa"/>
          </w:tblCellMar>
        </w:tblPrEx>
        <w:trPr>
          <w:trHeight w:val="867"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68602394">
            <w:pPr>
              <w:spacing w:line="360" w:lineRule="auto"/>
              <w:contextualSpacing/>
              <w:jc w:val="center"/>
              <w:rPr>
                <w:rFonts w:ascii="宋体" w:hAnsi="宋体" w:eastAsia="宋体" w:cs="宋体"/>
                <w:color w:val="auto"/>
                <w:szCs w:val="21"/>
              </w:rPr>
            </w:pPr>
            <w:r>
              <w:rPr>
                <w:rFonts w:hint="eastAsia" w:ascii="宋体" w:hAnsi="宋体" w:eastAsia="宋体" w:cs="宋体"/>
                <w:b/>
                <w:color w:val="auto"/>
                <w:szCs w:val="21"/>
              </w:rPr>
              <w:t>机 电 项 目 结 算 资 料 清 单</w:t>
            </w:r>
          </w:p>
        </w:tc>
      </w:tr>
      <w:tr w14:paraId="3111DFBB">
        <w:tblPrEx>
          <w:tblCellMar>
            <w:top w:w="0" w:type="dxa"/>
            <w:left w:w="0" w:type="dxa"/>
            <w:bottom w:w="0" w:type="dxa"/>
            <w:right w:w="0" w:type="dxa"/>
          </w:tblCellMar>
        </w:tblPrEx>
        <w:trPr>
          <w:trHeight w:val="379"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4FAA951">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序号</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5A40">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0A36">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资料名称</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A5F6">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份数</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C13C">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备注</w:t>
            </w:r>
          </w:p>
        </w:tc>
      </w:tr>
      <w:tr w14:paraId="6669FC88">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5C0E6F9">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101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905C">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承包单位提供</w:t>
            </w: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D3F23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资料签收清单</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E4D2">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3903">
            <w:pPr>
              <w:spacing w:line="360" w:lineRule="auto"/>
              <w:contextualSpacing/>
              <w:jc w:val="center"/>
              <w:rPr>
                <w:rFonts w:ascii="宋体" w:hAnsi="宋体" w:eastAsia="宋体" w:cs="宋体"/>
                <w:color w:val="auto"/>
                <w:szCs w:val="21"/>
              </w:rPr>
            </w:pPr>
          </w:p>
        </w:tc>
      </w:tr>
      <w:tr w14:paraId="58916D3D">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B09E273">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2</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FE9E">
            <w:pPr>
              <w:spacing w:line="360" w:lineRule="auto"/>
              <w:contextualSpacing/>
              <w:jc w:val="center"/>
              <w:rPr>
                <w:rFonts w:ascii="宋体" w:hAnsi="宋体" w:eastAsia="宋体" w:cs="宋体"/>
                <w:color w:val="auto"/>
                <w:szCs w:val="21"/>
              </w:rPr>
            </w:pP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74A6A5">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项目基本情况表</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1170">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B526">
            <w:pPr>
              <w:spacing w:line="360" w:lineRule="auto"/>
              <w:contextualSpacing/>
              <w:jc w:val="center"/>
              <w:rPr>
                <w:rFonts w:ascii="宋体" w:hAnsi="宋体" w:eastAsia="宋体" w:cs="宋体"/>
                <w:color w:val="auto"/>
                <w:szCs w:val="21"/>
              </w:rPr>
            </w:pPr>
          </w:p>
        </w:tc>
      </w:tr>
      <w:tr w14:paraId="408B8170">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E188F5B">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3</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79DC">
            <w:pPr>
              <w:spacing w:line="360" w:lineRule="auto"/>
              <w:contextualSpacing/>
              <w:jc w:val="center"/>
              <w:rPr>
                <w:rFonts w:ascii="宋体" w:hAnsi="宋体" w:eastAsia="宋体" w:cs="宋体"/>
                <w:color w:val="auto"/>
                <w:szCs w:val="21"/>
              </w:rPr>
            </w:pP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8FEB0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送审承诺书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39FF">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A5EF">
            <w:pPr>
              <w:spacing w:line="360" w:lineRule="auto"/>
              <w:contextualSpacing/>
              <w:jc w:val="center"/>
              <w:rPr>
                <w:rFonts w:ascii="宋体" w:hAnsi="宋体" w:eastAsia="宋体" w:cs="宋体"/>
                <w:color w:val="auto"/>
                <w:szCs w:val="21"/>
              </w:rPr>
            </w:pPr>
          </w:p>
        </w:tc>
      </w:tr>
      <w:tr w14:paraId="78E585A8">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2F187B2">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4</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819E">
            <w:pPr>
              <w:spacing w:line="360" w:lineRule="auto"/>
              <w:contextualSpacing/>
              <w:jc w:val="center"/>
              <w:rPr>
                <w:rFonts w:ascii="宋体" w:hAnsi="宋体" w:eastAsia="宋体" w:cs="宋体"/>
                <w:color w:val="auto"/>
                <w:szCs w:val="21"/>
              </w:rPr>
            </w:pP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4C6EF3">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项目造价审核表（审批完后再通知盖章）</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575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4</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0A87036">
            <w:pPr>
              <w:spacing w:line="360" w:lineRule="auto"/>
              <w:contextualSpacing/>
              <w:jc w:val="center"/>
              <w:rPr>
                <w:rFonts w:ascii="宋体" w:hAnsi="宋体" w:eastAsia="宋体" w:cs="宋体"/>
                <w:color w:val="auto"/>
                <w:szCs w:val="21"/>
              </w:rPr>
            </w:pPr>
          </w:p>
        </w:tc>
      </w:tr>
      <w:tr w14:paraId="52C63ABC">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8456729">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5</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3D60">
            <w:pPr>
              <w:spacing w:line="360" w:lineRule="auto"/>
              <w:contextualSpacing/>
              <w:jc w:val="center"/>
              <w:rPr>
                <w:rFonts w:ascii="宋体" w:hAnsi="宋体" w:eastAsia="宋体" w:cs="宋体"/>
                <w:color w:val="auto"/>
                <w:szCs w:val="21"/>
              </w:rPr>
            </w:pP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A66F8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项目结算资料审查意见表</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7E35">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B43B">
            <w:pPr>
              <w:spacing w:line="360" w:lineRule="auto"/>
              <w:contextualSpacing/>
              <w:jc w:val="center"/>
              <w:rPr>
                <w:rFonts w:ascii="宋体" w:hAnsi="宋体" w:eastAsia="宋体" w:cs="宋体"/>
                <w:color w:val="auto"/>
                <w:szCs w:val="21"/>
              </w:rPr>
            </w:pPr>
          </w:p>
        </w:tc>
      </w:tr>
      <w:tr w14:paraId="34BF8C38">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9C82F84">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6</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A00A">
            <w:pPr>
              <w:spacing w:line="360" w:lineRule="auto"/>
              <w:contextualSpacing/>
              <w:jc w:val="center"/>
              <w:rPr>
                <w:rFonts w:ascii="宋体" w:hAnsi="宋体" w:eastAsia="宋体" w:cs="宋体"/>
                <w:color w:val="auto"/>
                <w:szCs w:val="21"/>
              </w:rPr>
            </w:pP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AF653D">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项目结算表、结算书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CB8C">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367">
            <w:pPr>
              <w:spacing w:line="360" w:lineRule="auto"/>
              <w:contextualSpacing/>
              <w:jc w:val="center"/>
              <w:rPr>
                <w:rFonts w:ascii="宋体" w:hAnsi="宋体" w:eastAsia="宋体" w:cs="宋体"/>
                <w:color w:val="auto"/>
                <w:szCs w:val="21"/>
              </w:rPr>
            </w:pPr>
          </w:p>
        </w:tc>
      </w:tr>
      <w:tr w14:paraId="7A0DD465">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37303DB">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7</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B549">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8B5C">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任务通知单及回执</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1A18">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E41B">
            <w:pPr>
              <w:spacing w:line="360" w:lineRule="auto"/>
              <w:contextualSpacing/>
              <w:jc w:val="center"/>
              <w:rPr>
                <w:rFonts w:ascii="宋体" w:hAnsi="宋体" w:eastAsia="宋体" w:cs="宋体"/>
                <w:color w:val="auto"/>
                <w:szCs w:val="21"/>
              </w:rPr>
            </w:pPr>
          </w:p>
        </w:tc>
      </w:tr>
      <w:tr w14:paraId="271C282C">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F9A18CE">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8</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8940">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442D">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维修、采购安装、重置项目验收表</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49B8">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C361">
            <w:pPr>
              <w:spacing w:line="360" w:lineRule="auto"/>
              <w:contextualSpacing/>
              <w:jc w:val="center"/>
              <w:rPr>
                <w:rFonts w:ascii="宋体" w:hAnsi="宋体" w:eastAsia="宋体" w:cs="宋体"/>
                <w:color w:val="auto"/>
                <w:szCs w:val="21"/>
              </w:rPr>
            </w:pPr>
          </w:p>
        </w:tc>
      </w:tr>
      <w:tr w14:paraId="27622FB1">
        <w:tblPrEx>
          <w:tblCellMar>
            <w:top w:w="0" w:type="dxa"/>
            <w:left w:w="0" w:type="dxa"/>
            <w:bottom w:w="0" w:type="dxa"/>
            <w:right w:w="0" w:type="dxa"/>
          </w:tblCellMar>
        </w:tblPrEx>
        <w:trPr>
          <w:trHeight w:val="382"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E3DE1D8">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9</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0EB6">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1DAE">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单项合同（如有）</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7393">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C6AA">
            <w:pPr>
              <w:spacing w:line="360" w:lineRule="auto"/>
              <w:contextualSpacing/>
              <w:jc w:val="center"/>
              <w:rPr>
                <w:rFonts w:ascii="宋体" w:hAnsi="宋体" w:eastAsia="宋体" w:cs="宋体"/>
                <w:color w:val="auto"/>
                <w:szCs w:val="21"/>
              </w:rPr>
            </w:pPr>
          </w:p>
        </w:tc>
      </w:tr>
      <w:tr w14:paraId="786DFBC0">
        <w:tblPrEx>
          <w:tblCellMar>
            <w:top w:w="0" w:type="dxa"/>
            <w:left w:w="0" w:type="dxa"/>
            <w:bottom w:w="0" w:type="dxa"/>
            <w:right w:w="0" w:type="dxa"/>
          </w:tblCellMar>
        </w:tblPrEx>
        <w:trPr>
          <w:trHeight w:val="382"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CCC5B29">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10</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2722">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2B48">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现场工程量确认单</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1A28">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68CB">
            <w:pPr>
              <w:spacing w:line="360" w:lineRule="auto"/>
              <w:contextualSpacing/>
              <w:jc w:val="center"/>
              <w:rPr>
                <w:rFonts w:ascii="宋体" w:hAnsi="宋体" w:eastAsia="宋体" w:cs="宋体"/>
                <w:color w:val="auto"/>
                <w:szCs w:val="21"/>
              </w:rPr>
            </w:pPr>
          </w:p>
        </w:tc>
      </w:tr>
      <w:tr w14:paraId="033F9723">
        <w:tblPrEx>
          <w:tblCellMar>
            <w:top w:w="0" w:type="dxa"/>
            <w:left w:w="0" w:type="dxa"/>
            <w:bottom w:w="0" w:type="dxa"/>
            <w:right w:w="0" w:type="dxa"/>
          </w:tblCellMar>
        </w:tblPrEx>
        <w:trPr>
          <w:trHeight w:val="382"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E5FE3F2">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11</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83AC">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1F45">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项目变更情况说明（如有）</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865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01A7D24">
            <w:pPr>
              <w:spacing w:line="360" w:lineRule="auto"/>
              <w:contextualSpacing/>
              <w:jc w:val="center"/>
              <w:rPr>
                <w:rFonts w:ascii="宋体" w:hAnsi="宋体" w:eastAsia="宋体" w:cs="宋体"/>
                <w:color w:val="auto"/>
                <w:szCs w:val="21"/>
              </w:rPr>
            </w:pPr>
          </w:p>
        </w:tc>
      </w:tr>
      <w:tr w14:paraId="78EC69D8">
        <w:tblPrEx>
          <w:tblCellMar>
            <w:top w:w="0" w:type="dxa"/>
            <w:left w:w="0" w:type="dxa"/>
            <w:bottom w:w="0" w:type="dxa"/>
            <w:right w:w="0" w:type="dxa"/>
          </w:tblCellMar>
        </w:tblPrEx>
        <w:trPr>
          <w:trHeight w:val="382"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995D103">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12</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3BE1">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604C6">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现场签证单（如有）</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F833">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504B6EF4">
            <w:pPr>
              <w:spacing w:line="360" w:lineRule="auto"/>
              <w:contextualSpacing/>
              <w:jc w:val="center"/>
              <w:rPr>
                <w:rFonts w:ascii="宋体" w:hAnsi="宋体" w:eastAsia="宋体" w:cs="宋体"/>
                <w:color w:val="auto"/>
                <w:szCs w:val="21"/>
              </w:rPr>
            </w:pPr>
          </w:p>
        </w:tc>
      </w:tr>
      <w:tr w14:paraId="4CF60EEF">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0A57031">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13</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D0DC">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3F38">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设备维修拆装各部件更换照片（前后）</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2321">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9663">
            <w:pPr>
              <w:spacing w:line="360" w:lineRule="auto"/>
              <w:contextualSpacing/>
              <w:jc w:val="center"/>
              <w:rPr>
                <w:rFonts w:ascii="宋体" w:hAnsi="宋体" w:eastAsia="宋体" w:cs="宋体"/>
                <w:color w:val="auto"/>
                <w:szCs w:val="21"/>
              </w:rPr>
            </w:pPr>
          </w:p>
        </w:tc>
      </w:tr>
      <w:tr w14:paraId="13B5A1BB">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6A7BECB">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14</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2EAA">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FD15">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相关施工过程记录照片（前后）</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F9DA">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F743">
            <w:pPr>
              <w:spacing w:line="360" w:lineRule="auto"/>
              <w:contextualSpacing/>
              <w:jc w:val="center"/>
              <w:rPr>
                <w:rFonts w:ascii="宋体" w:hAnsi="宋体" w:eastAsia="宋体" w:cs="宋体"/>
                <w:color w:val="auto"/>
                <w:szCs w:val="21"/>
              </w:rPr>
            </w:pPr>
          </w:p>
        </w:tc>
      </w:tr>
      <w:tr w14:paraId="5D8C78FD">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A0A34FD">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15</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8E46">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EE64">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变更现场照片（如有）</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5FCC">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A3EFD68">
            <w:pPr>
              <w:spacing w:line="360" w:lineRule="auto"/>
              <w:contextualSpacing/>
              <w:jc w:val="center"/>
              <w:rPr>
                <w:rFonts w:ascii="宋体" w:hAnsi="宋体" w:eastAsia="宋体" w:cs="宋体"/>
                <w:color w:val="auto"/>
                <w:szCs w:val="21"/>
              </w:rPr>
            </w:pPr>
          </w:p>
        </w:tc>
      </w:tr>
      <w:tr w14:paraId="172705E3">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10A65A3">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16</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155A">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F05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相关检修报告（水泵类外委维修请款需提供）</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20DB">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56F0">
            <w:pPr>
              <w:spacing w:line="360" w:lineRule="auto"/>
              <w:contextualSpacing/>
              <w:jc w:val="center"/>
              <w:rPr>
                <w:rFonts w:ascii="宋体" w:hAnsi="宋体" w:eastAsia="宋体" w:cs="宋体"/>
                <w:color w:val="auto"/>
                <w:szCs w:val="21"/>
              </w:rPr>
            </w:pPr>
          </w:p>
        </w:tc>
      </w:tr>
      <w:tr w14:paraId="659B7CF4">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F19A0FE">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17</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0DB6">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C5FF">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相关变更确认资料（如有）</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C166">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1FF9">
            <w:pPr>
              <w:spacing w:line="360" w:lineRule="auto"/>
              <w:contextualSpacing/>
              <w:jc w:val="center"/>
              <w:rPr>
                <w:rFonts w:ascii="宋体" w:hAnsi="宋体" w:eastAsia="宋体" w:cs="宋体"/>
                <w:color w:val="auto"/>
                <w:szCs w:val="21"/>
              </w:rPr>
            </w:pPr>
          </w:p>
        </w:tc>
      </w:tr>
      <w:tr w14:paraId="2381BED7">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9159341">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18</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ECB1">
            <w:pPr>
              <w:spacing w:line="360" w:lineRule="auto"/>
              <w:contextualSpacing/>
              <w:jc w:val="center"/>
              <w:rPr>
                <w:rFonts w:ascii="宋体" w:hAnsi="宋体" w:eastAsia="宋体" w:cs="宋体"/>
                <w:color w:val="auto"/>
                <w:szCs w:val="21"/>
              </w:rPr>
            </w:pPr>
          </w:p>
        </w:tc>
        <w:tc>
          <w:tcPr>
            <w:tcW w:w="2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387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工期延期申请审批表（如需）</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F1F0">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43AB73AE">
            <w:pPr>
              <w:spacing w:line="360" w:lineRule="auto"/>
              <w:contextualSpacing/>
              <w:jc w:val="center"/>
              <w:rPr>
                <w:rFonts w:ascii="宋体" w:hAnsi="宋体" w:eastAsia="宋体" w:cs="宋体"/>
                <w:color w:val="auto"/>
                <w:szCs w:val="21"/>
              </w:rPr>
            </w:pPr>
          </w:p>
        </w:tc>
      </w:tr>
      <w:tr w14:paraId="283543C2">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38315C6">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19</w:t>
            </w:r>
          </w:p>
        </w:tc>
        <w:tc>
          <w:tcPr>
            <w:tcW w:w="101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145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管网公司提供</w:t>
            </w: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04050E">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立项请示</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AD72">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404D391">
            <w:pPr>
              <w:spacing w:line="360" w:lineRule="auto"/>
              <w:contextualSpacing/>
              <w:jc w:val="center"/>
              <w:rPr>
                <w:rFonts w:ascii="宋体" w:hAnsi="宋体" w:eastAsia="宋体" w:cs="宋体"/>
                <w:color w:val="auto"/>
                <w:szCs w:val="21"/>
              </w:rPr>
            </w:pPr>
          </w:p>
        </w:tc>
      </w:tr>
      <w:tr w14:paraId="57DFA920">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753A6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20</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3B7E">
            <w:pPr>
              <w:spacing w:line="360" w:lineRule="auto"/>
              <w:contextualSpacing/>
              <w:jc w:val="center"/>
              <w:rPr>
                <w:rFonts w:ascii="宋体" w:hAnsi="宋体" w:eastAsia="宋体" w:cs="宋体"/>
                <w:color w:val="auto"/>
                <w:szCs w:val="21"/>
              </w:rPr>
            </w:pP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4CFB7B">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采购结果</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8C0D">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4201BDEB">
            <w:pPr>
              <w:spacing w:line="360" w:lineRule="auto"/>
              <w:contextualSpacing/>
              <w:jc w:val="center"/>
              <w:rPr>
                <w:rFonts w:ascii="宋体" w:hAnsi="宋体" w:eastAsia="宋体" w:cs="宋体"/>
                <w:color w:val="auto"/>
                <w:szCs w:val="21"/>
              </w:rPr>
            </w:pPr>
          </w:p>
        </w:tc>
      </w:tr>
      <w:tr w14:paraId="2F8AF474">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A6818C7">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21</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5033">
            <w:pPr>
              <w:spacing w:line="360" w:lineRule="auto"/>
              <w:contextualSpacing/>
              <w:jc w:val="center"/>
              <w:rPr>
                <w:rFonts w:ascii="宋体" w:hAnsi="宋体" w:eastAsia="宋体" w:cs="宋体"/>
                <w:color w:val="auto"/>
                <w:szCs w:val="21"/>
              </w:rPr>
            </w:pP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90A06C">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用户需求书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3EA6">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4FDB6A54">
            <w:pPr>
              <w:spacing w:line="360" w:lineRule="auto"/>
              <w:contextualSpacing/>
              <w:jc w:val="center"/>
              <w:rPr>
                <w:rFonts w:ascii="宋体" w:hAnsi="宋体" w:eastAsia="宋体" w:cs="宋体"/>
                <w:color w:val="auto"/>
                <w:szCs w:val="21"/>
              </w:rPr>
            </w:pPr>
          </w:p>
        </w:tc>
      </w:tr>
      <w:tr w14:paraId="00EFF0BC">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0D0DB1D">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22</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9A42">
            <w:pPr>
              <w:spacing w:line="360" w:lineRule="auto"/>
              <w:contextualSpacing/>
              <w:jc w:val="center"/>
              <w:rPr>
                <w:rFonts w:ascii="宋体" w:hAnsi="宋体" w:eastAsia="宋体" w:cs="宋体"/>
                <w:color w:val="auto"/>
                <w:szCs w:val="21"/>
              </w:rPr>
            </w:pP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94D50F">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费用估算表</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61CA">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CBA44D9">
            <w:pPr>
              <w:spacing w:line="360" w:lineRule="auto"/>
              <w:contextualSpacing/>
              <w:jc w:val="center"/>
              <w:rPr>
                <w:rFonts w:ascii="宋体" w:hAnsi="宋体" w:eastAsia="宋体" w:cs="宋体"/>
                <w:color w:val="auto"/>
                <w:szCs w:val="21"/>
              </w:rPr>
            </w:pPr>
          </w:p>
        </w:tc>
      </w:tr>
      <w:tr w14:paraId="29C04B09">
        <w:tblPrEx>
          <w:tblCellMar>
            <w:top w:w="0" w:type="dxa"/>
            <w:left w:w="0" w:type="dxa"/>
            <w:bottom w:w="0" w:type="dxa"/>
            <w:right w:w="0" w:type="dxa"/>
          </w:tblCellMar>
        </w:tblPrEx>
        <w:trPr>
          <w:trHeight w:val="397" w:hRule="atLeast"/>
        </w:trPr>
        <w:tc>
          <w:tcPr>
            <w:tcW w:w="225"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FF2FCBE">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23</w:t>
            </w: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D173">
            <w:pPr>
              <w:spacing w:line="360" w:lineRule="auto"/>
              <w:contextualSpacing/>
              <w:jc w:val="center"/>
              <w:rPr>
                <w:rFonts w:ascii="宋体" w:hAnsi="宋体" w:eastAsia="宋体" w:cs="宋体"/>
                <w:color w:val="auto"/>
                <w:szCs w:val="21"/>
              </w:rPr>
            </w:pPr>
          </w:p>
        </w:tc>
        <w:tc>
          <w:tcPr>
            <w:tcW w:w="229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2E189D">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框架合同（如有）、预算文件（如有）</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E33B">
            <w:pPr>
              <w:widowControl/>
              <w:spacing w:line="360" w:lineRule="auto"/>
              <w:contextualSpacing/>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98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883F7A4">
            <w:pPr>
              <w:spacing w:line="360" w:lineRule="auto"/>
              <w:contextualSpacing/>
              <w:jc w:val="center"/>
              <w:rPr>
                <w:rFonts w:ascii="宋体" w:hAnsi="宋体" w:eastAsia="宋体" w:cs="宋体"/>
                <w:color w:val="auto"/>
                <w:szCs w:val="21"/>
              </w:rPr>
            </w:pPr>
          </w:p>
        </w:tc>
      </w:tr>
      <w:tr w14:paraId="3D73615F">
        <w:tblPrEx>
          <w:tblCellMar>
            <w:top w:w="0" w:type="dxa"/>
            <w:left w:w="0" w:type="dxa"/>
            <w:bottom w:w="0" w:type="dxa"/>
            <w:right w:w="0" w:type="dxa"/>
          </w:tblCellMar>
        </w:tblPrEx>
        <w:trPr>
          <w:trHeight w:val="634"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14:paraId="510B66CB">
            <w:pPr>
              <w:widowControl/>
              <w:spacing w:line="360" w:lineRule="auto"/>
              <w:contextualSpacing/>
              <w:textAlignment w:val="center"/>
              <w:rPr>
                <w:rFonts w:ascii="宋体" w:hAnsi="宋体" w:eastAsia="宋体" w:cs="宋体"/>
                <w:b/>
                <w:color w:val="auto"/>
                <w:szCs w:val="21"/>
              </w:rPr>
            </w:pPr>
            <w:r>
              <w:rPr>
                <w:rFonts w:hint="eastAsia" w:ascii="宋体" w:hAnsi="宋体" w:eastAsia="宋体" w:cs="宋体"/>
                <w:b/>
                <w:color w:val="auto"/>
                <w:szCs w:val="21"/>
                <w:lang w:bidi="ar"/>
              </w:rPr>
              <w:t>注：资料送审前需复核资料是否完整、完善；资料确认无误后扫描留底发至综合部，同时将纸质版资料装订成册后交于综合部。</w:t>
            </w:r>
          </w:p>
        </w:tc>
      </w:tr>
    </w:tbl>
    <w:p w14:paraId="0E6B5B5F">
      <w:pPr>
        <w:rPr>
          <w:rFonts w:ascii="宋体" w:hAnsi="宋体" w:eastAsia="宋体" w:cs="宋体"/>
          <w:color w:val="auto"/>
          <w:szCs w:val="21"/>
        </w:rPr>
      </w:pPr>
    </w:p>
    <w:p w14:paraId="479D0787">
      <w:pPr>
        <w:rPr>
          <w:rFonts w:ascii="宋体" w:hAnsi="宋体" w:eastAsia="宋体" w:cs="宋体"/>
          <w:color w:val="auto"/>
          <w:szCs w:val="21"/>
        </w:rPr>
      </w:pPr>
    </w:p>
    <w:p w14:paraId="6E36B2D6">
      <w:pPr>
        <w:rPr>
          <w:rFonts w:ascii="宋体" w:hAnsi="宋体" w:eastAsia="宋体" w:cs="宋体"/>
          <w:color w:val="auto"/>
          <w:szCs w:val="21"/>
        </w:rPr>
      </w:pPr>
    </w:p>
    <w:p w14:paraId="4377B20E">
      <w:pPr>
        <w:pageBreakBefore/>
        <w:spacing w:line="400" w:lineRule="exact"/>
        <w:rPr>
          <w:rFonts w:ascii="宋体" w:hAnsi="宋体" w:eastAsia="宋体" w:cs="宋体"/>
          <w:b/>
          <w:bCs/>
          <w:color w:val="auto"/>
          <w:szCs w:val="21"/>
        </w:rPr>
      </w:pPr>
      <w:r>
        <w:rPr>
          <w:rFonts w:hint="eastAsia" w:ascii="宋体" w:hAnsi="宋体" w:eastAsia="宋体" w:cs="宋体"/>
          <w:b/>
          <w:bCs/>
          <w:color w:val="auto"/>
          <w:szCs w:val="21"/>
        </w:rPr>
        <w:t>附件8：安全生产管理协议书</w:t>
      </w:r>
    </w:p>
    <w:p w14:paraId="61F695BB">
      <w:pPr>
        <w:jc w:val="center"/>
        <w:rPr>
          <w:rFonts w:ascii="宋体" w:hAnsi="宋体" w:eastAsia="宋体" w:cs="宋体"/>
          <w:color w:val="auto"/>
          <w:szCs w:val="21"/>
        </w:rPr>
      </w:pPr>
      <w:r>
        <w:rPr>
          <w:rFonts w:hint="eastAsia" w:ascii="宋体" w:hAnsi="宋体" w:eastAsia="宋体" w:cs="宋体"/>
          <w:b/>
          <w:bCs/>
          <w:color w:val="auto"/>
          <w:szCs w:val="21"/>
        </w:rPr>
        <w:t>安全生产管理协议书</w:t>
      </w:r>
    </w:p>
    <w:p w14:paraId="4BDB0E2F">
      <w:pPr>
        <w:spacing w:before="120" w:beforeLines="50" w:after="120" w:afterLines="50" w:line="360" w:lineRule="auto"/>
        <w:contextualSpacing/>
        <w:rPr>
          <w:rFonts w:ascii="宋体" w:hAnsi="宋体" w:eastAsia="宋体" w:cs="宋体"/>
          <w:color w:val="auto"/>
          <w:szCs w:val="21"/>
          <w:u w:val="single"/>
        </w:rPr>
      </w:pPr>
      <w:r>
        <w:rPr>
          <w:rFonts w:hint="eastAsia" w:ascii="宋体" w:hAnsi="宋体" w:eastAsia="宋体" w:cs="宋体"/>
          <w:b/>
          <w:bCs/>
          <w:color w:val="auto"/>
          <w:szCs w:val="21"/>
        </w:rPr>
        <w:t>甲方（发包单位）</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p>
    <w:p w14:paraId="2DBC0674">
      <w:pPr>
        <w:spacing w:before="120" w:beforeLines="50" w:after="120" w:afterLines="50" w:line="360" w:lineRule="auto"/>
        <w:contextualSpacing/>
        <w:rPr>
          <w:rFonts w:ascii="宋体" w:hAnsi="宋体" w:eastAsia="宋体" w:cs="宋体"/>
          <w:b/>
          <w:bCs/>
          <w:color w:val="auto"/>
          <w:szCs w:val="21"/>
          <w:u w:val="single"/>
        </w:rPr>
      </w:pPr>
      <w:r>
        <w:rPr>
          <w:rFonts w:hint="eastAsia" w:ascii="宋体" w:hAnsi="宋体" w:eastAsia="宋体" w:cs="宋体"/>
          <w:color w:val="auto"/>
          <w:szCs w:val="21"/>
        </w:rPr>
        <w:t>地址：</w:t>
      </w:r>
      <w:r>
        <w:rPr>
          <w:rFonts w:hint="eastAsia" w:ascii="宋体" w:hAnsi="宋体" w:eastAsia="宋体" w:cs="宋体"/>
          <w:b/>
          <w:bCs/>
          <w:color w:val="auto"/>
          <w:szCs w:val="21"/>
          <w:u w:val="single"/>
        </w:rPr>
        <w:t xml:space="preserve">                                                               </w:t>
      </w:r>
    </w:p>
    <w:p w14:paraId="215060C4">
      <w:pPr>
        <w:spacing w:before="120" w:beforeLines="50" w:after="120" w:afterLines="50" w:line="360" w:lineRule="auto"/>
        <w:contextualSpacing/>
        <w:rPr>
          <w:rFonts w:ascii="宋体" w:hAnsi="宋体" w:eastAsia="宋体" w:cs="宋体"/>
          <w:b/>
          <w:bCs/>
          <w:color w:val="auto"/>
          <w:szCs w:val="21"/>
          <w:u w:val="single"/>
        </w:rPr>
      </w:pPr>
      <w:r>
        <w:rPr>
          <w:rFonts w:hint="eastAsia" w:ascii="宋体" w:hAnsi="宋体" w:eastAsia="宋体" w:cs="宋体"/>
          <w:color w:val="auto"/>
          <w:szCs w:val="21"/>
        </w:rPr>
        <w:t>法定代表人：</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 xml:space="preserve">  </w:t>
      </w:r>
    </w:p>
    <w:p w14:paraId="239D03C4">
      <w:pPr>
        <w:spacing w:before="120" w:beforeLines="50" w:after="120" w:afterLines="50" w:line="360" w:lineRule="auto"/>
        <w:contextualSpacing/>
        <w:rPr>
          <w:rFonts w:ascii="宋体" w:hAnsi="宋体" w:eastAsia="宋体" w:cs="宋体"/>
          <w:color w:val="auto"/>
          <w:szCs w:val="21"/>
        </w:rPr>
      </w:pPr>
      <w:r>
        <w:rPr>
          <w:rFonts w:hint="eastAsia" w:ascii="宋体" w:hAnsi="宋体" w:eastAsia="宋体" w:cs="宋体"/>
          <w:b/>
          <w:bCs/>
          <w:color w:val="auto"/>
          <w:szCs w:val="21"/>
        </w:rPr>
        <w:t>乙方（承包单位）</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59A63165">
      <w:pPr>
        <w:spacing w:before="120" w:beforeLines="50" w:after="120" w:afterLines="50" w:line="360" w:lineRule="auto"/>
        <w:contextualSpacing/>
        <w:rPr>
          <w:rFonts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57C1DC90">
      <w:pPr>
        <w:spacing w:before="120" w:beforeLines="50" w:after="120" w:afterLines="50" w:line="360" w:lineRule="auto"/>
        <w:contextualSpacing/>
        <w:rPr>
          <w:rFonts w:ascii="宋体" w:hAnsi="宋体" w:eastAsia="宋体" w:cs="宋体"/>
          <w:color w:val="auto"/>
          <w:szCs w:val="21"/>
          <w:u w:val="single"/>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p>
    <w:p w14:paraId="4337573B">
      <w:pPr>
        <w:spacing w:before="120" w:beforeLines="50" w:after="120" w:afterLines="50" w:line="360" w:lineRule="auto"/>
        <w:contextualSpacing/>
        <w:rPr>
          <w:rFonts w:ascii="宋体" w:hAnsi="宋体" w:eastAsia="宋体" w:cs="宋体"/>
          <w:color w:val="auto"/>
          <w:szCs w:val="21"/>
        </w:rPr>
      </w:pPr>
    </w:p>
    <w:p w14:paraId="3D1A40E2">
      <w:pPr>
        <w:numPr>
          <w:ilvl w:val="0"/>
          <w:numId w:val="17"/>
        </w:numPr>
        <w:spacing w:before="120" w:beforeLines="50" w:after="120" w:afterLines="50"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总则</w:t>
      </w:r>
    </w:p>
    <w:p w14:paraId="3337FEC3">
      <w:pPr>
        <w:spacing w:before="120" w:beforeLines="50" w:after="120" w:afterLines="50"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为加强承包作业过程的安全生产管理，明确甲乙双方各自在安全生产管理方面的责任、权利和义务，保障施工生产的顺利进行，依据《中华人民共和国安全生产法》《中华人民共和国民法典》《建设工程安全生产管理条例》等法律法规，甲乙双方遵循平等、公平和诚实守信的原则，经双方协商一致签订本协议。</w:t>
      </w:r>
    </w:p>
    <w:p w14:paraId="06353E75">
      <w:pPr>
        <w:numPr>
          <w:ilvl w:val="0"/>
          <w:numId w:val="17"/>
        </w:numPr>
        <w:spacing w:before="120" w:beforeLines="50" w:after="120" w:afterLines="50"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 xml:space="preserve"> 承包项目概况</w:t>
      </w:r>
    </w:p>
    <w:p w14:paraId="43A9CA26">
      <w:pPr>
        <w:spacing w:line="360" w:lineRule="auto"/>
        <w:ind w:firstLine="420" w:firstLineChars="200"/>
        <w:contextualSpacing/>
        <w:rPr>
          <w:rFonts w:ascii="宋体" w:hAnsi="宋体" w:eastAsia="宋体" w:cs="宋体"/>
          <w:color w:val="auto"/>
          <w:szCs w:val="21"/>
          <w:u w:val="single"/>
        </w:rPr>
      </w:pPr>
      <w:r>
        <w:rPr>
          <w:rFonts w:hint="eastAsia" w:ascii="宋体" w:hAnsi="宋体" w:eastAsia="宋体" w:cs="宋体"/>
          <w:color w:val="auto"/>
          <w:szCs w:val="21"/>
        </w:rPr>
        <w:t xml:space="preserve">1、承包项目全称： </w:t>
      </w:r>
      <w:r>
        <w:rPr>
          <w:rFonts w:hint="eastAsia" w:ascii="宋体" w:hAnsi="宋体" w:eastAsia="宋体" w:cs="宋体"/>
          <w:color w:val="auto"/>
          <w:szCs w:val="21"/>
          <w:u w:val="single"/>
        </w:rPr>
        <w:t xml:space="preserve">                                                  </w:t>
      </w:r>
    </w:p>
    <w:p w14:paraId="63BCDDC2">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2、承包项目施工地址：</w:t>
      </w:r>
      <w:r>
        <w:rPr>
          <w:rFonts w:hint="eastAsia" w:ascii="宋体" w:hAnsi="宋体" w:eastAsia="宋体" w:cs="宋体"/>
          <w:color w:val="auto"/>
          <w:szCs w:val="21"/>
          <w:u w:val="single"/>
        </w:rPr>
        <w:t xml:space="preserve">                                                 </w:t>
      </w:r>
    </w:p>
    <w:p w14:paraId="5F944007">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 xml:space="preserve">3、承包项目主要内容：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5569439A">
      <w:pPr>
        <w:spacing w:before="120" w:beforeLines="50" w:after="120" w:afterLines="50"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第三条 甲乙双方共同责任</w:t>
      </w:r>
    </w:p>
    <w:p w14:paraId="42535CD6">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甲乙双方必须共同遵守《中华人民共和国安全生产法》《建设工程安全生产管理条例》《工贸企业有限空间作业安全管理与监督暂行规定》《生产安全事故报告和调查处理条例》等一系列有关安全生产的法律法规。</w:t>
      </w:r>
    </w:p>
    <w:p w14:paraId="131D5B2E">
      <w:pPr>
        <w:spacing w:before="120" w:beforeLines="50" w:after="120" w:afterLines="50" w:line="360" w:lineRule="auto"/>
        <w:contextualSpacing/>
        <w:rPr>
          <w:rFonts w:ascii="宋体" w:hAnsi="宋体" w:eastAsia="宋体" w:cs="宋体"/>
          <w:color w:val="auto"/>
          <w:szCs w:val="21"/>
        </w:rPr>
      </w:pPr>
      <w:r>
        <w:rPr>
          <w:rFonts w:hint="eastAsia" w:ascii="宋体" w:hAnsi="宋体" w:eastAsia="宋体" w:cs="宋体"/>
          <w:b/>
          <w:bCs/>
          <w:color w:val="auto"/>
          <w:szCs w:val="21"/>
        </w:rPr>
        <w:t>第四条 甲方的责任、权利和义务</w:t>
      </w:r>
    </w:p>
    <w:p w14:paraId="683FBA97">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1、甲方负责乙方在施工生产中总体的调度和协调工作，为乙方创造良好的外围施工作业环境。</w:t>
      </w:r>
    </w:p>
    <w:p w14:paraId="6FE62C9D">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2、甲方有权依据国家安全生产政策、法规和各项安全技术操作规程对乙方安全生产进行监督、检查和管理，对违规、违章行为有权制止和要求立即整改。</w:t>
      </w:r>
    </w:p>
    <w:p w14:paraId="6C4A633E">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3、甲方有权对乙方所制定的安全方案和安全技术措施进行检查和督促落实，对无方案、无措施和措施落实不到位的有权停止施工，限期整改，并根据具体执行情况，甲方可按照双方订立的与承包项目有关的所有合同和协议（以下简称为“承包合同”）要求乙方承担违约责任。</w:t>
      </w:r>
    </w:p>
    <w:p w14:paraId="7CCE240D">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4、甲方在巡查、检查过程中对乙方在施工生产过程中存在的安全隐患，有权要求乙方按规定限期整改，对未及时完成整改或拒绝整改的，甲方可按承包合同条款或甲方有关规定对乙方进行违约经济处罚。因乙方原因造成生产安全事故的，由乙方负全部责任。</w:t>
      </w:r>
    </w:p>
    <w:p w14:paraId="0B4A0189">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5、甲方对乙方建设运营实施的安全监督行为，属于甲方依自身管理需要的监管行为，其行为不构成责任主体行为，无需对该项目乙方发生的安全事故承担任何责任。</w:t>
      </w:r>
    </w:p>
    <w:p w14:paraId="31298D28">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6、甲方对乙方所报的设计、施工、运营、维护方案等的认可行为，属于甲方对自身污水处理设施的维护、监管行为，不构成该项目的责任主体行为，相关事项的责任主体均为乙方，甲方的认可行为不免除或减轻乙方的安全责任。</w:t>
      </w:r>
    </w:p>
    <w:p w14:paraId="22190DB3">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7、 甲方有权进入乙方施工和作业场所查看，乙方须如实报告有关安全情况，并提供甲方要求的资料。甲方对乙方危及甲方设施、设备及人员安全的行为有权要求整改，乙方应按照甲方提出的意见及时完成整改。该项目发生任何人身安全事故或危及甲方生产运行的不安全情况，乙方必须立即报告甲方，并采取有效的防护措施防止事故的进一步扩大，减少损失。</w:t>
      </w:r>
    </w:p>
    <w:p w14:paraId="362F6185">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8、甲方有权对乙方从事特种作业人员的资格进行验证，禁止乙方未持有相应有效特种作业操作资格证件的人员从事特种作业。</w:t>
      </w:r>
    </w:p>
    <w:p w14:paraId="52BD0ED2">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9、甲方有权要求安全管理不到位、存在重大安全隐患或发生安全事故的乙方限期退场和终止承包合同。</w:t>
      </w:r>
    </w:p>
    <w:p w14:paraId="39EE7085">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10、有义务对乙方发生生产安全事故时提供协助救援服务。</w:t>
      </w:r>
    </w:p>
    <w:p w14:paraId="0B5F7D2E">
      <w:pPr>
        <w:spacing w:before="120" w:beforeLines="50" w:after="120" w:afterLines="50"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第五条 乙方的责任、权力和义务</w:t>
      </w:r>
    </w:p>
    <w:p w14:paraId="6951FF89">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1、乙方所提供的承包工程要求的相关资质证明材料应真实、合法、有效。</w:t>
      </w:r>
    </w:p>
    <w:p w14:paraId="09C522F5">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2、乙方应认真贯彻执行国家安全生产政策、法规和行业安全规程、规定及甲方制定的各项安全管理制度，自觉遵守本协议；有权请求甲方统一协调涉及双方的重大安全生产问题。</w:t>
      </w:r>
    </w:p>
    <w:p w14:paraId="6ADAD1F7">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3、乙方应建立安全生产保证体系及安全组织机构，配备专职安全生产管理人员对作业现场进行安全管理，建立健全本单位安全生产责任制、安全生产规章制度和各工种安全操作规程。</w:t>
      </w:r>
    </w:p>
    <w:p w14:paraId="67B5DD13">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4、乙方在该项目建设及运营期间，应遵守甲方安全管理规定，接受甲方的监督；严格遵守国家工程建设有关技术标准和规范，遵循国家安全规范，按照甲方要求做好设备设施的保护措施，且不对甲方污水处理设施、设备的正常运行产生影响或对安全运行构成干扰和妨碍，否则乙方应采取措施予以消除，并承担全部责任和损失、费用。</w:t>
      </w:r>
    </w:p>
    <w:p w14:paraId="46EF14EB">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5、每逢法定节日（含元旦、春节、清明、端午、五一、中秋、国庆）或甲方上级单位或市有关部门进行监督检查时，乙方应无条件配合甲方及有关部门组织的突击性任务及迎检活动，按时、按标准、按要求完成甲方所分配的工作。乙方应积极响应并接受市、镇街相关部门及其他上级部门的监督检查以及接受广大市民监督。</w:t>
      </w:r>
    </w:p>
    <w:p w14:paraId="5D024E3E">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6、乙方人员从事特种作业的，必须要持有相应有效的特种作业操作资格证。</w:t>
      </w:r>
    </w:p>
    <w:p w14:paraId="3C807651">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7、乙方必须依法参加工伤保险，为从业人员足额缴纳工伤保险费。为在高危行业岗位或从事危险作业的人员，办理人身意外伤害保险，支付保险费，并将保单复印件交给甲方备案。</w:t>
      </w:r>
    </w:p>
    <w:p w14:paraId="2747DA71">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8、乙方根据项目作业实际情况，需在施工组织设计（或施工方案）中编制安全保证措施，对于存在危险性较大的分部分项工程，必须编制有审批程序完整的专项安全施工方案，根据国家有关规范，对超过一定规模的危险性较大分部分项工程，还需按有关规定对施工方案组织专家论证。</w:t>
      </w:r>
    </w:p>
    <w:p w14:paraId="0A93F2CD">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9、乙方应做好现场作业人员的安全教育和安全技术交底工作，保证现场作业人员全部经安全知识教育培训合格，未经安全教育培训合格者不得组织进入甲方施工区域作业。</w:t>
      </w:r>
    </w:p>
    <w:p w14:paraId="68D65C77">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10、乙方须为现场作业人员配备配齐符合国家法律法规及行业标准要求的个人劳动防护用品，并督促教育其作业人员按要求正确穿戴和使用。</w:t>
      </w:r>
    </w:p>
    <w:p w14:paraId="02A631B4">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11、乙方要定期组织对作业现场进行安全检查，对甲方检查后下达的安全隐患整改通知书，应立即组织落实完成整改，并及时书面回复给甲方。如甲方要求，乙方应当向甲方提交安全台账等资料。</w:t>
      </w:r>
    </w:p>
    <w:p w14:paraId="3CCD6C28">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12、乙方必须严格执行甲方有关安全生产的制度、规定，服从甲方现场安全生产管理，对承包施工区域或作业活动的安全生产全面负责。</w:t>
      </w:r>
    </w:p>
    <w:p w14:paraId="2FBB02FE">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13、乙方自带的机械设备、设施应符合国家现行有关安全标准，对自带的机械设备、设施的安全性能和使用、维修全面负责。自用大型机械设备时，应在安装使用前向甲方备案。使用的特种设备应符合国家有关安全管理规定。</w:t>
      </w:r>
    </w:p>
    <w:p w14:paraId="346E8731">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14、乙方有权拒绝甲方人员的违章指挥和提供的不安全的设施设备。</w:t>
      </w:r>
    </w:p>
    <w:p w14:paraId="0F453021">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15、乙方人员必须在双方确认的范围内作业，不得超出施工或运营范围，超出承包范围出现人身损害或伤亡的，由乙方自行承担一切责任。乙方人员需动用甲方所属设备、电器、管道以及其他设施等，必须事先征得甲方的同意，并采取安全防护措施。</w:t>
      </w:r>
    </w:p>
    <w:p w14:paraId="6C5426D8">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16、乙方发生生产安全事故时，乙方应当立即如实上报给甲方，同时应当采取有效措施防止事故和损失扩大，保护好事故现场，不得瞒报、谎报、迟报，并积极配合开展事故调查工作。</w:t>
      </w:r>
    </w:p>
    <w:p w14:paraId="736329E5">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17、因乙方责任造成甲方、乙方或第三方人员伤亡事故的，由乙方承担全部责任。</w:t>
      </w:r>
    </w:p>
    <w:p w14:paraId="3E4B3917">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18、项目建设、运营期间，乙方应按省市有关规定做好本单位消防、治安、外来人口等管理工作。</w:t>
      </w:r>
    </w:p>
    <w:p w14:paraId="66DA0DC8">
      <w:pPr>
        <w:spacing w:before="120" w:beforeLines="50" w:after="120" w:afterLines="50" w:line="360" w:lineRule="auto"/>
        <w:contextualSpacing/>
        <w:rPr>
          <w:rFonts w:ascii="宋体" w:hAnsi="宋体" w:eastAsia="宋体" w:cs="宋体"/>
          <w:color w:val="auto"/>
          <w:szCs w:val="21"/>
        </w:rPr>
      </w:pPr>
      <w:r>
        <w:rPr>
          <w:rFonts w:hint="eastAsia" w:ascii="宋体" w:hAnsi="宋体" w:eastAsia="宋体" w:cs="宋体"/>
          <w:b/>
          <w:bCs/>
          <w:color w:val="auto"/>
          <w:szCs w:val="21"/>
        </w:rPr>
        <w:t>第六条 协议主要内容</w:t>
      </w:r>
    </w:p>
    <w:p w14:paraId="564F971C">
      <w:pPr>
        <w:numPr>
          <w:ilvl w:val="0"/>
          <w:numId w:val="18"/>
        </w:num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乙方应严格执行并遵守甲方的《危险作业安全管理制度》（详见附件一）。</w:t>
      </w:r>
    </w:p>
    <w:p w14:paraId="4664E4C3">
      <w:pPr>
        <w:numPr>
          <w:ilvl w:val="0"/>
          <w:numId w:val="18"/>
        </w:num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乙方人员禁止在甲方严禁烟火的生产范围内吸烟和使用明火。</w:t>
      </w:r>
    </w:p>
    <w:p w14:paraId="27A8F3A5">
      <w:pPr>
        <w:numPr>
          <w:ilvl w:val="0"/>
          <w:numId w:val="18"/>
        </w:num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乙方人员未经过甲方允许，不得擅自进入甲方生产场所的危险区域。</w:t>
      </w:r>
    </w:p>
    <w:p w14:paraId="1797BC83">
      <w:pPr>
        <w:numPr>
          <w:ilvl w:val="0"/>
          <w:numId w:val="18"/>
        </w:num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乙方不得弄虚作假，转借、假冒、伪造资质证明，否则发生的一切后果由乙方承担。</w:t>
      </w:r>
    </w:p>
    <w:p w14:paraId="3327B094">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5、乙方人员在甲方有急性中毒或窒息风险的危险场所作业时，应严格落实有限空间作业“先通风、后检测、再进入”的制度，正确穿戴好隔离式呼吸器或佩戴好防毒面具以及安全带、安全绳等防护用品，作业前应办理《有限空间作业许可证》和组织落实各项防护措施，并派专人监护。没有《有限空间作业许可证》，严禁擅自进行有限空间作业。</w:t>
      </w:r>
    </w:p>
    <w:p w14:paraId="14ADE015">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6、乙方人员在易燃易爆部位或场所从事电焊、氧焊氧割、打磨切割等动火作业时，必须先清理干净作业现场周围易燃易爆物品，配备灭火器材、落实防火措施、派专人监护确认达到动火条件，办理《动火作业许可证》后方可进行动火作业。使用氧气瓶、乙炔瓶时要竖放并有防倾倒措施，且两瓶之间的距离不少于5米，两瓶离动火地点或其它火源至少10米。</w:t>
      </w:r>
    </w:p>
    <w:p w14:paraId="6D7A2F96">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7、乙方人员从事两米以上的高空作业，必须佩戴安全帽和安全带，在作业过程中严禁抛掷工具和其它物品，作业面垂直上下方不能同时施工作业，六级（含六级）以上大风严禁高空作业，在施工前应办理《高空作业许可证》，设定危险禁戒区，并派专人监护。</w:t>
      </w:r>
    </w:p>
    <w:p w14:paraId="038082E9">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8、乙方人员起吊安装大型设备，需按照国家有关法律法规要求，提前编制专项施工（安装）方案，严格按照审批后的方案进行吊装作业，并做好起吊现场的安全防护措施，设定危险禁戒区，派专人监护。</w:t>
      </w:r>
    </w:p>
    <w:p w14:paraId="742ACA08">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9、乙方人员从事动土作业，施工现场应设置防护栏杆、防护盖板和安全警示标志等防护设施，夜间应挂红色警示灯，挖土方应自上而下，不能采取挖底脚的方法挖掘，施工前应办理《动土作业许可证》，并设定危险禁戒区，派专人监护，施工结束后应及时回土，恢复地面设施。</w:t>
      </w:r>
    </w:p>
    <w:p w14:paraId="28958740">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10、乙方在甲方生产范围内严禁私自乱拉乱接电线，乙方作业的临时用电应严格执行三级配电两极保护系统，符合“一机一箱一闸一漏保”规范要求，使用的电缆线必须是双层绝缘型，现场的机械设备按要求做好接地或接零保护措施。</w:t>
      </w:r>
    </w:p>
    <w:p w14:paraId="0B725CEC">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11、乙方在施工过程中使用危险化学品时，应远离热源、火源和电源，搬运或装卸时要轻拿轻放，严禁拖、拉、滚动，严禁使用易产生撞击火花的工具开启危险化学品。</w:t>
      </w:r>
    </w:p>
    <w:p w14:paraId="3D6385D4">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12、乙方应保持施工作业现场的机具、材料摆放整齐有序，施工材料要按规定地点分类堆放，严禁乱扔乱堆，要做到工完料尽场地清，做到文明施工。</w:t>
      </w:r>
    </w:p>
    <w:p w14:paraId="2E11E36B">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13、未经甲方同意，乙方不得擅自使用与施工无关的甲方设备；不得私拉乱接甲方的水、电等管路、线路；不得擅自拆除、破坏甲方现场的安全防护设施及警示标识。</w:t>
      </w:r>
    </w:p>
    <w:p w14:paraId="7F4E4BB2">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14、乙方必须在施工维修或清淤封堵现场设置好封闭围挡、警示标牌、警示隔离、临边洞口防护等安全措施，并不定期进行检查维护，保证施工围挡、警示标志等防护措施完好有效。</w:t>
      </w:r>
    </w:p>
    <w:p w14:paraId="79BAE4F8">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15、乙方在施工过程中，因不遵守本《安全生产管理协议》、违章作业、违章指挥或未落实安全防护措施而发生的生产安全事故，一切责任由乙方负责，所发生的经济费用全部由乙方承担。</w:t>
      </w:r>
    </w:p>
    <w:p w14:paraId="11EF014C">
      <w:pPr>
        <w:spacing w:before="120" w:beforeLines="50" w:after="120" w:afterLines="50"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第七条 协议补充</w:t>
      </w:r>
    </w:p>
    <w:p w14:paraId="19117630">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甲乙双方根据法律、行政法规规定，结合作业现场实际，经协商一致，对本协议条款补充或修改约定如下：</w:t>
      </w:r>
    </w:p>
    <w:p w14:paraId="4DEFBE0B">
      <w:pPr>
        <w:spacing w:line="360" w:lineRule="auto"/>
        <w:contextualSpacing/>
        <w:rPr>
          <w:rFonts w:ascii="宋体" w:hAnsi="宋体" w:eastAsia="宋体" w:cs="宋体"/>
          <w:color w:val="auto"/>
          <w:szCs w:val="21"/>
          <w:u w:val="single"/>
        </w:rPr>
      </w:pPr>
      <w:r>
        <w:rPr>
          <w:rFonts w:hint="eastAsia" w:ascii="宋体" w:hAnsi="宋体" w:eastAsia="宋体" w:cs="宋体"/>
          <w:color w:val="auto"/>
          <w:szCs w:val="21"/>
          <w:u w:val="single"/>
        </w:rPr>
        <w:t xml:space="preserve">                   </w:t>
      </w:r>
      <w:r>
        <w:rPr>
          <w:rFonts w:hint="eastAsia" w:ascii="宋体" w:hAnsi="宋体" w:eastAsia="宋体" w:cs="宋体"/>
          <w:b/>
          <w:bCs/>
          <w:color w:val="auto"/>
          <w:szCs w:val="21"/>
          <w:u w:val="single"/>
        </w:rPr>
        <w:t xml:space="preserve">  /      </w:t>
      </w:r>
      <w:r>
        <w:rPr>
          <w:rFonts w:hint="eastAsia" w:ascii="宋体" w:hAnsi="宋体" w:eastAsia="宋体" w:cs="宋体"/>
          <w:color w:val="auto"/>
          <w:szCs w:val="21"/>
          <w:u w:val="single"/>
        </w:rPr>
        <w:t xml:space="preserve">                                         </w:t>
      </w:r>
    </w:p>
    <w:p w14:paraId="015A8517">
      <w:pPr>
        <w:spacing w:before="120" w:beforeLines="50" w:after="120" w:afterLines="50"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第八条 其它事项</w:t>
      </w:r>
    </w:p>
    <w:p w14:paraId="08B075B6">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 xml:space="preserve">1、乙方在与甲方签订本协议时，已经熟知本协议内容，并愿意严格遵守，如违反以上协议内容，愿意承担相应的法律责任及经济责任。 </w:t>
      </w:r>
    </w:p>
    <w:p w14:paraId="74A07CFD">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2、本协议与承包合同具有同等效力，期限与承包合同一致，如果承包合同期限有变动，本协议期限也随之变动，承包合同终止时，本协议也一同解除。</w:t>
      </w:r>
    </w:p>
    <w:p w14:paraId="4BE7F241">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3、因履行本协议发生争议时，双方应本着友好态度，协商解决；协商不成时，双方一致同意提交甲方住所地有管辖权的人民法院诉讼解决。。</w:t>
      </w:r>
    </w:p>
    <w:p w14:paraId="1C457EE8">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4、本协议自甲、乙双方法定代表人或授权委托人签字并加盖公章后生效，一式三份，乙方持壹份，甲方持贰份。</w:t>
      </w:r>
    </w:p>
    <w:p w14:paraId="31225536">
      <w:pPr>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    </w:t>
      </w:r>
    </w:p>
    <w:p w14:paraId="0D2BC4AC">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附件：东莞市水务集团管网有限公司危险作业安全管理办法</w:t>
      </w:r>
    </w:p>
    <w:p w14:paraId="6324BBF8">
      <w:pPr>
        <w:spacing w:before="161" w:line="360" w:lineRule="auto"/>
        <w:ind w:left="120"/>
        <w:contextualSpacing/>
        <w:rPr>
          <w:rFonts w:ascii="宋体" w:hAnsi="宋体" w:eastAsia="宋体" w:cs="宋体"/>
          <w:color w:val="auto"/>
          <w:szCs w:val="21"/>
          <w:lang w:val="zh-CN" w:bidi="zh-CN"/>
        </w:rPr>
      </w:pPr>
    </w:p>
    <w:p w14:paraId="134C0FDC">
      <w:pPr>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甲方：    （公章）                      乙方：      （公章）                        </w:t>
      </w:r>
    </w:p>
    <w:p w14:paraId="68091A93">
      <w:pPr>
        <w:spacing w:line="360" w:lineRule="auto"/>
        <w:contextualSpacing/>
        <w:rPr>
          <w:rFonts w:ascii="宋体" w:hAnsi="宋体" w:eastAsia="宋体" w:cs="宋体"/>
          <w:color w:val="auto"/>
          <w:szCs w:val="21"/>
        </w:rPr>
      </w:pPr>
    </w:p>
    <w:p w14:paraId="404D6753">
      <w:pPr>
        <w:spacing w:line="360" w:lineRule="auto"/>
        <w:contextualSpacing/>
        <w:rPr>
          <w:rFonts w:ascii="宋体" w:hAnsi="宋体" w:eastAsia="宋体" w:cs="宋体"/>
          <w:color w:val="auto"/>
          <w:szCs w:val="21"/>
        </w:rPr>
      </w:pPr>
      <w:r>
        <w:rPr>
          <w:rFonts w:hint="eastAsia" w:ascii="宋体" w:hAnsi="宋体" w:eastAsia="宋体" w:cs="宋体"/>
          <w:color w:val="auto"/>
          <w:szCs w:val="21"/>
        </w:rPr>
        <w:t xml:space="preserve">法定代表人/授权委托人（签字）：         法定代表人/授权委托人（签字）：                         </w:t>
      </w:r>
    </w:p>
    <w:p w14:paraId="7481A088">
      <w:pPr>
        <w:spacing w:line="360" w:lineRule="auto"/>
        <w:contextualSpacing/>
        <w:rPr>
          <w:rFonts w:ascii="宋体" w:hAnsi="宋体" w:eastAsia="宋体" w:cs="宋体"/>
          <w:color w:val="auto"/>
          <w:szCs w:val="21"/>
        </w:rPr>
      </w:pPr>
    </w:p>
    <w:p w14:paraId="2BF88941">
      <w:pPr>
        <w:spacing w:line="360" w:lineRule="auto"/>
        <w:contextualSpacing/>
        <w:rPr>
          <w:rFonts w:ascii="宋体" w:hAnsi="宋体" w:eastAsia="宋体" w:cs="宋体"/>
          <w:color w:val="auto"/>
          <w:szCs w:val="21"/>
        </w:rPr>
      </w:pPr>
      <w:r>
        <w:rPr>
          <w:rFonts w:hint="eastAsia" w:ascii="宋体" w:hAnsi="宋体" w:eastAsia="宋体" w:cs="宋体"/>
          <w:color w:val="auto"/>
          <w:szCs w:val="21"/>
        </w:rPr>
        <w:t>日期：    年   月   日                  日期：     年   月   日</w:t>
      </w:r>
    </w:p>
    <w:p w14:paraId="78B64239">
      <w:pPr>
        <w:spacing w:line="360" w:lineRule="auto"/>
        <w:ind w:firstLine="304" w:firstLineChars="145"/>
        <w:jc w:val="center"/>
        <w:rPr>
          <w:rFonts w:ascii="宋体" w:hAnsi="宋体" w:eastAsia="宋体" w:cs="宋体"/>
          <w:color w:val="auto"/>
          <w:szCs w:val="21"/>
        </w:rPr>
      </w:pPr>
    </w:p>
    <w:p w14:paraId="03178D15">
      <w:pPr>
        <w:widowControl/>
        <w:rPr>
          <w:rFonts w:ascii="宋体" w:hAnsi="宋体" w:eastAsia="宋体" w:cs="宋体"/>
          <w:b/>
          <w:bCs/>
          <w:color w:val="auto"/>
          <w:szCs w:val="21"/>
        </w:rPr>
      </w:pPr>
      <w:r>
        <w:rPr>
          <w:rFonts w:hint="eastAsia" w:ascii="宋体" w:hAnsi="宋体" w:eastAsia="宋体" w:cs="宋体"/>
          <w:b/>
          <w:bCs/>
          <w:color w:val="auto"/>
          <w:szCs w:val="21"/>
        </w:rPr>
        <w:br w:type="page"/>
      </w:r>
    </w:p>
    <w:p w14:paraId="398C0238">
      <w:pPr>
        <w:spacing w:line="360" w:lineRule="auto"/>
        <w:ind w:firstLine="306" w:firstLineChars="145"/>
        <w:jc w:val="center"/>
        <w:rPr>
          <w:rFonts w:ascii="宋体" w:hAnsi="宋体" w:eastAsia="宋体" w:cs="宋体"/>
          <w:b/>
          <w:color w:val="auto"/>
          <w:szCs w:val="21"/>
        </w:rPr>
      </w:pPr>
      <w:r>
        <w:rPr>
          <w:rFonts w:hint="eastAsia" w:ascii="宋体" w:hAnsi="宋体" w:eastAsia="宋体" w:cs="宋体"/>
          <w:b/>
          <w:color w:val="auto"/>
          <w:szCs w:val="21"/>
        </w:rPr>
        <w:t>东莞市水务集团管网有限公司</w:t>
      </w:r>
    </w:p>
    <w:p w14:paraId="4B3E02E6">
      <w:pPr>
        <w:spacing w:line="360" w:lineRule="auto"/>
        <w:ind w:firstLine="306" w:firstLineChars="145"/>
        <w:jc w:val="center"/>
        <w:rPr>
          <w:rFonts w:ascii="宋体" w:hAnsi="宋体" w:eastAsia="宋体" w:cs="宋体"/>
          <w:b/>
          <w:color w:val="auto"/>
          <w:szCs w:val="21"/>
        </w:rPr>
      </w:pPr>
      <w:r>
        <w:rPr>
          <w:rFonts w:hint="eastAsia" w:ascii="宋体" w:hAnsi="宋体" w:eastAsia="宋体" w:cs="宋体"/>
          <w:b/>
          <w:color w:val="auto"/>
          <w:szCs w:val="21"/>
        </w:rPr>
        <w:t>危险作业安全管理办法</w:t>
      </w:r>
    </w:p>
    <w:p w14:paraId="25021942">
      <w:pPr>
        <w:spacing w:line="360" w:lineRule="auto"/>
        <w:jc w:val="center"/>
        <w:rPr>
          <w:rFonts w:ascii="宋体" w:hAnsi="宋体" w:eastAsia="宋体" w:cs="宋体"/>
          <w:color w:val="auto"/>
          <w:szCs w:val="21"/>
        </w:rPr>
      </w:pPr>
    </w:p>
    <w:p w14:paraId="5C8FBB70">
      <w:pPr>
        <w:spacing w:line="360" w:lineRule="auto"/>
        <w:jc w:val="center"/>
        <w:rPr>
          <w:rFonts w:ascii="宋体" w:hAnsi="宋体" w:eastAsia="宋体" w:cs="宋体"/>
          <w:color w:val="auto"/>
          <w:szCs w:val="21"/>
        </w:rPr>
      </w:pPr>
      <w:r>
        <w:rPr>
          <w:rFonts w:hint="eastAsia" w:ascii="宋体" w:hAnsi="宋体" w:eastAsia="宋体" w:cs="宋体"/>
          <w:color w:val="auto"/>
          <w:szCs w:val="21"/>
        </w:rPr>
        <w:t>第一章 总则</w:t>
      </w:r>
    </w:p>
    <w:p w14:paraId="111695F3">
      <w:pPr>
        <w:spacing w:line="360" w:lineRule="auto"/>
        <w:ind w:firstLine="640"/>
        <w:rPr>
          <w:rFonts w:ascii="宋体" w:hAnsi="宋体" w:eastAsia="宋体" w:cs="宋体"/>
          <w:color w:val="auto"/>
          <w:kern w:val="0"/>
          <w:szCs w:val="21"/>
          <w:shd w:val="clear" w:color="auto" w:fill="FFFFFF"/>
          <w:lang w:bidi="ar"/>
        </w:rPr>
      </w:pPr>
      <w:bookmarkStart w:id="381" w:name="_Toc324928104"/>
      <w:bookmarkStart w:id="382" w:name="_Toc324928798"/>
      <w:bookmarkStart w:id="383" w:name="_Toc327810467"/>
      <w:bookmarkStart w:id="384" w:name="_Toc327795968"/>
      <w:bookmarkStart w:id="385" w:name="_Toc326769651"/>
      <w:bookmarkStart w:id="386" w:name="_Toc327122203"/>
      <w:bookmarkStart w:id="387" w:name="_Toc324927653"/>
      <w:r>
        <w:rPr>
          <w:rFonts w:hint="eastAsia" w:ascii="宋体" w:hAnsi="宋体" w:eastAsia="宋体" w:cs="宋体"/>
          <w:color w:val="auto"/>
          <w:kern w:val="0"/>
          <w:szCs w:val="21"/>
          <w:shd w:val="clear" w:color="auto" w:fill="FFFFFF"/>
          <w:lang w:bidi="ar"/>
        </w:rPr>
        <w:t>第一条 为规范东莞市水务集团管网有限公司（以下简称“管网公司”）危险作业的安全管理工作，有效管控作业过程风险，防范事故的</w:t>
      </w:r>
      <w:bookmarkEnd w:id="381"/>
      <w:bookmarkEnd w:id="382"/>
      <w:bookmarkEnd w:id="383"/>
      <w:bookmarkEnd w:id="384"/>
      <w:bookmarkEnd w:id="385"/>
      <w:bookmarkEnd w:id="386"/>
      <w:bookmarkEnd w:id="387"/>
      <w:r>
        <w:rPr>
          <w:rFonts w:hint="eastAsia" w:ascii="宋体" w:hAnsi="宋体" w:eastAsia="宋体" w:cs="宋体"/>
          <w:color w:val="auto"/>
          <w:kern w:val="0"/>
          <w:szCs w:val="21"/>
          <w:shd w:val="clear" w:color="auto" w:fill="FFFFFF"/>
          <w:lang w:bidi="ar"/>
        </w:rPr>
        <w:t>发生，根据《安全生产法》《企业安全生产标准化基本规范》等法律法规以及技术规范，制定本办法。</w:t>
      </w:r>
    </w:p>
    <w:p w14:paraId="2A835216">
      <w:pPr>
        <w:spacing w:line="360" w:lineRule="auto"/>
        <w:ind w:firstLine="640"/>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 xml:space="preserve">第二条 </w:t>
      </w:r>
      <w:r>
        <w:rPr>
          <w:rFonts w:hint="eastAsia" w:ascii="宋体" w:hAnsi="宋体" w:eastAsia="宋体" w:cs="宋体"/>
          <w:bCs/>
          <w:color w:val="auto"/>
          <w:szCs w:val="21"/>
        </w:rPr>
        <w:t>危险作业是指任务情况特殊，不适于执行一般性安全规程，安全可靠性较差，容易发生人身伤亡或设备损坏事故，且后果严重，需采取特别控制措施的特殊作业。管网公司危险作业主要包括：吊装作业、有限空间作业、高处作业、动土作业、动火作业、临时用电作业、断路作业等。</w:t>
      </w:r>
    </w:p>
    <w:p w14:paraId="0AF0E26C">
      <w:pPr>
        <w:spacing w:line="360" w:lineRule="auto"/>
        <w:ind w:firstLine="640"/>
        <w:rPr>
          <w:rFonts w:ascii="宋体" w:hAnsi="宋体" w:eastAsia="宋体" w:cs="宋体"/>
          <w:color w:val="auto"/>
          <w:szCs w:val="21"/>
        </w:rPr>
      </w:pPr>
      <w:r>
        <w:rPr>
          <w:rFonts w:hint="eastAsia" w:ascii="宋体" w:hAnsi="宋体" w:eastAsia="宋体" w:cs="宋体"/>
          <w:color w:val="auto"/>
          <w:kern w:val="0"/>
          <w:szCs w:val="21"/>
          <w:shd w:val="clear" w:color="auto" w:fill="FFFFFF"/>
          <w:lang w:bidi="ar"/>
        </w:rPr>
        <w:t xml:space="preserve">第三条 </w:t>
      </w:r>
      <w:r>
        <w:rPr>
          <w:rFonts w:hint="eastAsia" w:ascii="宋体" w:hAnsi="宋体" w:eastAsia="宋体" w:cs="宋体"/>
          <w:color w:val="auto"/>
          <w:szCs w:val="21"/>
        </w:rPr>
        <w:t>本办法适用于公司及各部门、直属企业，“公司”是指东莞市水务集团管网有限公司，“直属企业”是指东莞市水务集团管网有限公司拥有实际管理控制权的全资、控股企业，“部门”是指公司各部室、分公司。各直属企业遵照本办法执行。</w:t>
      </w:r>
    </w:p>
    <w:p w14:paraId="562B0733">
      <w:pPr>
        <w:spacing w:line="360" w:lineRule="auto"/>
        <w:ind w:firstLine="640"/>
        <w:rPr>
          <w:rFonts w:ascii="宋体" w:hAnsi="宋体" w:eastAsia="宋体" w:cs="宋体"/>
          <w:color w:val="auto"/>
          <w:szCs w:val="21"/>
        </w:rPr>
      </w:pPr>
    </w:p>
    <w:p w14:paraId="4BC011AF">
      <w:pPr>
        <w:spacing w:line="360" w:lineRule="auto"/>
        <w:jc w:val="center"/>
        <w:rPr>
          <w:rFonts w:ascii="宋体" w:hAnsi="宋体" w:eastAsia="宋体" w:cs="宋体"/>
          <w:color w:val="auto"/>
          <w:szCs w:val="21"/>
        </w:rPr>
      </w:pPr>
      <w:r>
        <w:rPr>
          <w:rFonts w:hint="eastAsia" w:ascii="宋体" w:hAnsi="宋体" w:eastAsia="宋体" w:cs="宋体"/>
          <w:color w:val="auto"/>
          <w:szCs w:val="21"/>
        </w:rPr>
        <w:t>第二章 职责</w:t>
      </w:r>
    </w:p>
    <w:p w14:paraId="22733E78">
      <w:pPr>
        <w:spacing w:line="360" w:lineRule="auto"/>
        <w:ind w:firstLine="640"/>
        <w:jc w:val="left"/>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第四条</w:t>
      </w:r>
      <w:r>
        <w:rPr>
          <w:rFonts w:hint="eastAsia" w:ascii="宋体" w:hAnsi="宋体" w:eastAsia="宋体" w:cs="宋体"/>
          <w:b/>
          <w:bCs/>
          <w:color w:val="auto"/>
          <w:kern w:val="0"/>
          <w:szCs w:val="21"/>
          <w:shd w:val="clear" w:color="auto" w:fill="FFFFFF"/>
          <w:lang w:bidi="ar"/>
        </w:rPr>
        <w:t xml:space="preserve"> </w:t>
      </w:r>
      <w:r>
        <w:rPr>
          <w:rFonts w:hint="eastAsia" w:ascii="宋体" w:hAnsi="宋体" w:eastAsia="宋体" w:cs="宋体"/>
          <w:color w:val="auto"/>
          <w:kern w:val="0"/>
          <w:szCs w:val="21"/>
          <w:shd w:val="clear" w:color="auto" w:fill="FFFFFF"/>
          <w:lang w:bidi="ar"/>
        </w:rPr>
        <w:t>部门职责</w:t>
      </w:r>
    </w:p>
    <w:p w14:paraId="3A30378B">
      <w:pPr>
        <w:spacing w:line="360" w:lineRule="auto"/>
        <w:ind w:firstLine="640"/>
        <w:rPr>
          <w:rFonts w:ascii="宋体" w:hAnsi="宋体" w:eastAsia="宋体" w:cs="宋体"/>
          <w:bCs/>
          <w:color w:val="auto"/>
          <w:szCs w:val="21"/>
        </w:rPr>
      </w:pPr>
      <w:r>
        <w:rPr>
          <w:rFonts w:hint="eastAsia" w:ascii="宋体" w:hAnsi="宋体" w:eastAsia="宋体" w:cs="宋体"/>
          <w:color w:val="auto"/>
          <w:kern w:val="0"/>
          <w:szCs w:val="21"/>
          <w:shd w:val="clear" w:color="auto" w:fill="FFFFFF"/>
          <w:lang w:bidi="ar"/>
        </w:rPr>
        <w:t>（一）</w:t>
      </w:r>
      <w:r>
        <w:rPr>
          <w:rFonts w:hint="eastAsia" w:ascii="宋体" w:hAnsi="宋体" w:eastAsia="宋体" w:cs="宋体"/>
          <w:bCs/>
          <w:color w:val="auto"/>
          <w:szCs w:val="21"/>
        </w:rPr>
        <w:t>安全监管部负责对本单位的各项危险作业的安全管理作出具体要求，形成实施细则，进一步明确危险作业安全责任、危险作业审批流程、危险作业现场安全管理要求，并定期组织监督检查，确保各项管理规定执行到位。</w:t>
      </w:r>
    </w:p>
    <w:p w14:paraId="66CFA0F1">
      <w:pPr>
        <w:pStyle w:val="18"/>
        <w:spacing w:line="360" w:lineRule="auto"/>
        <w:ind w:firstLine="422" w:firstLineChars="200"/>
        <w:jc w:val="left"/>
        <w:rPr>
          <w:rFonts w:hAnsi="宋体" w:cs="宋体"/>
          <w:color w:val="auto"/>
          <w:sz w:val="21"/>
          <w:szCs w:val="21"/>
          <w:lang w:val="en-US"/>
        </w:rPr>
      </w:pPr>
      <w:r>
        <w:rPr>
          <w:rFonts w:hint="eastAsia" w:hAnsi="宋体" w:cs="宋体"/>
          <w:color w:val="auto"/>
          <w:sz w:val="21"/>
          <w:szCs w:val="21"/>
          <w:lang w:val="en-US"/>
        </w:rPr>
        <w:t>（二）合同管理部应将危险作业发包给</w:t>
      </w:r>
      <w:r>
        <w:rPr>
          <w:rFonts w:hint="eastAsia" w:hAnsi="宋体" w:cs="宋体"/>
          <w:b w:val="0"/>
          <w:color w:val="auto"/>
          <w:sz w:val="21"/>
          <w:szCs w:val="21"/>
          <w:lang w:val="en-US"/>
        </w:rPr>
        <w:t>具备国家规定的资质，并具备相应的安全生产条件，满足相关危险作业安全所需的安全生产责任制、安全生产规章制度、安全操作规程、安全防护设备、应急救援装备、作业人员有相应资格和应急处置能力等方面要求的承包商；在签订合同的同时与承包商签订《安全生产管理协议书》或在承包合同中明确各自的安全管理职责，并将管网公司的危险作业管理办法作为合同附件，要求承包商落实管网公司的安全管理规定。</w:t>
      </w:r>
    </w:p>
    <w:p w14:paraId="465E2866">
      <w:pPr>
        <w:widowControl/>
        <w:tabs>
          <w:tab w:val="left" w:pos="0"/>
        </w:tabs>
        <w:snapToGrid w:val="0"/>
        <w:spacing w:line="360" w:lineRule="auto"/>
        <w:outlineLvl w:val="1"/>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　　（三）</w:t>
      </w:r>
      <w:r>
        <w:rPr>
          <w:rFonts w:hint="eastAsia" w:ascii="宋体" w:hAnsi="宋体" w:eastAsia="宋体" w:cs="宋体"/>
          <w:bCs/>
          <w:color w:val="auto"/>
          <w:szCs w:val="21"/>
        </w:rPr>
        <w:t>危险作业的实施部门负责按要求落实危险作业审批手续，并严格落实危险作业过程的安全工作（包括但不限于：安排专人现场旁站监督管理、向承包单位进行现场安全交底、协助承包单位进行安全作业准备、检查承包单位是否按规范或制度进行作业、发现安全隐患及时发出整改通知单并督促承包商及时整改。</w:t>
      </w:r>
    </w:p>
    <w:p w14:paraId="2540ABA5">
      <w:pPr>
        <w:spacing w:line="360" w:lineRule="auto"/>
        <w:ind w:firstLine="640"/>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（四）危险作业协助部门，履行部门职责，遵循危险作业许可证的防范措施要求，配合危险作业部门落实安全防范措施。</w:t>
      </w:r>
    </w:p>
    <w:p w14:paraId="3D05A392">
      <w:pPr>
        <w:spacing w:line="360" w:lineRule="auto"/>
        <w:ind w:firstLine="640"/>
        <w:jc w:val="left"/>
        <w:rPr>
          <w:rFonts w:ascii="宋体" w:hAnsi="宋体" w:eastAsia="宋体" w:cs="宋体"/>
          <w:b/>
          <w:bCs/>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第五条</w:t>
      </w:r>
      <w:r>
        <w:rPr>
          <w:rFonts w:hint="eastAsia" w:ascii="宋体" w:hAnsi="宋体" w:eastAsia="宋体" w:cs="宋体"/>
          <w:b/>
          <w:bCs/>
          <w:color w:val="auto"/>
          <w:kern w:val="0"/>
          <w:szCs w:val="21"/>
          <w:shd w:val="clear" w:color="auto" w:fill="FFFFFF"/>
          <w:lang w:bidi="ar"/>
        </w:rPr>
        <w:t xml:space="preserve"> </w:t>
      </w:r>
      <w:r>
        <w:rPr>
          <w:rFonts w:hint="eastAsia" w:ascii="宋体" w:hAnsi="宋体" w:eastAsia="宋体" w:cs="宋体"/>
          <w:color w:val="auto"/>
          <w:kern w:val="0"/>
          <w:szCs w:val="21"/>
          <w:shd w:val="clear" w:color="auto" w:fill="FFFFFF"/>
          <w:lang w:bidi="ar"/>
        </w:rPr>
        <w:t>作业人员的职责</w:t>
      </w:r>
    </w:p>
    <w:p w14:paraId="1C60EE95">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（一）负责在保障安全的前提下实施作业任务。作业前应了解危险作业的内容，熟知作业中的危害因素和应采取的安全措施。</w:t>
      </w:r>
    </w:p>
    <w:p w14:paraId="4DAD9C1A">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（二）确认安全防护措施落实情况，检查使用的劳保用品和工器具是否完好。</w:t>
      </w:r>
    </w:p>
    <w:p w14:paraId="184A6059">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（三）遵守各项危险作业安全操作规程，正确安全使用设备设施与个体防护用品。</w:t>
      </w:r>
    </w:p>
    <w:p w14:paraId="785EF412">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（三）与作业监护人员进行有效的安全报警撤离等双向信息交流。</w:t>
      </w:r>
    </w:p>
    <w:p w14:paraId="6DC64A27">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（四）服从作业监护人的指挥，如发现作业监护人员不履行职责时，应停止作业并撤出作业区域。</w:t>
      </w:r>
    </w:p>
    <w:p w14:paraId="6B179E7F">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（五）在作业中如出现异常情况或感到不适时，应立即向作业监护人发出信号，迅速撤离现场。</w:t>
      </w:r>
    </w:p>
    <w:p w14:paraId="0428505F">
      <w:pPr>
        <w:spacing w:line="360" w:lineRule="auto"/>
        <w:ind w:firstLine="640"/>
        <w:jc w:val="left"/>
        <w:rPr>
          <w:rFonts w:ascii="宋体" w:hAnsi="宋体" w:eastAsia="宋体" w:cs="宋体"/>
          <w:b/>
          <w:bCs/>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第六条</w:t>
      </w:r>
      <w:r>
        <w:rPr>
          <w:rFonts w:hint="eastAsia" w:ascii="宋体" w:hAnsi="宋体" w:eastAsia="宋体" w:cs="宋体"/>
          <w:b/>
          <w:bCs/>
          <w:color w:val="auto"/>
          <w:kern w:val="0"/>
          <w:szCs w:val="21"/>
          <w:shd w:val="clear" w:color="auto" w:fill="FFFFFF"/>
          <w:lang w:bidi="ar"/>
        </w:rPr>
        <w:t xml:space="preserve"> </w:t>
      </w:r>
      <w:r>
        <w:rPr>
          <w:rFonts w:hint="eastAsia" w:ascii="宋体" w:hAnsi="宋体" w:eastAsia="宋体" w:cs="宋体"/>
          <w:color w:val="auto"/>
          <w:kern w:val="0"/>
          <w:szCs w:val="21"/>
          <w:shd w:val="clear" w:color="auto" w:fill="FFFFFF"/>
          <w:lang w:bidi="ar"/>
        </w:rPr>
        <w:t>作业监护人员的职责</w:t>
      </w:r>
    </w:p>
    <w:p w14:paraId="19A00516">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（一）对危险作业人员的安全负有全程监督和保护的职责。</w:t>
      </w:r>
    </w:p>
    <w:p w14:paraId="2AEFD5CA">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（二）了解危险作业可能面临的危害，对作业人员出现的异常行为能够及时警觉并做出判断。与作业人员保持联系和交流，观察作业人员的状况。</w:t>
      </w:r>
    </w:p>
    <w:p w14:paraId="4DE97415">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（三）作业前应检查确认作业人员劳保用品是否正确佩戴以及现场安全防范措施落实情况。</w:t>
      </w:r>
    </w:p>
    <w:p w14:paraId="10173155">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（四）当发现异常时，立即向作业人员发出撤离警报，并帮助作业人员撤离危险区域，同时立即呼叫紧急救援。</w:t>
      </w:r>
    </w:p>
    <w:p w14:paraId="64CC4C57">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（五）掌握应急救援的基本知识。</w:t>
      </w:r>
    </w:p>
    <w:p w14:paraId="0C9983DE">
      <w:pPr>
        <w:tabs>
          <w:tab w:val="left" w:pos="8280"/>
        </w:tabs>
        <w:autoSpaceDE w:val="0"/>
        <w:autoSpaceDN w:val="0"/>
        <w:adjustRightInd w:val="0"/>
        <w:spacing w:line="360" w:lineRule="auto"/>
        <w:ind w:firstLine="640"/>
        <w:jc w:val="left"/>
        <w:rPr>
          <w:rFonts w:ascii="宋体" w:hAnsi="宋体" w:eastAsia="宋体" w:cs="宋体"/>
          <w:bCs/>
          <w:color w:val="auto"/>
          <w:szCs w:val="21"/>
        </w:rPr>
      </w:pPr>
      <w:r>
        <w:rPr>
          <w:rFonts w:hint="eastAsia" w:ascii="宋体" w:hAnsi="宋体" w:eastAsia="宋体" w:cs="宋体"/>
          <w:color w:val="auto"/>
          <w:kern w:val="0"/>
          <w:szCs w:val="21"/>
          <w:shd w:val="clear" w:color="auto" w:fill="FFFFFF"/>
          <w:lang w:bidi="ar"/>
        </w:rPr>
        <w:t>第七条</w:t>
      </w:r>
      <w:r>
        <w:rPr>
          <w:rFonts w:hint="eastAsia" w:ascii="宋体" w:hAnsi="宋体" w:eastAsia="宋体" w:cs="宋体"/>
          <w:b/>
          <w:bCs/>
          <w:color w:val="auto"/>
          <w:kern w:val="0"/>
          <w:szCs w:val="21"/>
          <w:shd w:val="clear" w:color="auto" w:fill="FFFFFF"/>
          <w:lang w:bidi="ar"/>
        </w:rPr>
        <w:t xml:space="preserve"> </w:t>
      </w:r>
      <w:r>
        <w:rPr>
          <w:rFonts w:hint="eastAsia" w:ascii="宋体" w:hAnsi="宋体" w:eastAsia="宋体" w:cs="宋体"/>
          <w:color w:val="auto"/>
          <w:kern w:val="0"/>
          <w:szCs w:val="21"/>
          <w:shd w:val="clear" w:color="auto" w:fill="FFFFFF"/>
          <w:lang w:bidi="ar"/>
        </w:rPr>
        <w:t>作业负责人的职责</w:t>
      </w:r>
    </w:p>
    <w:p w14:paraId="7864A274">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（一）对开展的危险作业安全负全面责任。</w:t>
      </w:r>
    </w:p>
    <w:p w14:paraId="47B92EEE">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（二）危险作业前，作业负责人应对作业现场存在的风险进行辨识、评估，填写危险作业许可证并落实危险作业许可证审批程序。</w:t>
      </w:r>
    </w:p>
    <w:p w14:paraId="264A44CB">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（三）组织作业人员进行安全培训、安全交底，确保作业人员掌握相关作业的安全技能。</w:t>
      </w:r>
    </w:p>
    <w:p w14:paraId="0A3DDB8B">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（四）在作业环境、作业方案、防护设施及防护用品达到安全要求后，方可安排人员开展危险作业。</w:t>
      </w:r>
    </w:p>
    <w:p w14:paraId="021C1507">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（五）检查确认应急准备情况，核实内外联络及呼叫方法。</w:t>
      </w:r>
    </w:p>
    <w:p w14:paraId="0A5F637F">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（六）对未经允许试图开展危险作业者进行劝阻或责令退出。</w:t>
      </w:r>
    </w:p>
    <w:p w14:paraId="0878AA3A">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（七）在作业过程发生异常情况时，应停止作业，组织人员撤离现场，临时指挥事故事件应急救援。</w:t>
      </w:r>
    </w:p>
    <w:p w14:paraId="18272830">
      <w:pPr>
        <w:pStyle w:val="129"/>
        <w:autoSpaceDE w:val="0"/>
        <w:autoSpaceDN w:val="0"/>
        <w:adjustRightInd w:val="0"/>
        <w:spacing w:line="360" w:lineRule="auto"/>
        <w:jc w:val="left"/>
        <w:rPr>
          <w:rFonts w:ascii="宋体" w:hAnsi="宋体" w:eastAsia="宋体" w:cs="宋体"/>
          <w:b/>
          <w:bCs/>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第八条</w:t>
      </w:r>
      <w:r>
        <w:rPr>
          <w:rFonts w:hint="eastAsia" w:ascii="宋体" w:hAnsi="宋体" w:eastAsia="宋体" w:cs="宋体"/>
          <w:b/>
          <w:bCs/>
          <w:color w:val="auto"/>
          <w:kern w:val="0"/>
          <w:szCs w:val="21"/>
          <w:shd w:val="clear" w:color="auto" w:fill="FFFFFF"/>
          <w:lang w:bidi="ar"/>
        </w:rPr>
        <w:t xml:space="preserve"> </w:t>
      </w:r>
      <w:r>
        <w:rPr>
          <w:rFonts w:hint="eastAsia" w:ascii="宋体" w:hAnsi="宋体" w:eastAsia="宋体" w:cs="宋体"/>
          <w:color w:val="auto"/>
          <w:kern w:val="0"/>
          <w:szCs w:val="21"/>
          <w:shd w:val="clear" w:color="auto" w:fill="FFFFFF"/>
          <w:lang w:bidi="ar"/>
        </w:rPr>
        <w:t>审批人员的职责</w:t>
      </w:r>
    </w:p>
    <w:p w14:paraId="313D7BB4">
      <w:pPr>
        <w:pStyle w:val="129"/>
        <w:tabs>
          <w:tab w:val="left" w:pos="8280"/>
        </w:tabs>
        <w:autoSpaceDE w:val="0"/>
        <w:autoSpaceDN w:val="0"/>
        <w:adjustRightInd w:val="0"/>
        <w:spacing w:line="360" w:lineRule="auto"/>
        <w:jc w:val="left"/>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（一）审查危险作业许可证的办理是否符合要求。</w:t>
      </w:r>
    </w:p>
    <w:p w14:paraId="1EBF792A">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（二）审核危险作业许可证中拟写的安全防范措施是否存在缺漏。</w:t>
      </w:r>
    </w:p>
    <w:p w14:paraId="329812C1">
      <w:pPr>
        <w:pStyle w:val="129"/>
        <w:tabs>
          <w:tab w:val="left" w:pos="8280"/>
        </w:tabs>
        <w:autoSpaceDE w:val="0"/>
        <w:autoSpaceDN w:val="0"/>
        <w:adjustRightInd w:val="0"/>
        <w:spacing w:line="360" w:lineRule="auto"/>
        <w:jc w:val="left"/>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（三）监督检查作业现场安全防范措施落实情况。</w:t>
      </w:r>
    </w:p>
    <w:p w14:paraId="0F144F6E">
      <w:pPr>
        <w:widowControl/>
        <w:spacing w:line="360" w:lineRule="auto"/>
        <w:ind w:firstLine="640"/>
        <w:jc w:val="center"/>
        <w:rPr>
          <w:rFonts w:ascii="宋体" w:hAnsi="宋体" w:eastAsia="宋体" w:cs="宋体"/>
          <w:color w:val="auto"/>
          <w:szCs w:val="21"/>
        </w:rPr>
      </w:pPr>
    </w:p>
    <w:p w14:paraId="1937F638">
      <w:pPr>
        <w:widowControl/>
        <w:spacing w:line="360" w:lineRule="auto"/>
        <w:jc w:val="center"/>
        <w:rPr>
          <w:rFonts w:ascii="宋体" w:hAnsi="宋体" w:eastAsia="宋体" w:cs="宋体"/>
          <w:color w:val="auto"/>
          <w:szCs w:val="21"/>
        </w:rPr>
      </w:pPr>
      <w:r>
        <w:rPr>
          <w:rFonts w:hint="eastAsia" w:ascii="宋体" w:hAnsi="宋体" w:eastAsia="宋体" w:cs="宋体"/>
          <w:color w:val="auto"/>
          <w:szCs w:val="21"/>
        </w:rPr>
        <w:t>第三章 各项危险作业的定义和安全管理要求</w:t>
      </w:r>
    </w:p>
    <w:p w14:paraId="12ED9238">
      <w:pPr>
        <w:tabs>
          <w:tab w:val="left" w:pos="8280"/>
        </w:tabs>
        <w:autoSpaceDE w:val="0"/>
        <w:autoSpaceDN w:val="0"/>
        <w:adjustRightInd w:val="0"/>
        <w:spacing w:line="360" w:lineRule="auto"/>
        <w:ind w:firstLine="640"/>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第九条 吊装作业指在安装、检维修过程中利用各种吊装机具将设备、工件、器具、材料等吊起，使其发生位置变化的作业过程。吊装作业的安全管理要求：</w:t>
      </w:r>
    </w:p>
    <w:p w14:paraId="3F0F39F2">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（一）作业前应对从事指挥和操作的人员进行资质确认。</w:t>
      </w:r>
    </w:p>
    <w:p w14:paraId="462EDD51">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（二）实施吊装作业的有关人员应对起重吊装机械和吊具进行安全检查，确保处于完好状态。</w:t>
      </w:r>
    </w:p>
    <w:p w14:paraId="0EED558E">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（三）实施吊装作业的有关人员应对吊装区域内设置安全警戒标志，并设专人监护，非作业人员禁止入内。</w:t>
      </w:r>
    </w:p>
    <w:p w14:paraId="41F7D5FE">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（四）实施吊装作业的有关人员应在施工现场核实天气情况。室外作业遇到大雪、暴雨、大雾及六级以上大风时，不应安排吊装作业。</w:t>
      </w:r>
    </w:p>
    <w:p w14:paraId="5BD94DF5">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（五）吊装作业时应明确指挥人员，指挥人员应佩戴明显的标志，佩戴安全帽，并按《起重吊运指挥信号（GB 5082）》规定的联络信号，统一指挥。</w:t>
      </w:r>
    </w:p>
    <w:p w14:paraId="3A90A44B">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（六）正式起吊前应进行试吊，试吊中检查全部机具、地锚受力情况，发现问题应将工件放回地面，排除故障后重新试吊，确认一切正常，方可正式吊装。</w:t>
      </w:r>
    </w:p>
    <w:p w14:paraId="59FBA77D">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（七）严禁利用管道、管架、电杆、机电设备等作吊装锚点。</w:t>
      </w:r>
    </w:p>
    <w:p w14:paraId="265542E0">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（八）吊装过程中，出现故障，应立即向指挥者报告，没有指挥令，任何人不得擅自离开岗位。</w:t>
      </w:r>
    </w:p>
    <w:p w14:paraId="2FF34466">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（九）利用两台或多台起重机械吊运同一重物时，升降、运行应保持同步；各台起重机械所承受地载荷不得超过各自额定起重能力的80％。</w:t>
      </w:r>
    </w:p>
    <w:p w14:paraId="2293B94D">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（十）对紧急停车信号，不论由何人发出，均应立即执行。</w:t>
      </w:r>
    </w:p>
    <w:p w14:paraId="183873F3">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一）作业完毕后，将起重臂和吊钩收放到规定的位置，所有控制手柄均应放到零位，使用电气控制的起重机械，应断开电源开关；吊索、吊具应收回放置到规定的地方，并对其进行检查、维护、保养；对接替工作人员，应告知设备存在的异常情况及尚未消除的故障。</w:t>
      </w:r>
    </w:p>
    <w:p w14:paraId="48C4F4DD">
      <w:pPr>
        <w:tabs>
          <w:tab w:val="left" w:pos="8280"/>
        </w:tabs>
        <w:autoSpaceDE w:val="0"/>
        <w:autoSpaceDN w:val="0"/>
        <w:adjustRightInd w:val="0"/>
        <w:spacing w:line="360" w:lineRule="auto"/>
        <w:ind w:firstLine="640"/>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第十条 有限空间作业指在封闭或者部分封闭，与外界相对隔离，出入口较为狭窄，作业人员不能长时间在内工作，自然通风不良，易造成有毒有害、易燃易爆物质积聚或者氧含量不足的空间内作业（如：地下管道、检查井、泵站集水池、污水提升站、各种设备内部等）。有限空间作业的安全管理要求：</w:t>
      </w:r>
    </w:p>
    <w:p w14:paraId="46F295FB">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（一）作业前作业负责人应组织参与作业人员开展有限空间作业安全培训，告知作业人员有限空间作业安全要点和存在的危害因素及防范措施。</w:t>
      </w:r>
    </w:p>
    <w:p w14:paraId="637093E6">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（二）采取可靠的隔断（隔离）措施，将可能危及作业安全的设施设备、存在有毒有害物质的空间与作业地点隔开。</w:t>
      </w:r>
    </w:p>
    <w:p w14:paraId="70E6D6F6">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（三）有限空间作业应当严格遵守“先通风、再检测、后作业”的原则。检测指标包括氧浓度、易燃易爆物质（可燃性气体、爆炸性粉尘）浓度、有毒有害气体浓度。检测应当符合以下规定：</w:t>
      </w:r>
    </w:p>
    <w:p w14:paraId="62D19799">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1.含氧量在19.5%～23.5%之间；</w:t>
      </w:r>
    </w:p>
    <w:p w14:paraId="1DB1A8B8">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2.可燃性气体浓度应在其爆炸下限浓度的10%以下；</w:t>
      </w:r>
    </w:p>
    <w:p w14:paraId="43A2500B">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3.有毒有害气体浓度应符合GBZ2.1《工作场所有害因素职业接触限值第1部分化学有害因素》的限值。</w:t>
      </w:r>
    </w:p>
    <w:p w14:paraId="44E58E7D">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四）对有限空间内的气体或粉尘进行检测分析，不得早于进入有限空间作业开始前30分钟；作业中断超过30分钟，作业人员再次进入有限空间作业前，应当重新通风、检测合格后方可进入；有限空间长时间作业时，应至少每隔2小时进行一次检测分析。</w:t>
      </w:r>
    </w:p>
    <w:p w14:paraId="359818BE">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（五）检测人员应当采取相应的安全防护措施，防止中毒窒息等事故发生。</w:t>
      </w:r>
    </w:p>
    <w:p w14:paraId="26FA07DE">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（六）有限空间内盛装或者残留的物料对作业存在危害时，作业人员应当在作业前对物料进行清洗、清空或者置换，经检测合格后，方可进入有限空间作业。</w:t>
      </w:r>
    </w:p>
    <w:p w14:paraId="610C9721">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（七）在有限空间作业过程中，应当采取通风措施，保持空气流通，禁止采用纯氧通风换气。</w:t>
      </w:r>
    </w:p>
    <w:p w14:paraId="3B0EB1C4">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（八）发现通风设备停止运转、有限空间内氧含量浓度低于或者有毒有害气体浓度高于国家标准或者行业标准规定的限值时，必须立即停止有限空间作业，清点作业人员，撤离作业现场。</w:t>
      </w:r>
    </w:p>
    <w:p w14:paraId="3DC691CE">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（九）有限空间作业的照明电压应使用不高于36V的安全电压，狭小或潮湿场所应使用不高于12V的安全电压；使用的电动工具必须装有防触电的电气保护装置。</w:t>
      </w:r>
    </w:p>
    <w:p w14:paraId="05D4715E">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（十）在易燃易爆作业环境中应使用防爆型低压灯具和电动工具，电气线路必须绝缘良好，无断线接头，电源接点无松动，防止产生电气火花造成事故；作业人员不得穿戴化纤类等易产生静电的工作服。</w:t>
      </w:r>
    </w:p>
    <w:p w14:paraId="420DDB58">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（十一）在有酸碱等腐蚀性作业环境中，应穿戴好防护用品，在设备外部应设有急救用的冲洗装置和水源等。</w:t>
      </w:r>
    </w:p>
    <w:p w14:paraId="28A4A1A7">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（十二）若有异常情况发生，应立即召集急救人员穿戴好防护器具进行抢救，不得在无防护措施情况下盲目进入抢救。</w:t>
      </w:r>
    </w:p>
    <w:p w14:paraId="4EDA3F9C">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（十三）有限空间作业结束后，作业现场负责人、监护人员应当清点人数，并对作业现场进行清理。</w:t>
      </w:r>
    </w:p>
    <w:p w14:paraId="25C72980">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（十四）有限空间作业还应符合下列要求：</w:t>
      </w:r>
    </w:p>
    <w:p w14:paraId="648FE791">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1.保持有限空间出入口畅通；</w:t>
      </w:r>
    </w:p>
    <w:p w14:paraId="7FB39E3B">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2.设置明显的安全警示标志和警示说明；</w:t>
      </w:r>
    </w:p>
    <w:p w14:paraId="28CA479A">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3.作业人员与外部有可靠的通讯联络；</w:t>
      </w:r>
    </w:p>
    <w:p w14:paraId="7329B6AF">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4.监护人员不得离开作业现场，并与作业人员保持联系；</w:t>
      </w:r>
    </w:p>
    <w:p w14:paraId="22524C51">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5.存在交叉作业时，采取避免互相伤害的措施。</w:t>
      </w:r>
    </w:p>
    <w:p w14:paraId="4A4672E7">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（十五）如有限空间涉及水下作业时，应符合以下要求：</w:t>
      </w:r>
    </w:p>
    <w:p w14:paraId="0BB2D998">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1．水下作业，属于危险性较大的部分项工程，应制定专项施工方案，对封堵点各类危险源进行辨识，并采取对应措施，降低作业风险。</w:t>
      </w:r>
    </w:p>
    <w:p w14:paraId="67524F3E">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2．作业人员应参加安全教育培训和安全技术交底，熟悉专项施工方案内容、存在的危害因素以及防范措施。</w:t>
      </w:r>
    </w:p>
    <w:p w14:paraId="5BB6F21C">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3．潜水作业人员必须经过专业培训，并取得有效潜水作业资格证后才能进行水下封堵作业。</w:t>
      </w:r>
    </w:p>
    <w:p w14:paraId="14730E4A">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4．作业前对使用的工器具进行全面检查，并检查调试需要使用的设备设施，作业监护人与水下封堵作业人员约定好上下联系信号，确定无误后进行下一步操作。若使用气囊封堵，必须确保使用的气囊质量可靠、符合要求、符合现场水位和管径要求。</w:t>
      </w:r>
    </w:p>
    <w:p w14:paraId="1CF7F8DD">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5．水下封堵作业人员必须佩戴能持续供氧的隔离式防护用具、安全绳、潜水电话等工器具。</w:t>
      </w:r>
    </w:p>
    <w:p w14:paraId="7012F0CD">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6．下井作业时，作业人员应用手拉住梯子，缓缓爬至井底，井上操作人员协助其操作空气管、通讯线缆、安全绳等设施，以防空气管、通讯线缆缠绕至爬梯上，发生安全事故。</w:t>
      </w:r>
    </w:p>
    <w:p w14:paraId="21ACE35B">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7．当封堵点水位超过50厘米时，必须穿着潜水服，并经水密检查无漏后方可进行封堵作业。</w:t>
      </w:r>
    </w:p>
    <w:p w14:paraId="009AEFB5">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8．水下封堵作业人员下到封堵作业点后，应立即通过潜水电话与井上监护人员取得联系，报告实际作业位置以及水下环境情况。</w:t>
      </w:r>
    </w:p>
    <w:p w14:paraId="52EA9778">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9．水下封堵作业人员连续工作不得超过1小时。</w:t>
      </w:r>
    </w:p>
    <w:p w14:paraId="0CC1B096">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10．水下封堵作业全程应安排至少2名监护人员。</w:t>
      </w:r>
    </w:p>
    <w:p w14:paraId="7DA02F33">
      <w:pPr>
        <w:pStyle w:val="129"/>
        <w:tabs>
          <w:tab w:val="left" w:pos="8280"/>
        </w:tabs>
        <w:autoSpaceDE w:val="0"/>
        <w:autoSpaceDN w:val="0"/>
        <w:adjustRightInd w:val="0"/>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11．水下封堵作业人员必须持续与井上监护人保持联系，发生紧急情况时，及时呼救，并有序撤离。</w:t>
      </w:r>
    </w:p>
    <w:p w14:paraId="053FA706">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12．井上操作人员为水下封堵人员提供所需的材料及设备时，应使用容器延井壁缓慢送至水下封堵人员手中，在送料过程中应与水下封堵人员通过潜水电话持续联系沟通，防止物品坠落伤人。</w:t>
      </w:r>
    </w:p>
    <w:p w14:paraId="75F74F71">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13．水下封堵操作完成后，水下封堵人员应向作业监护人员发送信号，然后拉住梯子，缓缓爬出井面，并在作业监护人员的协助下坐立至井边稳定处，由其他工作人员帮其卸下压件及头盔等物。</w:t>
      </w:r>
    </w:p>
    <w:p w14:paraId="2BAFA015">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14．水下封堵人员发生溺水事故时，在地面上的潜水员在保证自身安全的前提下，应迅速设法将溺水者救出。从水中救出后，如出现呼吸、心跳停止的，立即使用心肺复苏急救方式进行救治，并及时拨打120求助。</w:t>
      </w:r>
    </w:p>
    <w:p w14:paraId="0B9D0D30">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15．施救者如不懂得水中施救和不了解现场水情的，不可轻易下水，可充分利用现场器材，如绳、竿、救生圈、安全绳等进行救助。</w:t>
      </w:r>
    </w:p>
    <w:p w14:paraId="230FAFD3">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16．进行水下作业，必须充分考虑恶劣天气、汛期、上游开闸等因素。</w:t>
      </w:r>
    </w:p>
    <w:p w14:paraId="2BD8ECC6">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第十一条 高处作业是指在距坠落高度基准面2米（含）以上，有可能坠落的高处进行作业。高处作业的安全管理要求：</w:t>
      </w:r>
    </w:p>
    <w:p w14:paraId="3C002778">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（一）高处作业人员必须接受安全教育，熟悉现场环境和施工安全要求。禁止职业禁忌症患者、年老、体弱、疲劳过度和视力不佳等人员进行高处作业。</w:t>
      </w:r>
    </w:p>
    <w:p w14:paraId="6CF701A1">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（二）高处作业前要检查使用的工器具是否符合要求，作业人员应按照规定穿戴劳动保护用品、工器具，不得使用不符合高处作业安全要求的劳保用品。</w:t>
      </w:r>
    </w:p>
    <w:p w14:paraId="5B0671ED">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（三）在化学危险物品储存场所或附近有放空管线的位置作业时，应事先与区域负责人取得联系，建立联系信号。</w:t>
      </w:r>
    </w:p>
    <w:p w14:paraId="214D756E">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（四）作业人员作业前应确认高处作业许可证，检查安全措施落实后才能作业，否则有权拒绝作业。</w:t>
      </w:r>
    </w:p>
    <w:p w14:paraId="339EB8C1">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（五）高处作业所使用的工具、材料、零件等必须装入工具袋，上下时手中不得持物，不准投掷工具材料及其它物品。易滑动易滚动的工具材料应采取防止坠落措施。</w:t>
      </w:r>
    </w:p>
    <w:p w14:paraId="6B229C00">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（六）高处作业全程均须正确使用安全带、防滑鞋、安全帽等劳保用品，连续作业时间不得超过8小时。</w:t>
      </w:r>
    </w:p>
    <w:p w14:paraId="29C7AEAD">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（七）高处作业与其他作业交叉进行时，必须按指定的路线上下，禁止上下垂直作业，若必须垂直进行作业时，应采取可靠的隔离措施。</w:t>
      </w:r>
    </w:p>
    <w:p w14:paraId="6C84F44B">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（八）高处作业应与地面保持联系，根据现场情况配备必要的联络工具，并指定专人负责联系。</w:t>
      </w:r>
    </w:p>
    <w:p w14:paraId="439CCC18">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（九）若作业过程中因工作需要临时拆除已搭好的脚手板或安全网的，必须做好评估，并在完工后及时恢复。</w:t>
      </w:r>
    </w:p>
    <w:p w14:paraId="714E8F74">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（十）使用移动式梯子时，梯子与地面宜成60～70度，梯子底部应设防滑装置。使用移动式的人字梯时，中间应设有防止张开的装置。</w:t>
      </w:r>
    </w:p>
    <w:p w14:paraId="6DE25411">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（十一）如必须站在移动梯子上操作时，应离梯子顶端不少于1米，禁止站在梯子最高一层上作业，站立位置距离基准面应在2米以下。</w:t>
      </w:r>
    </w:p>
    <w:p w14:paraId="1EC004FE">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（十二）施工区域的风力达到五级（包括五级）以上时，应停止高处作业。</w:t>
      </w:r>
    </w:p>
    <w:p w14:paraId="478C3EA4">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（十三）在易断裂的工作面作业时，应先搭好脚手架，站在脚手架上作业，严禁直接踩在作业面上操作。</w:t>
      </w:r>
    </w:p>
    <w:p w14:paraId="6A4C0686">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（十四）完成高处作业后，作业现场负责人、监护人员应当清点人数，并对作业现场进行清理。</w:t>
      </w:r>
    </w:p>
    <w:p w14:paraId="01A32092">
      <w:pPr>
        <w:tabs>
          <w:tab w:val="left" w:pos="8280"/>
        </w:tabs>
        <w:autoSpaceDE w:val="0"/>
        <w:autoSpaceDN w:val="0"/>
        <w:adjustRightInd w:val="0"/>
        <w:spacing w:line="360" w:lineRule="auto"/>
        <w:ind w:firstLine="640"/>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第十二条 动土作业是指挖土、打桩、钻探、坑探、地锚入土深度在0.5米以上或使用推土机、压路机等施工机械进行填土或平整场地等，可能对地下隐蔽设施产生影响的作业。动土作业的安全管理要求：</w:t>
      </w:r>
    </w:p>
    <w:p w14:paraId="6A252501">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（一）动土作业前必须摸清地下情况，向作业人员作好安全交底，并对其进行安全教育培训。</w:t>
      </w:r>
    </w:p>
    <w:p w14:paraId="2E097866">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（二）动土作业过程中若暴露出电缆、管线以及不能辨认的物品时，应立即停止作业，妥善加以保护，报告有关单位处理，经采取安全措施后方可继续作业。</w:t>
      </w:r>
    </w:p>
    <w:p w14:paraId="3C5CA89D">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（三）动土作业临近地下隐蔽设施时，应轻轻挖掘，禁止使用铁棒、铁稿或抓斗等机械工具。</w:t>
      </w:r>
    </w:p>
    <w:p w14:paraId="49BD546B">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（四）挖土应自上而下进行，禁止采用挖空底脚的办法。使用机械挖土时，挖土机回转范围内不准进行其它作业。</w:t>
      </w:r>
    </w:p>
    <w:p w14:paraId="7F5C6E59">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（五）挖土施工应视土壤性质、湿度和挖掘深度留有安全边坡或放置支撑。如发现边坡有裂缝、疏松或支撑有滑动、折断等危险征兆，应立即停止作业，并采取有效措施。拆除支撑时，必须按回填自下而上进行。</w:t>
      </w:r>
    </w:p>
    <w:p w14:paraId="1802589A">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（六）挖出土方堆放距离沟边不得少于0.8米，在沟道转弯拐角处不得少于1.5米，土方堆置高度不得超过1.5米。</w:t>
      </w:r>
    </w:p>
    <w:p w14:paraId="2D0DC09F">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（七）在坑、沟内作业时，还应按照有限空间作业要求对有毒、有害气体进行检测，保持良好通风或机械通风；发现有毒气体时，应立即撤出施工人员，排查原因并采取措施。</w:t>
      </w:r>
    </w:p>
    <w:p w14:paraId="03A361D7">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（八）在靠近建筑物及构筑物地点动土时，应按挖掘深度采取必要的安全措施。</w:t>
      </w:r>
    </w:p>
    <w:p w14:paraId="2DED32EC">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（九）若作业有可能影响到工艺管线、公用工程，必须召集相关部门共同确定动土安全方案后，才能进行作业。</w:t>
      </w:r>
    </w:p>
    <w:p w14:paraId="7FC75BF3">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（十）动土作业现场应设置护栏、盖板和警告标志，夜间应悬挂夜间警示灯。施工结束后应及时回填，并恢复地面设施。</w:t>
      </w:r>
    </w:p>
    <w:p w14:paraId="1E1F7FC7">
      <w:pPr>
        <w:pStyle w:val="129"/>
        <w:spacing w:line="360" w:lineRule="auto"/>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第十三条 动火作业是指在禁火区进行焊接与切割作业，或在易燃易爆场所使用喷灯、电钻、砂轮等进行可能产生火焰、火花和炽热表面的临时性作业。动火作业的安全管理要求：</w:t>
      </w:r>
    </w:p>
    <w:p w14:paraId="3975AA91">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（一）动火作业前，应对参与作业人员开展安全教育培训、安全技术交底，使其熟悉动火作业存在的危害因素和防范措施。</w:t>
      </w:r>
    </w:p>
    <w:p w14:paraId="721D5C22">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（二）动火作业前，应清除动火现场及周围的可燃物品，采取有效的安全防范措施，配备充足的消防器材。</w:t>
      </w:r>
    </w:p>
    <w:p w14:paraId="6B646DEC">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（三）动火作业前，应检查作业工器具和劳保用品，保证安全可靠，不准带病使用。</w:t>
      </w:r>
    </w:p>
    <w:p w14:paraId="06D9F465">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（四）对盛有或盛过化学危险物品的容器设备管道等生产装置，动火作业前必须进行清洗置换，经分析检测合格后，方可动火作业。</w:t>
      </w:r>
    </w:p>
    <w:p w14:paraId="72816B54">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（五）高处进行动火作业，其下部地面如有可燃物、孔洞、阴井、电缆沟及储池等，应检查分析，并采取隔离措施，以防火花溅落引起火灾爆炸事故。遇四级风以上（含四级风）天气，应停止室外动火作业。</w:t>
      </w:r>
    </w:p>
    <w:p w14:paraId="69FF6EE6">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（六）动火区附近的下水道井口、地沟、管沟或电缆沟等应注意清除其中积存的可燃物，并暂时隔离封闭。</w:t>
      </w:r>
    </w:p>
    <w:p w14:paraId="074E514A">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（七）特殊情况下动火，应事先制定安全施工方案，落实安全防火措施，必要时可请专职消防队到现场监护。</w:t>
      </w:r>
    </w:p>
    <w:p w14:paraId="62912E4A">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（八）若现场环境发生变化，附近有易燃物料外溅，或因风向而受到可燃气体吹袭，应立即停止工作。</w:t>
      </w:r>
    </w:p>
    <w:p w14:paraId="76A9C5BD">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（九）由于风向变化或风力过大，而难以控制动火时所产生的火花，为避免火花被吹向生产现场，应立即停止工作。</w:t>
      </w:r>
    </w:p>
    <w:p w14:paraId="6A13E356">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（十）使用氧气乙炔动火作业时，氧气瓶与乙炔气瓶间距不小于5米的安全距离，二者与动火作业地点均不小于10米，乙炔气瓶应安装阻火器，并直立放置，不准烈日曝晒。</w:t>
      </w:r>
    </w:p>
    <w:p w14:paraId="180547DD">
      <w:pPr>
        <w:pStyle w:val="129"/>
        <w:tabs>
          <w:tab w:val="left" w:pos="8280"/>
        </w:tabs>
        <w:autoSpaceDE w:val="0"/>
        <w:autoSpaceDN w:val="0"/>
        <w:adjustRightInd w:val="0"/>
        <w:spacing w:line="360" w:lineRule="auto"/>
        <w:ind w:firstLine="415" w:firstLineChars="198"/>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（十一）动火作业中遇到气焊工具或气瓶泄漏，或工具设备有故障时，均应暂停工作，并排除故障。</w:t>
      </w:r>
    </w:p>
    <w:p w14:paraId="1DA2B929">
      <w:pPr>
        <w:pStyle w:val="129"/>
        <w:tabs>
          <w:tab w:val="left" w:pos="8280"/>
        </w:tabs>
        <w:autoSpaceDE w:val="0"/>
        <w:autoSpaceDN w:val="0"/>
        <w:adjustRightInd w:val="0"/>
        <w:spacing w:line="360" w:lineRule="auto"/>
        <w:ind w:firstLine="415" w:firstLineChars="198"/>
        <w:rPr>
          <w:rFonts w:ascii="宋体" w:hAnsi="宋体" w:eastAsia="宋体" w:cs="宋体"/>
          <w:color w:val="auto"/>
          <w:szCs w:val="21"/>
        </w:rPr>
      </w:pPr>
      <w:r>
        <w:rPr>
          <w:rFonts w:hint="eastAsia" w:ascii="宋体" w:hAnsi="宋体" w:eastAsia="宋体" w:cs="宋体"/>
          <w:color w:val="auto"/>
          <w:kern w:val="0"/>
          <w:szCs w:val="21"/>
          <w:shd w:val="clear" w:color="auto" w:fill="FFFFFF"/>
          <w:lang w:bidi="ar"/>
        </w:rPr>
        <w:t>（十二）动火作业完毕后，动火作业人员应清理现场，经作业监护人、作业负责人确认无残留火种后，方可离开</w:t>
      </w:r>
      <w:r>
        <w:rPr>
          <w:rFonts w:hint="eastAsia" w:ascii="宋体" w:hAnsi="宋体" w:eastAsia="宋体" w:cs="宋体"/>
          <w:color w:val="auto"/>
          <w:szCs w:val="21"/>
        </w:rPr>
        <w:t>。</w:t>
      </w:r>
    </w:p>
    <w:p w14:paraId="06A62580">
      <w:pPr>
        <w:pStyle w:val="129"/>
        <w:tabs>
          <w:tab w:val="left" w:pos="8280"/>
        </w:tabs>
        <w:autoSpaceDE w:val="0"/>
        <w:autoSpaceDN w:val="0"/>
        <w:adjustRightInd w:val="0"/>
        <w:spacing w:line="360" w:lineRule="auto"/>
        <w:ind w:firstLine="415" w:firstLineChars="198"/>
        <w:rPr>
          <w:rFonts w:ascii="宋体" w:hAnsi="宋体" w:eastAsia="宋体" w:cs="宋体"/>
          <w:bCs/>
          <w:color w:val="auto"/>
          <w:szCs w:val="21"/>
          <w:lang w:bidi="th-TH"/>
        </w:rPr>
      </w:pPr>
      <w:r>
        <w:rPr>
          <w:rFonts w:hint="eastAsia" w:ascii="宋体" w:hAnsi="宋体" w:eastAsia="宋体" w:cs="宋体"/>
          <w:color w:val="auto"/>
          <w:kern w:val="0"/>
          <w:szCs w:val="21"/>
          <w:shd w:val="clear" w:color="auto" w:fill="FFFFFF"/>
          <w:lang w:bidi="ar"/>
        </w:rPr>
        <w:t xml:space="preserve">第十四条 </w:t>
      </w:r>
      <w:r>
        <w:rPr>
          <w:rFonts w:hint="eastAsia" w:ascii="宋体" w:hAnsi="宋体" w:eastAsia="宋体" w:cs="宋体"/>
          <w:bCs/>
          <w:color w:val="auto"/>
          <w:szCs w:val="21"/>
          <w:lang w:bidi="th-TH"/>
        </w:rPr>
        <w:t>断路作业是指在交通道路上进行工程施工、管网清淤、吊装吊运物体等各种影响正常交通的作业。断路作业安全管理要求：</w:t>
      </w:r>
    </w:p>
    <w:p w14:paraId="2EF95D8B">
      <w:pPr>
        <w:widowControl/>
        <w:spacing w:line="360" w:lineRule="auto"/>
        <w:ind w:firstLine="420" w:firstLineChars="200"/>
        <w:rPr>
          <w:rFonts w:ascii="宋体" w:hAnsi="宋体" w:eastAsia="宋体" w:cs="宋体"/>
          <w:bCs/>
          <w:color w:val="auto"/>
          <w:szCs w:val="21"/>
          <w:lang w:bidi="th-TH"/>
        </w:rPr>
      </w:pPr>
      <w:r>
        <w:rPr>
          <w:rFonts w:hint="eastAsia" w:ascii="宋体" w:hAnsi="宋体" w:eastAsia="宋体" w:cs="宋体"/>
          <w:bCs/>
          <w:color w:val="auto"/>
          <w:szCs w:val="21"/>
          <w:lang w:bidi="th-TH"/>
        </w:rPr>
        <w:t>（一）断路作业应制定交通疏导组织方案，设置相应的警示标志及隔离围蔽设施，以确保作业期间的交通安全。</w:t>
      </w:r>
    </w:p>
    <w:p w14:paraId="2F866042">
      <w:pPr>
        <w:pStyle w:val="18"/>
        <w:autoSpaceDE/>
        <w:autoSpaceDN/>
        <w:adjustRightInd/>
        <w:spacing w:line="360" w:lineRule="auto"/>
        <w:ind w:firstLine="420" w:firstLineChars="200"/>
        <w:jc w:val="both"/>
        <w:rPr>
          <w:rFonts w:hAnsi="宋体" w:cs="宋体"/>
          <w:b w:val="0"/>
          <w:color w:val="auto"/>
          <w:sz w:val="21"/>
          <w:szCs w:val="21"/>
          <w:lang w:val="en-US" w:bidi="th-TH"/>
        </w:rPr>
      </w:pPr>
      <w:r>
        <w:rPr>
          <w:rFonts w:hint="eastAsia" w:hAnsi="宋体" w:cs="宋体"/>
          <w:b w:val="0"/>
          <w:color w:val="auto"/>
          <w:sz w:val="21"/>
          <w:szCs w:val="21"/>
          <w:lang w:val="en-US" w:bidi="th-TH"/>
        </w:rPr>
        <w:t>（二）作业前，现场负责人应对作业人员进行安全交底，并进行双方签字确认。作业人员应按规定着装并佩戴安全帽、反光衣等个人防护用品。</w:t>
      </w:r>
    </w:p>
    <w:p w14:paraId="512797BF">
      <w:pPr>
        <w:pStyle w:val="18"/>
        <w:autoSpaceDE/>
        <w:autoSpaceDN/>
        <w:adjustRightInd/>
        <w:spacing w:line="360" w:lineRule="auto"/>
        <w:ind w:firstLine="420" w:firstLineChars="200"/>
        <w:jc w:val="both"/>
        <w:rPr>
          <w:rFonts w:hAnsi="宋体" w:cs="宋体"/>
          <w:b w:val="0"/>
          <w:color w:val="auto"/>
          <w:sz w:val="21"/>
          <w:szCs w:val="21"/>
          <w:lang w:val="en-US" w:bidi="th-TH"/>
        </w:rPr>
      </w:pPr>
      <w:r>
        <w:rPr>
          <w:rFonts w:hint="eastAsia" w:hAnsi="宋体" w:cs="宋体"/>
          <w:b w:val="0"/>
          <w:color w:val="auto"/>
          <w:sz w:val="21"/>
          <w:szCs w:val="21"/>
          <w:lang w:val="en-US" w:bidi="th-TH"/>
        </w:rPr>
        <w:t>（三）用于道路作业的工具设备、材料应放置在作业区内或其它不影响正常交通的场所。</w:t>
      </w:r>
    </w:p>
    <w:p w14:paraId="76F55712">
      <w:pPr>
        <w:widowControl/>
        <w:spacing w:line="360" w:lineRule="auto"/>
        <w:ind w:firstLine="420" w:firstLineChars="200"/>
        <w:rPr>
          <w:rFonts w:ascii="宋体" w:hAnsi="宋体" w:eastAsia="宋体" w:cs="宋体"/>
          <w:b/>
          <w:bCs/>
          <w:color w:val="auto"/>
          <w:kern w:val="0"/>
          <w:szCs w:val="21"/>
        </w:rPr>
      </w:pPr>
      <w:r>
        <w:rPr>
          <w:rFonts w:hint="eastAsia" w:ascii="宋体" w:hAnsi="宋体" w:eastAsia="宋体" w:cs="宋体"/>
          <w:bCs/>
          <w:color w:val="auto"/>
          <w:szCs w:val="21"/>
          <w:lang w:bidi="th-TH"/>
        </w:rPr>
        <w:t>（四）断路作业区域应留有足够的防火通道。</w:t>
      </w:r>
    </w:p>
    <w:p w14:paraId="3D1A41D4">
      <w:pPr>
        <w:pStyle w:val="129"/>
        <w:tabs>
          <w:tab w:val="left" w:pos="8280"/>
        </w:tabs>
        <w:autoSpaceDE w:val="0"/>
        <w:autoSpaceDN w:val="0"/>
        <w:adjustRightInd w:val="0"/>
        <w:spacing w:line="360" w:lineRule="auto"/>
        <w:ind w:firstLine="415" w:firstLineChars="198"/>
        <w:rPr>
          <w:rFonts w:ascii="宋体" w:hAnsi="宋体" w:eastAsia="宋体" w:cs="宋体"/>
          <w:bCs/>
          <w:color w:val="auto"/>
          <w:szCs w:val="21"/>
          <w:lang w:bidi="th-TH"/>
        </w:rPr>
      </w:pPr>
      <w:r>
        <w:rPr>
          <w:rFonts w:hint="eastAsia" w:ascii="宋体" w:hAnsi="宋体" w:eastAsia="宋体" w:cs="宋体"/>
          <w:bCs/>
          <w:color w:val="auto"/>
          <w:szCs w:val="21"/>
          <w:lang w:bidi="th-TH"/>
        </w:rPr>
        <w:t>（五）夜间断路作业应设置作业警示灯，断路作业警示灯设置在作业区周围的隔离设施路标处，应能反映作业区的轮廓。</w:t>
      </w:r>
    </w:p>
    <w:p w14:paraId="335C3842">
      <w:pPr>
        <w:pStyle w:val="18"/>
        <w:autoSpaceDE/>
        <w:autoSpaceDN/>
        <w:adjustRightInd/>
        <w:spacing w:line="360" w:lineRule="auto"/>
        <w:ind w:firstLine="420" w:firstLineChars="200"/>
        <w:jc w:val="both"/>
        <w:rPr>
          <w:rFonts w:hAnsi="宋体" w:cs="宋体"/>
          <w:b w:val="0"/>
          <w:color w:val="auto"/>
          <w:sz w:val="21"/>
          <w:szCs w:val="21"/>
          <w:lang w:val="en-US" w:bidi="th-TH"/>
        </w:rPr>
      </w:pPr>
      <w:r>
        <w:rPr>
          <w:rFonts w:hint="eastAsia" w:hAnsi="宋体" w:cs="宋体"/>
          <w:b w:val="0"/>
          <w:color w:val="auto"/>
          <w:sz w:val="21"/>
          <w:szCs w:val="21"/>
          <w:lang w:val="en-US" w:bidi="th-TH"/>
        </w:rPr>
        <w:t>（六）若断路作业区域车流量大，应安排一名交通指挥员疏导作业区域附近的车辆，避免造成交通拥堵。</w:t>
      </w:r>
    </w:p>
    <w:p w14:paraId="73E7186F">
      <w:pPr>
        <w:tabs>
          <w:tab w:val="left" w:pos="0"/>
        </w:tabs>
        <w:spacing w:line="360" w:lineRule="auto"/>
        <w:ind w:firstLine="420" w:firstLineChars="200"/>
        <w:outlineLvl w:val="1"/>
        <w:rPr>
          <w:rFonts w:ascii="宋体" w:hAnsi="宋体" w:eastAsia="宋体" w:cs="宋体"/>
          <w:color w:val="auto"/>
          <w:szCs w:val="21"/>
        </w:rPr>
      </w:pPr>
      <w:r>
        <w:rPr>
          <w:rFonts w:hint="eastAsia" w:ascii="宋体" w:hAnsi="宋体" w:eastAsia="宋体" w:cs="宋体"/>
          <w:bCs/>
          <w:color w:val="auto"/>
          <w:szCs w:val="21"/>
          <w:lang w:bidi="th-TH"/>
        </w:rPr>
        <w:t>第十五条　</w:t>
      </w:r>
      <w:r>
        <w:rPr>
          <w:rFonts w:hint="eastAsia" w:ascii="宋体" w:hAnsi="宋体" w:eastAsia="宋体" w:cs="宋体"/>
          <w:color w:val="auto"/>
          <w:szCs w:val="21"/>
        </w:rPr>
        <w:t>临时用电作业是指在生产区域或施工区域内临时性使用非标准配置380V及以下的低电压电力系统作业。土建维修、管网清疏、泵站维修等项目临时用电。</w:t>
      </w:r>
    </w:p>
    <w:p w14:paraId="03A16013">
      <w:pPr>
        <w:tabs>
          <w:tab w:val="left" w:pos="0"/>
        </w:tabs>
        <w:spacing w:line="360" w:lineRule="auto"/>
        <w:outlineLvl w:val="1"/>
        <w:rPr>
          <w:rFonts w:ascii="宋体" w:hAnsi="宋体" w:eastAsia="宋体" w:cs="宋体"/>
          <w:color w:val="auto"/>
          <w:szCs w:val="21"/>
        </w:rPr>
      </w:pPr>
      <w:r>
        <w:rPr>
          <w:rFonts w:hint="eastAsia" w:ascii="宋体" w:hAnsi="宋体" w:eastAsia="宋体" w:cs="宋体"/>
          <w:bCs/>
          <w:color w:val="auto"/>
          <w:szCs w:val="21"/>
          <w:lang w:bidi="th-TH"/>
        </w:rPr>
        <w:t>　　（一）</w:t>
      </w:r>
      <w:r>
        <w:rPr>
          <w:rFonts w:hint="eastAsia" w:ascii="宋体" w:hAnsi="宋体" w:eastAsia="宋体" w:cs="宋体"/>
          <w:color w:val="auto"/>
          <w:szCs w:val="21"/>
        </w:rPr>
        <w:t>临时用电作业前，应确认作业区域和内容，进行安全风险辨识，制定相应的安全措施。</w:t>
      </w:r>
    </w:p>
    <w:p w14:paraId="60EF7538">
      <w:pPr>
        <w:tabs>
          <w:tab w:val="left" w:pos="0"/>
        </w:tabs>
        <w:spacing w:line="360" w:lineRule="auto"/>
        <w:outlineLvl w:val="1"/>
        <w:rPr>
          <w:rFonts w:ascii="宋体" w:hAnsi="宋体" w:eastAsia="宋体" w:cs="宋体"/>
          <w:color w:val="auto"/>
          <w:szCs w:val="21"/>
        </w:rPr>
      </w:pPr>
      <w:r>
        <w:rPr>
          <w:rFonts w:hint="eastAsia" w:ascii="宋体" w:hAnsi="宋体" w:eastAsia="宋体" w:cs="宋体"/>
          <w:color w:val="auto"/>
          <w:szCs w:val="21"/>
        </w:rPr>
        <w:t>　　（二）严格按照临时用电作业方案实施，不得随意变更地点和工作内容，禁止增加用电负荷或私自向其他单位转供电，禁止将自备电源接入配电系统。</w:t>
      </w:r>
    </w:p>
    <w:p w14:paraId="5D70C7A6">
      <w:pPr>
        <w:tabs>
          <w:tab w:val="left" w:pos="0"/>
        </w:tabs>
        <w:spacing w:line="360" w:lineRule="auto"/>
        <w:outlineLvl w:val="1"/>
        <w:rPr>
          <w:rFonts w:ascii="宋体" w:hAnsi="宋体" w:eastAsia="宋体" w:cs="宋体"/>
          <w:color w:val="auto"/>
          <w:szCs w:val="21"/>
        </w:rPr>
      </w:pPr>
      <w:r>
        <w:rPr>
          <w:rFonts w:hint="eastAsia" w:ascii="宋体" w:hAnsi="宋体" w:eastAsia="宋体" w:cs="宋体"/>
          <w:color w:val="auto"/>
          <w:szCs w:val="21"/>
        </w:rPr>
        <w:t>　　（三）安排持证电工负责临时配电系统及用电设备的操作及监督检查，并做好相关检查记录，确保临时用电安全。</w:t>
      </w:r>
    </w:p>
    <w:p w14:paraId="4AA81122">
      <w:pPr>
        <w:pStyle w:val="18"/>
        <w:spacing w:line="360" w:lineRule="auto"/>
        <w:ind w:firstLine="420" w:firstLineChars="200"/>
        <w:jc w:val="left"/>
        <w:rPr>
          <w:rFonts w:hAnsi="宋体" w:cs="宋体"/>
          <w:b w:val="0"/>
          <w:bCs w:val="0"/>
          <w:color w:val="auto"/>
          <w:sz w:val="21"/>
          <w:szCs w:val="21"/>
          <w:lang w:val="en-US"/>
        </w:rPr>
      </w:pPr>
      <w:r>
        <w:rPr>
          <w:rFonts w:hint="eastAsia" w:hAnsi="宋体" w:cs="宋体"/>
          <w:b w:val="0"/>
          <w:bCs w:val="0"/>
          <w:color w:val="auto"/>
          <w:sz w:val="21"/>
          <w:szCs w:val="21"/>
          <w:lang w:val="en-US"/>
        </w:rPr>
        <w:t>（四）临时用电设施必须安装符合规范要求的漏电保护器，移动工具、手持式电动工具等设备应“一机一闸一漏”。严禁用同一开关电器直接控制2台及2台以上的用电设备；一般场所使用的漏电保护器额定漏电动作电流应为30mA，额定漏电动作，动作时间应小于0.1s。</w:t>
      </w:r>
    </w:p>
    <w:p w14:paraId="2CA6196C">
      <w:pPr>
        <w:pStyle w:val="18"/>
        <w:spacing w:line="360" w:lineRule="auto"/>
        <w:ind w:firstLine="420" w:firstLineChars="200"/>
        <w:jc w:val="left"/>
        <w:rPr>
          <w:rFonts w:hAnsi="宋体" w:cs="宋体"/>
          <w:b w:val="0"/>
          <w:bCs w:val="0"/>
          <w:color w:val="auto"/>
          <w:sz w:val="21"/>
          <w:szCs w:val="21"/>
          <w:lang w:val="en-US"/>
        </w:rPr>
      </w:pPr>
      <w:r>
        <w:rPr>
          <w:rFonts w:hint="eastAsia" w:hAnsi="宋体" w:cs="宋体"/>
          <w:b w:val="0"/>
          <w:bCs w:val="0"/>
          <w:color w:val="auto"/>
          <w:sz w:val="21"/>
          <w:szCs w:val="21"/>
          <w:lang w:val="en-US"/>
        </w:rPr>
        <w:t>（五）落实监护制，临时用电设专人监护，确保现场安全措施落实到位。</w:t>
      </w:r>
    </w:p>
    <w:p w14:paraId="7B2A166D">
      <w:pPr>
        <w:pStyle w:val="18"/>
        <w:spacing w:line="360" w:lineRule="auto"/>
        <w:ind w:firstLine="420" w:firstLineChars="200"/>
        <w:jc w:val="left"/>
        <w:rPr>
          <w:rFonts w:hAnsi="宋体" w:cs="宋体"/>
          <w:color w:val="auto"/>
          <w:sz w:val="21"/>
          <w:szCs w:val="21"/>
          <w:lang w:val="en-US"/>
        </w:rPr>
      </w:pPr>
      <w:r>
        <w:rPr>
          <w:rFonts w:hint="eastAsia" w:hAnsi="宋体" w:cs="宋体"/>
          <w:b w:val="0"/>
          <w:bCs w:val="0"/>
          <w:color w:val="auto"/>
          <w:sz w:val="21"/>
          <w:szCs w:val="21"/>
          <w:lang w:val="en-US"/>
        </w:rPr>
        <w:t>（六）临时用电作业结束后，清理作业现场，确保现场恢复至安全状态。</w:t>
      </w:r>
    </w:p>
    <w:p w14:paraId="18AB5DC5">
      <w:pPr>
        <w:pStyle w:val="18"/>
        <w:spacing w:line="360" w:lineRule="auto"/>
        <w:ind w:firstLine="422" w:firstLineChars="200"/>
        <w:rPr>
          <w:rFonts w:hAnsi="宋体" w:cs="宋体"/>
          <w:color w:val="auto"/>
          <w:sz w:val="21"/>
          <w:szCs w:val="21"/>
          <w:lang w:val="en-US"/>
        </w:rPr>
      </w:pPr>
    </w:p>
    <w:p w14:paraId="0138FFF3">
      <w:pPr>
        <w:widowControl/>
        <w:spacing w:line="360" w:lineRule="auto"/>
        <w:jc w:val="center"/>
        <w:rPr>
          <w:rFonts w:ascii="宋体" w:hAnsi="宋体" w:eastAsia="宋体" w:cs="宋体"/>
          <w:color w:val="auto"/>
          <w:szCs w:val="21"/>
        </w:rPr>
      </w:pPr>
      <w:r>
        <w:rPr>
          <w:rFonts w:hint="eastAsia" w:ascii="宋体" w:hAnsi="宋体" w:eastAsia="宋体" w:cs="宋体"/>
          <w:color w:val="auto"/>
          <w:szCs w:val="21"/>
        </w:rPr>
        <w:t>第四章 危险作业审批程序</w:t>
      </w:r>
    </w:p>
    <w:p w14:paraId="02BFB54B">
      <w:pPr>
        <w:tabs>
          <w:tab w:val="left" w:pos="0"/>
        </w:tabs>
        <w:snapToGrid w:val="0"/>
        <w:spacing w:line="360" w:lineRule="auto"/>
        <w:ind w:firstLine="420" w:firstLineChars="200"/>
        <w:outlineLvl w:val="1"/>
        <w:rPr>
          <w:rFonts w:ascii="宋体" w:hAnsi="宋体" w:eastAsia="宋体" w:cs="宋体"/>
          <w:bCs/>
          <w:color w:val="auto"/>
          <w:szCs w:val="21"/>
        </w:rPr>
      </w:pPr>
      <w:r>
        <w:rPr>
          <w:rFonts w:hint="eastAsia" w:ascii="宋体" w:hAnsi="宋体" w:eastAsia="宋体" w:cs="宋体"/>
          <w:color w:val="auto"/>
          <w:kern w:val="0"/>
          <w:szCs w:val="21"/>
          <w:shd w:val="clear" w:color="auto" w:fill="FFFFFF"/>
          <w:lang w:bidi="ar"/>
        </w:rPr>
        <w:t xml:space="preserve">第十六条 </w:t>
      </w:r>
      <w:r>
        <w:rPr>
          <w:rFonts w:hint="eastAsia" w:ascii="宋体" w:hAnsi="宋体" w:eastAsia="宋体" w:cs="宋体"/>
          <w:bCs/>
          <w:color w:val="auto"/>
          <w:szCs w:val="21"/>
        </w:rPr>
        <w:t>危险作业部门应至少提前一天将次日作业计划报送至分公司安全监管部。管网公司本部开展危险作业应至少提前一天将次日作业计划报送至公司安全监管部。</w:t>
      </w:r>
    </w:p>
    <w:p w14:paraId="0F9AB194">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第十七条　危险作业部门应根据危险作业环境和作业内容，确保配足配齐符合国家标准的安全防护设备设施，指定专人建立设备台账，负责维护、保养和定期检验、检定和校准等工作，确保处于完好状态，发现设备设施影响安全使用时，应及时修复或更换。</w:t>
      </w:r>
    </w:p>
    <w:p w14:paraId="3C9B23A3">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第十八条　危险作业负责人、监护人员、作业人员、应急救援人员等相关人员应定期进行专项安全培训教育和安全操作技能培训和考核。</w:t>
      </w:r>
    </w:p>
    <w:p w14:paraId="26B2FD7E">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第十九条　危险作业实施部门要确认相关危险作业人员的上岗条件，确保危险作业人员、特种作业人员、特种设备操作人员持有相关执业资格证书、具备专业技能方能上岗作业。</w:t>
      </w:r>
    </w:p>
    <w:p w14:paraId="3BB3A1B1">
      <w:pPr>
        <w:widowControl/>
        <w:tabs>
          <w:tab w:val="left" w:pos="0"/>
        </w:tabs>
        <w:snapToGrid w:val="0"/>
        <w:spacing w:line="360" w:lineRule="auto"/>
        <w:ind w:firstLine="420" w:firstLineChars="200"/>
        <w:outlineLvl w:val="1"/>
        <w:rPr>
          <w:rFonts w:ascii="宋体" w:hAnsi="宋体" w:eastAsia="宋体" w:cs="宋体"/>
          <w:bCs/>
          <w:color w:val="auto"/>
          <w:szCs w:val="21"/>
        </w:rPr>
      </w:pPr>
      <w:r>
        <w:rPr>
          <w:rFonts w:hint="eastAsia" w:ascii="宋体" w:hAnsi="宋体" w:eastAsia="宋体" w:cs="宋体"/>
          <w:bCs/>
          <w:color w:val="auto"/>
          <w:szCs w:val="21"/>
        </w:rPr>
        <w:t>有相关作业禁忌症、生理缺陷、劳动纪律差及有不良心理状态等人员，不得安排上岗作业。</w:t>
      </w:r>
    </w:p>
    <w:p w14:paraId="754ED1BF">
      <w:pPr>
        <w:widowControl/>
        <w:tabs>
          <w:tab w:val="left" w:pos="0"/>
        </w:tabs>
        <w:snapToGrid w:val="0"/>
        <w:spacing w:line="360" w:lineRule="auto"/>
        <w:ind w:firstLine="420" w:firstLineChars="200"/>
        <w:outlineLvl w:val="1"/>
        <w:rPr>
          <w:rFonts w:ascii="宋体" w:hAnsi="宋体" w:eastAsia="宋体" w:cs="宋体"/>
          <w:bCs/>
          <w:color w:val="auto"/>
          <w:szCs w:val="21"/>
        </w:rPr>
      </w:pPr>
    </w:p>
    <w:p w14:paraId="6BD19368">
      <w:pPr>
        <w:widowControl/>
        <w:tabs>
          <w:tab w:val="left" w:pos="0"/>
        </w:tabs>
        <w:snapToGrid w:val="0"/>
        <w:spacing w:line="360" w:lineRule="auto"/>
        <w:jc w:val="center"/>
        <w:outlineLvl w:val="1"/>
        <w:rPr>
          <w:rFonts w:ascii="宋体" w:hAnsi="宋体" w:eastAsia="宋体" w:cs="宋体"/>
          <w:bCs/>
          <w:color w:val="auto"/>
          <w:szCs w:val="21"/>
        </w:rPr>
      </w:pPr>
      <w:r>
        <w:rPr>
          <w:rFonts w:hint="eastAsia" w:ascii="宋体" w:hAnsi="宋体" w:eastAsia="宋体" w:cs="宋体"/>
          <w:bCs/>
          <w:color w:val="auto"/>
          <w:szCs w:val="21"/>
        </w:rPr>
        <w:t>第五章 危险作业审批管理</w:t>
      </w:r>
    </w:p>
    <w:p w14:paraId="6210E2E8">
      <w:pPr>
        <w:widowControl/>
        <w:tabs>
          <w:tab w:val="left" w:pos="0"/>
        </w:tabs>
        <w:snapToGrid w:val="0"/>
        <w:spacing w:line="360" w:lineRule="auto"/>
        <w:outlineLvl w:val="1"/>
        <w:rPr>
          <w:rFonts w:ascii="宋体" w:hAnsi="宋体" w:eastAsia="宋体" w:cs="宋体"/>
          <w:bCs/>
          <w:color w:val="auto"/>
          <w:szCs w:val="21"/>
          <w:u w:val="single"/>
        </w:rPr>
      </w:pPr>
      <w:r>
        <w:rPr>
          <w:rFonts w:hint="eastAsia" w:ascii="宋体" w:hAnsi="宋体" w:eastAsia="宋体" w:cs="宋体"/>
          <w:bCs/>
          <w:color w:val="auto"/>
          <w:szCs w:val="21"/>
        </w:rPr>
        <w:t>　　第二十条　危险作业必须严格执行审批管理相关要求，危险作业部门应至少在作业前一天将相关资料送审，审批通过并将作业计划报送至分公司安全监管部后方可实施作业。具体审批权限根据各项危险作业实施细则执行。</w:t>
      </w:r>
    </w:p>
    <w:p w14:paraId="3CDDCE4D">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第二十一条　危险作业开展前，危险作业部门应对当次作业环境进行全面的安全风险辨识，分析存在的危险有害因素，明确消除、控制危害的安全措施，达到一定规模的危险性较大的项目还需要有针对性的编制出详细的作业方案。</w:t>
      </w:r>
    </w:p>
    <w:p w14:paraId="244028A8">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第二十二条　各级作业审批部门对危险作业进行审批时，应重点对危险作业的危险源辨识，风险评估，安全措施进行审查，相关作业人员是否持有相关资格证书并查验真伪，应急准备等相关安全措施，必要时应当到作业现场进行勘查，了解作业部位及作业周围情况，符合安全作业要求的方能批准作业，对于不能保证安全作业的，不得批准。</w:t>
      </w:r>
    </w:p>
    <w:p w14:paraId="4C646FD9">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第二十三条　当次危险作业任务涉及其它危险作业时，应同时办理其他危险作业相应的审批手续，不得遗漏，如有限空间作业过程涉及动火、临时用电的情况，则需要同时办理有限空间作业、动火作业、临时用电的审批。</w:t>
      </w:r>
    </w:p>
    <w:p w14:paraId="4423C839">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第二十四条　危险作业部门在作业前还应将作业审批表送到与当次危险作业相关的部门或单位，以便协助断水、断电、断气等隔断等相关辅助作业。</w:t>
      </w:r>
    </w:p>
    <w:p w14:paraId="2BC51E3B">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第二十五条　当作业项目、作业区域、作业条件发生变化、因作业人员严重违章被监护人员或检查人员叫停、作业过程中发生轻伤及以上事故、重要安全防护设备设施损坏、当次作业负责人和监护人等发生变动、现场出现险情紧急撤离再次进入现场前，以及其他影响安全作业的情形时，作业单位必须重新确认安全条件，完善作业方案，整改安全隐患后重新办理作业审批手续。</w:t>
      </w:r>
    </w:p>
    <w:p w14:paraId="44258A03">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第二十六条　危险作业必需在审批许可中规定的时间内进行，危险作业审批表最长作业时限结合作业实际紧凑安排，超过规定时间的，必需重新办理危险作业审批手续或延期手续。</w:t>
      </w:r>
    </w:p>
    <w:p w14:paraId="6F2C60FD">
      <w:pPr>
        <w:widowControl/>
        <w:tabs>
          <w:tab w:val="left" w:pos="0"/>
        </w:tabs>
        <w:snapToGrid w:val="0"/>
        <w:spacing w:line="360" w:lineRule="auto"/>
        <w:ind w:firstLine="420" w:firstLineChars="200"/>
        <w:outlineLvl w:val="1"/>
        <w:rPr>
          <w:rFonts w:ascii="宋体" w:hAnsi="宋体" w:eastAsia="宋体" w:cs="宋体"/>
          <w:bCs/>
          <w:color w:val="auto"/>
          <w:szCs w:val="21"/>
        </w:rPr>
      </w:pPr>
      <w:r>
        <w:rPr>
          <w:rFonts w:hint="eastAsia" w:ascii="宋体" w:hAnsi="宋体" w:eastAsia="宋体" w:cs="宋体"/>
          <w:bCs/>
          <w:color w:val="auto"/>
          <w:szCs w:val="21"/>
        </w:rPr>
        <w:t>第二十七条　除突发事件应急处置等紧急情况涉及的危险作业外，危险作业不宜安排在夜晚、法定节假日进行。</w:t>
      </w:r>
    </w:p>
    <w:p w14:paraId="1491CA31">
      <w:pPr>
        <w:pStyle w:val="18"/>
        <w:spacing w:line="360" w:lineRule="auto"/>
        <w:rPr>
          <w:rFonts w:hAnsi="宋体" w:cs="宋体"/>
          <w:color w:val="auto"/>
          <w:sz w:val="21"/>
          <w:szCs w:val="21"/>
          <w:lang w:val="en-US"/>
        </w:rPr>
      </w:pPr>
    </w:p>
    <w:p w14:paraId="38066C14">
      <w:pPr>
        <w:widowControl/>
        <w:snapToGrid w:val="0"/>
        <w:spacing w:line="360" w:lineRule="auto"/>
        <w:jc w:val="center"/>
        <w:outlineLvl w:val="1"/>
        <w:rPr>
          <w:rFonts w:ascii="宋体" w:hAnsi="宋体" w:eastAsia="宋体" w:cs="宋体"/>
          <w:b/>
          <w:color w:val="auto"/>
          <w:szCs w:val="21"/>
        </w:rPr>
      </w:pPr>
      <w:r>
        <w:rPr>
          <w:rFonts w:hint="eastAsia" w:ascii="宋体" w:hAnsi="宋体" w:eastAsia="宋体" w:cs="宋体"/>
          <w:bCs/>
          <w:color w:val="auto"/>
          <w:szCs w:val="21"/>
        </w:rPr>
        <w:t>第六章 危险作业现场安全管理</w:t>
      </w:r>
    </w:p>
    <w:p w14:paraId="696D1088">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第二十八条　危险作业获得作业批准后，应在作业负责人、监护人的组织和监护下开始作业。委外的危险作业必须要管网公司业务部门管理人员在场同意后方可开展作业。</w:t>
      </w:r>
    </w:p>
    <w:p w14:paraId="1820265F">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第二十九条　在作业开展前，作业负责人必须将作业方案和作业现场可能存在的危险有害因素、防控措施、作业安全要求和应急处置措施等向实施作业的全体人员进行有针对性的安全交底，落实安全措施，交底完成后，交底人与被交底人双方应签字确认，未经交底或交底不合格不得开展作业。</w:t>
      </w:r>
    </w:p>
    <w:p w14:paraId="246CD2BF">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第三十条　在作业开展前，作业人员必须对安全防护设备、个体防护用品、应急救援装备、作业设备和用具的齐备性和安全性进行检查，发现问题应立即修复或更换，当作业环境可能为易燃易爆环境时，设备和用具应符合防爆安全要求，若发现不具备安全作业条件时，有权拒绝作业，可要求补充完善作业条件。</w:t>
      </w:r>
    </w:p>
    <w:p w14:paraId="7DDDA0C1">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第三十一条　危险作业现场必须符合安全管理要求，做到现场整齐有序，道路畅通，安全标识清晰、明显，围挡有效。</w:t>
      </w:r>
    </w:p>
    <w:p w14:paraId="3A6D153C">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第三十二条　作业监护人员对作业过程中的安全措施和方案执行情况进行监督检查，确认应急准备情况，核实内外联络及呼叫方法，与作业人员保持联络与交流，对异常情况发出警告，监护期间不得离开现场或做与危险作业监护无关的事。</w:t>
      </w:r>
    </w:p>
    <w:p w14:paraId="05D461DD">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第三十三条　涉及不同工种的人在同一场地内交叉作业的，作业负责人应根据作业危险因素采取安全措施，做到“四不伤害”（即不伤害自己、不伤害他人、不被他人伤害、保护他人不受伤害）。</w:t>
      </w:r>
    </w:p>
    <w:p w14:paraId="3FBAFE34">
      <w:pPr>
        <w:widowControl/>
        <w:tabs>
          <w:tab w:val="left" w:pos="0"/>
        </w:tabs>
        <w:snapToGrid w:val="0"/>
        <w:spacing w:line="360" w:lineRule="auto"/>
        <w:outlineLvl w:val="1"/>
        <w:rPr>
          <w:rFonts w:ascii="宋体" w:hAnsi="宋体" w:eastAsia="宋体" w:cs="宋体"/>
          <w:bCs/>
          <w:color w:val="auto"/>
          <w:szCs w:val="21"/>
        </w:rPr>
      </w:pPr>
      <w:r>
        <w:rPr>
          <w:rFonts w:hint="eastAsia" w:ascii="宋体" w:hAnsi="宋体" w:eastAsia="宋体" w:cs="宋体"/>
          <w:bCs/>
          <w:color w:val="auto"/>
          <w:szCs w:val="21"/>
        </w:rPr>
        <w:t>　　第三十四条　在作业期间，危险作业审批部门、作业单位负责人、专业技术人员应经常深入现场检查，发现隐患及时整改，并做好记录，对于不能保证作业安全的隐患，监护人员和安全检查人员有权责令停止本次作业，因重大安全隐患或严重违章作业被停止的作业，应通告该危险作业审批人及直接主管。</w:t>
      </w:r>
    </w:p>
    <w:p w14:paraId="03B6DD19">
      <w:pPr>
        <w:widowControl/>
        <w:tabs>
          <w:tab w:val="left" w:pos="0"/>
        </w:tabs>
        <w:snapToGrid w:val="0"/>
        <w:spacing w:line="360" w:lineRule="auto"/>
        <w:outlineLvl w:val="1"/>
        <w:rPr>
          <w:rFonts w:ascii="宋体" w:hAnsi="宋体" w:eastAsia="宋体" w:cs="宋体"/>
          <w:color w:val="auto"/>
          <w:kern w:val="0"/>
          <w:szCs w:val="21"/>
          <w:shd w:val="clear" w:color="auto" w:fill="FFFFFF"/>
          <w:lang w:bidi="ar"/>
        </w:rPr>
      </w:pPr>
      <w:r>
        <w:rPr>
          <w:rFonts w:hint="eastAsia" w:ascii="宋体" w:hAnsi="宋体" w:eastAsia="宋体" w:cs="宋体"/>
          <w:bCs/>
          <w:color w:val="auto"/>
          <w:szCs w:val="21"/>
        </w:rPr>
        <w:t>　　第三十五条　作业结束、现场恢复完毕后，作业负责人在对应危险作业审批表上签字，结束闭环本次作业许可。危险作业部门应将作业审批表、作业人员资格证书复印件和作业方案等相关资料规范存档，保存时间不少于3年，以备查核。</w:t>
      </w:r>
    </w:p>
    <w:p w14:paraId="194CB125">
      <w:pPr>
        <w:widowControl/>
        <w:snapToGrid w:val="0"/>
        <w:spacing w:line="360" w:lineRule="auto"/>
        <w:jc w:val="center"/>
        <w:outlineLvl w:val="1"/>
        <w:rPr>
          <w:rFonts w:ascii="宋体" w:hAnsi="宋体" w:eastAsia="宋体" w:cs="宋体"/>
          <w:bCs/>
          <w:color w:val="auto"/>
          <w:szCs w:val="21"/>
        </w:rPr>
      </w:pPr>
      <w:r>
        <w:rPr>
          <w:rFonts w:hint="eastAsia" w:ascii="宋体" w:hAnsi="宋体" w:eastAsia="宋体" w:cs="宋体"/>
          <w:bCs/>
          <w:color w:val="auto"/>
          <w:szCs w:val="21"/>
        </w:rPr>
        <w:t>第七章 应急管理</w:t>
      </w:r>
    </w:p>
    <w:p w14:paraId="2E34A099">
      <w:pPr>
        <w:widowControl/>
        <w:tabs>
          <w:tab w:val="left" w:pos="0"/>
        </w:tabs>
        <w:snapToGrid w:val="0"/>
        <w:spacing w:line="360" w:lineRule="auto"/>
        <w:ind w:firstLine="420" w:firstLineChars="200"/>
        <w:outlineLvl w:val="1"/>
        <w:rPr>
          <w:rFonts w:ascii="宋体" w:hAnsi="宋体" w:eastAsia="宋体" w:cs="宋体"/>
          <w:bCs/>
          <w:color w:val="auto"/>
          <w:szCs w:val="21"/>
        </w:rPr>
      </w:pPr>
      <w:r>
        <w:rPr>
          <w:rFonts w:hint="eastAsia" w:ascii="宋体" w:hAnsi="宋体" w:eastAsia="宋体" w:cs="宋体"/>
          <w:bCs/>
          <w:color w:val="auto"/>
          <w:szCs w:val="21"/>
        </w:rPr>
        <w:t>第三十六条 公司安全监管部应根据本单位涉及的危险作业，辨识安全风险，按照《生产安全事故应急预案管理办法》（应急管理部令第2号）、《生产经营单位生产安全事故应急预案编制导则》（GB/T29639—2020），制定科学、合理、可行、有效的各类危险作业的安全事故专项应急预案或现场处置方案，定期组织培训，确保本单位涉及危险作业的相关人员掌握应急预案内容。</w:t>
      </w:r>
    </w:p>
    <w:p w14:paraId="3401E45A">
      <w:pPr>
        <w:widowControl/>
        <w:spacing w:line="360" w:lineRule="auto"/>
        <w:ind w:firstLine="420" w:firstLineChars="200"/>
        <w:jc w:val="left"/>
        <w:rPr>
          <w:rFonts w:ascii="宋体" w:hAnsi="宋体" w:eastAsia="宋体" w:cs="宋体"/>
          <w:bCs/>
          <w:color w:val="auto"/>
          <w:szCs w:val="21"/>
        </w:rPr>
      </w:pPr>
      <w:r>
        <w:rPr>
          <w:rFonts w:hint="eastAsia" w:ascii="宋体" w:hAnsi="宋体" w:eastAsia="宋体" w:cs="宋体"/>
          <w:bCs/>
          <w:color w:val="auto"/>
          <w:szCs w:val="21"/>
        </w:rPr>
        <w:t>第三十七条 各分公司应每年至少组织1次所涉及的危险作业的应急演练，涉及危险作业的相关人员应积极策划及参加演练，提高应急处置能力。</w:t>
      </w:r>
    </w:p>
    <w:p w14:paraId="47A21135">
      <w:pPr>
        <w:widowControl/>
        <w:spacing w:line="360" w:lineRule="auto"/>
        <w:ind w:firstLine="640"/>
        <w:jc w:val="left"/>
        <w:rPr>
          <w:rFonts w:ascii="宋体" w:hAnsi="宋体" w:eastAsia="宋体" w:cs="宋体"/>
          <w:bCs/>
          <w:color w:val="auto"/>
          <w:szCs w:val="21"/>
        </w:rPr>
      </w:pPr>
    </w:p>
    <w:p w14:paraId="2F7B0728">
      <w:pPr>
        <w:widowControl/>
        <w:spacing w:line="360" w:lineRule="auto"/>
        <w:jc w:val="center"/>
        <w:rPr>
          <w:rFonts w:ascii="宋体" w:hAnsi="宋体" w:eastAsia="宋体" w:cs="宋体"/>
          <w:color w:val="auto"/>
          <w:szCs w:val="21"/>
        </w:rPr>
      </w:pPr>
      <w:r>
        <w:rPr>
          <w:rFonts w:hint="eastAsia" w:ascii="宋体" w:hAnsi="宋体" w:eastAsia="宋体" w:cs="宋体"/>
          <w:color w:val="auto"/>
          <w:szCs w:val="21"/>
        </w:rPr>
        <w:t>第八章 附则</w:t>
      </w:r>
    </w:p>
    <w:p w14:paraId="1DCE4866">
      <w:pPr>
        <w:tabs>
          <w:tab w:val="left" w:pos="8280"/>
        </w:tabs>
        <w:autoSpaceDE w:val="0"/>
        <w:autoSpaceDN w:val="0"/>
        <w:adjustRightInd w:val="0"/>
        <w:spacing w:line="360" w:lineRule="auto"/>
        <w:ind w:firstLine="420" w:firstLineChars="200"/>
        <w:jc w:val="left"/>
        <w:rPr>
          <w:rFonts w:ascii="宋体" w:hAnsi="宋体" w:eastAsia="宋体" w:cs="宋体"/>
          <w:color w:val="auto"/>
          <w:kern w:val="0"/>
          <w:szCs w:val="21"/>
          <w:shd w:val="clear" w:color="auto" w:fill="FFFFFF"/>
          <w:lang w:bidi="ar"/>
        </w:rPr>
      </w:pPr>
      <w:r>
        <w:rPr>
          <w:rFonts w:hint="eastAsia" w:ascii="宋体" w:hAnsi="宋体" w:eastAsia="宋体" w:cs="宋体"/>
          <w:color w:val="auto"/>
          <w:kern w:val="0"/>
          <w:szCs w:val="21"/>
          <w:shd w:val="clear" w:color="auto" w:fill="FFFFFF"/>
          <w:lang w:bidi="ar"/>
        </w:rPr>
        <w:t>第三十八条 本办法由管网公司安全监管部负责拟定、修改和解释。</w:t>
      </w:r>
    </w:p>
    <w:p w14:paraId="0DBC33BF">
      <w:pPr>
        <w:pStyle w:val="18"/>
        <w:spacing w:line="360" w:lineRule="auto"/>
        <w:ind w:firstLine="420" w:firstLineChars="200"/>
        <w:jc w:val="left"/>
        <w:rPr>
          <w:rFonts w:hAnsi="宋体" w:cs="宋体"/>
          <w:color w:val="auto"/>
          <w:kern w:val="0"/>
          <w:sz w:val="21"/>
          <w:szCs w:val="21"/>
          <w:shd w:val="clear" w:color="auto" w:fill="FFFFFF"/>
          <w:lang w:val="en-US" w:bidi="ar"/>
        </w:rPr>
      </w:pPr>
      <w:r>
        <w:rPr>
          <w:rFonts w:hint="eastAsia" w:hAnsi="宋体" w:cs="宋体"/>
          <w:b w:val="0"/>
          <w:bCs w:val="0"/>
          <w:color w:val="auto"/>
          <w:kern w:val="0"/>
          <w:sz w:val="21"/>
          <w:szCs w:val="21"/>
          <w:shd w:val="clear" w:color="auto" w:fill="FFFFFF"/>
          <w:lang w:bidi="ar"/>
        </w:rPr>
        <w:t>第</w:t>
      </w:r>
      <w:r>
        <w:rPr>
          <w:rFonts w:hint="eastAsia" w:hAnsi="宋体" w:cs="宋体"/>
          <w:b w:val="0"/>
          <w:bCs w:val="0"/>
          <w:color w:val="auto"/>
          <w:kern w:val="0"/>
          <w:sz w:val="21"/>
          <w:szCs w:val="21"/>
          <w:shd w:val="clear" w:color="auto" w:fill="FFFFFF"/>
          <w:lang w:val="en-US" w:bidi="ar"/>
        </w:rPr>
        <w:t>三十九</w:t>
      </w:r>
      <w:r>
        <w:rPr>
          <w:rFonts w:hint="eastAsia" w:hAnsi="宋体" w:cs="宋体"/>
          <w:b w:val="0"/>
          <w:bCs w:val="0"/>
          <w:color w:val="auto"/>
          <w:kern w:val="0"/>
          <w:sz w:val="21"/>
          <w:szCs w:val="21"/>
          <w:shd w:val="clear" w:color="auto" w:fill="FFFFFF"/>
          <w:lang w:bidi="ar"/>
        </w:rPr>
        <w:t>条</w:t>
      </w:r>
      <w:r>
        <w:rPr>
          <w:rFonts w:hint="eastAsia" w:hAnsi="宋体" w:cs="宋体"/>
          <w:b w:val="0"/>
          <w:bCs w:val="0"/>
          <w:color w:val="auto"/>
          <w:kern w:val="0"/>
          <w:sz w:val="21"/>
          <w:szCs w:val="21"/>
          <w:shd w:val="clear" w:color="auto" w:fill="FFFFFF"/>
          <w:lang w:val="en-US" w:bidi="ar"/>
        </w:rPr>
        <w:t xml:space="preserve"> 如危险作业进行委外，归口业务部门应向承包商进行安全交底，向其宣贯管网公司的危险作业管理规定，并督促其落实。</w:t>
      </w:r>
    </w:p>
    <w:p w14:paraId="0819CCD4">
      <w:pPr>
        <w:widowControl/>
        <w:tabs>
          <w:tab w:val="left" w:pos="0"/>
        </w:tabs>
        <w:snapToGrid w:val="0"/>
        <w:spacing w:line="360" w:lineRule="auto"/>
        <w:ind w:firstLine="420" w:firstLineChars="200"/>
        <w:outlineLvl w:val="1"/>
        <w:rPr>
          <w:rFonts w:ascii="宋体" w:hAnsi="宋体" w:eastAsia="宋体" w:cs="宋体"/>
          <w:bCs/>
          <w:color w:val="auto"/>
          <w:szCs w:val="21"/>
        </w:rPr>
      </w:pPr>
      <w:r>
        <w:rPr>
          <w:rFonts w:hint="eastAsia" w:ascii="宋体" w:hAnsi="宋体" w:eastAsia="宋体" w:cs="宋体"/>
          <w:color w:val="auto"/>
          <w:kern w:val="0"/>
          <w:szCs w:val="21"/>
          <w:shd w:val="clear" w:color="auto" w:fill="FFFFFF"/>
          <w:lang w:bidi="ar"/>
        </w:rPr>
        <w:t>第四十条  本办法自印发之日起执行。</w:t>
      </w:r>
      <w:r>
        <w:rPr>
          <w:rFonts w:hint="eastAsia" w:ascii="宋体" w:hAnsi="宋体" w:eastAsia="宋体" w:cs="宋体"/>
          <w:bCs/>
          <w:color w:val="auto"/>
          <w:szCs w:val="21"/>
        </w:rPr>
        <w:t>原《东莞市水务集团管网有限公司危险作业安全管理制度（试行）》（东管网〔2020〕86号）同时废止。</w:t>
      </w:r>
    </w:p>
    <w:p w14:paraId="60D39B75">
      <w:pPr>
        <w:pStyle w:val="19"/>
        <w:spacing w:after="0" w:line="360" w:lineRule="auto"/>
        <w:ind w:firstLineChars="200"/>
        <w:rPr>
          <w:rFonts w:ascii="宋体" w:hAnsi="宋体" w:eastAsia="宋体" w:cs="宋体"/>
          <w:color w:val="auto"/>
          <w:szCs w:val="21"/>
        </w:rPr>
      </w:pPr>
      <w:r>
        <w:rPr>
          <w:rFonts w:hint="eastAsia" w:ascii="宋体" w:hAnsi="宋体" w:eastAsia="宋体" w:cs="宋体"/>
          <w:color w:val="auto"/>
          <w:szCs w:val="21"/>
        </w:rPr>
        <w:t>附件：安全生产管理协议书</w:t>
      </w:r>
    </w:p>
    <w:p w14:paraId="30FFCB6B">
      <w:pPr>
        <w:spacing w:after="120" w:line="360" w:lineRule="auto"/>
        <w:rPr>
          <w:rFonts w:ascii="宋体" w:hAnsi="宋体" w:eastAsia="宋体" w:cs="宋体"/>
          <w:color w:val="auto"/>
          <w:szCs w:val="21"/>
        </w:rPr>
      </w:pPr>
    </w:p>
    <w:p w14:paraId="602BA1A2">
      <w:pPr>
        <w:rPr>
          <w:rFonts w:ascii="宋体" w:hAnsi="宋体" w:eastAsia="宋体" w:cs="宋体"/>
          <w:b/>
          <w:color w:val="auto"/>
          <w:szCs w:val="21"/>
        </w:rPr>
      </w:pPr>
      <w:r>
        <w:rPr>
          <w:rFonts w:hint="eastAsia" w:ascii="宋体" w:hAnsi="宋体" w:eastAsia="宋体" w:cs="宋体"/>
          <w:b/>
          <w:color w:val="auto"/>
          <w:szCs w:val="21"/>
        </w:rPr>
        <w:br w:type="page"/>
      </w:r>
    </w:p>
    <w:p w14:paraId="04E4B4EC">
      <w:pPr>
        <w:pageBreakBefore/>
        <w:spacing w:line="360" w:lineRule="auto"/>
        <w:rPr>
          <w:rFonts w:ascii="宋体" w:hAnsi="宋体" w:eastAsia="宋体" w:cs="宋体"/>
          <w:b/>
          <w:color w:val="auto"/>
          <w:szCs w:val="21"/>
        </w:rPr>
      </w:pPr>
      <w:r>
        <w:rPr>
          <w:rFonts w:hint="eastAsia" w:ascii="宋体" w:hAnsi="宋体" w:eastAsia="宋体" w:cs="宋体"/>
          <w:b/>
          <w:color w:val="auto"/>
          <w:szCs w:val="21"/>
        </w:rPr>
        <w:t>附件9：单方结算承诺书</w:t>
      </w:r>
    </w:p>
    <w:p w14:paraId="54FD78E1">
      <w:pPr>
        <w:spacing w:line="360" w:lineRule="auto"/>
        <w:jc w:val="center"/>
        <w:rPr>
          <w:rFonts w:ascii="宋体" w:hAnsi="宋体" w:eastAsia="宋体" w:cs="宋体"/>
          <w:color w:val="auto"/>
          <w:szCs w:val="21"/>
        </w:rPr>
      </w:pPr>
      <w:r>
        <w:rPr>
          <w:rFonts w:hint="eastAsia" w:ascii="宋体" w:hAnsi="宋体" w:eastAsia="宋体" w:cs="宋体"/>
          <w:color w:val="auto"/>
          <w:szCs w:val="21"/>
        </w:rPr>
        <w:t>单方结算承诺书</w:t>
      </w:r>
    </w:p>
    <w:p w14:paraId="1B1343F4">
      <w:pPr>
        <w:spacing w:line="360" w:lineRule="auto"/>
        <w:rPr>
          <w:rFonts w:ascii="宋体" w:hAnsi="宋体" w:eastAsia="宋体" w:cs="宋体"/>
          <w:color w:val="auto"/>
          <w:szCs w:val="21"/>
        </w:rPr>
      </w:pPr>
      <w:r>
        <w:rPr>
          <w:rFonts w:hint="eastAsia" w:ascii="宋体" w:hAnsi="宋体" w:eastAsia="宋体" w:cs="宋体"/>
          <w:color w:val="auto"/>
          <w:szCs w:val="21"/>
        </w:rPr>
        <w:t xml:space="preserve">    （合同甲方）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D22B6EA">
      <w:pPr>
        <w:tabs>
          <w:tab w:val="left" w:pos="-72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我司根据《              合同》相关条款全力配合贵公司工作，并自愿做出如下承诺：</w:t>
      </w:r>
    </w:p>
    <w:p w14:paraId="47D00F9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我司承诺存在以下行为的，甲方有权启动单方结算程序，我司对此表示同意且对单方结算结果无异议：</w:t>
      </w:r>
    </w:p>
    <w:p w14:paraId="13F2F2D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（一）我司由于自身原因在项目竣工验收后，未在规定时限内（完工后2个月）提交结算资料，且经甲方2次（含）催促（不限于发函、约谈等方式通知），仍未提交符合要求的结算资料的。</w:t>
      </w:r>
    </w:p>
    <w:p w14:paraId="6A5BEE6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（二）甲方结算审核后发出征求意见稿，我司由于自身原因在规定时限内（3个工作日）不对初步审核结果提出反馈意见且经甲方1次（含）催促（不限于发函、约谈等方式通知），仍不回复意见的。</w:t>
      </w:r>
    </w:p>
    <w:p w14:paraId="63D6221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（三）我司对甲方的审核结果有异议但不能提出有效依据，未在规定时限内（3个工作日）且经甲方1次（含）催促（不限于发函、约谈等方式通知），仍未确认结算审核结果的。</w:t>
      </w:r>
    </w:p>
    <w:p w14:paraId="28E68E1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（四）我司收到甲方补资料通知后3个工作日内补齐，否则按原送审资料进行审核结算。如遇特殊情况需要后补，由乙方出具情况说明并经甲方确认。</w:t>
      </w:r>
    </w:p>
    <w:p w14:paraId="2FE5077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若我司结算阶段存在上述行为的，甲方有权启动单方结算程序，我司对此表示同意且对单方结算结果无异议。</w:t>
      </w:r>
    </w:p>
    <w:p w14:paraId="005CC35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w:t>
      </w:r>
    </w:p>
    <w:p w14:paraId="01BEA94A">
      <w:pPr>
        <w:wordWrap w:val="0"/>
        <w:spacing w:line="360" w:lineRule="auto"/>
        <w:ind w:right="1800" w:firstLine="2835"/>
        <w:jc w:val="right"/>
        <w:rPr>
          <w:rFonts w:ascii="宋体" w:hAnsi="宋体" w:eastAsia="宋体" w:cs="宋体"/>
          <w:color w:val="auto"/>
          <w:w w:val="105"/>
          <w:szCs w:val="21"/>
        </w:rPr>
      </w:pPr>
      <w:r>
        <w:rPr>
          <w:rFonts w:hint="eastAsia" w:ascii="宋体" w:hAnsi="宋体" w:eastAsia="宋体" w:cs="宋体"/>
          <w:color w:val="auto"/>
          <w:szCs w:val="21"/>
        </w:rPr>
        <w:t xml:space="preserve">承诺单位（盖章）：   </w:t>
      </w:r>
    </w:p>
    <w:p w14:paraId="0A7136B5">
      <w:pPr>
        <w:wordWrap w:val="0"/>
        <w:spacing w:line="360" w:lineRule="auto"/>
        <w:ind w:right="960"/>
        <w:jc w:val="right"/>
        <w:rPr>
          <w:rFonts w:ascii="宋体" w:hAnsi="宋体" w:eastAsia="宋体" w:cs="宋体"/>
          <w:color w:val="auto"/>
          <w:szCs w:val="21"/>
        </w:rPr>
      </w:pPr>
      <w:r>
        <w:rPr>
          <w:rFonts w:hint="eastAsia" w:ascii="宋体" w:hAnsi="宋体" w:eastAsia="宋体" w:cs="宋体"/>
          <w:color w:val="auto"/>
          <w:szCs w:val="21"/>
        </w:rPr>
        <w:t xml:space="preserve">                                        法人代表人（授权代理人）签名（或盖私章）</w:t>
      </w:r>
    </w:p>
    <w:p w14:paraId="344C6FCC">
      <w:pPr>
        <w:spacing w:line="600" w:lineRule="exact"/>
        <w:ind w:firstLine="424" w:firstLineChars="202"/>
        <w:rPr>
          <w:rFonts w:ascii="宋体" w:hAnsi="宋体" w:eastAsia="宋体" w:cs="宋体"/>
          <w:b/>
          <w:bCs/>
          <w:color w:val="auto"/>
          <w:szCs w:val="21"/>
        </w:rPr>
      </w:pPr>
      <w:r>
        <w:rPr>
          <w:rFonts w:hint="eastAsia" w:ascii="宋体" w:hAnsi="宋体" w:eastAsia="宋体" w:cs="宋体"/>
          <w:color w:val="auto"/>
          <w:szCs w:val="21"/>
        </w:rPr>
        <w:t xml:space="preserve">                                                   年    月    日</w:t>
      </w:r>
    </w:p>
    <w:p w14:paraId="7369A595">
      <w:pPr>
        <w:pageBreakBefore/>
        <w:spacing w:line="360" w:lineRule="auto"/>
        <w:rPr>
          <w:rFonts w:ascii="宋体" w:hAnsi="宋体" w:eastAsia="宋体" w:cs="宋体"/>
          <w:b/>
          <w:color w:val="auto"/>
          <w:szCs w:val="21"/>
        </w:rPr>
      </w:pPr>
      <w:r>
        <w:rPr>
          <w:rFonts w:hint="eastAsia" w:ascii="宋体" w:hAnsi="宋体" w:eastAsia="宋体" w:cs="宋体"/>
          <w:b/>
          <w:color w:val="auto"/>
          <w:szCs w:val="21"/>
        </w:rPr>
        <w:t>附件10：承诺书</w:t>
      </w:r>
    </w:p>
    <w:p w14:paraId="37023DBA">
      <w:pPr>
        <w:spacing w:line="360" w:lineRule="auto"/>
        <w:jc w:val="center"/>
        <w:rPr>
          <w:rFonts w:ascii="宋体" w:hAnsi="宋体" w:eastAsia="宋体" w:cs="宋体"/>
          <w:color w:val="auto"/>
          <w:szCs w:val="21"/>
        </w:rPr>
      </w:pPr>
      <w:r>
        <w:rPr>
          <w:rFonts w:hint="eastAsia" w:ascii="宋体" w:hAnsi="宋体" w:eastAsia="宋体" w:cs="宋体"/>
          <w:color w:val="auto"/>
          <w:szCs w:val="21"/>
        </w:rPr>
        <w:t>承诺书</w:t>
      </w:r>
    </w:p>
    <w:p w14:paraId="6C06DCB6">
      <w:pPr>
        <w:spacing w:line="360" w:lineRule="auto"/>
        <w:contextualSpacing/>
        <w:rPr>
          <w:rFonts w:ascii="宋体" w:hAnsi="宋体" w:eastAsia="宋体" w:cs="宋体"/>
          <w:color w:val="auto"/>
          <w:szCs w:val="21"/>
          <w:u w:val="single"/>
        </w:rPr>
      </w:pPr>
      <w:r>
        <w:rPr>
          <w:rFonts w:hint="eastAsia" w:ascii="宋体" w:hAnsi="宋体" w:eastAsia="宋体" w:cs="宋体"/>
          <w:color w:val="auto"/>
          <w:szCs w:val="21"/>
          <w:u w:val="single"/>
        </w:rPr>
        <w:t xml:space="preserve"> （合同甲方）                   ：</w:t>
      </w:r>
    </w:p>
    <w:p w14:paraId="5E4E31A5">
      <w:pPr>
        <w:tabs>
          <w:tab w:val="left" w:pos="-720"/>
        </w:tabs>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我司根据《                 合同》相关条款全力配合贵公司工作，并自愿做出如下承诺：</w:t>
      </w:r>
    </w:p>
    <w:p w14:paraId="78D366C6">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611A9FFB">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二）如我司不履行、怠于履行或没有在约定时间内完成合同项下的全部义务，合同条款中有相应违约条款的，我司承诺将按照合同约定承担违约责任；其他无约定情形的，每发生一次，我司同意按照违约项目金额（含税）的5%向贵公司承担违约金。同时，贵公司有权另行委派其他单位实施本项目，由此产生的差价及相关费用等由我司承担；</w:t>
      </w:r>
    </w:p>
    <w:p w14:paraId="5578494F">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（三）如我司有违反本项目管理及合同约定等行为，我司同意依据相关约定对贵司进行赔偿；</w:t>
      </w:r>
    </w:p>
    <w:p w14:paraId="02A12F79">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（四）</w:t>
      </w:r>
      <w:r>
        <w:rPr>
          <w:rFonts w:hint="eastAsia" w:ascii="宋体" w:hAnsi="宋体" w:eastAsia="宋体" w:cs="宋体"/>
          <w:color w:val="auto"/>
          <w:kern w:val="0"/>
          <w:szCs w:val="21"/>
          <w:lang w:bidi="ar"/>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7CA6EB47">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2A9CF716">
      <w:pPr>
        <w:spacing w:line="360" w:lineRule="auto"/>
        <w:ind w:firstLine="420" w:firstLineChars="200"/>
        <w:contextualSpacing/>
        <w:rPr>
          <w:rFonts w:ascii="宋体" w:hAnsi="宋体" w:eastAsia="宋体" w:cs="宋体"/>
          <w:color w:val="auto"/>
          <w:szCs w:val="21"/>
        </w:rPr>
      </w:pPr>
    </w:p>
    <w:p w14:paraId="62BFCDF3">
      <w:pPr>
        <w:spacing w:line="360" w:lineRule="auto"/>
        <w:ind w:firstLine="420" w:firstLineChars="200"/>
        <w:contextualSpacing/>
        <w:rPr>
          <w:rFonts w:ascii="宋体" w:hAnsi="宋体" w:eastAsia="宋体" w:cs="宋体"/>
          <w:color w:val="auto"/>
          <w:szCs w:val="21"/>
        </w:rPr>
      </w:pPr>
    </w:p>
    <w:p w14:paraId="734CBDA3">
      <w:pPr>
        <w:spacing w:line="360" w:lineRule="auto"/>
        <w:ind w:right="1800" w:firstLine="5250" w:firstLineChars="2500"/>
        <w:contextualSpacing/>
        <w:rPr>
          <w:rFonts w:ascii="宋体" w:hAnsi="宋体" w:eastAsia="宋体" w:cs="宋体"/>
          <w:color w:val="auto"/>
          <w:w w:val="105"/>
          <w:szCs w:val="21"/>
        </w:rPr>
      </w:pPr>
      <w:r>
        <w:rPr>
          <w:rFonts w:hint="eastAsia" w:ascii="宋体" w:hAnsi="宋体" w:eastAsia="宋体" w:cs="宋体"/>
          <w:color w:val="auto"/>
          <w:szCs w:val="21"/>
        </w:rPr>
        <w:t xml:space="preserve">承诺单位（盖章）： </w:t>
      </w:r>
    </w:p>
    <w:p w14:paraId="621418AA">
      <w:pPr>
        <w:spacing w:line="360" w:lineRule="auto"/>
        <w:ind w:right="960"/>
        <w:contextualSpacing/>
        <w:jc w:val="right"/>
        <w:rPr>
          <w:rFonts w:ascii="宋体" w:hAnsi="宋体" w:eastAsia="宋体" w:cs="宋体"/>
          <w:color w:val="auto"/>
          <w:szCs w:val="21"/>
        </w:rPr>
      </w:pPr>
      <w:r>
        <w:rPr>
          <w:rFonts w:hint="eastAsia" w:ascii="宋体" w:hAnsi="宋体" w:eastAsia="宋体" w:cs="宋体"/>
          <w:color w:val="auto"/>
          <w:szCs w:val="21"/>
        </w:rPr>
        <w:t xml:space="preserve">                         法人代表人（授权代理人）签名（或盖私章）：   </w:t>
      </w:r>
    </w:p>
    <w:p w14:paraId="380314BD">
      <w:pPr>
        <w:spacing w:line="360" w:lineRule="auto"/>
        <w:ind w:firstLine="424" w:firstLineChars="202"/>
        <w:contextualSpacing/>
        <w:rPr>
          <w:rFonts w:ascii="宋体" w:hAnsi="宋体" w:eastAsia="宋体" w:cs="宋体"/>
          <w:color w:val="auto"/>
          <w:szCs w:val="21"/>
        </w:rPr>
      </w:pPr>
      <w:r>
        <w:rPr>
          <w:rFonts w:hint="eastAsia" w:ascii="宋体" w:hAnsi="宋体" w:eastAsia="宋体" w:cs="宋体"/>
          <w:color w:val="auto"/>
          <w:szCs w:val="21"/>
        </w:rPr>
        <w:t xml:space="preserve">                                                   年    月    日</w:t>
      </w:r>
    </w:p>
    <w:bookmarkEnd w:id="367"/>
    <w:bookmarkEnd w:id="368"/>
    <w:bookmarkEnd w:id="369"/>
    <w:bookmarkEnd w:id="370"/>
    <w:bookmarkEnd w:id="371"/>
    <w:p w14:paraId="693F6E79">
      <w:pPr>
        <w:spacing w:line="360" w:lineRule="auto"/>
        <w:ind w:left="436" w:leftChars="-59" w:hanging="560" w:hangingChars="267"/>
        <w:rPr>
          <w:rFonts w:ascii="宋体" w:hAnsi="宋体" w:eastAsia="宋体" w:cs="宋体"/>
          <w:color w:val="auto"/>
          <w:szCs w:val="21"/>
          <w:lang w:val="zh-CN"/>
        </w:rPr>
      </w:pPr>
    </w:p>
    <w:p w14:paraId="417E13AA">
      <w:pPr>
        <w:pStyle w:val="19"/>
        <w:ind w:firstLine="210"/>
        <w:rPr>
          <w:rFonts w:ascii="宋体" w:hAnsi="宋体" w:eastAsia="宋体" w:cs="宋体"/>
          <w:color w:val="auto"/>
          <w:szCs w:val="21"/>
        </w:rPr>
      </w:pPr>
    </w:p>
    <w:p w14:paraId="1CC53654">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lang w:val="zh-CN"/>
        </w:rPr>
      </w:pPr>
      <w:bookmarkStart w:id="388" w:name="_Toc26937"/>
      <w:r>
        <w:rPr>
          <w:rFonts w:hint="eastAsia" w:ascii="宋体" w:hAnsi="宋体" w:eastAsia="宋体" w:cs="宋体"/>
          <w:b/>
          <w:bCs/>
          <w:color w:val="auto"/>
          <w:kern w:val="44"/>
          <w:sz w:val="32"/>
          <w:szCs w:val="32"/>
          <w:lang w:val="zh-CN"/>
        </w:rPr>
        <w:t>第五篇 相关保函格式</w:t>
      </w:r>
      <w:bookmarkEnd w:id="388"/>
    </w:p>
    <w:p w14:paraId="54C1F8A0">
      <w:pPr>
        <w:autoSpaceDE w:val="0"/>
        <w:autoSpaceDN w:val="0"/>
        <w:adjustRightInd w:val="0"/>
        <w:spacing w:after="120" w:afterLines="50" w:line="360" w:lineRule="auto"/>
        <w:jc w:val="left"/>
        <w:rPr>
          <w:rFonts w:ascii="宋体" w:hAnsi="宋体" w:eastAsia="宋体" w:cs="宋体"/>
          <w:b/>
          <w:color w:val="auto"/>
          <w:kern w:val="0"/>
          <w:sz w:val="28"/>
          <w:szCs w:val="28"/>
        </w:rPr>
      </w:pPr>
      <w:r>
        <w:rPr>
          <w:rFonts w:hint="eastAsia" w:ascii="宋体" w:hAnsi="宋体" w:eastAsia="宋体" w:cs="宋体"/>
          <w:b/>
          <w:color w:val="auto"/>
          <w:kern w:val="0"/>
          <w:sz w:val="28"/>
          <w:szCs w:val="28"/>
        </w:rPr>
        <w:t>一、不可撤销银行履约保函格式</w:t>
      </w:r>
    </w:p>
    <w:p w14:paraId="306BF03C">
      <w:pPr>
        <w:autoSpaceDE w:val="0"/>
        <w:autoSpaceDN w:val="0"/>
        <w:adjustRightInd w:val="0"/>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不可撤销银行履约保函</w:t>
      </w:r>
    </w:p>
    <w:p w14:paraId="37EC0D08">
      <w:pPr>
        <w:widowControl/>
        <w:autoSpaceDE w:val="0"/>
        <w:autoSpaceDN w:val="0"/>
        <w:adjustRightInd w:val="0"/>
        <w:spacing w:line="360" w:lineRule="auto"/>
        <w:jc w:val="left"/>
        <w:rPr>
          <w:rFonts w:ascii="宋体" w:hAnsi="宋体" w:eastAsia="宋体" w:cs="宋体"/>
          <w:color w:val="auto"/>
          <w:kern w:val="0"/>
          <w:szCs w:val="21"/>
        </w:rPr>
      </w:pPr>
    </w:p>
    <w:p w14:paraId="75BCC093">
      <w:pPr>
        <w:autoSpaceDE w:val="0"/>
        <w:autoSpaceDN w:val="0"/>
        <w:adjustRightInd w:val="0"/>
        <w:spacing w:line="360" w:lineRule="auto"/>
        <w:ind w:firstLine="6300"/>
        <w:jc w:val="left"/>
        <w:rPr>
          <w:rFonts w:ascii="宋体" w:hAnsi="宋体" w:eastAsia="宋体" w:cs="宋体"/>
          <w:color w:val="auto"/>
          <w:kern w:val="0"/>
          <w:szCs w:val="21"/>
          <w:u w:val="single"/>
        </w:rPr>
      </w:pPr>
      <w:r>
        <w:rPr>
          <w:rFonts w:hint="eastAsia" w:ascii="宋体" w:hAnsi="宋体" w:eastAsia="宋体" w:cs="宋体"/>
          <w:color w:val="auto"/>
          <w:kern w:val="0"/>
          <w:szCs w:val="21"/>
        </w:rPr>
        <w:t>银行编号：</w:t>
      </w:r>
    </w:p>
    <w:p w14:paraId="6534AAFB">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30904876">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color w:val="auto"/>
          <w:kern w:val="0"/>
          <w:szCs w:val="21"/>
          <w:u w:val="single"/>
        </w:rPr>
        <w:t xml:space="preserve">  （申请人的名称与地址）  </w:t>
      </w:r>
      <w:r>
        <w:rPr>
          <w:rFonts w:hint="eastAsia" w:ascii="宋体" w:hAnsi="宋体" w:eastAsia="宋体" w:cs="宋体"/>
          <w:color w:val="auto"/>
          <w:kern w:val="0"/>
          <w:szCs w:val="21"/>
        </w:rPr>
        <w:t>（下称“申请人”），已保证按拟签订的</w:t>
      </w:r>
      <w:r>
        <w:rPr>
          <w:rFonts w:hint="eastAsia" w:ascii="宋体" w:hAnsi="宋体" w:eastAsia="宋体" w:cs="宋体"/>
          <w:color w:val="auto"/>
          <w:kern w:val="0"/>
          <w:szCs w:val="21"/>
          <w:u w:val="single"/>
        </w:rPr>
        <w:t xml:space="preserve"> 项目名称       （招标编号：         ）</w:t>
      </w:r>
      <w:r>
        <w:rPr>
          <w:rFonts w:hint="eastAsia" w:ascii="宋体" w:hAnsi="宋体" w:eastAsia="宋体" w:cs="宋体"/>
          <w:color w:val="auto"/>
          <w:kern w:val="0"/>
          <w:szCs w:val="21"/>
        </w:rPr>
        <w:t>合同（招标文件）中规定的义务履行合同。</w:t>
      </w:r>
    </w:p>
    <w:p w14:paraId="2A389236">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hint="eastAsia" w:ascii="宋体" w:hAnsi="宋体" w:eastAsia="宋体" w:cs="宋体"/>
          <w:color w:val="auto"/>
          <w:kern w:val="0"/>
          <w:szCs w:val="21"/>
          <w:u w:val="single"/>
        </w:rPr>
        <w:t xml:space="preserve">      （RMB元）</w:t>
      </w:r>
      <w:r>
        <w:rPr>
          <w:rFonts w:hint="eastAsia" w:ascii="宋体" w:hAnsi="宋体" w:eastAsia="宋体" w:cs="宋体"/>
          <w:color w:val="auto"/>
          <w:kern w:val="0"/>
          <w:szCs w:val="21"/>
        </w:rPr>
        <w:t>的无条件、不可撤销银行履约保函，作为申请人履行上述合同的担保。</w:t>
      </w:r>
    </w:p>
    <w:p w14:paraId="574DF60F">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（银行名称）</w:t>
      </w:r>
      <w:r>
        <w:rPr>
          <w:rFonts w:hint="eastAsia" w:ascii="宋体" w:hAnsi="宋体" w:eastAsia="宋体" w:cs="宋体"/>
          <w:color w:val="auto"/>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64E5927C">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在向我行提出要求前，我行将不坚持要求受益人首先向申请人提出上述款项的索赔。</w:t>
      </w:r>
    </w:p>
    <w:p w14:paraId="5631949C">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471EFE49">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本保函的期限应自合同签订之日起至合同期限届满并完成全部单项项目结算后二十八（28）日内保持有效。</w:t>
      </w:r>
    </w:p>
    <w:p w14:paraId="0B0E19A7">
      <w:pPr>
        <w:widowControl/>
        <w:autoSpaceDE w:val="0"/>
        <w:autoSpaceDN w:val="0"/>
        <w:adjustRightInd w:val="0"/>
        <w:spacing w:line="360" w:lineRule="auto"/>
        <w:ind w:firstLine="437"/>
        <w:jc w:val="left"/>
        <w:rPr>
          <w:rFonts w:ascii="宋体" w:hAnsi="宋体" w:eastAsia="宋体" w:cs="宋体"/>
          <w:color w:val="auto"/>
          <w:kern w:val="0"/>
          <w:szCs w:val="21"/>
        </w:rPr>
      </w:pPr>
    </w:p>
    <w:p w14:paraId="36FADB0F">
      <w:pPr>
        <w:widowControl/>
        <w:autoSpaceDE w:val="0"/>
        <w:autoSpaceDN w:val="0"/>
        <w:adjustRightInd w:val="0"/>
        <w:spacing w:line="360" w:lineRule="auto"/>
        <w:ind w:firstLine="2520" w:firstLineChars="1200"/>
        <w:jc w:val="left"/>
        <w:rPr>
          <w:rFonts w:ascii="宋体" w:hAnsi="宋体" w:eastAsia="宋体" w:cs="宋体"/>
          <w:color w:val="auto"/>
          <w:kern w:val="0"/>
          <w:szCs w:val="21"/>
          <w:u w:val="single"/>
        </w:rPr>
      </w:pPr>
      <w:r>
        <w:rPr>
          <w:rFonts w:hint="eastAsia" w:ascii="宋体" w:hAnsi="宋体" w:eastAsia="宋体" w:cs="宋体"/>
          <w:color w:val="auto"/>
          <w:kern w:val="0"/>
          <w:szCs w:val="21"/>
        </w:rPr>
        <w:t>担 保 银 行：</w:t>
      </w:r>
      <w:r>
        <w:rPr>
          <w:rFonts w:hint="eastAsia" w:ascii="宋体" w:hAnsi="宋体" w:eastAsia="宋体" w:cs="宋体"/>
          <w:color w:val="auto"/>
          <w:kern w:val="0"/>
          <w:szCs w:val="21"/>
          <w:u w:val="single"/>
        </w:rPr>
        <w:t xml:space="preserve">          银行全称          （盖章）   </w:t>
      </w:r>
    </w:p>
    <w:p w14:paraId="50B29B8D">
      <w:pPr>
        <w:widowControl/>
        <w:autoSpaceDE w:val="0"/>
        <w:autoSpaceDN w:val="0"/>
        <w:adjustRightInd w:val="0"/>
        <w:spacing w:line="360" w:lineRule="auto"/>
        <w:ind w:firstLine="2520" w:firstLineChars="12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法定代表人或其授权的代表人：</w:t>
      </w:r>
      <w:r>
        <w:rPr>
          <w:rFonts w:hint="eastAsia" w:ascii="宋体" w:hAnsi="宋体" w:eastAsia="宋体" w:cs="宋体"/>
          <w:color w:val="auto"/>
          <w:kern w:val="0"/>
          <w:szCs w:val="21"/>
          <w:u w:val="single"/>
        </w:rPr>
        <w:t xml:space="preserve">       （职务）         </w:t>
      </w:r>
    </w:p>
    <w:p w14:paraId="6F06468A">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（姓名）         </w:t>
      </w:r>
    </w:p>
    <w:p w14:paraId="5ECCFF90">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（签章）         </w:t>
      </w:r>
    </w:p>
    <w:p w14:paraId="797512A6">
      <w:pPr>
        <w:autoSpaceDE w:val="0"/>
        <w:autoSpaceDN w:val="0"/>
        <w:adjustRightInd w:val="0"/>
        <w:spacing w:line="360" w:lineRule="auto"/>
        <w:ind w:left="84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1B595442">
      <w:pPr>
        <w:widowControl/>
        <w:autoSpaceDE w:val="0"/>
        <w:autoSpaceDN w:val="0"/>
        <w:adjustRightInd w:val="0"/>
        <w:spacing w:line="360" w:lineRule="auto"/>
        <w:jc w:val="left"/>
        <w:rPr>
          <w:rFonts w:ascii="宋体" w:hAnsi="宋体" w:eastAsia="宋体" w:cs="宋体"/>
          <w:color w:val="auto"/>
          <w:kern w:val="0"/>
          <w:szCs w:val="21"/>
        </w:rPr>
      </w:pPr>
    </w:p>
    <w:p w14:paraId="4D021575">
      <w:pPr>
        <w:widowControl/>
        <w:autoSpaceDE w:val="0"/>
        <w:autoSpaceDN w:val="0"/>
        <w:adjustRightInd w:val="0"/>
        <w:spacing w:line="360" w:lineRule="auto"/>
        <w:jc w:val="left"/>
        <w:rPr>
          <w:rFonts w:ascii="宋体" w:hAnsi="宋体" w:eastAsia="宋体" w:cs="宋体"/>
          <w:color w:val="auto"/>
          <w:kern w:val="0"/>
          <w:szCs w:val="21"/>
        </w:rPr>
      </w:pPr>
    </w:p>
    <w:p w14:paraId="7AC8916A">
      <w:pPr>
        <w:autoSpaceDE w:val="0"/>
        <w:autoSpaceDN w:val="0"/>
        <w:adjustRightInd w:val="0"/>
        <w:spacing w:line="360" w:lineRule="auto"/>
        <w:ind w:right="368" w:rightChars="175"/>
        <w:jc w:val="left"/>
        <w:rPr>
          <w:rFonts w:ascii="宋体" w:hAnsi="宋体" w:eastAsia="宋体" w:cs="宋体"/>
          <w:color w:val="auto"/>
          <w:kern w:val="0"/>
          <w:szCs w:val="21"/>
        </w:rPr>
        <w:sectPr>
          <w:footerReference r:id="rId7" w:type="first"/>
          <w:headerReference r:id="rId5" w:type="default"/>
          <w:footerReference r:id="rId6" w:type="default"/>
          <w:pgSz w:w="12240" w:h="15840"/>
          <w:pgMar w:top="1191" w:right="1043" w:bottom="1191" w:left="1043" w:header="720" w:footer="720" w:gutter="0"/>
          <w:cols w:space="720" w:num="1"/>
          <w:titlePg/>
          <w:docGrid w:linePitch="326" w:charSpace="0"/>
        </w:sectPr>
      </w:pPr>
    </w:p>
    <w:p w14:paraId="1DD4188E">
      <w:pPr>
        <w:rPr>
          <w:rFonts w:ascii="宋体" w:hAnsi="宋体" w:eastAsia="宋体" w:cs="宋体"/>
          <w:b/>
          <w:color w:val="auto"/>
          <w:kern w:val="0"/>
          <w:sz w:val="28"/>
          <w:szCs w:val="28"/>
        </w:rPr>
      </w:pPr>
      <w:r>
        <w:rPr>
          <w:rFonts w:hint="eastAsia" w:ascii="宋体" w:hAnsi="宋体" w:eastAsia="宋体" w:cs="宋体"/>
          <w:b/>
          <w:color w:val="auto"/>
          <w:kern w:val="0"/>
          <w:sz w:val="28"/>
          <w:szCs w:val="28"/>
        </w:rPr>
        <w:t>二、履约保证保险凭证格式</w:t>
      </w:r>
    </w:p>
    <w:p w14:paraId="6CBEB648">
      <w:pPr>
        <w:autoSpaceDE w:val="0"/>
        <w:autoSpaceDN w:val="0"/>
        <w:adjustRightInd w:val="0"/>
        <w:jc w:val="center"/>
        <w:rPr>
          <w:rFonts w:ascii="宋体" w:hAnsi="宋体" w:eastAsia="宋体" w:cs="宋体"/>
          <w:b/>
          <w:color w:val="auto"/>
          <w:kern w:val="0"/>
          <w:sz w:val="30"/>
          <w:szCs w:val="30"/>
        </w:rPr>
      </w:pPr>
    </w:p>
    <w:p w14:paraId="6B63D8EC">
      <w:pPr>
        <w:autoSpaceDE w:val="0"/>
        <w:autoSpaceDN w:val="0"/>
        <w:adjustRightInd w:val="0"/>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履约保证保险凭证</w:t>
      </w:r>
    </w:p>
    <w:p w14:paraId="7085BDCF">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55CF9394">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编号：</w:t>
      </w:r>
    </w:p>
    <w:p w14:paraId="175D6577">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 xml:space="preserve">（下称“受益人”）： </w:t>
      </w:r>
    </w:p>
    <w:p w14:paraId="750A51C1">
      <w:pPr>
        <w:autoSpaceDE w:val="0"/>
        <w:autoSpaceDN w:val="0"/>
        <w:adjustRightInd w:val="0"/>
        <w:spacing w:line="360" w:lineRule="auto"/>
        <w:ind w:firstLine="437"/>
        <w:jc w:val="left"/>
        <w:rPr>
          <w:rFonts w:ascii="宋体" w:hAnsi="宋体" w:eastAsia="宋体" w:cs="宋体"/>
          <w:color w:val="auto"/>
          <w:kern w:val="0"/>
          <w:szCs w:val="21"/>
        </w:rPr>
      </w:pPr>
    </w:p>
    <w:p w14:paraId="27EF5CEA">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（下称“申请人”）已与贵方签订了</w:t>
      </w:r>
      <w:r>
        <w:rPr>
          <w:rFonts w:hint="eastAsia"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 xml:space="preserve">合同。我方已接受申请人的请求，并出具《履约保证保险》保险单。 </w:t>
      </w:r>
    </w:p>
    <w:p w14:paraId="24CC43F8">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一、保证保险金额 </w:t>
      </w:r>
    </w:p>
    <w:p w14:paraId="4B583518">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我方承担的履约保证保险的保险金额（最高限额）为人民币（大写）</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元 （¥</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 xml:space="preserve"> ）。 </w:t>
      </w:r>
    </w:p>
    <w:p w14:paraId="11F9B5CF">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二、保证保险的责任范围 </w:t>
      </w:r>
    </w:p>
    <w:p w14:paraId="33C082BE">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在保险期间内，申请人因自身原因未按照与贵方签订的</w:t>
      </w:r>
      <w:r>
        <w:rPr>
          <w:rFonts w:hint="eastAsia"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 xml:space="preserve">合同履行相关义务，给贵方造成损失的，贵方可向我方提出索赔，我方按照保险合同的约定承担损失赔偿责任。 </w:t>
      </w:r>
    </w:p>
    <w:p w14:paraId="7B6483DE">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三、代偿的安排 </w:t>
      </w:r>
    </w:p>
    <w:p w14:paraId="5A23DB7A">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CA7ACAA">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四、生效时间 </w:t>
      </w:r>
    </w:p>
    <w:p w14:paraId="3797CB54">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本保险凭证自我方法定代表人（或其授权代理人）签字并加盖保险承保章之日起生效。 </w:t>
      </w:r>
    </w:p>
    <w:p w14:paraId="556019A0">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五、其他</w:t>
      </w:r>
    </w:p>
    <w:p w14:paraId="62C3ED3C">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本履约保证保险应自合同签订之日起至合同期限届满并完成全部单项项目结算后二十八（28）日内保持有效。</w:t>
      </w:r>
    </w:p>
    <w:p w14:paraId="1170F609">
      <w:pPr>
        <w:pStyle w:val="4"/>
        <w:rPr>
          <w:rFonts w:hAnsi="宋体" w:cs="宋体"/>
          <w:color w:val="auto"/>
        </w:rPr>
      </w:pPr>
    </w:p>
    <w:p w14:paraId="359B6594">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附：《XXX 保险有限公司履约保证保险（X 款）条款》及保单 </w:t>
      </w:r>
    </w:p>
    <w:p w14:paraId="25949BFC">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5130D562">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保险人：（盖章）</w:t>
      </w:r>
    </w:p>
    <w:p w14:paraId="5976EB57">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 xml:space="preserve">法定代表人或授权代理人：________ </w:t>
      </w:r>
    </w:p>
    <w:p w14:paraId="422F412C">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年 月 日</w:t>
      </w:r>
    </w:p>
    <w:p w14:paraId="29E4034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br w:type="page"/>
      </w:r>
    </w:p>
    <w:p w14:paraId="2B5EDA3E">
      <w:pPr>
        <w:autoSpaceDE w:val="0"/>
        <w:autoSpaceDN w:val="0"/>
        <w:adjustRightInd w:val="0"/>
        <w:spacing w:after="120" w:afterLines="50" w:line="360" w:lineRule="auto"/>
        <w:jc w:val="left"/>
        <w:rPr>
          <w:rFonts w:ascii="宋体" w:hAnsi="宋体" w:eastAsia="宋体" w:cs="宋体"/>
          <w:b/>
          <w:color w:val="auto"/>
          <w:kern w:val="0"/>
          <w:sz w:val="28"/>
          <w:szCs w:val="28"/>
        </w:rPr>
      </w:pPr>
      <w:r>
        <w:rPr>
          <w:rFonts w:hint="eastAsia" w:ascii="宋体" w:hAnsi="宋体" w:eastAsia="宋体" w:cs="宋体"/>
          <w:b/>
          <w:color w:val="auto"/>
          <w:kern w:val="0"/>
          <w:sz w:val="28"/>
          <w:szCs w:val="28"/>
        </w:rPr>
        <w:t>三、担保公司履约担保书格式</w:t>
      </w:r>
    </w:p>
    <w:p w14:paraId="70E74461">
      <w:pPr>
        <w:autoSpaceDE w:val="0"/>
        <w:autoSpaceDN w:val="0"/>
        <w:adjustRightInd w:val="0"/>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担保公司履约担保书</w:t>
      </w:r>
    </w:p>
    <w:p w14:paraId="73371E7E">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2499BF49">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color w:val="auto"/>
          <w:kern w:val="0"/>
          <w:szCs w:val="21"/>
          <w:u w:val="single"/>
        </w:rPr>
        <w:t xml:space="preserve">  （申请人的名称与地址）  </w:t>
      </w:r>
      <w:r>
        <w:rPr>
          <w:rFonts w:hint="eastAsia" w:ascii="宋体" w:hAnsi="宋体" w:eastAsia="宋体" w:cs="宋体"/>
          <w:color w:val="auto"/>
          <w:kern w:val="0"/>
          <w:szCs w:val="21"/>
        </w:rPr>
        <w:t>（下称“申请人”），已保证按拟签订的</w:t>
      </w:r>
      <w:r>
        <w:rPr>
          <w:rFonts w:hint="eastAsia"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合同（招标文件）中规定的义务履行合同。</w:t>
      </w:r>
    </w:p>
    <w:p w14:paraId="394C2292">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hint="eastAsia" w:ascii="宋体" w:hAnsi="宋体" w:eastAsia="宋体" w:cs="宋体"/>
          <w:color w:val="auto"/>
          <w:kern w:val="0"/>
          <w:szCs w:val="21"/>
          <w:u w:val="single"/>
        </w:rPr>
        <w:t xml:space="preserve">     （RMB元）</w:t>
      </w:r>
      <w:r>
        <w:rPr>
          <w:rFonts w:hint="eastAsia" w:ascii="宋体" w:hAnsi="宋体" w:eastAsia="宋体" w:cs="宋体"/>
          <w:color w:val="auto"/>
          <w:kern w:val="0"/>
          <w:szCs w:val="21"/>
        </w:rPr>
        <w:t>的无条件、</w:t>
      </w:r>
      <w:r>
        <w:rPr>
          <w:rFonts w:hint="eastAsia" w:ascii="宋体" w:hAnsi="宋体" w:eastAsia="宋体" w:cs="宋体"/>
          <w:bCs/>
          <w:color w:val="auto"/>
          <w:kern w:val="0"/>
          <w:szCs w:val="21"/>
        </w:rPr>
        <w:t>不可撤销</w:t>
      </w:r>
      <w:r>
        <w:rPr>
          <w:rFonts w:hint="eastAsia" w:ascii="宋体" w:hAnsi="宋体" w:eastAsia="宋体" w:cs="宋体"/>
          <w:color w:val="auto"/>
          <w:kern w:val="0"/>
          <w:szCs w:val="21"/>
        </w:rPr>
        <w:t>履约担保，作为申请人履行上述合同的担保，</w:t>
      </w:r>
      <w:r>
        <w:rPr>
          <w:rFonts w:hint="eastAsia" w:ascii="宋体" w:hAnsi="宋体" w:eastAsia="宋体" w:cs="宋体"/>
          <w:color w:val="auto"/>
          <w:kern w:val="0"/>
          <w:szCs w:val="21"/>
          <w:lang w:eastAsia="zh-Hans"/>
        </w:rPr>
        <w:t>我方</w:t>
      </w:r>
      <w:r>
        <w:rPr>
          <w:rFonts w:hint="eastAsia" w:ascii="宋体" w:hAnsi="宋体" w:eastAsia="宋体" w:cs="宋体"/>
          <w:color w:val="auto"/>
          <w:kern w:val="0"/>
          <w:szCs w:val="21"/>
          <w:u w:val="single"/>
        </w:rPr>
        <w:t xml:space="preserve">  （担保公司名称）  </w:t>
      </w:r>
      <w:r>
        <w:rPr>
          <w:rFonts w:hint="eastAsia" w:ascii="宋体" w:hAnsi="宋体" w:eastAsia="宋体" w:cs="宋体"/>
          <w:color w:val="auto"/>
          <w:kern w:val="0"/>
          <w:szCs w:val="21"/>
        </w:rPr>
        <w:t>在</w:t>
      </w:r>
      <w:r>
        <w:rPr>
          <w:rFonts w:hint="eastAsia" w:ascii="宋体" w:hAnsi="宋体" w:eastAsia="宋体" w:cs="宋体"/>
          <w:color w:val="auto"/>
          <w:kern w:val="0"/>
          <w:szCs w:val="21"/>
          <w:lang w:eastAsia="zh-Hans"/>
        </w:rPr>
        <w:t>本合同项下的保证责任为连带责任保证</w:t>
      </w:r>
      <w:r>
        <w:rPr>
          <w:rFonts w:hint="eastAsia" w:ascii="宋体" w:hAnsi="宋体" w:eastAsia="宋体" w:cs="宋体"/>
          <w:color w:val="auto"/>
          <w:kern w:val="0"/>
          <w:szCs w:val="21"/>
        </w:rPr>
        <w:t>。</w:t>
      </w:r>
    </w:p>
    <w:p w14:paraId="38D706B8">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（担保公司名称）  </w:t>
      </w:r>
      <w:r>
        <w:rPr>
          <w:rFonts w:hint="eastAsia" w:ascii="宋体" w:hAnsi="宋体" w:eastAsia="宋体" w:cs="宋体"/>
          <w:color w:val="auto"/>
          <w:kern w:val="0"/>
          <w:szCs w:val="21"/>
        </w:rPr>
        <w:t>，受申请人的委托，无条件和不可撤销地在受益人出具本担保书原件且提出因申请人没有履行上述合同规定，在担保书限额内向受益人支付不超过人民币（大写）_________（¥_______元）的款项。</w:t>
      </w:r>
    </w:p>
    <w:p w14:paraId="2C2985DB">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14:paraId="5000E133">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本保函应自合同签订之日起至合同期限届满并完成全部单项项目结算后后二十八（28）日内保持有效。</w:t>
      </w:r>
    </w:p>
    <w:p w14:paraId="4CCC35AC">
      <w:pPr>
        <w:autoSpaceDE w:val="0"/>
        <w:autoSpaceDN w:val="0"/>
        <w:adjustRightInd w:val="0"/>
        <w:spacing w:line="360" w:lineRule="auto"/>
        <w:jc w:val="left"/>
        <w:rPr>
          <w:rFonts w:ascii="宋体" w:hAnsi="宋体" w:eastAsia="宋体" w:cs="宋体"/>
          <w:color w:val="auto"/>
          <w:kern w:val="0"/>
          <w:szCs w:val="21"/>
        </w:rPr>
      </w:pPr>
    </w:p>
    <w:p w14:paraId="5133E0A6">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法定代表人或其授权的代理人：（签字或盖私章）</w:t>
      </w:r>
    </w:p>
    <w:p w14:paraId="4E3E1FFD">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担保公司盖章：</w:t>
      </w:r>
    </w:p>
    <w:p w14:paraId="405E0507">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联系电话：</w:t>
      </w:r>
    </w:p>
    <w:p w14:paraId="71F3A865">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地址：</w:t>
      </w:r>
    </w:p>
    <w:p w14:paraId="2B901624">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51AE28D6">
      <w:pPr>
        <w:autoSpaceDE w:val="0"/>
        <w:autoSpaceDN w:val="0"/>
        <w:adjustRightInd w:val="0"/>
        <w:spacing w:line="360" w:lineRule="auto"/>
        <w:jc w:val="left"/>
        <w:rPr>
          <w:rFonts w:ascii="宋体" w:hAnsi="宋体" w:eastAsia="宋体" w:cs="宋体"/>
          <w:color w:val="auto"/>
          <w:kern w:val="0"/>
          <w:szCs w:val="21"/>
        </w:rPr>
      </w:pPr>
    </w:p>
    <w:p w14:paraId="216177B4">
      <w:pPr>
        <w:autoSpaceDE w:val="0"/>
        <w:autoSpaceDN w:val="0"/>
        <w:adjustRightInd w:val="0"/>
        <w:spacing w:line="360" w:lineRule="auto"/>
        <w:ind w:right="368" w:rightChars="175"/>
        <w:jc w:val="left"/>
        <w:rPr>
          <w:rFonts w:ascii="宋体" w:hAnsi="宋体" w:eastAsia="宋体" w:cs="宋体"/>
          <w:color w:val="auto"/>
          <w:kern w:val="0"/>
          <w:szCs w:val="21"/>
        </w:rPr>
      </w:pPr>
    </w:p>
    <w:p w14:paraId="333A05B0">
      <w:pPr>
        <w:autoSpaceDE w:val="0"/>
        <w:autoSpaceDN w:val="0"/>
        <w:adjustRightInd w:val="0"/>
        <w:spacing w:line="360" w:lineRule="auto"/>
        <w:jc w:val="left"/>
        <w:rPr>
          <w:rFonts w:ascii="宋体" w:hAnsi="宋体" w:eastAsia="宋体" w:cs="宋体"/>
          <w:color w:val="auto"/>
          <w:kern w:val="0"/>
          <w:szCs w:val="21"/>
        </w:rPr>
      </w:pPr>
    </w:p>
    <w:p w14:paraId="53F90DD9">
      <w:pPr>
        <w:autoSpaceDE w:val="0"/>
        <w:autoSpaceDN w:val="0"/>
        <w:adjustRightInd w:val="0"/>
        <w:spacing w:line="360" w:lineRule="auto"/>
        <w:ind w:left="-210" w:firstLine="5775" w:firstLineChars="2750"/>
        <w:jc w:val="left"/>
        <w:rPr>
          <w:rFonts w:ascii="宋体" w:hAnsi="宋体" w:eastAsia="宋体" w:cs="宋体"/>
          <w:color w:val="auto"/>
          <w:kern w:val="0"/>
          <w:szCs w:val="21"/>
        </w:rPr>
      </w:pPr>
    </w:p>
    <w:p w14:paraId="149520AA">
      <w:pPr>
        <w:autoSpaceDE w:val="0"/>
        <w:autoSpaceDN w:val="0"/>
        <w:adjustRightInd w:val="0"/>
        <w:spacing w:line="360" w:lineRule="auto"/>
        <w:ind w:left="-210" w:firstLine="5775" w:firstLineChars="2750"/>
        <w:jc w:val="left"/>
        <w:rPr>
          <w:rFonts w:ascii="宋体" w:hAnsi="宋体" w:eastAsia="宋体" w:cs="宋体"/>
          <w:color w:val="auto"/>
          <w:kern w:val="0"/>
          <w:szCs w:val="21"/>
        </w:rPr>
      </w:pPr>
    </w:p>
    <w:p w14:paraId="3812E3A3">
      <w:pPr>
        <w:widowControl/>
        <w:jc w:val="left"/>
        <w:rPr>
          <w:rFonts w:ascii="宋体" w:hAnsi="宋体" w:eastAsia="宋体" w:cs="宋体"/>
          <w:color w:val="auto"/>
          <w:szCs w:val="24"/>
          <w:lang w:val="zh-CN"/>
        </w:rPr>
      </w:pPr>
    </w:p>
    <w:p w14:paraId="47B3C1CD">
      <w:pPr>
        <w:pageBreakBefore/>
        <w:tabs>
          <w:tab w:val="left" w:pos="1080"/>
        </w:tabs>
        <w:autoSpaceDE w:val="0"/>
        <w:autoSpaceDN w:val="0"/>
        <w:adjustRightInd w:val="0"/>
        <w:spacing w:line="360" w:lineRule="auto"/>
        <w:ind w:left="657" w:leftChars="-100" w:hanging="867"/>
        <w:jc w:val="center"/>
        <w:outlineLvl w:val="0"/>
        <w:rPr>
          <w:rFonts w:ascii="宋体" w:hAnsi="宋体" w:eastAsia="宋体" w:cs="宋体"/>
          <w:b/>
          <w:bCs/>
          <w:color w:val="auto"/>
          <w:kern w:val="44"/>
          <w:sz w:val="32"/>
          <w:szCs w:val="32"/>
          <w:lang w:val="zh-CN"/>
        </w:rPr>
      </w:pPr>
      <w:bookmarkStart w:id="389" w:name="_Toc450662895"/>
      <w:bookmarkStart w:id="390" w:name="_Toc32761_WPSOffice_Level1"/>
      <w:bookmarkStart w:id="391" w:name="_Toc142508361"/>
      <w:bookmarkStart w:id="392" w:name="_Toc18489"/>
      <w:bookmarkStart w:id="393" w:name="_Toc9840"/>
      <w:bookmarkStart w:id="394" w:name="_Toc486167708"/>
      <w:bookmarkStart w:id="395" w:name="_Toc15817"/>
      <w:r>
        <w:rPr>
          <w:rFonts w:hint="eastAsia" w:ascii="宋体" w:hAnsi="宋体" w:eastAsia="宋体" w:cs="宋体"/>
          <w:b/>
          <w:bCs/>
          <w:color w:val="auto"/>
          <w:kern w:val="44"/>
          <w:sz w:val="32"/>
          <w:szCs w:val="32"/>
          <w:lang w:val="zh-CN"/>
        </w:rPr>
        <w:t>第六篇 投标文件格式</w:t>
      </w:r>
      <w:bookmarkEnd w:id="389"/>
      <w:bookmarkEnd w:id="390"/>
      <w:bookmarkEnd w:id="391"/>
      <w:bookmarkEnd w:id="392"/>
      <w:bookmarkEnd w:id="393"/>
      <w:bookmarkEnd w:id="394"/>
      <w:bookmarkEnd w:id="395"/>
    </w:p>
    <w:p w14:paraId="561EAA4A">
      <w:pPr>
        <w:ind w:left="657" w:hanging="867"/>
        <w:rPr>
          <w:rFonts w:ascii="宋体" w:hAnsi="宋体" w:eastAsia="宋体" w:cs="宋体"/>
          <w:color w:val="auto"/>
          <w:sz w:val="84"/>
        </w:rPr>
      </w:pPr>
      <w:bookmarkStart w:id="396" w:name="_Toc104991868"/>
      <w:bookmarkStart w:id="397" w:name="_Toc102860067"/>
      <w:bookmarkStart w:id="398" w:name="_Toc486167709"/>
      <w:bookmarkStart w:id="399" w:name="_Toc21133_WPSOffice_Level2"/>
      <w:bookmarkStart w:id="400" w:name="_Toc140596921"/>
      <w:bookmarkStart w:id="401" w:name="_Toc533708121"/>
      <w:bookmarkStart w:id="402" w:name="_Toc142508362"/>
      <w:bookmarkStart w:id="403" w:name="_Toc102860411"/>
      <w:bookmarkStart w:id="404" w:name="_Toc94107202"/>
      <w:bookmarkStart w:id="405" w:name="_Toc1977721"/>
      <w:r>
        <w:rPr>
          <w:rFonts w:hint="eastAsia" w:ascii="宋体" w:hAnsi="宋体" w:eastAsia="宋体" w:cs="宋体"/>
          <w:b/>
          <w:color w:val="auto"/>
          <w:kern w:val="0"/>
          <w:sz w:val="32"/>
          <w:szCs w:val="32"/>
        </w:rPr>
        <w:br w:type="page"/>
      </w:r>
    </w:p>
    <w:p w14:paraId="7177CA65">
      <w:pPr>
        <w:pStyle w:val="20"/>
        <w:rPr>
          <w:color w:val="auto"/>
          <w:sz w:val="84"/>
        </w:rPr>
      </w:pPr>
    </w:p>
    <w:p w14:paraId="1B9C8C04">
      <w:pPr>
        <w:pStyle w:val="20"/>
        <w:rPr>
          <w:color w:val="auto"/>
          <w:sz w:val="84"/>
        </w:rPr>
      </w:pPr>
    </w:p>
    <w:p w14:paraId="5FB42ABA">
      <w:pPr>
        <w:pStyle w:val="20"/>
        <w:rPr>
          <w:color w:val="auto"/>
          <w:sz w:val="84"/>
        </w:rPr>
      </w:pPr>
      <w:r>
        <w:rPr>
          <w:rFonts w:hint="eastAsia"/>
          <w:color w:val="auto"/>
          <w:sz w:val="84"/>
        </w:rPr>
        <w:t>投 标 文 件</w:t>
      </w:r>
    </w:p>
    <w:p w14:paraId="1DD80108">
      <w:pPr>
        <w:pStyle w:val="20"/>
        <w:rPr>
          <w:color w:val="auto"/>
        </w:rPr>
      </w:pPr>
    </w:p>
    <w:p w14:paraId="02AC531F">
      <w:pPr>
        <w:pStyle w:val="20"/>
        <w:rPr>
          <w:color w:val="auto"/>
        </w:rPr>
      </w:pPr>
    </w:p>
    <w:p w14:paraId="27FD7D1E">
      <w:pPr>
        <w:pStyle w:val="20"/>
        <w:rPr>
          <w:color w:val="auto"/>
        </w:rPr>
      </w:pPr>
    </w:p>
    <w:p w14:paraId="42B5ABDC">
      <w:pPr>
        <w:pStyle w:val="20"/>
        <w:rPr>
          <w:color w:val="auto"/>
        </w:rPr>
      </w:pPr>
    </w:p>
    <w:p w14:paraId="4E8EFE19">
      <w:pPr>
        <w:pStyle w:val="20"/>
        <w:rPr>
          <w:color w:val="auto"/>
        </w:rPr>
      </w:pPr>
    </w:p>
    <w:p w14:paraId="5EB6E37D">
      <w:pPr>
        <w:pStyle w:val="20"/>
        <w:ind w:left="567" w:leftChars="270" w:firstLine="1875" w:firstLineChars="625"/>
        <w:jc w:val="both"/>
        <w:rPr>
          <w:b w:val="0"/>
          <w:color w:val="auto"/>
          <w:sz w:val="30"/>
        </w:rPr>
      </w:pPr>
      <w:r>
        <w:rPr>
          <w:rFonts w:hint="eastAsia"/>
          <w:b w:val="0"/>
          <w:color w:val="auto"/>
          <w:sz w:val="30"/>
        </w:rPr>
        <w:t>招标编号：</w:t>
      </w:r>
      <w:r>
        <w:rPr>
          <w:rFonts w:hint="eastAsia"/>
          <w:b w:val="0"/>
          <w:color w:val="auto"/>
          <w:sz w:val="30"/>
          <w:u w:val="single"/>
        </w:rPr>
        <w:t xml:space="preserve">                      </w:t>
      </w:r>
    </w:p>
    <w:p w14:paraId="29422D85">
      <w:pPr>
        <w:pStyle w:val="20"/>
        <w:ind w:left="567" w:leftChars="270" w:firstLine="1875" w:firstLineChars="625"/>
        <w:jc w:val="both"/>
        <w:rPr>
          <w:b w:val="0"/>
          <w:color w:val="auto"/>
          <w:sz w:val="30"/>
          <w:u w:val="single"/>
        </w:rPr>
      </w:pPr>
      <w:r>
        <w:rPr>
          <w:rFonts w:hint="eastAsia"/>
          <w:b w:val="0"/>
          <w:color w:val="auto"/>
          <w:sz w:val="30"/>
        </w:rPr>
        <w:t>项目名称：</w:t>
      </w:r>
      <w:r>
        <w:rPr>
          <w:rFonts w:hint="eastAsia"/>
          <w:b w:val="0"/>
          <w:color w:val="auto"/>
          <w:sz w:val="30"/>
          <w:u w:val="single"/>
        </w:rPr>
        <w:t xml:space="preserve">                 </w:t>
      </w:r>
      <w:r>
        <w:rPr>
          <w:rFonts w:hint="eastAsia"/>
          <w:b w:val="0"/>
          <w:color w:val="auto"/>
          <w:sz w:val="30"/>
          <w:szCs w:val="30"/>
          <w:u w:val="single"/>
        </w:rPr>
        <w:t xml:space="preserve">  </w:t>
      </w:r>
      <w:r>
        <w:rPr>
          <w:rFonts w:hint="eastAsia"/>
          <w:b w:val="0"/>
          <w:color w:val="auto"/>
          <w:kern w:val="0"/>
          <w:sz w:val="30"/>
          <w:szCs w:val="30"/>
          <w:u w:val="single"/>
        </w:rPr>
        <w:t xml:space="preserve">（  包） </w:t>
      </w:r>
      <w:r>
        <w:rPr>
          <w:rFonts w:hint="eastAsia"/>
          <w:b w:val="0"/>
          <w:color w:val="auto"/>
          <w:sz w:val="30"/>
          <w:szCs w:val="30"/>
          <w:u w:val="single"/>
        </w:rPr>
        <w:t xml:space="preserve">  </w:t>
      </w:r>
    </w:p>
    <w:p w14:paraId="6AD90B80">
      <w:pPr>
        <w:pStyle w:val="20"/>
        <w:ind w:left="567" w:leftChars="270" w:firstLine="1875" w:firstLineChars="625"/>
        <w:jc w:val="both"/>
        <w:rPr>
          <w:b w:val="0"/>
          <w:color w:val="auto"/>
          <w:sz w:val="30"/>
          <w:u w:val="single"/>
        </w:rPr>
      </w:pPr>
      <w:r>
        <w:rPr>
          <w:rFonts w:hint="eastAsia"/>
          <w:b w:val="0"/>
          <w:color w:val="auto"/>
          <w:sz w:val="30"/>
        </w:rPr>
        <w:t>投标文件内容：</w:t>
      </w:r>
      <w:r>
        <w:rPr>
          <w:rFonts w:hint="eastAsia"/>
          <w:b w:val="0"/>
          <w:color w:val="auto"/>
          <w:sz w:val="30"/>
          <w:u w:val="single"/>
        </w:rPr>
        <w:t xml:space="preserve"> 投标文件商务部分 </w:t>
      </w:r>
    </w:p>
    <w:p w14:paraId="239B1295">
      <w:pPr>
        <w:pStyle w:val="20"/>
        <w:ind w:left="567" w:leftChars="270" w:firstLine="1875" w:firstLineChars="625"/>
        <w:jc w:val="both"/>
        <w:rPr>
          <w:b w:val="0"/>
          <w:color w:val="auto"/>
          <w:sz w:val="30"/>
        </w:rPr>
      </w:pPr>
      <w:r>
        <w:rPr>
          <w:rFonts w:hint="eastAsia"/>
          <w:b w:val="0"/>
          <w:color w:val="auto"/>
          <w:sz w:val="30"/>
        </w:rPr>
        <w:t>招标人：</w:t>
      </w:r>
      <w:r>
        <w:rPr>
          <w:rFonts w:hint="eastAsia"/>
          <w:b w:val="0"/>
          <w:color w:val="auto"/>
          <w:sz w:val="30"/>
          <w:u w:val="single"/>
        </w:rPr>
        <w:t xml:space="preserve">                        </w:t>
      </w:r>
    </w:p>
    <w:p w14:paraId="0F2492F5">
      <w:pPr>
        <w:pStyle w:val="20"/>
        <w:ind w:left="567" w:leftChars="270" w:firstLine="1875" w:firstLineChars="625"/>
        <w:jc w:val="both"/>
        <w:rPr>
          <w:b w:val="0"/>
          <w:color w:val="auto"/>
          <w:sz w:val="30"/>
          <w:u w:val="single"/>
        </w:rPr>
      </w:pPr>
      <w:r>
        <w:rPr>
          <w:rFonts w:hint="eastAsia"/>
          <w:b w:val="0"/>
          <w:color w:val="auto"/>
          <w:sz w:val="30"/>
        </w:rPr>
        <w:t>投标人：</w:t>
      </w:r>
      <w:r>
        <w:rPr>
          <w:rFonts w:hint="eastAsia"/>
          <w:b w:val="0"/>
          <w:color w:val="auto"/>
          <w:sz w:val="30"/>
          <w:u w:val="single"/>
        </w:rPr>
        <w:t xml:space="preserve">                        </w:t>
      </w:r>
    </w:p>
    <w:p w14:paraId="092676A8">
      <w:pPr>
        <w:pStyle w:val="20"/>
        <w:ind w:left="567" w:leftChars="270" w:firstLine="1875" w:firstLineChars="625"/>
        <w:jc w:val="both"/>
        <w:rPr>
          <w:b w:val="0"/>
          <w:color w:val="auto"/>
        </w:rPr>
      </w:pPr>
      <w:r>
        <w:rPr>
          <w:rFonts w:hint="eastAsia"/>
          <w:b w:val="0"/>
          <w:color w:val="auto"/>
          <w:sz w:val="30"/>
        </w:rPr>
        <w:t>日  期：</w:t>
      </w:r>
      <w:r>
        <w:rPr>
          <w:rFonts w:hint="eastAsia"/>
          <w:b w:val="0"/>
          <w:color w:val="auto"/>
          <w:sz w:val="30"/>
          <w:u w:val="single"/>
        </w:rPr>
        <w:t xml:space="preserve">     </w:t>
      </w:r>
      <w:r>
        <w:rPr>
          <w:rFonts w:hint="eastAsia"/>
          <w:b w:val="0"/>
          <w:color w:val="auto"/>
          <w:sz w:val="30"/>
        </w:rPr>
        <w:t>年</w:t>
      </w:r>
      <w:r>
        <w:rPr>
          <w:rFonts w:hint="eastAsia"/>
          <w:b w:val="0"/>
          <w:color w:val="auto"/>
          <w:sz w:val="30"/>
          <w:u w:val="single"/>
        </w:rPr>
        <w:t xml:space="preserve">    </w:t>
      </w:r>
      <w:r>
        <w:rPr>
          <w:rFonts w:hint="eastAsia"/>
          <w:b w:val="0"/>
          <w:color w:val="auto"/>
          <w:sz w:val="30"/>
        </w:rPr>
        <w:t>月</w:t>
      </w:r>
      <w:r>
        <w:rPr>
          <w:rFonts w:hint="eastAsia"/>
          <w:b w:val="0"/>
          <w:color w:val="auto"/>
          <w:sz w:val="30"/>
          <w:u w:val="single"/>
        </w:rPr>
        <w:t xml:space="preserve">    </w:t>
      </w:r>
      <w:r>
        <w:rPr>
          <w:rFonts w:hint="eastAsia"/>
          <w:b w:val="0"/>
          <w:color w:val="auto"/>
          <w:sz w:val="30"/>
        </w:rPr>
        <w:t>日</w:t>
      </w:r>
    </w:p>
    <w:p w14:paraId="23A2C09B">
      <w:pPr>
        <w:pStyle w:val="20"/>
        <w:rPr>
          <w:color w:val="auto"/>
        </w:rPr>
      </w:pPr>
    </w:p>
    <w:p w14:paraId="35C3CF47">
      <w:pPr>
        <w:pStyle w:val="20"/>
        <w:rPr>
          <w:color w:val="auto"/>
        </w:rPr>
      </w:pPr>
      <w:r>
        <w:rPr>
          <w:rFonts w:hint="eastAsia"/>
          <w:color w:val="auto"/>
        </w:rPr>
        <w:br w:type="page"/>
      </w:r>
    </w:p>
    <w:p w14:paraId="33F3AFE2">
      <w:pPr>
        <w:pStyle w:val="20"/>
        <w:rPr>
          <w:color w:val="auto"/>
        </w:rPr>
      </w:pPr>
      <w:r>
        <w:rPr>
          <w:rFonts w:hint="eastAsia"/>
          <w:color w:val="auto"/>
        </w:rPr>
        <w:t>投标文件商务评审部分索引表</w:t>
      </w:r>
    </w:p>
    <w:tbl>
      <w:tblPr>
        <w:tblStyle w:val="37"/>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81"/>
        <w:gridCol w:w="2773"/>
        <w:gridCol w:w="2157"/>
        <w:gridCol w:w="4059"/>
      </w:tblGrid>
      <w:tr w14:paraId="47CAD5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6" w:type="pct"/>
            <w:vAlign w:val="center"/>
          </w:tcPr>
          <w:p w14:paraId="26AF49D2">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2DAFB32A">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0" w:type="pct"/>
            <w:vAlign w:val="center"/>
          </w:tcPr>
          <w:p w14:paraId="48791CBD">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7" w:type="pct"/>
            <w:tcBorders>
              <w:left w:val="single" w:color="auto" w:sz="4" w:space="0"/>
            </w:tcBorders>
            <w:vAlign w:val="center"/>
          </w:tcPr>
          <w:p w14:paraId="69504743">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226F09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6" w:type="pct"/>
            <w:vAlign w:val="center"/>
          </w:tcPr>
          <w:p w14:paraId="4B7D6685">
            <w:pPr>
              <w:adjustRightInd w:val="0"/>
              <w:snapToGrid w:val="0"/>
              <w:spacing w:line="360" w:lineRule="auto"/>
              <w:jc w:val="center"/>
              <w:rPr>
                <w:rFonts w:ascii="宋体" w:hAnsi="宋体" w:eastAsia="宋体" w:cs="宋体"/>
                <w:bCs/>
                <w:color w:val="auto"/>
                <w:szCs w:val="21"/>
              </w:rPr>
            </w:pPr>
          </w:p>
        </w:tc>
        <w:tc>
          <w:tcPr>
            <w:tcW w:w="1337" w:type="pct"/>
            <w:vAlign w:val="center"/>
          </w:tcPr>
          <w:p w14:paraId="24D2E777">
            <w:pPr>
              <w:adjustRightInd w:val="0"/>
              <w:snapToGrid w:val="0"/>
              <w:spacing w:line="360" w:lineRule="auto"/>
              <w:jc w:val="center"/>
              <w:rPr>
                <w:rFonts w:ascii="宋体" w:hAnsi="宋体" w:eastAsia="宋体" w:cs="宋体"/>
                <w:bCs/>
                <w:color w:val="auto"/>
                <w:szCs w:val="21"/>
              </w:rPr>
            </w:pPr>
          </w:p>
        </w:tc>
        <w:tc>
          <w:tcPr>
            <w:tcW w:w="1040" w:type="pct"/>
            <w:vAlign w:val="center"/>
          </w:tcPr>
          <w:p w14:paraId="4A069054">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tcBorders>
            <w:vAlign w:val="center"/>
          </w:tcPr>
          <w:p w14:paraId="78DBC705">
            <w:pPr>
              <w:adjustRightInd w:val="0"/>
              <w:snapToGrid w:val="0"/>
              <w:spacing w:line="360" w:lineRule="auto"/>
              <w:rPr>
                <w:rFonts w:ascii="宋体" w:hAnsi="宋体" w:eastAsia="宋体" w:cs="宋体"/>
                <w:bCs/>
                <w:color w:val="auto"/>
                <w:szCs w:val="21"/>
              </w:rPr>
            </w:pPr>
          </w:p>
        </w:tc>
      </w:tr>
      <w:tr w14:paraId="49B166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6" w:type="pct"/>
            <w:vAlign w:val="center"/>
          </w:tcPr>
          <w:p w14:paraId="18C193AB">
            <w:pPr>
              <w:rPr>
                <w:rFonts w:ascii="宋体" w:hAnsi="宋体" w:eastAsia="宋体" w:cs="宋体"/>
                <w:bCs/>
                <w:color w:val="auto"/>
                <w:szCs w:val="21"/>
              </w:rPr>
            </w:pPr>
          </w:p>
        </w:tc>
        <w:tc>
          <w:tcPr>
            <w:tcW w:w="1337" w:type="pct"/>
            <w:vAlign w:val="center"/>
          </w:tcPr>
          <w:p w14:paraId="554AD74B">
            <w:pPr>
              <w:rPr>
                <w:rFonts w:ascii="宋体" w:hAnsi="宋体" w:eastAsia="宋体" w:cs="宋体"/>
                <w:bCs/>
                <w:color w:val="auto"/>
                <w:szCs w:val="21"/>
              </w:rPr>
            </w:pPr>
          </w:p>
        </w:tc>
        <w:tc>
          <w:tcPr>
            <w:tcW w:w="1040" w:type="pct"/>
            <w:vAlign w:val="center"/>
          </w:tcPr>
          <w:p w14:paraId="33323FB9">
            <w:pPr>
              <w:rPr>
                <w:rFonts w:ascii="宋体" w:hAnsi="宋体" w:eastAsia="宋体" w:cs="宋体"/>
                <w:bCs/>
                <w:color w:val="auto"/>
                <w:szCs w:val="21"/>
              </w:rPr>
            </w:pPr>
          </w:p>
        </w:tc>
        <w:tc>
          <w:tcPr>
            <w:tcW w:w="1957" w:type="pct"/>
            <w:tcBorders>
              <w:left w:val="single" w:color="auto" w:sz="4" w:space="0"/>
            </w:tcBorders>
            <w:vAlign w:val="center"/>
          </w:tcPr>
          <w:p w14:paraId="29C37021">
            <w:pPr>
              <w:adjustRightInd w:val="0"/>
              <w:snapToGrid w:val="0"/>
              <w:spacing w:line="360" w:lineRule="auto"/>
              <w:rPr>
                <w:rFonts w:ascii="宋体" w:hAnsi="宋体" w:eastAsia="宋体" w:cs="宋体"/>
                <w:bCs/>
                <w:color w:val="auto"/>
                <w:szCs w:val="21"/>
              </w:rPr>
            </w:pPr>
          </w:p>
        </w:tc>
      </w:tr>
      <w:tr w14:paraId="78A803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2029" w:hRule="atLeast"/>
          <w:jc w:val="center"/>
        </w:trPr>
        <w:tc>
          <w:tcPr>
            <w:tcW w:w="666" w:type="pct"/>
            <w:vAlign w:val="center"/>
          </w:tcPr>
          <w:p w14:paraId="35AC6AEF">
            <w:pPr>
              <w:adjustRightInd w:val="0"/>
              <w:snapToGrid w:val="0"/>
              <w:spacing w:line="360" w:lineRule="auto"/>
              <w:jc w:val="center"/>
              <w:rPr>
                <w:rFonts w:ascii="宋体" w:hAnsi="宋体" w:eastAsia="宋体" w:cs="宋体"/>
                <w:bCs/>
                <w:color w:val="auto"/>
                <w:szCs w:val="21"/>
              </w:rPr>
            </w:pPr>
          </w:p>
        </w:tc>
        <w:tc>
          <w:tcPr>
            <w:tcW w:w="1337" w:type="pct"/>
            <w:vAlign w:val="center"/>
          </w:tcPr>
          <w:p w14:paraId="328F29D1">
            <w:pPr>
              <w:adjustRightInd w:val="0"/>
              <w:snapToGrid w:val="0"/>
              <w:spacing w:line="360" w:lineRule="auto"/>
              <w:rPr>
                <w:rFonts w:ascii="宋体" w:hAnsi="宋体" w:eastAsia="宋体" w:cs="宋体"/>
                <w:bCs/>
                <w:color w:val="auto"/>
                <w:szCs w:val="21"/>
              </w:rPr>
            </w:pPr>
          </w:p>
        </w:tc>
        <w:tc>
          <w:tcPr>
            <w:tcW w:w="1040" w:type="pct"/>
            <w:vAlign w:val="center"/>
          </w:tcPr>
          <w:p w14:paraId="39440C58">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tcBorders>
            <w:vAlign w:val="center"/>
          </w:tcPr>
          <w:p w14:paraId="029A6882">
            <w:pPr>
              <w:spacing w:line="360" w:lineRule="auto"/>
              <w:rPr>
                <w:rFonts w:ascii="宋体" w:hAnsi="宋体" w:eastAsia="宋体" w:cs="宋体"/>
                <w:bCs/>
                <w:color w:val="auto"/>
                <w:szCs w:val="21"/>
              </w:rPr>
            </w:pPr>
          </w:p>
        </w:tc>
      </w:tr>
      <w:tr w14:paraId="7B995D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6" w:type="pct"/>
            <w:tcBorders>
              <w:top w:val="single" w:color="auto" w:sz="6" w:space="0"/>
              <w:left w:val="single" w:color="auto" w:sz="4" w:space="0"/>
              <w:bottom w:val="outset" w:color="808080" w:sz="6" w:space="0"/>
              <w:right w:val="single" w:color="auto" w:sz="6" w:space="0"/>
            </w:tcBorders>
            <w:vAlign w:val="center"/>
          </w:tcPr>
          <w:p w14:paraId="60903377">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17134EF3">
            <w:pPr>
              <w:adjustRightInd w:val="0"/>
              <w:snapToGrid w:val="0"/>
              <w:spacing w:line="360" w:lineRule="auto"/>
              <w:rPr>
                <w:rFonts w:ascii="宋体" w:hAnsi="宋体" w:eastAsia="宋体" w:cs="宋体"/>
                <w:bCs/>
                <w:color w:val="auto"/>
                <w:szCs w:val="21"/>
              </w:rPr>
            </w:pPr>
          </w:p>
        </w:tc>
        <w:tc>
          <w:tcPr>
            <w:tcW w:w="1040" w:type="pct"/>
            <w:tcBorders>
              <w:top w:val="single" w:color="auto" w:sz="6" w:space="0"/>
              <w:left w:val="single" w:color="auto" w:sz="6" w:space="0"/>
              <w:bottom w:val="outset" w:color="808080" w:sz="6" w:space="0"/>
              <w:right w:val="single" w:color="auto" w:sz="6" w:space="0"/>
            </w:tcBorders>
            <w:vAlign w:val="center"/>
          </w:tcPr>
          <w:p w14:paraId="5AC87746">
            <w:pPr>
              <w:adjustRightInd w:val="0"/>
              <w:snapToGrid w:val="0"/>
              <w:spacing w:line="360" w:lineRule="auto"/>
              <w:jc w:val="center"/>
              <w:rPr>
                <w:rFonts w:ascii="宋体" w:hAnsi="宋体" w:eastAsia="宋体" w:cs="宋体"/>
                <w:bCs/>
                <w:color w:val="auto"/>
                <w:szCs w:val="21"/>
              </w:rPr>
            </w:pPr>
          </w:p>
        </w:tc>
        <w:tc>
          <w:tcPr>
            <w:tcW w:w="1957" w:type="pct"/>
            <w:tcBorders>
              <w:top w:val="single" w:color="auto" w:sz="6" w:space="0"/>
              <w:left w:val="single" w:color="auto" w:sz="4" w:space="0"/>
              <w:bottom w:val="outset" w:color="808080" w:sz="6" w:space="0"/>
              <w:right w:val="single" w:color="auto" w:sz="6" w:space="0"/>
            </w:tcBorders>
            <w:vAlign w:val="center"/>
          </w:tcPr>
          <w:p w14:paraId="57949EB5">
            <w:pPr>
              <w:adjustRightInd w:val="0"/>
              <w:snapToGrid w:val="0"/>
              <w:spacing w:line="360" w:lineRule="auto"/>
              <w:rPr>
                <w:rFonts w:ascii="宋体" w:hAnsi="宋体" w:eastAsia="宋体" w:cs="宋体"/>
                <w:bCs/>
                <w:color w:val="auto"/>
                <w:szCs w:val="21"/>
              </w:rPr>
            </w:pPr>
          </w:p>
        </w:tc>
      </w:tr>
      <w:tr w14:paraId="5DCDD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3" w:type="pct"/>
            <w:gridSpan w:val="2"/>
            <w:tcBorders>
              <w:bottom w:val="single" w:color="auto" w:sz="4" w:space="0"/>
            </w:tcBorders>
            <w:vAlign w:val="center"/>
          </w:tcPr>
          <w:p w14:paraId="459BFFE6">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0" w:type="pct"/>
            <w:tcBorders>
              <w:bottom w:val="single" w:color="auto" w:sz="4" w:space="0"/>
            </w:tcBorders>
            <w:vAlign w:val="center"/>
          </w:tcPr>
          <w:p w14:paraId="0CB500AF">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bottom w:val="single" w:color="auto" w:sz="4" w:space="0"/>
            </w:tcBorders>
            <w:vAlign w:val="center"/>
          </w:tcPr>
          <w:p w14:paraId="16E80328">
            <w:pPr>
              <w:spacing w:line="360" w:lineRule="auto"/>
              <w:jc w:val="center"/>
              <w:rPr>
                <w:rFonts w:ascii="宋体" w:hAnsi="宋体" w:eastAsia="宋体" w:cs="宋体"/>
                <w:bCs/>
                <w:color w:val="auto"/>
                <w:szCs w:val="21"/>
              </w:rPr>
            </w:pPr>
          </w:p>
        </w:tc>
      </w:tr>
    </w:tbl>
    <w:p w14:paraId="3CC74AD4">
      <w:pPr>
        <w:ind w:left="657" w:hanging="867"/>
        <w:rPr>
          <w:rFonts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448E70AC">
      <w:pPr>
        <w:tabs>
          <w:tab w:val="left" w:pos="567"/>
        </w:tabs>
        <w:autoSpaceDE w:val="0"/>
        <w:autoSpaceDN w:val="0"/>
        <w:adjustRightInd w:val="0"/>
        <w:spacing w:line="360" w:lineRule="auto"/>
        <w:ind w:left="657" w:leftChars="-100" w:hanging="867"/>
        <w:jc w:val="left"/>
        <w:outlineLvl w:val="2"/>
        <w:rPr>
          <w:rFonts w:ascii="宋体" w:hAnsi="宋体" w:eastAsia="宋体" w:cs="宋体"/>
          <w:b/>
          <w:color w:val="auto"/>
          <w:kern w:val="0"/>
          <w:sz w:val="32"/>
          <w:szCs w:val="32"/>
        </w:rPr>
      </w:pPr>
      <w:bookmarkStart w:id="406" w:name="_Toc23782"/>
      <w:bookmarkStart w:id="407" w:name="_Toc27679"/>
      <w:bookmarkStart w:id="408" w:name="_Toc13281"/>
      <w:bookmarkStart w:id="409" w:name="_Toc19038"/>
      <w:r>
        <w:rPr>
          <w:rFonts w:hint="eastAsia" w:ascii="宋体" w:hAnsi="宋体" w:eastAsia="宋体" w:cs="宋体"/>
          <w:b/>
          <w:color w:val="auto"/>
          <w:kern w:val="0"/>
          <w:sz w:val="32"/>
          <w:szCs w:val="32"/>
        </w:rPr>
        <w:t>一、投标函格式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27853F2B">
      <w:pPr>
        <w:spacing w:line="360" w:lineRule="auto"/>
        <w:jc w:val="center"/>
        <w:rPr>
          <w:rFonts w:ascii="宋体" w:hAnsi="宋体" w:eastAsia="宋体" w:cs="宋体"/>
          <w:b/>
          <w:bCs/>
          <w:color w:val="auto"/>
          <w:sz w:val="30"/>
          <w:szCs w:val="30"/>
        </w:rPr>
      </w:pPr>
      <w:bookmarkStart w:id="410" w:name="_Toc16695_WPSOffice_Level3"/>
      <w:r>
        <w:rPr>
          <w:rFonts w:hint="eastAsia" w:ascii="宋体" w:hAnsi="宋体" w:eastAsia="宋体" w:cs="宋体"/>
          <w:b/>
          <w:bCs/>
          <w:color w:val="auto"/>
          <w:sz w:val="30"/>
          <w:szCs w:val="30"/>
          <w:lang w:val="zh-CN"/>
        </w:rPr>
        <w:t>投 标 函</w:t>
      </w:r>
      <w:bookmarkEnd w:id="410"/>
      <w:r>
        <w:rPr>
          <w:rFonts w:hint="eastAsia" w:ascii="宋体" w:hAnsi="宋体" w:eastAsia="宋体" w:cs="宋体"/>
          <w:b/>
          <w:bCs/>
          <w:color w:val="auto"/>
          <w:kern w:val="0"/>
          <w:sz w:val="30"/>
          <w:szCs w:val="30"/>
          <w:u w:val="single"/>
          <w:lang w:val="zh-CN"/>
        </w:rPr>
        <w:t>（  包）</w:t>
      </w:r>
    </w:p>
    <w:p w14:paraId="3DD50F71">
      <w:pPr>
        <w:autoSpaceDE w:val="0"/>
        <w:autoSpaceDN w:val="0"/>
        <w:adjustRightInd w:val="0"/>
        <w:spacing w:line="360" w:lineRule="auto"/>
        <w:ind w:left="603" w:hanging="813"/>
        <w:jc w:val="center"/>
        <w:rPr>
          <w:rFonts w:ascii="宋体" w:hAnsi="宋体" w:eastAsia="宋体" w:cs="宋体"/>
          <w:b/>
          <w:bCs/>
          <w:color w:val="auto"/>
          <w:sz w:val="30"/>
          <w:szCs w:val="30"/>
        </w:rPr>
      </w:pPr>
    </w:p>
    <w:p w14:paraId="31BE2C15">
      <w:pPr>
        <w:autoSpaceDE w:val="0"/>
        <w:autoSpaceDN w:val="0"/>
        <w:adjustRightInd w:val="0"/>
        <w:spacing w:line="360" w:lineRule="auto"/>
        <w:rPr>
          <w:rFonts w:ascii="宋体" w:hAnsi="宋体" w:eastAsia="宋体" w:cs="宋体"/>
          <w:color w:val="auto"/>
          <w:szCs w:val="21"/>
          <w:lang w:val="zh-CN"/>
        </w:rPr>
      </w:pPr>
    </w:p>
    <w:p w14:paraId="67ADE6C9">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致：</w:t>
      </w:r>
      <w:r>
        <w:rPr>
          <w:rFonts w:hint="eastAsia" w:ascii="宋体" w:hAnsi="宋体" w:eastAsia="宋体" w:cs="宋体"/>
          <w:color w:val="auto"/>
          <w:kern w:val="0"/>
          <w:szCs w:val="21"/>
          <w:u w:val="single"/>
        </w:rPr>
        <w:t>东莞市水务集团管网有限公司</w:t>
      </w:r>
    </w:p>
    <w:p w14:paraId="157B9FF6">
      <w:pPr>
        <w:autoSpaceDE w:val="0"/>
        <w:autoSpaceDN w:val="0"/>
        <w:adjustRightInd w:val="0"/>
        <w:spacing w:line="360" w:lineRule="auto"/>
        <w:rPr>
          <w:rFonts w:ascii="宋体" w:hAnsi="宋体" w:eastAsia="宋体" w:cs="宋体"/>
          <w:color w:val="auto"/>
          <w:szCs w:val="21"/>
        </w:rPr>
      </w:pPr>
    </w:p>
    <w:p w14:paraId="42B46C45">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根据贵方为</w:t>
      </w:r>
      <w:r>
        <w:rPr>
          <w:rFonts w:hint="eastAsia" w:ascii="宋体" w:hAnsi="宋体" w:eastAsia="宋体" w:cs="宋体"/>
          <w:color w:val="auto"/>
          <w:kern w:val="0"/>
          <w:szCs w:val="21"/>
          <w:u w:val="single"/>
        </w:rPr>
        <w:t>东莞市水务集团管网有限公司2025年度机电设备维修定点服务单位采购项目</w:t>
      </w:r>
      <w:r>
        <w:rPr>
          <w:rFonts w:hint="eastAsia" w:ascii="宋体" w:hAnsi="宋体" w:eastAsia="宋体" w:cs="宋体"/>
          <w:color w:val="auto"/>
          <w:kern w:val="0"/>
          <w:szCs w:val="21"/>
          <w:u w:val="single"/>
          <w:lang w:val="zh-CN"/>
        </w:rPr>
        <w:t>（    包）</w:t>
      </w:r>
      <w:r>
        <w:rPr>
          <w:rFonts w:hint="eastAsia" w:ascii="宋体" w:hAnsi="宋体" w:eastAsia="宋体" w:cs="宋体"/>
          <w:color w:val="auto"/>
          <w:szCs w:val="21"/>
          <w:lang w:val="zh-CN"/>
        </w:rPr>
        <w:t>(招标编号：</w:t>
      </w:r>
      <w:r>
        <w:rPr>
          <w:rFonts w:hint="eastAsia" w:ascii="宋体" w:hAnsi="宋体" w:eastAsia="宋体" w:cs="宋体"/>
          <w:color w:val="auto"/>
          <w:kern w:val="0"/>
          <w:szCs w:val="21"/>
          <w:u w:val="single"/>
          <w:lang w:val="zh-CN"/>
        </w:rPr>
        <w:t>广建咨询（东招）2024-0131号)</w:t>
      </w:r>
      <w:r>
        <w:rPr>
          <w:rFonts w:hint="eastAsia" w:ascii="宋体" w:hAnsi="宋体" w:eastAsia="宋体" w:cs="宋体"/>
          <w:color w:val="auto"/>
          <w:szCs w:val="21"/>
          <w:lang w:val="zh-CN"/>
        </w:rPr>
        <w:t>的投标邀请，我方（投标人名称）作为投标人正式授权</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授权代表全名，职务）代表我方进行有关本次投标的一切事宜。</w:t>
      </w:r>
    </w:p>
    <w:p w14:paraId="1EAA6CFC">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在此提交的投标文件，包括如下等内容，并已单独密封封装：</w:t>
      </w:r>
    </w:p>
    <w:p w14:paraId="0B23B1D4">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（—）唱标信封【</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份】（含投标文件电子文件）；</w:t>
      </w:r>
    </w:p>
    <w:p w14:paraId="7369C0EB">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（二）投标文件【正本</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份，副本</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w:t>
      </w:r>
    </w:p>
    <w:p w14:paraId="3B1AEC56">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我方已完全明白招标文件的所有条款要求，并重申以下几点：</w:t>
      </w:r>
    </w:p>
    <w:p w14:paraId="12E9678D">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（—）我方决定参加招标编号为</w:t>
      </w:r>
      <w:r>
        <w:rPr>
          <w:rFonts w:hint="eastAsia" w:ascii="宋体" w:hAnsi="宋体" w:eastAsia="宋体" w:cs="宋体"/>
          <w:color w:val="auto"/>
          <w:kern w:val="0"/>
          <w:szCs w:val="21"/>
          <w:u w:val="single"/>
          <w:lang w:val="zh-CN"/>
        </w:rPr>
        <w:t>广建咨询（东招）2024-0131号</w:t>
      </w:r>
      <w:r>
        <w:rPr>
          <w:rFonts w:hint="eastAsia" w:ascii="宋体" w:hAnsi="宋体" w:eastAsia="宋体" w:cs="宋体"/>
          <w:color w:val="auto"/>
          <w:szCs w:val="21"/>
          <w:lang w:val="zh-CN"/>
        </w:rPr>
        <w:t>的投标；</w:t>
      </w:r>
    </w:p>
    <w:p w14:paraId="1F364A91">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（二）本投标文件的有效期自递交投标文件截止时间届满后90日有效，如中标，有效期将延至合同终止日为止；</w:t>
      </w:r>
    </w:p>
    <w:p w14:paraId="00D754F3">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（三）我方已详细研究了招标文件的所有内容包括修正文（如有）和所有已提供的参考资料以及有关附件并完全明白，我方放弃在此方面提出含糊意见或误解的一切权力；</w:t>
      </w:r>
    </w:p>
    <w:p w14:paraId="5FE2B190">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（四）我方明白并愿意在规定的递交投标文件截止时间和日期之后，投标有效期之内撤回投标，则不予退还我方投标保证金；</w:t>
      </w:r>
    </w:p>
    <w:p w14:paraId="16C2BF80">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（五）我方同意按照贵方可能提出的要求而提供与投标有关的任何其它数据或信息；</w:t>
      </w:r>
    </w:p>
    <w:p w14:paraId="48395CCE">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（六）我方理解贵方不一定接受最低报价或任何贵方可能收到的报价；</w:t>
      </w:r>
    </w:p>
    <w:p w14:paraId="5BAA135D">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（七）我方如果中标，将保证履行招标文件以及招标文件修改书（如有）中的全部责任和义务，按质、按量、按期完成《合同书》中的全部任务；</w:t>
      </w:r>
    </w:p>
    <w:p w14:paraId="26B5D065">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280884F7">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69E1BC23">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（十）若我方中标后，核查出投标文件内容前后不一致，我方愿按最高标准的承诺履约义务；</w:t>
      </w:r>
    </w:p>
    <w:p w14:paraId="13FB84B3">
      <w:pPr>
        <w:autoSpaceDE w:val="0"/>
        <w:autoSpaceDN w:val="0"/>
        <w:adjustRightInd w:val="0"/>
        <w:spacing w:line="360" w:lineRule="auto"/>
        <w:ind w:left="-210"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（十一）所有与本投标有关的函件请发往下列地址：</w:t>
      </w:r>
    </w:p>
    <w:p w14:paraId="331E95C7">
      <w:pPr>
        <w:autoSpaceDE w:val="0"/>
        <w:autoSpaceDN w:val="0"/>
        <w:adjustRightInd w:val="0"/>
        <w:spacing w:line="360" w:lineRule="auto"/>
        <w:ind w:left="395" w:leftChars="-12" w:hanging="420" w:hangingChars="200"/>
        <w:rPr>
          <w:rFonts w:ascii="宋体" w:hAnsi="宋体" w:eastAsia="宋体" w:cs="宋体"/>
          <w:color w:val="auto"/>
          <w:szCs w:val="21"/>
          <w:u w:val="single"/>
          <w:lang w:val="zh-CN"/>
        </w:rPr>
      </w:pPr>
    </w:p>
    <w:p w14:paraId="3764C976">
      <w:pPr>
        <w:autoSpaceDE w:val="0"/>
        <w:autoSpaceDN w:val="0"/>
        <w:adjustRightInd w:val="0"/>
        <w:spacing w:line="360" w:lineRule="auto"/>
        <w:ind w:left="-210"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地  　址：</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邮政编码：</w:t>
      </w:r>
      <w:r>
        <w:rPr>
          <w:rFonts w:hint="eastAsia" w:ascii="宋体" w:hAnsi="宋体" w:eastAsia="宋体" w:cs="宋体"/>
          <w:color w:val="auto"/>
          <w:szCs w:val="21"/>
          <w:u w:val="single"/>
          <w:lang w:val="zh-CN"/>
        </w:rPr>
        <w:t xml:space="preserve">　　　　　　　　　　 </w:t>
      </w:r>
    </w:p>
    <w:p w14:paraId="3091895D">
      <w:pPr>
        <w:autoSpaceDE w:val="0"/>
        <w:autoSpaceDN w:val="0"/>
        <w:adjustRightInd w:val="0"/>
        <w:spacing w:line="360" w:lineRule="auto"/>
        <w:ind w:left="-21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代表姓名：</w:t>
      </w:r>
      <w:r>
        <w:rPr>
          <w:rFonts w:hint="eastAsia" w:ascii="宋体" w:hAnsi="宋体" w:eastAsia="宋体" w:cs="宋体"/>
          <w:color w:val="auto"/>
          <w:szCs w:val="21"/>
          <w:u w:val="single"/>
          <w:lang w:val="zh-CN"/>
        </w:rPr>
        <w:t>　　　　　　　　　　　</w:t>
      </w:r>
    </w:p>
    <w:p w14:paraId="5A4F71ED">
      <w:pPr>
        <w:autoSpaceDE w:val="0"/>
        <w:autoSpaceDN w:val="0"/>
        <w:adjustRightInd w:val="0"/>
        <w:spacing w:line="360" w:lineRule="auto"/>
        <w:ind w:left="-210"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传　　真：</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 xml:space="preserve">        职　　务：</w:t>
      </w:r>
      <w:r>
        <w:rPr>
          <w:rFonts w:hint="eastAsia" w:ascii="宋体" w:hAnsi="宋体" w:eastAsia="宋体" w:cs="宋体"/>
          <w:color w:val="auto"/>
          <w:szCs w:val="21"/>
          <w:u w:val="single"/>
          <w:lang w:val="zh-CN"/>
        </w:rPr>
        <w:t xml:space="preserve">　　　　　　　　　　 </w:t>
      </w:r>
    </w:p>
    <w:p w14:paraId="34D27354">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ab/>
      </w:r>
      <w:r>
        <w:rPr>
          <w:rFonts w:hint="eastAsia" w:ascii="宋体" w:hAnsi="宋体" w:eastAsia="宋体" w:cs="宋体"/>
          <w:color w:val="auto"/>
          <w:szCs w:val="21"/>
        </w:rPr>
        <w:t>电子邮箱：</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p>
    <w:p w14:paraId="089F3C61">
      <w:pPr>
        <w:autoSpaceDE w:val="0"/>
        <w:autoSpaceDN w:val="0"/>
        <w:adjustRightInd w:val="0"/>
        <w:spacing w:line="360" w:lineRule="auto"/>
        <w:ind w:left="-210" w:firstLine="4960" w:firstLineChars="2362"/>
        <w:rPr>
          <w:rFonts w:ascii="宋体" w:hAnsi="宋体" w:eastAsia="宋体" w:cs="宋体"/>
          <w:color w:val="auto"/>
          <w:szCs w:val="21"/>
          <w:lang w:val="zh-CN"/>
        </w:rPr>
      </w:pPr>
    </w:p>
    <w:p w14:paraId="5FDC0710">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1707E900">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258265F7">
      <w:pPr>
        <w:autoSpaceDE w:val="0"/>
        <w:autoSpaceDN w:val="0"/>
        <w:adjustRightInd w:val="0"/>
        <w:spacing w:line="360" w:lineRule="auto"/>
        <w:ind w:left="-210" w:firstLine="4960" w:firstLineChars="2362"/>
        <w:rPr>
          <w:rFonts w:ascii="宋体" w:hAnsi="宋体" w:eastAsia="宋体" w:cs="宋体"/>
          <w:color w:val="auto"/>
          <w:sz w:val="24"/>
          <w:szCs w:val="24"/>
          <w:lang w:val="zh-CN"/>
        </w:rPr>
      </w:pPr>
      <w:r>
        <w:rPr>
          <w:rFonts w:hint="eastAsia" w:ascii="宋体" w:hAnsi="宋体" w:eastAsia="宋体" w:cs="宋体"/>
          <w:color w:val="auto"/>
          <w:szCs w:val="21"/>
          <w:lang w:val="zh-CN"/>
        </w:rPr>
        <w:t>日</w:t>
      </w:r>
      <w:r>
        <w:rPr>
          <w:rFonts w:hint="eastAsia" w:ascii="宋体" w:hAnsi="宋体" w:eastAsia="宋体" w:cs="宋体"/>
          <w:color w:val="auto"/>
          <w:szCs w:val="24"/>
          <w:lang w:val="zh-CN"/>
        </w:rPr>
        <w:t>期：   年   月   日</w:t>
      </w:r>
    </w:p>
    <w:p w14:paraId="168E7AB7">
      <w:pPr>
        <w:tabs>
          <w:tab w:val="left" w:pos="567"/>
        </w:tabs>
        <w:autoSpaceDE w:val="0"/>
        <w:autoSpaceDN w:val="0"/>
        <w:adjustRightInd w:val="0"/>
        <w:spacing w:line="360" w:lineRule="auto"/>
        <w:ind w:left="438" w:leftChars="-100" w:hanging="648"/>
        <w:jc w:val="left"/>
        <w:outlineLvl w:val="2"/>
        <w:rPr>
          <w:rFonts w:ascii="宋体" w:hAnsi="宋体" w:eastAsia="宋体" w:cs="宋体"/>
          <w:b/>
          <w:color w:val="auto"/>
          <w:kern w:val="0"/>
          <w:sz w:val="32"/>
          <w:szCs w:val="32"/>
        </w:rPr>
      </w:pPr>
      <w:r>
        <w:rPr>
          <w:rFonts w:hint="eastAsia" w:ascii="宋体" w:hAnsi="宋体" w:eastAsia="宋体" w:cs="宋体"/>
          <w:color w:val="auto"/>
          <w:kern w:val="0"/>
          <w:sz w:val="24"/>
          <w:szCs w:val="24"/>
        </w:rPr>
        <w:br w:type="page"/>
      </w:r>
      <w:bookmarkStart w:id="411" w:name="_Toc94107203"/>
      <w:bookmarkStart w:id="412" w:name="_Toc533708122"/>
      <w:bookmarkStart w:id="413" w:name="_Toc30995"/>
      <w:bookmarkStart w:id="414" w:name="_Toc140596922"/>
      <w:bookmarkStart w:id="415" w:name="_Toc486167710"/>
      <w:bookmarkStart w:id="416" w:name="_Toc102860412"/>
      <w:bookmarkStart w:id="417" w:name="_Toc142508363"/>
      <w:bookmarkStart w:id="418" w:name="_Toc12417"/>
      <w:bookmarkStart w:id="419" w:name="_Toc102860068"/>
      <w:bookmarkStart w:id="420" w:name="_Toc20980"/>
      <w:bookmarkStart w:id="421" w:name="_Toc1977722"/>
      <w:bookmarkStart w:id="422" w:name="_Toc104991869"/>
      <w:bookmarkStart w:id="423" w:name="_Toc28613_WPSOffice_Level2"/>
      <w:bookmarkStart w:id="424" w:name="_Toc3104"/>
      <w:r>
        <w:rPr>
          <w:rFonts w:hint="eastAsia" w:ascii="宋体" w:hAnsi="宋体" w:eastAsia="宋体" w:cs="宋体"/>
          <w:b/>
          <w:color w:val="auto"/>
          <w:kern w:val="0"/>
          <w:sz w:val="32"/>
          <w:szCs w:val="32"/>
        </w:rPr>
        <w:t>二、投标承诺书格式</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73068AFB">
      <w:pPr>
        <w:spacing w:line="360" w:lineRule="auto"/>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投标承诺书（</w:t>
      </w:r>
      <w:r>
        <w:rPr>
          <w:rFonts w:hint="eastAsia" w:ascii="宋体" w:hAnsi="宋体" w:eastAsia="宋体" w:cs="宋体"/>
          <w:b/>
          <w:bCs/>
          <w:color w:val="auto"/>
          <w:sz w:val="30"/>
          <w:szCs w:val="30"/>
          <w:u w:val="single"/>
          <w:lang w:val="zh-CN"/>
        </w:rPr>
        <w:t xml:space="preserve">  </w:t>
      </w:r>
      <w:r>
        <w:rPr>
          <w:rFonts w:hint="eastAsia" w:ascii="宋体" w:hAnsi="宋体" w:eastAsia="宋体" w:cs="宋体"/>
          <w:b/>
          <w:bCs/>
          <w:color w:val="auto"/>
          <w:sz w:val="30"/>
          <w:szCs w:val="30"/>
          <w:lang w:val="zh-CN"/>
        </w:rPr>
        <w:t>包）</w:t>
      </w:r>
    </w:p>
    <w:p w14:paraId="5D0EAA7B">
      <w:pPr>
        <w:widowControl/>
        <w:autoSpaceDE w:val="0"/>
        <w:autoSpaceDN w:val="0"/>
        <w:adjustRightInd w:val="0"/>
        <w:spacing w:line="360" w:lineRule="auto"/>
        <w:ind w:left="-210" w:firstLine="420" w:firstLineChars="200"/>
        <w:jc w:val="left"/>
        <w:rPr>
          <w:rFonts w:ascii="宋体" w:hAnsi="宋体" w:eastAsia="宋体" w:cs="宋体"/>
          <w:color w:val="auto"/>
          <w:kern w:val="0"/>
          <w:szCs w:val="21"/>
        </w:rPr>
      </w:pPr>
    </w:p>
    <w:p w14:paraId="16AF0EB9">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（投标人名称）已完整阅读了</w:t>
      </w:r>
      <w:r>
        <w:rPr>
          <w:rFonts w:hint="eastAsia" w:ascii="宋体" w:hAnsi="宋体" w:eastAsia="宋体" w:cs="宋体"/>
          <w:color w:val="auto"/>
          <w:kern w:val="0"/>
          <w:szCs w:val="21"/>
          <w:u w:val="single"/>
        </w:rPr>
        <w:t>东莞市水务集团管网有限公司2025年度机电设备维修定点服务单位采购项目（招标编号：广建咨询（东招）2024-0131号）</w:t>
      </w:r>
      <w:r>
        <w:rPr>
          <w:rFonts w:hint="eastAsia" w:ascii="宋体" w:hAnsi="宋体" w:eastAsia="宋体" w:cs="宋体"/>
          <w:color w:val="auto"/>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rPr>
        <w:cr/>
      </w:r>
      <w:r>
        <w:rPr>
          <w:rFonts w:hint="eastAsia" w:ascii="宋体" w:hAnsi="宋体" w:eastAsia="宋体" w:cs="宋体"/>
          <w:color w:val="auto"/>
          <w:kern w:val="0"/>
          <w:szCs w:val="21"/>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54D4811C">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7769E7F5">
      <w:pPr>
        <w:autoSpaceDE w:val="0"/>
        <w:autoSpaceDN w:val="0"/>
        <w:adjustRightInd w:val="0"/>
        <w:spacing w:line="360" w:lineRule="auto"/>
        <w:ind w:left="-210" w:firstLine="420" w:firstLineChars="200"/>
        <w:jc w:val="left"/>
        <w:rPr>
          <w:rFonts w:ascii="宋体" w:hAnsi="宋体" w:eastAsia="宋体" w:cs="宋体"/>
          <w:color w:val="auto"/>
          <w:kern w:val="0"/>
          <w:szCs w:val="21"/>
        </w:rPr>
      </w:pPr>
    </w:p>
    <w:p w14:paraId="34F4AB93">
      <w:pPr>
        <w:autoSpaceDE w:val="0"/>
        <w:autoSpaceDN w:val="0"/>
        <w:adjustRightInd w:val="0"/>
        <w:spacing w:line="360" w:lineRule="auto"/>
        <w:ind w:left="438" w:hanging="648"/>
        <w:jc w:val="left"/>
        <w:rPr>
          <w:rFonts w:ascii="宋体" w:hAnsi="宋体" w:eastAsia="宋体" w:cs="宋体"/>
          <w:color w:val="auto"/>
          <w:kern w:val="0"/>
          <w:sz w:val="24"/>
          <w:szCs w:val="24"/>
        </w:rPr>
      </w:pPr>
    </w:p>
    <w:p w14:paraId="2966ECC3">
      <w:pPr>
        <w:autoSpaceDE w:val="0"/>
        <w:autoSpaceDN w:val="0"/>
        <w:adjustRightInd w:val="0"/>
        <w:spacing w:line="360" w:lineRule="auto"/>
        <w:ind w:left="438" w:hanging="648"/>
        <w:jc w:val="left"/>
        <w:rPr>
          <w:rFonts w:ascii="宋体" w:hAnsi="宋体" w:eastAsia="宋体" w:cs="宋体"/>
          <w:color w:val="auto"/>
          <w:kern w:val="0"/>
          <w:sz w:val="24"/>
          <w:szCs w:val="24"/>
        </w:rPr>
      </w:pPr>
    </w:p>
    <w:p w14:paraId="6C95BDD1">
      <w:pPr>
        <w:autoSpaceDE w:val="0"/>
        <w:autoSpaceDN w:val="0"/>
        <w:adjustRightInd w:val="0"/>
        <w:spacing w:line="360" w:lineRule="auto"/>
        <w:ind w:firstLine="5041"/>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479FF7FB">
      <w:pPr>
        <w:autoSpaceDE w:val="0"/>
        <w:autoSpaceDN w:val="0"/>
        <w:adjustRightInd w:val="0"/>
        <w:spacing w:line="360" w:lineRule="auto"/>
        <w:ind w:firstLine="5041"/>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5EF9382A">
      <w:pPr>
        <w:autoSpaceDE w:val="0"/>
        <w:autoSpaceDN w:val="0"/>
        <w:adjustRightInd w:val="0"/>
        <w:spacing w:line="360" w:lineRule="auto"/>
        <w:ind w:firstLine="5041"/>
        <w:rPr>
          <w:rFonts w:ascii="宋体" w:hAnsi="宋体" w:eastAsia="宋体" w:cs="宋体"/>
          <w:color w:val="auto"/>
          <w:sz w:val="24"/>
          <w:szCs w:val="24"/>
          <w:lang w:val="zh-CN"/>
        </w:rPr>
      </w:pPr>
      <w:r>
        <w:rPr>
          <w:rFonts w:hint="eastAsia" w:ascii="宋体" w:hAnsi="宋体" w:eastAsia="宋体" w:cs="宋体"/>
          <w:color w:val="auto"/>
          <w:szCs w:val="24"/>
          <w:lang w:val="zh-CN"/>
        </w:rPr>
        <w:t>日期：   年   月   日</w:t>
      </w:r>
    </w:p>
    <w:p w14:paraId="19EC9740">
      <w:pPr>
        <w:autoSpaceDE w:val="0"/>
        <w:autoSpaceDN w:val="0"/>
        <w:adjustRightInd w:val="0"/>
        <w:spacing w:line="360" w:lineRule="auto"/>
        <w:ind w:left="-210" w:firstLine="480" w:firstLineChars="200"/>
        <w:jc w:val="left"/>
        <w:rPr>
          <w:rFonts w:ascii="宋体" w:hAnsi="宋体" w:eastAsia="宋体" w:cs="宋体"/>
          <w:color w:val="auto"/>
          <w:kern w:val="0"/>
          <w:sz w:val="24"/>
          <w:szCs w:val="24"/>
        </w:rPr>
      </w:pPr>
    </w:p>
    <w:p w14:paraId="24732C9F">
      <w:pPr>
        <w:autoSpaceDE w:val="0"/>
        <w:autoSpaceDN w:val="0"/>
        <w:adjustRightInd w:val="0"/>
        <w:spacing w:line="360" w:lineRule="auto"/>
        <w:ind w:left="438" w:hanging="648"/>
        <w:jc w:val="left"/>
        <w:rPr>
          <w:rFonts w:ascii="宋体" w:hAnsi="宋体" w:eastAsia="宋体" w:cs="宋体"/>
          <w:color w:val="auto"/>
          <w:kern w:val="0"/>
          <w:sz w:val="24"/>
          <w:szCs w:val="24"/>
        </w:rPr>
      </w:pPr>
    </w:p>
    <w:p w14:paraId="71839657">
      <w:pPr>
        <w:autoSpaceDE w:val="0"/>
        <w:autoSpaceDN w:val="0"/>
        <w:adjustRightInd w:val="0"/>
        <w:spacing w:line="360" w:lineRule="auto"/>
        <w:ind w:left="438" w:hanging="648"/>
        <w:jc w:val="left"/>
        <w:rPr>
          <w:rFonts w:ascii="宋体" w:hAnsi="宋体" w:eastAsia="宋体" w:cs="宋体"/>
          <w:color w:val="auto"/>
          <w:kern w:val="0"/>
          <w:sz w:val="24"/>
          <w:szCs w:val="24"/>
        </w:rPr>
      </w:pPr>
      <w:bookmarkStart w:id="425" w:name="_Toc326768876"/>
      <w:bookmarkStart w:id="426" w:name="_Toc316896755"/>
      <w:bookmarkStart w:id="427" w:name="_Toc311032584"/>
    </w:p>
    <w:p w14:paraId="602B8BDA">
      <w:pPr>
        <w:pageBreakBefore/>
        <w:autoSpaceDE w:val="0"/>
        <w:autoSpaceDN w:val="0"/>
        <w:adjustRightInd w:val="0"/>
        <w:spacing w:line="360" w:lineRule="auto"/>
        <w:ind w:left="657" w:hanging="867"/>
        <w:jc w:val="left"/>
        <w:outlineLvl w:val="2"/>
        <w:rPr>
          <w:rFonts w:ascii="宋体" w:hAnsi="宋体" w:eastAsia="宋体" w:cs="宋体"/>
          <w:b/>
          <w:color w:val="auto"/>
          <w:kern w:val="44"/>
          <w:sz w:val="32"/>
          <w:szCs w:val="32"/>
        </w:rPr>
      </w:pPr>
      <w:bookmarkStart w:id="428" w:name="_Toc142508364"/>
      <w:bookmarkStart w:id="429" w:name="_Toc5075"/>
      <w:bookmarkStart w:id="430" w:name="_Toc24336"/>
      <w:bookmarkStart w:id="431" w:name="_Toc86764083"/>
      <w:bookmarkStart w:id="432" w:name="_Toc102860069"/>
      <w:bookmarkStart w:id="433" w:name="_Toc82182546"/>
      <w:bookmarkStart w:id="434" w:name="_Toc3798"/>
      <w:bookmarkStart w:id="435" w:name="_Toc94107204"/>
      <w:bookmarkStart w:id="436" w:name="_Toc140596923"/>
      <w:bookmarkStart w:id="437" w:name="_Toc29910"/>
      <w:bookmarkStart w:id="438" w:name="_Toc104991870"/>
      <w:bookmarkStart w:id="439" w:name="_Toc102860413"/>
      <w:bookmarkStart w:id="440" w:name="_Toc7024_WPSOffice_Level2"/>
      <w:bookmarkStart w:id="441" w:name="_Toc486167711"/>
      <w:bookmarkStart w:id="442" w:name="_Toc1977723"/>
      <w:bookmarkStart w:id="443" w:name="_Toc533708123"/>
      <w:r>
        <w:rPr>
          <w:rFonts w:hint="eastAsia" w:ascii="宋体" w:hAnsi="宋体" w:eastAsia="宋体" w:cs="宋体"/>
          <w:b/>
          <w:color w:val="auto"/>
          <w:kern w:val="44"/>
          <w:sz w:val="32"/>
          <w:szCs w:val="32"/>
        </w:rPr>
        <w:t>三、供货及/或提供服务过程承诺函格式</w:t>
      </w:r>
      <w:bookmarkEnd w:id="428"/>
      <w:bookmarkEnd w:id="429"/>
      <w:bookmarkEnd w:id="430"/>
      <w:bookmarkEnd w:id="431"/>
      <w:bookmarkEnd w:id="432"/>
      <w:bookmarkEnd w:id="433"/>
      <w:bookmarkEnd w:id="434"/>
      <w:bookmarkEnd w:id="435"/>
      <w:bookmarkEnd w:id="436"/>
      <w:bookmarkEnd w:id="437"/>
      <w:bookmarkEnd w:id="438"/>
      <w:bookmarkEnd w:id="439"/>
    </w:p>
    <w:p w14:paraId="01A11AF7">
      <w:pPr>
        <w:autoSpaceDE w:val="0"/>
        <w:autoSpaceDN w:val="0"/>
        <w:adjustRightInd w:val="0"/>
        <w:spacing w:line="360" w:lineRule="auto"/>
        <w:ind w:left="603" w:hanging="813"/>
        <w:jc w:val="center"/>
        <w:rPr>
          <w:rFonts w:ascii="宋体" w:hAnsi="宋体" w:eastAsia="宋体" w:cs="宋体"/>
          <w:b/>
          <w:color w:val="auto"/>
          <w:kern w:val="44"/>
          <w:sz w:val="30"/>
          <w:szCs w:val="30"/>
        </w:rPr>
      </w:pPr>
      <w:r>
        <w:rPr>
          <w:rFonts w:hint="eastAsia" w:ascii="宋体" w:hAnsi="宋体" w:eastAsia="宋体" w:cs="宋体"/>
          <w:b/>
          <w:color w:val="auto"/>
          <w:kern w:val="44"/>
          <w:sz w:val="30"/>
          <w:szCs w:val="30"/>
        </w:rPr>
        <w:t>供货及/或提供服务过程承诺函（  包）</w:t>
      </w:r>
    </w:p>
    <w:p w14:paraId="1C94375F">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致东莞市水务集团管网有限公司：</w:t>
      </w:r>
    </w:p>
    <w:p w14:paraId="7D1CEF7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（投标人名称）为招标人公开招标的</w:t>
      </w:r>
      <w:r>
        <w:rPr>
          <w:rFonts w:hint="eastAsia" w:ascii="宋体" w:hAnsi="宋体" w:eastAsia="宋体" w:cs="宋体"/>
          <w:color w:val="auto"/>
          <w:kern w:val="0"/>
          <w:szCs w:val="21"/>
          <w:u w:val="single"/>
        </w:rPr>
        <w:t>东莞市水务集团管网有限公司2025年度机电设备维修定点服务单位采购项目（  包）(招标编号：</w:t>
      </w:r>
      <w:r>
        <w:rPr>
          <w:rFonts w:hint="eastAsia" w:ascii="宋体" w:hAnsi="宋体" w:eastAsia="宋体" w:cs="宋体"/>
          <w:color w:val="auto"/>
          <w:kern w:val="0"/>
          <w:szCs w:val="21"/>
          <w:u w:val="single"/>
          <w:lang w:val="zh-CN"/>
        </w:rPr>
        <w:t>广建咨询（东招）2024-0131号</w:t>
      </w:r>
      <w:r>
        <w:rPr>
          <w:rFonts w:hint="eastAsia" w:ascii="宋体" w:hAnsi="宋体" w:eastAsia="宋体" w:cs="宋体"/>
          <w:color w:val="auto"/>
          <w:kern w:val="0"/>
          <w:szCs w:val="21"/>
          <w:u w:val="single"/>
        </w:rPr>
        <w:t>)</w:t>
      </w:r>
      <w:r>
        <w:rPr>
          <w:rFonts w:hint="eastAsia" w:ascii="宋体" w:hAnsi="宋体" w:eastAsia="宋体" w:cs="宋体"/>
          <w:color w:val="auto"/>
          <w:kern w:val="0"/>
          <w:szCs w:val="21"/>
        </w:rPr>
        <w:t>的投标单位，为确保供货及/或提供服务过程中的人身、财产安全，我方承诺，如我方获得中标资格，将严格按照下列要求开展工作。</w:t>
      </w:r>
    </w:p>
    <w:p w14:paraId="5A1C415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1、我方承诺将严格遵守国家、地方政府有关安全生产及劳动保护的法律法规、标准、规定，贯彻执行招标人的各项安全管理规章制度。</w:t>
      </w:r>
    </w:p>
    <w:p w14:paraId="0902E42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2、我方承诺将依法参加工伤保险，为安排至招标人从事本项目的工作人员缴纳保险费，并为从事危险作业的人员办理意外伤害保险。</w:t>
      </w:r>
    </w:p>
    <w:p w14:paraId="4EF734D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CB3B87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5B846D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9831E3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62A277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6A3844F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8、我方车辆在招标人场所行驶时，将严格遵守厂区道路限行，限速和限重要求，如因我方未遵守前述要求，对厂区/招标人（含其人员）、我方人员、第三方造成损失的，由我方承担赔偿责任。</w:t>
      </w:r>
    </w:p>
    <w:p w14:paraId="0BBA779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B89EC9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10、因我方原因，造成我方损失，由我方自负，给招标人造成财产损失和人员伤害，我方承担全部责任，并全额赔偿招标人。</w:t>
      </w:r>
    </w:p>
    <w:p w14:paraId="45461A7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11、非因招标人原因，造成我方损失的，招标人无需承担任何责任，由我方自行承担全部责任。</w:t>
      </w:r>
    </w:p>
    <w:p w14:paraId="2D716D1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12、我方承诺严格遵守法律法规以及招标人的安全管理要求，并接受招标人的安全生产工作协调和监督，积极消除安全隐患。安全管理的基本要求包括但不限于以下条款：</w:t>
      </w:r>
    </w:p>
    <w:p w14:paraId="7372F7D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①禁火区内严禁吸烟、动火。有火灾危险的作业区域，我方承诺配置足够的灭火设施。</w:t>
      </w:r>
    </w:p>
    <w:p w14:paraId="1C9B40A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②我方承诺焊接、气割作业时两瓶距离必须达到5M及以上，气瓶距可能产生火花的电器、设备和其它火源的间距必须达到10M及以上。</w:t>
      </w:r>
    </w:p>
    <w:p w14:paraId="0B0B69F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③我方承诺不在厂内道路、消防通道内搭建临时建筑或堆放物资。</w:t>
      </w:r>
    </w:p>
    <w:p w14:paraId="4FEDA7F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④我方承诺电动工具、电焊机等均具有漏电保护器和相应的安全防护装置。</w:t>
      </w:r>
    </w:p>
    <w:p w14:paraId="6B506F4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⑤我方承诺用电设施符合要求，杜绝电线乱接、乱拉，刀闸和开关无盖，在电器设施上堆放物品等行为。</w:t>
      </w:r>
    </w:p>
    <w:p w14:paraId="07CA403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⑥我方承诺防雷、防静电设施及用电设施有良好接地。</w:t>
      </w:r>
    </w:p>
    <w:p w14:paraId="750DC7F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CBCDD4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13、我方承诺接受招标人的检查与监督，并主动配合，做好安全工作，凡有违反上述条款的即视为我方违约，招标人有权视情况从货物/服务价款中扣除（1000-2000）元/次作为违约金。</w:t>
      </w:r>
    </w:p>
    <w:p w14:paraId="64815CD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51D33D21">
      <w:pPr>
        <w:autoSpaceDE w:val="0"/>
        <w:autoSpaceDN w:val="0"/>
        <w:adjustRightInd w:val="0"/>
        <w:spacing w:line="360" w:lineRule="auto"/>
        <w:ind w:hanging="567"/>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2FDD0E74">
      <w:pPr>
        <w:autoSpaceDE w:val="0"/>
        <w:autoSpaceDN w:val="0"/>
        <w:adjustRightInd w:val="0"/>
        <w:spacing w:line="360" w:lineRule="auto"/>
        <w:ind w:firstLine="5041"/>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4E804E75">
      <w:pPr>
        <w:autoSpaceDE w:val="0"/>
        <w:autoSpaceDN w:val="0"/>
        <w:adjustRightInd w:val="0"/>
        <w:spacing w:line="360" w:lineRule="auto"/>
        <w:ind w:firstLine="5041"/>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2B4EC1EF">
      <w:pPr>
        <w:autoSpaceDE w:val="0"/>
        <w:autoSpaceDN w:val="0"/>
        <w:adjustRightInd w:val="0"/>
        <w:spacing w:line="360" w:lineRule="auto"/>
        <w:ind w:firstLine="5041"/>
        <w:rPr>
          <w:rFonts w:ascii="宋体" w:hAnsi="宋体" w:eastAsia="宋体" w:cs="宋体"/>
          <w:color w:val="auto"/>
          <w:szCs w:val="24"/>
          <w:lang w:val="zh-CN"/>
        </w:rPr>
      </w:pPr>
      <w:r>
        <w:rPr>
          <w:rFonts w:hint="eastAsia" w:ascii="宋体" w:hAnsi="宋体" w:eastAsia="宋体" w:cs="宋体"/>
          <w:color w:val="auto"/>
          <w:szCs w:val="24"/>
          <w:lang w:val="zh-CN"/>
        </w:rPr>
        <w:t>日期：   年   月   日</w:t>
      </w:r>
      <w:bookmarkStart w:id="444" w:name="_Toc142924349"/>
      <w:bookmarkStart w:id="445" w:name="_Toc94107205"/>
      <w:bookmarkStart w:id="446" w:name="_Toc103006863"/>
      <w:bookmarkStart w:id="447" w:name="_Toc86764084"/>
      <w:bookmarkStart w:id="448" w:name="_Toc108707272"/>
      <w:bookmarkStart w:id="449" w:name="_Toc4188"/>
      <w:bookmarkStart w:id="450" w:name="_Toc82182547"/>
    </w:p>
    <w:bookmarkEnd w:id="444"/>
    <w:bookmarkEnd w:id="445"/>
    <w:bookmarkEnd w:id="446"/>
    <w:bookmarkEnd w:id="447"/>
    <w:bookmarkEnd w:id="448"/>
    <w:bookmarkEnd w:id="449"/>
    <w:bookmarkEnd w:id="450"/>
    <w:p w14:paraId="0772C917">
      <w:pPr>
        <w:autoSpaceDE w:val="0"/>
        <w:autoSpaceDN w:val="0"/>
        <w:adjustRightInd w:val="0"/>
        <w:spacing w:line="360" w:lineRule="auto"/>
        <w:ind w:left="-210" w:right="420" w:firstLine="7710" w:firstLineChars="2400"/>
        <w:jc w:val="left"/>
        <w:rPr>
          <w:rFonts w:ascii="宋体" w:hAnsi="宋体" w:eastAsia="宋体" w:cs="宋体"/>
          <w:color w:val="auto"/>
          <w:kern w:val="0"/>
          <w:sz w:val="24"/>
          <w:szCs w:val="24"/>
        </w:rPr>
      </w:pPr>
      <w:r>
        <w:rPr>
          <w:rFonts w:hint="eastAsia" w:ascii="宋体" w:hAnsi="宋体" w:eastAsia="宋体" w:cs="宋体"/>
          <w:b/>
          <w:color w:val="auto"/>
          <w:sz w:val="32"/>
          <w:szCs w:val="32"/>
        </w:rPr>
        <w:br w:type="page"/>
      </w:r>
    </w:p>
    <w:p w14:paraId="599933F9">
      <w:pPr>
        <w:pageBreakBefore/>
        <w:autoSpaceDE w:val="0"/>
        <w:autoSpaceDN w:val="0"/>
        <w:adjustRightInd w:val="0"/>
        <w:spacing w:line="360" w:lineRule="auto"/>
        <w:ind w:left="657" w:hanging="867"/>
        <w:jc w:val="left"/>
        <w:outlineLvl w:val="2"/>
        <w:rPr>
          <w:rFonts w:ascii="宋体" w:hAnsi="宋体" w:eastAsia="宋体" w:cs="宋体"/>
          <w:b/>
          <w:color w:val="auto"/>
          <w:kern w:val="0"/>
          <w:sz w:val="32"/>
          <w:szCs w:val="32"/>
        </w:rPr>
      </w:pPr>
      <w:bookmarkStart w:id="451" w:name="_Toc1140"/>
      <w:bookmarkStart w:id="452" w:name="_Toc102860071"/>
      <w:bookmarkStart w:id="453" w:name="_Toc142508366"/>
      <w:bookmarkStart w:id="454" w:name="_Toc13416"/>
      <w:bookmarkStart w:id="455" w:name="_Toc102860415"/>
      <w:bookmarkStart w:id="456" w:name="_Toc104991872"/>
      <w:bookmarkStart w:id="457" w:name="_Toc94107206"/>
      <w:bookmarkStart w:id="458" w:name="_Toc27469"/>
      <w:bookmarkStart w:id="459" w:name="_Toc140596925"/>
      <w:bookmarkStart w:id="460" w:name="_Toc18346"/>
      <w:r>
        <w:rPr>
          <w:rFonts w:hint="eastAsia" w:ascii="宋体" w:hAnsi="宋体" w:eastAsia="宋体" w:cs="宋体"/>
          <w:b/>
          <w:color w:val="auto"/>
          <w:kern w:val="0"/>
          <w:sz w:val="32"/>
          <w:szCs w:val="32"/>
        </w:rPr>
        <w:t>四、投标报价响应表格式</w:t>
      </w:r>
      <w:bookmarkEnd w:id="440"/>
      <w:bookmarkEnd w:id="441"/>
      <w:bookmarkEnd w:id="442"/>
      <w:bookmarkEnd w:id="443"/>
      <w:bookmarkEnd w:id="451"/>
      <w:bookmarkEnd w:id="452"/>
      <w:bookmarkEnd w:id="453"/>
      <w:bookmarkEnd w:id="454"/>
      <w:bookmarkEnd w:id="455"/>
      <w:bookmarkEnd w:id="456"/>
      <w:bookmarkEnd w:id="457"/>
      <w:bookmarkEnd w:id="458"/>
      <w:bookmarkEnd w:id="459"/>
      <w:bookmarkEnd w:id="460"/>
    </w:p>
    <w:p w14:paraId="656BAF45">
      <w:pPr>
        <w:spacing w:line="360" w:lineRule="auto"/>
        <w:ind w:left="603" w:hanging="813"/>
        <w:jc w:val="center"/>
        <w:rPr>
          <w:rFonts w:ascii="宋体" w:hAnsi="宋体" w:eastAsia="宋体" w:cs="宋体"/>
          <w:b/>
          <w:bCs/>
          <w:color w:val="auto"/>
          <w:kern w:val="0"/>
          <w:szCs w:val="21"/>
        </w:rPr>
      </w:pPr>
      <w:r>
        <w:rPr>
          <w:rFonts w:hint="eastAsia" w:ascii="宋体" w:hAnsi="宋体" w:eastAsia="宋体" w:cs="宋体"/>
          <w:b/>
          <w:bCs/>
          <w:color w:val="auto"/>
          <w:sz w:val="30"/>
          <w:szCs w:val="30"/>
          <w:lang w:val="zh-CN"/>
        </w:rPr>
        <w:t>投标报价</w:t>
      </w:r>
      <w:r>
        <w:rPr>
          <w:rFonts w:hint="eastAsia" w:ascii="宋体" w:hAnsi="宋体" w:eastAsia="宋体" w:cs="宋体"/>
          <w:b/>
          <w:bCs/>
          <w:color w:val="auto"/>
          <w:sz w:val="30"/>
          <w:szCs w:val="30"/>
        </w:rPr>
        <w:t>响应</w:t>
      </w:r>
      <w:r>
        <w:rPr>
          <w:rFonts w:hint="eastAsia" w:ascii="宋体" w:hAnsi="宋体" w:eastAsia="宋体" w:cs="宋体"/>
          <w:b/>
          <w:bCs/>
          <w:color w:val="auto"/>
          <w:sz w:val="30"/>
          <w:szCs w:val="30"/>
          <w:lang w:val="zh-CN"/>
        </w:rPr>
        <w:t>表（  包）</w:t>
      </w:r>
    </w:p>
    <w:p w14:paraId="6F2FE5C5">
      <w:pPr>
        <w:spacing w:line="360" w:lineRule="auto"/>
        <w:ind w:left="359" w:hanging="569"/>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u w:val="single"/>
        </w:rPr>
        <w:t>东莞市水务集团管网有限公司2025年度机电设备维修定点服务单位采购项目</w:t>
      </w:r>
    </w:p>
    <w:p w14:paraId="1B8EB280">
      <w:pPr>
        <w:spacing w:line="360" w:lineRule="auto"/>
        <w:ind w:left="359" w:hanging="569"/>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rPr>
        <w:t>广建咨询（东招）2024-0131号</w:t>
      </w:r>
    </w:p>
    <w:p w14:paraId="4C629CC2">
      <w:pPr>
        <w:autoSpaceDE w:val="0"/>
        <w:autoSpaceDN w:val="0"/>
        <w:adjustRightInd w:val="0"/>
        <w:spacing w:line="360" w:lineRule="auto"/>
        <w:ind w:left="-210" w:firstLine="4960" w:firstLineChars="2362"/>
        <w:rPr>
          <w:rFonts w:ascii="宋体" w:hAnsi="宋体" w:eastAsia="宋体" w:cs="宋体"/>
          <w:color w:val="auto"/>
          <w:szCs w:val="21"/>
          <w:lang w:val="zh-CN"/>
        </w:rPr>
      </w:pPr>
    </w:p>
    <w:tbl>
      <w:tblPr>
        <w:tblStyle w:val="37"/>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694"/>
        <w:gridCol w:w="3118"/>
        <w:gridCol w:w="3119"/>
      </w:tblGrid>
      <w:tr w14:paraId="59101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7" w:hRule="atLeast"/>
        </w:trPr>
        <w:tc>
          <w:tcPr>
            <w:tcW w:w="675" w:type="dxa"/>
            <w:tcBorders>
              <w:top w:val="single" w:color="auto" w:sz="4" w:space="0"/>
              <w:left w:val="single" w:color="auto" w:sz="4" w:space="0"/>
              <w:bottom w:val="single" w:color="auto" w:sz="4" w:space="0"/>
              <w:right w:val="single" w:color="auto" w:sz="4" w:space="0"/>
            </w:tcBorders>
            <w:vAlign w:val="center"/>
          </w:tcPr>
          <w:p w14:paraId="7E24AA85">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2694" w:type="dxa"/>
            <w:tcBorders>
              <w:top w:val="single" w:color="auto" w:sz="4" w:space="0"/>
              <w:left w:val="single" w:color="auto" w:sz="4" w:space="0"/>
              <w:bottom w:val="single" w:color="auto" w:sz="4" w:space="0"/>
              <w:right w:val="single" w:color="auto" w:sz="4" w:space="0"/>
            </w:tcBorders>
            <w:vAlign w:val="center"/>
          </w:tcPr>
          <w:p w14:paraId="5FAEADAB">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项目名称</w:t>
            </w:r>
          </w:p>
        </w:tc>
        <w:tc>
          <w:tcPr>
            <w:tcW w:w="3118" w:type="dxa"/>
            <w:tcBorders>
              <w:top w:val="single" w:color="auto" w:sz="4" w:space="0"/>
              <w:left w:val="single" w:color="auto" w:sz="4" w:space="0"/>
              <w:bottom w:val="single" w:color="auto" w:sz="4" w:space="0"/>
              <w:right w:val="single" w:color="auto" w:sz="4" w:space="0"/>
            </w:tcBorders>
            <w:vAlign w:val="center"/>
          </w:tcPr>
          <w:p w14:paraId="4B4974FA">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固定下浮率</w:t>
            </w:r>
          </w:p>
        </w:tc>
        <w:tc>
          <w:tcPr>
            <w:tcW w:w="3119" w:type="dxa"/>
            <w:tcBorders>
              <w:top w:val="single" w:color="auto" w:sz="4" w:space="0"/>
              <w:left w:val="single" w:color="auto" w:sz="4" w:space="0"/>
              <w:bottom w:val="single" w:color="auto" w:sz="4" w:space="0"/>
              <w:right w:val="single" w:color="auto" w:sz="4" w:space="0"/>
            </w:tcBorders>
            <w:vAlign w:val="center"/>
          </w:tcPr>
          <w:p w14:paraId="5C197E53">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服务期</w:t>
            </w:r>
          </w:p>
        </w:tc>
      </w:tr>
      <w:tr w14:paraId="265A9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675" w:type="dxa"/>
            <w:tcBorders>
              <w:top w:val="single" w:color="auto" w:sz="4" w:space="0"/>
              <w:left w:val="single" w:color="auto" w:sz="4" w:space="0"/>
              <w:bottom w:val="single" w:color="auto" w:sz="4" w:space="0"/>
              <w:right w:val="single" w:color="auto" w:sz="4" w:space="0"/>
            </w:tcBorders>
            <w:vAlign w:val="center"/>
          </w:tcPr>
          <w:p w14:paraId="59844676">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2694" w:type="dxa"/>
            <w:tcBorders>
              <w:top w:val="single" w:color="auto" w:sz="4" w:space="0"/>
              <w:left w:val="single" w:color="auto" w:sz="4" w:space="0"/>
              <w:bottom w:val="single" w:color="auto" w:sz="4" w:space="0"/>
              <w:right w:val="single" w:color="auto" w:sz="4" w:space="0"/>
            </w:tcBorders>
            <w:vAlign w:val="center"/>
          </w:tcPr>
          <w:p w14:paraId="428FF50F">
            <w:pPr>
              <w:spacing w:line="360" w:lineRule="auto"/>
              <w:jc w:val="center"/>
              <w:rPr>
                <w:rFonts w:ascii="宋体" w:hAnsi="宋体" w:eastAsia="宋体" w:cs="宋体"/>
                <w:color w:val="auto"/>
                <w:szCs w:val="21"/>
              </w:rPr>
            </w:pPr>
            <w:r>
              <w:rPr>
                <w:rFonts w:hint="eastAsia" w:ascii="宋体" w:hAnsi="宋体" w:eastAsia="宋体" w:cs="宋体"/>
                <w:color w:val="auto"/>
                <w:szCs w:val="21"/>
              </w:rPr>
              <w:t>东莞市水务集团管网有限公司2025年度机电设备维修定点服务单位采购项目（</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包</w:t>
            </w:r>
            <w:r>
              <w:rPr>
                <w:rFonts w:hint="eastAsia" w:ascii="宋体" w:hAnsi="宋体" w:eastAsia="宋体" w:cs="宋体"/>
                <w:color w:val="auto"/>
                <w:szCs w:val="21"/>
              </w:rPr>
              <w:t>）</w:t>
            </w:r>
          </w:p>
        </w:tc>
        <w:tc>
          <w:tcPr>
            <w:tcW w:w="3118" w:type="dxa"/>
            <w:tcBorders>
              <w:top w:val="single" w:color="auto" w:sz="4" w:space="0"/>
              <w:left w:val="single" w:color="auto" w:sz="4" w:space="0"/>
              <w:bottom w:val="single" w:color="auto" w:sz="4" w:space="0"/>
              <w:right w:val="single" w:color="auto" w:sz="4" w:space="0"/>
            </w:tcBorders>
            <w:vAlign w:val="center"/>
          </w:tcPr>
          <w:p w14:paraId="27B91246">
            <w:pPr>
              <w:spacing w:line="360" w:lineRule="auto"/>
              <w:jc w:val="center"/>
              <w:rPr>
                <w:rFonts w:ascii="宋体" w:hAnsi="宋体" w:eastAsia="宋体" w:cs="宋体"/>
                <w:color w:val="auto"/>
                <w:szCs w:val="21"/>
              </w:rPr>
            </w:pPr>
            <w:r>
              <w:rPr>
                <w:rFonts w:hint="eastAsia" w:ascii="宋体" w:hAnsi="宋体" w:eastAsia="宋体" w:cs="宋体"/>
                <w:color w:val="auto"/>
                <w:szCs w:val="21"/>
              </w:rPr>
              <w:t>在服务期内发生服务内容子项以内的服务项目综合单价参考《机电设备维修服务项目常用清单库》（以下简称“机电清单库”）的清单综合单价按固定下浮率5%进行计算，机电清单库无相关清单单价及无类似清单单价的，结合建设工程定额进行套价，无定额套价的采用市场询价，由招标人、投标人双方各自在广材网、慧讯网等网站上进行询价，如双方所询价造成单项清单单价价差在招标人询价结果的15%以内的，以招标人询价结果为准；若单项清单单价价差在招标人询价结果的15%以外的，双方扩大询价范围协商确定综合单价。</w:t>
            </w:r>
          </w:p>
        </w:tc>
        <w:tc>
          <w:tcPr>
            <w:tcW w:w="3119" w:type="dxa"/>
            <w:tcBorders>
              <w:top w:val="single" w:color="auto" w:sz="4" w:space="0"/>
              <w:left w:val="single" w:color="auto" w:sz="4" w:space="0"/>
              <w:bottom w:val="single" w:color="auto" w:sz="4" w:space="0"/>
              <w:right w:val="single" w:color="auto" w:sz="4" w:space="0"/>
            </w:tcBorders>
            <w:vAlign w:val="center"/>
          </w:tcPr>
          <w:p w14:paraId="01FEC866">
            <w:pPr>
              <w:pStyle w:val="63"/>
              <w:tabs>
                <w:tab w:val="left" w:pos="8610"/>
              </w:tabs>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自合同生效之日起至2025年12月31日止</w:t>
            </w:r>
          </w:p>
        </w:tc>
      </w:tr>
    </w:tbl>
    <w:p w14:paraId="7B6D0959">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备注：</w:t>
      </w:r>
    </w:p>
    <w:p w14:paraId="210C9DA2">
      <w:pPr>
        <w:pStyle w:val="23"/>
        <w:tabs>
          <w:tab w:val="left" w:pos="284"/>
        </w:tabs>
        <w:spacing w:line="360" w:lineRule="auto"/>
        <w:ind w:left="792" w:leftChars="176" w:hanging="422" w:hangingChars="200"/>
        <w:rPr>
          <w:rFonts w:hAnsi="宋体" w:cs="宋体"/>
          <w:color w:val="auto"/>
          <w:szCs w:val="21"/>
        </w:rPr>
      </w:pPr>
      <w:r>
        <w:rPr>
          <w:rFonts w:hint="eastAsia" w:hAnsi="宋体" w:cs="宋体"/>
          <w:b/>
          <w:bCs/>
          <w:color w:val="auto"/>
          <w:szCs w:val="21"/>
        </w:rPr>
        <w:t>（1）</w:t>
      </w:r>
      <w:r>
        <w:rPr>
          <w:rFonts w:hint="eastAsia" w:hAnsi="宋体" w:cs="宋体"/>
          <w:b/>
          <w:bCs/>
          <w:color w:val="auto"/>
          <w:szCs w:val="21"/>
          <w:u w:val="single"/>
        </w:rPr>
        <w:t>投标人的投标报价未按照本投标报价响应表内容填报、确认服务期内单项项目的定价方式的，投标文件将被视为无效投标</w:t>
      </w:r>
      <w:r>
        <w:rPr>
          <w:rFonts w:hint="eastAsia" w:hAnsi="宋体" w:cs="宋体"/>
          <w:b/>
          <w:bCs/>
          <w:color w:val="auto"/>
          <w:szCs w:val="21"/>
        </w:rPr>
        <w:t>。在服务期期内，对于服务范围内的项目，按固定下浮率进行结算。</w:t>
      </w:r>
    </w:p>
    <w:p w14:paraId="7C0824E4">
      <w:pPr>
        <w:pStyle w:val="23"/>
        <w:tabs>
          <w:tab w:val="left" w:pos="284"/>
        </w:tabs>
        <w:spacing w:line="360" w:lineRule="auto"/>
        <w:ind w:firstLine="422" w:firstLineChars="200"/>
        <w:rPr>
          <w:rFonts w:hAnsi="宋体" w:cs="宋体"/>
          <w:color w:val="auto"/>
          <w:szCs w:val="21"/>
        </w:rPr>
      </w:pPr>
      <w:r>
        <w:rPr>
          <w:rFonts w:hint="eastAsia" w:hAnsi="宋体" w:cs="宋体"/>
          <w:b/>
          <w:bCs/>
          <w:color w:val="auto"/>
          <w:szCs w:val="21"/>
          <w:lang w:val="zh-CN"/>
        </w:rPr>
        <w:t>（2）</w:t>
      </w:r>
      <w:r>
        <w:rPr>
          <w:rFonts w:hint="eastAsia" w:hAnsi="宋体" w:cs="宋体"/>
          <w:b/>
          <w:bCs/>
          <w:color w:val="auto"/>
          <w:szCs w:val="21"/>
          <w:u w:val="single"/>
          <w:lang w:val="zh-CN"/>
        </w:rPr>
        <w:t>本表一式二份，一份随唱标信封一起提交，一份编入投标文件商务文件</w:t>
      </w:r>
      <w:r>
        <w:rPr>
          <w:rFonts w:hint="eastAsia" w:hAnsi="宋体" w:cs="宋体"/>
          <w:b/>
          <w:bCs/>
          <w:color w:val="auto"/>
          <w:szCs w:val="21"/>
          <w:lang w:val="zh-CN"/>
        </w:rPr>
        <w:t>。</w:t>
      </w:r>
    </w:p>
    <w:p w14:paraId="5F7C453F">
      <w:pPr>
        <w:autoSpaceDE w:val="0"/>
        <w:autoSpaceDN w:val="0"/>
        <w:adjustRightInd w:val="0"/>
        <w:spacing w:line="360" w:lineRule="auto"/>
        <w:ind w:left="-210" w:firstLine="4960" w:firstLineChars="2362"/>
        <w:rPr>
          <w:rFonts w:ascii="宋体" w:hAnsi="宋体" w:eastAsia="宋体" w:cs="宋体"/>
          <w:color w:val="auto"/>
          <w:szCs w:val="21"/>
          <w:lang w:val="zh-CN"/>
        </w:rPr>
      </w:pPr>
    </w:p>
    <w:p w14:paraId="3D797CFF">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78BD06D1">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06BB8B5F">
      <w:pPr>
        <w:autoSpaceDE w:val="0"/>
        <w:autoSpaceDN w:val="0"/>
        <w:adjustRightInd w:val="0"/>
        <w:spacing w:line="360" w:lineRule="auto"/>
        <w:ind w:left="-210"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日期：   年   月   日</w:t>
      </w:r>
    </w:p>
    <w:p w14:paraId="63DE7056">
      <w:pPr>
        <w:widowControl/>
        <w:spacing w:line="360" w:lineRule="auto"/>
        <w:jc w:val="left"/>
        <w:rPr>
          <w:rFonts w:ascii="宋体" w:hAnsi="宋体" w:eastAsia="宋体" w:cs="宋体"/>
          <w:b/>
          <w:color w:val="auto"/>
          <w:kern w:val="0"/>
          <w:sz w:val="32"/>
          <w:szCs w:val="32"/>
        </w:rPr>
      </w:pPr>
      <w:bookmarkStart w:id="461" w:name="_Toc26516"/>
      <w:bookmarkStart w:id="462" w:name="_Toc102860074"/>
      <w:bookmarkStart w:id="463" w:name="_Toc6190"/>
      <w:bookmarkStart w:id="464" w:name="_Toc94107209"/>
      <w:bookmarkStart w:id="465" w:name="_Toc142508369"/>
      <w:bookmarkStart w:id="466" w:name="_Toc30420"/>
      <w:bookmarkStart w:id="467" w:name="_Toc23083"/>
      <w:bookmarkStart w:id="468" w:name="_Toc104991875"/>
      <w:bookmarkStart w:id="469" w:name="_Toc102860418"/>
      <w:bookmarkStart w:id="470" w:name="_Toc1977725"/>
      <w:bookmarkStart w:id="471" w:name="_Toc140596928"/>
      <w:bookmarkStart w:id="472" w:name="_Toc20759_WPSOffice_Level2"/>
      <w:bookmarkStart w:id="473" w:name="_Toc533708124"/>
      <w:bookmarkStart w:id="474" w:name="_Toc486167712"/>
      <w:r>
        <w:rPr>
          <w:rFonts w:hint="eastAsia" w:ascii="宋体" w:hAnsi="宋体" w:eastAsia="宋体" w:cs="宋体"/>
          <w:b/>
          <w:bCs/>
          <w:color w:val="auto"/>
          <w:sz w:val="30"/>
          <w:szCs w:val="30"/>
        </w:rPr>
        <w:t>五</w:t>
      </w:r>
      <w:r>
        <w:rPr>
          <w:rFonts w:hint="eastAsia" w:ascii="宋体" w:hAnsi="宋体" w:eastAsia="宋体" w:cs="宋体"/>
          <w:b/>
          <w:color w:val="auto"/>
          <w:kern w:val="0"/>
          <w:sz w:val="32"/>
          <w:szCs w:val="32"/>
        </w:rPr>
        <w:t>、投标人资格证明文件</w:t>
      </w:r>
      <w:bookmarkEnd w:id="461"/>
      <w:bookmarkEnd w:id="462"/>
      <w:bookmarkEnd w:id="463"/>
      <w:bookmarkEnd w:id="464"/>
      <w:bookmarkEnd w:id="465"/>
      <w:bookmarkEnd w:id="466"/>
      <w:bookmarkEnd w:id="467"/>
      <w:bookmarkEnd w:id="468"/>
      <w:bookmarkEnd w:id="469"/>
      <w:bookmarkEnd w:id="470"/>
      <w:bookmarkEnd w:id="471"/>
    </w:p>
    <w:p w14:paraId="67886F41">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0"/>
          <w:szCs w:val="30"/>
        </w:rPr>
      </w:pPr>
      <w:bookmarkStart w:id="475" w:name="_Toc142508370"/>
      <w:bookmarkStart w:id="476" w:name="_Toc104991876"/>
      <w:bookmarkStart w:id="477" w:name="_Toc29874"/>
      <w:bookmarkStart w:id="478" w:name="_Toc17358"/>
      <w:bookmarkStart w:id="479" w:name="_Toc25267"/>
      <w:bookmarkStart w:id="480" w:name="_Toc102860075"/>
      <w:bookmarkStart w:id="481" w:name="_Toc94107210"/>
      <w:bookmarkStart w:id="482" w:name="_Toc102860419"/>
      <w:bookmarkStart w:id="483" w:name="_Toc29888"/>
      <w:bookmarkStart w:id="484" w:name="_Toc140596929"/>
      <w:bookmarkStart w:id="485" w:name="_Toc1977726"/>
      <w:r>
        <w:rPr>
          <w:rFonts w:hint="eastAsia" w:ascii="宋体" w:hAnsi="宋体" w:eastAsia="宋体" w:cs="宋体"/>
          <w:b/>
          <w:color w:val="auto"/>
          <w:kern w:val="0"/>
          <w:sz w:val="30"/>
          <w:szCs w:val="30"/>
        </w:rPr>
        <w:t>5.1 多证合一营业执照（或事业单位法人证书）复印件</w:t>
      </w:r>
      <w:bookmarkEnd w:id="475"/>
      <w:bookmarkEnd w:id="476"/>
      <w:bookmarkEnd w:id="477"/>
      <w:bookmarkEnd w:id="478"/>
      <w:bookmarkEnd w:id="479"/>
      <w:bookmarkEnd w:id="480"/>
      <w:bookmarkEnd w:id="481"/>
      <w:bookmarkEnd w:id="482"/>
      <w:bookmarkEnd w:id="483"/>
      <w:bookmarkEnd w:id="484"/>
    </w:p>
    <w:p w14:paraId="7820EC8C">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26FF1BB9">
      <w:pPr>
        <w:tabs>
          <w:tab w:val="left" w:pos="567"/>
        </w:tabs>
        <w:autoSpaceDE w:val="0"/>
        <w:autoSpaceDN w:val="0"/>
        <w:adjustRightInd w:val="0"/>
        <w:spacing w:line="360" w:lineRule="auto"/>
        <w:ind w:left="-210" w:firstLine="316" w:firstLineChars="150"/>
        <w:jc w:val="left"/>
        <w:outlineLvl w:val="2"/>
        <w:rPr>
          <w:rFonts w:ascii="宋体" w:hAnsi="宋体" w:eastAsia="宋体" w:cs="宋体"/>
          <w:b/>
          <w:color w:val="auto"/>
          <w:kern w:val="0"/>
          <w:szCs w:val="21"/>
        </w:rPr>
        <w:sectPr>
          <w:footerReference r:id="rId9" w:type="first"/>
          <w:footerReference r:id="rId8" w:type="default"/>
          <w:pgSz w:w="12240" w:h="15840"/>
          <w:pgMar w:top="1191" w:right="1043" w:bottom="1191" w:left="1043" w:header="720" w:footer="720" w:gutter="0"/>
          <w:cols w:space="720" w:num="1"/>
          <w:titlePg/>
          <w:docGrid w:linePitch="326" w:charSpace="0"/>
        </w:sectPr>
      </w:pPr>
    </w:p>
    <w:p w14:paraId="6755C094">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0"/>
          <w:szCs w:val="30"/>
        </w:rPr>
      </w:pPr>
      <w:bookmarkStart w:id="486" w:name="_Toc102860420"/>
      <w:bookmarkStart w:id="487" w:name="_Toc94107211"/>
      <w:bookmarkStart w:id="488" w:name="_Toc142508371"/>
      <w:bookmarkStart w:id="489" w:name="_Toc25013"/>
      <w:bookmarkStart w:id="490" w:name="_Toc27861"/>
      <w:bookmarkStart w:id="491" w:name="_Toc7756"/>
      <w:bookmarkStart w:id="492" w:name="_Toc18770"/>
      <w:bookmarkStart w:id="493" w:name="_Toc140596930"/>
      <w:bookmarkStart w:id="494" w:name="_Toc102860076"/>
      <w:bookmarkStart w:id="495" w:name="_Toc104991877"/>
      <w:r>
        <w:rPr>
          <w:rFonts w:hint="eastAsia" w:ascii="宋体" w:hAnsi="宋体" w:eastAsia="宋体" w:cs="宋体"/>
          <w:b/>
          <w:color w:val="auto"/>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6"/>
      <w:bookmarkEnd w:id="487"/>
      <w:bookmarkEnd w:id="488"/>
      <w:bookmarkEnd w:id="489"/>
      <w:bookmarkEnd w:id="490"/>
      <w:bookmarkEnd w:id="491"/>
      <w:bookmarkEnd w:id="492"/>
      <w:bookmarkEnd w:id="493"/>
      <w:bookmarkEnd w:id="494"/>
      <w:bookmarkEnd w:id="495"/>
    </w:p>
    <w:p w14:paraId="5FC9EE58">
      <w:pPr>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60C97F95">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0"/>
          <w:szCs w:val="30"/>
        </w:rPr>
      </w:pPr>
      <w:r>
        <w:rPr>
          <w:rFonts w:hint="eastAsia" w:ascii="宋体" w:hAnsi="宋体" w:eastAsia="宋体" w:cs="宋体"/>
          <w:b/>
          <w:color w:val="auto"/>
          <w:kern w:val="0"/>
          <w:sz w:val="30"/>
          <w:szCs w:val="30"/>
        </w:rPr>
        <w:t>5.3 具有建设行政主管部门核发的且在有效期内的建筑机电工程专业承包乙级（或以上）资质证书或机电工程施工总承包乙级（或以上）资质证书【或更换资质证书前有效期内：建筑机电安装工程专业承包三级（或以上）资质证书或机电工程施工总承包三级（或以上）资质证书】复印件；</w:t>
      </w:r>
    </w:p>
    <w:p w14:paraId="2D305A43">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33037BBB">
      <w:pPr>
        <w:spacing w:line="360" w:lineRule="auto"/>
        <w:rPr>
          <w:rFonts w:ascii="宋体" w:hAnsi="宋体" w:eastAsia="宋体" w:cs="宋体"/>
          <w:b/>
          <w:bCs/>
          <w:color w:val="auto"/>
          <w:sz w:val="30"/>
          <w:szCs w:val="30"/>
        </w:rPr>
      </w:pPr>
      <w:r>
        <w:rPr>
          <w:rFonts w:hint="eastAsia" w:ascii="宋体" w:hAnsi="宋体" w:eastAsia="宋体" w:cs="宋体"/>
          <w:b/>
          <w:bCs/>
          <w:color w:val="auto"/>
          <w:sz w:val="30"/>
          <w:szCs w:val="30"/>
        </w:rPr>
        <w:t>5.4 建设行政主管部门核发的且在有效期内的安全生产许可证证书复印件；</w:t>
      </w:r>
    </w:p>
    <w:p w14:paraId="27AE8209">
      <w:pPr>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6CBF6996">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Cs w:val="21"/>
        </w:rPr>
      </w:pPr>
      <w:bookmarkStart w:id="496" w:name="_Toc17499"/>
      <w:bookmarkStart w:id="497" w:name="_Toc102860421"/>
      <w:bookmarkStart w:id="498" w:name="_Toc104991878"/>
      <w:bookmarkStart w:id="499" w:name="_Toc31183"/>
      <w:bookmarkStart w:id="500" w:name="_Toc7441"/>
      <w:bookmarkStart w:id="501" w:name="_Toc140596931"/>
      <w:bookmarkStart w:id="502" w:name="_Toc102860077"/>
      <w:bookmarkStart w:id="503" w:name="_Toc9132"/>
      <w:bookmarkStart w:id="504" w:name="_Toc94107212"/>
      <w:bookmarkStart w:id="505" w:name="_Toc142508372"/>
      <w:r>
        <w:rPr>
          <w:rFonts w:hint="eastAsia" w:ascii="宋体" w:hAnsi="宋体" w:eastAsia="宋体" w:cs="宋体"/>
          <w:b/>
          <w:color w:val="auto"/>
          <w:kern w:val="0"/>
          <w:sz w:val="30"/>
          <w:szCs w:val="30"/>
        </w:rPr>
        <w:t>5.5 法定代表人身份证明书原件、法定代表人授权书原件格式（法定代表人投标时只需提供法定代表人身份证明书，委托他人为投标代表或签署投标文件时需同时提供法定代表人授权书）</w:t>
      </w:r>
      <w:bookmarkEnd w:id="496"/>
      <w:bookmarkEnd w:id="497"/>
      <w:bookmarkEnd w:id="498"/>
      <w:bookmarkEnd w:id="499"/>
      <w:bookmarkEnd w:id="500"/>
      <w:bookmarkEnd w:id="501"/>
      <w:bookmarkEnd w:id="502"/>
      <w:bookmarkEnd w:id="503"/>
      <w:bookmarkEnd w:id="504"/>
      <w:bookmarkEnd w:id="505"/>
    </w:p>
    <w:p w14:paraId="064282ED">
      <w:pPr>
        <w:spacing w:before="120" w:after="120" w:line="360" w:lineRule="auto"/>
        <w:ind w:left="-210" w:firstLine="426" w:firstLineChars="202"/>
        <w:rPr>
          <w:rFonts w:ascii="宋体" w:hAnsi="宋体" w:eastAsia="宋体" w:cs="宋体"/>
          <w:b/>
          <w:color w:val="auto"/>
          <w:szCs w:val="24"/>
        </w:rPr>
      </w:pPr>
      <w:r>
        <w:rPr>
          <w:rFonts w:hint="eastAsia" w:ascii="宋体" w:hAnsi="宋体" w:eastAsia="宋体" w:cs="宋体"/>
          <w:b/>
          <w:color w:val="auto"/>
          <w:szCs w:val="24"/>
        </w:rPr>
        <w:t>（1）法定代表人身份证明书格式</w:t>
      </w:r>
      <w:bookmarkEnd w:id="472"/>
      <w:bookmarkEnd w:id="473"/>
      <w:bookmarkEnd w:id="474"/>
      <w:bookmarkEnd w:id="485"/>
    </w:p>
    <w:p w14:paraId="40A57312">
      <w:pPr>
        <w:spacing w:before="120" w:after="120" w:line="360" w:lineRule="auto"/>
        <w:ind w:left="-210" w:firstLine="608" w:firstLineChars="202"/>
        <w:jc w:val="center"/>
        <w:rPr>
          <w:rFonts w:ascii="宋体" w:hAnsi="宋体" w:eastAsia="宋体" w:cs="宋体"/>
          <w:b/>
          <w:color w:val="auto"/>
          <w:sz w:val="30"/>
          <w:szCs w:val="30"/>
        </w:rPr>
      </w:pPr>
    </w:p>
    <w:p w14:paraId="263C637D">
      <w:pPr>
        <w:spacing w:before="120" w:after="120" w:line="360" w:lineRule="auto"/>
        <w:ind w:left="-210" w:firstLine="608" w:firstLineChars="202"/>
        <w:jc w:val="center"/>
        <w:rPr>
          <w:rFonts w:ascii="宋体" w:hAnsi="宋体" w:eastAsia="宋体" w:cs="宋体"/>
          <w:b/>
          <w:bCs/>
          <w:color w:val="auto"/>
          <w:sz w:val="30"/>
          <w:szCs w:val="30"/>
        </w:rPr>
      </w:pPr>
      <w:bookmarkStart w:id="506" w:name="_Toc11033_WPSOffice_Level3"/>
      <w:r>
        <w:rPr>
          <w:rFonts w:hint="eastAsia" w:ascii="宋体" w:hAnsi="宋体" w:eastAsia="宋体" w:cs="宋体"/>
          <w:b/>
          <w:color w:val="auto"/>
          <w:sz w:val="30"/>
          <w:szCs w:val="30"/>
        </w:rPr>
        <w:t>法定代</w:t>
      </w:r>
      <w:bookmarkStart w:id="507" w:name="_Toc36971359"/>
      <w:bookmarkStart w:id="508" w:name="_Toc45995270"/>
      <w:r>
        <w:rPr>
          <w:rFonts w:hint="eastAsia" w:ascii="宋体" w:hAnsi="宋体" w:eastAsia="宋体" w:cs="宋体"/>
          <w:b/>
          <w:color w:val="auto"/>
          <w:sz w:val="30"/>
          <w:szCs w:val="30"/>
        </w:rPr>
        <w:t>表人身份证明书</w:t>
      </w:r>
      <w:bookmarkEnd w:id="506"/>
      <w:r>
        <w:rPr>
          <w:rFonts w:hint="eastAsia" w:ascii="宋体" w:hAnsi="宋体" w:eastAsia="宋体" w:cs="宋体"/>
          <w:b/>
          <w:color w:val="auto"/>
          <w:sz w:val="30"/>
          <w:szCs w:val="30"/>
        </w:rPr>
        <w:t>（  包）</w:t>
      </w:r>
    </w:p>
    <w:bookmarkEnd w:id="507"/>
    <w:bookmarkEnd w:id="508"/>
    <w:p w14:paraId="75C1861A">
      <w:pPr>
        <w:spacing w:before="120" w:after="120" w:line="360" w:lineRule="auto"/>
        <w:ind w:left="-210" w:firstLine="420" w:firstLineChars="200"/>
        <w:rPr>
          <w:rFonts w:ascii="宋体" w:hAnsi="宋体" w:eastAsia="宋体" w:cs="宋体"/>
          <w:color w:val="auto"/>
          <w:szCs w:val="24"/>
        </w:rPr>
      </w:pPr>
      <w:r>
        <w:rPr>
          <w:rFonts w:hint="eastAsia" w:ascii="宋体" w:hAnsi="宋体" w:eastAsia="宋体" w:cs="宋体"/>
          <w:color w:val="auto"/>
          <w:szCs w:val="24"/>
          <w:u w:val="single"/>
        </w:rPr>
        <w:t xml:space="preserve">            </w:t>
      </w:r>
      <w:r>
        <w:rPr>
          <w:rFonts w:hint="eastAsia" w:ascii="宋体" w:hAnsi="宋体" w:eastAsia="宋体" w:cs="宋体"/>
          <w:color w:val="auto"/>
          <w:szCs w:val="24"/>
        </w:rPr>
        <w:t>先生／女士：现任我单位</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职务，为法定代表人，特此证明。</w:t>
      </w:r>
    </w:p>
    <w:p w14:paraId="1C428F87">
      <w:pPr>
        <w:spacing w:before="120" w:after="120"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有效日期：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签发日期：</w:t>
      </w:r>
      <w:r>
        <w:rPr>
          <w:rFonts w:hint="eastAsia" w:ascii="宋体" w:hAnsi="宋体" w:eastAsia="宋体" w:cs="宋体"/>
          <w:color w:val="auto"/>
          <w:szCs w:val="24"/>
          <w:u w:val="single"/>
        </w:rPr>
        <w:t xml:space="preserve">           </w:t>
      </w:r>
    </w:p>
    <w:p w14:paraId="40890017">
      <w:pPr>
        <w:spacing w:before="120" w:after="120" w:line="360" w:lineRule="auto"/>
        <w:ind w:left="-210" w:firstLine="424" w:firstLineChars="202"/>
        <w:rPr>
          <w:rFonts w:ascii="宋体" w:hAnsi="宋体" w:eastAsia="宋体" w:cs="宋体"/>
          <w:color w:val="auto"/>
          <w:szCs w:val="24"/>
          <w:u w:val="single"/>
        </w:rPr>
      </w:pPr>
      <w:r>
        <w:rPr>
          <w:rFonts w:hint="eastAsia" w:ascii="宋体" w:hAnsi="宋体" w:eastAsia="宋体" w:cs="宋体"/>
          <w:color w:val="auto"/>
          <w:szCs w:val="24"/>
        </w:rPr>
        <w:t>附：代表人性别：</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年龄：</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身份证号码：</w:t>
      </w:r>
      <w:r>
        <w:rPr>
          <w:rFonts w:hint="eastAsia" w:ascii="宋体" w:hAnsi="宋体" w:eastAsia="宋体" w:cs="宋体"/>
          <w:color w:val="auto"/>
          <w:szCs w:val="24"/>
          <w:u w:val="single"/>
        </w:rPr>
        <w:t xml:space="preserve">            </w:t>
      </w:r>
    </w:p>
    <w:p w14:paraId="62D54839">
      <w:pPr>
        <w:spacing w:before="120" w:after="120"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营业执照号码：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经济性质： </w:t>
      </w:r>
    </w:p>
    <w:p w14:paraId="2B4092B1">
      <w:pPr>
        <w:spacing w:before="120" w:after="120" w:line="360" w:lineRule="auto"/>
        <w:ind w:left="-210" w:firstLine="424" w:firstLineChars="202"/>
        <w:rPr>
          <w:rFonts w:ascii="宋体" w:hAnsi="宋体" w:eastAsia="宋体" w:cs="宋体"/>
          <w:color w:val="auto"/>
          <w:szCs w:val="24"/>
          <w:u w:val="single"/>
        </w:rPr>
      </w:pPr>
      <w:r>
        <w:rPr>
          <w:rFonts w:hint="eastAsia" w:ascii="宋体" w:hAnsi="宋体" w:eastAsia="宋体" w:cs="宋体"/>
          <w:color w:val="auto"/>
          <w:szCs w:val="24"/>
        </w:rPr>
        <w:t>主营（产）：</w:t>
      </w:r>
    </w:p>
    <w:p w14:paraId="67485DED">
      <w:pPr>
        <w:spacing w:before="120" w:after="120" w:line="360" w:lineRule="auto"/>
        <w:ind w:left="-210" w:firstLine="424" w:firstLineChars="202"/>
        <w:rPr>
          <w:rFonts w:ascii="宋体" w:hAnsi="宋体" w:eastAsia="宋体" w:cs="宋体"/>
          <w:color w:val="auto"/>
          <w:szCs w:val="24"/>
          <w:u w:val="single"/>
        </w:rPr>
      </w:pPr>
      <w:r>
        <w:rPr>
          <w:rFonts w:hint="eastAsia" w:ascii="宋体" w:hAnsi="宋体" w:eastAsia="宋体" w:cs="宋体"/>
          <w:color w:val="auto"/>
          <w:szCs w:val="24"/>
        </w:rPr>
        <w:t>兼营（产）：</w:t>
      </w:r>
    </w:p>
    <w:p w14:paraId="5E482DD4">
      <w:pPr>
        <w:spacing w:before="120" w:after="120"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 xml:space="preserve">附 法定代表人身份证复印件 </w:t>
      </w:r>
    </w:p>
    <w:p w14:paraId="12130AF7">
      <w:pPr>
        <w:spacing w:before="120" w:after="120" w:line="360" w:lineRule="auto"/>
        <w:ind w:left="907" w:leftChars="162" w:hanging="567"/>
        <w:rPr>
          <w:rFonts w:ascii="宋体" w:hAnsi="宋体" w:eastAsia="宋体" w:cs="宋体"/>
          <w:color w:val="auto"/>
          <w:szCs w:val="21"/>
        </w:rPr>
      </w:pPr>
      <w:r>
        <w:rPr>
          <w:rFonts w:hint="eastAsia" w:ascii="宋体" w:hAnsi="宋体" w:eastAsia="宋体" w:cs="宋体"/>
          <w:color w:val="auto"/>
          <w:szCs w:val="21"/>
          <w:lang w:val="zh-CN"/>
        </w:rPr>
        <w:t>投标人：（加盖投标人法人公章）</w:t>
      </w:r>
    </w:p>
    <w:p w14:paraId="7F985D40">
      <w:pPr>
        <w:autoSpaceDE w:val="0"/>
        <w:autoSpaceDN w:val="0"/>
        <w:adjustRightInd w:val="0"/>
        <w:spacing w:line="360" w:lineRule="auto"/>
        <w:ind w:left="-210" w:right="1010" w:rightChars="481" w:firstLine="6090" w:firstLineChars="2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133E50F2">
      <w:pPr>
        <w:autoSpaceDE w:val="0"/>
        <w:autoSpaceDN w:val="0"/>
        <w:adjustRightInd w:val="0"/>
        <w:ind w:left="438" w:hanging="648"/>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B819405"/>
                          <w:p w14:paraId="751856C2"/>
                          <w:p w14:paraId="41C5539A"/>
                          <w:p w14:paraId="4A250FFD"/>
                          <w:p w14:paraId="0AE33CF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B819405"/>
                    <w:p w14:paraId="751856C2"/>
                    <w:p w14:paraId="41C5539A"/>
                    <w:p w14:paraId="4A250FFD"/>
                    <w:p w14:paraId="0AE33CF9">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614E2E"/>
                          <w:p w14:paraId="4D011526"/>
                          <w:p w14:paraId="3D9535DC"/>
                          <w:p w14:paraId="204017B5"/>
                          <w:p w14:paraId="55DA4BFA">
                            <w:pPr>
                              <w:jc w:val="center"/>
                              <w:rPr>
                                <w:szCs w:val="21"/>
                              </w:rPr>
                            </w:pPr>
                            <w:r>
                              <w:rPr>
                                <w:rFonts w:hint="eastAsia"/>
                                <w:szCs w:val="21"/>
                              </w:rPr>
                              <w:t>法定代表人身份证反面</w:t>
                            </w:r>
                          </w:p>
                          <w:p w14:paraId="32A18BC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1614E2E"/>
                    <w:p w14:paraId="4D011526"/>
                    <w:p w14:paraId="3D9535DC"/>
                    <w:p w14:paraId="204017B5"/>
                    <w:p w14:paraId="55DA4BFA">
                      <w:pPr>
                        <w:jc w:val="center"/>
                        <w:rPr>
                          <w:szCs w:val="21"/>
                        </w:rPr>
                      </w:pPr>
                      <w:r>
                        <w:rPr>
                          <w:rFonts w:hint="eastAsia"/>
                          <w:szCs w:val="21"/>
                        </w:rPr>
                        <w:t>法定代表人身份证反面</w:t>
                      </w:r>
                    </w:p>
                    <w:p w14:paraId="32A18BC4">
                      <w:pPr>
                        <w:jc w:val="center"/>
                        <w:rPr>
                          <w:szCs w:val="21"/>
                        </w:rPr>
                      </w:pPr>
                    </w:p>
                  </w:txbxContent>
                </v:textbox>
              </v:shape>
            </w:pict>
          </mc:Fallback>
        </mc:AlternateContent>
      </w:r>
      <w:r>
        <w:rPr>
          <w:rFonts w:hint="eastAsia" w:ascii="宋体" w:hAnsi="宋体" w:eastAsia="宋体"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45BC76F"/>
                          <w:p w14:paraId="3FFEB76E"/>
                          <w:p w14:paraId="29CFC317"/>
                          <w:p w14:paraId="227C11D0"/>
                          <w:p w14:paraId="0CC424D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45BC76F"/>
                    <w:p w14:paraId="3FFEB76E"/>
                    <w:p w14:paraId="29CFC317"/>
                    <w:p w14:paraId="227C11D0"/>
                    <w:p w14:paraId="0CC424D8">
                      <w:pPr>
                        <w:jc w:val="center"/>
                      </w:pPr>
                      <w:r>
                        <w:rPr>
                          <w:rFonts w:hint="eastAsia"/>
                        </w:rPr>
                        <w:t>身份证正面</w:t>
                      </w:r>
                    </w:p>
                  </w:txbxContent>
                </v:textbox>
              </v:shape>
            </w:pict>
          </mc:Fallback>
        </mc:AlternateContent>
      </w:r>
    </w:p>
    <w:p w14:paraId="5BC6227F">
      <w:pPr>
        <w:autoSpaceDE w:val="0"/>
        <w:autoSpaceDN w:val="0"/>
        <w:adjustRightInd w:val="0"/>
        <w:ind w:left="438" w:hanging="648"/>
        <w:jc w:val="left"/>
        <w:rPr>
          <w:rFonts w:ascii="宋体" w:hAnsi="宋体" w:eastAsia="宋体" w:cs="宋体"/>
          <w:color w:val="auto"/>
          <w:kern w:val="0"/>
          <w:sz w:val="24"/>
          <w:szCs w:val="24"/>
        </w:rPr>
      </w:pPr>
    </w:p>
    <w:p w14:paraId="5B264C89">
      <w:pPr>
        <w:autoSpaceDE w:val="0"/>
        <w:autoSpaceDN w:val="0"/>
        <w:adjustRightInd w:val="0"/>
        <w:ind w:left="438" w:hanging="648"/>
        <w:jc w:val="left"/>
        <w:rPr>
          <w:rFonts w:ascii="宋体" w:hAnsi="宋体" w:eastAsia="宋体" w:cs="宋体"/>
          <w:color w:val="auto"/>
          <w:kern w:val="0"/>
          <w:sz w:val="24"/>
          <w:szCs w:val="24"/>
        </w:rPr>
      </w:pPr>
    </w:p>
    <w:p w14:paraId="6752FAE9">
      <w:pPr>
        <w:autoSpaceDE w:val="0"/>
        <w:autoSpaceDN w:val="0"/>
        <w:adjustRightInd w:val="0"/>
        <w:ind w:left="438" w:hanging="648"/>
        <w:jc w:val="left"/>
        <w:rPr>
          <w:rFonts w:ascii="宋体" w:hAnsi="宋体" w:eastAsia="宋体" w:cs="宋体"/>
          <w:color w:val="auto"/>
          <w:kern w:val="0"/>
          <w:sz w:val="24"/>
          <w:szCs w:val="24"/>
        </w:rPr>
      </w:pPr>
    </w:p>
    <w:p w14:paraId="75709FFF">
      <w:pPr>
        <w:autoSpaceDE w:val="0"/>
        <w:autoSpaceDN w:val="0"/>
        <w:adjustRightInd w:val="0"/>
        <w:ind w:left="438" w:hanging="648"/>
        <w:jc w:val="left"/>
        <w:rPr>
          <w:rFonts w:ascii="宋体" w:hAnsi="宋体" w:eastAsia="宋体" w:cs="宋体"/>
          <w:color w:val="auto"/>
          <w:kern w:val="0"/>
          <w:sz w:val="24"/>
          <w:szCs w:val="24"/>
        </w:rPr>
      </w:pPr>
    </w:p>
    <w:p w14:paraId="7CB6F44A">
      <w:pPr>
        <w:autoSpaceDE w:val="0"/>
        <w:autoSpaceDN w:val="0"/>
        <w:adjustRightInd w:val="0"/>
        <w:ind w:left="438" w:hanging="648"/>
        <w:jc w:val="left"/>
        <w:rPr>
          <w:rFonts w:ascii="宋体" w:hAnsi="宋体" w:eastAsia="宋体" w:cs="宋体"/>
          <w:color w:val="auto"/>
          <w:kern w:val="0"/>
          <w:sz w:val="24"/>
          <w:szCs w:val="24"/>
        </w:rPr>
      </w:pPr>
    </w:p>
    <w:p w14:paraId="11C6C86D">
      <w:pPr>
        <w:autoSpaceDE w:val="0"/>
        <w:autoSpaceDN w:val="0"/>
        <w:adjustRightInd w:val="0"/>
        <w:ind w:left="438" w:hanging="648"/>
        <w:jc w:val="left"/>
        <w:rPr>
          <w:rFonts w:ascii="宋体" w:hAnsi="宋体" w:eastAsia="宋体" w:cs="宋体"/>
          <w:color w:val="auto"/>
          <w:kern w:val="0"/>
          <w:sz w:val="24"/>
          <w:szCs w:val="24"/>
        </w:rPr>
      </w:pPr>
    </w:p>
    <w:p w14:paraId="1203B5B9">
      <w:pPr>
        <w:autoSpaceDE w:val="0"/>
        <w:autoSpaceDN w:val="0"/>
        <w:adjustRightInd w:val="0"/>
        <w:ind w:left="438" w:hanging="648"/>
        <w:jc w:val="left"/>
        <w:rPr>
          <w:rFonts w:ascii="宋体" w:hAnsi="宋体" w:eastAsia="宋体" w:cs="宋体"/>
          <w:color w:val="auto"/>
          <w:kern w:val="0"/>
          <w:sz w:val="24"/>
          <w:szCs w:val="24"/>
        </w:rPr>
      </w:pPr>
    </w:p>
    <w:p w14:paraId="335F2F8F">
      <w:pPr>
        <w:autoSpaceDE w:val="0"/>
        <w:autoSpaceDN w:val="0"/>
        <w:adjustRightInd w:val="0"/>
        <w:ind w:left="438" w:hanging="648"/>
        <w:jc w:val="left"/>
        <w:rPr>
          <w:rFonts w:ascii="宋体" w:hAnsi="宋体" w:eastAsia="宋体" w:cs="宋体"/>
          <w:color w:val="auto"/>
          <w:kern w:val="0"/>
          <w:sz w:val="24"/>
          <w:szCs w:val="24"/>
        </w:rPr>
      </w:pPr>
    </w:p>
    <w:p w14:paraId="65B04103">
      <w:pPr>
        <w:autoSpaceDE w:val="0"/>
        <w:autoSpaceDN w:val="0"/>
        <w:adjustRightInd w:val="0"/>
        <w:ind w:left="438" w:hanging="648"/>
        <w:jc w:val="left"/>
        <w:rPr>
          <w:rFonts w:ascii="宋体" w:hAnsi="宋体" w:eastAsia="宋体" w:cs="宋体"/>
          <w:color w:val="auto"/>
          <w:kern w:val="0"/>
          <w:sz w:val="24"/>
          <w:szCs w:val="24"/>
        </w:rPr>
      </w:pPr>
    </w:p>
    <w:p w14:paraId="35BAF58B">
      <w:pPr>
        <w:autoSpaceDE w:val="0"/>
        <w:autoSpaceDN w:val="0"/>
        <w:adjustRightInd w:val="0"/>
        <w:ind w:left="359" w:hanging="569"/>
        <w:jc w:val="left"/>
        <w:rPr>
          <w:rFonts w:ascii="宋体" w:hAnsi="宋体" w:eastAsia="宋体" w:cs="宋体"/>
          <w:b/>
          <w:color w:val="auto"/>
          <w:kern w:val="0"/>
          <w:szCs w:val="21"/>
        </w:rPr>
      </w:pPr>
    </w:p>
    <w:p w14:paraId="606AAD16">
      <w:pPr>
        <w:autoSpaceDE w:val="0"/>
        <w:autoSpaceDN w:val="0"/>
        <w:adjustRightInd w:val="0"/>
        <w:ind w:left="359" w:hanging="569"/>
        <w:jc w:val="left"/>
        <w:rPr>
          <w:rFonts w:ascii="宋体" w:hAnsi="宋体" w:eastAsia="宋体" w:cs="宋体"/>
          <w:b/>
          <w:color w:val="auto"/>
          <w:kern w:val="0"/>
          <w:szCs w:val="21"/>
        </w:rPr>
      </w:pPr>
      <w:r>
        <w:rPr>
          <w:rFonts w:hint="eastAsia" w:ascii="宋体" w:hAnsi="宋体" w:eastAsia="宋体" w:cs="宋体"/>
          <w:b/>
          <w:color w:val="auto"/>
          <w:kern w:val="0"/>
          <w:szCs w:val="21"/>
        </w:rPr>
        <w:t>注：法定代表人身份证须在有效期限内。</w:t>
      </w:r>
    </w:p>
    <w:p w14:paraId="777F0BCA">
      <w:pPr>
        <w:autoSpaceDE w:val="0"/>
        <w:autoSpaceDN w:val="0"/>
        <w:adjustRightInd w:val="0"/>
        <w:jc w:val="left"/>
        <w:rPr>
          <w:rFonts w:ascii="宋体" w:hAnsi="宋体" w:eastAsia="宋体" w:cs="宋体"/>
          <w:color w:val="auto"/>
          <w:kern w:val="0"/>
          <w:szCs w:val="21"/>
        </w:rPr>
      </w:pPr>
    </w:p>
    <w:p w14:paraId="5FF44CAD">
      <w:pPr>
        <w:spacing w:before="120" w:after="120" w:line="360" w:lineRule="auto"/>
        <w:ind w:left="-210" w:firstLine="424" w:firstLineChars="202"/>
        <w:rPr>
          <w:rFonts w:ascii="宋体" w:hAnsi="宋体" w:eastAsia="宋体" w:cs="宋体"/>
          <w:b/>
          <w:color w:val="auto"/>
          <w:kern w:val="0"/>
          <w:szCs w:val="21"/>
        </w:rPr>
      </w:pPr>
      <w:r>
        <w:rPr>
          <w:rFonts w:hint="eastAsia" w:ascii="宋体" w:hAnsi="宋体" w:eastAsia="宋体" w:cs="宋体"/>
          <w:color w:val="auto"/>
          <w:szCs w:val="24"/>
          <w:lang w:val="zh-CN"/>
        </w:rPr>
        <w:br w:type="page"/>
      </w:r>
      <w:bookmarkEnd w:id="425"/>
      <w:bookmarkEnd w:id="426"/>
      <w:bookmarkEnd w:id="427"/>
      <w:bookmarkStart w:id="509" w:name="_Toc533708125"/>
      <w:bookmarkStart w:id="510" w:name="_Toc6240_WPSOffice_Level2"/>
      <w:bookmarkStart w:id="511" w:name="_Toc1977727"/>
      <w:bookmarkStart w:id="512" w:name="_Toc486167713"/>
      <w:r>
        <w:rPr>
          <w:rFonts w:hint="eastAsia" w:ascii="宋体" w:hAnsi="宋体" w:eastAsia="宋体" w:cs="宋体"/>
          <w:b/>
          <w:color w:val="auto"/>
          <w:szCs w:val="24"/>
        </w:rPr>
        <w:t>（2）法定代表人授权书格式</w:t>
      </w:r>
      <w:bookmarkEnd w:id="509"/>
      <w:bookmarkEnd w:id="510"/>
      <w:bookmarkEnd w:id="511"/>
      <w:bookmarkEnd w:id="512"/>
    </w:p>
    <w:p w14:paraId="3A2E7246">
      <w:pPr>
        <w:autoSpaceDE w:val="0"/>
        <w:autoSpaceDN w:val="0"/>
        <w:adjustRightInd w:val="0"/>
        <w:spacing w:line="360" w:lineRule="auto"/>
        <w:ind w:left="603" w:hanging="813"/>
        <w:jc w:val="center"/>
        <w:rPr>
          <w:rFonts w:ascii="宋体" w:hAnsi="宋体" w:eastAsia="宋体" w:cs="宋体"/>
          <w:b/>
          <w:bCs/>
          <w:color w:val="auto"/>
          <w:sz w:val="30"/>
          <w:szCs w:val="30"/>
          <w:lang w:val="zh-CN"/>
        </w:rPr>
      </w:pPr>
    </w:p>
    <w:p w14:paraId="22E2B0B6">
      <w:pPr>
        <w:autoSpaceDE w:val="0"/>
        <w:autoSpaceDN w:val="0"/>
        <w:adjustRightInd w:val="0"/>
        <w:spacing w:line="360" w:lineRule="auto"/>
        <w:ind w:left="603" w:hanging="813"/>
        <w:jc w:val="center"/>
        <w:rPr>
          <w:rFonts w:ascii="宋体" w:hAnsi="宋体" w:eastAsia="宋体" w:cs="宋体"/>
          <w:b/>
          <w:bCs/>
          <w:color w:val="auto"/>
          <w:sz w:val="30"/>
          <w:szCs w:val="30"/>
          <w:lang w:val="zh-CN"/>
        </w:rPr>
      </w:pPr>
      <w:bookmarkStart w:id="513" w:name="_Toc29146_WPSOffice_Level3"/>
      <w:r>
        <w:rPr>
          <w:rFonts w:hint="eastAsia" w:ascii="宋体" w:hAnsi="宋体" w:eastAsia="宋体" w:cs="宋体"/>
          <w:b/>
          <w:bCs/>
          <w:color w:val="auto"/>
          <w:sz w:val="30"/>
          <w:szCs w:val="30"/>
          <w:lang w:val="zh-CN"/>
        </w:rPr>
        <w:t>法定代表人授权书</w:t>
      </w:r>
      <w:bookmarkEnd w:id="513"/>
      <w:r>
        <w:rPr>
          <w:rFonts w:hint="eastAsia" w:ascii="宋体" w:hAnsi="宋体" w:eastAsia="宋体" w:cs="宋体"/>
          <w:b/>
          <w:bCs/>
          <w:color w:val="auto"/>
          <w:sz w:val="30"/>
          <w:szCs w:val="30"/>
          <w:lang w:val="zh-CN"/>
        </w:rPr>
        <w:t>（  包）</w:t>
      </w:r>
    </w:p>
    <w:p w14:paraId="6DA20251">
      <w:pPr>
        <w:autoSpaceDE w:val="0"/>
        <w:autoSpaceDN w:val="0"/>
        <w:adjustRightInd w:val="0"/>
        <w:spacing w:line="360" w:lineRule="auto"/>
        <w:jc w:val="center"/>
        <w:rPr>
          <w:rFonts w:ascii="宋体" w:hAnsi="宋体" w:eastAsia="宋体" w:cs="宋体"/>
          <w:color w:val="auto"/>
          <w:szCs w:val="28"/>
          <w:lang w:val="zh-CN"/>
        </w:rPr>
      </w:pPr>
    </w:p>
    <w:p w14:paraId="7B3FD336">
      <w:pPr>
        <w:spacing w:before="120" w:after="120" w:line="360" w:lineRule="auto"/>
        <w:rPr>
          <w:rFonts w:ascii="宋体" w:hAnsi="宋体" w:eastAsia="宋体" w:cs="宋体"/>
          <w:color w:val="auto"/>
          <w:szCs w:val="24"/>
          <w:lang w:val="zh-CN"/>
        </w:rPr>
      </w:pPr>
      <w:r>
        <w:rPr>
          <w:rFonts w:hint="eastAsia" w:ascii="宋体" w:hAnsi="宋体" w:eastAsia="宋体" w:cs="宋体"/>
          <w:color w:val="auto"/>
          <w:szCs w:val="24"/>
          <w:lang w:val="zh-CN"/>
        </w:rPr>
        <w:t>致：东莞市水务集团管网有限公司</w:t>
      </w:r>
    </w:p>
    <w:p w14:paraId="5A96AD23">
      <w:pPr>
        <w:spacing w:before="120" w:after="120" w:line="360" w:lineRule="auto"/>
        <w:ind w:firstLine="630" w:firstLineChars="300"/>
        <w:rPr>
          <w:rFonts w:ascii="宋体" w:hAnsi="宋体" w:eastAsia="宋体" w:cs="宋体"/>
          <w:color w:val="auto"/>
          <w:szCs w:val="21"/>
        </w:rPr>
      </w:pPr>
      <w:r>
        <w:rPr>
          <w:rFonts w:hint="eastAsia" w:ascii="宋体" w:hAnsi="宋体" w:eastAsia="宋体" w:cs="宋体"/>
          <w:color w:val="auto"/>
          <w:szCs w:val="24"/>
          <w:lang w:val="zh-CN"/>
        </w:rPr>
        <w:t>本授权书声明：注册于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（投标人地址）的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（法定代表人姓名、职务、身份证号码）代表本公司授权在下面签字或盖私章的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（被授权人的姓名、职务、身份证号码）为本公司的合法代表人，签署</w:t>
      </w:r>
      <w:r>
        <w:rPr>
          <w:rFonts w:hint="eastAsia" w:ascii="宋体" w:hAnsi="宋体" w:eastAsia="宋体" w:cs="宋体"/>
          <w:color w:val="auto"/>
          <w:szCs w:val="21"/>
          <w:u w:val="single"/>
        </w:rPr>
        <w:t>东莞市水务集团管网有限公司2025年度机电设备维修定点服务单位采购项目（    包）</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广建咨询（东招）2024-0131号</w:t>
      </w:r>
      <w:r>
        <w:rPr>
          <w:rFonts w:hint="eastAsia" w:ascii="宋体" w:hAnsi="宋体" w:eastAsia="宋体" w:cs="宋体"/>
          <w:color w:val="auto"/>
          <w:szCs w:val="21"/>
          <w:lang w:val="zh-CN"/>
        </w:rPr>
        <w:t>）的投标文件，</w:t>
      </w:r>
      <w:r>
        <w:rPr>
          <w:rFonts w:hint="eastAsia" w:ascii="宋体" w:hAnsi="宋体" w:eastAsia="宋体" w:cs="宋体"/>
          <w:color w:val="auto"/>
          <w:szCs w:val="21"/>
        </w:rPr>
        <w:t>代表我公司</w:t>
      </w:r>
      <w:r>
        <w:rPr>
          <w:rFonts w:hint="eastAsia" w:ascii="宋体" w:hAnsi="宋体" w:eastAsia="宋体"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rPr>
        <w:t>我承认代理人全权代表我所签署的本项目投标文件的内容及</w:t>
      </w:r>
      <w:r>
        <w:rPr>
          <w:rFonts w:hint="eastAsia" w:ascii="宋体" w:hAnsi="宋体" w:eastAsia="宋体" w:cs="宋体"/>
          <w:color w:val="auto"/>
          <w:szCs w:val="24"/>
          <w:lang w:val="zh-CN"/>
        </w:rPr>
        <w:t>所进行的上述活动。</w:t>
      </w:r>
    </w:p>
    <w:p w14:paraId="617CEE8E">
      <w:pPr>
        <w:spacing w:before="120" w:after="120" w:line="360" w:lineRule="auto"/>
        <w:ind w:firstLine="420" w:firstLineChars="200"/>
        <w:rPr>
          <w:rFonts w:ascii="宋体" w:hAnsi="宋体" w:eastAsia="宋体" w:cs="宋体"/>
          <w:color w:val="auto"/>
          <w:szCs w:val="21"/>
        </w:rPr>
      </w:pPr>
      <w:r>
        <w:rPr>
          <w:rFonts w:hint="eastAsia" w:ascii="宋体" w:hAnsi="宋体" w:eastAsia="宋体" w:cs="宋体"/>
          <w:color w:val="auto"/>
          <w:szCs w:val="24"/>
          <w:lang w:val="zh-CN"/>
        </w:rPr>
        <w:t>本授权书于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日签字生效，有效期至投标文件失效期止，</w:t>
      </w:r>
      <w:r>
        <w:rPr>
          <w:rFonts w:hint="eastAsia" w:ascii="宋体" w:hAnsi="宋体" w:eastAsia="宋体" w:cs="宋体"/>
          <w:color w:val="auto"/>
          <w:szCs w:val="21"/>
        </w:rPr>
        <w:t>代理人无转委托权，</w:t>
      </w:r>
      <w:r>
        <w:rPr>
          <w:rFonts w:hint="eastAsia" w:ascii="宋体" w:hAnsi="宋体" w:eastAsia="宋体" w:cs="宋体"/>
          <w:color w:val="auto"/>
          <w:szCs w:val="24"/>
          <w:lang w:val="zh-CN"/>
        </w:rPr>
        <w:t>特此声明。</w:t>
      </w:r>
    </w:p>
    <w:p w14:paraId="10D8AB6F">
      <w:pPr>
        <w:spacing w:before="120" w:after="120" w:line="360" w:lineRule="auto"/>
        <w:ind w:left="853" w:leftChars="136" w:hanging="567"/>
        <w:rPr>
          <w:rFonts w:ascii="宋体" w:hAnsi="宋体" w:eastAsia="宋体" w:cs="宋体"/>
          <w:color w:val="auto"/>
          <w:szCs w:val="24"/>
        </w:rPr>
      </w:pPr>
    </w:p>
    <w:p w14:paraId="63357FBD">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投  标  人：（加盖投标人法人公章）</w:t>
      </w:r>
    </w:p>
    <w:p w14:paraId="16725B44">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投标人地址：</w:t>
      </w:r>
    </w:p>
    <w:p w14:paraId="3C23FEDE">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法定代表人（签名或盖私章）：</w:t>
      </w:r>
    </w:p>
    <w:p w14:paraId="4BF56935">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20D1F8F0">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被授权人（签名或盖私章）：</w:t>
      </w:r>
    </w:p>
    <w:p w14:paraId="3247CB22">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074896D2">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被授权人联系手机：</w:t>
      </w:r>
    </w:p>
    <w:p w14:paraId="06CEA400">
      <w:pPr>
        <w:spacing w:before="120" w:after="120" w:line="360" w:lineRule="auto"/>
        <w:ind w:left="4767" w:leftChars="2000" w:hanging="567"/>
        <w:rPr>
          <w:rFonts w:ascii="宋体" w:hAnsi="宋体" w:eastAsia="宋体" w:cs="宋体"/>
          <w:color w:val="auto"/>
          <w:szCs w:val="24"/>
          <w:lang w:val="zh-CN"/>
        </w:rPr>
      </w:pPr>
      <w:r>
        <w:rPr>
          <w:rFonts w:hint="eastAsia" w:ascii="宋体" w:hAnsi="宋体" w:eastAsia="宋体" w:cs="宋体"/>
          <w:color w:val="auto"/>
          <w:szCs w:val="24"/>
          <w:lang w:val="zh-CN"/>
        </w:rPr>
        <w:t>电 子 邮 箱：</w:t>
      </w:r>
    </w:p>
    <w:p w14:paraId="40763FD5">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4"/>
          <w:lang w:val="zh-CN"/>
        </w:rPr>
        <w:br w:type="page"/>
      </w:r>
      <w:r>
        <w:rPr>
          <w:rFonts w:hint="eastAsia" w:ascii="宋体" w:hAnsi="宋体" w:eastAsia="宋体" w:cs="宋体"/>
          <w:color w:val="auto"/>
          <w:szCs w:val="24"/>
        </w:rPr>
        <w:t>附 法定代表人、被授权人身份证复印件</w:t>
      </w:r>
    </w:p>
    <w:p w14:paraId="137BB230">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FD0EFA9"/>
                          <w:p w14:paraId="1D87107F"/>
                          <w:p w14:paraId="61909367"/>
                          <w:p w14:paraId="0273CA43"/>
                          <w:p w14:paraId="2F2318C6">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FD0EFA9"/>
                    <w:p w14:paraId="1D87107F"/>
                    <w:p w14:paraId="61909367"/>
                    <w:p w14:paraId="0273CA43"/>
                    <w:p w14:paraId="2F2318C6">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5682813"/>
                          <w:p w14:paraId="07D606D2"/>
                          <w:p w14:paraId="38D05652"/>
                          <w:p w14:paraId="2B8C4BD3"/>
                          <w:p w14:paraId="4045B4C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5682813"/>
                    <w:p w14:paraId="07D606D2"/>
                    <w:p w14:paraId="38D05652"/>
                    <w:p w14:paraId="2B8C4BD3"/>
                    <w:p w14:paraId="4045B4CB">
                      <w:pPr>
                        <w:jc w:val="center"/>
                        <w:rPr>
                          <w:rFonts w:hAnsi="宋体"/>
                        </w:rPr>
                      </w:pPr>
                      <w:r>
                        <w:rPr>
                          <w:rFonts w:hint="eastAsia" w:hAnsi="宋体"/>
                        </w:rPr>
                        <w:t>法定代表人身份证正面</w:t>
                      </w:r>
                    </w:p>
                  </w:txbxContent>
                </v:textbox>
              </v:shape>
            </w:pict>
          </mc:Fallback>
        </mc:AlternateContent>
      </w:r>
    </w:p>
    <w:p w14:paraId="4D35B31A">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2024C0BE">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3D02F9C3">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36348548">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17E9F406">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05434DFE">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0213CB84">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4C7329F2">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791CFC15">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7E12BC2"/>
                          <w:p w14:paraId="245883AD">
                            <w:pPr>
                              <w:jc w:val="center"/>
                              <w:rPr>
                                <w:rFonts w:hAnsi="宋体"/>
                                <w:color w:val="FF0000"/>
                              </w:rPr>
                            </w:pPr>
                          </w:p>
                          <w:p w14:paraId="72C04149">
                            <w:pPr>
                              <w:jc w:val="center"/>
                              <w:rPr>
                                <w:rFonts w:hAnsi="宋体"/>
                                <w:color w:val="FF0000"/>
                              </w:rPr>
                            </w:pPr>
                          </w:p>
                          <w:p w14:paraId="54958B9F">
                            <w:pPr>
                              <w:jc w:val="center"/>
                              <w:rPr>
                                <w:rFonts w:hAnsi="宋体"/>
                                <w:color w:val="FF0000"/>
                              </w:rPr>
                            </w:pPr>
                          </w:p>
                          <w:p w14:paraId="081A4794">
                            <w:pPr>
                              <w:jc w:val="center"/>
                            </w:pPr>
                            <w:r>
                              <w:rPr>
                                <w:rFonts w:hint="eastAsia" w:hAnsi="宋体"/>
                              </w:rPr>
                              <w:t>被授权人身份证反面</w:t>
                            </w:r>
                          </w:p>
                          <w:p w14:paraId="7338B30F"/>
                          <w:p w14:paraId="613A2C6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7E12BC2"/>
                    <w:p w14:paraId="245883AD">
                      <w:pPr>
                        <w:jc w:val="center"/>
                        <w:rPr>
                          <w:rFonts w:hAnsi="宋体"/>
                          <w:color w:val="FF0000"/>
                        </w:rPr>
                      </w:pPr>
                    </w:p>
                    <w:p w14:paraId="72C04149">
                      <w:pPr>
                        <w:jc w:val="center"/>
                        <w:rPr>
                          <w:rFonts w:hAnsi="宋体"/>
                          <w:color w:val="FF0000"/>
                        </w:rPr>
                      </w:pPr>
                    </w:p>
                    <w:p w14:paraId="54958B9F">
                      <w:pPr>
                        <w:jc w:val="center"/>
                        <w:rPr>
                          <w:rFonts w:hAnsi="宋体"/>
                          <w:color w:val="FF0000"/>
                        </w:rPr>
                      </w:pPr>
                    </w:p>
                    <w:p w14:paraId="081A4794">
                      <w:pPr>
                        <w:jc w:val="center"/>
                      </w:pPr>
                      <w:r>
                        <w:rPr>
                          <w:rFonts w:hint="eastAsia" w:hAnsi="宋体"/>
                        </w:rPr>
                        <w:t>被授权人身份证反面</w:t>
                      </w:r>
                    </w:p>
                    <w:p w14:paraId="7338B30F"/>
                    <w:p w14:paraId="613A2C6D"/>
                  </w:txbxContent>
                </v:textbox>
              </v:shape>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F18D7C9"/>
                          <w:p w14:paraId="371B0B18">
                            <w:pPr>
                              <w:jc w:val="center"/>
                              <w:rPr>
                                <w:rFonts w:hAnsi="宋体"/>
                                <w:color w:val="FF0000"/>
                              </w:rPr>
                            </w:pPr>
                          </w:p>
                          <w:p w14:paraId="23855FBA">
                            <w:pPr>
                              <w:jc w:val="center"/>
                              <w:rPr>
                                <w:rFonts w:hAnsi="宋体"/>
                                <w:color w:val="FF0000"/>
                              </w:rPr>
                            </w:pPr>
                          </w:p>
                          <w:p w14:paraId="4EB62B66">
                            <w:pPr>
                              <w:jc w:val="center"/>
                              <w:rPr>
                                <w:rFonts w:hAnsi="宋体"/>
                                <w:color w:val="FF0000"/>
                              </w:rPr>
                            </w:pPr>
                          </w:p>
                          <w:p w14:paraId="3DABD72C">
                            <w:pPr>
                              <w:jc w:val="center"/>
                            </w:pPr>
                            <w:r>
                              <w:rPr>
                                <w:rFonts w:hint="eastAsia" w:hAnsi="宋体"/>
                              </w:rPr>
                              <w:t>被授权人身份证正面</w:t>
                            </w:r>
                          </w:p>
                          <w:p w14:paraId="046A9B23"/>
                          <w:p w14:paraId="08CE53A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F18D7C9"/>
                    <w:p w14:paraId="371B0B18">
                      <w:pPr>
                        <w:jc w:val="center"/>
                        <w:rPr>
                          <w:rFonts w:hAnsi="宋体"/>
                          <w:color w:val="FF0000"/>
                        </w:rPr>
                      </w:pPr>
                    </w:p>
                    <w:p w14:paraId="23855FBA">
                      <w:pPr>
                        <w:jc w:val="center"/>
                        <w:rPr>
                          <w:rFonts w:hAnsi="宋体"/>
                          <w:color w:val="FF0000"/>
                        </w:rPr>
                      </w:pPr>
                    </w:p>
                    <w:p w14:paraId="4EB62B66">
                      <w:pPr>
                        <w:jc w:val="center"/>
                        <w:rPr>
                          <w:rFonts w:hAnsi="宋体"/>
                          <w:color w:val="FF0000"/>
                        </w:rPr>
                      </w:pPr>
                    </w:p>
                    <w:p w14:paraId="3DABD72C">
                      <w:pPr>
                        <w:jc w:val="center"/>
                      </w:pPr>
                      <w:r>
                        <w:rPr>
                          <w:rFonts w:hint="eastAsia" w:hAnsi="宋体"/>
                        </w:rPr>
                        <w:t>被授权人身份证正面</w:t>
                      </w:r>
                    </w:p>
                    <w:p w14:paraId="046A9B23"/>
                    <w:p w14:paraId="08CE53A0"/>
                  </w:txbxContent>
                </v:textbox>
              </v:shape>
            </w:pict>
          </mc:Fallback>
        </mc:AlternateContent>
      </w:r>
    </w:p>
    <w:p w14:paraId="6E6AE6A8">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161FAA74">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57DADB83">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02241359">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3D07003E">
      <w:pPr>
        <w:widowControl/>
        <w:autoSpaceDE w:val="0"/>
        <w:autoSpaceDN w:val="0"/>
        <w:spacing w:before="120" w:after="120" w:line="360" w:lineRule="auto"/>
        <w:ind w:left="-210" w:right="781" w:rightChars="372" w:firstLine="420" w:firstLineChars="200"/>
        <w:textAlignment w:val="bottom"/>
        <w:rPr>
          <w:rFonts w:ascii="宋体" w:hAnsi="宋体" w:eastAsia="宋体" w:cs="宋体"/>
          <w:color w:val="auto"/>
          <w:szCs w:val="24"/>
        </w:rPr>
      </w:pPr>
    </w:p>
    <w:p w14:paraId="0B066D1C">
      <w:pPr>
        <w:widowControl/>
        <w:autoSpaceDE w:val="0"/>
        <w:autoSpaceDN w:val="0"/>
        <w:spacing w:before="120" w:after="120" w:line="360" w:lineRule="auto"/>
        <w:ind w:left="-210" w:right="781" w:rightChars="372" w:firstLine="422" w:firstLineChars="200"/>
        <w:textAlignment w:val="bottom"/>
        <w:rPr>
          <w:rFonts w:ascii="宋体" w:hAnsi="宋体" w:eastAsia="宋体" w:cs="宋体"/>
          <w:b/>
          <w:color w:val="auto"/>
          <w:szCs w:val="24"/>
        </w:rPr>
        <w:sectPr>
          <w:footerReference r:id="rId11" w:type="first"/>
          <w:footerReference r:id="rId10"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rPr>
        <w:t>注：上述所附身份证应在有效期限内。</w:t>
      </w:r>
    </w:p>
    <w:p w14:paraId="5248A28F">
      <w:pPr>
        <w:pStyle w:val="4"/>
        <w:pageBreakBefore/>
        <w:spacing w:line="360" w:lineRule="auto"/>
        <w:ind w:left="603" w:hanging="813"/>
        <w:rPr>
          <w:rFonts w:hAnsi="宋体" w:cs="宋体"/>
          <w:b/>
          <w:color w:val="auto"/>
          <w:sz w:val="30"/>
          <w:szCs w:val="30"/>
          <w:lang w:val="zh-CN"/>
        </w:rPr>
      </w:pPr>
      <w:bookmarkStart w:id="514" w:name="_Toc21041"/>
      <w:bookmarkStart w:id="515" w:name="_Toc12400"/>
      <w:bookmarkStart w:id="516" w:name="_Toc32328"/>
      <w:bookmarkStart w:id="517" w:name="_Toc15716"/>
      <w:bookmarkStart w:id="518" w:name="_Toc104991880"/>
      <w:bookmarkStart w:id="519" w:name="_Toc142508373"/>
      <w:bookmarkStart w:id="520" w:name="_Toc94107214"/>
      <w:bookmarkStart w:id="521" w:name="_Toc1977730"/>
      <w:bookmarkStart w:id="522" w:name="_Toc140596933"/>
      <w:r>
        <w:rPr>
          <w:rFonts w:hint="eastAsia" w:hAnsi="宋体" w:cs="宋体"/>
          <w:b/>
          <w:color w:val="auto"/>
          <w:sz w:val="30"/>
          <w:szCs w:val="30"/>
        </w:rPr>
        <w:t xml:space="preserve">5.6 </w:t>
      </w:r>
      <w:r>
        <w:rPr>
          <w:rFonts w:hint="eastAsia" w:hAnsi="宋体" w:cs="宋体"/>
          <w:b/>
          <w:bCs/>
          <w:color w:val="auto"/>
          <w:kern w:val="2"/>
          <w:sz w:val="32"/>
          <w:szCs w:val="32"/>
        </w:rPr>
        <w:t>资格业绩</w:t>
      </w:r>
      <w:r>
        <w:rPr>
          <w:rFonts w:hint="eastAsia" w:hAnsi="宋体" w:cs="宋体"/>
          <w:b/>
          <w:bCs/>
          <w:color w:val="auto"/>
          <w:sz w:val="32"/>
          <w:szCs w:val="32"/>
        </w:rPr>
        <w:t>【投标人提供一份2021年1月1日（以合同签订时间为准）至今，至少承接过1项已完成排水泵站或排涝泵站或污水厂设备维修（或重置或改造）或机电设备安装项目业绩</w:t>
      </w:r>
      <w:bookmarkEnd w:id="514"/>
      <w:bookmarkEnd w:id="515"/>
      <w:bookmarkEnd w:id="516"/>
      <w:bookmarkEnd w:id="517"/>
      <w:r>
        <w:rPr>
          <w:rFonts w:hint="eastAsia" w:hAnsi="宋体" w:cs="宋体"/>
          <w:b/>
          <w:bCs/>
          <w:color w:val="auto"/>
          <w:sz w:val="32"/>
          <w:szCs w:val="32"/>
        </w:rPr>
        <w:t>】</w:t>
      </w:r>
    </w:p>
    <w:p w14:paraId="479131D3">
      <w:pPr>
        <w:spacing w:line="360" w:lineRule="auto"/>
        <w:ind w:left="359" w:hanging="569"/>
        <w:rPr>
          <w:rFonts w:ascii="宋体" w:hAnsi="宋体" w:eastAsia="宋体" w:cs="宋体"/>
          <w:b/>
          <w:color w:val="auto"/>
          <w:szCs w:val="21"/>
          <w:lang w:val="zh-CN"/>
        </w:rPr>
      </w:pP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08"/>
        <w:gridCol w:w="1031"/>
        <w:gridCol w:w="1034"/>
        <w:gridCol w:w="1034"/>
        <w:gridCol w:w="1034"/>
        <w:gridCol w:w="1207"/>
        <w:gridCol w:w="1034"/>
        <w:gridCol w:w="1454"/>
        <w:gridCol w:w="595"/>
      </w:tblGrid>
      <w:tr w14:paraId="100B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88" w:type="pct"/>
            <w:vAlign w:val="center"/>
          </w:tcPr>
          <w:p w14:paraId="28313861">
            <w:pPr>
              <w:jc w:val="center"/>
              <w:rPr>
                <w:rFonts w:ascii="宋体" w:hAnsi="宋体" w:eastAsia="宋体" w:cs="宋体"/>
                <w:color w:val="auto"/>
                <w:szCs w:val="21"/>
              </w:rPr>
            </w:pPr>
            <w:r>
              <w:rPr>
                <w:rFonts w:hint="eastAsia" w:ascii="宋体" w:hAnsi="宋体" w:eastAsia="宋体" w:cs="宋体"/>
                <w:color w:val="auto"/>
                <w:szCs w:val="21"/>
              </w:rPr>
              <w:t>序号</w:t>
            </w:r>
          </w:p>
        </w:tc>
        <w:tc>
          <w:tcPr>
            <w:tcW w:w="565" w:type="pct"/>
            <w:vAlign w:val="center"/>
          </w:tcPr>
          <w:p w14:paraId="034CBB15">
            <w:pPr>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566" w:type="pct"/>
            <w:vAlign w:val="center"/>
          </w:tcPr>
          <w:p w14:paraId="31B1BFF0">
            <w:pPr>
              <w:jc w:val="center"/>
              <w:rPr>
                <w:rFonts w:ascii="宋体" w:hAnsi="宋体" w:eastAsia="宋体" w:cs="宋体"/>
                <w:color w:val="auto"/>
                <w:szCs w:val="21"/>
              </w:rPr>
            </w:pPr>
            <w:r>
              <w:rPr>
                <w:rFonts w:hint="eastAsia" w:ascii="宋体" w:hAnsi="宋体" w:eastAsia="宋体" w:cs="宋体"/>
                <w:color w:val="auto"/>
                <w:szCs w:val="21"/>
              </w:rPr>
              <w:t>合同金额（万元）</w:t>
            </w:r>
          </w:p>
        </w:tc>
        <w:tc>
          <w:tcPr>
            <w:tcW w:w="566" w:type="pct"/>
            <w:vAlign w:val="center"/>
          </w:tcPr>
          <w:p w14:paraId="0B1D3395">
            <w:pPr>
              <w:jc w:val="center"/>
              <w:rPr>
                <w:rFonts w:ascii="宋体" w:hAnsi="宋体" w:eastAsia="宋体" w:cs="宋体"/>
                <w:color w:val="auto"/>
                <w:szCs w:val="21"/>
              </w:rPr>
            </w:pPr>
            <w:r>
              <w:rPr>
                <w:rFonts w:hint="eastAsia" w:ascii="宋体" w:hAnsi="宋体" w:eastAsia="宋体" w:cs="宋体"/>
                <w:color w:val="auto"/>
                <w:szCs w:val="21"/>
              </w:rPr>
              <w:t>合同主要服务内容</w:t>
            </w:r>
          </w:p>
        </w:tc>
        <w:tc>
          <w:tcPr>
            <w:tcW w:w="566" w:type="pct"/>
            <w:vAlign w:val="center"/>
          </w:tcPr>
          <w:p w14:paraId="7A5099FE">
            <w:pPr>
              <w:jc w:val="center"/>
              <w:rPr>
                <w:rFonts w:ascii="宋体" w:hAnsi="宋体" w:eastAsia="宋体" w:cs="宋体"/>
                <w:color w:val="auto"/>
                <w:szCs w:val="21"/>
              </w:rPr>
            </w:pPr>
            <w:r>
              <w:rPr>
                <w:rFonts w:hint="eastAsia" w:ascii="宋体" w:hAnsi="宋体" w:eastAsia="宋体" w:cs="宋体"/>
                <w:color w:val="auto"/>
                <w:szCs w:val="21"/>
              </w:rPr>
              <w:t>合同期限</w:t>
            </w:r>
          </w:p>
        </w:tc>
        <w:tc>
          <w:tcPr>
            <w:tcW w:w="661" w:type="pct"/>
            <w:vAlign w:val="center"/>
          </w:tcPr>
          <w:p w14:paraId="01308E54">
            <w:pPr>
              <w:jc w:val="center"/>
              <w:rPr>
                <w:rFonts w:ascii="宋体" w:hAnsi="宋体" w:eastAsia="宋体" w:cs="宋体"/>
                <w:color w:val="auto"/>
                <w:szCs w:val="21"/>
              </w:rPr>
            </w:pPr>
            <w:r>
              <w:rPr>
                <w:rFonts w:hint="eastAsia" w:ascii="宋体" w:hAnsi="宋体" w:eastAsia="宋体" w:cs="宋体"/>
                <w:color w:val="auto"/>
                <w:szCs w:val="21"/>
              </w:rPr>
              <w:t>签约日期</w:t>
            </w:r>
          </w:p>
        </w:tc>
        <w:tc>
          <w:tcPr>
            <w:tcW w:w="566" w:type="pct"/>
            <w:vAlign w:val="center"/>
          </w:tcPr>
          <w:p w14:paraId="3ED0D31B">
            <w:pPr>
              <w:jc w:val="center"/>
              <w:rPr>
                <w:rFonts w:ascii="宋体" w:hAnsi="宋体" w:eastAsia="宋体" w:cs="宋体"/>
                <w:color w:val="auto"/>
                <w:szCs w:val="21"/>
              </w:rPr>
            </w:pPr>
            <w:r>
              <w:rPr>
                <w:rFonts w:hint="eastAsia" w:ascii="宋体" w:hAnsi="宋体" w:eastAsia="宋体" w:cs="宋体"/>
                <w:color w:val="auto"/>
                <w:szCs w:val="21"/>
              </w:rPr>
              <w:t>服务完成情况</w:t>
            </w:r>
          </w:p>
        </w:tc>
        <w:tc>
          <w:tcPr>
            <w:tcW w:w="796" w:type="pct"/>
            <w:vAlign w:val="center"/>
          </w:tcPr>
          <w:p w14:paraId="6C3F7B30">
            <w:pPr>
              <w:jc w:val="center"/>
              <w:rPr>
                <w:rFonts w:ascii="宋体" w:hAnsi="宋体" w:eastAsia="宋体" w:cs="宋体"/>
                <w:color w:val="auto"/>
                <w:szCs w:val="21"/>
              </w:rPr>
            </w:pPr>
            <w:r>
              <w:rPr>
                <w:rFonts w:hint="eastAsia" w:ascii="宋体" w:hAnsi="宋体" w:eastAsia="宋体" w:cs="宋体"/>
                <w:color w:val="auto"/>
                <w:szCs w:val="21"/>
              </w:rPr>
              <w:t>业主联系人及电话</w:t>
            </w:r>
          </w:p>
        </w:tc>
        <w:tc>
          <w:tcPr>
            <w:tcW w:w="326" w:type="pct"/>
            <w:vAlign w:val="center"/>
          </w:tcPr>
          <w:p w14:paraId="5A65D792">
            <w:pPr>
              <w:jc w:val="center"/>
              <w:rPr>
                <w:rFonts w:ascii="宋体" w:hAnsi="宋体" w:eastAsia="宋体" w:cs="宋体"/>
                <w:color w:val="auto"/>
                <w:szCs w:val="21"/>
              </w:rPr>
            </w:pPr>
            <w:r>
              <w:rPr>
                <w:rFonts w:hint="eastAsia" w:ascii="宋体" w:hAnsi="宋体" w:eastAsia="宋体" w:cs="宋体"/>
                <w:color w:val="auto"/>
                <w:szCs w:val="21"/>
              </w:rPr>
              <w:t>备注</w:t>
            </w:r>
          </w:p>
        </w:tc>
      </w:tr>
      <w:tr w14:paraId="358B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88" w:type="pct"/>
            <w:vAlign w:val="center"/>
          </w:tcPr>
          <w:p w14:paraId="35C4B49D">
            <w:pPr>
              <w:jc w:val="center"/>
              <w:rPr>
                <w:rFonts w:ascii="宋体" w:hAnsi="宋体" w:eastAsia="宋体" w:cs="宋体"/>
                <w:color w:val="auto"/>
                <w:szCs w:val="21"/>
              </w:rPr>
            </w:pPr>
            <w:r>
              <w:rPr>
                <w:rFonts w:hint="eastAsia" w:ascii="宋体" w:hAnsi="宋体" w:eastAsia="宋体" w:cs="宋体"/>
                <w:color w:val="auto"/>
                <w:szCs w:val="21"/>
              </w:rPr>
              <w:t>1</w:t>
            </w:r>
          </w:p>
        </w:tc>
        <w:tc>
          <w:tcPr>
            <w:tcW w:w="565" w:type="pct"/>
            <w:vAlign w:val="center"/>
          </w:tcPr>
          <w:p w14:paraId="5651AA0C">
            <w:pPr>
              <w:jc w:val="center"/>
              <w:rPr>
                <w:rFonts w:ascii="宋体" w:hAnsi="宋体" w:eastAsia="宋体" w:cs="宋体"/>
                <w:color w:val="auto"/>
                <w:szCs w:val="21"/>
              </w:rPr>
            </w:pPr>
          </w:p>
        </w:tc>
        <w:tc>
          <w:tcPr>
            <w:tcW w:w="566" w:type="pct"/>
            <w:vAlign w:val="center"/>
          </w:tcPr>
          <w:p w14:paraId="15F58559">
            <w:pPr>
              <w:jc w:val="center"/>
              <w:rPr>
                <w:rFonts w:ascii="宋体" w:hAnsi="宋体" w:eastAsia="宋体" w:cs="宋体"/>
                <w:color w:val="auto"/>
                <w:szCs w:val="21"/>
              </w:rPr>
            </w:pPr>
          </w:p>
        </w:tc>
        <w:tc>
          <w:tcPr>
            <w:tcW w:w="566" w:type="pct"/>
            <w:vAlign w:val="center"/>
          </w:tcPr>
          <w:p w14:paraId="07096BE5">
            <w:pPr>
              <w:jc w:val="center"/>
              <w:rPr>
                <w:rFonts w:ascii="宋体" w:hAnsi="宋体" w:eastAsia="宋体" w:cs="宋体"/>
                <w:color w:val="auto"/>
                <w:szCs w:val="21"/>
              </w:rPr>
            </w:pPr>
          </w:p>
        </w:tc>
        <w:tc>
          <w:tcPr>
            <w:tcW w:w="566" w:type="pct"/>
            <w:vAlign w:val="center"/>
          </w:tcPr>
          <w:p w14:paraId="0F7CEB63">
            <w:pPr>
              <w:jc w:val="center"/>
              <w:rPr>
                <w:rFonts w:ascii="宋体" w:hAnsi="宋体" w:eastAsia="宋体" w:cs="宋体"/>
                <w:color w:val="auto"/>
                <w:szCs w:val="21"/>
              </w:rPr>
            </w:pPr>
          </w:p>
        </w:tc>
        <w:tc>
          <w:tcPr>
            <w:tcW w:w="661" w:type="pct"/>
            <w:vAlign w:val="center"/>
          </w:tcPr>
          <w:p w14:paraId="465EFB79">
            <w:pPr>
              <w:jc w:val="center"/>
              <w:rPr>
                <w:rFonts w:ascii="宋体" w:hAnsi="宋体" w:eastAsia="宋体" w:cs="宋体"/>
                <w:color w:val="auto"/>
                <w:szCs w:val="21"/>
              </w:rPr>
            </w:pPr>
          </w:p>
        </w:tc>
        <w:tc>
          <w:tcPr>
            <w:tcW w:w="566" w:type="pct"/>
          </w:tcPr>
          <w:p w14:paraId="44E227E0">
            <w:pPr>
              <w:jc w:val="center"/>
              <w:rPr>
                <w:rFonts w:ascii="宋体" w:hAnsi="宋体" w:eastAsia="宋体" w:cs="宋体"/>
                <w:color w:val="auto"/>
                <w:szCs w:val="21"/>
              </w:rPr>
            </w:pPr>
          </w:p>
        </w:tc>
        <w:tc>
          <w:tcPr>
            <w:tcW w:w="796" w:type="pct"/>
            <w:vAlign w:val="center"/>
          </w:tcPr>
          <w:p w14:paraId="33208AD3">
            <w:pPr>
              <w:jc w:val="center"/>
              <w:rPr>
                <w:rFonts w:ascii="宋体" w:hAnsi="宋体" w:eastAsia="宋体" w:cs="宋体"/>
                <w:color w:val="auto"/>
                <w:szCs w:val="21"/>
              </w:rPr>
            </w:pPr>
          </w:p>
        </w:tc>
        <w:tc>
          <w:tcPr>
            <w:tcW w:w="326" w:type="pct"/>
            <w:vAlign w:val="center"/>
          </w:tcPr>
          <w:p w14:paraId="027AA150">
            <w:pPr>
              <w:jc w:val="center"/>
              <w:rPr>
                <w:rFonts w:ascii="宋体" w:hAnsi="宋体" w:eastAsia="宋体" w:cs="宋体"/>
                <w:color w:val="auto"/>
                <w:szCs w:val="21"/>
              </w:rPr>
            </w:pPr>
          </w:p>
        </w:tc>
      </w:tr>
      <w:tr w14:paraId="130F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88" w:type="pct"/>
            <w:vAlign w:val="center"/>
          </w:tcPr>
          <w:p w14:paraId="393083DB">
            <w:pPr>
              <w:jc w:val="center"/>
              <w:rPr>
                <w:rFonts w:ascii="宋体" w:hAnsi="宋体" w:eastAsia="宋体" w:cs="宋体"/>
                <w:color w:val="auto"/>
                <w:szCs w:val="21"/>
              </w:rPr>
            </w:pPr>
            <w:r>
              <w:rPr>
                <w:rFonts w:hint="eastAsia" w:ascii="宋体" w:hAnsi="宋体" w:eastAsia="宋体" w:cs="宋体"/>
                <w:color w:val="auto"/>
                <w:szCs w:val="21"/>
              </w:rPr>
              <w:t>2</w:t>
            </w:r>
          </w:p>
        </w:tc>
        <w:tc>
          <w:tcPr>
            <w:tcW w:w="565" w:type="pct"/>
            <w:vAlign w:val="center"/>
          </w:tcPr>
          <w:p w14:paraId="153F4985">
            <w:pPr>
              <w:jc w:val="center"/>
              <w:rPr>
                <w:rFonts w:ascii="宋体" w:hAnsi="宋体" w:eastAsia="宋体" w:cs="宋体"/>
                <w:color w:val="auto"/>
                <w:szCs w:val="21"/>
              </w:rPr>
            </w:pPr>
          </w:p>
        </w:tc>
        <w:tc>
          <w:tcPr>
            <w:tcW w:w="566" w:type="pct"/>
            <w:vAlign w:val="center"/>
          </w:tcPr>
          <w:p w14:paraId="37F42871">
            <w:pPr>
              <w:jc w:val="center"/>
              <w:rPr>
                <w:rFonts w:ascii="宋体" w:hAnsi="宋体" w:eastAsia="宋体" w:cs="宋体"/>
                <w:color w:val="auto"/>
                <w:szCs w:val="21"/>
              </w:rPr>
            </w:pPr>
          </w:p>
        </w:tc>
        <w:tc>
          <w:tcPr>
            <w:tcW w:w="566" w:type="pct"/>
            <w:vAlign w:val="center"/>
          </w:tcPr>
          <w:p w14:paraId="2CC04893">
            <w:pPr>
              <w:jc w:val="center"/>
              <w:rPr>
                <w:rFonts w:ascii="宋体" w:hAnsi="宋体" w:eastAsia="宋体" w:cs="宋体"/>
                <w:color w:val="auto"/>
                <w:szCs w:val="21"/>
              </w:rPr>
            </w:pPr>
          </w:p>
        </w:tc>
        <w:tc>
          <w:tcPr>
            <w:tcW w:w="566" w:type="pct"/>
            <w:vAlign w:val="center"/>
          </w:tcPr>
          <w:p w14:paraId="67ACFADA">
            <w:pPr>
              <w:jc w:val="center"/>
              <w:rPr>
                <w:rFonts w:ascii="宋体" w:hAnsi="宋体" w:eastAsia="宋体" w:cs="宋体"/>
                <w:color w:val="auto"/>
                <w:szCs w:val="21"/>
              </w:rPr>
            </w:pPr>
          </w:p>
        </w:tc>
        <w:tc>
          <w:tcPr>
            <w:tcW w:w="661" w:type="pct"/>
            <w:vAlign w:val="center"/>
          </w:tcPr>
          <w:p w14:paraId="72207A06">
            <w:pPr>
              <w:jc w:val="center"/>
              <w:rPr>
                <w:rFonts w:ascii="宋体" w:hAnsi="宋体" w:eastAsia="宋体" w:cs="宋体"/>
                <w:color w:val="auto"/>
                <w:szCs w:val="21"/>
              </w:rPr>
            </w:pPr>
          </w:p>
        </w:tc>
        <w:tc>
          <w:tcPr>
            <w:tcW w:w="566" w:type="pct"/>
          </w:tcPr>
          <w:p w14:paraId="62F6298B">
            <w:pPr>
              <w:jc w:val="center"/>
              <w:rPr>
                <w:rFonts w:ascii="宋体" w:hAnsi="宋体" w:eastAsia="宋体" w:cs="宋体"/>
                <w:color w:val="auto"/>
                <w:szCs w:val="21"/>
              </w:rPr>
            </w:pPr>
          </w:p>
        </w:tc>
        <w:tc>
          <w:tcPr>
            <w:tcW w:w="796" w:type="pct"/>
            <w:vAlign w:val="center"/>
          </w:tcPr>
          <w:p w14:paraId="18A4B2F5">
            <w:pPr>
              <w:jc w:val="center"/>
              <w:rPr>
                <w:rFonts w:ascii="宋体" w:hAnsi="宋体" w:eastAsia="宋体" w:cs="宋体"/>
                <w:color w:val="auto"/>
                <w:szCs w:val="21"/>
              </w:rPr>
            </w:pPr>
          </w:p>
        </w:tc>
        <w:tc>
          <w:tcPr>
            <w:tcW w:w="326" w:type="pct"/>
            <w:vAlign w:val="center"/>
          </w:tcPr>
          <w:p w14:paraId="01722558">
            <w:pPr>
              <w:jc w:val="center"/>
              <w:rPr>
                <w:rFonts w:ascii="宋体" w:hAnsi="宋体" w:eastAsia="宋体" w:cs="宋体"/>
                <w:color w:val="auto"/>
                <w:szCs w:val="21"/>
              </w:rPr>
            </w:pPr>
          </w:p>
        </w:tc>
      </w:tr>
      <w:tr w14:paraId="6AB6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88" w:type="pct"/>
            <w:vAlign w:val="center"/>
          </w:tcPr>
          <w:p w14:paraId="4C2D81D9">
            <w:pPr>
              <w:jc w:val="center"/>
              <w:rPr>
                <w:rFonts w:ascii="宋体" w:hAnsi="宋体" w:eastAsia="宋体" w:cs="宋体"/>
                <w:color w:val="auto"/>
                <w:szCs w:val="21"/>
              </w:rPr>
            </w:pPr>
            <w:r>
              <w:rPr>
                <w:rFonts w:hint="eastAsia" w:ascii="宋体" w:hAnsi="宋体" w:eastAsia="宋体" w:cs="宋体"/>
                <w:color w:val="auto"/>
                <w:szCs w:val="21"/>
              </w:rPr>
              <w:t>3</w:t>
            </w:r>
          </w:p>
        </w:tc>
        <w:tc>
          <w:tcPr>
            <w:tcW w:w="565" w:type="pct"/>
            <w:vAlign w:val="center"/>
          </w:tcPr>
          <w:p w14:paraId="08DB4321">
            <w:pPr>
              <w:jc w:val="center"/>
              <w:rPr>
                <w:rFonts w:ascii="宋体" w:hAnsi="宋体" w:eastAsia="宋体" w:cs="宋体"/>
                <w:color w:val="auto"/>
                <w:szCs w:val="21"/>
              </w:rPr>
            </w:pPr>
          </w:p>
        </w:tc>
        <w:tc>
          <w:tcPr>
            <w:tcW w:w="566" w:type="pct"/>
            <w:vAlign w:val="center"/>
          </w:tcPr>
          <w:p w14:paraId="5EAB0A53">
            <w:pPr>
              <w:jc w:val="center"/>
              <w:rPr>
                <w:rFonts w:ascii="宋体" w:hAnsi="宋体" w:eastAsia="宋体" w:cs="宋体"/>
                <w:color w:val="auto"/>
                <w:szCs w:val="21"/>
              </w:rPr>
            </w:pPr>
          </w:p>
        </w:tc>
        <w:tc>
          <w:tcPr>
            <w:tcW w:w="566" w:type="pct"/>
            <w:vAlign w:val="center"/>
          </w:tcPr>
          <w:p w14:paraId="62B7FAFA">
            <w:pPr>
              <w:jc w:val="center"/>
              <w:rPr>
                <w:rFonts w:ascii="宋体" w:hAnsi="宋体" w:eastAsia="宋体" w:cs="宋体"/>
                <w:color w:val="auto"/>
                <w:szCs w:val="21"/>
              </w:rPr>
            </w:pPr>
          </w:p>
        </w:tc>
        <w:tc>
          <w:tcPr>
            <w:tcW w:w="566" w:type="pct"/>
            <w:vAlign w:val="center"/>
          </w:tcPr>
          <w:p w14:paraId="47242714">
            <w:pPr>
              <w:jc w:val="center"/>
              <w:rPr>
                <w:rFonts w:ascii="宋体" w:hAnsi="宋体" w:eastAsia="宋体" w:cs="宋体"/>
                <w:color w:val="auto"/>
                <w:szCs w:val="21"/>
              </w:rPr>
            </w:pPr>
          </w:p>
        </w:tc>
        <w:tc>
          <w:tcPr>
            <w:tcW w:w="661" w:type="pct"/>
            <w:vAlign w:val="center"/>
          </w:tcPr>
          <w:p w14:paraId="50FC176F">
            <w:pPr>
              <w:jc w:val="center"/>
              <w:rPr>
                <w:rFonts w:ascii="宋体" w:hAnsi="宋体" w:eastAsia="宋体" w:cs="宋体"/>
                <w:color w:val="auto"/>
                <w:szCs w:val="21"/>
              </w:rPr>
            </w:pPr>
          </w:p>
        </w:tc>
        <w:tc>
          <w:tcPr>
            <w:tcW w:w="566" w:type="pct"/>
          </w:tcPr>
          <w:p w14:paraId="721BF01D">
            <w:pPr>
              <w:jc w:val="center"/>
              <w:rPr>
                <w:rFonts w:ascii="宋体" w:hAnsi="宋体" w:eastAsia="宋体" w:cs="宋体"/>
                <w:color w:val="auto"/>
                <w:szCs w:val="21"/>
              </w:rPr>
            </w:pPr>
          </w:p>
        </w:tc>
        <w:tc>
          <w:tcPr>
            <w:tcW w:w="796" w:type="pct"/>
            <w:vAlign w:val="center"/>
          </w:tcPr>
          <w:p w14:paraId="34D76CDD">
            <w:pPr>
              <w:jc w:val="center"/>
              <w:rPr>
                <w:rFonts w:ascii="宋体" w:hAnsi="宋体" w:eastAsia="宋体" w:cs="宋体"/>
                <w:color w:val="auto"/>
                <w:szCs w:val="21"/>
              </w:rPr>
            </w:pPr>
          </w:p>
        </w:tc>
        <w:tc>
          <w:tcPr>
            <w:tcW w:w="326" w:type="pct"/>
            <w:vAlign w:val="center"/>
          </w:tcPr>
          <w:p w14:paraId="47783C84">
            <w:pPr>
              <w:jc w:val="center"/>
              <w:rPr>
                <w:rFonts w:ascii="宋体" w:hAnsi="宋体" w:eastAsia="宋体" w:cs="宋体"/>
                <w:color w:val="auto"/>
                <w:szCs w:val="21"/>
              </w:rPr>
            </w:pPr>
          </w:p>
        </w:tc>
      </w:tr>
      <w:tr w14:paraId="5BAC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88" w:type="pct"/>
            <w:vAlign w:val="center"/>
          </w:tcPr>
          <w:p w14:paraId="745F6DC0">
            <w:pPr>
              <w:jc w:val="center"/>
              <w:rPr>
                <w:rFonts w:ascii="宋体" w:hAnsi="宋体" w:eastAsia="宋体" w:cs="宋体"/>
                <w:color w:val="auto"/>
                <w:szCs w:val="21"/>
              </w:rPr>
            </w:pPr>
            <w:r>
              <w:rPr>
                <w:rFonts w:hint="eastAsia" w:ascii="宋体" w:hAnsi="宋体" w:eastAsia="宋体" w:cs="宋体"/>
                <w:color w:val="auto"/>
                <w:kern w:val="0"/>
                <w:szCs w:val="21"/>
              </w:rPr>
              <w:t>…</w:t>
            </w:r>
          </w:p>
        </w:tc>
        <w:tc>
          <w:tcPr>
            <w:tcW w:w="565" w:type="pct"/>
            <w:vAlign w:val="center"/>
          </w:tcPr>
          <w:p w14:paraId="0C0256F0">
            <w:pPr>
              <w:jc w:val="center"/>
              <w:rPr>
                <w:rFonts w:ascii="宋体" w:hAnsi="宋体" w:eastAsia="宋体" w:cs="宋体"/>
                <w:color w:val="auto"/>
                <w:szCs w:val="21"/>
              </w:rPr>
            </w:pPr>
          </w:p>
        </w:tc>
        <w:tc>
          <w:tcPr>
            <w:tcW w:w="566" w:type="pct"/>
            <w:vAlign w:val="center"/>
          </w:tcPr>
          <w:p w14:paraId="50CDF626">
            <w:pPr>
              <w:jc w:val="center"/>
              <w:rPr>
                <w:rFonts w:ascii="宋体" w:hAnsi="宋体" w:eastAsia="宋体" w:cs="宋体"/>
                <w:color w:val="auto"/>
                <w:szCs w:val="21"/>
              </w:rPr>
            </w:pPr>
          </w:p>
        </w:tc>
        <w:tc>
          <w:tcPr>
            <w:tcW w:w="566" w:type="pct"/>
            <w:vAlign w:val="center"/>
          </w:tcPr>
          <w:p w14:paraId="0868FC28">
            <w:pPr>
              <w:jc w:val="center"/>
              <w:rPr>
                <w:rFonts w:ascii="宋体" w:hAnsi="宋体" w:eastAsia="宋体" w:cs="宋体"/>
                <w:color w:val="auto"/>
                <w:szCs w:val="21"/>
              </w:rPr>
            </w:pPr>
          </w:p>
        </w:tc>
        <w:tc>
          <w:tcPr>
            <w:tcW w:w="566" w:type="pct"/>
            <w:vAlign w:val="center"/>
          </w:tcPr>
          <w:p w14:paraId="3E9E30AC">
            <w:pPr>
              <w:jc w:val="center"/>
              <w:rPr>
                <w:rFonts w:ascii="宋体" w:hAnsi="宋体" w:eastAsia="宋体" w:cs="宋体"/>
                <w:color w:val="auto"/>
                <w:szCs w:val="21"/>
              </w:rPr>
            </w:pPr>
          </w:p>
        </w:tc>
        <w:tc>
          <w:tcPr>
            <w:tcW w:w="661" w:type="pct"/>
            <w:vAlign w:val="center"/>
          </w:tcPr>
          <w:p w14:paraId="55BDFB6B">
            <w:pPr>
              <w:jc w:val="center"/>
              <w:rPr>
                <w:rFonts w:ascii="宋体" w:hAnsi="宋体" w:eastAsia="宋体" w:cs="宋体"/>
                <w:color w:val="auto"/>
                <w:szCs w:val="21"/>
              </w:rPr>
            </w:pPr>
          </w:p>
        </w:tc>
        <w:tc>
          <w:tcPr>
            <w:tcW w:w="566" w:type="pct"/>
          </w:tcPr>
          <w:p w14:paraId="746315E7">
            <w:pPr>
              <w:jc w:val="center"/>
              <w:rPr>
                <w:rFonts w:ascii="宋体" w:hAnsi="宋体" w:eastAsia="宋体" w:cs="宋体"/>
                <w:color w:val="auto"/>
                <w:szCs w:val="21"/>
              </w:rPr>
            </w:pPr>
          </w:p>
        </w:tc>
        <w:tc>
          <w:tcPr>
            <w:tcW w:w="796" w:type="pct"/>
            <w:vAlign w:val="center"/>
          </w:tcPr>
          <w:p w14:paraId="184C3D8D">
            <w:pPr>
              <w:jc w:val="center"/>
              <w:rPr>
                <w:rFonts w:ascii="宋体" w:hAnsi="宋体" w:eastAsia="宋体" w:cs="宋体"/>
                <w:color w:val="auto"/>
                <w:szCs w:val="21"/>
              </w:rPr>
            </w:pPr>
          </w:p>
        </w:tc>
        <w:tc>
          <w:tcPr>
            <w:tcW w:w="326" w:type="pct"/>
            <w:vAlign w:val="center"/>
          </w:tcPr>
          <w:p w14:paraId="3FE1FCCD">
            <w:pPr>
              <w:jc w:val="center"/>
              <w:rPr>
                <w:rFonts w:ascii="宋体" w:hAnsi="宋体" w:eastAsia="宋体" w:cs="宋体"/>
                <w:color w:val="auto"/>
                <w:szCs w:val="21"/>
              </w:rPr>
            </w:pPr>
          </w:p>
        </w:tc>
      </w:tr>
    </w:tbl>
    <w:p w14:paraId="72D1EEBA">
      <w:pPr>
        <w:spacing w:line="360" w:lineRule="auto"/>
        <w:ind w:left="424" w:hanging="424" w:hangingChars="201"/>
        <w:rPr>
          <w:rFonts w:ascii="宋体" w:hAnsi="宋体" w:eastAsia="宋体" w:cs="宋体"/>
          <w:b/>
          <w:color w:val="auto"/>
          <w:szCs w:val="21"/>
          <w:lang w:val="zh-CN"/>
        </w:rPr>
      </w:pPr>
    </w:p>
    <w:p w14:paraId="7AC045A9">
      <w:pPr>
        <w:spacing w:line="360" w:lineRule="auto"/>
        <w:ind w:left="424" w:hanging="424" w:hangingChars="201"/>
        <w:rPr>
          <w:rFonts w:ascii="宋体" w:hAnsi="宋体" w:eastAsia="宋体" w:cs="宋体"/>
          <w:b/>
          <w:color w:val="auto"/>
          <w:szCs w:val="21"/>
          <w:lang w:val="zh-CN"/>
        </w:rPr>
      </w:pPr>
      <w:r>
        <w:rPr>
          <w:rFonts w:hint="eastAsia" w:ascii="宋体" w:hAnsi="宋体" w:eastAsia="宋体" w:cs="宋体"/>
          <w:b/>
          <w:color w:val="auto"/>
          <w:szCs w:val="21"/>
          <w:lang w:val="zh-CN"/>
        </w:rPr>
        <w:t>资格业绩证明材料提交要求：</w:t>
      </w:r>
    </w:p>
    <w:p w14:paraId="3D3D5A68">
      <w:pPr>
        <w:autoSpaceDE w:val="0"/>
        <w:autoSpaceDN w:val="0"/>
        <w:adjustRightInd w:val="0"/>
        <w:spacing w:line="360" w:lineRule="auto"/>
        <w:ind w:left="569" w:hanging="569" w:hangingChars="270"/>
        <w:rPr>
          <w:rFonts w:ascii="宋体" w:hAnsi="宋体" w:eastAsia="宋体" w:cs="宋体"/>
          <w:b/>
          <w:bCs/>
          <w:color w:val="auto"/>
          <w:szCs w:val="24"/>
          <w:lang w:val="zh-CN"/>
        </w:rPr>
      </w:pPr>
      <w:bookmarkStart w:id="523" w:name="_Toc28207"/>
      <w:bookmarkStart w:id="524" w:name="_Toc12931"/>
      <w:bookmarkStart w:id="525" w:name="_Toc24862"/>
      <w:bookmarkStart w:id="526" w:name="_Toc20010"/>
      <w:r>
        <w:rPr>
          <w:rFonts w:hint="eastAsia" w:ascii="宋体" w:hAnsi="宋体" w:eastAsia="宋体" w:cs="宋体"/>
          <w:b/>
          <w:bCs/>
          <w:color w:val="auto"/>
          <w:szCs w:val="24"/>
          <w:lang w:val="zh-CN"/>
        </w:rPr>
        <w:t>（1）业绩必须附合同关键页（包括但不限于合同名称、合同签订时间、双方签字盖章页及反映资格条件的其他资料）复印件、任意一张</w:t>
      </w:r>
      <w:r>
        <w:rPr>
          <w:rFonts w:hint="eastAsia" w:ascii="宋体" w:hAnsi="宋体" w:eastAsia="宋体" w:cs="宋体"/>
          <w:b/>
          <w:bCs/>
          <w:color w:val="auto"/>
          <w:szCs w:val="24"/>
        </w:rPr>
        <w:t>对应的排水泵站或排涝泵站或污水厂设备维修（或重置或改造）或机电设备安装</w:t>
      </w:r>
      <w:r>
        <w:rPr>
          <w:rFonts w:hint="eastAsia" w:ascii="宋体" w:hAnsi="宋体" w:eastAsia="宋体" w:cs="宋体"/>
          <w:b/>
          <w:bCs/>
          <w:color w:val="auto"/>
          <w:szCs w:val="24"/>
          <w:lang w:val="zh-CN"/>
        </w:rPr>
        <w:t>发票</w:t>
      </w:r>
      <w:r>
        <w:rPr>
          <w:rFonts w:hint="eastAsia" w:ascii="宋体" w:hAnsi="宋体" w:eastAsia="宋体" w:cs="宋体"/>
          <w:b/>
          <w:bCs/>
          <w:color w:val="auto"/>
          <w:szCs w:val="24"/>
        </w:rPr>
        <w:t>及</w:t>
      </w:r>
      <w:r>
        <w:rPr>
          <w:rFonts w:hint="eastAsia" w:ascii="宋体" w:hAnsi="宋体" w:eastAsia="宋体" w:cs="宋体"/>
          <w:b/>
          <w:bCs/>
          <w:color w:val="auto"/>
          <w:szCs w:val="24"/>
          <w:lang w:val="zh-CN"/>
        </w:rPr>
        <w:t>相关验收证明；</w:t>
      </w:r>
    </w:p>
    <w:p w14:paraId="75C224EA">
      <w:pPr>
        <w:spacing w:line="360" w:lineRule="auto"/>
        <w:rPr>
          <w:rFonts w:ascii="宋体" w:hAnsi="宋体" w:eastAsia="宋体" w:cs="宋体"/>
          <w:b/>
          <w:bCs/>
          <w:color w:val="auto"/>
          <w:szCs w:val="24"/>
          <w:lang w:val="zh-CN"/>
        </w:rPr>
      </w:pPr>
      <w:r>
        <w:rPr>
          <w:rFonts w:hint="eastAsia" w:ascii="宋体" w:hAnsi="宋体" w:eastAsia="宋体" w:cs="宋体"/>
          <w:b/>
          <w:bCs/>
          <w:color w:val="auto"/>
          <w:szCs w:val="24"/>
          <w:lang w:val="zh-CN"/>
        </w:rPr>
        <w:t>（2）若投标人提供框架协议（或资格入围合同）的单项项目业绩，应同时提供框架协议（或资格入</w:t>
      </w:r>
    </w:p>
    <w:p w14:paraId="18E85873">
      <w:pPr>
        <w:spacing w:line="360" w:lineRule="auto"/>
        <w:ind w:firstLine="632" w:firstLineChars="300"/>
        <w:rPr>
          <w:rFonts w:hint="eastAsia" w:ascii="宋体" w:hAnsi="宋体" w:eastAsia="宋体" w:cs="宋体"/>
          <w:b/>
          <w:bCs/>
          <w:color w:val="auto"/>
          <w:szCs w:val="24"/>
        </w:rPr>
      </w:pPr>
      <w:r>
        <w:rPr>
          <w:rFonts w:hint="eastAsia" w:ascii="宋体" w:hAnsi="宋体" w:eastAsia="宋体" w:cs="宋体"/>
          <w:b/>
          <w:bCs/>
          <w:color w:val="auto"/>
          <w:szCs w:val="24"/>
          <w:lang w:val="zh-CN"/>
        </w:rPr>
        <w:t>围合同）复印件以及单项项目合同、对应的单项项目任意一张</w:t>
      </w:r>
      <w:r>
        <w:rPr>
          <w:rFonts w:hint="eastAsia" w:ascii="宋体" w:hAnsi="宋体" w:eastAsia="宋体" w:cs="宋体"/>
          <w:b/>
          <w:bCs/>
          <w:color w:val="auto"/>
          <w:szCs w:val="24"/>
        </w:rPr>
        <w:t>对应的排水泵站或排涝泵站或</w:t>
      </w:r>
    </w:p>
    <w:p w14:paraId="15E47A62">
      <w:pPr>
        <w:spacing w:line="360" w:lineRule="auto"/>
        <w:ind w:firstLine="632" w:firstLineChars="300"/>
        <w:rPr>
          <w:rFonts w:hint="eastAsia" w:ascii="宋体" w:hAnsi="宋体" w:eastAsia="宋体" w:cs="宋体"/>
          <w:b/>
          <w:bCs/>
          <w:color w:val="auto"/>
          <w:szCs w:val="24"/>
          <w:lang w:val="zh-CN"/>
        </w:rPr>
      </w:pPr>
      <w:r>
        <w:rPr>
          <w:rFonts w:hint="eastAsia" w:ascii="宋体" w:hAnsi="宋体" w:eastAsia="宋体" w:cs="宋体"/>
          <w:b/>
          <w:bCs/>
          <w:color w:val="auto"/>
          <w:szCs w:val="24"/>
        </w:rPr>
        <w:t>污水厂设备维修（或重置或改造）或机电设备安装</w:t>
      </w:r>
      <w:r>
        <w:rPr>
          <w:rFonts w:hint="eastAsia" w:ascii="宋体" w:hAnsi="宋体" w:eastAsia="宋体" w:cs="宋体"/>
          <w:b/>
          <w:bCs/>
          <w:color w:val="auto"/>
          <w:szCs w:val="24"/>
          <w:lang w:val="zh-CN"/>
        </w:rPr>
        <w:t>发票及相关验收证明，否则在评审时将不</w:t>
      </w:r>
    </w:p>
    <w:p w14:paraId="42CE890E">
      <w:pPr>
        <w:spacing w:line="360" w:lineRule="auto"/>
        <w:ind w:firstLine="632" w:firstLineChars="300"/>
        <w:rPr>
          <w:rFonts w:ascii="宋体" w:hAnsi="宋体" w:eastAsia="宋体" w:cs="宋体"/>
          <w:b/>
          <w:bCs/>
          <w:color w:val="auto"/>
          <w:szCs w:val="24"/>
          <w:lang w:val="zh-CN"/>
        </w:rPr>
      </w:pPr>
      <w:r>
        <w:rPr>
          <w:rFonts w:hint="eastAsia" w:ascii="宋体" w:hAnsi="宋体" w:eastAsia="宋体" w:cs="宋体"/>
          <w:b/>
          <w:bCs/>
          <w:color w:val="auto"/>
          <w:szCs w:val="24"/>
          <w:lang w:val="zh-CN"/>
        </w:rPr>
        <w:t>予考虑；</w:t>
      </w:r>
    </w:p>
    <w:p w14:paraId="086CA45F">
      <w:pPr>
        <w:autoSpaceDE w:val="0"/>
        <w:autoSpaceDN w:val="0"/>
        <w:adjustRightInd w:val="0"/>
        <w:spacing w:line="360" w:lineRule="auto"/>
        <w:ind w:left="569" w:hanging="569" w:hangingChars="270"/>
        <w:rPr>
          <w:rFonts w:ascii="宋体" w:hAnsi="宋体" w:eastAsia="宋体" w:cs="宋体"/>
          <w:b/>
          <w:bCs/>
          <w:color w:val="auto"/>
          <w:szCs w:val="24"/>
          <w:lang w:val="zh-CN"/>
        </w:rPr>
      </w:pPr>
      <w:r>
        <w:rPr>
          <w:rFonts w:hint="eastAsia" w:ascii="宋体" w:hAnsi="宋体" w:eastAsia="宋体" w:cs="宋体"/>
          <w:b/>
          <w:bCs/>
          <w:color w:val="auto"/>
          <w:szCs w:val="24"/>
          <w:lang w:val="zh-CN"/>
        </w:rPr>
        <w:t>（3）上述资料必须能反映资格条件（合同签订日期为2021年1月1日或以后，合同服务内容必须为对应的排水泵站或排涝泵站或污水厂设备维修（或重置或改造）或机电设备安装，合同金额），否则，须同时提供业主方出具的书面补充情况说明文件复印件作为辅助证明（复印件能显示业主方公章）；</w:t>
      </w:r>
    </w:p>
    <w:bookmarkEnd w:id="523"/>
    <w:p w14:paraId="4AEA9286">
      <w:pPr>
        <w:tabs>
          <w:tab w:val="left" w:pos="567"/>
        </w:tabs>
        <w:autoSpaceDE w:val="0"/>
        <w:autoSpaceDN w:val="0"/>
        <w:adjustRightInd w:val="0"/>
        <w:spacing w:line="360" w:lineRule="auto"/>
        <w:ind w:left="569" w:hanging="569" w:hangingChars="270"/>
        <w:jc w:val="left"/>
        <w:outlineLvl w:val="2"/>
        <w:rPr>
          <w:rFonts w:ascii="宋体" w:hAnsi="宋体" w:eastAsia="宋体" w:cs="宋体"/>
          <w:b/>
          <w:color w:val="auto"/>
          <w:szCs w:val="21"/>
          <w:lang w:val="zh-CN"/>
        </w:rPr>
      </w:pPr>
      <w:bookmarkStart w:id="527" w:name="_Toc17366"/>
      <w:r>
        <w:rPr>
          <w:rFonts w:hint="eastAsia" w:ascii="宋体" w:hAnsi="宋体" w:eastAsia="宋体" w:cs="宋体"/>
          <w:b/>
          <w:color w:val="auto"/>
          <w:szCs w:val="21"/>
          <w:lang w:val="zh-CN"/>
        </w:rPr>
        <w:t>（</w:t>
      </w:r>
      <w:r>
        <w:rPr>
          <w:rFonts w:hint="eastAsia" w:ascii="宋体" w:hAnsi="宋体" w:eastAsia="宋体" w:cs="宋体"/>
          <w:b/>
          <w:color w:val="auto"/>
          <w:szCs w:val="21"/>
        </w:rPr>
        <w:t>4</w:t>
      </w:r>
      <w:r>
        <w:rPr>
          <w:rFonts w:hint="eastAsia" w:ascii="宋体" w:hAnsi="宋体" w:eastAsia="宋体" w:cs="宋体"/>
          <w:b/>
          <w:color w:val="auto"/>
          <w:szCs w:val="21"/>
          <w:lang w:val="zh-CN"/>
        </w:rPr>
        <w:t>）</w:t>
      </w:r>
      <w:bookmarkEnd w:id="524"/>
      <w:bookmarkEnd w:id="525"/>
      <w:bookmarkEnd w:id="526"/>
      <w:r>
        <w:rPr>
          <w:rFonts w:hint="eastAsia" w:ascii="宋体" w:hAnsi="宋体" w:eastAsia="宋体" w:cs="宋体"/>
          <w:b/>
          <w:color w:val="auto"/>
          <w:szCs w:val="21"/>
          <w:lang w:val="zh-CN"/>
        </w:rPr>
        <w:t>未按上述要求在此格式下提供证明材料的业绩，或在此格式下所附材料无法证明符合资格要求的业绩，按无效投标文件处理。</w:t>
      </w:r>
      <w:bookmarkEnd w:id="527"/>
    </w:p>
    <w:p w14:paraId="2403F97F">
      <w:pPr>
        <w:pStyle w:val="19"/>
        <w:ind w:firstLine="210"/>
        <w:rPr>
          <w:color w:val="auto"/>
        </w:rPr>
      </w:pPr>
    </w:p>
    <w:p w14:paraId="4787364F">
      <w:pPr>
        <w:ind w:left="603" w:hanging="813"/>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293B3EE1">
      <w:pPr>
        <w:tabs>
          <w:tab w:val="left" w:pos="567"/>
        </w:tabs>
        <w:autoSpaceDE w:val="0"/>
        <w:autoSpaceDN w:val="0"/>
        <w:adjustRightInd w:val="0"/>
        <w:spacing w:line="360" w:lineRule="auto"/>
        <w:ind w:left="603" w:hanging="813"/>
        <w:jc w:val="left"/>
        <w:outlineLvl w:val="2"/>
        <w:rPr>
          <w:rFonts w:ascii="宋体" w:hAnsi="宋体" w:eastAsia="宋体" w:cs="宋体"/>
          <w:b/>
          <w:bCs/>
          <w:color w:val="auto"/>
          <w:sz w:val="32"/>
          <w:szCs w:val="32"/>
          <w:lang w:val="zh-CN"/>
        </w:rPr>
      </w:pPr>
      <w:bookmarkStart w:id="528" w:name="_Toc21843"/>
      <w:bookmarkStart w:id="529" w:name="_Toc8121"/>
      <w:bookmarkStart w:id="530" w:name="_Toc7122"/>
      <w:bookmarkStart w:id="531" w:name="_Toc7508"/>
      <w:r>
        <w:rPr>
          <w:rFonts w:hint="eastAsia" w:ascii="宋体" w:hAnsi="宋体" w:eastAsia="宋体" w:cs="宋体"/>
          <w:b/>
          <w:color w:val="auto"/>
          <w:kern w:val="0"/>
          <w:sz w:val="30"/>
          <w:szCs w:val="30"/>
        </w:rPr>
        <w:t>5.7 最近3年投标人牵涉的其他（失信和违法）处罚说明格式</w:t>
      </w:r>
      <w:bookmarkEnd w:id="518"/>
      <w:bookmarkEnd w:id="519"/>
      <w:bookmarkEnd w:id="520"/>
      <w:bookmarkEnd w:id="521"/>
      <w:bookmarkEnd w:id="522"/>
      <w:bookmarkEnd w:id="528"/>
      <w:bookmarkEnd w:id="529"/>
      <w:bookmarkEnd w:id="530"/>
      <w:bookmarkEnd w:id="531"/>
    </w:p>
    <w:p w14:paraId="60E810D5">
      <w:pPr>
        <w:autoSpaceDE w:val="0"/>
        <w:autoSpaceDN w:val="0"/>
        <w:adjustRightInd w:val="0"/>
        <w:spacing w:line="360" w:lineRule="auto"/>
        <w:ind w:left="603" w:hanging="813"/>
        <w:jc w:val="center"/>
        <w:rPr>
          <w:rFonts w:ascii="宋体" w:hAnsi="宋体" w:eastAsia="宋体" w:cs="宋体"/>
          <w:color w:val="auto"/>
          <w:kern w:val="0"/>
          <w:sz w:val="24"/>
          <w:szCs w:val="24"/>
        </w:rPr>
      </w:pPr>
      <w:r>
        <w:rPr>
          <w:rFonts w:hint="eastAsia" w:ascii="宋体" w:hAnsi="宋体" w:eastAsia="宋体" w:cs="宋体"/>
          <w:b/>
          <w:color w:val="auto"/>
          <w:kern w:val="0"/>
          <w:sz w:val="30"/>
          <w:szCs w:val="30"/>
        </w:rPr>
        <w:t>最近3年投标人牵涉的其他（失信和违法）</w:t>
      </w:r>
      <w:r>
        <w:rPr>
          <w:rFonts w:hint="eastAsia" w:ascii="宋体" w:hAnsi="宋体" w:eastAsia="宋体" w:cs="宋体"/>
          <w:b/>
          <w:bCs/>
          <w:color w:val="auto"/>
          <w:sz w:val="32"/>
          <w:szCs w:val="32"/>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C34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1DAA614">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 xml:space="preserve">         事项名称</w:t>
            </w:r>
          </w:p>
        </w:tc>
        <w:tc>
          <w:tcPr>
            <w:tcW w:w="1417" w:type="dxa"/>
            <w:vAlign w:val="center"/>
          </w:tcPr>
          <w:p w14:paraId="7C2219E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认定时间</w:t>
            </w:r>
          </w:p>
        </w:tc>
        <w:tc>
          <w:tcPr>
            <w:tcW w:w="2268" w:type="dxa"/>
          </w:tcPr>
          <w:p w14:paraId="43491F3E">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处罚期届满异常名录信息失效时间</w:t>
            </w:r>
          </w:p>
        </w:tc>
        <w:tc>
          <w:tcPr>
            <w:tcW w:w="1276" w:type="dxa"/>
            <w:vAlign w:val="center"/>
          </w:tcPr>
          <w:p w14:paraId="67406377">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6432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CCADB93">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是否被认定为失信被执行人</w:t>
            </w:r>
          </w:p>
        </w:tc>
        <w:tc>
          <w:tcPr>
            <w:tcW w:w="1417" w:type="dxa"/>
            <w:vAlign w:val="center"/>
          </w:tcPr>
          <w:p w14:paraId="0D569DE0">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4EF35D6F">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69545AF7">
            <w:pPr>
              <w:autoSpaceDE w:val="0"/>
              <w:autoSpaceDN w:val="0"/>
              <w:adjustRightInd w:val="0"/>
              <w:spacing w:line="360" w:lineRule="auto"/>
              <w:jc w:val="center"/>
              <w:rPr>
                <w:rFonts w:ascii="宋体" w:hAnsi="宋体" w:eastAsia="宋体" w:cs="宋体"/>
                <w:color w:val="auto"/>
                <w:kern w:val="0"/>
                <w:szCs w:val="21"/>
              </w:rPr>
            </w:pPr>
          </w:p>
        </w:tc>
      </w:tr>
      <w:tr w14:paraId="3CAE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66F3B0A">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是否被认定为重大税收违法失信主体</w:t>
            </w:r>
          </w:p>
        </w:tc>
        <w:tc>
          <w:tcPr>
            <w:tcW w:w="1417" w:type="dxa"/>
            <w:vAlign w:val="center"/>
          </w:tcPr>
          <w:p w14:paraId="7438906C">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39097C5E">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3BF4E2D0">
            <w:pPr>
              <w:autoSpaceDE w:val="0"/>
              <w:autoSpaceDN w:val="0"/>
              <w:adjustRightInd w:val="0"/>
              <w:spacing w:line="360" w:lineRule="auto"/>
              <w:jc w:val="center"/>
              <w:rPr>
                <w:rFonts w:ascii="宋体" w:hAnsi="宋体" w:eastAsia="宋体" w:cs="宋体"/>
                <w:color w:val="auto"/>
                <w:kern w:val="0"/>
                <w:szCs w:val="21"/>
              </w:rPr>
            </w:pPr>
          </w:p>
        </w:tc>
      </w:tr>
      <w:tr w14:paraId="0EB2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D903441">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是否被认定为政府采购严重违法失信行为记录名单</w:t>
            </w:r>
          </w:p>
        </w:tc>
        <w:tc>
          <w:tcPr>
            <w:tcW w:w="1417" w:type="dxa"/>
            <w:vAlign w:val="center"/>
          </w:tcPr>
          <w:p w14:paraId="20318B6A">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27BE2745">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44F539AA">
            <w:pPr>
              <w:autoSpaceDE w:val="0"/>
              <w:autoSpaceDN w:val="0"/>
              <w:adjustRightInd w:val="0"/>
              <w:spacing w:line="360" w:lineRule="auto"/>
              <w:jc w:val="center"/>
              <w:rPr>
                <w:rFonts w:ascii="宋体" w:hAnsi="宋体" w:eastAsia="宋体" w:cs="宋体"/>
                <w:color w:val="auto"/>
                <w:kern w:val="0"/>
                <w:szCs w:val="21"/>
              </w:rPr>
            </w:pPr>
          </w:p>
        </w:tc>
      </w:tr>
    </w:tbl>
    <w:p w14:paraId="5DB8F5FF">
      <w:pPr>
        <w:autoSpaceDE w:val="0"/>
        <w:autoSpaceDN w:val="0"/>
        <w:adjustRightInd w:val="0"/>
        <w:spacing w:line="360" w:lineRule="auto"/>
        <w:jc w:val="left"/>
        <w:rPr>
          <w:rFonts w:ascii="宋体" w:hAnsi="宋体" w:eastAsia="宋体" w:cs="宋体"/>
          <w:color w:val="auto"/>
          <w:kern w:val="0"/>
          <w:szCs w:val="21"/>
        </w:rPr>
      </w:pPr>
    </w:p>
    <w:p w14:paraId="1BC21A78">
      <w:pPr>
        <w:autoSpaceDE w:val="0"/>
        <w:autoSpaceDN w:val="0"/>
        <w:adjustRightInd w:val="0"/>
        <w:spacing w:line="360" w:lineRule="auto"/>
        <w:jc w:val="left"/>
        <w:rPr>
          <w:rFonts w:ascii="宋体" w:hAnsi="宋体" w:eastAsia="宋体" w:cs="宋体"/>
          <w:color w:val="auto"/>
          <w:szCs w:val="21"/>
          <w:lang w:val="zh-CN"/>
        </w:rPr>
      </w:pPr>
      <w:r>
        <w:rPr>
          <w:rFonts w:hint="eastAsia" w:ascii="宋体" w:hAnsi="宋体" w:eastAsia="宋体" w:cs="宋体"/>
          <w:color w:val="auto"/>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lang w:val="zh-CN"/>
        </w:rPr>
        <w:t>。</w:t>
      </w:r>
    </w:p>
    <w:p w14:paraId="007E377A">
      <w:pPr>
        <w:autoSpaceDE w:val="0"/>
        <w:autoSpaceDN w:val="0"/>
        <w:adjustRightInd w:val="0"/>
        <w:ind w:left="359" w:right="-23" w:rightChars="-11" w:hanging="569"/>
        <w:jc w:val="left"/>
        <w:rPr>
          <w:rFonts w:ascii="宋体" w:hAnsi="宋体" w:eastAsia="宋体" w:cs="宋体"/>
          <w:b/>
          <w:bCs/>
          <w:color w:val="auto"/>
          <w:kern w:val="0"/>
          <w:szCs w:val="21"/>
          <w:lang w:val="zh-CN"/>
        </w:rPr>
      </w:pPr>
    </w:p>
    <w:p w14:paraId="0522FA8C">
      <w:pPr>
        <w:autoSpaceDE w:val="0"/>
        <w:autoSpaceDN w:val="0"/>
        <w:adjustRightInd w:val="0"/>
        <w:spacing w:line="360" w:lineRule="auto"/>
        <w:ind w:left="438" w:hanging="648"/>
        <w:jc w:val="center"/>
        <w:rPr>
          <w:rFonts w:ascii="宋体" w:hAnsi="宋体" w:eastAsia="宋体" w:cs="宋体"/>
          <w:color w:val="auto"/>
          <w:kern w:val="0"/>
          <w:sz w:val="24"/>
          <w:szCs w:val="24"/>
        </w:rPr>
      </w:pPr>
    </w:p>
    <w:p w14:paraId="29F27B51">
      <w:pPr>
        <w:spacing w:line="360" w:lineRule="auto"/>
        <w:ind w:left="-210" w:firstLine="494" w:firstLineChars="206"/>
        <w:rPr>
          <w:rFonts w:ascii="宋体" w:hAnsi="宋体" w:eastAsia="宋体" w:cs="宋体"/>
          <w:color w:val="auto"/>
          <w:kern w:val="0"/>
          <w:sz w:val="24"/>
          <w:szCs w:val="24"/>
        </w:rPr>
      </w:pPr>
    </w:p>
    <w:p w14:paraId="5671A913">
      <w:pPr>
        <w:spacing w:line="360" w:lineRule="auto"/>
        <w:ind w:left="-210" w:firstLine="494" w:firstLineChars="206"/>
        <w:rPr>
          <w:rFonts w:ascii="宋体" w:hAnsi="宋体" w:eastAsia="宋体" w:cs="宋体"/>
          <w:color w:val="auto"/>
          <w:kern w:val="0"/>
          <w:sz w:val="24"/>
          <w:szCs w:val="24"/>
        </w:rPr>
      </w:pPr>
    </w:p>
    <w:p w14:paraId="617025DD">
      <w:pPr>
        <w:spacing w:line="360" w:lineRule="auto"/>
        <w:ind w:left="-210" w:firstLine="494" w:firstLineChars="206"/>
        <w:rPr>
          <w:rFonts w:ascii="宋体" w:hAnsi="宋体" w:eastAsia="宋体" w:cs="宋体"/>
          <w:color w:val="auto"/>
          <w:kern w:val="0"/>
          <w:sz w:val="24"/>
          <w:szCs w:val="24"/>
        </w:rPr>
      </w:pPr>
    </w:p>
    <w:p w14:paraId="26697D48">
      <w:pPr>
        <w:spacing w:line="360" w:lineRule="auto"/>
        <w:ind w:left="-210" w:right="368" w:rightChars="175" w:firstLine="5460" w:firstLineChars="2600"/>
        <w:jc w:val="left"/>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37F7FF82">
      <w:pPr>
        <w:autoSpaceDE w:val="0"/>
        <w:autoSpaceDN w:val="0"/>
        <w:adjustRightInd w:val="0"/>
        <w:spacing w:line="360" w:lineRule="auto"/>
        <w:ind w:left="-210" w:right="781" w:rightChars="372" w:firstLine="2811" w:firstLineChars="1339"/>
        <w:rPr>
          <w:rFonts w:ascii="宋体" w:hAnsi="宋体" w:eastAsia="宋体" w:cs="宋体"/>
          <w:color w:val="auto"/>
          <w:szCs w:val="24"/>
          <w:lang w:val="zh-CN"/>
        </w:rPr>
      </w:pPr>
      <w:r>
        <w:rPr>
          <w:rFonts w:hint="eastAsia" w:ascii="宋体" w:hAnsi="宋体" w:eastAsia="宋体" w:cs="宋体"/>
          <w:color w:val="auto"/>
          <w:szCs w:val="24"/>
          <w:lang w:val="zh-CN"/>
        </w:rPr>
        <w:t xml:space="preserve">                           日  期：   年  月  日</w:t>
      </w:r>
    </w:p>
    <w:p w14:paraId="4011FB96">
      <w:pPr>
        <w:rPr>
          <w:rFonts w:ascii="宋体" w:hAnsi="宋体" w:eastAsia="宋体" w:cs="宋体"/>
          <w:color w:val="auto"/>
          <w:szCs w:val="24"/>
          <w:lang w:val="zh-CN"/>
        </w:rPr>
      </w:pPr>
      <w:bookmarkStart w:id="532" w:name="_Toc102860079"/>
      <w:bookmarkStart w:id="533" w:name="_Toc2031_WPSOffice_Level2"/>
      <w:bookmarkStart w:id="534" w:name="_Toc142508374"/>
      <w:bookmarkStart w:id="535" w:name="_Toc94107215"/>
      <w:bookmarkStart w:id="536" w:name="_Toc104991881"/>
      <w:bookmarkStart w:id="537" w:name="_Toc102860423"/>
      <w:bookmarkStart w:id="538" w:name="_Toc486167714"/>
      <w:bookmarkStart w:id="539" w:name="_Toc533708126"/>
      <w:bookmarkStart w:id="540" w:name="_Toc30939"/>
      <w:bookmarkStart w:id="541" w:name="_Toc140596934"/>
      <w:bookmarkStart w:id="542" w:name="_Toc1977731"/>
      <w:bookmarkStart w:id="543" w:name="_Toc6412"/>
      <w:r>
        <w:rPr>
          <w:rFonts w:hint="eastAsia" w:ascii="宋体" w:hAnsi="宋体" w:eastAsia="宋体" w:cs="宋体"/>
          <w:color w:val="auto"/>
          <w:szCs w:val="24"/>
          <w:lang w:val="zh-CN"/>
        </w:rPr>
        <w:br w:type="page"/>
      </w:r>
    </w:p>
    <w:p w14:paraId="0CED8FC6">
      <w:pPr>
        <w:tabs>
          <w:tab w:val="left" w:pos="567"/>
        </w:tabs>
        <w:autoSpaceDE w:val="0"/>
        <w:autoSpaceDN w:val="0"/>
        <w:adjustRightInd w:val="0"/>
        <w:spacing w:line="360" w:lineRule="auto"/>
        <w:ind w:left="657" w:hanging="867"/>
        <w:jc w:val="left"/>
        <w:outlineLvl w:val="2"/>
        <w:rPr>
          <w:rFonts w:ascii="宋体" w:hAnsi="宋体" w:eastAsia="宋体" w:cs="宋体"/>
          <w:color w:val="auto"/>
          <w:kern w:val="0"/>
          <w:szCs w:val="21"/>
          <w:u w:val="single"/>
        </w:rPr>
      </w:pPr>
      <w:bookmarkStart w:id="544" w:name="_Toc17508"/>
      <w:bookmarkStart w:id="545" w:name="_Toc15206"/>
      <w:r>
        <w:rPr>
          <w:rFonts w:hint="eastAsia" w:ascii="宋体" w:hAnsi="宋体" w:eastAsia="宋体" w:cs="宋体"/>
          <w:b/>
          <w:color w:val="auto"/>
          <w:sz w:val="32"/>
          <w:szCs w:val="32"/>
        </w:rPr>
        <w:t>六</w:t>
      </w:r>
      <w:r>
        <w:rPr>
          <w:rFonts w:hint="eastAsia" w:ascii="宋体" w:hAnsi="宋体" w:eastAsia="宋体" w:cs="宋体"/>
          <w:b/>
          <w:color w:val="auto"/>
          <w:kern w:val="0"/>
          <w:sz w:val="32"/>
          <w:szCs w:val="32"/>
        </w:rPr>
        <w:t>、投标人基本情况一览表</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0B15016">
      <w:pPr>
        <w:autoSpaceDE w:val="0"/>
        <w:autoSpaceDN w:val="0"/>
        <w:adjustRightInd w:val="0"/>
        <w:spacing w:line="360" w:lineRule="auto"/>
        <w:ind w:left="603" w:hanging="813"/>
        <w:jc w:val="center"/>
        <w:rPr>
          <w:rFonts w:ascii="宋体" w:hAnsi="宋体" w:eastAsia="宋体" w:cs="宋体"/>
          <w:b/>
          <w:bCs/>
          <w:color w:val="auto"/>
          <w:sz w:val="30"/>
          <w:szCs w:val="30"/>
        </w:rPr>
      </w:pPr>
      <w:bookmarkStart w:id="546" w:name="_Toc2773_WPSOffice_Level3"/>
      <w:r>
        <w:rPr>
          <w:rFonts w:hint="eastAsia" w:ascii="宋体" w:hAnsi="宋体" w:eastAsia="宋体" w:cs="宋体"/>
          <w:b/>
          <w:bCs/>
          <w:color w:val="auto"/>
          <w:sz w:val="30"/>
          <w:szCs w:val="30"/>
          <w:lang w:val="zh-CN"/>
        </w:rPr>
        <w:t>投标人基本情况一览表</w:t>
      </w:r>
      <w:bookmarkEnd w:id="546"/>
    </w:p>
    <w:p w14:paraId="7D5A1575">
      <w:pPr>
        <w:autoSpaceDE w:val="0"/>
        <w:autoSpaceDN w:val="0"/>
        <w:adjustRightInd w:val="0"/>
        <w:spacing w:line="360" w:lineRule="auto"/>
        <w:ind w:hanging="567"/>
        <w:rPr>
          <w:rFonts w:ascii="宋体" w:hAnsi="宋体" w:eastAsia="宋体" w:cs="宋体"/>
          <w:color w:val="auto"/>
          <w:szCs w:val="21"/>
        </w:rPr>
      </w:pPr>
      <w:r>
        <w:rPr>
          <w:rFonts w:hint="eastAsia" w:ascii="宋体" w:hAnsi="宋体" w:eastAsia="宋体" w:cs="宋体"/>
          <w:color w:val="auto"/>
          <w:szCs w:val="21"/>
          <w:lang w:val="zh-CN"/>
        </w:rPr>
        <w:t>1．名称及概况：</w:t>
      </w:r>
    </w:p>
    <w:p w14:paraId="03F635EC">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（1）投标人名称：________________________________________</w:t>
      </w:r>
    </w:p>
    <w:p w14:paraId="177F6180">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（2）总部地址：__________________________________________</w:t>
      </w:r>
    </w:p>
    <w:p w14:paraId="0CCC18E9">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 xml:space="preserve">   邮政编码：__________________________________________</w:t>
      </w:r>
    </w:p>
    <w:p w14:paraId="0CE458F9">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 xml:space="preserve">     电话号码：__________________________________________ </w:t>
      </w:r>
    </w:p>
    <w:p w14:paraId="2F35F005">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 xml:space="preserve">     传真号码：__________________________________________ </w:t>
      </w:r>
    </w:p>
    <w:p w14:paraId="4345C60F">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（3）成立和／或注册日期：________________________________</w:t>
      </w:r>
    </w:p>
    <w:p w14:paraId="66CC09E9">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（4）法人代表：_____________________________________ ____</w:t>
      </w:r>
    </w:p>
    <w:p w14:paraId="3CA50F07">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（5）开户银行：__________________________________________</w:t>
      </w:r>
    </w:p>
    <w:p w14:paraId="233E6227">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（6）开户账号：__________________________________________</w:t>
      </w:r>
    </w:p>
    <w:p w14:paraId="2B482725">
      <w:pPr>
        <w:autoSpaceDE w:val="0"/>
        <w:autoSpaceDN w:val="0"/>
        <w:adjustRightInd w:val="0"/>
        <w:spacing w:line="360" w:lineRule="auto"/>
        <w:ind w:hanging="567"/>
        <w:rPr>
          <w:rFonts w:ascii="宋体" w:hAnsi="宋体" w:eastAsia="宋体" w:cs="宋体"/>
          <w:color w:val="auto"/>
          <w:szCs w:val="24"/>
          <w:lang w:val="zh-CN"/>
        </w:rPr>
      </w:pPr>
      <w:r>
        <w:rPr>
          <w:rFonts w:hint="eastAsia" w:ascii="宋体" w:hAnsi="宋体" w:eastAsia="宋体" w:cs="宋体"/>
          <w:color w:val="auto"/>
          <w:szCs w:val="24"/>
          <w:lang w:val="zh-CN"/>
        </w:rPr>
        <w:t>（7）注册资金：__________________________________________</w:t>
      </w:r>
    </w:p>
    <w:p w14:paraId="0A127A08">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（8）主要负责人姓名：____________________________________</w:t>
      </w:r>
    </w:p>
    <w:p w14:paraId="01E0323E">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 xml:space="preserve">（9）项目主要联系人（姓名、职务、通讯）：_________________   </w:t>
      </w:r>
    </w:p>
    <w:p w14:paraId="10F423E2">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（10）在中国的代表的姓名和地址（如有）：__________________</w:t>
      </w:r>
    </w:p>
    <w:p w14:paraId="011140CB">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2．供征询之银行的名称和地址：____________________________</w:t>
      </w:r>
    </w:p>
    <w:p w14:paraId="0DEF4BE5">
      <w:pPr>
        <w:autoSpaceDE w:val="0"/>
        <w:autoSpaceDN w:val="0"/>
        <w:adjustRightInd w:val="0"/>
        <w:spacing w:line="360" w:lineRule="auto"/>
        <w:rPr>
          <w:rFonts w:ascii="宋体" w:hAnsi="宋体" w:eastAsia="宋体" w:cs="宋体"/>
          <w:color w:val="auto"/>
          <w:szCs w:val="24"/>
        </w:rPr>
      </w:pPr>
      <w:r>
        <w:rPr>
          <w:rFonts w:hint="eastAsia" w:ascii="宋体" w:hAnsi="宋体" w:eastAsia="宋体" w:cs="宋体"/>
          <w:color w:val="auto"/>
          <w:szCs w:val="24"/>
          <w:lang w:val="zh-CN"/>
        </w:rPr>
        <w:t xml:space="preserve">    3．公司所隶属之国际集团名称（如果是）____________________</w:t>
      </w:r>
    </w:p>
    <w:p w14:paraId="303F40BF">
      <w:pPr>
        <w:autoSpaceDE w:val="0"/>
        <w:autoSpaceDN w:val="0"/>
        <w:adjustRightInd w:val="0"/>
        <w:spacing w:line="360" w:lineRule="auto"/>
        <w:ind w:hanging="567"/>
        <w:rPr>
          <w:rFonts w:ascii="宋体" w:hAnsi="宋体" w:eastAsia="宋体" w:cs="宋体"/>
          <w:color w:val="auto"/>
          <w:szCs w:val="24"/>
        </w:rPr>
      </w:pPr>
      <w:r>
        <w:rPr>
          <w:rFonts w:hint="eastAsia" w:ascii="宋体" w:hAnsi="宋体" w:eastAsia="宋体" w:cs="宋体"/>
          <w:color w:val="auto"/>
          <w:szCs w:val="24"/>
          <w:lang w:val="zh-CN"/>
        </w:rPr>
        <w:t>4. 提交资料（包括但不限于组织架构、公司简介等）：</w:t>
      </w:r>
    </w:p>
    <w:p w14:paraId="05A3B958">
      <w:pPr>
        <w:autoSpaceDE w:val="0"/>
        <w:autoSpaceDN w:val="0"/>
        <w:adjustRightInd w:val="0"/>
        <w:spacing w:line="360" w:lineRule="auto"/>
        <w:ind w:left="-210"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（1）公司简介；</w:t>
      </w:r>
    </w:p>
    <w:p w14:paraId="750A078C">
      <w:pPr>
        <w:autoSpaceDE w:val="0"/>
        <w:autoSpaceDN w:val="0"/>
        <w:adjustRightInd w:val="0"/>
        <w:spacing w:line="360" w:lineRule="auto"/>
        <w:ind w:left="-210"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__________________________________________________</w:t>
      </w:r>
    </w:p>
    <w:p w14:paraId="1CD06C40">
      <w:pPr>
        <w:autoSpaceDE w:val="0"/>
        <w:autoSpaceDN w:val="0"/>
        <w:adjustRightInd w:val="0"/>
        <w:spacing w:line="360" w:lineRule="auto"/>
        <w:ind w:left="-210"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（2）公司组织架构；</w:t>
      </w:r>
    </w:p>
    <w:p w14:paraId="02D5A227">
      <w:pPr>
        <w:autoSpaceDE w:val="0"/>
        <w:autoSpaceDN w:val="0"/>
        <w:adjustRightInd w:val="0"/>
        <w:spacing w:line="360" w:lineRule="auto"/>
        <w:ind w:left="-210"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w:t>
      </w:r>
      <w:r>
        <w:rPr>
          <w:rFonts w:hint="eastAsia" w:ascii="宋体" w:hAnsi="宋体" w:eastAsia="宋体" w:cs="宋体"/>
          <w:color w:val="auto"/>
          <w:szCs w:val="24"/>
          <w:u w:val="single"/>
          <w:lang w:val="zh-CN"/>
        </w:rPr>
        <w:t xml:space="preserve">__ </w:t>
      </w:r>
    </w:p>
    <w:p w14:paraId="58BA6FE8">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（3）东莞市内设有分支机构情况介绍[应提供该分支机构的多证合一营业执照复印件等证明材料]（若无前述分支机构的无需介绍）。</w:t>
      </w:r>
    </w:p>
    <w:p w14:paraId="03640AE7">
      <w:pPr>
        <w:autoSpaceDE w:val="0"/>
        <w:autoSpaceDN w:val="0"/>
        <w:adjustRightInd w:val="0"/>
        <w:spacing w:line="360" w:lineRule="auto"/>
        <w:ind w:left="-21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兹证明上述说明是真实、正确的，并提供了全部能提供的资料和数据，我们同意遵照贵方要求出示有关证明文件。</w:t>
      </w:r>
    </w:p>
    <w:p w14:paraId="3002EE73">
      <w:pPr>
        <w:autoSpaceDE w:val="0"/>
        <w:autoSpaceDN w:val="0"/>
        <w:adjustRightInd w:val="0"/>
        <w:spacing w:line="360" w:lineRule="auto"/>
        <w:ind w:left="-210" w:firstLine="420" w:firstLineChars="200"/>
        <w:rPr>
          <w:rFonts w:ascii="宋体" w:hAnsi="宋体" w:eastAsia="宋体" w:cs="宋体"/>
          <w:color w:val="auto"/>
          <w:szCs w:val="24"/>
        </w:rPr>
      </w:pPr>
    </w:p>
    <w:p w14:paraId="7B8283E5">
      <w:pPr>
        <w:autoSpaceDE w:val="0"/>
        <w:autoSpaceDN w:val="0"/>
        <w:adjustRightInd w:val="0"/>
        <w:spacing w:line="360" w:lineRule="auto"/>
        <w:ind w:right="368" w:rightChars="175"/>
        <w:jc w:val="right"/>
        <w:rPr>
          <w:rFonts w:ascii="宋体" w:hAnsi="宋体" w:eastAsia="宋体" w:cs="宋体"/>
          <w:color w:val="auto"/>
          <w:szCs w:val="24"/>
        </w:rPr>
      </w:pPr>
      <w:r>
        <w:rPr>
          <w:rFonts w:hint="eastAsia" w:ascii="宋体" w:hAnsi="宋体" w:eastAsia="宋体" w:cs="宋体"/>
          <w:color w:val="auto"/>
          <w:szCs w:val="24"/>
          <w:lang w:val="zh-CN"/>
        </w:rPr>
        <w:t>投标人</w:t>
      </w:r>
      <w:r>
        <w:rPr>
          <w:rFonts w:hint="eastAsia" w:ascii="宋体" w:hAnsi="宋体" w:eastAsia="宋体" w:cs="宋体"/>
          <w:color w:val="auto"/>
          <w:szCs w:val="21"/>
          <w:lang w:val="zh-CN"/>
        </w:rPr>
        <w:t>：</w:t>
      </w:r>
      <w:r>
        <w:rPr>
          <w:rFonts w:hint="eastAsia" w:ascii="宋体" w:hAnsi="宋体" w:eastAsia="宋体" w:cs="宋体"/>
          <w:color w:val="auto"/>
          <w:kern w:val="0"/>
          <w:szCs w:val="21"/>
          <w:lang w:val="zh-CN"/>
        </w:rPr>
        <w:t>（加盖投标人法人公章）</w:t>
      </w:r>
    </w:p>
    <w:p w14:paraId="590AEB64">
      <w:pPr>
        <w:autoSpaceDE w:val="0"/>
        <w:autoSpaceDN w:val="0"/>
        <w:adjustRightInd w:val="0"/>
        <w:spacing w:line="360" w:lineRule="auto"/>
        <w:ind w:right="368" w:rightChars="175" w:hanging="567"/>
        <w:jc w:val="right"/>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12F5374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r>
        <w:rPr>
          <w:rFonts w:hint="eastAsia" w:ascii="宋体" w:hAnsi="宋体" w:eastAsia="宋体" w:cs="宋体"/>
          <w:color w:val="auto"/>
          <w:szCs w:val="24"/>
          <w:lang w:val="zh-CN"/>
        </w:rPr>
        <w:br w:type="page"/>
      </w:r>
      <w:bookmarkStart w:id="547" w:name="_Toc104991882"/>
      <w:bookmarkStart w:id="548" w:name="_Toc30977"/>
      <w:bookmarkStart w:id="549" w:name="_Toc140596935"/>
      <w:bookmarkStart w:id="550" w:name="_Toc4023"/>
      <w:bookmarkStart w:id="551" w:name="_Toc10443"/>
      <w:bookmarkStart w:id="552" w:name="_Toc102860080"/>
      <w:bookmarkStart w:id="553" w:name="_Toc142508375"/>
      <w:bookmarkStart w:id="554" w:name="_Toc102860424"/>
      <w:bookmarkStart w:id="555" w:name="_Toc29014"/>
      <w:bookmarkStart w:id="556" w:name="_Toc94107216"/>
      <w:bookmarkStart w:id="557" w:name="_Toc9051_WPSOffice_Level2"/>
      <w:bookmarkStart w:id="558" w:name="_Toc1977733"/>
      <w:bookmarkStart w:id="559" w:name="_Toc533708128"/>
      <w:bookmarkStart w:id="560" w:name="_Toc486167715"/>
      <w:r>
        <w:rPr>
          <w:rFonts w:hint="eastAsia" w:ascii="宋体" w:hAnsi="宋体" w:eastAsia="宋体" w:cs="宋体"/>
          <w:b/>
          <w:color w:val="auto"/>
          <w:sz w:val="32"/>
          <w:szCs w:val="32"/>
        </w:rPr>
        <w:t>七</w:t>
      </w:r>
      <w:r>
        <w:rPr>
          <w:rFonts w:hint="eastAsia" w:ascii="宋体" w:hAnsi="宋体" w:eastAsia="宋体" w:cs="宋体"/>
          <w:b/>
          <w:color w:val="auto"/>
          <w:sz w:val="32"/>
          <w:szCs w:val="32"/>
          <w:lang w:val="zh-CN"/>
        </w:rPr>
        <w:t>、投标人财务状况表格式</w:t>
      </w:r>
      <w:bookmarkEnd w:id="547"/>
      <w:bookmarkEnd w:id="548"/>
      <w:bookmarkEnd w:id="549"/>
      <w:bookmarkEnd w:id="550"/>
      <w:bookmarkEnd w:id="551"/>
      <w:bookmarkEnd w:id="552"/>
      <w:bookmarkEnd w:id="553"/>
      <w:bookmarkEnd w:id="554"/>
      <w:bookmarkEnd w:id="555"/>
      <w:bookmarkEnd w:id="556"/>
    </w:p>
    <w:p w14:paraId="645600AB">
      <w:pPr>
        <w:autoSpaceDE w:val="0"/>
        <w:autoSpaceDN w:val="0"/>
        <w:adjustRightInd w:val="0"/>
        <w:spacing w:line="360" w:lineRule="auto"/>
        <w:ind w:left="603" w:hanging="813"/>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 xml:space="preserve">投标人财务状况表 </w:t>
      </w:r>
    </w:p>
    <w:p w14:paraId="52649F93">
      <w:pPr>
        <w:autoSpaceDE w:val="0"/>
        <w:autoSpaceDN w:val="0"/>
        <w:adjustRightInd w:val="0"/>
        <w:spacing w:line="360" w:lineRule="auto"/>
        <w:jc w:val="right"/>
        <w:rPr>
          <w:rFonts w:ascii="宋体" w:hAnsi="宋体" w:eastAsia="宋体" w:cs="宋体"/>
          <w:color w:val="auto"/>
          <w:kern w:val="0"/>
          <w:szCs w:val="21"/>
        </w:rPr>
      </w:pPr>
      <w:r>
        <w:rPr>
          <w:rFonts w:hint="eastAsia" w:ascii="宋体" w:hAnsi="宋体" w:eastAsia="宋体" w:cs="宋体"/>
          <w:color w:val="auto"/>
          <w:kern w:val="0"/>
          <w:szCs w:val="21"/>
        </w:rPr>
        <w:t>[价格单位：（人民币）元]</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837"/>
        <w:gridCol w:w="1839"/>
        <w:gridCol w:w="2563"/>
        <w:gridCol w:w="1947"/>
      </w:tblGrid>
      <w:tr w14:paraId="1D8B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93" w:type="pct"/>
            <w:vAlign w:val="center"/>
          </w:tcPr>
          <w:p w14:paraId="794AA31D">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  度</w:t>
            </w:r>
          </w:p>
        </w:tc>
        <w:tc>
          <w:tcPr>
            <w:tcW w:w="989" w:type="pct"/>
            <w:vAlign w:val="center"/>
          </w:tcPr>
          <w:p w14:paraId="3F609223">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总资产（元）</w:t>
            </w:r>
          </w:p>
        </w:tc>
        <w:tc>
          <w:tcPr>
            <w:tcW w:w="990" w:type="pct"/>
            <w:vAlign w:val="center"/>
          </w:tcPr>
          <w:p w14:paraId="76D31344">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净资产（元）</w:t>
            </w:r>
          </w:p>
        </w:tc>
        <w:tc>
          <w:tcPr>
            <w:tcW w:w="1380" w:type="pct"/>
            <w:vAlign w:val="center"/>
          </w:tcPr>
          <w:p w14:paraId="1A970DA5">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年营业额（元）</w:t>
            </w:r>
          </w:p>
        </w:tc>
        <w:tc>
          <w:tcPr>
            <w:tcW w:w="1048" w:type="pct"/>
            <w:vAlign w:val="center"/>
          </w:tcPr>
          <w:p w14:paraId="2FF322D2">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年净利润（元）</w:t>
            </w:r>
          </w:p>
        </w:tc>
      </w:tr>
      <w:tr w14:paraId="174C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93" w:type="pct"/>
            <w:vAlign w:val="center"/>
          </w:tcPr>
          <w:p w14:paraId="12BBDB23">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2021</w:t>
            </w:r>
          </w:p>
        </w:tc>
        <w:tc>
          <w:tcPr>
            <w:tcW w:w="989" w:type="pct"/>
            <w:vAlign w:val="center"/>
          </w:tcPr>
          <w:p w14:paraId="4BD289F5">
            <w:pPr>
              <w:autoSpaceDE w:val="0"/>
              <w:autoSpaceDN w:val="0"/>
              <w:adjustRightInd w:val="0"/>
              <w:spacing w:line="360" w:lineRule="auto"/>
              <w:jc w:val="center"/>
              <w:rPr>
                <w:rFonts w:ascii="宋体" w:hAnsi="宋体" w:eastAsia="宋体" w:cs="宋体"/>
                <w:color w:val="auto"/>
                <w:kern w:val="0"/>
                <w:szCs w:val="21"/>
              </w:rPr>
            </w:pPr>
          </w:p>
        </w:tc>
        <w:tc>
          <w:tcPr>
            <w:tcW w:w="990" w:type="pct"/>
            <w:vAlign w:val="center"/>
          </w:tcPr>
          <w:p w14:paraId="67035757">
            <w:pPr>
              <w:autoSpaceDE w:val="0"/>
              <w:autoSpaceDN w:val="0"/>
              <w:adjustRightInd w:val="0"/>
              <w:spacing w:line="360" w:lineRule="auto"/>
              <w:jc w:val="center"/>
              <w:rPr>
                <w:rFonts w:ascii="宋体" w:hAnsi="宋体" w:eastAsia="宋体" w:cs="宋体"/>
                <w:color w:val="auto"/>
                <w:kern w:val="0"/>
                <w:szCs w:val="21"/>
              </w:rPr>
            </w:pPr>
          </w:p>
        </w:tc>
        <w:tc>
          <w:tcPr>
            <w:tcW w:w="1380" w:type="pct"/>
            <w:vAlign w:val="center"/>
          </w:tcPr>
          <w:p w14:paraId="063A8E8F">
            <w:pPr>
              <w:autoSpaceDE w:val="0"/>
              <w:autoSpaceDN w:val="0"/>
              <w:adjustRightInd w:val="0"/>
              <w:spacing w:line="360" w:lineRule="auto"/>
              <w:jc w:val="center"/>
              <w:rPr>
                <w:rFonts w:ascii="宋体" w:hAnsi="宋体" w:eastAsia="宋体" w:cs="宋体"/>
                <w:color w:val="auto"/>
                <w:kern w:val="0"/>
                <w:szCs w:val="21"/>
              </w:rPr>
            </w:pPr>
          </w:p>
        </w:tc>
        <w:tc>
          <w:tcPr>
            <w:tcW w:w="1048" w:type="pct"/>
            <w:vAlign w:val="center"/>
          </w:tcPr>
          <w:p w14:paraId="0F7BB149">
            <w:pPr>
              <w:autoSpaceDE w:val="0"/>
              <w:autoSpaceDN w:val="0"/>
              <w:adjustRightInd w:val="0"/>
              <w:spacing w:line="360" w:lineRule="auto"/>
              <w:jc w:val="center"/>
              <w:rPr>
                <w:rFonts w:ascii="宋体" w:hAnsi="宋体" w:eastAsia="宋体" w:cs="宋体"/>
                <w:color w:val="auto"/>
                <w:kern w:val="0"/>
                <w:szCs w:val="21"/>
              </w:rPr>
            </w:pPr>
          </w:p>
        </w:tc>
      </w:tr>
      <w:tr w14:paraId="73C4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93" w:type="pct"/>
            <w:vAlign w:val="center"/>
          </w:tcPr>
          <w:p w14:paraId="7D281F6B">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2022</w:t>
            </w:r>
          </w:p>
        </w:tc>
        <w:tc>
          <w:tcPr>
            <w:tcW w:w="989" w:type="pct"/>
            <w:vAlign w:val="center"/>
          </w:tcPr>
          <w:p w14:paraId="074A481B">
            <w:pPr>
              <w:autoSpaceDE w:val="0"/>
              <w:autoSpaceDN w:val="0"/>
              <w:adjustRightInd w:val="0"/>
              <w:spacing w:line="360" w:lineRule="auto"/>
              <w:jc w:val="center"/>
              <w:rPr>
                <w:rFonts w:ascii="宋体" w:hAnsi="宋体" w:eastAsia="宋体" w:cs="宋体"/>
                <w:color w:val="auto"/>
                <w:kern w:val="0"/>
                <w:szCs w:val="21"/>
              </w:rPr>
            </w:pPr>
          </w:p>
        </w:tc>
        <w:tc>
          <w:tcPr>
            <w:tcW w:w="990" w:type="pct"/>
            <w:vAlign w:val="center"/>
          </w:tcPr>
          <w:p w14:paraId="47BCED94">
            <w:pPr>
              <w:autoSpaceDE w:val="0"/>
              <w:autoSpaceDN w:val="0"/>
              <w:adjustRightInd w:val="0"/>
              <w:spacing w:line="360" w:lineRule="auto"/>
              <w:jc w:val="center"/>
              <w:rPr>
                <w:rFonts w:ascii="宋体" w:hAnsi="宋体" w:eastAsia="宋体" w:cs="宋体"/>
                <w:color w:val="auto"/>
                <w:kern w:val="0"/>
                <w:szCs w:val="21"/>
              </w:rPr>
            </w:pPr>
          </w:p>
        </w:tc>
        <w:tc>
          <w:tcPr>
            <w:tcW w:w="1380" w:type="pct"/>
          </w:tcPr>
          <w:p w14:paraId="35F32254">
            <w:pPr>
              <w:autoSpaceDE w:val="0"/>
              <w:autoSpaceDN w:val="0"/>
              <w:adjustRightInd w:val="0"/>
              <w:spacing w:line="360" w:lineRule="auto"/>
              <w:jc w:val="center"/>
              <w:rPr>
                <w:rFonts w:ascii="宋体" w:hAnsi="宋体" w:eastAsia="宋体" w:cs="宋体"/>
                <w:color w:val="auto"/>
                <w:kern w:val="0"/>
                <w:szCs w:val="21"/>
              </w:rPr>
            </w:pPr>
          </w:p>
        </w:tc>
        <w:tc>
          <w:tcPr>
            <w:tcW w:w="1048" w:type="pct"/>
            <w:vAlign w:val="center"/>
          </w:tcPr>
          <w:p w14:paraId="4B78C901">
            <w:pPr>
              <w:autoSpaceDE w:val="0"/>
              <w:autoSpaceDN w:val="0"/>
              <w:adjustRightInd w:val="0"/>
              <w:spacing w:line="360" w:lineRule="auto"/>
              <w:jc w:val="center"/>
              <w:rPr>
                <w:rFonts w:ascii="宋体" w:hAnsi="宋体" w:eastAsia="宋体" w:cs="宋体"/>
                <w:color w:val="auto"/>
                <w:kern w:val="0"/>
                <w:szCs w:val="21"/>
              </w:rPr>
            </w:pPr>
          </w:p>
        </w:tc>
      </w:tr>
      <w:tr w14:paraId="2DDE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93" w:type="pct"/>
            <w:vAlign w:val="center"/>
          </w:tcPr>
          <w:p w14:paraId="45022B4B">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2023</w:t>
            </w:r>
          </w:p>
        </w:tc>
        <w:tc>
          <w:tcPr>
            <w:tcW w:w="989" w:type="pct"/>
            <w:vAlign w:val="center"/>
          </w:tcPr>
          <w:p w14:paraId="7F43A3CD">
            <w:pPr>
              <w:autoSpaceDE w:val="0"/>
              <w:autoSpaceDN w:val="0"/>
              <w:adjustRightInd w:val="0"/>
              <w:spacing w:line="360" w:lineRule="auto"/>
              <w:jc w:val="center"/>
              <w:rPr>
                <w:rFonts w:ascii="宋体" w:hAnsi="宋体" w:eastAsia="宋体" w:cs="宋体"/>
                <w:color w:val="auto"/>
                <w:kern w:val="0"/>
                <w:szCs w:val="21"/>
              </w:rPr>
            </w:pPr>
          </w:p>
        </w:tc>
        <w:tc>
          <w:tcPr>
            <w:tcW w:w="990" w:type="pct"/>
            <w:vAlign w:val="center"/>
          </w:tcPr>
          <w:p w14:paraId="60EFDB38">
            <w:pPr>
              <w:autoSpaceDE w:val="0"/>
              <w:autoSpaceDN w:val="0"/>
              <w:adjustRightInd w:val="0"/>
              <w:spacing w:line="360" w:lineRule="auto"/>
              <w:jc w:val="center"/>
              <w:rPr>
                <w:rFonts w:ascii="宋体" w:hAnsi="宋体" w:eastAsia="宋体" w:cs="宋体"/>
                <w:color w:val="auto"/>
                <w:kern w:val="0"/>
                <w:szCs w:val="21"/>
              </w:rPr>
            </w:pPr>
          </w:p>
        </w:tc>
        <w:tc>
          <w:tcPr>
            <w:tcW w:w="1380" w:type="pct"/>
          </w:tcPr>
          <w:p w14:paraId="6CB9D4F9">
            <w:pPr>
              <w:autoSpaceDE w:val="0"/>
              <w:autoSpaceDN w:val="0"/>
              <w:adjustRightInd w:val="0"/>
              <w:spacing w:line="360" w:lineRule="auto"/>
              <w:jc w:val="center"/>
              <w:rPr>
                <w:rFonts w:ascii="宋体" w:hAnsi="宋体" w:eastAsia="宋体" w:cs="宋体"/>
                <w:color w:val="auto"/>
                <w:kern w:val="0"/>
                <w:szCs w:val="21"/>
              </w:rPr>
            </w:pPr>
          </w:p>
        </w:tc>
        <w:tc>
          <w:tcPr>
            <w:tcW w:w="1048" w:type="pct"/>
            <w:vAlign w:val="center"/>
          </w:tcPr>
          <w:p w14:paraId="302C484C">
            <w:pPr>
              <w:autoSpaceDE w:val="0"/>
              <w:autoSpaceDN w:val="0"/>
              <w:adjustRightInd w:val="0"/>
              <w:spacing w:line="360" w:lineRule="auto"/>
              <w:jc w:val="center"/>
              <w:rPr>
                <w:rFonts w:ascii="宋体" w:hAnsi="宋体" w:eastAsia="宋体" w:cs="宋体"/>
                <w:color w:val="auto"/>
                <w:kern w:val="0"/>
                <w:szCs w:val="21"/>
              </w:rPr>
            </w:pPr>
          </w:p>
        </w:tc>
      </w:tr>
      <w:tr w14:paraId="5BC9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72" w:type="pct"/>
            <w:gridSpan w:val="3"/>
            <w:vAlign w:val="center"/>
          </w:tcPr>
          <w:p w14:paraId="46DE4A5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总计</w:t>
            </w:r>
          </w:p>
        </w:tc>
        <w:tc>
          <w:tcPr>
            <w:tcW w:w="1380" w:type="pct"/>
          </w:tcPr>
          <w:p w14:paraId="58D70D39">
            <w:pPr>
              <w:autoSpaceDE w:val="0"/>
              <w:autoSpaceDN w:val="0"/>
              <w:adjustRightInd w:val="0"/>
              <w:spacing w:line="360" w:lineRule="auto"/>
              <w:jc w:val="center"/>
              <w:rPr>
                <w:rFonts w:ascii="宋体" w:hAnsi="宋体" w:eastAsia="宋体" w:cs="宋体"/>
                <w:color w:val="auto"/>
                <w:kern w:val="0"/>
                <w:szCs w:val="21"/>
              </w:rPr>
            </w:pPr>
          </w:p>
        </w:tc>
        <w:tc>
          <w:tcPr>
            <w:tcW w:w="1048" w:type="pct"/>
            <w:vAlign w:val="center"/>
          </w:tcPr>
          <w:p w14:paraId="4D233C31">
            <w:pPr>
              <w:autoSpaceDE w:val="0"/>
              <w:autoSpaceDN w:val="0"/>
              <w:adjustRightInd w:val="0"/>
              <w:spacing w:line="360" w:lineRule="auto"/>
              <w:jc w:val="center"/>
              <w:rPr>
                <w:rFonts w:ascii="宋体" w:hAnsi="宋体" w:eastAsia="宋体" w:cs="宋体"/>
                <w:color w:val="auto"/>
                <w:kern w:val="0"/>
                <w:szCs w:val="21"/>
              </w:rPr>
            </w:pPr>
          </w:p>
        </w:tc>
      </w:tr>
    </w:tbl>
    <w:p w14:paraId="492A4914">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6425243">
      <w:pPr>
        <w:autoSpaceDE w:val="0"/>
        <w:autoSpaceDN w:val="0"/>
        <w:adjustRightInd w:val="0"/>
        <w:spacing w:line="360" w:lineRule="auto"/>
        <w:ind w:left="-210" w:firstLine="5409" w:firstLineChars="2576"/>
        <w:rPr>
          <w:rFonts w:ascii="宋体" w:hAnsi="宋体" w:eastAsia="宋体" w:cs="宋体"/>
          <w:color w:val="auto"/>
          <w:szCs w:val="24"/>
          <w:lang w:val="zh-CN"/>
        </w:rPr>
      </w:pPr>
    </w:p>
    <w:p w14:paraId="695AD7E9">
      <w:pPr>
        <w:autoSpaceDE w:val="0"/>
        <w:autoSpaceDN w:val="0"/>
        <w:adjustRightInd w:val="0"/>
        <w:spacing w:line="360" w:lineRule="auto"/>
        <w:ind w:left="-210" w:firstLine="5409" w:firstLineChars="2576"/>
        <w:rPr>
          <w:rFonts w:ascii="宋体" w:hAnsi="宋体" w:eastAsia="宋体" w:cs="宋体"/>
          <w:color w:val="auto"/>
          <w:szCs w:val="24"/>
          <w:lang w:val="zh-CN"/>
        </w:rPr>
      </w:pPr>
    </w:p>
    <w:p w14:paraId="5D1A0459">
      <w:pPr>
        <w:autoSpaceDE w:val="0"/>
        <w:autoSpaceDN w:val="0"/>
        <w:adjustRightInd w:val="0"/>
        <w:spacing w:line="360" w:lineRule="auto"/>
        <w:ind w:left="-210" w:firstLine="5409" w:firstLineChars="2576"/>
        <w:rPr>
          <w:rFonts w:ascii="宋体" w:hAnsi="宋体" w:eastAsia="宋体" w:cs="宋体"/>
          <w:color w:val="auto"/>
          <w:szCs w:val="24"/>
          <w:u w:val="single"/>
        </w:rPr>
      </w:pPr>
      <w:r>
        <w:rPr>
          <w:rFonts w:hint="eastAsia" w:ascii="宋体" w:hAnsi="宋体" w:eastAsia="宋体" w:cs="宋体"/>
          <w:color w:val="auto"/>
          <w:szCs w:val="24"/>
          <w:lang w:val="zh-CN"/>
        </w:rPr>
        <w:t>投标人：（加盖投标人</w:t>
      </w:r>
      <w:r>
        <w:rPr>
          <w:rFonts w:hint="eastAsia" w:ascii="宋体" w:hAnsi="宋体" w:eastAsia="宋体" w:cs="宋体"/>
          <w:color w:val="auto"/>
          <w:szCs w:val="24"/>
        </w:rPr>
        <w:t>法人</w:t>
      </w:r>
      <w:r>
        <w:rPr>
          <w:rFonts w:hint="eastAsia" w:ascii="宋体" w:hAnsi="宋体" w:eastAsia="宋体" w:cs="宋体"/>
          <w:color w:val="auto"/>
          <w:szCs w:val="24"/>
          <w:lang w:val="zh-CN"/>
        </w:rPr>
        <w:t>公章）</w:t>
      </w:r>
    </w:p>
    <w:p w14:paraId="27E650D4">
      <w:pPr>
        <w:autoSpaceDE w:val="0"/>
        <w:autoSpaceDN w:val="0"/>
        <w:adjustRightInd w:val="0"/>
        <w:spacing w:line="360" w:lineRule="auto"/>
        <w:ind w:left="-210" w:firstLine="6249" w:firstLineChars="2976"/>
        <w:rPr>
          <w:rFonts w:ascii="宋体" w:hAnsi="宋体" w:eastAsia="宋体" w:cs="宋体"/>
          <w:b/>
          <w:bCs/>
          <w:color w:val="auto"/>
          <w:kern w:val="0"/>
          <w:szCs w:val="21"/>
        </w:rPr>
        <w:sectPr>
          <w:footerReference r:id="rId12"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lang w:val="zh-CN"/>
        </w:rPr>
        <w:t>日期：</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u w:val="single"/>
        </w:rPr>
        <w:t>日</w:t>
      </w:r>
    </w:p>
    <w:bookmarkEnd w:id="557"/>
    <w:bookmarkEnd w:id="558"/>
    <w:bookmarkEnd w:id="559"/>
    <w:bookmarkEnd w:id="560"/>
    <w:p w14:paraId="153F80C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bookmarkStart w:id="561" w:name="_Toc533708130"/>
      <w:bookmarkStart w:id="562" w:name="_Toc104991883"/>
      <w:bookmarkStart w:id="563" w:name="_Toc29271"/>
      <w:bookmarkStart w:id="564" w:name="_Toc26821"/>
      <w:bookmarkStart w:id="565" w:name="_Toc739_WPSOffice_Level2"/>
      <w:bookmarkStart w:id="566" w:name="_Toc102860425"/>
      <w:bookmarkStart w:id="567" w:name="_Toc102860081"/>
      <w:bookmarkStart w:id="568" w:name="_Toc94107217"/>
      <w:bookmarkStart w:id="569" w:name="_Toc1977736"/>
      <w:bookmarkStart w:id="570" w:name="_Toc140596936"/>
      <w:bookmarkStart w:id="571" w:name="_Toc142508376"/>
      <w:bookmarkStart w:id="572" w:name="_Toc17995"/>
      <w:bookmarkStart w:id="573" w:name="_Toc333"/>
      <w:bookmarkStart w:id="574" w:name="_Toc486167716"/>
      <w:r>
        <w:rPr>
          <w:rFonts w:hint="eastAsia" w:ascii="宋体" w:hAnsi="宋体" w:eastAsia="宋体" w:cs="宋体"/>
          <w:b/>
          <w:color w:val="auto"/>
          <w:kern w:val="0"/>
          <w:sz w:val="32"/>
          <w:szCs w:val="32"/>
        </w:rPr>
        <w:t>八</w:t>
      </w:r>
      <w:r>
        <w:rPr>
          <w:rFonts w:hint="eastAsia" w:ascii="宋体" w:hAnsi="宋体" w:eastAsia="宋体" w:cs="宋体"/>
          <w:b/>
          <w:color w:val="auto"/>
          <w:kern w:val="0"/>
          <w:sz w:val="32"/>
          <w:szCs w:val="32"/>
          <w:lang w:val="zh-CN"/>
        </w:rPr>
        <w:t>、</w:t>
      </w:r>
      <w:r>
        <w:rPr>
          <w:rFonts w:hint="eastAsia" w:ascii="宋体" w:hAnsi="宋体" w:eastAsia="宋体" w:cs="宋体"/>
          <w:b/>
          <w:color w:val="auto"/>
          <w:sz w:val="32"/>
          <w:szCs w:val="32"/>
        </w:rPr>
        <w:t>标准化</w:t>
      </w:r>
      <w:r>
        <w:rPr>
          <w:rFonts w:hint="eastAsia" w:ascii="宋体" w:hAnsi="宋体" w:eastAsia="宋体" w:cs="宋体"/>
          <w:b/>
          <w:color w:val="auto"/>
          <w:kern w:val="0"/>
          <w:sz w:val="32"/>
          <w:szCs w:val="32"/>
        </w:rPr>
        <w:t>体系认证</w:t>
      </w:r>
    </w:p>
    <w:p w14:paraId="403BE759">
      <w:pPr>
        <w:autoSpaceDE w:val="0"/>
        <w:autoSpaceDN w:val="0"/>
        <w:adjustRightInd w:val="0"/>
        <w:spacing w:line="360" w:lineRule="auto"/>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55271CBE">
      <w:pPr>
        <w:rPr>
          <w:rFonts w:ascii="宋体" w:hAnsi="宋体" w:eastAsia="宋体" w:cs="宋体"/>
          <w:b/>
          <w:color w:val="auto"/>
          <w:kern w:val="0"/>
          <w:sz w:val="32"/>
          <w:szCs w:val="32"/>
        </w:rPr>
      </w:pPr>
    </w:p>
    <w:p w14:paraId="588695F0">
      <w:pPr>
        <w:jc w:val="left"/>
        <w:rPr>
          <w:rFonts w:ascii="宋体" w:hAnsi="宋体" w:eastAsia="宋体" w:cs="宋体"/>
          <w:b/>
          <w:color w:val="auto"/>
          <w:kern w:val="0"/>
          <w:sz w:val="32"/>
          <w:szCs w:val="32"/>
          <w:lang w:val="en-US"/>
        </w:rPr>
      </w:pPr>
      <w:r>
        <w:rPr>
          <w:rFonts w:hint="eastAsia" w:ascii="宋体" w:hAnsi="宋体" w:eastAsia="宋体" w:cs="宋体"/>
          <w:b/>
          <w:color w:val="auto"/>
          <w:kern w:val="0"/>
          <w:sz w:val="32"/>
          <w:szCs w:val="32"/>
          <w:lang w:val="en-US"/>
        </w:rPr>
        <w:br w:type="page"/>
      </w:r>
    </w:p>
    <w:p w14:paraId="3E330E20">
      <w:pPr>
        <w:tabs>
          <w:tab w:val="left" w:pos="567"/>
        </w:tabs>
        <w:autoSpaceDE w:val="0"/>
        <w:autoSpaceDN w:val="0"/>
        <w:adjustRightInd w:val="0"/>
        <w:spacing w:line="360" w:lineRule="auto"/>
        <w:ind w:left="657" w:hanging="867"/>
        <w:jc w:val="left"/>
        <w:outlineLvl w:val="2"/>
        <w:rPr>
          <w:rFonts w:ascii="宋体" w:hAnsi="宋体" w:eastAsia="宋体" w:cs="宋体"/>
          <w:b/>
          <w:color w:val="auto"/>
          <w:kern w:val="0"/>
          <w:sz w:val="32"/>
          <w:szCs w:val="32"/>
          <w:lang w:val="zh-CN"/>
        </w:rPr>
      </w:pPr>
      <w:r>
        <w:rPr>
          <w:rFonts w:hint="eastAsia" w:ascii="宋体" w:hAnsi="宋体" w:eastAsia="宋体" w:cs="宋体"/>
          <w:b/>
          <w:color w:val="auto"/>
          <w:kern w:val="0"/>
          <w:sz w:val="32"/>
          <w:szCs w:val="32"/>
        </w:rPr>
        <w:t>九、</w:t>
      </w:r>
      <w:r>
        <w:rPr>
          <w:rFonts w:hint="eastAsia" w:ascii="宋体" w:hAnsi="宋体" w:eastAsia="宋体" w:cs="宋体"/>
          <w:b/>
          <w:color w:val="auto"/>
          <w:kern w:val="0"/>
          <w:sz w:val="32"/>
          <w:szCs w:val="32"/>
          <w:lang w:val="zh-CN"/>
        </w:rPr>
        <w:t>合同条款偏离表格式</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7B1B7B8">
      <w:pPr>
        <w:autoSpaceDE w:val="0"/>
        <w:autoSpaceDN w:val="0"/>
        <w:adjustRightInd w:val="0"/>
        <w:spacing w:line="360" w:lineRule="auto"/>
        <w:ind w:left="549" w:hanging="759"/>
        <w:jc w:val="center"/>
        <w:rPr>
          <w:rFonts w:ascii="宋体" w:hAnsi="宋体" w:eastAsia="宋体" w:cs="宋体"/>
          <w:b/>
          <w:bCs/>
          <w:color w:val="auto"/>
          <w:kern w:val="0"/>
          <w:sz w:val="28"/>
          <w:szCs w:val="30"/>
          <w:lang w:val="zh-CN"/>
        </w:rPr>
      </w:pPr>
      <w:bookmarkStart w:id="575" w:name="_Toc26412_WPSOffice_Level3"/>
      <w:r>
        <w:rPr>
          <w:rFonts w:hint="eastAsia" w:ascii="宋体" w:hAnsi="宋体" w:eastAsia="宋体" w:cs="宋体"/>
          <w:b/>
          <w:bCs/>
          <w:color w:val="auto"/>
          <w:kern w:val="0"/>
          <w:sz w:val="28"/>
          <w:szCs w:val="30"/>
          <w:lang w:val="zh-CN"/>
        </w:rPr>
        <w:t>东莞市水务集团管网有限公司2025年</w:t>
      </w:r>
      <w:r>
        <w:rPr>
          <w:rFonts w:hint="eastAsia" w:ascii="宋体" w:hAnsi="宋体" w:eastAsia="宋体" w:cs="宋体"/>
          <w:b/>
          <w:bCs/>
          <w:color w:val="auto"/>
          <w:kern w:val="0"/>
          <w:sz w:val="28"/>
          <w:szCs w:val="30"/>
        </w:rPr>
        <w:t>度</w:t>
      </w:r>
      <w:r>
        <w:rPr>
          <w:rFonts w:hint="eastAsia" w:ascii="宋体" w:hAnsi="宋体" w:eastAsia="宋体" w:cs="宋体"/>
          <w:b/>
          <w:bCs/>
          <w:color w:val="auto"/>
          <w:kern w:val="0"/>
          <w:sz w:val="28"/>
          <w:szCs w:val="30"/>
          <w:lang w:val="zh-CN"/>
        </w:rPr>
        <w:t>机电设备维修定点服务单位采购项目（    包）</w:t>
      </w:r>
    </w:p>
    <w:p w14:paraId="07E1DC5F">
      <w:pPr>
        <w:autoSpaceDE w:val="0"/>
        <w:autoSpaceDN w:val="0"/>
        <w:adjustRightInd w:val="0"/>
        <w:spacing w:line="360" w:lineRule="auto"/>
        <w:ind w:left="549" w:hanging="759"/>
        <w:jc w:val="center"/>
        <w:rPr>
          <w:rFonts w:ascii="宋体" w:hAnsi="宋体" w:eastAsia="宋体" w:cs="宋体"/>
          <w:b/>
          <w:bCs/>
          <w:color w:val="auto"/>
          <w:kern w:val="0"/>
          <w:sz w:val="28"/>
          <w:szCs w:val="30"/>
          <w:lang w:val="zh-CN"/>
        </w:rPr>
      </w:pPr>
      <w:r>
        <w:rPr>
          <w:rFonts w:hint="eastAsia" w:ascii="宋体" w:hAnsi="宋体" w:eastAsia="宋体" w:cs="宋体"/>
          <w:b/>
          <w:bCs/>
          <w:color w:val="auto"/>
          <w:kern w:val="0"/>
          <w:sz w:val="28"/>
          <w:szCs w:val="30"/>
          <w:lang w:val="zh-CN"/>
        </w:rPr>
        <w:t>合同条款偏离表</w:t>
      </w:r>
      <w:bookmarkEnd w:id="575"/>
    </w:p>
    <w:tbl>
      <w:tblPr>
        <w:tblStyle w:val="37"/>
        <w:tblpPr w:leftFromText="180" w:rightFromText="180" w:vertAnchor="text" w:horzAnchor="page" w:tblpX="1404" w:tblpY="5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155"/>
        <w:gridCol w:w="2887"/>
        <w:gridCol w:w="1322"/>
        <w:gridCol w:w="3094"/>
      </w:tblGrid>
      <w:tr w14:paraId="4080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 w:type="dxa"/>
            <w:vMerge w:val="restart"/>
            <w:vAlign w:val="center"/>
          </w:tcPr>
          <w:p w14:paraId="7ECFE9C5">
            <w:pPr>
              <w:pStyle w:val="63"/>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序号</w:t>
            </w:r>
          </w:p>
        </w:tc>
        <w:tc>
          <w:tcPr>
            <w:tcW w:w="4042" w:type="dxa"/>
            <w:gridSpan w:val="2"/>
          </w:tcPr>
          <w:p w14:paraId="094832CA">
            <w:pPr>
              <w:pStyle w:val="63"/>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招标文件要求</w:t>
            </w:r>
          </w:p>
        </w:tc>
        <w:tc>
          <w:tcPr>
            <w:tcW w:w="4416" w:type="dxa"/>
            <w:gridSpan w:val="2"/>
          </w:tcPr>
          <w:p w14:paraId="31D12B8D">
            <w:pPr>
              <w:pStyle w:val="63"/>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投标文件内容</w:t>
            </w:r>
          </w:p>
        </w:tc>
      </w:tr>
      <w:tr w14:paraId="26F4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 w:type="dxa"/>
            <w:vMerge w:val="continue"/>
          </w:tcPr>
          <w:p w14:paraId="1FD152ED">
            <w:pPr>
              <w:pStyle w:val="63"/>
              <w:snapToGrid w:val="0"/>
              <w:spacing w:line="240" w:lineRule="auto"/>
              <w:ind w:firstLine="0" w:firstLineChars="0"/>
              <w:jc w:val="center"/>
              <w:rPr>
                <w:rFonts w:ascii="宋体" w:eastAsia="宋体" w:cs="宋体"/>
                <w:b/>
                <w:bCs/>
                <w:color w:val="auto"/>
                <w:sz w:val="21"/>
                <w:szCs w:val="21"/>
              </w:rPr>
            </w:pPr>
          </w:p>
        </w:tc>
        <w:tc>
          <w:tcPr>
            <w:tcW w:w="1155" w:type="dxa"/>
          </w:tcPr>
          <w:p w14:paraId="3C67216B">
            <w:pPr>
              <w:pStyle w:val="63"/>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条款号</w:t>
            </w:r>
          </w:p>
        </w:tc>
        <w:tc>
          <w:tcPr>
            <w:tcW w:w="2887" w:type="dxa"/>
          </w:tcPr>
          <w:p w14:paraId="5B79DF1C">
            <w:pPr>
              <w:pStyle w:val="63"/>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简要内容</w:t>
            </w:r>
          </w:p>
        </w:tc>
        <w:tc>
          <w:tcPr>
            <w:tcW w:w="1322" w:type="dxa"/>
          </w:tcPr>
          <w:p w14:paraId="6D711BD2">
            <w:pPr>
              <w:pStyle w:val="63"/>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偏离情况</w:t>
            </w:r>
          </w:p>
        </w:tc>
        <w:tc>
          <w:tcPr>
            <w:tcW w:w="3094" w:type="dxa"/>
            <w:vAlign w:val="center"/>
          </w:tcPr>
          <w:p w14:paraId="274541A6">
            <w:pPr>
              <w:pStyle w:val="63"/>
              <w:snapToGrid w:val="0"/>
              <w:spacing w:line="24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具体偏离内容</w:t>
            </w:r>
          </w:p>
        </w:tc>
      </w:tr>
      <w:tr w14:paraId="5989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0492513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w:t>
            </w:r>
          </w:p>
        </w:tc>
        <w:tc>
          <w:tcPr>
            <w:tcW w:w="1155" w:type="dxa"/>
            <w:vAlign w:val="center"/>
          </w:tcPr>
          <w:p w14:paraId="7C420B22">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第一条</w:t>
            </w:r>
          </w:p>
        </w:tc>
        <w:tc>
          <w:tcPr>
            <w:tcW w:w="2887" w:type="dxa"/>
            <w:vAlign w:val="center"/>
          </w:tcPr>
          <w:p w14:paraId="0CB20FFD">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服务内容及要求</w:t>
            </w:r>
          </w:p>
        </w:tc>
        <w:tc>
          <w:tcPr>
            <w:tcW w:w="1322" w:type="dxa"/>
            <w:vAlign w:val="center"/>
          </w:tcPr>
          <w:p w14:paraId="261C2179">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203CDA27">
            <w:pPr>
              <w:pStyle w:val="63"/>
              <w:snapToGrid w:val="0"/>
              <w:spacing w:line="240" w:lineRule="auto"/>
              <w:ind w:firstLine="0" w:firstLineChars="0"/>
              <w:rPr>
                <w:rFonts w:ascii="宋体" w:eastAsia="宋体" w:cs="宋体"/>
                <w:color w:val="auto"/>
                <w:sz w:val="21"/>
                <w:szCs w:val="21"/>
              </w:rPr>
            </w:pPr>
          </w:p>
        </w:tc>
      </w:tr>
      <w:tr w14:paraId="5239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29" w:type="dxa"/>
            <w:vAlign w:val="center"/>
          </w:tcPr>
          <w:p w14:paraId="171753C4">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w:t>
            </w:r>
          </w:p>
        </w:tc>
        <w:tc>
          <w:tcPr>
            <w:tcW w:w="1155" w:type="dxa"/>
            <w:vAlign w:val="center"/>
          </w:tcPr>
          <w:p w14:paraId="74F554A6">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第二条</w:t>
            </w:r>
          </w:p>
        </w:tc>
        <w:tc>
          <w:tcPr>
            <w:tcW w:w="2887" w:type="dxa"/>
            <w:vAlign w:val="center"/>
          </w:tcPr>
          <w:p w14:paraId="02BD6B54">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服务方式要求</w:t>
            </w:r>
          </w:p>
        </w:tc>
        <w:tc>
          <w:tcPr>
            <w:tcW w:w="1322" w:type="dxa"/>
            <w:vAlign w:val="center"/>
          </w:tcPr>
          <w:p w14:paraId="37CB3548">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09C7D4BE">
            <w:pPr>
              <w:pStyle w:val="63"/>
              <w:snapToGrid w:val="0"/>
              <w:spacing w:line="240" w:lineRule="auto"/>
              <w:ind w:firstLine="0" w:firstLineChars="0"/>
              <w:rPr>
                <w:rFonts w:ascii="宋体" w:eastAsia="宋体" w:cs="宋体"/>
                <w:color w:val="auto"/>
                <w:sz w:val="21"/>
                <w:szCs w:val="21"/>
              </w:rPr>
            </w:pPr>
          </w:p>
        </w:tc>
      </w:tr>
      <w:tr w14:paraId="2DB2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76DB521C">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3</w:t>
            </w:r>
          </w:p>
        </w:tc>
        <w:tc>
          <w:tcPr>
            <w:tcW w:w="1155" w:type="dxa"/>
            <w:vAlign w:val="center"/>
          </w:tcPr>
          <w:p w14:paraId="56E9ED03">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第三条</w:t>
            </w:r>
          </w:p>
        </w:tc>
        <w:tc>
          <w:tcPr>
            <w:tcW w:w="2887" w:type="dxa"/>
            <w:vAlign w:val="center"/>
          </w:tcPr>
          <w:p w14:paraId="67367B3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服务期限</w:t>
            </w:r>
          </w:p>
        </w:tc>
        <w:tc>
          <w:tcPr>
            <w:tcW w:w="1322" w:type="dxa"/>
            <w:vAlign w:val="center"/>
          </w:tcPr>
          <w:p w14:paraId="30218868">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117AC3B1">
            <w:pPr>
              <w:pStyle w:val="63"/>
              <w:snapToGrid w:val="0"/>
              <w:spacing w:line="240" w:lineRule="auto"/>
              <w:ind w:firstLine="0" w:firstLineChars="0"/>
              <w:rPr>
                <w:rFonts w:ascii="宋体" w:eastAsia="宋体" w:cs="宋体"/>
                <w:color w:val="auto"/>
                <w:sz w:val="21"/>
                <w:szCs w:val="21"/>
              </w:rPr>
            </w:pPr>
          </w:p>
        </w:tc>
      </w:tr>
      <w:tr w14:paraId="79C4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25EF34CD">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4</w:t>
            </w:r>
          </w:p>
        </w:tc>
        <w:tc>
          <w:tcPr>
            <w:tcW w:w="1155" w:type="dxa"/>
            <w:vAlign w:val="center"/>
          </w:tcPr>
          <w:p w14:paraId="64C953C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第四条</w:t>
            </w:r>
          </w:p>
        </w:tc>
        <w:tc>
          <w:tcPr>
            <w:tcW w:w="2887" w:type="dxa"/>
            <w:vAlign w:val="center"/>
          </w:tcPr>
          <w:p w14:paraId="1A9F885B">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技术及服务要求</w:t>
            </w:r>
          </w:p>
        </w:tc>
        <w:tc>
          <w:tcPr>
            <w:tcW w:w="1322" w:type="dxa"/>
            <w:vAlign w:val="center"/>
          </w:tcPr>
          <w:p w14:paraId="753ED216">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060E9DB1">
            <w:pPr>
              <w:pStyle w:val="63"/>
              <w:snapToGrid w:val="0"/>
              <w:spacing w:line="240" w:lineRule="auto"/>
              <w:ind w:firstLine="0" w:firstLineChars="0"/>
              <w:rPr>
                <w:rFonts w:ascii="宋体" w:eastAsia="宋体" w:cs="宋体"/>
                <w:color w:val="auto"/>
                <w:sz w:val="21"/>
                <w:szCs w:val="21"/>
              </w:rPr>
            </w:pPr>
          </w:p>
        </w:tc>
      </w:tr>
      <w:tr w14:paraId="523E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78FDA111">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5</w:t>
            </w:r>
          </w:p>
        </w:tc>
        <w:tc>
          <w:tcPr>
            <w:tcW w:w="1155" w:type="dxa"/>
            <w:vAlign w:val="center"/>
          </w:tcPr>
          <w:p w14:paraId="3518F8E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第五条</w:t>
            </w:r>
          </w:p>
        </w:tc>
        <w:tc>
          <w:tcPr>
            <w:tcW w:w="2887" w:type="dxa"/>
            <w:vAlign w:val="center"/>
          </w:tcPr>
          <w:p w14:paraId="1A113C70">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验收</w:t>
            </w:r>
          </w:p>
        </w:tc>
        <w:tc>
          <w:tcPr>
            <w:tcW w:w="1322" w:type="dxa"/>
            <w:vAlign w:val="center"/>
          </w:tcPr>
          <w:p w14:paraId="224866F6">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4EA2AFC7">
            <w:pPr>
              <w:pStyle w:val="63"/>
              <w:snapToGrid w:val="0"/>
              <w:spacing w:line="240" w:lineRule="auto"/>
              <w:ind w:firstLine="0" w:firstLineChars="0"/>
              <w:rPr>
                <w:rFonts w:ascii="宋体" w:eastAsia="宋体" w:cs="宋体"/>
                <w:color w:val="auto"/>
                <w:sz w:val="21"/>
                <w:szCs w:val="21"/>
              </w:rPr>
            </w:pPr>
          </w:p>
        </w:tc>
      </w:tr>
      <w:tr w14:paraId="4422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381A37C2">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6</w:t>
            </w:r>
          </w:p>
        </w:tc>
        <w:tc>
          <w:tcPr>
            <w:tcW w:w="1155" w:type="dxa"/>
            <w:vAlign w:val="center"/>
          </w:tcPr>
          <w:p w14:paraId="60D9E3A4">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第六条</w:t>
            </w:r>
          </w:p>
        </w:tc>
        <w:tc>
          <w:tcPr>
            <w:tcW w:w="2887" w:type="dxa"/>
            <w:vAlign w:val="center"/>
          </w:tcPr>
          <w:p w14:paraId="21FF0670">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质保期</w:t>
            </w:r>
          </w:p>
        </w:tc>
        <w:tc>
          <w:tcPr>
            <w:tcW w:w="1322" w:type="dxa"/>
            <w:vAlign w:val="center"/>
          </w:tcPr>
          <w:p w14:paraId="4FA6B3D4">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494DAE3F">
            <w:pPr>
              <w:pStyle w:val="63"/>
              <w:snapToGrid w:val="0"/>
              <w:spacing w:line="240" w:lineRule="auto"/>
              <w:ind w:firstLine="0" w:firstLineChars="0"/>
              <w:rPr>
                <w:rFonts w:ascii="宋体" w:eastAsia="宋体" w:cs="宋体"/>
                <w:color w:val="auto"/>
                <w:sz w:val="21"/>
                <w:szCs w:val="21"/>
              </w:rPr>
            </w:pPr>
          </w:p>
        </w:tc>
      </w:tr>
      <w:tr w14:paraId="2AD9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7B71C893">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7</w:t>
            </w:r>
          </w:p>
        </w:tc>
        <w:tc>
          <w:tcPr>
            <w:tcW w:w="1155" w:type="dxa"/>
            <w:vAlign w:val="center"/>
          </w:tcPr>
          <w:p w14:paraId="5728A796">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第七条</w:t>
            </w:r>
          </w:p>
        </w:tc>
        <w:tc>
          <w:tcPr>
            <w:tcW w:w="2887" w:type="dxa"/>
            <w:vAlign w:val="center"/>
          </w:tcPr>
          <w:p w14:paraId="4DB20CD1">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履约担保</w:t>
            </w:r>
          </w:p>
        </w:tc>
        <w:tc>
          <w:tcPr>
            <w:tcW w:w="1322" w:type="dxa"/>
            <w:vAlign w:val="center"/>
          </w:tcPr>
          <w:p w14:paraId="42A29A46">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73053BEE">
            <w:pPr>
              <w:pStyle w:val="63"/>
              <w:snapToGrid w:val="0"/>
              <w:spacing w:line="240" w:lineRule="auto"/>
              <w:ind w:firstLine="0" w:firstLineChars="0"/>
              <w:rPr>
                <w:rFonts w:ascii="宋体" w:eastAsia="宋体" w:cs="宋体"/>
                <w:color w:val="auto"/>
                <w:sz w:val="21"/>
                <w:szCs w:val="21"/>
              </w:rPr>
            </w:pPr>
          </w:p>
        </w:tc>
      </w:tr>
      <w:tr w14:paraId="6995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62986483">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8</w:t>
            </w:r>
          </w:p>
        </w:tc>
        <w:tc>
          <w:tcPr>
            <w:tcW w:w="1155" w:type="dxa"/>
            <w:vAlign w:val="center"/>
          </w:tcPr>
          <w:p w14:paraId="0B54CDDC">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第八条</w:t>
            </w:r>
          </w:p>
        </w:tc>
        <w:tc>
          <w:tcPr>
            <w:tcW w:w="2887" w:type="dxa"/>
            <w:vAlign w:val="center"/>
          </w:tcPr>
          <w:p w14:paraId="4F6A2359">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服务费结算及付款方式</w:t>
            </w:r>
          </w:p>
        </w:tc>
        <w:tc>
          <w:tcPr>
            <w:tcW w:w="1322" w:type="dxa"/>
            <w:vAlign w:val="center"/>
          </w:tcPr>
          <w:p w14:paraId="35DAF08A">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2B4AA47E">
            <w:pPr>
              <w:pStyle w:val="63"/>
              <w:snapToGrid w:val="0"/>
              <w:spacing w:line="240" w:lineRule="auto"/>
              <w:ind w:firstLine="0" w:firstLineChars="0"/>
              <w:rPr>
                <w:rFonts w:ascii="宋体" w:eastAsia="宋体" w:cs="宋体"/>
                <w:color w:val="auto"/>
                <w:sz w:val="21"/>
                <w:szCs w:val="21"/>
              </w:rPr>
            </w:pPr>
          </w:p>
        </w:tc>
      </w:tr>
      <w:tr w14:paraId="1ADD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1D9548CF">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9</w:t>
            </w:r>
          </w:p>
        </w:tc>
        <w:tc>
          <w:tcPr>
            <w:tcW w:w="1155" w:type="dxa"/>
            <w:vAlign w:val="center"/>
          </w:tcPr>
          <w:p w14:paraId="0316E6C0">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第九条</w:t>
            </w:r>
          </w:p>
        </w:tc>
        <w:tc>
          <w:tcPr>
            <w:tcW w:w="2887" w:type="dxa"/>
            <w:vAlign w:val="center"/>
          </w:tcPr>
          <w:p w14:paraId="209EF40C">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甲方权利和义务</w:t>
            </w:r>
          </w:p>
        </w:tc>
        <w:tc>
          <w:tcPr>
            <w:tcW w:w="1322" w:type="dxa"/>
            <w:vAlign w:val="center"/>
          </w:tcPr>
          <w:p w14:paraId="0D052EDB">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1AE33E69">
            <w:pPr>
              <w:pStyle w:val="63"/>
              <w:snapToGrid w:val="0"/>
              <w:spacing w:line="240" w:lineRule="auto"/>
              <w:ind w:firstLine="0" w:firstLineChars="0"/>
              <w:rPr>
                <w:rFonts w:ascii="宋体" w:eastAsia="宋体" w:cs="宋体"/>
                <w:color w:val="auto"/>
                <w:sz w:val="21"/>
                <w:szCs w:val="21"/>
              </w:rPr>
            </w:pPr>
          </w:p>
        </w:tc>
      </w:tr>
      <w:tr w14:paraId="550D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FEB290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10</w:t>
            </w:r>
          </w:p>
        </w:tc>
        <w:tc>
          <w:tcPr>
            <w:tcW w:w="1155" w:type="dxa"/>
            <w:vAlign w:val="center"/>
          </w:tcPr>
          <w:p w14:paraId="0B9183E7">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第十条</w:t>
            </w:r>
          </w:p>
        </w:tc>
        <w:tc>
          <w:tcPr>
            <w:tcW w:w="2887" w:type="dxa"/>
            <w:vAlign w:val="center"/>
          </w:tcPr>
          <w:p w14:paraId="687DFBA6">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乙方权利和义务</w:t>
            </w:r>
          </w:p>
        </w:tc>
        <w:tc>
          <w:tcPr>
            <w:tcW w:w="1322" w:type="dxa"/>
            <w:vAlign w:val="center"/>
          </w:tcPr>
          <w:p w14:paraId="442BFB20">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664DE313">
            <w:pPr>
              <w:pStyle w:val="63"/>
              <w:snapToGrid w:val="0"/>
              <w:spacing w:line="240" w:lineRule="auto"/>
              <w:ind w:firstLine="0" w:firstLineChars="0"/>
              <w:rPr>
                <w:rFonts w:ascii="宋体" w:eastAsia="宋体" w:cs="宋体"/>
                <w:color w:val="auto"/>
                <w:sz w:val="21"/>
                <w:szCs w:val="21"/>
              </w:rPr>
            </w:pPr>
          </w:p>
        </w:tc>
      </w:tr>
      <w:tr w14:paraId="3DA6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7637E1FC">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11</w:t>
            </w:r>
          </w:p>
        </w:tc>
        <w:tc>
          <w:tcPr>
            <w:tcW w:w="1155" w:type="dxa"/>
            <w:vAlign w:val="center"/>
          </w:tcPr>
          <w:p w14:paraId="58E57176">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第十一条</w:t>
            </w:r>
          </w:p>
        </w:tc>
        <w:tc>
          <w:tcPr>
            <w:tcW w:w="2887" w:type="dxa"/>
            <w:vAlign w:val="center"/>
          </w:tcPr>
          <w:p w14:paraId="753EB1E0">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违约责任</w:t>
            </w:r>
          </w:p>
        </w:tc>
        <w:tc>
          <w:tcPr>
            <w:tcW w:w="1322" w:type="dxa"/>
            <w:vAlign w:val="center"/>
          </w:tcPr>
          <w:p w14:paraId="013AE1CE">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4AF54007">
            <w:pPr>
              <w:pStyle w:val="63"/>
              <w:snapToGrid w:val="0"/>
              <w:spacing w:line="240" w:lineRule="auto"/>
              <w:ind w:firstLine="0" w:firstLineChars="0"/>
              <w:rPr>
                <w:rFonts w:ascii="宋体" w:eastAsia="宋体" w:cs="宋体"/>
                <w:color w:val="auto"/>
                <w:sz w:val="21"/>
                <w:szCs w:val="21"/>
              </w:rPr>
            </w:pPr>
          </w:p>
        </w:tc>
      </w:tr>
      <w:tr w14:paraId="2029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28918C7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12</w:t>
            </w:r>
          </w:p>
        </w:tc>
        <w:tc>
          <w:tcPr>
            <w:tcW w:w="1155" w:type="dxa"/>
            <w:vAlign w:val="center"/>
          </w:tcPr>
          <w:p w14:paraId="72C62B02">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第十二条</w:t>
            </w:r>
          </w:p>
        </w:tc>
        <w:tc>
          <w:tcPr>
            <w:tcW w:w="2887" w:type="dxa"/>
            <w:vAlign w:val="center"/>
          </w:tcPr>
          <w:p w14:paraId="376CE902">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不可抗力</w:t>
            </w:r>
          </w:p>
        </w:tc>
        <w:tc>
          <w:tcPr>
            <w:tcW w:w="1322" w:type="dxa"/>
            <w:vAlign w:val="center"/>
          </w:tcPr>
          <w:p w14:paraId="6833C02D">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24605F02">
            <w:pPr>
              <w:pStyle w:val="63"/>
              <w:snapToGrid w:val="0"/>
              <w:spacing w:line="240" w:lineRule="auto"/>
              <w:ind w:firstLine="0" w:firstLineChars="0"/>
              <w:rPr>
                <w:rFonts w:ascii="宋体" w:eastAsia="宋体" w:cs="宋体"/>
                <w:color w:val="auto"/>
                <w:sz w:val="21"/>
                <w:szCs w:val="21"/>
              </w:rPr>
            </w:pPr>
          </w:p>
        </w:tc>
      </w:tr>
      <w:tr w14:paraId="7933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756CDE9C">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13</w:t>
            </w:r>
          </w:p>
        </w:tc>
        <w:tc>
          <w:tcPr>
            <w:tcW w:w="1155" w:type="dxa"/>
            <w:vAlign w:val="center"/>
          </w:tcPr>
          <w:p w14:paraId="6CA4F6FD">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第十三条</w:t>
            </w:r>
          </w:p>
        </w:tc>
        <w:tc>
          <w:tcPr>
            <w:tcW w:w="2887" w:type="dxa"/>
            <w:vAlign w:val="center"/>
          </w:tcPr>
          <w:p w14:paraId="0FA42C8B">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其他</w:t>
            </w:r>
          </w:p>
        </w:tc>
        <w:tc>
          <w:tcPr>
            <w:tcW w:w="1322" w:type="dxa"/>
            <w:vAlign w:val="center"/>
          </w:tcPr>
          <w:p w14:paraId="284D81E0">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407C3CC0">
            <w:pPr>
              <w:pStyle w:val="63"/>
              <w:snapToGrid w:val="0"/>
              <w:spacing w:line="240" w:lineRule="auto"/>
              <w:ind w:firstLine="0" w:firstLineChars="0"/>
              <w:rPr>
                <w:rFonts w:ascii="宋体" w:eastAsia="宋体" w:cs="宋体"/>
                <w:color w:val="auto"/>
                <w:sz w:val="21"/>
                <w:szCs w:val="21"/>
              </w:rPr>
            </w:pPr>
          </w:p>
        </w:tc>
      </w:tr>
      <w:tr w14:paraId="0C8C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4AD91C9">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14</w:t>
            </w:r>
          </w:p>
        </w:tc>
        <w:tc>
          <w:tcPr>
            <w:tcW w:w="1155" w:type="dxa"/>
            <w:vAlign w:val="center"/>
          </w:tcPr>
          <w:p w14:paraId="51BEADA6">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第十四条</w:t>
            </w:r>
          </w:p>
        </w:tc>
        <w:tc>
          <w:tcPr>
            <w:tcW w:w="2887" w:type="dxa"/>
            <w:vAlign w:val="center"/>
          </w:tcPr>
          <w:p w14:paraId="1B18AD2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争议解决</w:t>
            </w:r>
          </w:p>
        </w:tc>
        <w:tc>
          <w:tcPr>
            <w:tcW w:w="1322" w:type="dxa"/>
            <w:vAlign w:val="center"/>
          </w:tcPr>
          <w:p w14:paraId="1CB7373D">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3BCEEDFC">
            <w:pPr>
              <w:pStyle w:val="63"/>
              <w:snapToGrid w:val="0"/>
              <w:spacing w:line="240" w:lineRule="auto"/>
              <w:ind w:firstLine="0" w:firstLineChars="0"/>
              <w:rPr>
                <w:rFonts w:ascii="宋体" w:eastAsia="宋体" w:cs="宋体"/>
                <w:color w:val="auto"/>
                <w:sz w:val="21"/>
                <w:szCs w:val="21"/>
              </w:rPr>
            </w:pPr>
          </w:p>
        </w:tc>
      </w:tr>
      <w:tr w14:paraId="06C1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0DBC3FF3">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15</w:t>
            </w:r>
          </w:p>
        </w:tc>
        <w:tc>
          <w:tcPr>
            <w:tcW w:w="1155" w:type="dxa"/>
            <w:vAlign w:val="center"/>
          </w:tcPr>
          <w:p w14:paraId="09EE0ACC">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第十五条</w:t>
            </w:r>
          </w:p>
        </w:tc>
        <w:tc>
          <w:tcPr>
            <w:tcW w:w="2887" w:type="dxa"/>
            <w:vAlign w:val="center"/>
          </w:tcPr>
          <w:p w14:paraId="0C20EC7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送达</w:t>
            </w:r>
          </w:p>
        </w:tc>
        <w:tc>
          <w:tcPr>
            <w:tcW w:w="1322" w:type="dxa"/>
            <w:vAlign w:val="center"/>
          </w:tcPr>
          <w:p w14:paraId="661C0EC1">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5D6F028A">
            <w:pPr>
              <w:pStyle w:val="63"/>
              <w:snapToGrid w:val="0"/>
              <w:spacing w:line="240" w:lineRule="auto"/>
              <w:ind w:firstLine="0" w:firstLineChars="0"/>
              <w:rPr>
                <w:rFonts w:ascii="宋体" w:eastAsia="宋体" w:cs="宋体"/>
                <w:color w:val="auto"/>
                <w:sz w:val="21"/>
                <w:szCs w:val="21"/>
              </w:rPr>
            </w:pPr>
          </w:p>
        </w:tc>
      </w:tr>
      <w:tr w14:paraId="4871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0F5692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16</w:t>
            </w:r>
          </w:p>
        </w:tc>
        <w:tc>
          <w:tcPr>
            <w:tcW w:w="1155" w:type="dxa"/>
            <w:vAlign w:val="center"/>
          </w:tcPr>
          <w:p w14:paraId="21CF7FCB">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第十六条</w:t>
            </w:r>
          </w:p>
        </w:tc>
        <w:tc>
          <w:tcPr>
            <w:tcW w:w="2887" w:type="dxa"/>
            <w:vAlign w:val="center"/>
          </w:tcPr>
          <w:p w14:paraId="30664FEF">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附则</w:t>
            </w:r>
          </w:p>
        </w:tc>
        <w:tc>
          <w:tcPr>
            <w:tcW w:w="1322" w:type="dxa"/>
            <w:vAlign w:val="center"/>
          </w:tcPr>
          <w:p w14:paraId="60155EB6">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2EDF529F">
            <w:pPr>
              <w:pStyle w:val="63"/>
              <w:snapToGrid w:val="0"/>
              <w:spacing w:line="240" w:lineRule="auto"/>
              <w:ind w:firstLine="0" w:firstLineChars="0"/>
              <w:rPr>
                <w:rFonts w:ascii="宋体" w:eastAsia="宋体" w:cs="宋体"/>
                <w:color w:val="auto"/>
                <w:sz w:val="21"/>
                <w:szCs w:val="21"/>
              </w:rPr>
            </w:pPr>
          </w:p>
        </w:tc>
      </w:tr>
      <w:tr w14:paraId="5F68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10F42C2">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17</w:t>
            </w:r>
          </w:p>
        </w:tc>
        <w:tc>
          <w:tcPr>
            <w:tcW w:w="1155" w:type="dxa"/>
            <w:vAlign w:val="center"/>
          </w:tcPr>
          <w:p w14:paraId="0180F3A8">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附件1</w:t>
            </w:r>
          </w:p>
        </w:tc>
        <w:tc>
          <w:tcPr>
            <w:tcW w:w="2887" w:type="dxa"/>
            <w:vAlign w:val="center"/>
          </w:tcPr>
          <w:p w14:paraId="4B102C14">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廉洁协议书</w:t>
            </w:r>
          </w:p>
        </w:tc>
        <w:tc>
          <w:tcPr>
            <w:tcW w:w="1322" w:type="dxa"/>
            <w:vAlign w:val="center"/>
          </w:tcPr>
          <w:p w14:paraId="4677D003">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7D73D2BC">
            <w:pPr>
              <w:pStyle w:val="63"/>
              <w:snapToGrid w:val="0"/>
              <w:spacing w:line="240" w:lineRule="auto"/>
              <w:ind w:firstLine="0" w:firstLineChars="0"/>
              <w:rPr>
                <w:rFonts w:ascii="宋体" w:eastAsia="宋体" w:cs="宋体"/>
                <w:color w:val="auto"/>
                <w:sz w:val="21"/>
                <w:szCs w:val="21"/>
              </w:rPr>
            </w:pPr>
          </w:p>
        </w:tc>
      </w:tr>
      <w:tr w14:paraId="2B17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29" w:type="dxa"/>
            <w:vAlign w:val="center"/>
          </w:tcPr>
          <w:p w14:paraId="461278C3">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18</w:t>
            </w:r>
          </w:p>
        </w:tc>
        <w:tc>
          <w:tcPr>
            <w:tcW w:w="1155" w:type="dxa"/>
            <w:vAlign w:val="center"/>
          </w:tcPr>
          <w:p w14:paraId="4DAFA06A">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附件2</w:t>
            </w:r>
          </w:p>
        </w:tc>
        <w:tc>
          <w:tcPr>
            <w:tcW w:w="2887" w:type="dxa"/>
            <w:vAlign w:val="center"/>
          </w:tcPr>
          <w:p w14:paraId="65A9D899">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有限空间作业安全承诺书</w:t>
            </w:r>
          </w:p>
        </w:tc>
        <w:tc>
          <w:tcPr>
            <w:tcW w:w="1322" w:type="dxa"/>
            <w:vAlign w:val="center"/>
          </w:tcPr>
          <w:p w14:paraId="3FE75A78">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29869539">
            <w:pPr>
              <w:pStyle w:val="63"/>
              <w:snapToGrid w:val="0"/>
              <w:spacing w:line="240" w:lineRule="auto"/>
              <w:ind w:firstLine="0" w:firstLineChars="0"/>
              <w:rPr>
                <w:rFonts w:ascii="宋体" w:eastAsia="宋体" w:cs="宋体"/>
                <w:color w:val="auto"/>
                <w:sz w:val="21"/>
                <w:szCs w:val="21"/>
              </w:rPr>
            </w:pPr>
          </w:p>
        </w:tc>
      </w:tr>
      <w:tr w14:paraId="25D2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3BDEF1E9">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19</w:t>
            </w:r>
          </w:p>
        </w:tc>
        <w:tc>
          <w:tcPr>
            <w:tcW w:w="1155" w:type="dxa"/>
            <w:vAlign w:val="center"/>
          </w:tcPr>
          <w:p w14:paraId="72F33E13">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附件3</w:t>
            </w:r>
          </w:p>
        </w:tc>
        <w:tc>
          <w:tcPr>
            <w:tcW w:w="2887" w:type="dxa"/>
            <w:vAlign w:val="center"/>
          </w:tcPr>
          <w:p w14:paraId="78A15536">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项目承接确认协议书</w:t>
            </w:r>
          </w:p>
        </w:tc>
        <w:tc>
          <w:tcPr>
            <w:tcW w:w="1322" w:type="dxa"/>
            <w:vAlign w:val="center"/>
          </w:tcPr>
          <w:p w14:paraId="604EF1A0">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4F986E73">
            <w:pPr>
              <w:pStyle w:val="63"/>
              <w:snapToGrid w:val="0"/>
              <w:spacing w:line="240" w:lineRule="auto"/>
              <w:ind w:firstLine="0" w:firstLineChars="0"/>
              <w:rPr>
                <w:rFonts w:ascii="宋体" w:eastAsia="宋体" w:cs="宋体"/>
                <w:color w:val="auto"/>
                <w:sz w:val="21"/>
                <w:szCs w:val="21"/>
              </w:rPr>
            </w:pPr>
          </w:p>
        </w:tc>
      </w:tr>
      <w:tr w14:paraId="38E1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08DA7E21">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20</w:t>
            </w:r>
          </w:p>
        </w:tc>
        <w:tc>
          <w:tcPr>
            <w:tcW w:w="1155" w:type="dxa"/>
            <w:vAlign w:val="center"/>
          </w:tcPr>
          <w:p w14:paraId="41257CEC">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附件4</w:t>
            </w:r>
          </w:p>
        </w:tc>
        <w:tc>
          <w:tcPr>
            <w:tcW w:w="2887" w:type="dxa"/>
            <w:vAlign w:val="center"/>
          </w:tcPr>
          <w:p w14:paraId="563647C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整改通知单</w:t>
            </w:r>
          </w:p>
        </w:tc>
        <w:tc>
          <w:tcPr>
            <w:tcW w:w="1322" w:type="dxa"/>
            <w:vAlign w:val="center"/>
          </w:tcPr>
          <w:p w14:paraId="7B6C28D4">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7F674C2A">
            <w:pPr>
              <w:pStyle w:val="63"/>
              <w:snapToGrid w:val="0"/>
              <w:spacing w:line="240" w:lineRule="auto"/>
              <w:ind w:firstLine="0" w:firstLineChars="0"/>
              <w:rPr>
                <w:rFonts w:ascii="宋体" w:eastAsia="宋体" w:cs="宋体"/>
                <w:color w:val="auto"/>
                <w:sz w:val="21"/>
                <w:szCs w:val="21"/>
              </w:rPr>
            </w:pPr>
          </w:p>
        </w:tc>
      </w:tr>
      <w:tr w14:paraId="6ADD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EE39B51">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21</w:t>
            </w:r>
          </w:p>
        </w:tc>
        <w:tc>
          <w:tcPr>
            <w:tcW w:w="1155" w:type="dxa"/>
            <w:vAlign w:val="center"/>
          </w:tcPr>
          <w:p w14:paraId="0CCA649F">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附件5</w:t>
            </w:r>
          </w:p>
        </w:tc>
        <w:tc>
          <w:tcPr>
            <w:tcW w:w="2887" w:type="dxa"/>
            <w:vAlign w:val="center"/>
          </w:tcPr>
          <w:p w14:paraId="4B82D458">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机电设备维修服务项目常用清单库</w:t>
            </w:r>
          </w:p>
        </w:tc>
        <w:tc>
          <w:tcPr>
            <w:tcW w:w="1322" w:type="dxa"/>
            <w:vAlign w:val="center"/>
          </w:tcPr>
          <w:p w14:paraId="751910BA">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5DA3AAD3">
            <w:pPr>
              <w:pStyle w:val="63"/>
              <w:snapToGrid w:val="0"/>
              <w:spacing w:line="240" w:lineRule="auto"/>
              <w:ind w:firstLine="0" w:firstLineChars="0"/>
              <w:rPr>
                <w:rFonts w:ascii="宋体" w:eastAsia="宋体" w:cs="宋体"/>
                <w:color w:val="auto"/>
                <w:sz w:val="21"/>
                <w:szCs w:val="21"/>
              </w:rPr>
            </w:pPr>
          </w:p>
        </w:tc>
      </w:tr>
      <w:tr w14:paraId="45A5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8B4506C">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22</w:t>
            </w:r>
          </w:p>
        </w:tc>
        <w:tc>
          <w:tcPr>
            <w:tcW w:w="1155" w:type="dxa"/>
            <w:vAlign w:val="center"/>
          </w:tcPr>
          <w:p w14:paraId="487E16FA">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附件6</w:t>
            </w:r>
          </w:p>
        </w:tc>
        <w:tc>
          <w:tcPr>
            <w:tcW w:w="2887" w:type="dxa"/>
            <w:vAlign w:val="center"/>
          </w:tcPr>
          <w:p w14:paraId="28444332">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机电设备维修项目请款资料清单</w:t>
            </w:r>
          </w:p>
        </w:tc>
        <w:tc>
          <w:tcPr>
            <w:tcW w:w="1322" w:type="dxa"/>
            <w:vAlign w:val="center"/>
          </w:tcPr>
          <w:p w14:paraId="5DD2AEDA">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768ACB4A">
            <w:pPr>
              <w:pStyle w:val="63"/>
              <w:snapToGrid w:val="0"/>
              <w:spacing w:line="240" w:lineRule="auto"/>
              <w:ind w:firstLine="0" w:firstLineChars="0"/>
              <w:rPr>
                <w:rFonts w:ascii="宋体" w:eastAsia="宋体" w:cs="宋体"/>
                <w:color w:val="auto"/>
                <w:sz w:val="21"/>
                <w:szCs w:val="21"/>
              </w:rPr>
            </w:pPr>
          </w:p>
        </w:tc>
      </w:tr>
      <w:tr w14:paraId="4139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073DCE4B">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23</w:t>
            </w:r>
          </w:p>
        </w:tc>
        <w:tc>
          <w:tcPr>
            <w:tcW w:w="1155" w:type="dxa"/>
            <w:vAlign w:val="center"/>
          </w:tcPr>
          <w:p w14:paraId="691FC6A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附件7</w:t>
            </w:r>
          </w:p>
        </w:tc>
        <w:tc>
          <w:tcPr>
            <w:tcW w:w="2887" w:type="dxa"/>
            <w:vAlign w:val="center"/>
          </w:tcPr>
          <w:p w14:paraId="03149903">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《东莞市水务集团管网有限公司机电设备委外维修供应商管理办法（试行）》</w:t>
            </w:r>
          </w:p>
        </w:tc>
        <w:tc>
          <w:tcPr>
            <w:tcW w:w="1322" w:type="dxa"/>
            <w:vAlign w:val="center"/>
          </w:tcPr>
          <w:p w14:paraId="483EBF3D">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2A3B5504">
            <w:pPr>
              <w:pStyle w:val="63"/>
              <w:snapToGrid w:val="0"/>
              <w:spacing w:line="240" w:lineRule="auto"/>
              <w:ind w:firstLine="0" w:firstLineChars="0"/>
              <w:rPr>
                <w:rFonts w:ascii="宋体" w:eastAsia="宋体" w:cs="宋体"/>
                <w:color w:val="auto"/>
                <w:sz w:val="21"/>
                <w:szCs w:val="21"/>
              </w:rPr>
            </w:pPr>
          </w:p>
        </w:tc>
      </w:tr>
      <w:tr w14:paraId="53D7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B80FFAA">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24</w:t>
            </w:r>
          </w:p>
        </w:tc>
        <w:tc>
          <w:tcPr>
            <w:tcW w:w="1155" w:type="dxa"/>
            <w:vAlign w:val="center"/>
          </w:tcPr>
          <w:p w14:paraId="2EDCFC98">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附件8</w:t>
            </w:r>
          </w:p>
        </w:tc>
        <w:tc>
          <w:tcPr>
            <w:tcW w:w="2887" w:type="dxa"/>
            <w:vAlign w:val="center"/>
          </w:tcPr>
          <w:p w14:paraId="6ED312E8">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安全生产管理协议书</w:t>
            </w:r>
          </w:p>
        </w:tc>
        <w:tc>
          <w:tcPr>
            <w:tcW w:w="1322" w:type="dxa"/>
            <w:vAlign w:val="center"/>
          </w:tcPr>
          <w:p w14:paraId="32893742">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5519A4E2">
            <w:pPr>
              <w:pStyle w:val="63"/>
              <w:snapToGrid w:val="0"/>
              <w:spacing w:line="240" w:lineRule="auto"/>
              <w:ind w:firstLine="0" w:firstLineChars="0"/>
              <w:rPr>
                <w:rFonts w:ascii="宋体" w:eastAsia="宋体" w:cs="宋体"/>
                <w:color w:val="auto"/>
                <w:sz w:val="21"/>
                <w:szCs w:val="21"/>
              </w:rPr>
            </w:pPr>
          </w:p>
        </w:tc>
      </w:tr>
      <w:tr w14:paraId="284B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083DEF0F">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25</w:t>
            </w:r>
          </w:p>
        </w:tc>
        <w:tc>
          <w:tcPr>
            <w:tcW w:w="1155" w:type="dxa"/>
            <w:vAlign w:val="center"/>
          </w:tcPr>
          <w:p w14:paraId="4B08C9BF">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附件9</w:t>
            </w:r>
          </w:p>
        </w:tc>
        <w:tc>
          <w:tcPr>
            <w:tcW w:w="2887" w:type="dxa"/>
            <w:vAlign w:val="center"/>
          </w:tcPr>
          <w:p w14:paraId="2B30802D">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单方结算承诺书</w:t>
            </w:r>
          </w:p>
        </w:tc>
        <w:tc>
          <w:tcPr>
            <w:tcW w:w="1322" w:type="dxa"/>
            <w:vAlign w:val="center"/>
          </w:tcPr>
          <w:p w14:paraId="7EB20560">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0E853B93">
            <w:pPr>
              <w:pStyle w:val="63"/>
              <w:snapToGrid w:val="0"/>
              <w:spacing w:line="240" w:lineRule="auto"/>
              <w:ind w:firstLine="0" w:firstLineChars="0"/>
              <w:rPr>
                <w:rFonts w:ascii="宋体" w:eastAsia="宋体" w:cs="宋体"/>
                <w:color w:val="auto"/>
                <w:sz w:val="21"/>
                <w:szCs w:val="21"/>
              </w:rPr>
            </w:pPr>
          </w:p>
        </w:tc>
      </w:tr>
      <w:tr w14:paraId="3123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664D7183">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26</w:t>
            </w:r>
          </w:p>
        </w:tc>
        <w:tc>
          <w:tcPr>
            <w:tcW w:w="1155" w:type="dxa"/>
            <w:vAlign w:val="center"/>
          </w:tcPr>
          <w:p w14:paraId="44089E28">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附件10</w:t>
            </w:r>
          </w:p>
        </w:tc>
        <w:tc>
          <w:tcPr>
            <w:tcW w:w="2887" w:type="dxa"/>
            <w:vAlign w:val="center"/>
          </w:tcPr>
          <w:p w14:paraId="19A85022">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承诺书</w:t>
            </w:r>
          </w:p>
        </w:tc>
        <w:tc>
          <w:tcPr>
            <w:tcW w:w="1322" w:type="dxa"/>
            <w:vAlign w:val="center"/>
          </w:tcPr>
          <w:p w14:paraId="6916D588">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2C0AB08D">
            <w:pPr>
              <w:pStyle w:val="63"/>
              <w:snapToGrid w:val="0"/>
              <w:spacing w:line="240" w:lineRule="auto"/>
              <w:ind w:firstLine="0" w:firstLineChars="0"/>
              <w:rPr>
                <w:rFonts w:ascii="宋体" w:eastAsia="宋体" w:cs="宋体"/>
                <w:color w:val="auto"/>
                <w:sz w:val="21"/>
                <w:szCs w:val="21"/>
              </w:rPr>
            </w:pPr>
          </w:p>
        </w:tc>
      </w:tr>
      <w:tr w14:paraId="692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A0ED5B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27</w:t>
            </w:r>
          </w:p>
        </w:tc>
        <w:tc>
          <w:tcPr>
            <w:tcW w:w="1155" w:type="dxa"/>
            <w:vAlign w:val="center"/>
          </w:tcPr>
          <w:p w14:paraId="362967C8">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附件11</w:t>
            </w:r>
          </w:p>
        </w:tc>
        <w:tc>
          <w:tcPr>
            <w:tcW w:w="2887" w:type="dxa"/>
            <w:vAlign w:val="center"/>
          </w:tcPr>
          <w:p w14:paraId="6D7F3420">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招标文件</w:t>
            </w:r>
          </w:p>
        </w:tc>
        <w:tc>
          <w:tcPr>
            <w:tcW w:w="1322" w:type="dxa"/>
            <w:vAlign w:val="center"/>
          </w:tcPr>
          <w:p w14:paraId="43FFB2F9">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4381E455">
            <w:pPr>
              <w:pStyle w:val="63"/>
              <w:snapToGrid w:val="0"/>
              <w:spacing w:line="240" w:lineRule="auto"/>
              <w:ind w:firstLine="0" w:firstLineChars="0"/>
              <w:rPr>
                <w:rFonts w:ascii="宋体" w:eastAsia="宋体" w:cs="宋体"/>
                <w:color w:val="auto"/>
                <w:sz w:val="21"/>
                <w:szCs w:val="21"/>
              </w:rPr>
            </w:pPr>
          </w:p>
        </w:tc>
      </w:tr>
      <w:tr w14:paraId="0534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010DD26">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28</w:t>
            </w:r>
          </w:p>
        </w:tc>
        <w:tc>
          <w:tcPr>
            <w:tcW w:w="1155" w:type="dxa"/>
            <w:vAlign w:val="center"/>
          </w:tcPr>
          <w:p w14:paraId="6200CC7A">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附件12</w:t>
            </w:r>
          </w:p>
        </w:tc>
        <w:tc>
          <w:tcPr>
            <w:tcW w:w="2887" w:type="dxa"/>
            <w:vAlign w:val="center"/>
          </w:tcPr>
          <w:p w14:paraId="53B13DB5">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投标文件</w:t>
            </w:r>
          </w:p>
        </w:tc>
        <w:tc>
          <w:tcPr>
            <w:tcW w:w="1322" w:type="dxa"/>
            <w:vAlign w:val="center"/>
          </w:tcPr>
          <w:p w14:paraId="51993D57">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7ED324B8">
            <w:pPr>
              <w:pStyle w:val="63"/>
              <w:snapToGrid w:val="0"/>
              <w:spacing w:line="240" w:lineRule="auto"/>
              <w:ind w:firstLine="0" w:firstLineChars="0"/>
              <w:rPr>
                <w:rFonts w:ascii="宋体" w:eastAsia="宋体" w:cs="宋体"/>
                <w:color w:val="auto"/>
                <w:sz w:val="21"/>
                <w:szCs w:val="21"/>
              </w:rPr>
            </w:pPr>
          </w:p>
        </w:tc>
      </w:tr>
      <w:tr w14:paraId="5C01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DE5811B">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29</w:t>
            </w:r>
          </w:p>
        </w:tc>
        <w:tc>
          <w:tcPr>
            <w:tcW w:w="1155" w:type="dxa"/>
            <w:vAlign w:val="center"/>
          </w:tcPr>
          <w:p w14:paraId="7896CB43">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一</w:t>
            </w:r>
          </w:p>
        </w:tc>
        <w:tc>
          <w:tcPr>
            <w:tcW w:w="2887" w:type="dxa"/>
            <w:vAlign w:val="center"/>
          </w:tcPr>
          <w:p w14:paraId="4C00BD1B">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不可撤销银行履约保函</w:t>
            </w:r>
          </w:p>
        </w:tc>
        <w:tc>
          <w:tcPr>
            <w:tcW w:w="1322" w:type="dxa"/>
            <w:vAlign w:val="center"/>
          </w:tcPr>
          <w:p w14:paraId="536380B6">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2B4DA008">
            <w:pPr>
              <w:pStyle w:val="63"/>
              <w:snapToGrid w:val="0"/>
              <w:spacing w:line="240" w:lineRule="auto"/>
              <w:ind w:firstLine="0" w:firstLineChars="0"/>
              <w:rPr>
                <w:rFonts w:ascii="宋体" w:eastAsia="宋体" w:cs="宋体"/>
                <w:color w:val="auto"/>
                <w:sz w:val="21"/>
                <w:szCs w:val="21"/>
              </w:rPr>
            </w:pPr>
          </w:p>
        </w:tc>
      </w:tr>
      <w:tr w14:paraId="5E3A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33F06F21">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30</w:t>
            </w:r>
          </w:p>
        </w:tc>
        <w:tc>
          <w:tcPr>
            <w:tcW w:w="1155" w:type="dxa"/>
            <w:vAlign w:val="center"/>
          </w:tcPr>
          <w:p w14:paraId="29E41397">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二</w:t>
            </w:r>
          </w:p>
        </w:tc>
        <w:tc>
          <w:tcPr>
            <w:tcW w:w="2887" w:type="dxa"/>
            <w:vAlign w:val="center"/>
          </w:tcPr>
          <w:p w14:paraId="2DD05016">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担保公司履约担保书</w:t>
            </w:r>
          </w:p>
        </w:tc>
        <w:tc>
          <w:tcPr>
            <w:tcW w:w="1322" w:type="dxa"/>
            <w:vAlign w:val="center"/>
          </w:tcPr>
          <w:p w14:paraId="2B9D39BB">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49BC7753">
            <w:pPr>
              <w:pStyle w:val="63"/>
              <w:snapToGrid w:val="0"/>
              <w:spacing w:line="240" w:lineRule="auto"/>
              <w:ind w:firstLine="0" w:firstLineChars="0"/>
              <w:rPr>
                <w:rFonts w:ascii="宋体" w:eastAsia="宋体" w:cs="宋体"/>
                <w:color w:val="auto"/>
                <w:sz w:val="21"/>
                <w:szCs w:val="21"/>
              </w:rPr>
            </w:pPr>
          </w:p>
        </w:tc>
      </w:tr>
      <w:tr w14:paraId="52CD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085CFB4F">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31</w:t>
            </w:r>
          </w:p>
        </w:tc>
        <w:tc>
          <w:tcPr>
            <w:tcW w:w="1155" w:type="dxa"/>
            <w:vAlign w:val="center"/>
          </w:tcPr>
          <w:p w14:paraId="7221B3C7">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三</w:t>
            </w:r>
          </w:p>
        </w:tc>
        <w:tc>
          <w:tcPr>
            <w:tcW w:w="2887" w:type="dxa"/>
            <w:vAlign w:val="center"/>
          </w:tcPr>
          <w:p w14:paraId="11FACE56">
            <w:pPr>
              <w:pStyle w:val="63"/>
              <w:spacing w:line="360" w:lineRule="exact"/>
              <w:ind w:firstLine="0" w:firstLineChars="0"/>
              <w:jc w:val="center"/>
              <w:rPr>
                <w:rFonts w:ascii="宋体" w:eastAsia="宋体" w:cs="宋体"/>
                <w:color w:val="auto"/>
                <w:sz w:val="21"/>
                <w:szCs w:val="21"/>
              </w:rPr>
            </w:pPr>
            <w:r>
              <w:rPr>
                <w:rFonts w:hint="eastAsia" w:ascii="宋体" w:eastAsia="宋体" w:cs="宋体"/>
                <w:color w:val="auto"/>
                <w:sz w:val="21"/>
                <w:szCs w:val="21"/>
              </w:rPr>
              <w:t>公证书</w:t>
            </w:r>
          </w:p>
        </w:tc>
        <w:tc>
          <w:tcPr>
            <w:tcW w:w="1322" w:type="dxa"/>
            <w:vAlign w:val="center"/>
          </w:tcPr>
          <w:p w14:paraId="5DCA623A">
            <w:pPr>
              <w:pStyle w:val="63"/>
              <w:snapToGrid w:val="0"/>
              <w:spacing w:line="240" w:lineRule="auto"/>
              <w:ind w:firstLine="0" w:firstLineChars="0"/>
              <w:rPr>
                <w:rFonts w:ascii="宋体" w:eastAsia="宋体" w:cs="宋体"/>
                <w:color w:val="auto"/>
                <w:sz w:val="21"/>
                <w:szCs w:val="21"/>
              </w:rPr>
            </w:pPr>
          </w:p>
        </w:tc>
        <w:tc>
          <w:tcPr>
            <w:tcW w:w="3094" w:type="dxa"/>
            <w:vAlign w:val="center"/>
          </w:tcPr>
          <w:p w14:paraId="3827329F">
            <w:pPr>
              <w:pStyle w:val="63"/>
              <w:snapToGrid w:val="0"/>
              <w:spacing w:line="240" w:lineRule="auto"/>
              <w:ind w:firstLine="0" w:firstLineChars="0"/>
              <w:rPr>
                <w:rFonts w:ascii="宋体" w:eastAsia="宋体" w:cs="宋体"/>
                <w:color w:val="auto"/>
                <w:sz w:val="21"/>
                <w:szCs w:val="21"/>
              </w:rPr>
            </w:pPr>
          </w:p>
        </w:tc>
      </w:tr>
    </w:tbl>
    <w:p w14:paraId="3DFD3ECF">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lang w:val="zh-CN"/>
        </w:rPr>
      </w:pPr>
    </w:p>
    <w:p w14:paraId="375F5142">
      <w:pPr>
        <w:rPr>
          <w:rFonts w:ascii="宋体" w:hAnsi="宋体" w:eastAsia="宋体" w:cs="宋体"/>
          <w:color w:val="auto"/>
          <w:szCs w:val="24"/>
          <w:lang w:val="zh-CN"/>
        </w:rPr>
      </w:pPr>
    </w:p>
    <w:p w14:paraId="5EBD2472">
      <w:pPr>
        <w:rPr>
          <w:rFonts w:ascii="宋体" w:hAnsi="宋体" w:eastAsia="宋体" w:cs="宋体"/>
          <w:color w:val="auto"/>
          <w:szCs w:val="24"/>
          <w:lang w:val="zh-CN"/>
        </w:rPr>
      </w:pPr>
    </w:p>
    <w:p w14:paraId="192C1098">
      <w:pPr>
        <w:rPr>
          <w:rFonts w:ascii="宋体" w:hAnsi="宋体" w:eastAsia="宋体" w:cs="宋体"/>
          <w:color w:val="auto"/>
          <w:szCs w:val="24"/>
          <w:lang w:val="zh-CN"/>
        </w:rPr>
      </w:pPr>
    </w:p>
    <w:p w14:paraId="4A854F44">
      <w:pPr>
        <w:rPr>
          <w:rFonts w:ascii="宋体" w:hAnsi="宋体" w:eastAsia="宋体" w:cs="宋体"/>
          <w:color w:val="auto"/>
          <w:szCs w:val="24"/>
          <w:lang w:val="zh-CN"/>
        </w:rPr>
      </w:pPr>
    </w:p>
    <w:p w14:paraId="773EB872">
      <w:pPr>
        <w:rPr>
          <w:rFonts w:ascii="宋体" w:hAnsi="宋体" w:eastAsia="宋体" w:cs="宋体"/>
          <w:color w:val="auto"/>
          <w:szCs w:val="24"/>
          <w:lang w:val="zh-CN"/>
        </w:rPr>
      </w:pPr>
    </w:p>
    <w:p w14:paraId="3C36D7F6">
      <w:pPr>
        <w:rPr>
          <w:rFonts w:ascii="宋体" w:hAnsi="宋体" w:eastAsia="宋体" w:cs="宋体"/>
          <w:color w:val="auto"/>
          <w:szCs w:val="24"/>
          <w:lang w:val="zh-CN"/>
        </w:rPr>
      </w:pPr>
    </w:p>
    <w:p w14:paraId="1F07DD99">
      <w:pPr>
        <w:rPr>
          <w:rFonts w:ascii="宋体" w:hAnsi="宋体" w:eastAsia="宋体" w:cs="宋体"/>
          <w:color w:val="auto"/>
          <w:szCs w:val="24"/>
          <w:lang w:val="zh-CN"/>
        </w:rPr>
      </w:pPr>
    </w:p>
    <w:p w14:paraId="0BCCF946">
      <w:pPr>
        <w:rPr>
          <w:rFonts w:ascii="宋体" w:hAnsi="宋体" w:eastAsia="宋体" w:cs="宋体"/>
          <w:color w:val="auto"/>
          <w:szCs w:val="24"/>
          <w:lang w:val="zh-CN"/>
        </w:rPr>
      </w:pPr>
    </w:p>
    <w:p w14:paraId="518398DE">
      <w:pPr>
        <w:rPr>
          <w:rFonts w:ascii="宋体" w:hAnsi="宋体" w:eastAsia="宋体" w:cs="宋体"/>
          <w:color w:val="auto"/>
          <w:szCs w:val="24"/>
          <w:lang w:val="zh-CN"/>
        </w:rPr>
      </w:pPr>
    </w:p>
    <w:p w14:paraId="408C5D75">
      <w:pPr>
        <w:autoSpaceDE w:val="0"/>
        <w:autoSpaceDN w:val="0"/>
        <w:adjustRightInd w:val="0"/>
        <w:snapToGrid w:val="0"/>
        <w:spacing w:line="360" w:lineRule="auto"/>
        <w:ind w:left="166" w:leftChars="-101" w:hanging="378" w:hangingChars="180"/>
        <w:jc w:val="left"/>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63EA1F0E">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b/>
          <w:color w:val="auto"/>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rPr>
        <w:t>。</w:t>
      </w:r>
    </w:p>
    <w:p w14:paraId="27B635DA">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143CB6E7">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（3）招标文件“第五篇 相关保函格式”作为重要的商务条款，投标人的响应情况列入本合同条款偏离表。</w:t>
      </w:r>
    </w:p>
    <w:p w14:paraId="78417310">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（4）如投标人差异内容较多可另附页说明，并在本偏离表“具体偏离内容”项注明其在投标文件中的具体页码。</w:t>
      </w:r>
    </w:p>
    <w:p w14:paraId="01E82108">
      <w:pPr>
        <w:spacing w:line="360" w:lineRule="auto"/>
        <w:ind w:left="357" w:leftChars="-100" w:hanging="567" w:hangingChars="270"/>
        <w:rPr>
          <w:rFonts w:ascii="宋体" w:hAnsi="宋体" w:eastAsia="宋体" w:cs="宋体"/>
          <w:color w:val="auto"/>
          <w:szCs w:val="21"/>
        </w:rPr>
      </w:pPr>
    </w:p>
    <w:p w14:paraId="4147D8E4">
      <w:pPr>
        <w:spacing w:line="360" w:lineRule="auto"/>
        <w:ind w:left="357" w:leftChars="-100" w:hanging="567" w:hangingChars="270"/>
        <w:rPr>
          <w:rFonts w:ascii="宋体" w:hAnsi="宋体" w:eastAsia="宋体" w:cs="宋体"/>
          <w:color w:val="auto"/>
          <w:szCs w:val="21"/>
        </w:rPr>
      </w:pPr>
    </w:p>
    <w:p w14:paraId="7C588A61">
      <w:pPr>
        <w:spacing w:line="360" w:lineRule="auto"/>
        <w:ind w:left="357" w:leftChars="-100" w:hanging="567" w:hangingChars="270"/>
        <w:rPr>
          <w:rFonts w:ascii="宋体" w:hAnsi="宋体" w:eastAsia="宋体" w:cs="宋体"/>
          <w:color w:val="auto"/>
          <w:szCs w:val="21"/>
        </w:rPr>
      </w:pPr>
    </w:p>
    <w:p w14:paraId="6BC19D20">
      <w:pPr>
        <w:spacing w:line="360" w:lineRule="auto"/>
        <w:ind w:left="-210" w:right="368" w:rightChars="175" w:firstLine="5355" w:firstLineChars="25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7DB5D86C">
      <w:pPr>
        <w:autoSpaceDE w:val="0"/>
        <w:autoSpaceDN w:val="0"/>
        <w:adjustRightInd w:val="0"/>
        <w:spacing w:line="360" w:lineRule="auto"/>
        <w:ind w:left="-210" w:firstLine="5355" w:firstLineChars="2550"/>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443C948E">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2"/>
          <w:szCs w:val="32"/>
        </w:rPr>
      </w:pPr>
      <w:r>
        <w:rPr>
          <w:rFonts w:hint="eastAsia" w:ascii="宋体" w:hAnsi="宋体" w:eastAsia="宋体" w:cs="宋体"/>
          <w:b/>
          <w:bCs/>
          <w:color w:val="auto"/>
          <w:kern w:val="0"/>
          <w:sz w:val="30"/>
          <w:szCs w:val="30"/>
          <w:lang w:val="zh-CN"/>
        </w:rPr>
        <w:br w:type="page"/>
      </w:r>
      <w:bookmarkStart w:id="576" w:name="_Toc94107218"/>
      <w:bookmarkStart w:id="577" w:name="_Toc102860426"/>
      <w:bookmarkStart w:id="578" w:name="_Toc29505"/>
      <w:bookmarkStart w:id="579" w:name="_Toc5473"/>
      <w:bookmarkStart w:id="580" w:name="_Toc142508377"/>
      <w:bookmarkStart w:id="581" w:name="_Toc102860082"/>
      <w:bookmarkStart w:id="582" w:name="_Toc140596937"/>
      <w:bookmarkStart w:id="583" w:name="_Toc13179"/>
      <w:bookmarkStart w:id="584" w:name="_Toc104991884"/>
      <w:bookmarkStart w:id="585" w:name="_Toc6734"/>
      <w:bookmarkStart w:id="586" w:name="_Toc486167717"/>
      <w:bookmarkStart w:id="587" w:name="_Toc27980_WPSOffice_Level2"/>
      <w:r>
        <w:rPr>
          <w:rFonts w:hint="eastAsia" w:ascii="宋体" w:hAnsi="宋体" w:eastAsia="宋体" w:cs="宋体"/>
          <w:b/>
          <w:bCs/>
          <w:color w:val="auto"/>
          <w:kern w:val="0"/>
          <w:sz w:val="30"/>
          <w:szCs w:val="30"/>
        </w:rPr>
        <w:t>十</w:t>
      </w:r>
      <w:r>
        <w:rPr>
          <w:rFonts w:hint="eastAsia" w:ascii="宋体" w:hAnsi="宋体" w:eastAsia="宋体" w:cs="宋体"/>
          <w:b/>
          <w:color w:val="auto"/>
          <w:kern w:val="0"/>
          <w:sz w:val="32"/>
          <w:szCs w:val="32"/>
        </w:rPr>
        <w:t>、业绩表格式</w:t>
      </w:r>
      <w:bookmarkEnd w:id="576"/>
      <w:bookmarkEnd w:id="577"/>
      <w:bookmarkEnd w:id="578"/>
      <w:bookmarkEnd w:id="579"/>
      <w:bookmarkEnd w:id="580"/>
      <w:bookmarkEnd w:id="581"/>
      <w:bookmarkEnd w:id="582"/>
      <w:bookmarkEnd w:id="583"/>
      <w:bookmarkEnd w:id="584"/>
      <w:bookmarkEnd w:id="585"/>
    </w:p>
    <w:p w14:paraId="631BE606">
      <w:pPr>
        <w:spacing w:line="360" w:lineRule="auto"/>
        <w:jc w:val="center"/>
        <w:rPr>
          <w:rFonts w:ascii="宋体" w:hAnsi="宋体" w:eastAsia="宋体" w:cs="宋体"/>
          <w:b/>
          <w:color w:val="auto"/>
        </w:rPr>
      </w:pPr>
      <w:bookmarkStart w:id="588" w:name="_Toc10033"/>
      <w:r>
        <w:rPr>
          <w:rFonts w:hint="eastAsia" w:ascii="宋体" w:hAnsi="宋体" w:eastAsia="宋体" w:cs="宋体"/>
          <w:b/>
          <w:color w:val="auto"/>
        </w:rPr>
        <w:t>投标人2021年1月1日以来（签订合同的时间为2021年1月1日或以后）已完成的排水泵站或排涝泵站或污水厂设备维修（或重置或改造）项目和机电设备安装项目业绩表</w:t>
      </w:r>
    </w:p>
    <w:p w14:paraId="4054573C">
      <w:pPr>
        <w:pStyle w:val="23"/>
        <w:spacing w:line="360" w:lineRule="auto"/>
        <w:ind w:left="4" w:leftChars="2" w:firstLine="420" w:firstLineChars="200"/>
        <w:rPr>
          <w:rFonts w:hAnsi="宋体" w:cs="宋体"/>
          <w:color w:val="auto"/>
          <w:szCs w:val="21"/>
        </w:rPr>
      </w:pPr>
      <w:r>
        <w:rPr>
          <w:rFonts w:hint="eastAsia" w:hAnsi="宋体" w:cs="宋体"/>
          <w:color w:val="auto"/>
          <w:szCs w:val="21"/>
        </w:rPr>
        <w:t>本项业绩必须为：投标人2021年以来（签订合同的时间为2021年1月1日或以后）已完成的排水泵站或排涝泵站或污水厂设备维修（或重置或改造）项目和机电设备安装项目业绩。</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1776"/>
        <w:gridCol w:w="1183"/>
        <w:gridCol w:w="1823"/>
        <w:gridCol w:w="1099"/>
        <w:gridCol w:w="942"/>
        <w:gridCol w:w="953"/>
      </w:tblGrid>
      <w:tr w14:paraId="6289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655" w:type="dxa"/>
            <w:vAlign w:val="center"/>
          </w:tcPr>
          <w:p w14:paraId="7EA37794">
            <w:pPr>
              <w:jc w:val="center"/>
              <w:rPr>
                <w:rFonts w:ascii="宋体" w:hAnsi="宋体" w:eastAsia="宋体" w:cs="宋体"/>
                <w:color w:val="auto"/>
                <w:szCs w:val="21"/>
              </w:rPr>
            </w:pPr>
            <w:r>
              <w:rPr>
                <w:rFonts w:hint="eastAsia" w:ascii="宋体" w:hAnsi="宋体" w:eastAsia="宋体" w:cs="宋体"/>
                <w:color w:val="auto"/>
                <w:szCs w:val="21"/>
              </w:rPr>
              <w:t>序号</w:t>
            </w:r>
          </w:p>
        </w:tc>
        <w:tc>
          <w:tcPr>
            <w:tcW w:w="1776" w:type="dxa"/>
            <w:vAlign w:val="center"/>
          </w:tcPr>
          <w:p w14:paraId="602F6059">
            <w:pPr>
              <w:jc w:val="center"/>
              <w:rPr>
                <w:rFonts w:ascii="宋体" w:hAnsi="宋体" w:eastAsia="宋体" w:cs="宋体"/>
                <w:color w:val="auto"/>
                <w:szCs w:val="21"/>
              </w:rPr>
            </w:pPr>
            <w:r>
              <w:rPr>
                <w:rFonts w:hint="eastAsia" w:ascii="宋体" w:hAnsi="宋体" w:eastAsia="宋体" w:cs="宋体"/>
                <w:color w:val="auto"/>
                <w:szCs w:val="21"/>
                <w:lang w:val="zh-CN"/>
              </w:rPr>
              <w:t>项目名称</w:t>
            </w:r>
          </w:p>
        </w:tc>
        <w:tc>
          <w:tcPr>
            <w:tcW w:w="1183" w:type="dxa"/>
            <w:vAlign w:val="center"/>
          </w:tcPr>
          <w:p w14:paraId="149032A4">
            <w:pPr>
              <w:jc w:val="center"/>
              <w:rPr>
                <w:rFonts w:ascii="宋体" w:hAnsi="宋体" w:eastAsia="宋体" w:cs="宋体"/>
                <w:color w:val="auto"/>
                <w:szCs w:val="21"/>
              </w:rPr>
            </w:pPr>
            <w:r>
              <w:rPr>
                <w:rFonts w:hint="eastAsia" w:ascii="宋体" w:hAnsi="宋体" w:eastAsia="宋体" w:cs="宋体"/>
                <w:color w:val="auto"/>
                <w:szCs w:val="21"/>
              </w:rPr>
              <w:t>合同金额</w:t>
            </w:r>
          </w:p>
        </w:tc>
        <w:tc>
          <w:tcPr>
            <w:tcW w:w="1823" w:type="dxa"/>
            <w:vAlign w:val="center"/>
          </w:tcPr>
          <w:p w14:paraId="7AF37E2A">
            <w:pPr>
              <w:jc w:val="center"/>
              <w:rPr>
                <w:rFonts w:ascii="宋体" w:hAnsi="宋体" w:eastAsia="宋体" w:cs="宋体"/>
                <w:color w:val="auto"/>
                <w:szCs w:val="21"/>
              </w:rPr>
            </w:pPr>
            <w:r>
              <w:rPr>
                <w:rFonts w:hint="eastAsia" w:ascii="宋体" w:hAnsi="宋体" w:eastAsia="宋体" w:cs="宋体"/>
                <w:color w:val="auto"/>
                <w:szCs w:val="21"/>
              </w:rPr>
              <w:t>维修设备名称及合同主要服务内容</w:t>
            </w:r>
          </w:p>
        </w:tc>
        <w:tc>
          <w:tcPr>
            <w:tcW w:w="1099" w:type="dxa"/>
            <w:vAlign w:val="center"/>
          </w:tcPr>
          <w:p w14:paraId="6A3C0120">
            <w:pPr>
              <w:jc w:val="center"/>
              <w:rPr>
                <w:rFonts w:ascii="宋体" w:hAnsi="宋体" w:eastAsia="宋体" w:cs="宋体"/>
                <w:color w:val="auto"/>
                <w:szCs w:val="21"/>
              </w:rPr>
            </w:pPr>
            <w:r>
              <w:rPr>
                <w:rFonts w:hint="eastAsia" w:ascii="宋体" w:hAnsi="宋体" w:eastAsia="宋体" w:cs="宋体"/>
                <w:color w:val="auto"/>
                <w:szCs w:val="21"/>
              </w:rPr>
              <w:t>签约日期</w:t>
            </w:r>
          </w:p>
        </w:tc>
        <w:tc>
          <w:tcPr>
            <w:tcW w:w="942" w:type="dxa"/>
            <w:vAlign w:val="center"/>
          </w:tcPr>
          <w:p w14:paraId="1B0409CF">
            <w:pPr>
              <w:jc w:val="center"/>
              <w:rPr>
                <w:rFonts w:ascii="宋体" w:hAnsi="宋体" w:eastAsia="宋体" w:cs="宋体"/>
                <w:color w:val="auto"/>
                <w:szCs w:val="21"/>
              </w:rPr>
            </w:pPr>
            <w:r>
              <w:rPr>
                <w:rFonts w:hint="eastAsia" w:ascii="宋体" w:hAnsi="宋体" w:eastAsia="宋体" w:cs="宋体"/>
                <w:color w:val="auto"/>
                <w:szCs w:val="21"/>
              </w:rPr>
              <w:t>验收时间</w:t>
            </w:r>
          </w:p>
        </w:tc>
        <w:tc>
          <w:tcPr>
            <w:tcW w:w="953" w:type="dxa"/>
            <w:vAlign w:val="center"/>
          </w:tcPr>
          <w:p w14:paraId="04F9143B">
            <w:pPr>
              <w:jc w:val="center"/>
              <w:rPr>
                <w:rFonts w:ascii="宋体" w:hAnsi="宋体" w:eastAsia="宋体" w:cs="宋体"/>
                <w:color w:val="auto"/>
                <w:szCs w:val="21"/>
              </w:rPr>
            </w:pPr>
            <w:r>
              <w:rPr>
                <w:rFonts w:hint="eastAsia" w:ascii="宋体" w:hAnsi="宋体" w:eastAsia="宋体" w:cs="宋体"/>
                <w:color w:val="auto"/>
                <w:szCs w:val="21"/>
              </w:rPr>
              <w:t>业主联系人及电话</w:t>
            </w:r>
          </w:p>
        </w:tc>
      </w:tr>
      <w:tr w14:paraId="078A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33" w:hRule="exact"/>
          <w:jc w:val="center"/>
        </w:trPr>
        <w:tc>
          <w:tcPr>
            <w:tcW w:w="8431" w:type="dxa"/>
            <w:gridSpan w:val="7"/>
            <w:vAlign w:val="center"/>
          </w:tcPr>
          <w:p w14:paraId="5E79F3CB">
            <w:pPr>
              <w:rPr>
                <w:rFonts w:ascii="宋体" w:hAnsi="宋体" w:eastAsia="宋体" w:cs="宋体"/>
                <w:color w:val="auto"/>
                <w:szCs w:val="21"/>
              </w:rPr>
            </w:pPr>
            <w:r>
              <w:rPr>
                <w:rFonts w:hint="eastAsia" w:ascii="宋体" w:hAnsi="宋体" w:eastAsia="宋体" w:cs="宋体"/>
                <w:color w:val="auto"/>
                <w:lang w:val="zh-CN"/>
              </w:rPr>
              <w:t>一、</w:t>
            </w:r>
            <w:r>
              <w:rPr>
                <w:rFonts w:hint="eastAsia" w:ascii="宋体" w:hAnsi="宋体" w:eastAsia="宋体" w:cs="宋体"/>
                <w:color w:val="auto"/>
              </w:rPr>
              <w:t>排</w:t>
            </w:r>
            <w:r>
              <w:rPr>
                <w:rFonts w:hint="eastAsia" w:ascii="宋体" w:hAnsi="宋体" w:eastAsia="宋体" w:cs="宋体"/>
                <w:color w:val="auto"/>
                <w:lang w:val="zh-CN"/>
              </w:rPr>
              <w:t>水泵站或排涝泵站或污水厂设备维修（或重置或改造）</w:t>
            </w:r>
          </w:p>
        </w:tc>
      </w:tr>
      <w:tr w14:paraId="6BA4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27" w:hRule="exact"/>
          <w:jc w:val="center"/>
        </w:trPr>
        <w:tc>
          <w:tcPr>
            <w:tcW w:w="655" w:type="dxa"/>
            <w:vAlign w:val="center"/>
          </w:tcPr>
          <w:p w14:paraId="6CE93E00">
            <w:pPr>
              <w:jc w:val="center"/>
              <w:rPr>
                <w:rFonts w:ascii="宋体" w:hAnsi="宋体" w:eastAsia="宋体" w:cs="宋体"/>
                <w:color w:val="auto"/>
                <w:szCs w:val="21"/>
              </w:rPr>
            </w:pPr>
            <w:r>
              <w:rPr>
                <w:rFonts w:hint="eastAsia" w:ascii="宋体" w:hAnsi="宋体" w:eastAsia="宋体" w:cs="宋体"/>
                <w:color w:val="auto"/>
                <w:szCs w:val="21"/>
              </w:rPr>
              <w:t>1</w:t>
            </w:r>
          </w:p>
        </w:tc>
        <w:tc>
          <w:tcPr>
            <w:tcW w:w="1776" w:type="dxa"/>
            <w:vAlign w:val="center"/>
          </w:tcPr>
          <w:p w14:paraId="4AFC8501">
            <w:pPr>
              <w:jc w:val="center"/>
              <w:rPr>
                <w:rFonts w:ascii="宋体" w:hAnsi="宋体" w:eastAsia="宋体" w:cs="宋体"/>
                <w:color w:val="auto"/>
                <w:szCs w:val="21"/>
              </w:rPr>
            </w:pPr>
          </w:p>
        </w:tc>
        <w:tc>
          <w:tcPr>
            <w:tcW w:w="1183" w:type="dxa"/>
            <w:vAlign w:val="center"/>
          </w:tcPr>
          <w:p w14:paraId="54874CB5">
            <w:pPr>
              <w:jc w:val="center"/>
              <w:rPr>
                <w:rFonts w:ascii="宋体" w:hAnsi="宋体" w:eastAsia="宋体" w:cs="宋体"/>
                <w:color w:val="auto"/>
                <w:szCs w:val="21"/>
              </w:rPr>
            </w:pPr>
          </w:p>
        </w:tc>
        <w:tc>
          <w:tcPr>
            <w:tcW w:w="1823" w:type="dxa"/>
            <w:vAlign w:val="center"/>
          </w:tcPr>
          <w:p w14:paraId="65969152">
            <w:pPr>
              <w:jc w:val="center"/>
              <w:rPr>
                <w:rFonts w:ascii="宋体" w:hAnsi="宋体" w:eastAsia="宋体" w:cs="宋体"/>
                <w:color w:val="auto"/>
                <w:szCs w:val="21"/>
              </w:rPr>
            </w:pPr>
          </w:p>
        </w:tc>
        <w:tc>
          <w:tcPr>
            <w:tcW w:w="1099" w:type="dxa"/>
            <w:vAlign w:val="center"/>
          </w:tcPr>
          <w:p w14:paraId="5C51E143">
            <w:pPr>
              <w:jc w:val="center"/>
              <w:rPr>
                <w:rFonts w:ascii="宋体" w:hAnsi="宋体" w:eastAsia="宋体" w:cs="宋体"/>
                <w:color w:val="auto"/>
                <w:szCs w:val="21"/>
              </w:rPr>
            </w:pPr>
          </w:p>
        </w:tc>
        <w:tc>
          <w:tcPr>
            <w:tcW w:w="942" w:type="dxa"/>
            <w:vAlign w:val="center"/>
          </w:tcPr>
          <w:p w14:paraId="4C3BA573">
            <w:pPr>
              <w:jc w:val="center"/>
              <w:rPr>
                <w:rFonts w:ascii="宋体" w:hAnsi="宋体" w:eastAsia="宋体" w:cs="宋体"/>
                <w:color w:val="auto"/>
                <w:szCs w:val="21"/>
              </w:rPr>
            </w:pPr>
          </w:p>
        </w:tc>
        <w:tc>
          <w:tcPr>
            <w:tcW w:w="953" w:type="dxa"/>
            <w:vAlign w:val="center"/>
          </w:tcPr>
          <w:p w14:paraId="27470C03">
            <w:pPr>
              <w:jc w:val="center"/>
              <w:rPr>
                <w:rFonts w:ascii="宋体" w:hAnsi="宋体" w:eastAsia="宋体" w:cs="宋体"/>
                <w:color w:val="auto"/>
                <w:szCs w:val="21"/>
              </w:rPr>
            </w:pPr>
          </w:p>
        </w:tc>
      </w:tr>
      <w:tr w14:paraId="05EA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27" w:hRule="exact"/>
          <w:jc w:val="center"/>
        </w:trPr>
        <w:tc>
          <w:tcPr>
            <w:tcW w:w="655" w:type="dxa"/>
            <w:vAlign w:val="center"/>
          </w:tcPr>
          <w:p w14:paraId="262B2D0F">
            <w:pPr>
              <w:jc w:val="center"/>
              <w:rPr>
                <w:rFonts w:ascii="宋体" w:hAnsi="宋体" w:eastAsia="宋体" w:cs="宋体"/>
                <w:color w:val="auto"/>
                <w:szCs w:val="21"/>
              </w:rPr>
            </w:pPr>
            <w:r>
              <w:rPr>
                <w:rFonts w:hint="eastAsia" w:ascii="宋体" w:hAnsi="宋体" w:eastAsia="宋体" w:cs="宋体"/>
                <w:color w:val="auto"/>
                <w:szCs w:val="21"/>
              </w:rPr>
              <w:t>2</w:t>
            </w:r>
          </w:p>
        </w:tc>
        <w:tc>
          <w:tcPr>
            <w:tcW w:w="1776" w:type="dxa"/>
            <w:vAlign w:val="center"/>
          </w:tcPr>
          <w:p w14:paraId="616C5B5C">
            <w:pPr>
              <w:jc w:val="center"/>
              <w:rPr>
                <w:rFonts w:ascii="宋体" w:hAnsi="宋体" w:eastAsia="宋体" w:cs="宋体"/>
                <w:color w:val="auto"/>
                <w:szCs w:val="21"/>
              </w:rPr>
            </w:pPr>
          </w:p>
        </w:tc>
        <w:tc>
          <w:tcPr>
            <w:tcW w:w="1183" w:type="dxa"/>
            <w:vAlign w:val="center"/>
          </w:tcPr>
          <w:p w14:paraId="14F9BA22">
            <w:pPr>
              <w:jc w:val="center"/>
              <w:rPr>
                <w:rFonts w:ascii="宋体" w:hAnsi="宋体" w:eastAsia="宋体" w:cs="宋体"/>
                <w:color w:val="auto"/>
                <w:szCs w:val="21"/>
              </w:rPr>
            </w:pPr>
          </w:p>
        </w:tc>
        <w:tc>
          <w:tcPr>
            <w:tcW w:w="1823" w:type="dxa"/>
            <w:vAlign w:val="center"/>
          </w:tcPr>
          <w:p w14:paraId="4B66586F">
            <w:pPr>
              <w:jc w:val="center"/>
              <w:rPr>
                <w:rFonts w:ascii="宋体" w:hAnsi="宋体" w:eastAsia="宋体" w:cs="宋体"/>
                <w:color w:val="auto"/>
                <w:szCs w:val="21"/>
              </w:rPr>
            </w:pPr>
          </w:p>
        </w:tc>
        <w:tc>
          <w:tcPr>
            <w:tcW w:w="1099" w:type="dxa"/>
            <w:vAlign w:val="center"/>
          </w:tcPr>
          <w:p w14:paraId="305B6900">
            <w:pPr>
              <w:jc w:val="center"/>
              <w:rPr>
                <w:rFonts w:ascii="宋体" w:hAnsi="宋体" w:eastAsia="宋体" w:cs="宋体"/>
                <w:color w:val="auto"/>
                <w:szCs w:val="21"/>
              </w:rPr>
            </w:pPr>
          </w:p>
        </w:tc>
        <w:tc>
          <w:tcPr>
            <w:tcW w:w="942" w:type="dxa"/>
            <w:vAlign w:val="center"/>
          </w:tcPr>
          <w:p w14:paraId="3DD7F433">
            <w:pPr>
              <w:jc w:val="center"/>
              <w:rPr>
                <w:rFonts w:ascii="宋体" w:hAnsi="宋体" w:eastAsia="宋体" w:cs="宋体"/>
                <w:color w:val="auto"/>
                <w:szCs w:val="21"/>
              </w:rPr>
            </w:pPr>
          </w:p>
        </w:tc>
        <w:tc>
          <w:tcPr>
            <w:tcW w:w="953" w:type="dxa"/>
            <w:vAlign w:val="center"/>
          </w:tcPr>
          <w:p w14:paraId="20C02225">
            <w:pPr>
              <w:jc w:val="center"/>
              <w:rPr>
                <w:rFonts w:ascii="宋体" w:hAnsi="宋体" w:eastAsia="宋体" w:cs="宋体"/>
                <w:color w:val="auto"/>
                <w:szCs w:val="21"/>
              </w:rPr>
            </w:pPr>
          </w:p>
        </w:tc>
      </w:tr>
      <w:tr w14:paraId="034D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27" w:hRule="exact"/>
          <w:jc w:val="center"/>
        </w:trPr>
        <w:tc>
          <w:tcPr>
            <w:tcW w:w="655" w:type="dxa"/>
            <w:vAlign w:val="center"/>
          </w:tcPr>
          <w:p w14:paraId="155DB102">
            <w:pPr>
              <w:jc w:val="center"/>
              <w:rPr>
                <w:rFonts w:ascii="宋体" w:hAnsi="宋体" w:eastAsia="宋体" w:cs="宋体"/>
                <w:color w:val="auto"/>
                <w:szCs w:val="21"/>
              </w:rPr>
            </w:pPr>
            <w:r>
              <w:rPr>
                <w:rFonts w:hint="eastAsia" w:ascii="宋体" w:hAnsi="宋体" w:eastAsia="宋体" w:cs="宋体"/>
                <w:color w:val="auto"/>
                <w:szCs w:val="21"/>
              </w:rPr>
              <w:t>……</w:t>
            </w:r>
          </w:p>
        </w:tc>
        <w:tc>
          <w:tcPr>
            <w:tcW w:w="1776" w:type="dxa"/>
            <w:vAlign w:val="center"/>
          </w:tcPr>
          <w:p w14:paraId="465C66D4">
            <w:pPr>
              <w:jc w:val="center"/>
              <w:rPr>
                <w:rFonts w:ascii="宋体" w:hAnsi="宋体" w:eastAsia="宋体" w:cs="宋体"/>
                <w:color w:val="auto"/>
                <w:szCs w:val="21"/>
              </w:rPr>
            </w:pPr>
          </w:p>
        </w:tc>
        <w:tc>
          <w:tcPr>
            <w:tcW w:w="1183" w:type="dxa"/>
            <w:vAlign w:val="center"/>
          </w:tcPr>
          <w:p w14:paraId="61E1A955">
            <w:pPr>
              <w:jc w:val="center"/>
              <w:rPr>
                <w:rFonts w:ascii="宋体" w:hAnsi="宋体" w:eastAsia="宋体" w:cs="宋体"/>
                <w:color w:val="auto"/>
                <w:szCs w:val="21"/>
              </w:rPr>
            </w:pPr>
          </w:p>
        </w:tc>
        <w:tc>
          <w:tcPr>
            <w:tcW w:w="1823" w:type="dxa"/>
            <w:vAlign w:val="center"/>
          </w:tcPr>
          <w:p w14:paraId="292A054F">
            <w:pPr>
              <w:jc w:val="center"/>
              <w:rPr>
                <w:rFonts w:ascii="宋体" w:hAnsi="宋体" w:eastAsia="宋体" w:cs="宋体"/>
                <w:color w:val="auto"/>
                <w:szCs w:val="21"/>
              </w:rPr>
            </w:pPr>
          </w:p>
        </w:tc>
        <w:tc>
          <w:tcPr>
            <w:tcW w:w="1099" w:type="dxa"/>
            <w:vAlign w:val="center"/>
          </w:tcPr>
          <w:p w14:paraId="4C1A82F6">
            <w:pPr>
              <w:jc w:val="center"/>
              <w:rPr>
                <w:rFonts w:ascii="宋体" w:hAnsi="宋体" w:eastAsia="宋体" w:cs="宋体"/>
                <w:color w:val="auto"/>
                <w:szCs w:val="21"/>
              </w:rPr>
            </w:pPr>
          </w:p>
        </w:tc>
        <w:tc>
          <w:tcPr>
            <w:tcW w:w="942" w:type="dxa"/>
            <w:vAlign w:val="center"/>
          </w:tcPr>
          <w:p w14:paraId="301EFA59">
            <w:pPr>
              <w:jc w:val="center"/>
              <w:rPr>
                <w:rFonts w:ascii="宋体" w:hAnsi="宋体" w:eastAsia="宋体" w:cs="宋体"/>
                <w:color w:val="auto"/>
                <w:szCs w:val="21"/>
              </w:rPr>
            </w:pPr>
          </w:p>
        </w:tc>
        <w:tc>
          <w:tcPr>
            <w:tcW w:w="953" w:type="dxa"/>
            <w:vAlign w:val="center"/>
          </w:tcPr>
          <w:p w14:paraId="2F770026">
            <w:pPr>
              <w:jc w:val="center"/>
              <w:rPr>
                <w:rFonts w:ascii="宋体" w:hAnsi="宋体" w:eastAsia="宋体" w:cs="宋体"/>
                <w:color w:val="auto"/>
                <w:szCs w:val="21"/>
              </w:rPr>
            </w:pPr>
          </w:p>
        </w:tc>
      </w:tr>
      <w:tr w14:paraId="0AE6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27" w:hRule="exact"/>
          <w:jc w:val="center"/>
        </w:trPr>
        <w:tc>
          <w:tcPr>
            <w:tcW w:w="8431" w:type="dxa"/>
            <w:gridSpan w:val="7"/>
            <w:vAlign w:val="center"/>
          </w:tcPr>
          <w:p w14:paraId="5046925F">
            <w:pPr>
              <w:rPr>
                <w:rFonts w:ascii="宋体" w:hAnsi="宋体" w:eastAsia="宋体" w:cs="宋体"/>
                <w:color w:val="auto"/>
                <w:szCs w:val="21"/>
              </w:rPr>
            </w:pPr>
            <w:r>
              <w:rPr>
                <w:rFonts w:hint="eastAsia" w:ascii="宋体" w:hAnsi="宋体" w:eastAsia="宋体" w:cs="宋体"/>
                <w:color w:val="auto"/>
                <w:lang w:val="zh-CN"/>
              </w:rPr>
              <w:t>二、</w:t>
            </w:r>
            <w:r>
              <w:rPr>
                <w:rFonts w:hint="eastAsia" w:ascii="宋体" w:hAnsi="宋体" w:eastAsia="宋体" w:cs="宋体"/>
                <w:color w:val="auto"/>
                <w:u w:val="single"/>
                <w:lang w:val="zh-CN"/>
              </w:rPr>
              <w:t>机电设备安装项目</w:t>
            </w:r>
          </w:p>
          <w:p w14:paraId="3E6A30FD">
            <w:pPr>
              <w:jc w:val="center"/>
              <w:rPr>
                <w:rFonts w:ascii="宋体" w:hAnsi="宋体" w:eastAsia="宋体" w:cs="宋体"/>
                <w:color w:val="auto"/>
                <w:szCs w:val="21"/>
              </w:rPr>
            </w:pPr>
          </w:p>
        </w:tc>
      </w:tr>
      <w:tr w14:paraId="2C86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84" w:hRule="exact"/>
          <w:jc w:val="center"/>
        </w:trPr>
        <w:tc>
          <w:tcPr>
            <w:tcW w:w="655" w:type="dxa"/>
            <w:vAlign w:val="center"/>
          </w:tcPr>
          <w:p w14:paraId="3AB2B190">
            <w:pPr>
              <w:jc w:val="center"/>
              <w:rPr>
                <w:rFonts w:ascii="宋体" w:hAnsi="宋体" w:eastAsia="宋体" w:cs="宋体"/>
                <w:color w:val="auto"/>
                <w:szCs w:val="21"/>
              </w:rPr>
            </w:pPr>
            <w:r>
              <w:rPr>
                <w:rFonts w:hint="eastAsia" w:ascii="宋体" w:hAnsi="宋体" w:eastAsia="宋体" w:cs="宋体"/>
                <w:color w:val="auto"/>
                <w:szCs w:val="21"/>
              </w:rPr>
              <w:t>序号</w:t>
            </w:r>
          </w:p>
        </w:tc>
        <w:tc>
          <w:tcPr>
            <w:tcW w:w="1776" w:type="dxa"/>
            <w:vAlign w:val="center"/>
          </w:tcPr>
          <w:p w14:paraId="7452B6CE">
            <w:pPr>
              <w:jc w:val="center"/>
              <w:rPr>
                <w:rFonts w:ascii="宋体" w:hAnsi="宋体" w:eastAsia="宋体" w:cs="宋体"/>
                <w:color w:val="auto"/>
                <w:szCs w:val="21"/>
              </w:rPr>
            </w:pPr>
            <w:r>
              <w:rPr>
                <w:rFonts w:hint="eastAsia" w:ascii="宋体" w:hAnsi="宋体" w:eastAsia="宋体" w:cs="宋体"/>
                <w:color w:val="auto"/>
                <w:szCs w:val="21"/>
                <w:lang w:val="zh-CN"/>
              </w:rPr>
              <w:t>项目名称</w:t>
            </w:r>
          </w:p>
        </w:tc>
        <w:tc>
          <w:tcPr>
            <w:tcW w:w="1183" w:type="dxa"/>
            <w:vAlign w:val="center"/>
          </w:tcPr>
          <w:p w14:paraId="243BE058">
            <w:pPr>
              <w:jc w:val="center"/>
              <w:rPr>
                <w:rFonts w:ascii="宋体" w:hAnsi="宋体" w:eastAsia="宋体" w:cs="宋体"/>
                <w:color w:val="auto"/>
                <w:szCs w:val="21"/>
              </w:rPr>
            </w:pPr>
            <w:r>
              <w:rPr>
                <w:rFonts w:hint="eastAsia" w:ascii="宋体" w:hAnsi="宋体" w:eastAsia="宋体" w:cs="宋体"/>
                <w:color w:val="auto"/>
                <w:szCs w:val="21"/>
              </w:rPr>
              <w:t>合同金额</w:t>
            </w:r>
          </w:p>
        </w:tc>
        <w:tc>
          <w:tcPr>
            <w:tcW w:w="1823" w:type="dxa"/>
            <w:vAlign w:val="center"/>
          </w:tcPr>
          <w:p w14:paraId="281A4BD7">
            <w:pPr>
              <w:jc w:val="center"/>
              <w:rPr>
                <w:rFonts w:ascii="宋体" w:hAnsi="宋体" w:eastAsia="宋体" w:cs="宋体"/>
                <w:color w:val="auto"/>
                <w:szCs w:val="21"/>
              </w:rPr>
            </w:pPr>
            <w:r>
              <w:rPr>
                <w:rFonts w:hint="eastAsia" w:ascii="宋体" w:hAnsi="宋体" w:eastAsia="宋体" w:cs="宋体"/>
                <w:color w:val="auto"/>
                <w:szCs w:val="21"/>
              </w:rPr>
              <w:t>机电设备安装名称及合同主要服务内容</w:t>
            </w:r>
          </w:p>
        </w:tc>
        <w:tc>
          <w:tcPr>
            <w:tcW w:w="1099" w:type="dxa"/>
            <w:vAlign w:val="center"/>
          </w:tcPr>
          <w:p w14:paraId="13DC2F9B">
            <w:pPr>
              <w:jc w:val="center"/>
              <w:rPr>
                <w:rFonts w:ascii="宋体" w:hAnsi="宋体" w:eastAsia="宋体" w:cs="宋体"/>
                <w:color w:val="auto"/>
                <w:szCs w:val="21"/>
              </w:rPr>
            </w:pPr>
            <w:r>
              <w:rPr>
                <w:rFonts w:hint="eastAsia" w:ascii="宋体" w:hAnsi="宋体" w:eastAsia="宋体" w:cs="宋体"/>
                <w:color w:val="auto"/>
                <w:szCs w:val="21"/>
              </w:rPr>
              <w:t>签约日期</w:t>
            </w:r>
          </w:p>
        </w:tc>
        <w:tc>
          <w:tcPr>
            <w:tcW w:w="942" w:type="dxa"/>
            <w:vAlign w:val="center"/>
          </w:tcPr>
          <w:p w14:paraId="011AFF24">
            <w:pPr>
              <w:jc w:val="center"/>
              <w:rPr>
                <w:rFonts w:ascii="宋体" w:hAnsi="宋体" w:eastAsia="宋体" w:cs="宋体"/>
                <w:color w:val="auto"/>
                <w:szCs w:val="21"/>
              </w:rPr>
            </w:pPr>
            <w:r>
              <w:rPr>
                <w:rFonts w:hint="eastAsia" w:ascii="宋体" w:hAnsi="宋体" w:eastAsia="宋体" w:cs="宋体"/>
                <w:color w:val="auto"/>
                <w:szCs w:val="21"/>
              </w:rPr>
              <w:t>验收时间</w:t>
            </w:r>
          </w:p>
        </w:tc>
        <w:tc>
          <w:tcPr>
            <w:tcW w:w="953" w:type="dxa"/>
            <w:vAlign w:val="center"/>
          </w:tcPr>
          <w:p w14:paraId="03BAB38A">
            <w:pPr>
              <w:jc w:val="center"/>
              <w:rPr>
                <w:rFonts w:ascii="宋体" w:hAnsi="宋体" w:eastAsia="宋体" w:cs="宋体"/>
                <w:color w:val="auto"/>
                <w:szCs w:val="21"/>
              </w:rPr>
            </w:pPr>
            <w:r>
              <w:rPr>
                <w:rFonts w:hint="eastAsia" w:ascii="宋体" w:hAnsi="宋体" w:eastAsia="宋体" w:cs="宋体"/>
                <w:color w:val="auto"/>
                <w:szCs w:val="21"/>
              </w:rPr>
              <w:t>业主联系人及电话</w:t>
            </w:r>
          </w:p>
        </w:tc>
      </w:tr>
      <w:tr w14:paraId="4945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27" w:hRule="exact"/>
          <w:jc w:val="center"/>
        </w:trPr>
        <w:tc>
          <w:tcPr>
            <w:tcW w:w="655" w:type="dxa"/>
            <w:vAlign w:val="center"/>
          </w:tcPr>
          <w:p w14:paraId="3D6D6E90">
            <w:pPr>
              <w:jc w:val="center"/>
              <w:rPr>
                <w:rFonts w:ascii="宋体" w:hAnsi="宋体" w:eastAsia="宋体" w:cs="宋体"/>
                <w:color w:val="auto"/>
                <w:szCs w:val="21"/>
              </w:rPr>
            </w:pPr>
            <w:r>
              <w:rPr>
                <w:rFonts w:hint="eastAsia" w:ascii="宋体" w:hAnsi="宋体" w:eastAsia="宋体" w:cs="宋体"/>
                <w:color w:val="auto"/>
                <w:szCs w:val="21"/>
              </w:rPr>
              <w:t>1</w:t>
            </w:r>
          </w:p>
        </w:tc>
        <w:tc>
          <w:tcPr>
            <w:tcW w:w="1776" w:type="dxa"/>
            <w:vAlign w:val="center"/>
          </w:tcPr>
          <w:p w14:paraId="2A375DD2">
            <w:pPr>
              <w:jc w:val="center"/>
              <w:rPr>
                <w:rFonts w:ascii="宋体" w:hAnsi="宋体" w:eastAsia="宋体" w:cs="宋体"/>
                <w:color w:val="auto"/>
                <w:szCs w:val="21"/>
              </w:rPr>
            </w:pPr>
          </w:p>
        </w:tc>
        <w:tc>
          <w:tcPr>
            <w:tcW w:w="1183" w:type="dxa"/>
            <w:vAlign w:val="center"/>
          </w:tcPr>
          <w:p w14:paraId="291718CF">
            <w:pPr>
              <w:jc w:val="center"/>
              <w:rPr>
                <w:rFonts w:ascii="宋体" w:hAnsi="宋体" w:eastAsia="宋体" w:cs="宋体"/>
                <w:color w:val="auto"/>
                <w:szCs w:val="21"/>
              </w:rPr>
            </w:pPr>
          </w:p>
        </w:tc>
        <w:tc>
          <w:tcPr>
            <w:tcW w:w="1823" w:type="dxa"/>
            <w:vAlign w:val="center"/>
          </w:tcPr>
          <w:p w14:paraId="761F76AB">
            <w:pPr>
              <w:jc w:val="center"/>
              <w:rPr>
                <w:rFonts w:ascii="宋体" w:hAnsi="宋体" w:eastAsia="宋体" w:cs="宋体"/>
                <w:color w:val="auto"/>
                <w:szCs w:val="21"/>
              </w:rPr>
            </w:pPr>
          </w:p>
        </w:tc>
        <w:tc>
          <w:tcPr>
            <w:tcW w:w="1099" w:type="dxa"/>
            <w:vAlign w:val="center"/>
          </w:tcPr>
          <w:p w14:paraId="3018642D">
            <w:pPr>
              <w:jc w:val="center"/>
              <w:rPr>
                <w:rFonts w:ascii="宋体" w:hAnsi="宋体" w:eastAsia="宋体" w:cs="宋体"/>
                <w:color w:val="auto"/>
                <w:szCs w:val="21"/>
              </w:rPr>
            </w:pPr>
          </w:p>
        </w:tc>
        <w:tc>
          <w:tcPr>
            <w:tcW w:w="942" w:type="dxa"/>
            <w:vAlign w:val="center"/>
          </w:tcPr>
          <w:p w14:paraId="32C7D51C">
            <w:pPr>
              <w:jc w:val="center"/>
              <w:rPr>
                <w:rFonts w:ascii="宋体" w:hAnsi="宋体" w:eastAsia="宋体" w:cs="宋体"/>
                <w:color w:val="auto"/>
                <w:szCs w:val="21"/>
              </w:rPr>
            </w:pPr>
          </w:p>
        </w:tc>
        <w:tc>
          <w:tcPr>
            <w:tcW w:w="953" w:type="dxa"/>
            <w:vAlign w:val="center"/>
          </w:tcPr>
          <w:p w14:paraId="374766F1">
            <w:pPr>
              <w:jc w:val="center"/>
              <w:rPr>
                <w:rFonts w:ascii="宋体" w:hAnsi="宋体" w:eastAsia="宋体" w:cs="宋体"/>
                <w:color w:val="auto"/>
                <w:szCs w:val="21"/>
              </w:rPr>
            </w:pPr>
          </w:p>
        </w:tc>
      </w:tr>
      <w:tr w14:paraId="0F3A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27" w:hRule="exact"/>
          <w:jc w:val="center"/>
        </w:trPr>
        <w:tc>
          <w:tcPr>
            <w:tcW w:w="655" w:type="dxa"/>
            <w:vAlign w:val="center"/>
          </w:tcPr>
          <w:p w14:paraId="7859DA15">
            <w:pPr>
              <w:jc w:val="center"/>
              <w:rPr>
                <w:rFonts w:ascii="宋体" w:hAnsi="宋体" w:eastAsia="宋体" w:cs="宋体"/>
                <w:color w:val="auto"/>
                <w:szCs w:val="21"/>
              </w:rPr>
            </w:pPr>
            <w:r>
              <w:rPr>
                <w:rFonts w:hint="eastAsia" w:ascii="宋体" w:hAnsi="宋体" w:eastAsia="宋体" w:cs="宋体"/>
                <w:color w:val="auto"/>
                <w:szCs w:val="21"/>
              </w:rPr>
              <w:t>2</w:t>
            </w:r>
          </w:p>
        </w:tc>
        <w:tc>
          <w:tcPr>
            <w:tcW w:w="1776" w:type="dxa"/>
            <w:vAlign w:val="center"/>
          </w:tcPr>
          <w:p w14:paraId="2A10543C">
            <w:pPr>
              <w:jc w:val="center"/>
              <w:rPr>
                <w:rFonts w:ascii="宋体" w:hAnsi="宋体" w:eastAsia="宋体" w:cs="宋体"/>
                <w:color w:val="auto"/>
                <w:szCs w:val="21"/>
              </w:rPr>
            </w:pPr>
          </w:p>
        </w:tc>
        <w:tc>
          <w:tcPr>
            <w:tcW w:w="1183" w:type="dxa"/>
            <w:vAlign w:val="center"/>
          </w:tcPr>
          <w:p w14:paraId="4F7C5E55">
            <w:pPr>
              <w:jc w:val="center"/>
              <w:rPr>
                <w:rFonts w:ascii="宋体" w:hAnsi="宋体" w:eastAsia="宋体" w:cs="宋体"/>
                <w:color w:val="auto"/>
                <w:szCs w:val="21"/>
              </w:rPr>
            </w:pPr>
          </w:p>
        </w:tc>
        <w:tc>
          <w:tcPr>
            <w:tcW w:w="1823" w:type="dxa"/>
            <w:vAlign w:val="center"/>
          </w:tcPr>
          <w:p w14:paraId="713BC93A">
            <w:pPr>
              <w:jc w:val="center"/>
              <w:rPr>
                <w:rFonts w:ascii="宋体" w:hAnsi="宋体" w:eastAsia="宋体" w:cs="宋体"/>
                <w:color w:val="auto"/>
                <w:szCs w:val="21"/>
              </w:rPr>
            </w:pPr>
          </w:p>
        </w:tc>
        <w:tc>
          <w:tcPr>
            <w:tcW w:w="1099" w:type="dxa"/>
            <w:vAlign w:val="center"/>
          </w:tcPr>
          <w:p w14:paraId="1DA3BAEC">
            <w:pPr>
              <w:jc w:val="center"/>
              <w:rPr>
                <w:rFonts w:ascii="宋体" w:hAnsi="宋体" w:eastAsia="宋体" w:cs="宋体"/>
                <w:color w:val="auto"/>
                <w:szCs w:val="21"/>
              </w:rPr>
            </w:pPr>
          </w:p>
        </w:tc>
        <w:tc>
          <w:tcPr>
            <w:tcW w:w="942" w:type="dxa"/>
            <w:vAlign w:val="center"/>
          </w:tcPr>
          <w:p w14:paraId="2D46A529">
            <w:pPr>
              <w:jc w:val="center"/>
              <w:rPr>
                <w:rFonts w:ascii="宋体" w:hAnsi="宋体" w:eastAsia="宋体" w:cs="宋体"/>
                <w:color w:val="auto"/>
                <w:szCs w:val="21"/>
              </w:rPr>
            </w:pPr>
          </w:p>
        </w:tc>
        <w:tc>
          <w:tcPr>
            <w:tcW w:w="953" w:type="dxa"/>
            <w:vAlign w:val="center"/>
          </w:tcPr>
          <w:p w14:paraId="0A3ADCEE">
            <w:pPr>
              <w:jc w:val="center"/>
              <w:rPr>
                <w:rFonts w:ascii="宋体" w:hAnsi="宋体" w:eastAsia="宋体" w:cs="宋体"/>
                <w:color w:val="auto"/>
                <w:szCs w:val="21"/>
              </w:rPr>
            </w:pPr>
          </w:p>
        </w:tc>
      </w:tr>
      <w:tr w14:paraId="78CF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18" w:hRule="exact"/>
          <w:jc w:val="center"/>
        </w:trPr>
        <w:tc>
          <w:tcPr>
            <w:tcW w:w="655" w:type="dxa"/>
            <w:vAlign w:val="center"/>
          </w:tcPr>
          <w:p w14:paraId="4B52C0ED">
            <w:pPr>
              <w:jc w:val="center"/>
              <w:rPr>
                <w:rFonts w:ascii="宋体" w:hAnsi="宋体" w:eastAsia="宋体" w:cs="宋体"/>
                <w:color w:val="auto"/>
                <w:szCs w:val="21"/>
              </w:rPr>
            </w:pPr>
            <w:r>
              <w:rPr>
                <w:rFonts w:hint="eastAsia" w:ascii="宋体" w:hAnsi="宋体" w:eastAsia="宋体" w:cs="宋体"/>
                <w:color w:val="auto"/>
                <w:szCs w:val="21"/>
              </w:rPr>
              <w:t>……</w:t>
            </w:r>
          </w:p>
        </w:tc>
        <w:tc>
          <w:tcPr>
            <w:tcW w:w="1776" w:type="dxa"/>
            <w:vAlign w:val="center"/>
          </w:tcPr>
          <w:p w14:paraId="40C02761">
            <w:pPr>
              <w:jc w:val="center"/>
              <w:rPr>
                <w:rFonts w:ascii="宋体" w:hAnsi="宋体" w:eastAsia="宋体" w:cs="宋体"/>
                <w:color w:val="auto"/>
                <w:szCs w:val="21"/>
              </w:rPr>
            </w:pPr>
          </w:p>
        </w:tc>
        <w:tc>
          <w:tcPr>
            <w:tcW w:w="1183" w:type="dxa"/>
            <w:vAlign w:val="center"/>
          </w:tcPr>
          <w:p w14:paraId="26B38191">
            <w:pPr>
              <w:jc w:val="center"/>
              <w:rPr>
                <w:rFonts w:ascii="宋体" w:hAnsi="宋体" w:eastAsia="宋体" w:cs="宋体"/>
                <w:color w:val="auto"/>
                <w:szCs w:val="21"/>
              </w:rPr>
            </w:pPr>
          </w:p>
        </w:tc>
        <w:tc>
          <w:tcPr>
            <w:tcW w:w="1823" w:type="dxa"/>
            <w:vAlign w:val="center"/>
          </w:tcPr>
          <w:p w14:paraId="4F7E5C89">
            <w:pPr>
              <w:jc w:val="center"/>
              <w:rPr>
                <w:rFonts w:ascii="宋体" w:hAnsi="宋体" w:eastAsia="宋体" w:cs="宋体"/>
                <w:color w:val="auto"/>
                <w:szCs w:val="21"/>
              </w:rPr>
            </w:pPr>
          </w:p>
        </w:tc>
        <w:tc>
          <w:tcPr>
            <w:tcW w:w="1099" w:type="dxa"/>
            <w:vAlign w:val="center"/>
          </w:tcPr>
          <w:p w14:paraId="3DB0CAD6">
            <w:pPr>
              <w:jc w:val="center"/>
              <w:rPr>
                <w:rFonts w:ascii="宋体" w:hAnsi="宋体" w:eastAsia="宋体" w:cs="宋体"/>
                <w:color w:val="auto"/>
                <w:szCs w:val="21"/>
              </w:rPr>
            </w:pPr>
          </w:p>
        </w:tc>
        <w:tc>
          <w:tcPr>
            <w:tcW w:w="942" w:type="dxa"/>
            <w:vAlign w:val="center"/>
          </w:tcPr>
          <w:p w14:paraId="42625021">
            <w:pPr>
              <w:jc w:val="center"/>
              <w:rPr>
                <w:rFonts w:ascii="宋体" w:hAnsi="宋体" w:eastAsia="宋体" w:cs="宋体"/>
                <w:color w:val="auto"/>
                <w:szCs w:val="21"/>
              </w:rPr>
            </w:pPr>
          </w:p>
        </w:tc>
        <w:tc>
          <w:tcPr>
            <w:tcW w:w="953" w:type="dxa"/>
            <w:vAlign w:val="center"/>
          </w:tcPr>
          <w:p w14:paraId="50A8DA67">
            <w:pPr>
              <w:jc w:val="center"/>
              <w:rPr>
                <w:rFonts w:ascii="宋体" w:hAnsi="宋体" w:eastAsia="宋体" w:cs="宋体"/>
                <w:color w:val="auto"/>
                <w:szCs w:val="21"/>
              </w:rPr>
            </w:pPr>
          </w:p>
        </w:tc>
      </w:tr>
    </w:tbl>
    <w:p w14:paraId="4CA6CE67">
      <w:pPr>
        <w:spacing w:line="360" w:lineRule="auto"/>
        <w:ind w:left="708" w:hanging="707" w:hangingChars="337"/>
        <w:rPr>
          <w:rFonts w:ascii="宋体" w:hAnsi="宋体" w:eastAsia="宋体" w:cs="宋体"/>
          <w:color w:val="auto"/>
          <w:lang w:val="zh-CN"/>
        </w:rPr>
      </w:pPr>
    </w:p>
    <w:p w14:paraId="3649330A">
      <w:pPr>
        <w:spacing w:line="360" w:lineRule="auto"/>
        <w:ind w:left="708" w:hanging="707" w:hangingChars="337"/>
        <w:rPr>
          <w:rFonts w:ascii="宋体" w:hAnsi="宋体" w:eastAsia="宋体" w:cs="宋体"/>
          <w:color w:val="auto"/>
          <w:lang w:val="zh-CN"/>
        </w:rPr>
      </w:pPr>
      <w:r>
        <w:rPr>
          <w:rFonts w:hint="eastAsia" w:ascii="宋体" w:hAnsi="宋体" w:eastAsia="宋体" w:cs="宋体"/>
          <w:color w:val="auto"/>
          <w:lang w:val="zh-CN"/>
        </w:rPr>
        <w:t>备注：</w:t>
      </w:r>
    </w:p>
    <w:p w14:paraId="3137D682">
      <w:pPr>
        <w:spacing w:line="360" w:lineRule="auto"/>
        <w:ind w:left="565" w:leftChars="-1" w:hanging="567" w:hangingChars="270"/>
        <w:rPr>
          <w:rFonts w:ascii="宋体" w:hAnsi="宋体" w:eastAsia="宋体" w:cs="宋体"/>
          <w:color w:val="auto"/>
          <w:lang w:val="zh-CN"/>
        </w:rPr>
      </w:pPr>
      <w:r>
        <w:rPr>
          <w:rFonts w:hint="eastAsia" w:ascii="宋体" w:hAnsi="宋体" w:eastAsia="宋体" w:cs="宋体"/>
          <w:color w:val="auto"/>
          <w:szCs w:val="21"/>
        </w:rPr>
        <w:t>（</w:t>
      </w:r>
      <w:r>
        <w:rPr>
          <w:rFonts w:hint="eastAsia" w:ascii="宋体" w:hAnsi="宋体" w:eastAsia="宋体" w:cs="宋体"/>
          <w:color w:val="auto"/>
          <w:lang w:val="zh-CN"/>
        </w:rPr>
        <w:t>1）</w:t>
      </w:r>
      <w:r>
        <w:rPr>
          <w:rFonts w:hint="eastAsia" w:ascii="宋体" w:hAnsi="宋体" w:eastAsia="宋体" w:cs="宋体"/>
          <w:color w:val="auto"/>
          <w:szCs w:val="21"/>
          <w:lang w:bidi="ar"/>
        </w:rPr>
        <w:t>项目业绩按</w:t>
      </w:r>
      <w:r>
        <w:rPr>
          <w:rFonts w:hint="eastAsia" w:ascii="宋体" w:hAnsi="宋体" w:eastAsia="宋体" w:cs="宋体"/>
          <w:color w:val="auto"/>
          <w:lang w:val="zh-CN"/>
        </w:rPr>
        <w:t>合同金额从大到小的顺序排列</w:t>
      </w:r>
      <w:r>
        <w:rPr>
          <w:rFonts w:hint="eastAsia" w:ascii="宋体" w:hAnsi="宋体" w:eastAsia="宋体" w:cs="宋体"/>
          <w:color w:val="auto"/>
          <w:kern w:val="0"/>
          <w:szCs w:val="21"/>
          <w:lang w:bidi="ar"/>
        </w:rPr>
        <w:t>；同一个单项合同的业绩可以同时在资格业绩和评分业绩重复放置；</w:t>
      </w:r>
    </w:p>
    <w:p w14:paraId="462D04D4">
      <w:pPr>
        <w:spacing w:line="360" w:lineRule="auto"/>
        <w:ind w:left="567" w:hanging="567" w:hangingChars="270"/>
        <w:rPr>
          <w:rFonts w:ascii="宋体" w:hAnsi="宋体" w:eastAsia="宋体" w:cs="宋体"/>
          <w:color w:val="auto"/>
          <w:lang w:val="zh-CN"/>
        </w:rPr>
      </w:pPr>
      <w:r>
        <w:rPr>
          <w:rFonts w:hint="eastAsia" w:ascii="宋体" w:hAnsi="宋体" w:eastAsia="宋体" w:cs="宋体"/>
          <w:color w:val="auto"/>
          <w:lang w:val="zh-CN"/>
        </w:rPr>
        <w:t>（</w:t>
      </w:r>
      <w:r>
        <w:rPr>
          <w:rFonts w:hint="eastAsia" w:ascii="宋体" w:hAnsi="宋体" w:eastAsia="宋体" w:cs="宋体"/>
          <w:color w:val="auto"/>
        </w:rPr>
        <w:t>2）</w:t>
      </w:r>
      <w:r>
        <w:rPr>
          <w:rFonts w:hint="eastAsia" w:ascii="宋体" w:hAnsi="宋体" w:eastAsia="宋体" w:cs="宋体"/>
          <w:color w:val="auto"/>
          <w:lang w:val="zh-CN"/>
        </w:rPr>
        <w:t>业绩必须附合同关键页（包括但不限于合同名称、合同签订时间、</w:t>
      </w:r>
      <w:r>
        <w:rPr>
          <w:rFonts w:hint="eastAsia" w:ascii="宋体" w:hAnsi="宋体" w:eastAsia="宋体" w:cs="宋体"/>
          <w:color w:val="auto"/>
        </w:rPr>
        <w:t>合同金额、</w:t>
      </w:r>
      <w:r>
        <w:rPr>
          <w:rFonts w:hint="eastAsia" w:ascii="宋体" w:hAnsi="宋体" w:eastAsia="宋体" w:cs="宋体"/>
          <w:color w:val="auto"/>
          <w:lang w:val="zh-CN"/>
        </w:rPr>
        <w:t>双方签字盖章页及反映评分条件的其他资料）复印件、任意一张对应的排水泵站或排涝泵站或污水厂设备维修（或重置或改造）或机电设备安装发票及相关验收证明，并按上表类别次序放置。</w:t>
      </w:r>
    </w:p>
    <w:p w14:paraId="481F1D6B">
      <w:pPr>
        <w:spacing w:line="360" w:lineRule="auto"/>
        <w:ind w:left="565" w:leftChars="-1" w:hanging="567" w:hangingChars="270"/>
        <w:rPr>
          <w:rFonts w:ascii="宋体" w:hAnsi="宋体" w:eastAsia="宋体" w:cs="宋体"/>
          <w:color w:val="auto"/>
          <w:lang w:val="zh-CN"/>
        </w:rPr>
      </w:pPr>
      <w:r>
        <w:rPr>
          <w:rFonts w:hint="eastAsia" w:ascii="宋体" w:hAnsi="宋体" w:eastAsia="宋体" w:cs="宋体"/>
          <w:color w:val="auto"/>
          <w:szCs w:val="21"/>
        </w:rPr>
        <w:t>（</w:t>
      </w:r>
      <w:r>
        <w:rPr>
          <w:rFonts w:hint="eastAsia" w:ascii="宋体" w:hAnsi="宋体" w:eastAsia="宋体" w:cs="宋体"/>
          <w:color w:val="auto"/>
        </w:rPr>
        <w:t>3</w:t>
      </w:r>
      <w:r>
        <w:rPr>
          <w:rFonts w:hint="eastAsia" w:ascii="宋体" w:hAnsi="宋体" w:eastAsia="宋体" w:cs="宋体"/>
          <w:color w:val="auto"/>
          <w:lang w:val="zh-CN"/>
        </w:rPr>
        <w:t>）若投标人提供框架协议（或资格入围合同）的单项项目业绩，应同时提供框架协议（或资格入围合同）复印件以及单项项目合同、对应的单项项目任意一张对应的排水泵站或排涝泵站或污水厂设备维修（或重置或改造）或机电设备安装发票和相关验收证明，否则在评分时将不予考虑。</w:t>
      </w:r>
    </w:p>
    <w:p w14:paraId="6CB87AFE">
      <w:pPr>
        <w:spacing w:line="360" w:lineRule="auto"/>
        <w:ind w:left="567" w:hanging="567" w:hangingChars="270"/>
        <w:rPr>
          <w:rFonts w:ascii="宋体" w:hAnsi="宋体" w:eastAsia="宋体" w:cs="宋体"/>
          <w:color w:val="auto"/>
          <w:szCs w:val="21"/>
          <w:lang w:val="zh-CN"/>
        </w:rPr>
      </w:pPr>
      <w:r>
        <w:rPr>
          <w:rFonts w:hint="eastAsia" w:ascii="宋体" w:hAnsi="宋体" w:eastAsia="宋体" w:cs="宋体"/>
          <w:color w:val="auto"/>
          <w:szCs w:val="21"/>
        </w:rPr>
        <w:t>（4</w:t>
      </w:r>
      <w:r>
        <w:rPr>
          <w:rFonts w:hint="eastAsia" w:ascii="宋体" w:hAnsi="宋体" w:eastAsia="宋体" w:cs="宋体"/>
          <w:color w:val="auto"/>
          <w:szCs w:val="21"/>
          <w:lang w:val="zh-CN"/>
        </w:rPr>
        <w:t>）上述资料必须能反映评分条件（合同签订日期为2021年1月1日或以后，合同服务内容必须为排水泵站或排涝泵站或污水厂设备维修（或重置或改造）项目或机电设备安装项目，合同金额），否则，须同时提供业主方出具的书面补充情况说明文件复印件作为辅助证明（复印件能显示业主方公章）；</w:t>
      </w:r>
    </w:p>
    <w:p w14:paraId="7C535C67">
      <w:pPr>
        <w:spacing w:line="360" w:lineRule="auto"/>
        <w:ind w:left="567" w:hanging="567" w:hangingChars="270"/>
        <w:rPr>
          <w:rFonts w:ascii="宋体" w:hAnsi="宋体" w:eastAsia="宋体" w:cs="宋体"/>
          <w:color w:val="auto"/>
          <w:lang w:val="zh-CN"/>
        </w:rPr>
      </w:pPr>
      <w:r>
        <w:rPr>
          <w:rFonts w:hint="eastAsia" w:ascii="宋体" w:hAnsi="宋体" w:eastAsia="宋体" w:cs="宋体"/>
          <w:color w:val="auto"/>
          <w:szCs w:val="21"/>
        </w:rPr>
        <w:t>（5）</w:t>
      </w:r>
      <w:r>
        <w:rPr>
          <w:rFonts w:hint="eastAsia" w:ascii="宋体" w:hAnsi="宋体" w:eastAsia="宋体" w:cs="宋体"/>
          <w:color w:val="auto"/>
          <w:lang w:val="zh-CN"/>
        </w:rPr>
        <w:t>同一个项目的业绩同时符合本评审内容多种类型的业绩条件时，不得重复放置、也不重复加分。</w:t>
      </w:r>
    </w:p>
    <w:p w14:paraId="250CDE9F">
      <w:pPr>
        <w:spacing w:line="360" w:lineRule="auto"/>
        <w:ind w:left="567" w:hanging="567" w:hangingChars="270"/>
        <w:rPr>
          <w:rFonts w:ascii="宋体" w:hAnsi="宋体" w:eastAsia="宋体" w:cs="宋体"/>
          <w:color w:val="auto"/>
          <w:szCs w:val="21"/>
        </w:rPr>
      </w:pPr>
      <w:r>
        <w:rPr>
          <w:rFonts w:hint="eastAsia" w:ascii="宋体" w:hAnsi="宋体" w:eastAsia="宋体" w:cs="宋体"/>
          <w:color w:val="auto"/>
          <w:lang w:val="zh-CN"/>
        </w:rPr>
        <w:t>（</w:t>
      </w:r>
      <w:r>
        <w:rPr>
          <w:rFonts w:hint="eastAsia" w:ascii="宋体" w:hAnsi="宋体" w:eastAsia="宋体" w:cs="宋体"/>
          <w:color w:val="auto"/>
        </w:rPr>
        <w:t>6）</w:t>
      </w:r>
      <w:r>
        <w:rPr>
          <w:rFonts w:hint="eastAsia" w:ascii="宋体" w:hAnsi="宋体" w:eastAsia="宋体" w:cs="宋体"/>
          <w:color w:val="auto"/>
          <w:szCs w:val="21"/>
        </w:rPr>
        <w:t>未按上述要求提供证明材料的业绩，或所附材料无法证明填报项目属投标人完成的或符合本项评分要求的业绩，在评标时将不予考虑。</w:t>
      </w:r>
    </w:p>
    <w:p w14:paraId="79C52F55">
      <w:pPr>
        <w:spacing w:line="360" w:lineRule="auto"/>
        <w:ind w:left="567" w:hanging="567" w:hangingChars="270"/>
        <w:rPr>
          <w:rFonts w:ascii="宋体" w:hAnsi="宋体" w:eastAsia="宋体" w:cs="宋体"/>
          <w:color w:val="auto"/>
          <w:szCs w:val="21"/>
          <w:lang w:val="zh-CN"/>
        </w:rPr>
      </w:pPr>
    </w:p>
    <w:p w14:paraId="1CB5CB37">
      <w:pPr>
        <w:spacing w:line="360" w:lineRule="auto"/>
        <w:ind w:firstLine="5670" w:firstLineChars="2700"/>
        <w:rPr>
          <w:rFonts w:ascii="宋体" w:hAnsi="宋体" w:eastAsia="宋体" w:cs="宋体"/>
          <w:color w:val="auto"/>
          <w:lang w:val="zh-CN"/>
        </w:rPr>
      </w:pPr>
      <w:r>
        <w:rPr>
          <w:rFonts w:hint="eastAsia" w:ascii="宋体" w:hAnsi="宋体" w:eastAsia="宋体" w:cs="宋体"/>
          <w:color w:val="auto"/>
          <w:lang w:val="zh-CN"/>
        </w:rPr>
        <w:t>投标人：（加盖投标人法人公章）</w:t>
      </w:r>
    </w:p>
    <w:p w14:paraId="0541AFDC">
      <w:pPr>
        <w:tabs>
          <w:tab w:val="left" w:pos="567"/>
        </w:tabs>
        <w:spacing w:line="360" w:lineRule="auto"/>
        <w:ind w:left="3747" w:hanging="567"/>
        <w:jc w:val="center"/>
        <w:rPr>
          <w:rFonts w:ascii="宋体" w:hAnsi="宋体" w:eastAsia="宋体" w:cs="宋体"/>
          <w:color w:val="auto"/>
          <w:lang w:val="zh-CN"/>
        </w:rPr>
      </w:pPr>
      <w:r>
        <w:rPr>
          <w:rFonts w:hint="eastAsia" w:ascii="宋体" w:hAnsi="宋体" w:eastAsia="宋体" w:cs="宋体"/>
          <w:color w:val="auto"/>
        </w:rPr>
        <w:t xml:space="preserve">            </w:t>
      </w:r>
      <w:r>
        <w:rPr>
          <w:rFonts w:hint="eastAsia" w:ascii="宋体" w:hAnsi="宋体" w:eastAsia="宋体" w:cs="宋体"/>
          <w:color w:val="auto"/>
          <w:lang w:val="zh-CN"/>
        </w:rPr>
        <w:t>日期：   年   月   日</w:t>
      </w:r>
    </w:p>
    <w:p w14:paraId="44044B36">
      <w:pPr>
        <w:tabs>
          <w:tab w:val="left" w:pos="567"/>
        </w:tabs>
        <w:autoSpaceDE w:val="0"/>
        <w:autoSpaceDN w:val="0"/>
        <w:adjustRightInd w:val="0"/>
        <w:spacing w:line="360" w:lineRule="auto"/>
        <w:ind w:left="657" w:hanging="867"/>
        <w:jc w:val="left"/>
        <w:outlineLvl w:val="2"/>
        <w:rPr>
          <w:rFonts w:ascii="宋体" w:hAnsi="宋体" w:eastAsia="宋体" w:cs="宋体"/>
          <w:b/>
          <w:color w:val="auto"/>
          <w:kern w:val="0"/>
          <w:sz w:val="32"/>
          <w:szCs w:val="32"/>
          <w:lang w:val="zh-CN"/>
        </w:rPr>
      </w:pPr>
      <w:r>
        <w:rPr>
          <w:rFonts w:hint="eastAsia" w:ascii="宋体" w:hAnsi="宋体" w:eastAsia="宋体" w:cs="宋体"/>
          <w:color w:val="auto"/>
        </w:rPr>
        <w:br w:type="page"/>
      </w:r>
    </w:p>
    <w:bookmarkEnd w:id="588"/>
    <w:p w14:paraId="73C62A9C">
      <w:pPr>
        <w:rPr>
          <w:rFonts w:ascii="宋体" w:hAnsi="宋体" w:eastAsia="宋体" w:cs="宋体"/>
          <w:b/>
          <w:bCs/>
          <w:color w:val="auto"/>
          <w:kern w:val="0"/>
          <w:sz w:val="32"/>
          <w:szCs w:val="32"/>
          <w:lang w:val="zh-CN"/>
        </w:rPr>
      </w:pPr>
      <w:r>
        <w:rPr>
          <w:rFonts w:hint="eastAsia" w:ascii="宋体" w:hAnsi="宋体" w:eastAsia="宋体" w:cs="宋体"/>
          <w:b/>
          <w:color w:val="auto"/>
          <w:kern w:val="0"/>
          <w:sz w:val="32"/>
          <w:szCs w:val="32"/>
        </w:rPr>
        <w:t xml:space="preserve"> </w:t>
      </w:r>
      <w:bookmarkEnd w:id="586"/>
      <w:bookmarkEnd w:id="587"/>
      <w:bookmarkStart w:id="589" w:name="_Toc28708"/>
      <w:bookmarkStart w:id="590" w:name="_Toc102860427"/>
      <w:bookmarkStart w:id="591" w:name="_Toc140596938"/>
      <w:bookmarkStart w:id="592" w:name="_Toc533708132"/>
      <w:bookmarkStart w:id="593" w:name="_Toc19890"/>
      <w:bookmarkStart w:id="594" w:name="_Toc94107220"/>
      <w:bookmarkStart w:id="595" w:name="_Toc1977737"/>
      <w:bookmarkStart w:id="596" w:name="_Toc18413"/>
      <w:bookmarkStart w:id="597" w:name="_Toc18175_WPSOffice_Level2"/>
      <w:bookmarkStart w:id="598" w:name="_Toc31965"/>
      <w:bookmarkStart w:id="599" w:name="_Toc102860083"/>
      <w:bookmarkStart w:id="600" w:name="_Toc142508378"/>
      <w:bookmarkStart w:id="601" w:name="_Toc486167719"/>
      <w:bookmarkStart w:id="602" w:name="_Toc104991885"/>
      <w:r>
        <w:rPr>
          <w:rFonts w:hint="eastAsia" w:ascii="宋体" w:hAnsi="宋体" w:eastAsia="宋体" w:cs="宋体"/>
          <w:b/>
          <w:bCs/>
          <w:color w:val="auto"/>
          <w:kern w:val="0"/>
          <w:sz w:val="32"/>
          <w:szCs w:val="32"/>
          <w:lang w:val="zh-CN"/>
        </w:rPr>
        <w:t>十</w:t>
      </w: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szCs w:val="32"/>
          <w:lang w:val="zh-CN"/>
        </w:rPr>
        <w:t>、投标保证金汇入情况说明</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145D9444">
      <w:pPr>
        <w:autoSpaceDE w:val="0"/>
        <w:autoSpaceDN w:val="0"/>
        <w:adjustRightInd w:val="0"/>
        <w:spacing w:line="360" w:lineRule="auto"/>
        <w:jc w:val="left"/>
        <w:rPr>
          <w:rFonts w:ascii="宋体" w:hAnsi="宋体" w:eastAsia="宋体" w:cs="宋体"/>
          <w:color w:val="auto"/>
          <w:szCs w:val="24"/>
        </w:rPr>
      </w:pPr>
    </w:p>
    <w:p w14:paraId="650DB643">
      <w:pPr>
        <w:autoSpaceDE w:val="0"/>
        <w:autoSpaceDN w:val="0"/>
        <w:adjustRightInd w:val="0"/>
        <w:spacing w:line="360" w:lineRule="auto"/>
        <w:ind w:left="441" w:hanging="651"/>
        <w:jc w:val="center"/>
        <w:rPr>
          <w:rFonts w:ascii="宋体" w:hAnsi="宋体" w:eastAsia="宋体" w:cs="宋体"/>
          <w:b/>
          <w:bCs/>
          <w:color w:val="auto"/>
          <w:kern w:val="0"/>
          <w:sz w:val="24"/>
          <w:szCs w:val="24"/>
        </w:rPr>
      </w:pPr>
      <w:bookmarkStart w:id="603" w:name="_Toc31832_WPSOffice_Level3"/>
      <w:r>
        <w:rPr>
          <w:rFonts w:hint="eastAsia" w:ascii="宋体" w:hAnsi="宋体" w:eastAsia="宋体" w:cs="宋体"/>
          <w:b/>
          <w:bCs/>
          <w:color w:val="auto"/>
          <w:kern w:val="0"/>
          <w:sz w:val="24"/>
          <w:szCs w:val="24"/>
        </w:rPr>
        <w:t>投标保证金汇入情况说明</w:t>
      </w:r>
      <w:bookmarkEnd w:id="603"/>
    </w:p>
    <w:p w14:paraId="5A162611">
      <w:pPr>
        <w:autoSpaceDE w:val="0"/>
        <w:autoSpaceDN w:val="0"/>
        <w:adjustRightInd w:val="0"/>
        <w:spacing w:line="360" w:lineRule="auto"/>
        <w:ind w:left="359" w:hanging="569"/>
        <w:jc w:val="center"/>
        <w:rPr>
          <w:rFonts w:ascii="宋体" w:hAnsi="宋体" w:eastAsia="宋体" w:cs="宋体"/>
          <w:b/>
          <w:bCs/>
          <w:color w:val="auto"/>
          <w:kern w:val="0"/>
          <w:szCs w:val="24"/>
        </w:rPr>
      </w:pPr>
    </w:p>
    <w:p w14:paraId="1EBF5270">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东莞市水务集团管网有限公司：</w:t>
      </w:r>
    </w:p>
    <w:p w14:paraId="2CCA5A9F">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本单位已按</w:t>
      </w:r>
      <w:r>
        <w:rPr>
          <w:rFonts w:hint="eastAsia" w:ascii="宋体" w:hAnsi="宋体" w:eastAsia="宋体" w:cs="宋体"/>
          <w:color w:val="auto"/>
          <w:kern w:val="0"/>
          <w:szCs w:val="21"/>
          <w:u w:val="single"/>
        </w:rPr>
        <w:t>东莞市水务集团管网有限公司2025年度机电设备维修定点服务单位采购项目（    包）</w:t>
      </w:r>
      <w:r>
        <w:rPr>
          <w:rFonts w:hint="eastAsia" w:ascii="宋体" w:hAnsi="宋体" w:eastAsia="宋体" w:cs="宋体"/>
          <w:color w:val="auto"/>
          <w:szCs w:val="21"/>
        </w:rPr>
        <w:t>（招标编号：</w:t>
      </w:r>
      <w:r>
        <w:rPr>
          <w:rFonts w:hint="eastAsia" w:ascii="宋体" w:hAnsi="宋体" w:eastAsia="宋体" w:cs="宋体"/>
          <w:color w:val="auto"/>
          <w:szCs w:val="21"/>
          <w:u w:val="single"/>
        </w:rPr>
        <w:t>广建咨询（东招）2024-0131号</w:t>
      </w:r>
      <w:r>
        <w:rPr>
          <w:rFonts w:hint="eastAsia" w:ascii="宋体" w:hAnsi="宋体" w:eastAsia="宋体" w:cs="宋体"/>
          <w:color w:val="auto"/>
          <w:szCs w:val="21"/>
        </w:rPr>
        <w:t>）的招标文件要求，于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日前以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付款形式）方式汇入指定账户（账户名称：</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开户银行：</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rPr>
        <w:t>）。</w:t>
      </w:r>
    </w:p>
    <w:p w14:paraId="6A03479F">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本单位投标保证金的汇款情况：（详见附件－投标保证金进账单）</w:t>
      </w:r>
    </w:p>
    <w:p w14:paraId="1ADF9201">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汇出时间：</w:t>
      </w:r>
      <w:r>
        <w:rPr>
          <w:rFonts w:hint="eastAsia" w:ascii="宋体" w:hAnsi="宋体" w:eastAsia="宋体" w:cs="宋体"/>
          <w:color w:val="auto"/>
          <w:szCs w:val="21"/>
          <w:u w:val="single"/>
        </w:rPr>
        <w:t xml:space="preserve">    年   月    日</w:t>
      </w:r>
    </w:p>
    <w:p w14:paraId="0DF0F1C7">
      <w:pPr>
        <w:spacing w:line="360" w:lineRule="auto"/>
        <w:ind w:left="-210" w:firstLine="424" w:firstLineChars="202"/>
        <w:rPr>
          <w:rFonts w:ascii="宋体" w:hAnsi="宋体" w:eastAsia="宋体" w:cs="宋体"/>
          <w:color w:val="auto"/>
          <w:szCs w:val="21"/>
          <w:u w:val="single"/>
        </w:rPr>
      </w:pPr>
      <w:r>
        <w:rPr>
          <w:rFonts w:hint="eastAsia" w:ascii="宋体" w:hAnsi="宋体" w:eastAsia="宋体" w:cs="宋体"/>
          <w:color w:val="auto"/>
          <w:szCs w:val="21"/>
        </w:rPr>
        <w:t>汇款金额：</w:t>
      </w:r>
      <w:r>
        <w:rPr>
          <w:rFonts w:hint="eastAsia" w:ascii="宋体" w:hAnsi="宋体" w:eastAsia="宋体" w:cs="宋体"/>
          <w:color w:val="auto"/>
          <w:szCs w:val="21"/>
          <w:u w:val="single"/>
        </w:rPr>
        <w:t>（大写）人民币      元（小写：¥      元）</w:t>
      </w:r>
    </w:p>
    <w:p w14:paraId="6F7828B8">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汇款账户名称：</w:t>
      </w:r>
      <w:r>
        <w:rPr>
          <w:rFonts w:hint="eastAsia" w:ascii="宋体" w:hAnsi="宋体" w:eastAsia="宋体" w:cs="宋体"/>
          <w:color w:val="auto"/>
          <w:szCs w:val="21"/>
          <w:u w:val="single"/>
        </w:rPr>
        <w:t>（必须是投标时使用的账户名）</w:t>
      </w:r>
    </w:p>
    <w:p w14:paraId="6FBF1B58">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账号：</w:t>
      </w:r>
      <w:r>
        <w:rPr>
          <w:rFonts w:hint="eastAsia" w:ascii="宋体" w:hAnsi="宋体" w:eastAsia="宋体" w:cs="宋体"/>
          <w:color w:val="auto"/>
          <w:szCs w:val="21"/>
          <w:u w:val="single"/>
        </w:rPr>
        <w:t>（必须是投标时使用的账号）</w:t>
      </w:r>
    </w:p>
    <w:p w14:paraId="1188EC98">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 xml:space="preserve">        省         市         </w:t>
      </w:r>
    </w:p>
    <w:p w14:paraId="4CE92CCE">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本单位谨承诺上述资料是正确、真实的，如因上述证明与事实不符导致的一切损失，本单位保证承担赔偿等一切法律责任。</w:t>
      </w:r>
    </w:p>
    <w:p w14:paraId="2868AD69">
      <w:pPr>
        <w:spacing w:line="360" w:lineRule="auto"/>
        <w:ind w:left="-210" w:firstLine="424" w:firstLineChars="202"/>
        <w:rPr>
          <w:rFonts w:ascii="宋体" w:hAnsi="宋体" w:eastAsia="宋体" w:cs="宋体"/>
          <w:color w:val="auto"/>
          <w:szCs w:val="21"/>
        </w:rPr>
      </w:pPr>
      <w:r>
        <w:rPr>
          <w:rFonts w:hint="eastAsia" w:ascii="宋体" w:hAnsi="宋体" w:eastAsia="宋体" w:cs="宋体"/>
          <w:color w:val="auto"/>
          <w:szCs w:val="21"/>
        </w:rPr>
        <w:t>投标保证金退回时，请按上述资料退回。</w:t>
      </w:r>
    </w:p>
    <w:p w14:paraId="52D14F10">
      <w:pPr>
        <w:spacing w:line="360" w:lineRule="auto"/>
        <w:ind w:left="-210" w:right="844" w:rightChars="402" w:firstLine="424" w:firstLineChars="202"/>
        <w:jc w:val="right"/>
        <w:rPr>
          <w:rFonts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bCs/>
          <w:color w:val="auto"/>
          <w:szCs w:val="24"/>
        </w:rPr>
        <w:t>投标人法人公章</w:t>
      </w:r>
      <w:r>
        <w:rPr>
          <w:rFonts w:hint="eastAsia" w:ascii="宋体" w:hAnsi="宋体" w:eastAsia="宋体" w:cs="宋体"/>
          <w:color w:val="auto"/>
          <w:szCs w:val="24"/>
        </w:rPr>
        <w:t>）</w:t>
      </w:r>
    </w:p>
    <w:p w14:paraId="42D30250">
      <w:pPr>
        <w:spacing w:line="360" w:lineRule="auto"/>
        <w:ind w:left="-210" w:right="628" w:rightChars="299" w:firstLine="7774" w:firstLineChars="3702"/>
        <w:jc w:val="left"/>
        <w:rPr>
          <w:rFonts w:ascii="宋体" w:hAnsi="宋体" w:eastAsia="宋体" w:cs="宋体"/>
          <w:color w:val="auto"/>
          <w:szCs w:val="24"/>
        </w:rPr>
      </w:pPr>
      <w:r>
        <w:rPr>
          <w:rFonts w:hint="eastAsia" w:ascii="宋体" w:hAnsi="宋体" w:eastAsia="宋体" w:cs="宋体"/>
          <w:color w:val="auto"/>
          <w:szCs w:val="24"/>
        </w:rPr>
        <w:t>年   月   日</w:t>
      </w:r>
    </w:p>
    <w:p w14:paraId="340C8750">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单位名称：</w:t>
      </w:r>
    </w:p>
    <w:p w14:paraId="5FAFD024">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单位地址：</w:t>
      </w:r>
    </w:p>
    <w:p w14:paraId="76D0EB3D">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联系人：</w:t>
      </w:r>
    </w:p>
    <w:p w14:paraId="47DD6E28">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 xml:space="preserve">单位电话：                    </w:t>
      </w:r>
    </w:p>
    <w:p w14:paraId="14D7DD0F">
      <w:pPr>
        <w:spacing w:line="360" w:lineRule="auto"/>
        <w:ind w:left="-210" w:firstLine="424" w:firstLineChars="202"/>
        <w:rPr>
          <w:rFonts w:ascii="宋体" w:hAnsi="宋体" w:eastAsia="宋体" w:cs="宋体"/>
          <w:color w:val="auto"/>
          <w:szCs w:val="24"/>
        </w:rPr>
      </w:pPr>
      <w:r>
        <w:rPr>
          <w:rFonts w:hint="eastAsia" w:ascii="宋体" w:hAnsi="宋体" w:eastAsia="宋体" w:cs="宋体"/>
          <w:color w:val="auto"/>
          <w:szCs w:val="24"/>
        </w:rPr>
        <w:t>联系人手机：</w:t>
      </w:r>
    </w:p>
    <w:p w14:paraId="38484AD6">
      <w:pPr>
        <w:spacing w:line="360" w:lineRule="auto"/>
        <w:ind w:left="909" w:leftChars="162" w:hanging="569"/>
        <w:rPr>
          <w:rFonts w:ascii="宋体" w:hAnsi="宋体" w:eastAsia="宋体" w:cs="宋体"/>
          <w:b/>
          <w:bCs/>
          <w:color w:val="auto"/>
          <w:szCs w:val="21"/>
        </w:rPr>
      </w:pPr>
      <w:bookmarkStart w:id="604" w:name="_Toc26208_WPSOffice_Level3"/>
      <w:r>
        <w:rPr>
          <w:rFonts w:hint="eastAsia" w:ascii="宋体" w:hAnsi="宋体" w:eastAsia="宋体" w:cs="宋体"/>
          <w:b/>
          <w:bCs/>
          <w:color w:val="auto"/>
          <w:szCs w:val="21"/>
        </w:rPr>
        <w:t>附：1、我方投标保证金汇款凭证（复印件）</w:t>
      </w:r>
      <w:bookmarkEnd w:id="604"/>
    </w:p>
    <w:p w14:paraId="486BCB09">
      <w:pPr>
        <w:spacing w:line="360" w:lineRule="auto"/>
        <w:ind w:left="340" w:leftChars="162" w:firstLine="839" w:firstLineChars="398"/>
        <w:rPr>
          <w:rFonts w:ascii="宋体" w:hAnsi="宋体" w:eastAsia="宋体" w:cs="宋体"/>
          <w:b/>
          <w:bCs/>
          <w:color w:val="auto"/>
          <w:szCs w:val="21"/>
        </w:rPr>
      </w:pPr>
      <w:bookmarkStart w:id="605" w:name="_Toc12992_WPSOffice_Level3"/>
      <w:r>
        <w:rPr>
          <w:rFonts w:hint="eastAsia" w:ascii="宋体" w:hAnsi="宋体" w:eastAsia="宋体" w:cs="宋体"/>
          <w:b/>
          <w:bCs/>
          <w:color w:val="auto"/>
          <w:szCs w:val="21"/>
        </w:rPr>
        <w:t>2、我方基本账户开户许可证（复印件）</w:t>
      </w:r>
      <w:bookmarkEnd w:id="605"/>
    </w:p>
    <w:p w14:paraId="6A58E332">
      <w:pPr>
        <w:spacing w:line="360" w:lineRule="auto"/>
        <w:ind w:left="340" w:leftChars="162" w:firstLine="736" w:firstLineChars="349"/>
        <w:rPr>
          <w:rFonts w:ascii="宋体" w:hAnsi="宋体" w:eastAsia="宋体" w:cs="宋体"/>
          <w:b/>
          <w:bCs/>
          <w:color w:val="auto"/>
          <w:szCs w:val="21"/>
          <w:lang w:val="zh-CN"/>
        </w:rPr>
      </w:pPr>
      <w:r>
        <w:rPr>
          <w:rFonts w:hint="eastAsia" w:ascii="宋体" w:hAnsi="宋体" w:eastAsia="宋体" w:cs="宋体"/>
          <w:b/>
          <w:bCs/>
          <w:color w:val="auto"/>
          <w:szCs w:val="21"/>
          <w:lang w:val="zh-CN"/>
        </w:rPr>
        <w:t>注：本情况说明手写无效。</w:t>
      </w:r>
    </w:p>
    <w:p w14:paraId="6F10E794">
      <w:pPr>
        <w:autoSpaceDE w:val="0"/>
        <w:autoSpaceDN w:val="0"/>
        <w:adjustRightInd w:val="0"/>
        <w:spacing w:line="360" w:lineRule="auto"/>
        <w:ind w:left="-210" w:firstLine="5145" w:firstLineChars="2450"/>
        <w:rPr>
          <w:rFonts w:ascii="宋体" w:hAnsi="宋体" w:eastAsia="宋体" w:cs="宋体"/>
          <w:color w:val="auto"/>
          <w:szCs w:val="24"/>
          <w:lang w:val="zh-CN"/>
        </w:rPr>
      </w:pPr>
    </w:p>
    <w:p w14:paraId="7691009D">
      <w:pPr>
        <w:spacing w:line="360" w:lineRule="auto"/>
        <w:ind w:left="359" w:hanging="569"/>
        <w:rPr>
          <w:rFonts w:ascii="宋体" w:hAnsi="宋体" w:eastAsia="宋体" w:cs="宋体"/>
          <w:b/>
          <w:color w:val="auto"/>
          <w:kern w:val="0"/>
          <w:szCs w:val="21"/>
        </w:rPr>
      </w:pPr>
      <w:bookmarkStart w:id="606" w:name="_Toc533708134"/>
      <w:bookmarkStart w:id="607" w:name="_Toc486167721"/>
    </w:p>
    <w:p w14:paraId="33D17DF3">
      <w:pPr>
        <w:tabs>
          <w:tab w:val="left" w:pos="567"/>
        </w:tabs>
        <w:autoSpaceDE w:val="0"/>
        <w:autoSpaceDN w:val="0"/>
        <w:adjustRightInd w:val="0"/>
        <w:spacing w:line="360" w:lineRule="auto"/>
        <w:ind w:left="657" w:leftChars="-100" w:hanging="867"/>
        <w:jc w:val="left"/>
        <w:outlineLvl w:val="2"/>
        <w:rPr>
          <w:rFonts w:ascii="宋体" w:hAnsi="宋体" w:eastAsia="宋体" w:cs="宋体"/>
          <w:b/>
          <w:bCs/>
          <w:color w:val="auto"/>
          <w:kern w:val="0"/>
          <w:sz w:val="32"/>
          <w:szCs w:val="32"/>
          <w:lang w:val="zh-CN"/>
        </w:rPr>
      </w:pPr>
      <w:bookmarkStart w:id="608" w:name="_Toc142508379"/>
      <w:bookmarkStart w:id="609" w:name="_Toc104991886"/>
      <w:bookmarkStart w:id="610" w:name="_Toc102860084"/>
      <w:bookmarkStart w:id="611" w:name="_Toc102860428"/>
      <w:bookmarkStart w:id="612" w:name="_Toc94107221"/>
      <w:bookmarkStart w:id="613" w:name="_Toc140596939"/>
      <w:bookmarkStart w:id="614" w:name="_Toc24616"/>
      <w:bookmarkStart w:id="615" w:name="_Toc1977738"/>
    </w:p>
    <w:p w14:paraId="06D990F2">
      <w:pPr>
        <w:tabs>
          <w:tab w:val="left" w:pos="567"/>
        </w:tabs>
        <w:autoSpaceDE w:val="0"/>
        <w:autoSpaceDN w:val="0"/>
        <w:adjustRightInd w:val="0"/>
        <w:spacing w:line="360" w:lineRule="auto"/>
        <w:ind w:left="657" w:leftChars="-100" w:hanging="867"/>
        <w:jc w:val="left"/>
        <w:outlineLvl w:val="2"/>
        <w:rPr>
          <w:rFonts w:ascii="宋体" w:hAnsi="宋体" w:eastAsia="宋体" w:cs="宋体"/>
          <w:b/>
          <w:bCs/>
          <w:color w:val="auto"/>
          <w:kern w:val="0"/>
          <w:sz w:val="32"/>
          <w:szCs w:val="32"/>
          <w:lang w:val="zh-CN"/>
        </w:rPr>
      </w:pPr>
    </w:p>
    <w:p w14:paraId="7E5F4834">
      <w:pPr>
        <w:tabs>
          <w:tab w:val="left" w:pos="567"/>
        </w:tabs>
        <w:autoSpaceDE w:val="0"/>
        <w:autoSpaceDN w:val="0"/>
        <w:adjustRightInd w:val="0"/>
        <w:spacing w:line="360" w:lineRule="auto"/>
        <w:ind w:left="657" w:leftChars="-100" w:hanging="867"/>
        <w:jc w:val="left"/>
        <w:outlineLvl w:val="2"/>
        <w:rPr>
          <w:rFonts w:ascii="宋体" w:hAnsi="宋体" w:eastAsia="宋体" w:cs="宋体"/>
          <w:b/>
          <w:color w:val="auto"/>
          <w:kern w:val="0"/>
          <w:sz w:val="32"/>
          <w:szCs w:val="32"/>
        </w:rPr>
        <w:sectPr>
          <w:pgSz w:w="12240" w:h="15840"/>
          <w:pgMar w:top="1191" w:right="1043" w:bottom="1191" w:left="1043" w:header="720" w:footer="720" w:gutter="0"/>
          <w:cols w:space="720" w:num="1"/>
          <w:titlePg/>
          <w:docGrid w:linePitch="326" w:charSpace="0"/>
        </w:sectPr>
      </w:pPr>
      <w:bookmarkStart w:id="616" w:name="_Toc2007"/>
      <w:bookmarkStart w:id="617" w:name="_Toc29652"/>
      <w:bookmarkStart w:id="618" w:name="_Toc3238"/>
      <w:r>
        <w:rPr>
          <w:rFonts w:hint="eastAsia" w:ascii="宋体" w:hAnsi="宋体" w:eastAsia="宋体" w:cs="宋体"/>
          <w:b/>
          <w:bCs/>
          <w:color w:val="auto"/>
          <w:kern w:val="0"/>
          <w:sz w:val="32"/>
          <w:szCs w:val="32"/>
          <w:lang w:val="zh-CN"/>
        </w:rPr>
        <w:t>十</w:t>
      </w:r>
      <w:r>
        <w:rPr>
          <w:rFonts w:hint="eastAsia" w:ascii="宋体" w:hAnsi="宋体" w:eastAsia="宋体" w:cs="宋体"/>
          <w:b/>
          <w:bCs/>
          <w:color w:val="auto"/>
          <w:kern w:val="0"/>
          <w:sz w:val="32"/>
          <w:szCs w:val="32"/>
        </w:rPr>
        <w:t>二</w:t>
      </w:r>
      <w:r>
        <w:rPr>
          <w:rFonts w:hint="eastAsia" w:ascii="宋体" w:hAnsi="宋体" w:eastAsia="宋体" w:cs="宋体"/>
          <w:b/>
          <w:bCs/>
          <w:color w:val="auto"/>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08"/>
      <w:bookmarkEnd w:id="609"/>
      <w:bookmarkEnd w:id="610"/>
      <w:bookmarkEnd w:id="611"/>
      <w:bookmarkEnd w:id="612"/>
      <w:bookmarkEnd w:id="613"/>
      <w:bookmarkEnd w:id="614"/>
      <w:bookmarkEnd w:id="615"/>
      <w:bookmarkEnd w:id="616"/>
      <w:bookmarkEnd w:id="617"/>
      <w:bookmarkEnd w:id="618"/>
    </w:p>
    <w:p w14:paraId="3383188A">
      <w:pPr>
        <w:tabs>
          <w:tab w:val="left" w:pos="567"/>
        </w:tabs>
        <w:autoSpaceDE w:val="0"/>
        <w:autoSpaceDN w:val="0"/>
        <w:adjustRightInd w:val="0"/>
        <w:spacing w:line="360" w:lineRule="auto"/>
        <w:ind w:left="657" w:leftChars="-100" w:hanging="867"/>
        <w:jc w:val="left"/>
        <w:outlineLvl w:val="2"/>
        <w:rPr>
          <w:rFonts w:ascii="宋体" w:hAnsi="宋体" w:eastAsia="宋体" w:cs="宋体"/>
          <w:b/>
          <w:color w:val="auto"/>
          <w:kern w:val="0"/>
          <w:sz w:val="32"/>
          <w:szCs w:val="32"/>
        </w:rPr>
      </w:pPr>
      <w:bookmarkStart w:id="619" w:name="_Toc104991887"/>
      <w:bookmarkStart w:id="620" w:name="_Toc102860085"/>
      <w:bookmarkStart w:id="621" w:name="_Toc18038"/>
      <w:bookmarkStart w:id="622" w:name="_Toc94107222"/>
      <w:bookmarkStart w:id="623" w:name="_Toc1977739"/>
      <w:bookmarkStart w:id="624" w:name="_Toc27482"/>
      <w:bookmarkStart w:id="625" w:name="_Toc140596940"/>
      <w:bookmarkStart w:id="626" w:name="_Toc31916"/>
      <w:bookmarkStart w:id="627" w:name="_Toc2718"/>
      <w:bookmarkStart w:id="628" w:name="_Toc102860429"/>
      <w:bookmarkStart w:id="629" w:name="_Toc142508380"/>
      <w:r>
        <w:rPr>
          <w:rFonts w:hint="eastAsia" w:ascii="宋体" w:hAnsi="宋体" w:eastAsia="宋体" w:cs="宋体"/>
          <w:b/>
          <w:color w:val="auto"/>
          <w:kern w:val="0"/>
          <w:sz w:val="32"/>
          <w:szCs w:val="32"/>
        </w:rPr>
        <w:t>十三、技术响应文件格式</w:t>
      </w:r>
      <w:bookmarkEnd w:id="606"/>
      <w:bookmarkEnd w:id="619"/>
      <w:bookmarkEnd w:id="620"/>
      <w:bookmarkEnd w:id="621"/>
      <w:bookmarkEnd w:id="622"/>
      <w:bookmarkEnd w:id="623"/>
      <w:bookmarkEnd w:id="624"/>
      <w:bookmarkEnd w:id="625"/>
      <w:bookmarkEnd w:id="626"/>
      <w:bookmarkEnd w:id="627"/>
      <w:bookmarkEnd w:id="628"/>
      <w:bookmarkEnd w:id="629"/>
    </w:p>
    <w:p w14:paraId="475140F2">
      <w:pPr>
        <w:tabs>
          <w:tab w:val="left" w:pos="8640"/>
        </w:tabs>
        <w:spacing w:line="360" w:lineRule="auto"/>
        <w:ind w:left="-210"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投标人应按照招标文件投标人须知关于投标文件组成部分的要求编制技术文件，主要包括但不限于以下内容：</w:t>
      </w:r>
    </w:p>
    <w:p w14:paraId="13356373">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1、用户需求响应程度（格式见附件3-1 用户需求偏离表格式）；</w:t>
      </w:r>
    </w:p>
    <w:p w14:paraId="0234FCF6">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人员配置方案（格式见附件13-2 人员配置方案格式）；</w:t>
      </w:r>
    </w:p>
    <w:p w14:paraId="45D91619">
      <w:pPr>
        <w:spacing w:line="360" w:lineRule="auto"/>
        <w:rPr>
          <w:rFonts w:ascii="宋体" w:hAnsi="宋体" w:eastAsia="宋体" w:cs="宋体"/>
          <w:color w:val="auto"/>
          <w:szCs w:val="21"/>
          <w:lang w:val="zh-CN"/>
        </w:rPr>
      </w:pPr>
      <w:r>
        <w:rPr>
          <w:rFonts w:hint="eastAsia" w:ascii="宋体" w:hAnsi="宋体" w:eastAsia="宋体" w:cs="宋体"/>
          <w:color w:val="auto"/>
          <w:szCs w:val="21"/>
        </w:rPr>
        <w:t>3、总体实施方案（</w:t>
      </w:r>
      <w:r>
        <w:rPr>
          <w:rFonts w:hint="eastAsia" w:ascii="宋体" w:hAnsi="宋体" w:eastAsia="宋体" w:cs="宋体"/>
          <w:color w:val="auto"/>
          <w:szCs w:val="21"/>
          <w:lang w:val="zh-CN"/>
        </w:rPr>
        <w:t>投标人自行编写</w:t>
      </w:r>
      <w:r>
        <w:rPr>
          <w:rFonts w:hint="eastAsia" w:ascii="宋体" w:hAnsi="宋体" w:eastAsia="宋体" w:cs="宋体"/>
          <w:color w:val="auto"/>
          <w:szCs w:val="21"/>
        </w:rPr>
        <w:t>）</w:t>
      </w:r>
      <w:r>
        <w:rPr>
          <w:rFonts w:hint="eastAsia" w:ascii="宋体" w:hAnsi="宋体" w:eastAsia="宋体" w:cs="宋体"/>
          <w:color w:val="auto"/>
          <w:szCs w:val="21"/>
          <w:lang w:val="zh-CN"/>
        </w:rPr>
        <w:t>；</w:t>
      </w:r>
    </w:p>
    <w:p w14:paraId="3431A7C9">
      <w:pPr>
        <w:pStyle w:val="23"/>
        <w:spacing w:line="360" w:lineRule="auto"/>
        <w:rPr>
          <w:rFonts w:hAnsi="宋体" w:cs="宋体"/>
          <w:color w:val="auto"/>
          <w:szCs w:val="21"/>
        </w:rPr>
      </w:pPr>
      <w:r>
        <w:rPr>
          <w:rFonts w:hint="eastAsia" w:hAnsi="宋体" w:cs="宋体"/>
          <w:color w:val="auto"/>
          <w:szCs w:val="21"/>
        </w:rPr>
        <w:t>4、投标人认为有需要提供的其他文件（不做强制性提交要求）。</w:t>
      </w:r>
    </w:p>
    <w:p w14:paraId="6FFE874F">
      <w:pPr>
        <w:ind w:left="764" w:leftChars="100" w:hanging="554" w:hangingChars="184"/>
        <w:rPr>
          <w:rFonts w:ascii="宋体" w:hAnsi="宋体" w:eastAsia="宋体" w:cs="宋体"/>
          <w:b/>
          <w:color w:val="auto"/>
          <w:sz w:val="30"/>
          <w:szCs w:val="30"/>
        </w:rPr>
      </w:pPr>
      <w:r>
        <w:rPr>
          <w:rFonts w:hint="eastAsia" w:ascii="宋体" w:hAnsi="宋体" w:eastAsia="宋体" w:cs="宋体"/>
          <w:b/>
          <w:color w:val="auto"/>
          <w:sz w:val="30"/>
          <w:szCs w:val="30"/>
        </w:rPr>
        <w:br w:type="page"/>
      </w:r>
    </w:p>
    <w:bookmarkEnd w:id="607"/>
    <w:p w14:paraId="1299D1DF">
      <w:pPr>
        <w:pStyle w:val="20"/>
        <w:rPr>
          <w:b w:val="0"/>
          <w:color w:val="auto"/>
          <w:kern w:val="0"/>
          <w:szCs w:val="21"/>
        </w:rPr>
      </w:pPr>
      <w:bookmarkStart w:id="630" w:name="_Toc140596941"/>
      <w:bookmarkStart w:id="631" w:name="_Toc142508381"/>
      <w:bookmarkStart w:id="632" w:name="_Toc94107223"/>
      <w:bookmarkStart w:id="633" w:name="_Toc104991888"/>
      <w:bookmarkStart w:id="634" w:name="_Toc102860086"/>
      <w:bookmarkStart w:id="635" w:name="_Toc102860430"/>
      <w:bookmarkStart w:id="636" w:name="_Toc533708135"/>
      <w:bookmarkStart w:id="637" w:name="_Toc1977740"/>
    </w:p>
    <w:p w14:paraId="32150857">
      <w:pPr>
        <w:pStyle w:val="20"/>
        <w:rPr>
          <w:b w:val="0"/>
          <w:color w:val="auto"/>
          <w:kern w:val="0"/>
          <w:szCs w:val="21"/>
        </w:rPr>
      </w:pPr>
    </w:p>
    <w:p w14:paraId="6BEDD183">
      <w:pPr>
        <w:pStyle w:val="20"/>
        <w:rPr>
          <w:b w:val="0"/>
          <w:color w:val="auto"/>
          <w:kern w:val="0"/>
          <w:szCs w:val="21"/>
        </w:rPr>
      </w:pPr>
    </w:p>
    <w:p w14:paraId="1D8B7B9D">
      <w:pPr>
        <w:pStyle w:val="20"/>
        <w:rPr>
          <w:b w:val="0"/>
          <w:color w:val="auto"/>
          <w:kern w:val="0"/>
          <w:szCs w:val="21"/>
        </w:rPr>
      </w:pPr>
    </w:p>
    <w:p w14:paraId="0B11F49B">
      <w:pPr>
        <w:pStyle w:val="20"/>
        <w:rPr>
          <w:b w:val="0"/>
          <w:color w:val="auto"/>
          <w:kern w:val="0"/>
          <w:szCs w:val="21"/>
        </w:rPr>
      </w:pPr>
    </w:p>
    <w:p w14:paraId="4AE1851F">
      <w:pPr>
        <w:pStyle w:val="20"/>
        <w:rPr>
          <w:b w:val="0"/>
          <w:color w:val="auto"/>
          <w:kern w:val="0"/>
          <w:szCs w:val="21"/>
        </w:rPr>
      </w:pPr>
    </w:p>
    <w:p w14:paraId="48BCD38C">
      <w:pPr>
        <w:pStyle w:val="20"/>
        <w:rPr>
          <w:color w:val="auto"/>
          <w:sz w:val="84"/>
        </w:rPr>
      </w:pPr>
      <w:r>
        <w:rPr>
          <w:rFonts w:hint="eastAsia"/>
          <w:color w:val="auto"/>
          <w:sz w:val="84"/>
        </w:rPr>
        <w:t>投 标 文 件</w:t>
      </w:r>
    </w:p>
    <w:p w14:paraId="0F0C812C">
      <w:pPr>
        <w:pStyle w:val="20"/>
        <w:rPr>
          <w:color w:val="auto"/>
        </w:rPr>
      </w:pPr>
    </w:p>
    <w:p w14:paraId="6DC42A42">
      <w:pPr>
        <w:pStyle w:val="20"/>
        <w:rPr>
          <w:color w:val="auto"/>
        </w:rPr>
      </w:pPr>
    </w:p>
    <w:p w14:paraId="19960570">
      <w:pPr>
        <w:pStyle w:val="20"/>
        <w:rPr>
          <w:color w:val="auto"/>
        </w:rPr>
      </w:pPr>
    </w:p>
    <w:p w14:paraId="2B5B5D0D">
      <w:pPr>
        <w:pStyle w:val="20"/>
        <w:rPr>
          <w:color w:val="auto"/>
        </w:rPr>
      </w:pPr>
    </w:p>
    <w:p w14:paraId="6B0D7A83">
      <w:pPr>
        <w:pStyle w:val="20"/>
        <w:rPr>
          <w:color w:val="auto"/>
        </w:rPr>
      </w:pPr>
    </w:p>
    <w:p w14:paraId="7F21D5AB">
      <w:pPr>
        <w:pStyle w:val="20"/>
        <w:rPr>
          <w:color w:val="auto"/>
        </w:rPr>
      </w:pPr>
    </w:p>
    <w:p w14:paraId="500EF87B">
      <w:pPr>
        <w:pStyle w:val="20"/>
        <w:ind w:left="567" w:leftChars="270" w:firstLine="1875" w:firstLineChars="625"/>
        <w:jc w:val="both"/>
        <w:rPr>
          <w:b w:val="0"/>
          <w:color w:val="auto"/>
          <w:sz w:val="30"/>
        </w:rPr>
      </w:pPr>
      <w:r>
        <w:rPr>
          <w:rFonts w:hint="eastAsia"/>
          <w:b w:val="0"/>
          <w:color w:val="auto"/>
          <w:sz w:val="30"/>
        </w:rPr>
        <w:t>招标编号：</w:t>
      </w:r>
      <w:r>
        <w:rPr>
          <w:rFonts w:hint="eastAsia"/>
          <w:b w:val="0"/>
          <w:color w:val="auto"/>
          <w:sz w:val="30"/>
          <w:u w:val="single"/>
        </w:rPr>
        <w:t xml:space="preserve">                      </w:t>
      </w:r>
    </w:p>
    <w:p w14:paraId="695F6E28">
      <w:pPr>
        <w:pStyle w:val="20"/>
        <w:ind w:left="567" w:leftChars="270" w:firstLine="1875" w:firstLineChars="625"/>
        <w:jc w:val="both"/>
        <w:rPr>
          <w:b w:val="0"/>
          <w:color w:val="auto"/>
          <w:sz w:val="30"/>
          <w:u w:val="single"/>
        </w:rPr>
      </w:pPr>
      <w:r>
        <w:rPr>
          <w:rFonts w:hint="eastAsia"/>
          <w:b w:val="0"/>
          <w:color w:val="auto"/>
          <w:sz w:val="30"/>
        </w:rPr>
        <w:t>项目名称：</w:t>
      </w:r>
      <w:r>
        <w:rPr>
          <w:rFonts w:hint="eastAsia"/>
          <w:b w:val="0"/>
          <w:color w:val="auto"/>
          <w:sz w:val="30"/>
          <w:u w:val="single"/>
        </w:rPr>
        <w:t xml:space="preserve">                     （  包）  </w:t>
      </w:r>
    </w:p>
    <w:p w14:paraId="0D11EED1">
      <w:pPr>
        <w:pStyle w:val="20"/>
        <w:ind w:left="567" w:leftChars="270" w:firstLine="1875" w:firstLineChars="625"/>
        <w:jc w:val="both"/>
        <w:rPr>
          <w:b w:val="0"/>
          <w:color w:val="auto"/>
          <w:sz w:val="30"/>
          <w:u w:val="single"/>
        </w:rPr>
      </w:pPr>
      <w:r>
        <w:rPr>
          <w:rFonts w:hint="eastAsia"/>
          <w:b w:val="0"/>
          <w:color w:val="auto"/>
          <w:sz w:val="30"/>
        </w:rPr>
        <w:t>投标文件内容：</w:t>
      </w:r>
      <w:r>
        <w:rPr>
          <w:rFonts w:hint="eastAsia"/>
          <w:b w:val="0"/>
          <w:color w:val="auto"/>
          <w:sz w:val="30"/>
          <w:u w:val="single"/>
        </w:rPr>
        <w:t xml:space="preserve"> 投标文件技术部分 </w:t>
      </w:r>
    </w:p>
    <w:p w14:paraId="04038C30">
      <w:pPr>
        <w:pStyle w:val="20"/>
        <w:ind w:left="567" w:leftChars="270" w:firstLine="1875" w:firstLineChars="625"/>
        <w:jc w:val="both"/>
        <w:rPr>
          <w:b w:val="0"/>
          <w:color w:val="auto"/>
          <w:sz w:val="30"/>
        </w:rPr>
      </w:pPr>
      <w:r>
        <w:rPr>
          <w:rFonts w:hint="eastAsia"/>
          <w:b w:val="0"/>
          <w:color w:val="auto"/>
          <w:sz w:val="30"/>
        </w:rPr>
        <w:t>招标人：</w:t>
      </w:r>
      <w:r>
        <w:rPr>
          <w:rFonts w:hint="eastAsia"/>
          <w:b w:val="0"/>
          <w:color w:val="auto"/>
          <w:sz w:val="30"/>
          <w:u w:val="single"/>
        </w:rPr>
        <w:t xml:space="preserve">                        </w:t>
      </w:r>
    </w:p>
    <w:p w14:paraId="1725D320">
      <w:pPr>
        <w:pStyle w:val="20"/>
        <w:ind w:left="567" w:leftChars="270" w:firstLine="1875" w:firstLineChars="625"/>
        <w:jc w:val="both"/>
        <w:rPr>
          <w:b w:val="0"/>
          <w:color w:val="auto"/>
          <w:sz w:val="30"/>
          <w:u w:val="single"/>
        </w:rPr>
      </w:pPr>
      <w:r>
        <w:rPr>
          <w:rFonts w:hint="eastAsia"/>
          <w:b w:val="0"/>
          <w:color w:val="auto"/>
          <w:sz w:val="30"/>
        </w:rPr>
        <w:t>投标人：</w:t>
      </w:r>
      <w:r>
        <w:rPr>
          <w:rFonts w:hint="eastAsia"/>
          <w:b w:val="0"/>
          <w:color w:val="auto"/>
          <w:sz w:val="30"/>
          <w:u w:val="single"/>
        </w:rPr>
        <w:t xml:space="preserve">                        </w:t>
      </w:r>
    </w:p>
    <w:p w14:paraId="21212341">
      <w:pPr>
        <w:pStyle w:val="20"/>
        <w:ind w:left="567" w:leftChars="270" w:firstLine="1875" w:firstLineChars="625"/>
        <w:jc w:val="both"/>
        <w:rPr>
          <w:color w:val="auto"/>
        </w:rPr>
      </w:pPr>
      <w:r>
        <w:rPr>
          <w:rFonts w:hint="eastAsia"/>
          <w:b w:val="0"/>
          <w:color w:val="auto"/>
          <w:sz w:val="30"/>
        </w:rPr>
        <w:t>日  期：</w:t>
      </w:r>
      <w:r>
        <w:rPr>
          <w:rFonts w:hint="eastAsia"/>
          <w:b w:val="0"/>
          <w:color w:val="auto"/>
          <w:sz w:val="30"/>
          <w:u w:val="single"/>
        </w:rPr>
        <w:t xml:space="preserve">     </w:t>
      </w:r>
      <w:r>
        <w:rPr>
          <w:rFonts w:hint="eastAsia"/>
          <w:b w:val="0"/>
          <w:color w:val="auto"/>
          <w:sz w:val="30"/>
        </w:rPr>
        <w:t>年</w:t>
      </w:r>
      <w:r>
        <w:rPr>
          <w:rFonts w:hint="eastAsia"/>
          <w:b w:val="0"/>
          <w:color w:val="auto"/>
          <w:sz w:val="30"/>
          <w:u w:val="single"/>
        </w:rPr>
        <w:t xml:space="preserve">    </w:t>
      </w:r>
      <w:r>
        <w:rPr>
          <w:rFonts w:hint="eastAsia"/>
          <w:b w:val="0"/>
          <w:color w:val="auto"/>
          <w:sz w:val="30"/>
        </w:rPr>
        <w:t>月</w:t>
      </w:r>
      <w:r>
        <w:rPr>
          <w:rFonts w:hint="eastAsia"/>
          <w:b w:val="0"/>
          <w:color w:val="auto"/>
          <w:sz w:val="30"/>
          <w:u w:val="single"/>
        </w:rPr>
        <w:t xml:space="preserve">    </w:t>
      </w:r>
      <w:r>
        <w:rPr>
          <w:rFonts w:hint="eastAsia"/>
          <w:b w:val="0"/>
          <w:color w:val="auto"/>
          <w:sz w:val="30"/>
        </w:rPr>
        <w:t>日</w:t>
      </w:r>
    </w:p>
    <w:p w14:paraId="0F524A09">
      <w:pPr>
        <w:pStyle w:val="20"/>
        <w:rPr>
          <w:color w:val="auto"/>
        </w:rPr>
      </w:pPr>
    </w:p>
    <w:p w14:paraId="62EEF171">
      <w:pPr>
        <w:widowControl/>
        <w:jc w:val="left"/>
        <w:rPr>
          <w:rFonts w:ascii="宋体" w:hAnsi="宋体" w:eastAsia="宋体" w:cs="宋体"/>
          <w:b/>
          <w:color w:val="auto"/>
          <w:szCs w:val="20"/>
        </w:rPr>
      </w:pPr>
      <w:r>
        <w:rPr>
          <w:rFonts w:hint="eastAsia" w:ascii="宋体" w:hAnsi="宋体" w:eastAsia="宋体" w:cs="宋体"/>
          <w:color w:val="auto"/>
        </w:rPr>
        <w:br w:type="page"/>
      </w:r>
    </w:p>
    <w:p w14:paraId="03B16268">
      <w:pPr>
        <w:pStyle w:val="20"/>
        <w:rPr>
          <w:color w:val="auto"/>
        </w:rPr>
      </w:pPr>
    </w:p>
    <w:p w14:paraId="4718E7E7">
      <w:pPr>
        <w:pStyle w:val="20"/>
        <w:rPr>
          <w:color w:val="auto"/>
        </w:rPr>
      </w:pPr>
      <w:r>
        <w:rPr>
          <w:rFonts w:hint="eastAsia"/>
          <w:color w:val="auto"/>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37EB05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18564A2">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15725AEB">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7" w:type="pct"/>
            <w:vAlign w:val="center"/>
          </w:tcPr>
          <w:p w14:paraId="5F16A876">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0" w:type="pct"/>
            <w:tcBorders>
              <w:left w:val="single" w:color="auto" w:sz="4" w:space="0"/>
            </w:tcBorders>
            <w:vAlign w:val="center"/>
          </w:tcPr>
          <w:p w14:paraId="03498E76">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35B3E3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E376345">
            <w:pPr>
              <w:adjustRightInd w:val="0"/>
              <w:snapToGrid w:val="0"/>
              <w:spacing w:line="360" w:lineRule="auto"/>
              <w:jc w:val="center"/>
              <w:rPr>
                <w:rFonts w:ascii="宋体" w:hAnsi="宋体" w:eastAsia="宋体" w:cs="宋体"/>
                <w:bCs/>
                <w:color w:val="auto"/>
                <w:szCs w:val="21"/>
              </w:rPr>
            </w:pPr>
          </w:p>
        </w:tc>
        <w:tc>
          <w:tcPr>
            <w:tcW w:w="1337" w:type="pct"/>
            <w:vAlign w:val="center"/>
          </w:tcPr>
          <w:p w14:paraId="3DE8280E">
            <w:pPr>
              <w:adjustRightInd w:val="0"/>
              <w:snapToGrid w:val="0"/>
              <w:spacing w:line="360" w:lineRule="auto"/>
              <w:jc w:val="center"/>
              <w:rPr>
                <w:rFonts w:ascii="宋体" w:hAnsi="宋体" w:eastAsia="宋体" w:cs="宋体"/>
                <w:bCs/>
                <w:color w:val="auto"/>
                <w:szCs w:val="21"/>
              </w:rPr>
            </w:pPr>
          </w:p>
        </w:tc>
        <w:tc>
          <w:tcPr>
            <w:tcW w:w="1047" w:type="pct"/>
            <w:vAlign w:val="center"/>
          </w:tcPr>
          <w:p w14:paraId="0E5580B3">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0136FDD1">
            <w:pPr>
              <w:adjustRightInd w:val="0"/>
              <w:snapToGrid w:val="0"/>
              <w:spacing w:line="360" w:lineRule="auto"/>
              <w:rPr>
                <w:rFonts w:ascii="宋体" w:hAnsi="宋体" w:eastAsia="宋体" w:cs="宋体"/>
                <w:bCs/>
                <w:color w:val="auto"/>
                <w:szCs w:val="21"/>
              </w:rPr>
            </w:pPr>
          </w:p>
        </w:tc>
      </w:tr>
      <w:tr w14:paraId="5FB558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12CE9D8">
            <w:pPr>
              <w:rPr>
                <w:rFonts w:ascii="宋体" w:hAnsi="宋体" w:eastAsia="宋体" w:cs="宋体"/>
                <w:bCs/>
                <w:color w:val="auto"/>
                <w:szCs w:val="21"/>
              </w:rPr>
            </w:pPr>
          </w:p>
        </w:tc>
        <w:tc>
          <w:tcPr>
            <w:tcW w:w="1337" w:type="pct"/>
            <w:vAlign w:val="center"/>
          </w:tcPr>
          <w:p w14:paraId="4313D810">
            <w:pPr>
              <w:rPr>
                <w:rFonts w:ascii="宋体" w:hAnsi="宋体" w:eastAsia="宋体" w:cs="宋体"/>
                <w:bCs/>
                <w:color w:val="auto"/>
                <w:szCs w:val="21"/>
              </w:rPr>
            </w:pPr>
          </w:p>
        </w:tc>
        <w:tc>
          <w:tcPr>
            <w:tcW w:w="1047" w:type="pct"/>
            <w:vAlign w:val="center"/>
          </w:tcPr>
          <w:p w14:paraId="6B54BA6C">
            <w:pPr>
              <w:rPr>
                <w:rFonts w:ascii="宋体" w:hAnsi="宋体" w:eastAsia="宋体" w:cs="宋体"/>
                <w:bCs/>
                <w:color w:val="auto"/>
                <w:szCs w:val="21"/>
              </w:rPr>
            </w:pPr>
          </w:p>
        </w:tc>
        <w:tc>
          <w:tcPr>
            <w:tcW w:w="1950" w:type="pct"/>
            <w:tcBorders>
              <w:left w:val="single" w:color="auto" w:sz="4" w:space="0"/>
            </w:tcBorders>
            <w:vAlign w:val="center"/>
          </w:tcPr>
          <w:p w14:paraId="2C80AE8E">
            <w:pPr>
              <w:adjustRightInd w:val="0"/>
              <w:snapToGrid w:val="0"/>
              <w:spacing w:line="360" w:lineRule="auto"/>
              <w:rPr>
                <w:rFonts w:ascii="宋体" w:hAnsi="宋体" w:eastAsia="宋体" w:cs="宋体"/>
                <w:bCs/>
                <w:color w:val="auto"/>
                <w:szCs w:val="21"/>
              </w:rPr>
            </w:pPr>
          </w:p>
        </w:tc>
      </w:tr>
      <w:tr w14:paraId="00BA08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AFEC13C">
            <w:pPr>
              <w:adjustRightInd w:val="0"/>
              <w:snapToGrid w:val="0"/>
              <w:spacing w:line="360" w:lineRule="auto"/>
              <w:jc w:val="center"/>
              <w:rPr>
                <w:rFonts w:ascii="宋体" w:hAnsi="宋体" w:eastAsia="宋体" w:cs="宋体"/>
                <w:bCs/>
                <w:color w:val="auto"/>
                <w:szCs w:val="21"/>
              </w:rPr>
            </w:pPr>
          </w:p>
        </w:tc>
        <w:tc>
          <w:tcPr>
            <w:tcW w:w="1337" w:type="pct"/>
            <w:vAlign w:val="center"/>
          </w:tcPr>
          <w:p w14:paraId="2A47F995">
            <w:pPr>
              <w:adjustRightInd w:val="0"/>
              <w:snapToGrid w:val="0"/>
              <w:spacing w:line="360" w:lineRule="auto"/>
              <w:rPr>
                <w:rFonts w:ascii="宋体" w:hAnsi="宋体" w:eastAsia="宋体" w:cs="宋体"/>
                <w:bCs/>
                <w:color w:val="auto"/>
                <w:szCs w:val="21"/>
              </w:rPr>
            </w:pPr>
          </w:p>
        </w:tc>
        <w:tc>
          <w:tcPr>
            <w:tcW w:w="1047" w:type="pct"/>
            <w:vAlign w:val="center"/>
          </w:tcPr>
          <w:p w14:paraId="263E9A5A">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4AB444A3">
            <w:pPr>
              <w:spacing w:line="360" w:lineRule="auto"/>
              <w:rPr>
                <w:rFonts w:ascii="宋体" w:hAnsi="宋体" w:eastAsia="宋体" w:cs="宋体"/>
                <w:bCs/>
                <w:color w:val="auto"/>
                <w:szCs w:val="21"/>
              </w:rPr>
            </w:pPr>
          </w:p>
        </w:tc>
      </w:tr>
      <w:tr w14:paraId="23AF18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BD8231F">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2DC863BC">
            <w:pPr>
              <w:adjustRightInd w:val="0"/>
              <w:snapToGrid w:val="0"/>
              <w:spacing w:line="360" w:lineRule="auto"/>
              <w:rPr>
                <w:rFonts w:ascii="宋体" w:hAnsi="宋体" w:eastAsia="宋体" w:cs="宋体"/>
                <w:bCs/>
                <w:color w:val="auto"/>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14:paraId="7BA6F1E5">
            <w:pPr>
              <w:adjustRightInd w:val="0"/>
              <w:snapToGrid w:val="0"/>
              <w:spacing w:line="360" w:lineRule="auto"/>
              <w:jc w:val="center"/>
              <w:rPr>
                <w:rFonts w:ascii="宋体" w:hAnsi="宋体" w:eastAsia="宋体" w:cs="宋体"/>
                <w:bCs/>
                <w:color w:val="auto"/>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14:paraId="4E9ACCC9">
            <w:pPr>
              <w:adjustRightInd w:val="0"/>
              <w:snapToGrid w:val="0"/>
              <w:spacing w:line="360" w:lineRule="auto"/>
              <w:rPr>
                <w:rFonts w:ascii="宋体" w:hAnsi="宋体" w:eastAsia="宋体" w:cs="宋体"/>
                <w:bCs/>
                <w:color w:val="auto"/>
                <w:szCs w:val="21"/>
              </w:rPr>
            </w:pPr>
          </w:p>
        </w:tc>
      </w:tr>
      <w:tr w14:paraId="35D499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F5586DF">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7" w:type="pct"/>
            <w:tcBorders>
              <w:bottom w:val="single" w:color="auto" w:sz="4" w:space="0"/>
            </w:tcBorders>
            <w:vAlign w:val="center"/>
          </w:tcPr>
          <w:p w14:paraId="5F23DBEC">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bottom w:val="single" w:color="auto" w:sz="4" w:space="0"/>
            </w:tcBorders>
            <w:vAlign w:val="center"/>
          </w:tcPr>
          <w:p w14:paraId="7DB8CE70">
            <w:pPr>
              <w:spacing w:line="360" w:lineRule="auto"/>
              <w:jc w:val="center"/>
              <w:rPr>
                <w:rFonts w:ascii="宋体" w:hAnsi="宋体" w:eastAsia="宋体" w:cs="宋体"/>
                <w:bCs/>
                <w:color w:val="auto"/>
                <w:szCs w:val="21"/>
              </w:rPr>
            </w:pPr>
          </w:p>
        </w:tc>
      </w:tr>
    </w:tbl>
    <w:p w14:paraId="38116BE3">
      <w:pPr>
        <w:ind w:left="603" w:hanging="813"/>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0F64B9A3">
      <w:pPr>
        <w:tabs>
          <w:tab w:val="left" w:pos="567"/>
        </w:tabs>
        <w:autoSpaceDE w:val="0"/>
        <w:autoSpaceDN w:val="0"/>
        <w:adjustRightInd w:val="0"/>
        <w:spacing w:line="360" w:lineRule="auto"/>
        <w:ind w:left="603" w:hanging="813"/>
        <w:jc w:val="left"/>
        <w:outlineLvl w:val="2"/>
        <w:rPr>
          <w:rFonts w:ascii="宋体" w:hAnsi="宋体" w:eastAsia="宋体" w:cs="宋体"/>
          <w:b/>
          <w:color w:val="auto"/>
          <w:kern w:val="0"/>
          <w:sz w:val="30"/>
          <w:szCs w:val="30"/>
        </w:rPr>
      </w:pPr>
      <w:bookmarkStart w:id="638" w:name="_Toc23103"/>
      <w:bookmarkStart w:id="639" w:name="_Toc30448"/>
      <w:bookmarkStart w:id="640" w:name="_Toc27934"/>
      <w:bookmarkStart w:id="641" w:name="_Toc18999"/>
      <w:r>
        <w:rPr>
          <w:rFonts w:hint="eastAsia" w:ascii="宋体" w:hAnsi="宋体" w:eastAsia="宋体" w:cs="宋体"/>
          <w:b/>
          <w:color w:val="auto"/>
          <w:kern w:val="0"/>
          <w:sz w:val="30"/>
          <w:szCs w:val="30"/>
        </w:rPr>
        <w:t>13.1 用户需求偏离表格式</w:t>
      </w:r>
      <w:bookmarkEnd w:id="630"/>
      <w:bookmarkEnd w:id="631"/>
      <w:bookmarkEnd w:id="632"/>
      <w:bookmarkEnd w:id="633"/>
      <w:bookmarkEnd w:id="634"/>
      <w:bookmarkEnd w:id="635"/>
      <w:bookmarkEnd w:id="636"/>
      <w:bookmarkEnd w:id="637"/>
      <w:bookmarkEnd w:id="638"/>
      <w:bookmarkEnd w:id="639"/>
      <w:bookmarkEnd w:id="640"/>
      <w:bookmarkEnd w:id="641"/>
    </w:p>
    <w:p w14:paraId="26325159">
      <w:pPr>
        <w:spacing w:before="120" w:after="120" w:line="360" w:lineRule="auto"/>
        <w:ind w:left="603" w:hanging="813"/>
        <w:jc w:val="center"/>
        <w:rPr>
          <w:rFonts w:ascii="宋体" w:hAnsi="宋体" w:eastAsia="宋体" w:cs="宋体"/>
          <w:color w:val="auto"/>
          <w:kern w:val="0"/>
          <w:szCs w:val="21"/>
        </w:rPr>
      </w:pPr>
      <w:bookmarkStart w:id="642" w:name="_Toc17449_WPSOffice_Level3"/>
      <w:r>
        <w:rPr>
          <w:rFonts w:hint="eastAsia" w:ascii="宋体" w:hAnsi="宋体" w:eastAsia="宋体" w:cs="宋体"/>
          <w:b/>
          <w:color w:val="auto"/>
          <w:kern w:val="0"/>
          <w:sz w:val="30"/>
          <w:szCs w:val="30"/>
          <w:lang w:val="zh-CN"/>
        </w:rPr>
        <w:t>用户需求偏离表</w:t>
      </w:r>
      <w:bookmarkEnd w:id="64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690"/>
        <w:gridCol w:w="5772"/>
        <w:gridCol w:w="699"/>
        <w:gridCol w:w="840"/>
        <w:gridCol w:w="809"/>
      </w:tblGrid>
      <w:tr w14:paraId="3618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70" w:type="pct"/>
            <w:vMerge w:val="restart"/>
            <w:vAlign w:val="center"/>
          </w:tcPr>
          <w:p w14:paraId="73678079">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3598" w:type="pct"/>
            <w:gridSpan w:val="2"/>
            <w:vAlign w:val="center"/>
          </w:tcPr>
          <w:p w14:paraId="64B88430">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招标文件要求</w:t>
            </w:r>
          </w:p>
        </w:tc>
        <w:tc>
          <w:tcPr>
            <w:tcW w:w="1130" w:type="pct"/>
            <w:gridSpan w:val="3"/>
            <w:vAlign w:val="center"/>
          </w:tcPr>
          <w:p w14:paraId="15B40460">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投标文件内容</w:t>
            </w:r>
          </w:p>
        </w:tc>
      </w:tr>
      <w:tr w14:paraId="484A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Merge w:val="continue"/>
            <w:vAlign w:val="center"/>
          </w:tcPr>
          <w:p w14:paraId="674C872F">
            <w:pPr>
              <w:keepNext/>
              <w:keepLines/>
              <w:spacing w:line="400" w:lineRule="exact"/>
              <w:jc w:val="center"/>
              <w:outlineLvl w:val="0"/>
              <w:rPr>
                <w:rFonts w:ascii="宋体" w:hAnsi="宋体" w:eastAsia="宋体" w:cs="宋体"/>
                <w:color w:val="auto"/>
                <w:kern w:val="0"/>
                <w:sz w:val="18"/>
                <w:szCs w:val="18"/>
              </w:rPr>
            </w:pPr>
          </w:p>
        </w:tc>
        <w:tc>
          <w:tcPr>
            <w:tcW w:w="815" w:type="pct"/>
            <w:vAlign w:val="center"/>
          </w:tcPr>
          <w:p w14:paraId="7DEAFDC6">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条款号</w:t>
            </w:r>
          </w:p>
        </w:tc>
        <w:tc>
          <w:tcPr>
            <w:tcW w:w="2783" w:type="pct"/>
            <w:vAlign w:val="center"/>
          </w:tcPr>
          <w:p w14:paraId="3B167DC1">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简要内容</w:t>
            </w:r>
          </w:p>
        </w:tc>
        <w:tc>
          <w:tcPr>
            <w:tcW w:w="337" w:type="pct"/>
            <w:vAlign w:val="center"/>
          </w:tcPr>
          <w:p w14:paraId="68E33372">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偏离情况</w:t>
            </w:r>
          </w:p>
        </w:tc>
        <w:tc>
          <w:tcPr>
            <w:tcW w:w="405" w:type="pct"/>
            <w:vAlign w:val="center"/>
          </w:tcPr>
          <w:p w14:paraId="6F39908D">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实质性响应的具体内容</w:t>
            </w:r>
          </w:p>
        </w:tc>
        <w:tc>
          <w:tcPr>
            <w:tcW w:w="388" w:type="pct"/>
            <w:vAlign w:val="center"/>
          </w:tcPr>
          <w:p w14:paraId="0E6B5FE5">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对应证明材料页码</w:t>
            </w:r>
          </w:p>
        </w:tc>
      </w:tr>
      <w:tr w14:paraId="55FC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Align w:val="center"/>
          </w:tcPr>
          <w:p w14:paraId="6FE729E9">
            <w:pPr>
              <w:keepNext/>
              <w:keepLines/>
              <w:spacing w:line="400" w:lineRule="exact"/>
              <w:jc w:val="center"/>
              <w:outlineLvl w:val="0"/>
              <w:rPr>
                <w:rFonts w:ascii="宋体" w:hAnsi="宋体" w:eastAsia="宋体" w:cs="宋体"/>
                <w:color w:val="auto"/>
                <w:kern w:val="0"/>
                <w:szCs w:val="21"/>
              </w:rPr>
            </w:pPr>
            <w:r>
              <w:rPr>
                <w:rFonts w:hint="eastAsia" w:ascii="宋体" w:hAnsi="宋体" w:eastAsia="宋体" w:cs="宋体"/>
                <w:color w:val="auto"/>
                <w:kern w:val="0"/>
                <w:szCs w:val="21"/>
              </w:rPr>
              <w:t>1</w:t>
            </w:r>
          </w:p>
        </w:tc>
        <w:tc>
          <w:tcPr>
            <w:tcW w:w="815" w:type="pct"/>
            <w:vAlign w:val="center"/>
          </w:tcPr>
          <w:p w14:paraId="123FB52D">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一、</w:t>
            </w:r>
          </w:p>
        </w:tc>
        <w:tc>
          <w:tcPr>
            <w:tcW w:w="2783" w:type="pct"/>
            <w:vAlign w:val="center"/>
          </w:tcPr>
          <w:p w14:paraId="3116379F">
            <w:pPr>
              <w:spacing w:line="400" w:lineRule="exact"/>
              <w:jc w:val="left"/>
              <w:rPr>
                <w:rFonts w:ascii="宋体" w:hAnsi="宋体" w:eastAsia="宋体" w:cs="宋体"/>
                <w:color w:val="auto"/>
                <w:kern w:val="0"/>
                <w:szCs w:val="21"/>
              </w:rPr>
            </w:pPr>
            <w:r>
              <w:rPr>
                <w:rFonts w:hint="eastAsia" w:ascii="宋体" w:hAnsi="宋体" w:eastAsia="宋体" w:cs="宋体"/>
                <w:color w:val="auto"/>
                <w:kern w:val="0"/>
                <w:szCs w:val="21"/>
              </w:rPr>
              <w:t>项目概况</w:t>
            </w:r>
          </w:p>
        </w:tc>
        <w:tc>
          <w:tcPr>
            <w:tcW w:w="337" w:type="pct"/>
            <w:vAlign w:val="center"/>
          </w:tcPr>
          <w:p w14:paraId="3C60920C">
            <w:pPr>
              <w:spacing w:line="400" w:lineRule="exact"/>
              <w:jc w:val="center"/>
              <w:rPr>
                <w:rFonts w:ascii="宋体" w:hAnsi="宋体" w:eastAsia="宋体" w:cs="宋体"/>
                <w:color w:val="auto"/>
                <w:kern w:val="0"/>
                <w:sz w:val="18"/>
                <w:szCs w:val="18"/>
              </w:rPr>
            </w:pPr>
          </w:p>
        </w:tc>
        <w:tc>
          <w:tcPr>
            <w:tcW w:w="405" w:type="pct"/>
            <w:vAlign w:val="center"/>
          </w:tcPr>
          <w:p w14:paraId="5FCFB48B">
            <w:pPr>
              <w:spacing w:line="400" w:lineRule="exact"/>
              <w:jc w:val="center"/>
              <w:rPr>
                <w:rFonts w:ascii="宋体" w:hAnsi="宋体" w:eastAsia="宋体" w:cs="宋体"/>
                <w:color w:val="auto"/>
                <w:kern w:val="0"/>
                <w:sz w:val="18"/>
                <w:szCs w:val="18"/>
              </w:rPr>
            </w:pPr>
          </w:p>
        </w:tc>
        <w:tc>
          <w:tcPr>
            <w:tcW w:w="388" w:type="pct"/>
            <w:vAlign w:val="center"/>
          </w:tcPr>
          <w:p w14:paraId="3E4E1EB3">
            <w:pPr>
              <w:spacing w:line="400" w:lineRule="exact"/>
              <w:jc w:val="center"/>
              <w:rPr>
                <w:rFonts w:ascii="宋体" w:hAnsi="宋体" w:eastAsia="宋体" w:cs="宋体"/>
                <w:color w:val="auto"/>
                <w:kern w:val="0"/>
                <w:sz w:val="18"/>
                <w:szCs w:val="18"/>
              </w:rPr>
            </w:pPr>
          </w:p>
        </w:tc>
      </w:tr>
      <w:tr w14:paraId="7A62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Align w:val="center"/>
          </w:tcPr>
          <w:p w14:paraId="5436B05B">
            <w:pPr>
              <w:keepNext/>
              <w:keepLines/>
              <w:spacing w:line="400" w:lineRule="exact"/>
              <w:jc w:val="center"/>
              <w:outlineLvl w:val="0"/>
              <w:rPr>
                <w:rFonts w:ascii="宋体" w:hAnsi="宋体" w:eastAsia="宋体" w:cs="宋体"/>
                <w:color w:val="auto"/>
                <w:kern w:val="0"/>
                <w:szCs w:val="21"/>
              </w:rPr>
            </w:pPr>
            <w:r>
              <w:rPr>
                <w:rFonts w:hint="eastAsia" w:ascii="宋体" w:hAnsi="宋体" w:eastAsia="宋体" w:cs="宋体"/>
                <w:color w:val="auto"/>
                <w:kern w:val="0"/>
                <w:szCs w:val="21"/>
              </w:rPr>
              <w:t>2</w:t>
            </w:r>
          </w:p>
        </w:tc>
        <w:tc>
          <w:tcPr>
            <w:tcW w:w="815" w:type="pct"/>
            <w:vAlign w:val="center"/>
          </w:tcPr>
          <w:p w14:paraId="511878BC">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二、</w:t>
            </w:r>
          </w:p>
        </w:tc>
        <w:tc>
          <w:tcPr>
            <w:tcW w:w="2783" w:type="pct"/>
            <w:vAlign w:val="center"/>
          </w:tcPr>
          <w:p w14:paraId="32DCB0CB">
            <w:pPr>
              <w:spacing w:line="400" w:lineRule="exact"/>
              <w:jc w:val="left"/>
              <w:rPr>
                <w:rFonts w:ascii="宋体" w:hAnsi="宋体" w:eastAsia="宋体" w:cs="宋体"/>
                <w:color w:val="auto"/>
                <w:kern w:val="0"/>
                <w:szCs w:val="21"/>
              </w:rPr>
            </w:pPr>
            <w:r>
              <w:rPr>
                <w:rFonts w:hint="eastAsia" w:ascii="宋体" w:hAnsi="宋体" w:eastAsia="宋体" w:cs="宋体"/>
                <w:color w:val="auto"/>
                <w:kern w:val="0"/>
                <w:szCs w:val="21"/>
              </w:rPr>
              <w:t>采购服务范围及采购方式</w:t>
            </w:r>
          </w:p>
        </w:tc>
        <w:tc>
          <w:tcPr>
            <w:tcW w:w="337" w:type="pct"/>
            <w:vAlign w:val="center"/>
          </w:tcPr>
          <w:p w14:paraId="5777362F">
            <w:pPr>
              <w:spacing w:line="400" w:lineRule="exact"/>
              <w:jc w:val="center"/>
              <w:rPr>
                <w:rFonts w:ascii="宋体" w:hAnsi="宋体" w:eastAsia="宋体" w:cs="宋体"/>
                <w:color w:val="auto"/>
                <w:kern w:val="0"/>
                <w:sz w:val="18"/>
                <w:szCs w:val="18"/>
              </w:rPr>
            </w:pPr>
          </w:p>
        </w:tc>
        <w:tc>
          <w:tcPr>
            <w:tcW w:w="405" w:type="pct"/>
            <w:vAlign w:val="center"/>
          </w:tcPr>
          <w:p w14:paraId="13668C22">
            <w:pPr>
              <w:spacing w:line="400" w:lineRule="exact"/>
              <w:jc w:val="center"/>
              <w:rPr>
                <w:rFonts w:ascii="宋体" w:hAnsi="宋体" w:eastAsia="宋体" w:cs="宋体"/>
                <w:color w:val="auto"/>
                <w:kern w:val="0"/>
                <w:sz w:val="18"/>
                <w:szCs w:val="18"/>
              </w:rPr>
            </w:pPr>
          </w:p>
        </w:tc>
        <w:tc>
          <w:tcPr>
            <w:tcW w:w="388" w:type="pct"/>
            <w:vAlign w:val="center"/>
          </w:tcPr>
          <w:p w14:paraId="601AACC5">
            <w:pPr>
              <w:spacing w:line="400" w:lineRule="exact"/>
              <w:jc w:val="center"/>
              <w:rPr>
                <w:rFonts w:ascii="宋体" w:hAnsi="宋体" w:eastAsia="宋体" w:cs="宋体"/>
                <w:color w:val="auto"/>
                <w:kern w:val="0"/>
                <w:sz w:val="18"/>
                <w:szCs w:val="18"/>
              </w:rPr>
            </w:pPr>
          </w:p>
        </w:tc>
      </w:tr>
      <w:tr w14:paraId="7176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Align w:val="center"/>
          </w:tcPr>
          <w:p w14:paraId="41FD231C">
            <w:pPr>
              <w:keepNext/>
              <w:keepLines/>
              <w:spacing w:line="400" w:lineRule="exact"/>
              <w:jc w:val="center"/>
              <w:outlineLvl w:val="0"/>
              <w:rPr>
                <w:rFonts w:ascii="宋体" w:hAnsi="宋体" w:eastAsia="宋体" w:cs="宋体"/>
                <w:color w:val="auto"/>
                <w:kern w:val="0"/>
                <w:szCs w:val="21"/>
              </w:rPr>
            </w:pPr>
            <w:r>
              <w:rPr>
                <w:rFonts w:hint="eastAsia" w:ascii="宋体" w:hAnsi="宋体" w:eastAsia="宋体" w:cs="宋体"/>
                <w:color w:val="auto"/>
                <w:kern w:val="0"/>
                <w:szCs w:val="21"/>
              </w:rPr>
              <w:t>3</w:t>
            </w:r>
          </w:p>
        </w:tc>
        <w:tc>
          <w:tcPr>
            <w:tcW w:w="815" w:type="pct"/>
            <w:vAlign w:val="center"/>
          </w:tcPr>
          <w:p w14:paraId="2738D033">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三、</w:t>
            </w:r>
          </w:p>
        </w:tc>
        <w:tc>
          <w:tcPr>
            <w:tcW w:w="2783" w:type="pct"/>
            <w:vAlign w:val="center"/>
          </w:tcPr>
          <w:p w14:paraId="49980500">
            <w:pPr>
              <w:spacing w:line="400" w:lineRule="exact"/>
              <w:jc w:val="left"/>
              <w:rPr>
                <w:rFonts w:ascii="宋体" w:hAnsi="宋体" w:eastAsia="宋体" w:cs="宋体"/>
                <w:color w:val="auto"/>
                <w:kern w:val="0"/>
                <w:szCs w:val="21"/>
              </w:rPr>
            </w:pPr>
            <w:r>
              <w:rPr>
                <w:rFonts w:hint="eastAsia" w:ascii="宋体" w:hAnsi="宋体" w:eastAsia="宋体" w:cs="宋体"/>
                <w:color w:val="auto"/>
                <w:kern w:val="0"/>
                <w:szCs w:val="21"/>
              </w:rPr>
              <w:t>技术要求</w:t>
            </w:r>
          </w:p>
        </w:tc>
        <w:tc>
          <w:tcPr>
            <w:tcW w:w="337" w:type="pct"/>
            <w:vAlign w:val="center"/>
          </w:tcPr>
          <w:p w14:paraId="6804ADFC">
            <w:pPr>
              <w:spacing w:line="400" w:lineRule="exact"/>
              <w:jc w:val="center"/>
              <w:rPr>
                <w:rFonts w:ascii="宋体" w:hAnsi="宋体" w:eastAsia="宋体" w:cs="宋体"/>
                <w:color w:val="auto"/>
                <w:kern w:val="0"/>
                <w:sz w:val="18"/>
                <w:szCs w:val="18"/>
              </w:rPr>
            </w:pPr>
          </w:p>
        </w:tc>
        <w:tc>
          <w:tcPr>
            <w:tcW w:w="405" w:type="pct"/>
            <w:vAlign w:val="center"/>
          </w:tcPr>
          <w:p w14:paraId="16938659">
            <w:pPr>
              <w:spacing w:line="400" w:lineRule="exact"/>
              <w:jc w:val="center"/>
              <w:rPr>
                <w:rFonts w:ascii="宋体" w:hAnsi="宋体" w:eastAsia="宋体" w:cs="宋体"/>
                <w:color w:val="auto"/>
                <w:kern w:val="0"/>
                <w:sz w:val="18"/>
                <w:szCs w:val="18"/>
              </w:rPr>
            </w:pPr>
          </w:p>
        </w:tc>
        <w:tc>
          <w:tcPr>
            <w:tcW w:w="388" w:type="pct"/>
            <w:vAlign w:val="center"/>
          </w:tcPr>
          <w:p w14:paraId="3495CA17">
            <w:pPr>
              <w:spacing w:line="400" w:lineRule="exact"/>
              <w:jc w:val="center"/>
              <w:rPr>
                <w:rFonts w:ascii="宋体" w:hAnsi="宋体" w:eastAsia="宋体" w:cs="宋体"/>
                <w:color w:val="auto"/>
                <w:kern w:val="0"/>
                <w:sz w:val="18"/>
                <w:szCs w:val="18"/>
              </w:rPr>
            </w:pPr>
          </w:p>
        </w:tc>
      </w:tr>
      <w:tr w14:paraId="52D6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Align w:val="center"/>
          </w:tcPr>
          <w:p w14:paraId="71A39EB8">
            <w:pPr>
              <w:keepNext/>
              <w:keepLines/>
              <w:spacing w:line="400" w:lineRule="exact"/>
              <w:jc w:val="center"/>
              <w:outlineLvl w:val="0"/>
              <w:rPr>
                <w:rFonts w:ascii="宋体" w:hAnsi="宋体" w:eastAsia="宋体" w:cs="宋体"/>
                <w:color w:val="auto"/>
                <w:kern w:val="0"/>
                <w:szCs w:val="21"/>
              </w:rPr>
            </w:pPr>
            <w:r>
              <w:rPr>
                <w:rFonts w:hint="eastAsia" w:ascii="宋体" w:hAnsi="宋体" w:eastAsia="宋体" w:cs="宋体"/>
                <w:color w:val="auto"/>
                <w:kern w:val="0"/>
                <w:szCs w:val="21"/>
              </w:rPr>
              <w:t>4</w:t>
            </w:r>
          </w:p>
        </w:tc>
        <w:tc>
          <w:tcPr>
            <w:tcW w:w="815" w:type="pct"/>
            <w:vAlign w:val="center"/>
          </w:tcPr>
          <w:p w14:paraId="2D0CFC32">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四、</w:t>
            </w:r>
          </w:p>
        </w:tc>
        <w:tc>
          <w:tcPr>
            <w:tcW w:w="2783" w:type="pct"/>
            <w:vAlign w:val="center"/>
          </w:tcPr>
          <w:p w14:paraId="6633CDAC">
            <w:pPr>
              <w:spacing w:line="400" w:lineRule="exact"/>
              <w:jc w:val="left"/>
              <w:rPr>
                <w:rFonts w:ascii="宋体" w:hAnsi="宋体" w:eastAsia="宋体" w:cs="宋体"/>
                <w:color w:val="auto"/>
                <w:kern w:val="0"/>
                <w:szCs w:val="21"/>
              </w:rPr>
            </w:pPr>
            <w:r>
              <w:rPr>
                <w:rFonts w:hint="eastAsia" w:ascii="宋体" w:hAnsi="宋体" w:eastAsia="宋体" w:cs="宋体"/>
                <w:color w:val="auto"/>
                <w:kern w:val="0"/>
                <w:szCs w:val="21"/>
              </w:rPr>
              <w:t>验收</w:t>
            </w:r>
          </w:p>
        </w:tc>
        <w:tc>
          <w:tcPr>
            <w:tcW w:w="337" w:type="pct"/>
            <w:vAlign w:val="center"/>
          </w:tcPr>
          <w:p w14:paraId="6C663292">
            <w:pPr>
              <w:spacing w:line="400" w:lineRule="exact"/>
              <w:jc w:val="center"/>
              <w:rPr>
                <w:rFonts w:ascii="宋体" w:hAnsi="宋体" w:eastAsia="宋体" w:cs="宋体"/>
                <w:color w:val="auto"/>
                <w:kern w:val="0"/>
                <w:sz w:val="18"/>
                <w:szCs w:val="18"/>
              </w:rPr>
            </w:pPr>
          </w:p>
        </w:tc>
        <w:tc>
          <w:tcPr>
            <w:tcW w:w="405" w:type="pct"/>
            <w:vAlign w:val="center"/>
          </w:tcPr>
          <w:p w14:paraId="27AF0B3E">
            <w:pPr>
              <w:spacing w:line="400" w:lineRule="exact"/>
              <w:jc w:val="center"/>
              <w:rPr>
                <w:rFonts w:ascii="宋体" w:hAnsi="宋体" w:eastAsia="宋体" w:cs="宋体"/>
                <w:color w:val="auto"/>
                <w:kern w:val="0"/>
                <w:sz w:val="18"/>
                <w:szCs w:val="18"/>
              </w:rPr>
            </w:pPr>
          </w:p>
        </w:tc>
        <w:tc>
          <w:tcPr>
            <w:tcW w:w="388" w:type="pct"/>
            <w:vAlign w:val="center"/>
          </w:tcPr>
          <w:p w14:paraId="014F1B46">
            <w:pPr>
              <w:spacing w:line="400" w:lineRule="exact"/>
              <w:jc w:val="center"/>
              <w:rPr>
                <w:rFonts w:ascii="宋体" w:hAnsi="宋体" w:eastAsia="宋体" w:cs="宋体"/>
                <w:color w:val="auto"/>
                <w:kern w:val="0"/>
                <w:sz w:val="18"/>
                <w:szCs w:val="18"/>
              </w:rPr>
            </w:pPr>
          </w:p>
        </w:tc>
      </w:tr>
      <w:tr w14:paraId="1989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Align w:val="center"/>
          </w:tcPr>
          <w:p w14:paraId="77C14DB3">
            <w:pPr>
              <w:keepNext/>
              <w:keepLines/>
              <w:spacing w:line="400" w:lineRule="exact"/>
              <w:jc w:val="center"/>
              <w:outlineLvl w:val="0"/>
              <w:rPr>
                <w:rFonts w:ascii="宋体" w:hAnsi="宋体" w:eastAsia="宋体" w:cs="宋体"/>
                <w:color w:val="auto"/>
                <w:kern w:val="0"/>
                <w:szCs w:val="21"/>
              </w:rPr>
            </w:pPr>
            <w:r>
              <w:rPr>
                <w:rFonts w:hint="eastAsia" w:ascii="宋体" w:hAnsi="宋体" w:eastAsia="宋体" w:cs="宋体"/>
                <w:color w:val="auto"/>
                <w:kern w:val="0"/>
                <w:szCs w:val="21"/>
              </w:rPr>
              <w:t>5</w:t>
            </w:r>
          </w:p>
        </w:tc>
        <w:tc>
          <w:tcPr>
            <w:tcW w:w="815" w:type="pct"/>
            <w:vAlign w:val="center"/>
          </w:tcPr>
          <w:p w14:paraId="4DCEC9FB">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五、</w:t>
            </w:r>
          </w:p>
        </w:tc>
        <w:tc>
          <w:tcPr>
            <w:tcW w:w="2783" w:type="pct"/>
            <w:vAlign w:val="center"/>
          </w:tcPr>
          <w:p w14:paraId="11278910">
            <w:pPr>
              <w:spacing w:line="400" w:lineRule="exact"/>
              <w:jc w:val="left"/>
              <w:rPr>
                <w:rFonts w:ascii="宋体" w:hAnsi="宋体" w:eastAsia="宋体" w:cs="宋体"/>
                <w:color w:val="auto"/>
                <w:kern w:val="0"/>
                <w:szCs w:val="21"/>
              </w:rPr>
            </w:pPr>
            <w:r>
              <w:rPr>
                <w:rFonts w:hint="eastAsia" w:ascii="宋体" w:hAnsi="宋体" w:eastAsia="宋体" w:cs="宋体"/>
                <w:color w:val="auto"/>
                <w:kern w:val="0"/>
                <w:szCs w:val="21"/>
              </w:rPr>
              <w:t>质保期</w:t>
            </w:r>
          </w:p>
        </w:tc>
        <w:tc>
          <w:tcPr>
            <w:tcW w:w="337" w:type="pct"/>
            <w:vAlign w:val="center"/>
          </w:tcPr>
          <w:p w14:paraId="34C1ED5A">
            <w:pPr>
              <w:spacing w:line="400" w:lineRule="exact"/>
              <w:jc w:val="center"/>
              <w:rPr>
                <w:rFonts w:ascii="宋体" w:hAnsi="宋体" w:eastAsia="宋体" w:cs="宋体"/>
                <w:color w:val="auto"/>
                <w:kern w:val="0"/>
                <w:sz w:val="18"/>
                <w:szCs w:val="18"/>
              </w:rPr>
            </w:pPr>
          </w:p>
        </w:tc>
        <w:tc>
          <w:tcPr>
            <w:tcW w:w="405" w:type="pct"/>
            <w:vAlign w:val="center"/>
          </w:tcPr>
          <w:p w14:paraId="0EBB5490">
            <w:pPr>
              <w:spacing w:line="400" w:lineRule="exact"/>
              <w:jc w:val="center"/>
              <w:rPr>
                <w:rFonts w:ascii="宋体" w:hAnsi="宋体" w:eastAsia="宋体" w:cs="宋体"/>
                <w:color w:val="auto"/>
                <w:kern w:val="0"/>
                <w:sz w:val="18"/>
                <w:szCs w:val="18"/>
              </w:rPr>
            </w:pPr>
          </w:p>
        </w:tc>
        <w:tc>
          <w:tcPr>
            <w:tcW w:w="388" w:type="pct"/>
            <w:vAlign w:val="center"/>
          </w:tcPr>
          <w:p w14:paraId="43A7DB00">
            <w:pPr>
              <w:spacing w:line="400" w:lineRule="exact"/>
              <w:jc w:val="center"/>
              <w:rPr>
                <w:rFonts w:ascii="宋体" w:hAnsi="宋体" w:eastAsia="宋体" w:cs="宋体"/>
                <w:color w:val="auto"/>
                <w:kern w:val="0"/>
                <w:sz w:val="18"/>
                <w:szCs w:val="18"/>
              </w:rPr>
            </w:pPr>
          </w:p>
        </w:tc>
      </w:tr>
      <w:tr w14:paraId="1DB1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Align w:val="center"/>
          </w:tcPr>
          <w:p w14:paraId="4593A848">
            <w:pPr>
              <w:keepNext/>
              <w:keepLines/>
              <w:spacing w:line="400" w:lineRule="exact"/>
              <w:jc w:val="center"/>
              <w:outlineLvl w:val="0"/>
              <w:rPr>
                <w:rFonts w:ascii="宋体" w:hAnsi="宋体" w:eastAsia="宋体" w:cs="宋体"/>
                <w:color w:val="auto"/>
                <w:kern w:val="0"/>
                <w:szCs w:val="21"/>
              </w:rPr>
            </w:pPr>
            <w:r>
              <w:rPr>
                <w:rFonts w:hint="eastAsia" w:ascii="宋体" w:hAnsi="宋体" w:eastAsia="宋体" w:cs="宋体"/>
                <w:color w:val="auto"/>
                <w:kern w:val="0"/>
                <w:szCs w:val="21"/>
              </w:rPr>
              <w:t>6</w:t>
            </w:r>
          </w:p>
        </w:tc>
        <w:tc>
          <w:tcPr>
            <w:tcW w:w="815" w:type="pct"/>
            <w:vAlign w:val="center"/>
          </w:tcPr>
          <w:p w14:paraId="4CAB9FB5">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六、</w:t>
            </w:r>
          </w:p>
        </w:tc>
        <w:tc>
          <w:tcPr>
            <w:tcW w:w="2783" w:type="pct"/>
            <w:vAlign w:val="center"/>
          </w:tcPr>
          <w:p w14:paraId="6F1ABC84">
            <w:pPr>
              <w:spacing w:line="400" w:lineRule="exact"/>
              <w:jc w:val="left"/>
              <w:rPr>
                <w:rFonts w:ascii="宋体" w:hAnsi="宋体" w:eastAsia="宋体" w:cs="宋体"/>
                <w:color w:val="auto"/>
                <w:kern w:val="0"/>
                <w:szCs w:val="21"/>
              </w:rPr>
            </w:pPr>
            <w:r>
              <w:rPr>
                <w:rFonts w:hint="eastAsia" w:ascii="宋体" w:hAnsi="宋体" w:eastAsia="宋体" w:cs="宋体"/>
                <w:color w:val="auto"/>
                <w:kern w:val="0"/>
                <w:szCs w:val="21"/>
              </w:rPr>
              <w:t>合同价（单项项目服务费）、结算及付款方式</w:t>
            </w:r>
          </w:p>
        </w:tc>
        <w:tc>
          <w:tcPr>
            <w:tcW w:w="337" w:type="pct"/>
            <w:vAlign w:val="center"/>
          </w:tcPr>
          <w:p w14:paraId="6FBF0504">
            <w:pPr>
              <w:spacing w:line="400" w:lineRule="exact"/>
              <w:jc w:val="center"/>
              <w:rPr>
                <w:rFonts w:ascii="宋体" w:hAnsi="宋体" w:eastAsia="宋体" w:cs="宋体"/>
                <w:color w:val="auto"/>
                <w:kern w:val="0"/>
                <w:sz w:val="18"/>
                <w:szCs w:val="18"/>
              </w:rPr>
            </w:pPr>
          </w:p>
        </w:tc>
        <w:tc>
          <w:tcPr>
            <w:tcW w:w="405" w:type="pct"/>
            <w:vAlign w:val="center"/>
          </w:tcPr>
          <w:p w14:paraId="0E306E68">
            <w:pPr>
              <w:spacing w:line="400" w:lineRule="exact"/>
              <w:jc w:val="center"/>
              <w:rPr>
                <w:rFonts w:ascii="宋体" w:hAnsi="宋体" w:eastAsia="宋体" w:cs="宋体"/>
                <w:color w:val="auto"/>
                <w:kern w:val="0"/>
                <w:sz w:val="18"/>
                <w:szCs w:val="18"/>
              </w:rPr>
            </w:pPr>
          </w:p>
        </w:tc>
        <w:tc>
          <w:tcPr>
            <w:tcW w:w="388" w:type="pct"/>
            <w:vAlign w:val="center"/>
          </w:tcPr>
          <w:p w14:paraId="73083A4F">
            <w:pPr>
              <w:spacing w:line="400" w:lineRule="exact"/>
              <w:jc w:val="center"/>
              <w:rPr>
                <w:rFonts w:ascii="宋体" w:hAnsi="宋体" w:eastAsia="宋体" w:cs="宋体"/>
                <w:color w:val="auto"/>
                <w:kern w:val="0"/>
                <w:sz w:val="18"/>
                <w:szCs w:val="18"/>
              </w:rPr>
            </w:pPr>
          </w:p>
        </w:tc>
      </w:tr>
      <w:tr w14:paraId="6F99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4C18A4E9">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815" w:type="pct"/>
            <w:vAlign w:val="center"/>
          </w:tcPr>
          <w:p w14:paraId="687B5A81">
            <w:pPr>
              <w:spacing w:line="400" w:lineRule="exact"/>
              <w:jc w:val="center"/>
              <w:rPr>
                <w:rFonts w:ascii="宋体" w:hAnsi="宋体" w:eastAsia="宋体" w:cs="宋体"/>
                <w:b/>
                <w:color w:val="auto"/>
                <w:szCs w:val="21"/>
                <w:lang w:val="zh-CN"/>
              </w:rPr>
            </w:pPr>
            <w:r>
              <w:rPr>
                <w:rFonts w:hint="eastAsia" w:ascii="宋体" w:hAnsi="宋体" w:eastAsia="宋体" w:cs="宋体"/>
                <w:b/>
                <w:color w:val="auto"/>
                <w:szCs w:val="21"/>
              </w:rPr>
              <w:t>七、</w:t>
            </w:r>
          </w:p>
        </w:tc>
        <w:tc>
          <w:tcPr>
            <w:tcW w:w="2783" w:type="pct"/>
            <w:vAlign w:val="center"/>
          </w:tcPr>
          <w:p w14:paraId="5F4BFB3A">
            <w:pPr>
              <w:spacing w:line="400" w:lineRule="exact"/>
              <w:jc w:val="left"/>
              <w:rPr>
                <w:rFonts w:ascii="宋体" w:hAnsi="宋体" w:eastAsia="宋体" w:cs="宋体"/>
                <w:color w:val="auto"/>
                <w:szCs w:val="21"/>
              </w:rPr>
            </w:pPr>
            <w:r>
              <w:rPr>
                <w:rFonts w:hint="eastAsia" w:ascii="宋体" w:hAnsi="宋体" w:eastAsia="宋体" w:cs="宋体"/>
                <w:color w:val="auto"/>
                <w:kern w:val="0"/>
                <w:szCs w:val="21"/>
              </w:rPr>
              <w:t>转包和分包</w:t>
            </w:r>
          </w:p>
        </w:tc>
        <w:tc>
          <w:tcPr>
            <w:tcW w:w="337" w:type="pct"/>
            <w:vAlign w:val="center"/>
          </w:tcPr>
          <w:p w14:paraId="00F1BD49">
            <w:pPr>
              <w:keepNext/>
              <w:keepLines/>
              <w:spacing w:line="400" w:lineRule="exact"/>
              <w:jc w:val="center"/>
              <w:outlineLvl w:val="2"/>
              <w:rPr>
                <w:rFonts w:ascii="宋体" w:hAnsi="宋体" w:eastAsia="宋体" w:cs="宋体"/>
                <w:color w:val="auto"/>
                <w:kern w:val="0"/>
                <w:sz w:val="18"/>
                <w:szCs w:val="18"/>
              </w:rPr>
            </w:pPr>
          </w:p>
        </w:tc>
        <w:tc>
          <w:tcPr>
            <w:tcW w:w="405" w:type="pct"/>
            <w:vAlign w:val="center"/>
          </w:tcPr>
          <w:p w14:paraId="54F74B7F">
            <w:pPr>
              <w:keepNext/>
              <w:keepLines/>
              <w:spacing w:line="400" w:lineRule="exact"/>
              <w:jc w:val="center"/>
              <w:outlineLvl w:val="2"/>
              <w:rPr>
                <w:rFonts w:ascii="宋体" w:hAnsi="宋体" w:eastAsia="宋体" w:cs="宋体"/>
                <w:color w:val="auto"/>
                <w:kern w:val="0"/>
                <w:sz w:val="18"/>
                <w:szCs w:val="18"/>
              </w:rPr>
            </w:pPr>
          </w:p>
        </w:tc>
        <w:tc>
          <w:tcPr>
            <w:tcW w:w="388" w:type="pct"/>
            <w:vAlign w:val="center"/>
          </w:tcPr>
          <w:p w14:paraId="2E1826E6">
            <w:pPr>
              <w:keepNext/>
              <w:keepLines/>
              <w:spacing w:line="400" w:lineRule="exact"/>
              <w:jc w:val="center"/>
              <w:outlineLvl w:val="2"/>
              <w:rPr>
                <w:rFonts w:ascii="宋体" w:hAnsi="宋体" w:eastAsia="宋体" w:cs="宋体"/>
                <w:color w:val="auto"/>
                <w:kern w:val="0"/>
                <w:sz w:val="18"/>
                <w:szCs w:val="18"/>
              </w:rPr>
            </w:pPr>
          </w:p>
        </w:tc>
      </w:tr>
      <w:tr w14:paraId="2D63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5D177CBD">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815" w:type="pct"/>
            <w:vAlign w:val="center"/>
          </w:tcPr>
          <w:p w14:paraId="691939D9">
            <w:pPr>
              <w:spacing w:line="400" w:lineRule="exact"/>
              <w:jc w:val="center"/>
              <w:rPr>
                <w:rFonts w:ascii="宋体" w:hAnsi="宋体" w:eastAsia="宋体" w:cs="宋体"/>
                <w:b/>
                <w:color w:val="auto"/>
                <w:szCs w:val="21"/>
                <w:lang w:val="zh-CN"/>
              </w:rPr>
            </w:pPr>
            <w:r>
              <w:rPr>
                <w:rFonts w:hint="eastAsia" w:ascii="宋体" w:hAnsi="宋体" w:eastAsia="宋体" w:cs="宋体"/>
                <w:b/>
                <w:color w:val="auto"/>
                <w:szCs w:val="21"/>
              </w:rPr>
              <w:t>八、</w:t>
            </w:r>
          </w:p>
        </w:tc>
        <w:tc>
          <w:tcPr>
            <w:tcW w:w="2783" w:type="pct"/>
            <w:vAlign w:val="center"/>
          </w:tcPr>
          <w:p w14:paraId="07CD15D9">
            <w:pPr>
              <w:spacing w:line="400" w:lineRule="exact"/>
              <w:rPr>
                <w:rFonts w:ascii="宋体" w:hAnsi="宋体" w:eastAsia="宋体" w:cs="宋体"/>
                <w:color w:val="auto"/>
                <w:szCs w:val="21"/>
              </w:rPr>
            </w:pPr>
            <w:r>
              <w:rPr>
                <w:rFonts w:hint="eastAsia" w:ascii="宋体" w:hAnsi="宋体" w:eastAsia="宋体" w:cs="宋体"/>
                <w:color w:val="auto"/>
                <w:szCs w:val="21"/>
              </w:rPr>
              <w:t>其它</w:t>
            </w:r>
          </w:p>
        </w:tc>
        <w:tc>
          <w:tcPr>
            <w:tcW w:w="337" w:type="pct"/>
            <w:vAlign w:val="center"/>
          </w:tcPr>
          <w:p w14:paraId="61CBDB67">
            <w:pPr>
              <w:keepNext/>
              <w:keepLines/>
              <w:spacing w:line="400" w:lineRule="exact"/>
              <w:jc w:val="center"/>
              <w:outlineLvl w:val="2"/>
              <w:rPr>
                <w:rFonts w:ascii="宋体" w:hAnsi="宋体" w:eastAsia="宋体" w:cs="宋体"/>
                <w:color w:val="auto"/>
                <w:kern w:val="0"/>
                <w:sz w:val="18"/>
                <w:szCs w:val="18"/>
              </w:rPr>
            </w:pPr>
          </w:p>
        </w:tc>
        <w:tc>
          <w:tcPr>
            <w:tcW w:w="405" w:type="pct"/>
            <w:vAlign w:val="center"/>
          </w:tcPr>
          <w:p w14:paraId="64ACF9BF">
            <w:pPr>
              <w:keepNext/>
              <w:keepLines/>
              <w:spacing w:line="400" w:lineRule="exact"/>
              <w:jc w:val="center"/>
              <w:outlineLvl w:val="2"/>
              <w:rPr>
                <w:rFonts w:ascii="宋体" w:hAnsi="宋体" w:eastAsia="宋体" w:cs="宋体"/>
                <w:color w:val="auto"/>
                <w:kern w:val="0"/>
                <w:sz w:val="18"/>
                <w:szCs w:val="18"/>
              </w:rPr>
            </w:pPr>
          </w:p>
        </w:tc>
        <w:tc>
          <w:tcPr>
            <w:tcW w:w="388" w:type="pct"/>
            <w:vAlign w:val="center"/>
          </w:tcPr>
          <w:p w14:paraId="5AF613D7">
            <w:pPr>
              <w:keepNext/>
              <w:keepLines/>
              <w:spacing w:line="400" w:lineRule="exact"/>
              <w:jc w:val="center"/>
              <w:outlineLvl w:val="2"/>
              <w:rPr>
                <w:rFonts w:ascii="宋体" w:hAnsi="宋体" w:eastAsia="宋体" w:cs="宋体"/>
                <w:color w:val="auto"/>
                <w:kern w:val="0"/>
                <w:sz w:val="18"/>
                <w:szCs w:val="18"/>
              </w:rPr>
            </w:pPr>
          </w:p>
        </w:tc>
      </w:tr>
      <w:tr w14:paraId="488B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F270F86">
            <w:pPr>
              <w:spacing w:line="400" w:lineRule="exact"/>
              <w:jc w:val="left"/>
              <w:rPr>
                <w:rFonts w:ascii="宋体" w:hAnsi="宋体" w:eastAsia="宋体" w:cs="宋体"/>
                <w:color w:val="auto"/>
                <w:kern w:val="0"/>
                <w:sz w:val="18"/>
                <w:szCs w:val="18"/>
              </w:rPr>
            </w:pPr>
            <w:r>
              <w:rPr>
                <w:rFonts w:hint="eastAsia" w:ascii="宋体" w:hAnsi="宋体" w:eastAsia="宋体" w:cs="宋体"/>
                <w:color w:val="auto"/>
                <w:kern w:val="0"/>
                <w:szCs w:val="21"/>
              </w:rPr>
              <w:t>用户需求书“★”条款汇总</w:t>
            </w:r>
          </w:p>
        </w:tc>
      </w:tr>
      <w:tr w14:paraId="59ED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299B7570">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w:t>
            </w:r>
          </w:p>
        </w:tc>
        <w:tc>
          <w:tcPr>
            <w:tcW w:w="815" w:type="pct"/>
            <w:vAlign w:val="center"/>
          </w:tcPr>
          <w:p w14:paraId="4BF50B79">
            <w:pPr>
              <w:spacing w:line="400" w:lineRule="exact"/>
              <w:jc w:val="center"/>
              <w:rPr>
                <w:rFonts w:ascii="宋体" w:hAnsi="宋体" w:eastAsia="宋体" w:cs="宋体"/>
                <w:b/>
                <w:color w:val="auto"/>
                <w:sz w:val="18"/>
                <w:szCs w:val="18"/>
                <w:lang w:val="zh-CN"/>
              </w:rPr>
            </w:pPr>
            <w:r>
              <w:rPr>
                <w:rFonts w:hint="eastAsia" w:ascii="宋体" w:hAnsi="宋体" w:eastAsia="宋体" w:cs="宋体"/>
                <w:b/>
                <w:color w:val="auto"/>
                <w:sz w:val="18"/>
                <w:szCs w:val="18"/>
              </w:rPr>
              <w:t>二、</w:t>
            </w:r>
          </w:p>
        </w:tc>
        <w:tc>
          <w:tcPr>
            <w:tcW w:w="2783" w:type="pct"/>
            <w:vAlign w:val="center"/>
          </w:tcPr>
          <w:p w14:paraId="12C60D3B">
            <w:pPr>
              <w:tabs>
                <w:tab w:val="left" w:pos="360"/>
                <w:tab w:val="left" w:pos="1418"/>
                <w:tab w:val="left" w:pos="4725"/>
              </w:tabs>
              <w:spacing w:line="360" w:lineRule="auto"/>
              <w:rPr>
                <w:rFonts w:ascii="宋体" w:hAnsi="宋体" w:eastAsia="宋体" w:cs="宋体"/>
                <w:color w:val="auto"/>
                <w:sz w:val="18"/>
                <w:szCs w:val="18"/>
              </w:rPr>
            </w:pPr>
            <w:r>
              <w:rPr>
                <w:rFonts w:hint="eastAsia" w:ascii="宋体" w:hAnsi="宋体" w:eastAsia="宋体" w:cs="宋体"/>
                <w:color w:val="auto"/>
                <w:szCs w:val="21"/>
              </w:rPr>
              <w:t>★6.在服务期内，招标人有权根据实际需求将东莞市内其它的机电设备维修项目委托给中标人实施，中标人应充分考虑因此可能增减的各项费用，中标人不得因项目的调整而提出异议及要求招标人提供任何形式的补偿（赔偿）或调整中标服务综合单价。</w:t>
            </w:r>
          </w:p>
        </w:tc>
        <w:tc>
          <w:tcPr>
            <w:tcW w:w="337" w:type="pct"/>
            <w:vAlign w:val="center"/>
          </w:tcPr>
          <w:p w14:paraId="52F655F7">
            <w:pPr>
              <w:keepNext/>
              <w:keepLines/>
              <w:spacing w:line="400" w:lineRule="exact"/>
              <w:jc w:val="center"/>
              <w:outlineLvl w:val="2"/>
              <w:rPr>
                <w:rFonts w:ascii="宋体" w:hAnsi="宋体" w:eastAsia="宋体" w:cs="宋体"/>
                <w:color w:val="auto"/>
                <w:kern w:val="0"/>
                <w:sz w:val="18"/>
                <w:szCs w:val="18"/>
              </w:rPr>
            </w:pPr>
          </w:p>
        </w:tc>
        <w:tc>
          <w:tcPr>
            <w:tcW w:w="405" w:type="pct"/>
            <w:vAlign w:val="center"/>
          </w:tcPr>
          <w:p w14:paraId="4F4CD426">
            <w:pPr>
              <w:keepNext/>
              <w:keepLines/>
              <w:spacing w:line="400" w:lineRule="exact"/>
              <w:jc w:val="center"/>
              <w:outlineLvl w:val="2"/>
              <w:rPr>
                <w:rFonts w:ascii="宋体" w:hAnsi="宋体" w:eastAsia="宋体" w:cs="宋体"/>
                <w:color w:val="auto"/>
                <w:kern w:val="0"/>
                <w:sz w:val="18"/>
                <w:szCs w:val="18"/>
              </w:rPr>
            </w:pPr>
          </w:p>
        </w:tc>
        <w:tc>
          <w:tcPr>
            <w:tcW w:w="388" w:type="pct"/>
            <w:vAlign w:val="center"/>
          </w:tcPr>
          <w:p w14:paraId="51739377">
            <w:pPr>
              <w:keepNext/>
              <w:keepLines/>
              <w:spacing w:line="400" w:lineRule="exact"/>
              <w:jc w:val="center"/>
              <w:outlineLvl w:val="2"/>
              <w:rPr>
                <w:rFonts w:ascii="宋体" w:hAnsi="宋体" w:eastAsia="宋体" w:cs="宋体"/>
                <w:color w:val="auto"/>
                <w:kern w:val="0"/>
                <w:sz w:val="18"/>
                <w:szCs w:val="18"/>
              </w:rPr>
            </w:pPr>
          </w:p>
        </w:tc>
      </w:tr>
      <w:tr w14:paraId="78B7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77BF3ED8">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15" w:type="pct"/>
            <w:vAlign w:val="center"/>
          </w:tcPr>
          <w:p w14:paraId="7EDAEC29">
            <w:pPr>
              <w:spacing w:line="400" w:lineRule="exact"/>
              <w:jc w:val="center"/>
              <w:rPr>
                <w:rFonts w:ascii="宋体" w:hAnsi="宋体" w:eastAsia="宋体" w:cs="宋体"/>
                <w:b/>
                <w:color w:val="auto"/>
                <w:sz w:val="18"/>
                <w:szCs w:val="18"/>
                <w:lang w:val="zh-CN"/>
              </w:rPr>
            </w:pPr>
            <w:r>
              <w:rPr>
                <w:rFonts w:hint="eastAsia" w:ascii="宋体" w:hAnsi="宋体" w:eastAsia="宋体" w:cs="宋体"/>
                <w:b/>
                <w:color w:val="auto"/>
                <w:sz w:val="18"/>
                <w:szCs w:val="18"/>
              </w:rPr>
              <w:t>二、</w:t>
            </w:r>
          </w:p>
        </w:tc>
        <w:tc>
          <w:tcPr>
            <w:tcW w:w="2783" w:type="pct"/>
            <w:vAlign w:val="center"/>
          </w:tcPr>
          <w:p w14:paraId="2FA2DF4D">
            <w:pPr>
              <w:pStyle w:val="129"/>
              <w:spacing w:line="360" w:lineRule="auto"/>
              <w:ind w:firstLine="0" w:firstLineChars="0"/>
              <w:rPr>
                <w:rFonts w:ascii="宋体" w:hAnsi="宋体" w:eastAsia="宋体" w:cs="宋体"/>
                <w:color w:val="auto"/>
                <w:sz w:val="18"/>
                <w:szCs w:val="18"/>
              </w:rPr>
            </w:pPr>
            <w:r>
              <w:rPr>
                <w:rFonts w:hint="eastAsia" w:ascii="宋体" w:hAnsi="宋体" w:eastAsia="宋体" w:cs="宋体"/>
                <w:bCs/>
                <w:color w:val="auto"/>
                <w:szCs w:val="21"/>
              </w:rPr>
              <w:t>★ 本次机电设备维修服务内容子项综合单价最高限价具体见附件，在服务期内发生维修服务内容子项以内的服务项目综合单价参考《机电设备维修服务项目常用清单库》（以下简称“机电清单库”）的清单综合单价，按固定下浮率5%进行计算。投标人根据招标人提供的“机电清单库”内容子项综合单价按固定下浮率5%作为服务内容子项对应中标综合单价。机电清单库在使用过程中，广东省或东莞市相关行业主管部门如有新的定额、计价规范及标准颁布，招标人有权按最新的相关规定修改机电清单库，且有权根据项目实际需要增补清单项。</w:t>
            </w:r>
          </w:p>
        </w:tc>
        <w:tc>
          <w:tcPr>
            <w:tcW w:w="337" w:type="pct"/>
            <w:vAlign w:val="center"/>
          </w:tcPr>
          <w:p w14:paraId="165D50EF">
            <w:pPr>
              <w:keepNext/>
              <w:keepLines/>
              <w:spacing w:line="400" w:lineRule="exact"/>
              <w:jc w:val="center"/>
              <w:outlineLvl w:val="2"/>
              <w:rPr>
                <w:rFonts w:ascii="宋体" w:hAnsi="宋体" w:eastAsia="宋体" w:cs="宋体"/>
                <w:color w:val="auto"/>
                <w:kern w:val="0"/>
                <w:sz w:val="18"/>
                <w:szCs w:val="18"/>
              </w:rPr>
            </w:pPr>
          </w:p>
        </w:tc>
        <w:tc>
          <w:tcPr>
            <w:tcW w:w="405" w:type="pct"/>
            <w:vAlign w:val="center"/>
          </w:tcPr>
          <w:p w14:paraId="14F6B100">
            <w:pPr>
              <w:keepNext/>
              <w:keepLines/>
              <w:spacing w:line="400" w:lineRule="exact"/>
              <w:jc w:val="center"/>
              <w:outlineLvl w:val="2"/>
              <w:rPr>
                <w:rFonts w:ascii="宋体" w:hAnsi="宋体" w:eastAsia="宋体" w:cs="宋体"/>
                <w:color w:val="auto"/>
                <w:kern w:val="0"/>
                <w:sz w:val="18"/>
                <w:szCs w:val="18"/>
              </w:rPr>
            </w:pPr>
          </w:p>
        </w:tc>
        <w:tc>
          <w:tcPr>
            <w:tcW w:w="388" w:type="pct"/>
            <w:vAlign w:val="center"/>
          </w:tcPr>
          <w:p w14:paraId="56F10E1D">
            <w:pPr>
              <w:keepNext/>
              <w:keepLines/>
              <w:spacing w:line="400" w:lineRule="exact"/>
              <w:jc w:val="center"/>
              <w:outlineLvl w:val="2"/>
              <w:rPr>
                <w:rFonts w:ascii="宋体" w:hAnsi="宋体" w:eastAsia="宋体" w:cs="宋体"/>
                <w:color w:val="auto"/>
                <w:kern w:val="0"/>
                <w:sz w:val="18"/>
                <w:szCs w:val="18"/>
              </w:rPr>
            </w:pPr>
          </w:p>
        </w:tc>
      </w:tr>
      <w:tr w14:paraId="0DCC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 w:type="pct"/>
            <w:vAlign w:val="center"/>
          </w:tcPr>
          <w:p w14:paraId="297D46C4">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w:t>
            </w:r>
          </w:p>
        </w:tc>
        <w:tc>
          <w:tcPr>
            <w:tcW w:w="815" w:type="pct"/>
            <w:vAlign w:val="center"/>
          </w:tcPr>
          <w:p w14:paraId="461092F6">
            <w:pPr>
              <w:spacing w:line="400" w:lineRule="exact"/>
              <w:jc w:val="center"/>
              <w:rPr>
                <w:rFonts w:ascii="宋体" w:hAnsi="宋体" w:eastAsia="宋体" w:cs="宋体"/>
                <w:b/>
                <w:color w:val="auto"/>
                <w:sz w:val="18"/>
                <w:szCs w:val="18"/>
              </w:rPr>
            </w:pPr>
            <w:r>
              <w:rPr>
                <w:rFonts w:hint="eastAsia" w:ascii="宋体" w:hAnsi="宋体" w:eastAsia="宋体" w:cs="宋体"/>
                <w:b/>
                <w:color w:val="auto"/>
                <w:sz w:val="18"/>
                <w:szCs w:val="18"/>
              </w:rPr>
              <w:t>三、</w:t>
            </w:r>
          </w:p>
        </w:tc>
        <w:tc>
          <w:tcPr>
            <w:tcW w:w="2783" w:type="pct"/>
            <w:vAlign w:val="center"/>
          </w:tcPr>
          <w:p w14:paraId="04E2C555">
            <w:pPr>
              <w:pStyle w:val="129"/>
              <w:spacing w:line="360" w:lineRule="auto"/>
              <w:ind w:left="480" w:firstLine="0" w:firstLineChars="0"/>
              <w:rPr>
                <w:rFonts w:ascii="宋体" w:hAnsi="宋体" w:eastAsia="宋体" w:cs="宋体"/>
                <w:b/>
                <w:bCs/>
                <w:color w:val="auto"/>
                <w:szCs w:val="21"/>
              </w:rPr>
            </w:pPr>
            <w:r>
              <w:rPr>
                <w:rFonts w:hint="eastAsia" w:ascii="宋体" w:hAnsi="宋体" w:eastAsia="宋体" w:cs="宋体"/>
                <w:b/>
                <w:bCs/>
                <w:color w:val="auto"/>
                <w:szCs w:val="21"/>
              </w:rPr>
              <w:t>（六）人员及其它配置要求</w:t>
            </w:r>
          </w:p>
          <w:p w14:paraId="0AB8F8D1">
            <w:pPr>
              <w:pStyle w:val="129"/>
              <w:numPr>
                <w:ilvl w:val="255"/>
                <w:numId w:val="0"/>
              </w:numPr>
              <w:spacing w:line="360" w:lineRule="auto"/>
              <w:ind w:firstLine="422"/>
              <w:rPr>
                <w:rFonts w:ascii="宋体" w:hAnsi="宋体" w:eastAsia="宋体" w:cs="宋体"/>
                <w:b/>
                <w:bCs/>
                <w:color w:val="auto"/>
                <w:szCs w:val="21"/>
              </w:rPr>
            </w:pPr>
            <w:r>
              <w:rPr>
                <w:rFonts w:hint="eastAsia" w:ascii="宋体" w:hAnsi="宋体" w:eastAsia="宋体" w:cs="宋体"/>
                <w:b/>
                <w:bCs/>
                <w:color w:val="auto"/>
                <w:szCs w:val="21"/>
              </w:rPr>
              <w:t>1. 具体人员配置数量及要求详见表1。</w:t>
            </w:r>
          </w:p>
          <w:p w14:paraId="752E2078">
            <w:pPr>
              <w:spacing w:line="360" w:lineRule="auto"/>
              <w:jc w:val="center"/>
              <w:rPr>
                <w:rFonts w:ascii="宋体" w:hAnsi="宋体" w:eastAsia="宋体" w:cs="Times New Roman"/>
                <w:b/>
                <w:color w:val="auto"/>
                <w:szCs w:val="21"/>
              </w:rPr>
            </w:pPr>
            <w:r>
              <w:rPr>
                <w:rFonts w:ascii="宋体" w:hAnsi="宋体" w:eastAsia="宋体" w:cs="Times New Roman"/>
                <w:b/>
                <w:color w:val="auto"/>
                <w:szCs w:val="21"/>
              </w:rPr>
              <w:t>表</w:t>
            </w:r>
            <w:r>
              <w:rPr>
                <w:rFonts w:hint="eastAsia" w:ascii="宋体" w:hAnsi="宋体" w:eastAsia="宋体" w:cs="Times New Roman"/>
                <w:b/>
                <w:color w:val="auto"/>
                <w:szCs w:val="21"/>
              </w:rPr>
              <w:t>1  包组</w:t>
            </w:r>
            <w:r>
              <w:rPr>
                <w:rFonts w:ascii="宋体" w:hAnsi="宋体" w:eastAsia="宋体" w:cs="Times New Roman"/>
                <w:b/>
                <w:color w:val="auto"/>
                <w:szCs w:val="21"/>
              </w:rPr>
              <w:t>人员配置表</w:t>
            </w:r>
          </w:p>
          <w:tbl>
            <w:tblPr>
              <w:tblStyle w:val="37"/>
              <w:tblW w:w="5023" w:type="pct"/>
              <w:jc w:val="center"/>
              <w:tblLayout w:type="autofit"/>
              <w:tblCellMar>
                <w:top w:w="0" w:type="dxa"/>
                <w:left w:w="0" w:type="dxa"/>
                <w:bottom w:w="0" w:type="dxa"/>
                <w:right w:w="0" w:type="dxa"/>
              </w:tblCellMar>
            </w:tblPr>
            <w:tblGrid>
              <w:gridCol w:w="330"/>
              <w:gridCol w:w="713"/>
              <w:gridCol w:w="643"/>
              <w:gridCol w:w="2054"/>
              <w:gridCol w:w="1842"/>
            </w:tblGrid>
            <w:tr w14:paraId="093B08CA">
              <w:tblPrEx>
                <w:tblCellMar>
                  <w:top w:w="0" w:type="dxa"/>
                  <w:left w:w="0" w:type="dxa"/>
                  <w:bottom w:w="0" w:type="dxa"/>
                  <w:right w:w="0" w:type="dxa"/>
                </w:tblCellMar>
              </w:tblPrEx>
              <w:trPr>
                <w:trHeight w:val="272"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05A0A4CB">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序号</w:t>
                  </w:r>
                </w:p>
              </w:tc>
              <w:tc>
                <w:tcPr>
                  <w:tcW w:w="674" w:type="pct"/>
                  <w:tcBorders>
                    <w:top w:val="single" w:color="000000" w:sz="4" w:space="0"/>
                    <w:left w:val="nil"/>
                    <w:bottom w:val="single" w:color="000000" w:sz="4" w:space="0"/>
                    <w:right w:val="single" w:color="000000" w:sz="4" w:space="0"/>
                  </w:tcBorders>
                  <w:vAlign w:val="center"/>
                </w:tcPr>
                <w:p w14:paraId="7EDEA355">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岗位</w:t>
                  </w:r>
                </w:p>
              </w:tc>
              <w:tc>
                <w:tcPr>
                  <w:tcW w:w="433" w:type="pct"/>
                  <w:tcBorders>
                    <w:top w:val="single" w:color="000000" w:sz="4" w:space="0"/>
                    <w:left w:val="nil"/>
                    <w:bottom w:val="single" w:color="000000" w:sz="4" w:space="0"/>
                    <w:right w:val="single" w:color="000000" w:sz="4" w:space="0"/>
                  </w:tcBorders>
                  <w:vAlign w:val="center"/>
                </w:tcPr>
                <w:p w14:paraId="3E2CFECC">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人数（人）</w:t>
                  </w:r>
                </w:p>
              </w:tc>
              <w:tc>
                <w:tcPr>
                  <w:tcW w:w="1874" w:type="pct"/>
                  <w:tcBorders>
                    <w:top w:val="single" w:color="000000" w:sz="4" w:space="0"/>
                    <w:left w:val="nil"/>
                    <w:bottom w:val="single" w:color="000000" w:sz="4" w:space="0"/>
                    <w:right w:val="single" w:color="000000" w:sz="4" w:space="0"/>
                  </w:tcBorders>
                  <w:vAlign w:val="center"/>
                </w:tcPr>
                <w:p w14:paraId="5F37A8F5">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人员配置要求</w:t>
                  </w:r>
                </w:p>
              </w:tc>
              <w:tc>
                <w:tcPr>
                  <w:tcW w:w="1684" w:type="pct"/>
                  <w:tcBorders>
                    <w:top w:val="single" w:color="000000" w:sz="4" w:space="0"/>
                    <w:left w:val="nil"/>
                    <w:bottom w:val="single" w:color="000000" w:sz="4" w:space="0"/>
                    <w:right w:val="single" w:color="000000" w:sz="4" w:space="0"/>
                  </w:tcBorders>
                  <w:vAlign w:val="center"/>
                </w:tcPr>
                <w:p w14:paraId="75599877">
                  <w:pPr>
                    <w:autoSpaceDE w:val="0"/>
                    <w:autoSpaceDN w:val="0"/>
                    <w:adjustRightInd w:val="0"/>
                    <w:jc w:val="center"/>
                    <w:rPr>
                      <w:rFonts w:ascii="宋体" w:hAnsi="宋体" w:eastAsia="宋体" w:cs="Times New Roman"/>
                      <w:b/>
                      <w:bCs/>
                      <w:color w:val="auto"/>
                      <w:kern w:val="0"/>
                      <w:szCs w:val="21"/>
                    </w:rPr>
                  </w:pPr>
                  <w:r>
                    <w:rPr>
                      <w:rFonts w:ascii="宋体" w:hAnsi="宋体" w:eastAsia="宋体" w:cs="Times New Roman"/>
                      <w:b/>
                      <w:bCs/>
                      <w:color w:val="auto"/>
                      <w:kern w:val="0"/>
                      <w:szCs w:val="21"/>
                    </w:rPr>
                    <w:t>备注</w:t>
                  </w:r>
                </w:p>
              </w:tc>
            </w:tr>
            <w:tr w14:paraId="10AAE4C5">
              <w:tblPrEx>
                <w:tblCellMar>
                  <w:top w:w="0" w:type="dxa"/>
                  <w:left w:w="0" w:type="dxa"/>
                  <w:bottom w:w="0" w:type="dxa"/>
                  <w:right w:w="0" w:type="dxa"/>
                </w:tblCellMar>
              </w:tblPrEx>
              <w:trPr>
                <w:trHeight w:val="771"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38CCF517">
                  <w:pPr>
                    <w:autoSpaceDE w:val="0"/>
                    <w:autoSpaceDN w:val="0"/>
                    <w:adjustRightInd w:val="0"/>
                    <w:jc w:val="center"/>
                    <w:rPr>
                      <w:rFonts w:ascii="宋体" w:hAnsi="宋体" w:eastAsia="宋体" w:cs="宋体"/>
                      <w:b/>
                      <w:color w:val="auto"/>
                      <w:kern w:val="0"/>
                      <w:szCs w:val="21"/>
                    </w:rPr>
                  </w:pPr>
                  <w:r>
                    <w:rPr>
                      <w:rFonts w:ascii="宋体" w:hAnsi="宋体" w:eastAsia="宋体" w:cs="Times New Roman"/>
                      <w:b/>
                      <w:bCs/>
                      <w:color w:val="auto"/>
                      <w:kern w:val="0"/>
                      <w:szCs w:val="21"/>
                    </w:rPr>
                    <w:t>★</w:t>
                  </w:r>
                  <w:r>
                    <w:rPr>
                      <w:rFonts w:hint="eastAsia" w:ascii="宋体" w:hAnsi="宋体" w:eastAsia="宋体" w:cs="宋体"/>
                      <w:b/>
                      <w:color w:val="auto"/>
                      <w:kern w:val="0"/>
                      <w:szCs w:val="21"/>
                    </w:rPr>
                    <w:t>1</w:t>
                  </w:r>
                </w:p>
              </w:tc>
              <w:tc>
                <w:tcPr>
                  <w:tcW w:w="674" w:type="pct"/>
                  <w:tcBorders>
                    <w:top w:val="single" w:color="000000" w:sz="4" w:space="0"/>
                    <w:left w:val="nil"/>
                    <w:bottom w:val="single" w:color="000000" w:sz="4" w:space="0"/>
                    <w:right w:val="single" w:color="000000" w:sz="4" w:space="0"/>
                  </w:tcBorders>
                  <w:vAlign w:val="center"/>
                </w:tcPr>
                <w:p w14:paraId="29E346AD">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项目负责人</w:t>
                  </w:r>
                </w:p>
              </w:tc>
              <w:tc>
                <w:tcPr>
                  <w:tcW w:w="433" w:type="pct"/>
                  <w:tcBorders>
                    <w:top w:val="single" w:color="000000" w:sz="4" w:space="0"/>
                    <w:left w:val="nil"/>
                    <w:bottom w:val="single" w:color="000000" w:sz="4" w:space="0"/>
                    <w:right w:val="single" w:color="000000" w:sz="4" w:space="0"/>
                  </w:tcBorders>
                  <w:vAlign w:val="center"/>
                </w:tcPr>
                <w:p w14:paraId="0F1B3417">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1</w:t>
                  </w:r>
                </w:p>
              </w:tc>
              <w:tc>
                <w:tcPr>
                  <w:tcW w:w="1874" w:type="pct"/>
                  <w:tcBorders>
                    <w:top w:val="single" w:color="000000" w:sz="4" w:space="0"/>
                    <w:left w:val="nil"/>
                    <w:bottom w:val="single" w:color="000000" w:sz="4" w:space="0"/>
                    <w:right w:val="single" w:color="000000" w:sz="4" w:space="0"/>
                  </w:tcBorders>
                  <w:vAlign w:val="center"/>
                </w:tcPr>
                <w:p w14:paraId="21AA16A5">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1、具备二级</w:t>
                  </w:r>
                  <w:r>
                    <w:rPr>
                      <w:rFonts w:ascii="宋体" w:hAnsi="宋体" w:eastAsia="宋体" w:cs="宋体"/>
                      <w:b/>
                      <w:color w:val="auto"/>
                      <w:kern w:val="0"/>
                      <w:szCs w:val="21"/>
                    </w:rPr>
                    <w:t>（或以上）</w:t>
                  </w:r>
                  <w:r>
                    <w:rPr>
                      <w:rFonts w:hint="eastAsia" w:ascii="宋体" w:hAnsi="宋体" w:eastAsia="宋体" w:cs="宋体"/>
                      <w:b/>
                      <w:color w:val="auto"/>
                      <w:kern w:val="0"/>
                      <w:szCs w:val="21"/>
                    </w:rPr>
                    <w:t>建造师（机电工程专业）执业资格或者中级（或以上）工程职称（机电或给排水专业）职称证书；</w:t>
                  </w:r>
                </w:p>
                <w:p w14:paraId="15338BF0">
                  <w:pPr>
                    <w:pStyle w:val="12"/>
                    <w:ind w:firstLine="0" w:firstLineChars="0"/>
                    <w:rPr>
                      <w:rFonts w:hAnsi="宋体"/>
                      <w:color w:val="auto"/>
                      <w:sz w:val="21"/>
                      <w:szCs w:val="21"/>
                    </w:rPr>
                  </w:pPr>
                  <w:r>
                    <w:rPr>
                      <w:rFonts w:hAnsi="宋体"/>
                      <w:b/>
                      <w:bCs/>
                      <w:color w:val="auto"/>
                      <w:sz w:val="21"/>
                      <w:szCs w:val="21"/>
                    </w:rPr>
                    <w:t>2、</w:t>
                  </w:r>
                  <w:r>
                    <w:rPr>
                      <w:rFonts w:hint="eastAsia" w:hAnsi="宋体" w:cs="宋体"/>
                      <w:b/>
                      <w:color w:val="auto"/>
                      <w:sz w:val="21"/>
                      <w:szCs w:val="21"/>
                    </w:rPr>
                    <w:t>具备住建局颁发的项目负责人安全生产考核合格证书（“建安B”类）。</w:t>
                  </w:r>
                </w:p>
              </w:tc>
              <w:tc>
                <w:tcPr>
                  <w:tcW w:w="1684" w:type="pct"/>
                  <w:tcBorders>
                    <w:top w:val="single" w:color="000000" w:sz="4" w:space="0"/>
                    <w:left w:val="nil"/>
                    <w:bottom w:val="single" w:color="000000" w:sz="4" w:space="0"/>
                    <w:right w:val="single" w:color="000000" w:sz="4" w:space="0"/>
                  </w:tcBorders>
                  <w:vAlign w:val="center"/>
                </w:tcPr>
                <w:p w14:paraId="758C416A">
                  <w:p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1.</w:t>
                  </w:r>
                  <w:r>
                    <w:rPr>
                      <w:rFonts w:hint="eastAsia" w:ascii="宋体" w:hAnsi="宋体" w:eastAsia="宋体" w:cs="宋体"/>
                      <w:b/>
                      <w:color w:val="auto"/>
                      <w:kern w:val="0"/>
                      <w:szCs w:val="21"/>
                    </w:rPr>
                    <w:t>提供</w:t>
                  </w:r>
                  <w:r>
                    <w:rPr>
                      <w:rFonts w:ascii="宋体" w:hAnsi="宋体" w:eastAsia="宋体" w:cs="宋体"/>
                      <w:b/>
                      <w:color w:val="auto"/>
                      <w:kern w:val="0"/>
                      <w:szCs w:val="21"/>
                    </w:rPr>
                    <w:t>人员证书及劳动合同复印件</w:t>
                  </w:r>
                  <w:r>
                    <w:rPr>
                      <w:rFonts w:hint="eastAsia" w:hAnsi="宋体" w:cs="宋体"/>
                      <w:b/>
                      <w:color w:val="auto"/>
                      <w:kern w:val="0"/>
                      <w:szCs w:val="21"/>
                    </w:rPr>
                    <w:t>；</w:t>
                  </w:r>
                </w:p>
                <w:p w14:paraId="20B66770">
                  <w:p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2.</w:t>
                  </w:r>
                  <w:r>
                    <w:rPr>
                      <w:rFonts w:hint="eastAsia" w:ascii="宋体" w:hAnsi="宋体" w:eastAsia="宋体" w:cs="宋体"/>
                      <w:b/>
                      <w:color w:val="auto"/>
                      <w:kern w:val="0"/>
                      <w:szCs w:val="21"/>
                    </w:rPr>
                    <w:t>提供人员证书及人力资源和社会保障部门（或税务部门）出具的投标人2024年5月至2024年10月为其缴纳的社保证明复印件</w:t>
                  </w:r>
                </w:p>
              </w:tc>
            </w:tr>
            <w:tr w14:paraId="048EDC50">
              <w:tblPrEx>
                <w:tblCellMar>
                  <w:top w:w="0" w:type="dxa"/>
                  <w:left w:w="0" w:type="dxa"/>
                  <w:bottom w:w="0" w:type="dxa"/>
                  <w:right w:w="0" w:type="dxa"/>
                </w:tblCellMar>
              </w:tblPrEx>
              <w:trPr>
                <w:trHeight w:val="1060"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07170C12">
                  <w:pPr>
                    <w:autoSpaceDE w:val="0"/>
                    <w:autoSpaceDN w:val="0"/>
                    <w:adjustRightInd w:val="0"/>
                    <w:jc w:val="center"/>
                    <w:rPr>
                      <w:rFonts w:ascii="宋体" w:hAnsi="宋体" w:eastAsia="宋体" w:cs="宋体"/>
                      <w:b/>
                      <w:color w:val="auto"/>
                      <w:kern w:val="0"/>
                      <w:szCs w:val="21"/>
                    </w:rPr>
                  </w:pPr>
                  <w:r>
                    <w:rPr>
                      <w:rFonts w:ascii="宋体" w:hAnsi="宋体" w:eastAsia="宋体" w:cs="Times New Roman"/>
                      <w:b/>
                      <w:bCs/>
                      <w:color w:val="auto"/>
                      <w:kern w:val="0"/>
                      <w:szCs w:val="21"/>
                    </w:rPr>
                    <w:t>★</w:t>
                  </w:r>
                  <w:r>
                    <w:rPr>
                      <w:rFonts w:hint="eastAsia" w:ascii="宋体" w:hAnsi="宋体" w:eastAsia="宋体" w:cs="宋体"/>
                      <w:b/>
                      <w:color w:val="auto"/>
                      <w:kern w:val="0"/>
                      <w:szCs w:val="21"/>
                    </w:rPr>
                    <w:t>2</w:t>
                  </w:r>
                </w:p>
              </w:tc>
              <w:tc>
                <w:tcPr>
                  <w:tcW w:w="674" w:type="pct"/>
                  <w:tcBorders>
                    <w:top w:val="single" w:color="000000" w:sz="4" w:space="0"/>
                    <w:left w:val="nil"/>
                    <w:bottom w:val="single" w:color="000000" w:sz="4" w:space="0"/>
                    <w:right w:val="single" w:color="000000" w:sz="4" w:space="0"/>
                  </w:tcBorders>
                  <w:vAlign w:val="center"/>
                </w:tcPr>
                <w:p w14:paraId="1A36D25A">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现场负责人</w:t>
                  </w:r>
                </w:p>
              </w:tc>
              <w:tc>
                <w:tcPr>
                  <w:tcW w:w="433" w:type="pct"/>
                  <w:tcBorders>
                    <w:top w:val="single" w:color="000000" w:sz="4" w:space="0"/>
                    <w:left w:val="nil"/>
                    <w:bottom w:val="single" w:color="000000" w:sz="4" w:space="0"/>
                    <w:right w:val="single" w:color="000000" w:sz="4" w:space="0"/>
                  </w:tcBorders>
                  <w:vAlign w:val="center"/>
                </w:tcPr>
                <w:p w14:paraId="443088EF">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1502022F">
                  <w:pPr>
                    <w:autoSpaceDE w:val="0"/>
                    <w:autoSpaceDN w:val="0"/>
                    <w:adjustRightInd w:val="0"/>
                    <w:jc w:val="left"/>
                    <w:rPr>
                      <w:rFonts w:ascii="宋体" w:hAnsi="宋体" w:eastAsia="宋体" w:cs="宋体"/>
                      <w:b/>
                      <w:color w:val="auto"/>
                      <w:kern w:val="0"/>
                      <w:szCs w:val="21"/>
                    </w:rPr>
                  </w:pPr>
                  <w:r>
                    <w:rPr>
                      <w:rFonts w:ascii="宋体" w:hAnsi="宋体" w:eastAsia="宋体" w:cs="宋体"/>
                      <w:b/>
                      <w:color w:val="auto"/>
                      <w:kern w:val="0"/>
                      <w:szCs w:val="21"/>
                    </w:rPr>
                    <w:t>具备二级（或以上）建造师（</w:t>
                  </w:r>
                  <w:r>
                    <w:rPr>
                      <w:rFonts w:hint="eastAsia" w:ascii="宋体" w:hAnsi="宋体" w:eastAsia="宋体" w:cs="宋体"/>
                      <w:b/>
                      <w:color w:val="auto"/>
                      <w:kern w:val="0"/>
                      <w:szCs w:val="21"/>
                    </w:rPr>
                    <w:t>机电</w:t>
                  </w:r>
                  <w:r>
                    <w:rPr>
                      <w:rFonts w:ascii="宋体" w:hAnsi="宋体" w:eastAsia="宋体" w:cs="宋体"/>
                      <w:b/>
                      <w:color w:val="auto"/>
                      <w:kern w:val="0"/>
                      <w:szCs w:val="21"/>
                    </w:rPr>
                    <w:t>工程</w:t>
                  </w:r>
                  <w:r>
                    <w:rPr>
                      <w:rFonts w:hint="eastAsia" w:ascii="宋体" w:hAnsi="宋体" w:eastAsia="宋体" w:cs="宋体"/>
                      <w:b/>
                      <w:color w:val="auto"/>
                      <w:kern w:val="0"/>
                      <w:szCs w:val="21"/>
                    </w:rPr>
                    <w:t>或给排水</w:t>
                  </w:r>
                  <w:r>
                    <w:rPr>
                      <w:rFonts w:ascii="宋体" w:hAnsi="宋体" w:eastAsia="宋体" w:cs="宋体"/>
                      <w:b/>
                      <w:color w:val="auto"/>
                      <w:kern w:val="0"/>
                      <w:szCs w:val="21"/>
                    </w:rPr>
                    <w:t>专业）或者助理工程师（或以上）职称证书</w:t>
                  </w:r>
                </w:p>
              </w:tc>
              <w:tc>
                <w:tcPr>
                  <w:tcW w:w="1684" w:type="pct"/>
                  <w:tcBorders>
                    <w:top w:val="single" w:color="000000" w:sz="4" w:space="0"/>
                    <w:left w:val="nil"/>
                    <w:bottom w:val="single" w:color="000000" w:sz="4" w:space="0"/>
                    <w:right w:val="single" w:color="000000" w:sz="4" w:space="0"/>
                  </w:tcBorders>
                  <w:vAlign w:val="center"/>
                </w:tcPr>
                <w:p w14:paraId="091A71E3">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1.</w:t>
                  </w:r>
                  <w:r>
                    <w:rPr>
                      <w:rFonts w:hint="eastAsia" w:ascii="宋体" w:hAnsi="宋体" w:eastAsia="宋体" w:cs="宋体"/>
                      <w:b/>
                      <w:color w:val="auto"/>
                      <w:kern w:val="0"/>
                      <w:szCs w:val="21"/>
                    </w:rPr>
                    <w:t>在项目实施过程中必须全程在岗</w:t>
                  </w:r>
                </w:p>
                <w:p w14:paraId="568FB667">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2.</w:t>
                  </w:r>
                  <w:r>
                    <w:rPr>
                      <w:rFonts w:ascii="宋体" w:hAnsi="宋体" w:eastAsia="宋体" w:cs="宋体"/>
                      <w:b/>
                      <w:color w:val="auto"/>
                      <w:kern w:val="0"/>
                      <w:szCs w:val="21"/>
                    </w:rPr>
                    <w:t>须</w:t>
                  </w:r>
                  <w:r>
                    <w:rPr>
                      <w:rFonts w:hint="eastAsia" w:ascii="宋体" w:hAnsi="宋体" w:eastAsia="宋体" w:cs="宋体"/>
                      <w:b/>
                      <w:color w:val="auto"/>
                      <w:kern w:val="0"/>
                      <w:szCs w:val="21"/>
                    </w:rPr>
                    <w:t>提供</w:t>
                  </w:r>
                  <w:r>
                    <w:rPr>
                      <w:rFonts w:ascii="宋体" w:hAnsi="宋体" w:eastAsia="宋体" w:cs="宋体"/>
                      <w:b/>
                      <w:color w:val="auto"/>
                      <w:kern w:val="0"/>
                      <w:szCs w:val="21"/>
                    </w:rPr>
                    <w:t>人员证书及劳动合同复印件</w:t>
                  </w:r>
                </w:p>
                <w:p w14:paraId="62557C4F">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3.</w:t>
                  </w:r>
                  <w:r>
                    <w:rPr>
                      <w:rFonts w:hint="eastAsia" w:ascii="宋体" w:hAnsi="宋体" w:eastAsia="宋体" w:cs="宋体"/>
                      <w:b/>
                      <w:color w:val="auto"/>
                      <w:kern w:val="0"/>
                      <w:szCs w:val="21"/>
                    </w:rPr>
                    <w:t>人力资源和社会保障部门（或税务部门）出具的投标人2024年5月至2024年10月为其缴纳的社保证明复印件</w:t>
                  </w:r>
                </w:p>
              </w:tc>
            </w:tr>
            <w:tr w14:paraId="1F266425">
              <w:tblPrEx>
                <w:tblCellMar>
                  <w:top w:w="0" w:type="dxa"/>
                  <w:left w:w="0" w:type="dxa"/>
                  <w:bottom w:w="0" w:type="dxa"/>
                  <w:right w:w="0" w:type="dxa"/>
                </w:tblCellMar>
              </w:tblPrEx>
              <w:trPr>
                <w:trHeight w:val="1268"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77A694F8">
                  <w:pPr>
                    <w:autoSpaceDE w:val="0"/>
                    <w:autoSpaceDN w:val="0"/>
                    <w:adjustRightInd w:val="0"/>
                    <w:jc w:val="center"/>
                    <w:rPr>
                      <w:rFonts w:ascii="宋体" w:hAnsi="宋体" w:eastAsia="宋体" w:cs="宋体"/>
                      <w:b/>
                      <w:color w:val="auto"/>
                      <w:kern w:val="0"/>
                      <w:szCs w:val="21"/>
                    </w:rPr>
                  </w:pPr>
                  <w:r>
                    <w:rPr>
                      <w:rFonts w:ascii="宋体" w:hAnsi="宋体" w:eastAsia="宋体" w:cs="Times New Roman"/>
                      <w:b/>
                      <w:bCs/>
                      <w:color w:val="auto"/>
                      <w:kern w:val="0"/>
                      <w:szCs w:val="21"/>
                    </w:rPr>
                    <w:t>★</w:t>
                  </w:r>
                  <w:r>
                    <w:rPr>
                      <w:rFonts w:hint="eastAsia" w:ascii="宋体" w:hAnsi="宋体" w:eastAsia="宋体" w:cs="宋体"/>
                      <w:b/>
                      <w:color w:val="auto"/>
                      <w:kern w:val="0"/>
                      <w:szCs w:val="21"/>
                    </w:rPr>
                    <w:t>3</w:t>
                  </w:r>
                </w:p>
              </w:tc>
              <w:tc>
                <w:tcPr>
                  <w:tcW w:w="674" w:type="pct"/>
                  <w:tcBorders>
                    <w:top w:val="single" w:color="000000" w:sz="4" w:space="0"/>
                    <w:left w:val="nil"/>
                    <w:bottom w:val="single" w:color="000000" w:sz="4" w:space="0"/>
                    <w:right w:val="single" w:color="000000" w:sz="4" w:space="0"/>
                  </w:tcBorders>
                  <w:vAlign w:val="center"/>
                </w:tcPr>
                <w:p w14:paraId="4CADD8DE">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安全员</w:t>
                  </w:r>
                </w:p>
              </w:tc>
              <w:tc>
                <w:tcPr>
                  <w:tcW w:w="433" w:type="pct"/>
                  <w:tcBorders>
                    <w:top w:val="single" w:color="000000" w:sz="4" w:space="0"/>
                    <w:left w:val="nil"/>
                    <w:bottom w:val="single" w:color="000000" w:sz="4" w:space="0"/>
                    <w:right w:val="single" w:color="000000" w:sz="4" w:space="0"/>
                  </w:tcBorders>
                  <w:vAlign w:val="center"/>
                </w:tcPr>
                <w:p w14:paraId="44659058">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075F55B1">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具备住建局颁发的专职安全生产管理人员安全生产考核合格证书（“建安C”类）或者行业协会或安全生产监督管理局发放的安全管理人员证书</w:t>
                  </w:r>
                </w:p>
              </w:tc>
              <w:tc>
                <w:tcPr>
                  <w:tcW w:w="1684" w:type="pct"/>
                  <w:tcBorders>
                    <w:top w:val="single" w:color="000000" w:sz="4" w:space="0"/>
                    <w:left w:val="nil"/>
                    <w:bottom w:val="single" w:color="000000" w:sz="4" w:space="0"/>
                    <w:right w:val="single" w:color="000000" w:sz="4" w:space="0"/>
                  </w:tcBorders>
                  <w:vAlign w:val="center"/>
                </w:tcPr>
                <w:p w14:paraId="6F6712FB">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1.</w:t>
                  </w:r>
                  <w:r>
                    <w:rPr>
                      <w:rFonts w:ascii="宋体" w:hAnsi="宋体" w:eastAsia="宋体" w:cs="宋体"/>
                      <w:b/>
                      <w:color w:val="auto"/>
                      <w:kern w:val="0"/>
                      <w:szCs w:val="21"/>
                    </w:rPr>
                    <w:t>在项目实施过程中必须全程在岗</w:t>
                  </w:r>
                </w:p>
                <w:p w14:paraId="6050236A">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2.</w:t>
                  </w:r>
                  <w:r>
                    <w:rPr>
                      <w:rFonts w:ascii="宋体" w:hAnsi="宋体" w:eastAsia="宋体" w:cs="宋体"/>
                      <w:b/>
                      <w:color w:val="auto"/>
                      <w:kern w:val="0"/>
                      <w:szCs w:val="21"/>
                    </w:rPr>
                    <w:t>须</w:t>
                  </w:r>
                  <w:r>
                    <w:rPr>
                      <w:rFonts w:hint="eastAsia" w:ascii="宋体" w:hAnsi="宋体" w:eastAsia="宋体" w:cs="宋体"/>
                      <w:b/>
                      <w:color w:val="auto"/>
                      <w:kern w:val="0"/>
                      <w:szCs w:val="21"/>
                    </w:rPr>
                    <w:t>提供</w:t>
                  </w:r>
                  <w:r>
                    <w:rPr>
                      <w:rFonts w:ascii="宋体" w:hAnsi="宋体" w:eastAsia="宋体" w:cs="宋体"/>
                      <w:b/>
                      <w:color w:val="auto"/>
                      <w:kern w:val="0"/>
                      <w:szCs w:val="21"/>
                    </w:rPr>
                    <w:t>人员证书及劳动合同复印件</w:t>
                  </w:r>
                </w:p>
                <w:p w14:paraId="7D6B79A3">
                  <w:pPr>
                    <w:numPr>
                      <w:ilvl w:val="255"/>
                      <w:numId w:val="0"/>
                    </w:numPr>
                    <w:autoSpaceDE w:val="0"/>
                    <w:autoSpaceDN w:val="0"/>
                    <w:adjustRightInd w:val="0"/>
                    <w:jc w:val="left"/>
                    <w:rPr>
                      <w:rFonts w:ascii="宋体" w:hAnsi="宋体" w:eastAsia="宋体" w:cs="宋体"/>
                      <w:b/>
                      <w:color w:val="auto"/>
                      <w:kern w:val="0"/>
                      <w:szCs w:val="21"/>
                    </w:rPr>
                  </w:pPr>
                  <w:r>
                    <w:rPr>
                      <w:rFonts w:hint="eastAsia" w:hAnsi="宋体" w:cs="宋体"/>
                      <w:b/>
                      <w:color w:val="auto"/>
                      <w:kern w:val="0"/>
                      <w:szCs w:val="21"/>
                    </w:rPr>
                    <w:t>3.</w:t>
                  </w:r>
                  <w:r>
                    <w:rPr>
                      <w:rFonts w:hint="eastAsia" w:ascii="宋体" w:hAnsi="宋体" w:eastAsia="宋体" w:cs="宋体"/>
                      <w:b/>
                      <w:color w:val="auto"/>
                      <w:kern w:val="0"/>
                      <w:szCs w:val="21"/>
                    </w:rPr>
                    <w:t>人力资源和社会保障部门（或税务部门）出具的投标人2024年5月至2024年10月为其缴纳的社保证明复印件</w:t>
                  </w:r>
                </w:p>
              </w:tc>
            </w:tr>
            <w:tr w14:paraId="4D874EBA">
              <w:tblPrEx>
                <w:tblCellMar>
                  <w:top w:w="0" w:type="dxa"/>
                  <w:left w:w="0" w:type="dxa"/>
                  <w:bottom w:w="0" w:type="dxa"/>
                  <w:right w:w="0" w:type="dxa"/>
                </w:tblCellMar>
              </w:tblPrEx>
              <w:trPr>
                <w:trHeight w:val="722"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1EDC91B8">
                  <w:pPr>
                    <w:autoSpaceDE w:val="0"/>
                    <w:autoSpaceDN w:val="0"/>
                    <w:adjustRightInd w:val="0"/>
                    <w:jc w:val="center"/>
                    <w:rPr>
                      <w:rFonts w:ascii="宋体" w:hAnsi="宋体" w:eastAsia="宋体" w:cs="宋体"/>
                      <w:bCs/>
                      <w:color w:val="auto"/>
                      <w:kern w:val="0"/>
                      <w:szCs w:val="21"/>
                    </w:rPr>
                  </w:pPr>
                  <w:r>
                    <w:rPr>
                      <w:rFonts w:ascii="宋体" w:hAnsi="宋体" w:eastAsia="宋体" w:cs="Times New Roman"/>
                      <w:b/>
                      <w:bCs/>
                      <w:color w:val="auto"/>
                      <w:kern w:val="0"/>
                      <w:szCs w:val="21"/>
                    </w:rPr>
                    <w:t>★</w:t>
                  </w:r>
                  <w:r>
                    <w:rPr>
                      <w:rFonts w:hint="eastAsia" w:ascii="宋体" w:hAnsi="宋体" w:eastAsia="宋体" w:cs="宋体"/>
                      <w:bCs/>
                      <w:color w:val="auto"/>
                      <w:kern w:val="0"/>
                      <w:szCs w:val="21"/>
                    </w:rPr>
                    <w:t>4</w:t>
                  </w:r>
                </w:p>
              </w:tc>
              <w:tc>
                <w:tcPr>
                  <w:tcW w:w="674" w:type="pct"/>
                  <w:tcBorders>
                    <w:top w:val="single" w:color="000000" w:sz="4" w:space="0"/>
                    <w:left w:val="nil"/>
                    <w:bottom w:val="single" w:color="000000" w:sz="4" w:space="0"/>
                    <w:right w:val="single" w:color="000000" w:sz="4" w:space="0"/>
                  </w:tcBorders>
                  <w:vAlign w:val="center"/>
                </w:tcPr>
                <w:p w14:paraId="0ECF151E">
                  <w:pPr>
                    <w:autoSpaceDE w:val="0"/>
                    <w:autoSpaceDN w:val="0"/>
                    <w:adjustRightInd w:val="0"/>
                    <w:jc w:val="center"/>
                    <w:rPr>
                      <w:rFonts w:ascii="宋体" w:hAnsi="宋体" w:eastAsia="宋体" w:cs="宋体"/>
                      <w:b/>
                      <w:color w:val="auto"/>
                      <w:kern w:val="0"/>
                      <w:szCs w:val="21"/>
                    </w:rPr>
                  </w:pPr>
                  <w:r>
                    <w:rPr>
                      <w:rFonts w:hint="eastAsia" w:ascii="宋体" w:hAnsi="宋体" w:eastAsia="宋体" w:cs="宋体"/>
                      <w:b/>
                      <w:color w:val="auto"/>
                      <w:kern w:val="0"/>
                      <w:szCs w:val="21"/>
                    </w:rPr>
                    <w:t>资料员</w:t>
                  </w:r>
                </w:p>
              </w:tc>
              <w:tc>
                <w:tcPr>
                  <w:tcW w:w="433" w:type="pct"/>
                  <w:tcBorders>
                    <w:top w:val="single" w:color="000000" w:sz="4" w:space="0"/>
                    <w:left w:val="nil"/>
                    <w:bottom w:val="single" w:color="000000" w:sz="4" w:space="0"/>
                    <w:right w:val="single" w:color="000000" w:sz="4" w:space="0"/>
                  </w:tcBorders>
                  <w:vAlign w:val="center"/>
                </w:tcPr>
                <w:p w14:paraId="3969C823">
                  <w:pPr>
                    <w:autoSpaceDE w:val="0"/>
                    <w:autoSpaceDN w:val="0"/>
                    <w:adjustRightInd w:val="0"/>
                    <w:jc w:val="center"/>
                    <w:rPr>
                      <w:rFonts w:ascii="宋体" w:hAnsi="宋体" w:eastAsia="宋体" w:cs="宋体"/>
                      <w:b/>
                      <w:color w:val="auto"/>
                      <w:kern w:val="0"/>
                      <w:szCs w:val="21"/>
                    </w:rPr>
                  </w:pPr>
                  <w:r>
                    <w:rPr>
                      <w:rFonts w:hint="eastAsia" w:ascii="宋体" w:hAnsi="宋体" w:eastAsia="宋体" w:cs="Times New Roman"/>
                      <w:b/>
                      <w:color w:val="auto"/>
                      <w:kern w:val="0"/>
                      <w:szCs w:val="21"/>
                    </w:rPr>
                    <w:t>1</w:t>
                  </w:r>
                </w:p>
              </w:tc>
              <w:tc>
                <w:tcPr>
                  <w:tcW w:w="1874" w:type="pct"/>
                  <w:tcBorders>
                    <w:top w:val="single" w:color="000000" w:sz="4" w:space="0"/>
                    <w:left w:val="nil"/>
                    <w:bottom w:val="single" w:color="000000" w:sz="4" w:space="0"/>
                    <w:right w:val="single" w:color="000000" w:sz="4" w:space="0"/>
                  </w:tcBorders>
                  <w:vAlign w:val="center"/>
                </w:tcPr>
                <w:p w14:paraId="2A2FAEF3">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具备有住建部门或住建委印制的资料员岗位资格证书</w:t>
                  </w:r>
                </w:p>
              </w:tc>
              <w:tc>
                <w:tcPr>
                  <w:tcW w:w="1684" w:type="pct"/>
                  <w:tcBorders>
                    <w:top w:val="single" w:color="000000" w:sz="4" w:space="0"/>
                    <w:left w:val="nil"/>
                    <w:bottom w:val="single" w:color="000000" w:sz="4" w:space="0"/>
                    <w:right w:val="single" w:color="000000" w:sz="4" w:space="0"/>
                  </w:tcBorders>
                  <w:vAlign w:val="center"/>
                </w:tcPr>
                <w:p w14:paraId="025757A7">
                  <w:pPr>
                    <w:numPr>
                      <w:ilvl w:val="255"/>
                      <w:numId w:val="0"/>
                    </w:numPr>
                    <w:autoSpaceDE w:val="0"/>
                    <w:autoSpaceDN w:val="0"/>
                    <w:adjustRightInd w:val="0"/>
                    <w:rPr>
                      <w:rFonts w:ascii="宋体" w:hAnsi="宋体" w:eastAsia="宋体" w:cs="宋体"/>
                      <w:b/>
                      <w:color w:val="auto"/>
                      <w:kern w:val="0"/>
                      <w:szCs w:val="21"/>
                    </w:rPr>
                  </w:pPr>
                  <w:r>
                    <w:rPr>
                      <w:rFonts w:hint="eastAsia" w:hAnsi="宋体" w:cs="宋体"/>
                      <w:b/>
                      <w:color w:val="auto"/>
                      <w:kern w:val="0"/>
                      <w:szCs w:val="21"/>
                    </w:rPr>
                    <w:t>1.</w:t>
                  </w:r>
                  <w:r>
                    <w:rPr>
                      <w:rFonts w:hint="eastAsia" w:ascii="宋体" w:hAnsi="宋体" w:eastAsia="宋体" w:cs="宋体"/>
                      <w:b/>
                      <w:color w:val="auto"/>
                      <w:kern w:val="0"/>
                      <w:szCs w:val="21"/>
                    </w:rPr>
                    <w:t>须提供人员证书及劳动合同（或劳务合同）复印件</w:t>
                  </w:r>
                </w:p>
                <w:p w14:paraId="6BCA5E0F">
                  <w:pPr>
                    <w:pStyle w:val="18"/>
                    <w:numPr>
                      <w:ilvl w:val="255"/>
                      <w:numId w:val="0"/>
                    </w:numPr>
                    <w:jc w:val="both"/>
                    <w:rPr>
                      <w:bCs w:val="0"/>
                      <w:color w:val="auto"/>
                    </w:rPr>
                  </w:pPr>
                  <w:r>
                    <w:rPr>
                      <w:rFonts w:hint="eastAsia" w:hAnsi="宋体" w:cs="宋体"/>
                      <w:bCs w:val="0"/>
                      <w:color w:val="auto"/>
                      <w:sz w:val="21"/>
                      <w:szCs w:val="21"/>
                      <w:lang w:val="en-US"/>
                    </w:rPr>
                    <w:t>2.人力资源和社会保障部门（或税务部门）出具的投标人2024年5月至2024年10月为其缴纳的社保证明复印件</w:t>
                  </w:r>
                </w:p>
              </w:tc>
            </w:tr>
            <w:tr w14:paraId="46819C75">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5AE407EA">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674" w:type="pct"/>
                  <w:tcBorders>
                    <w:top w:val="single" w:color="000000" w:sz="4" w:space="0"/>
                    <w:left w:val="nil"/>
                    <w:bottom w:val="single" w:color="000000" w:sz="4" w:space="0"/>
                    <w:right w:val="single" w:color="000000" w:sz="4" w:space="0"/>
                  </w:tcBorders>
                  <w:vAlign w:val="center"/>
                </w:tcPr>
                <w:p w14:paraId="79108DBF">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bCs/>
                      <w:color w:val="auto"/>
                      <w:kern w:val="0"/>
                      <w:szCs w:val="21"/>
                    </w:rPr>
                    <w:t>低压电工</w:t>
                  </w:r>
                </w:p>
              </w:tc>
              <w:tc>
                <w:tcPr>
                  <w:tcW w:w="433" w:type="pct"/>
                  <w:tcBorders>
                    <w:top w:val="single" w:color="000000" w:sz="4" w:space="0"/>
                    <w:left w:val="nil"/>
                    <w:bottom w:val="single" w:color="000000" w:sz="4" w:space="0"/>
                    <w:right w:val="single" w:color="000000" w:sz="4" w:space="0"/>
                  </w:tcBorders>
                  <w:vAlign w:val="center"/>
                </w:tcPr>
                <w:p w14:paraId="0B1ACE41">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1E673C74">
                  <w:pPr>
                    <w:autoSpaceDE w:val="0"/>
                    <w:autoSpaceDN w:val="0"/>
                    <w:adjustRightInd w:val="0"/>
                    <w:jc w:val="left"/>
                    <w:rPr>
                      <w:rFonts w:ascii="宋体" w:hAnsi="宋体" w:eastAsia="宋体" w:cs="宋体"/>
                      <w:color w:val="auto"/>
                      <w:kern w:val="0"/>
                      <w:szCs w:val="21"/>
                    </w:rPr>
                  </w:pPr>
                  <w:r>
                    <w:rPr>
                      <w:rFonts w:hint="eastAsia" w:ascii="宋体" w:hAnsi="宋体" w:eastAsia="宋体" w:cs="宋体"/>
                      <w:color w:val="auto"/>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7986E163">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须提供人员证书及劳动合同（或劳务合同）复印件</w:t>
                  </w:r>
                </w:p>
              </w:tc>
            </w:tr>
            <w:tr w14:paraId="7C704DE8">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755C1A54">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674" w:type="pct"/>
                  <w:tcBorders>
                    <w:top w:val="single" w:color="000000" w:sz="4" w:space="0"/>
                    <w:left w:val="nil"/>
                    <w:bottom w:val="single" w:color="000000" w:sz="4" w:space="0"/>
                    <w:right w:val="single" w:color="000000" w:sz="4" w:space="0"/>
                  </w:tcBorders>
                  <w:vAlign w:val="center"/>
                </w:tcPr>
                <w:p w14:paraId="696B02F2">
                  <w:pPr>
                    <w:autoSpaceDE w:val="0"/>
                    <w:autoSpaceDN w:val="0"/>
                    <w:adjustRightInd w:val="0"/>
                    <w:jc w:val="center"/>
                    <w:rPr>
                      <w:rFonts w:ascii="宋体" w:hAnsi="宋体" w:eastAsia="宋体" w:cs="宋体"/>
                      <w:bCs/>
                      <w:color w:val="auto"/>
                      <w:kern w:val="0"/>
                      <w:szCs w:val="21"/>
                    </w:rPr>
                  </w:pPr>
                  <w:r>
                    <w:rPr>
                      <w:rFonts w:hint="eastAsia" w:ascii="宋体" w:hAnsi="宋体" w:eastAsia="宋体" w:cs="宋体"/>
                      <w:bCs/>
                      <w:color w:val="auto"/>
                      <w:kern w:val="0"/>
                      <w:szCs w:val="21"/>
                    </w:rPr>
                    <w:t>高压电工</w:t>
                  </w:r>
                </w:p>
              </w:tc>
              <w:tc>
                <w:tcPr>
                  <w:tcW w:w="433" w:type="pct"/>
                  <w:tcBorders>
                    <w:top w:val="single" w:color="000000" w:sz="4" w:space="0"/>
                    <w:left w:val="nil"/>
                    <w:bottom w:val="single" w:color="000000" w:sz="4" w:space="0"/>
                    <w:right w:val="single" w:color="000000" w:sz="4" w:space="0"/>
                  </w:tcBorders>
                  <w:vAlign w:val="center"/>
                </w:tcPr>
                <w:p w14:paraId="495CF6A0">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0E6E2382">
                  <w:pPr>
                    <w:autoSpaceDE w:val="0"/>
                    <w:autoSpaceDN w:val="0"/>
                    <w:adjustRightInd w:val="0"/>
                    <w:jc w:val="left"/>
                    <w:rPr>
                      <w:rFonts w:ascii="宋体" w:hAnsi="宋体" w:eastAsia="宋体" w:cs="宋体"/>
                      <w:color w:val="auto"/>
                      <w:kern w:val="0"/>
                      <w:szCs w:val="21"/>
                    </w:rPr>
                  </w:pPr>
                  <w:r>
                    <w:rPr>
                      <w:rFonts w:hint="eastAsia" w:ascii="宋体" w:hAnsi="宋体" w:eastAsia="宋体" w:cs="宋体"/>
                      <w:color w:val="auto"/>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3254DB5D">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须提供人员证书及劳动合同（或劳务合同）复印件</w:t>
                  </w:r>
                </w:p>
              </w:tc>
            </w:tr>
            <w:tr w14:paraId="6F43815A">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7B69B64A">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674" w:type="pct"/>
                  <w:tcBorders>
                    <w:top w:val="single" w:color="000000" w:sz="4" w:space="0"/>
                    <w:left w:val="nil"/>
                    <w:bottom w:val="single" w:color="000000" w:sz="4" w:space="0"/>
                    <w:right w:val="single" w:color="000000" w:sz="4" w:space="0"/>
                  </w:tcBorders>
                  <w:vAlign w:val="center"/>
                </w:tcPr>
                <w:p w14:paraId="21831C36">
                  <w:pPr>
                    <w:autoSpaceDE w:val="0"/>
                    <w:autoSpaceDN w:val="0"/>
                    <w:adjustRightInd w:val="0"/>
                    <w:jc w:val="center"/>
                    <w:rPr>
                      <w:rFonts w:ascii="宋体" w:hAnsi="宋体" w:eastAsia="宋体" w:cs="宋体"/>
                      <w:bCs/>
                      <w:color w:val="auto"/>
                      <w:kern w:val="0"/>
                      <w:szCs w:val="21"/>
                    </w:rPr>
                  </w:pPr>
                  <w:r>
                    <w:rPr>
                      <w:rFonts w:hint="eastAsia" w:ascii="宋体" w:hAnsi="宋体" w:eastAsia="宋体" w:cs="宋体"/>
                      <w:bCs/>
                      <w:color w:val="auto"/>
                      <w:kern w:val="0"/>
                      <w:szCs w:val="21"/>
                    </w:rPr>
                    <w:t>焊工</w:t>
                  </w:r>
                </w:p>
              </w:tc>
              <w:tc>
                <w:tcPr>
                  <w:tcW w:w="433" w:type="pct"/>
                  <w:tcBorders>
                    <w:top w:val="single" w:color="000000" w:sz="4" w:space="0"/>
                    <w:left w:val="nil"/>
                    <w:bottom w:val="single" w:color="000000" w:sz="4" w:space="0"/>
                    <w:right w:val="single" w:color="000000" w:sz="4" w:space="0"/>
                  </w:tcBorders>
                  <w:vAlign w:val="center"/>
                </w:tcPr>
                <w:p w14:paraId="3DDE09AD">
                  <w:pPr>
                    <w:autoSpaceDE w:val="0"/>
                    <w:autoSpaceDN w:val="0"/>
                    <w:adjustRightInd w:val="0"/>
                    <w:jc w:val="center"/>
                    <w:rPr>
                      <w:rFonts w:ascii="宋体" w:hAnsi="宋体" w:eastAsia="宋体" w:cs="宋体"/>
                      <w:color w:val="auto"/>
                      <w:kern w:val="0"/>
                      <w:szCs w:val="21"/>
                    </w:rPr>
                  </w:pPr>
                  <w:r>
                    <w:rPr>
                      <w:rFonts w:hint="eastAsia" w:hAnsi="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0A260552">
                  <w:pPr>
                    <w:autoSpaceDE w:val="0"/>
                    <w:autoSpaceDN w:val="0"/>
                    <w:adjustRightInd w:val="0"/>
                    <w:jc w:val="left"/>
                    <w:rPr>
                      <w:rFonts w:ascii="宋体" w:hAnsi="宋体" w:eastAsia="宋体" w:cs="宋体"/>
                      <w:bCs/>
                      <w:color w:val="auto"/>
                      <w:kern w:val="0"/>
                      <w:szCs w:val="21"/>
                    </w:rPr>
                  </w:pPr>
                  <w:r>
                    <w:rPr>
                      <w:rFonts w:hint="eastAsia" w:ascii="宋体" w:hAnsi="宋体" w:eastAsia="宋体" w:cs="宋体"/>
                      <w:color w:val="auto"/>
                    </w:rPr>
                    <w:t>应急管理局或住建厅或国家质检总局下发的特种作业人员上岗证</w:t>
                  </w:r>
                </w:p>
              </w:tc>
              <w:tc>
                <w:tcPr>
                  <w:tcW w:w="1684" w:type="pct"/>
                  <w:tcBorders>
                    <w:top w:val="single" w:color="000000" w:sz="4" w:space="0"/>
                    <w:left w:val="nil"/>
                    <w:bottom w:val="single" w:color="000000" w:sz="4" w:space="0"/>
                    <w:right w:val="single" w:color="000000" w:sz="4" w:space="0"/>
                  </w:tcBorders>
                  <w:vAlign w:val="center"/>
                </w:tcPr>
                <w:p w14:paraId="6FA6DB99">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须提供人员证书及劳动合同（或劳务合同）复印件</w:t>
                  </w:r>
                </w:p>
              </w:tc>
            </w:tr>
            <w:tr w14:paraId="39CD28AB">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0BC654CE">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674" w:type="pct"/>
                  <w:tcBorders>
                    <w:top w:val="single" w:color="000000" w:sz="4" w:space="0"/>
                    <w:left w:val="nil"/>
                    <w:bottom w:val="single" w:color="000000" w:sz="4" w:space="0"/>
                    <w:right w:val="single" w:color="000000" w:sz="4" w:space="0"/>
                  </w:tcBorders>
                  <w:vAlign w:val="center"/>
                </w:tcPr>
                <w:p w14:paraId="52B02718">
                  <w:pPr>
                    <w:jc w:val="center"/>
                    <w:rPr>
                      <w:rFonts w:eastAsia="宋体"/>
                      <w:color w:val="auto"/>
                    </w:rPr>
                  </w:pPr>
                  <w:r>
                    <w:rPr>
                      <w:rFonts w:hint="eastAsia" w:ascii="宋体" w:hAnsi="宋体" w:eastAsia="宋体" w:cs="Times New Roman"/>
                      <w:bCs/>
                      <w:color w:val="auto"/>
                      <w:kern w:val="0"/>
                      <w:szCs w:val="21"/>
                    </w:rPr>
                    <w:t>机电设备维修</w:t>
                  </w:r>
                  <w:r>
                    <w:rPr>
                      <w:rFonts w:ascii="宋体" w:hAnsi="宋体" w:eastAsia="宋体" w:cs="Times New Roman"/>
                      <w:bCs/>
                      <w:color w:val="auto"/>
                      <w:kern w:val="0"/>
                      <w:szCs w:val="21"/>
                    </w:rPr>
                    <w:t>作业人员</w:t>
                  </w:r>
                </w:p>
              </w:tc>
              <w:tc>
                <w:tcPr>
                  <w:tcW w:w="433" w:type="pct"/>
                  <w:tcBorders>
                    <w:top w:val="single" w:color="000000" w:sz="4" w:space="0"/>
                    <w:left w:val="nil"/>
                    <w:bottom w:val="single" w:color="000000" w:sz="4" w:space="0"/>
                    <w:right w:val="single" w:color="000000" w:sz="4" w:space="0"/>
                  </w:tcBorders>
                  <w:vAlign w:val="center"/>
                </w:tcPr>
                <w:p w14:paraId="4AD8AFC4">
                  <w:pPr>
                    <w:autoSpaceDE w:val="0"/>
                    <w:autoSpaceDN w:val="0"/>
                    <w:adjustRightInd w:val="0"/>
                    <w:jc w:val="center"/>
                    <w:rPr>
                      <w:rFonts w:ascii="宋体" w:hAnsi="宋体" w:eastAsia="宋体" w:cs="宋体"/>
                      <w:color w:val="auto"/>
                      <w:kern w:val="0"/>
                      <w:szCs w:val="21"/>
                    </w:rPr>
                  </w:pPr>
                  <w:r>
                    <w:rPr>
                      <w:rFonts w:hint="eastAsia" w:hAnsi="宋体" w:cs="宋体"/>
                      <w:color w:val="auto"/>
                      <w:kern w:val="0"/>
                      <w:szCs w:val="21"/>
                    </w:rPr>
                    <w:t>6</w:t>
                  </w:r>
                </w:p>
              </w:tc>
              <w:tc>
                <w:tcPr>
                  <w:tcW w:w="1874" w:type="pct"/>
                  <w:tcBorders>
                    <w:top w:val="single" w:color="000000" w:sz="4" w:space="0"/>
                    <w:left w:val="nil"/>
                    <w:bottom w:val="single" w:color="000000" w:sz="4" w:space="0"/>
                    <w:right w:val="single" w:color="000000" w:sz="4" w:space="0"/>
                  </w:tcBorders>
                  <w:vAlign w:val="center"/>
                </w:tcPr>
                <w:p w14:paraId="75DBC931">
                  <w:pPr>
                    <w:autoSpaceDE w:val="0"/>
                    <w:autoSpaceDN w:val="0"/>
                    <w:adjustRightInd w:val="0"/>
                    <w:jc w:val="left"/>
                    <w:rPr>
                      <w:rFonts w:ascii="宋体" w:hAnsi="宋体" w:eastAsia="宋体" w:cs="宋体"/>
                      <w:bCs/>
                      <w:color w:val="auto"/>
                      <w:kern w:val="0"/>
                      <w:szCs w:val="21"/>
                    </w:rPr>
                  </w:pPr>
                  <w:r>
                    <w:rPr>
                      <w:rFonts w:hint="eastAsia" w:ascii="宋体" w:hAnsi="宋体" w:eastAsia="宋体" w:cs="宋体"/>
                      <w:color w:val="auto"/>
                      <w:kern w:val="0"/>
                      <w:szCs w:val="21"/>
                    </w:rPr>
                    <w:t>身体健康，</w:t>
                  </w:r>
                  <w:r>
                    <w:rPr>
                      <w:rFonts w:hint="eastAsia" w:ascii="宋体" w:hAnsi="宋体" w:eastAsia="宋体" w:cs="宋体"/>
                      <w:bCs/>
                      <w:color w:val="auto"/>
                      <w:szCs w:val="21"/>
                    </w:rPr>
                    <w:t>具备相应的水泵、格栅机、闸门、管道维修的专业知识及技术水平。</w:t>
                  </w:r>
                </w:p>
              </w:tc>
              <w:tc>
                <w:tcPr>
                  <w:tcW w:w="1684" w:type="pct"/>
                  <w:tcBorders>
                    <w:top w:val="single" w:color="000000" w:sz="4" w:space="0"/>
                    <w:left w:val="nil"/>
                    <w:bottom w:val="single" w:color="000000" w:sz="4" w:space="0"/>
                    <w:right w:val="single" w:color="000000" w:sz="4" w:space="0"/>
                  </w:tcBorders>
                  <w:vAlign w:val="center"/>
                </w:tcPr>
                <w:p w14:paraId="0BC25896">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提供劳动合同（或劳务合同）</w:t>
                  </w:r>
                </w:p>
              </w:tc>
            </w:tr>
            <w:tr w14:paraId="28784307">
              <w:tblPrEx>
                <w:tblCellMar>
                  <w:top w:w="0" w:type="dxa"/>
                  <w:left w:w="0" w:type="dxa"/>
                  <w:bottom w:w="0" w:type="dxa"/>
                  <w:right w:w="0" w:type="dxa"/>
                </w:tblCellMar>
              </w:tblPrEx>
              <w:trPr>
                <w:trHeight w:val="383" w:hRule="atLeast"/>
                <w:jc w:val="center"/>
              </w:trPr>
              <w:tc>
                <w:tcPr>
                  <w:tcW w:w="331" w:type="pct"/>
                  <w:tcBorders>
                    <w:top w:val="single" w:color="000000" w:sz="4" w:space="0"/>
                    <w:left w:val="single" w:color="000000" w:sz="4" w:space="0"/>
                    <w:bottom w:val="single" w:color="000000" w:sz="4" w:space="0"/>
                    <w:right w:val="single" w:color="000000" w:sz="4" w:space="0"/>
                  </w:tcBorders>
                  <w:vAlign w:val="center"/>
                </w:tcPr>
                <w:p w14:paraId="0E9DE81D">
                  <w:pPr>
                    <w:autoSpaceDE w:val="0"/>
                    <w:autoSpaceDN w:val="0"/>
                    <w:adjustRightInd w:val="0"/>
                    <w:jc w:val="center"/>
                    <w:rPr>
                      <w:rFonts w:ascii="宋体" w:hAnsi="宋体" w:eastAsia="宋体" w:cs="宋体"/>
                      <w:color w:val="auto"/>
                      <w:kern w:val="0"/>
                      <w:szCs w:val="21"/>
                    </w:rPr>
                  </w:pPr>
                  <w:r>
                    <w:rPr>
                      <w:rFonts w:hint="eastAsia" w:hAnsi="宋体" w:cs="Times New Roman"/>
                      <w:bCs/>
                      <w:color w:val="auto"/>
                      <w:kern w:val="0"/>
                      <w:szCs w:val="21"/>
                    </w:rPr>
                    <w:t>9</w:t>
                  </w:r>
                </w:p>
              </w:tc>
              <w:tc>
                <w:tcPr>
                  <w:tcW w:w="674" w:type="pct"/>
                  <w:tcBorders>
                    <w:top w:val="single" w:color="000000" w:sz="4" w:space="0"/>
                    <w:left w:val="nil"/>
                    <w:bottom w:val="single" w:color="000000" w:sz="4" w:space="0"/>
                    <w:right w:val="single" w:color="000000" w:sz="4" w:space="0"/>
                  </w:tcBorders>
                  <w:vAlign w:val="center"/>
                </w:tcPr>
                <w:p w14:paraId="5ADE58A8">
                  <w:pPr>
                    <w:autoSpaceDE w:val="0"/>
                    <w:autoSpaceDN w:val="0"/>
                    <w:adjustRightInd w:val="0"/>
                    <w:jc w:val="center"/>
                    <w:rPr>
                      <w:rFonts w:ascii="宋体" w:hAnsi="宋体" w:eastAsia="宋体" w:cs="Times New Roman"/>
                      <w:bCs/>
                      <w:color w:val="auto"/>
                      <w:kern w:val="0"/>
                      <w:szCs w:val="21"/>
                    </w:rPr>
                  </w:pPr>
                  <w:r>
                    <w:rPr>
                      <w:rFonts w:hint="eastAsia" w:ascii="宋体" w:hAnsi="宋体" w:eastAsia="宋体" w:cs="Times New Roman"/>
                      <w:bCs/>
                      <w:color w:val="auto"/>
                      <w:kern w:val="0"/>
                      <w:szCs w:val="21"/>
                    </w:rPr>
                    <w:t>潜水员</w:t>
                  </w:r>
                </w:p>
              </w:tc>
              <w:tc>
                <w:tcPr>
                  <w:tcW w:w="433" w:type="pct"/>
                  <w:tcBorders>
                    <w:top w:val="single" w:color="000000" w:sz="4" w:space="0"/>
                    <w:left w:val="nil"/>
                    <w:bottom w:val="single" w:color="000000" w:sz="4" w:space="0"/>
                    <w:right w:val="single" w:color="000000" w:sz="4" w:space="0"/>
                  </w:tcBorders>
                  <w:vAlign w:val="center"/>
                </w:tcPr>
                <w:p w14:paraId="1EFC00BF">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874" w:type="pct"/>
                  <w:tcBorders>
                    <w:top w:val="single" w:color="000000" w:sz="4" w:space="0"/>
                    <w:left w:val="nil"/>
                    <w:bottom w:val="single" w:color="000000" w:sz="4" w:space="0"/>
                    <w:right w:val="single" w:color="000000" w:sz="4" w:space="0"/>
                  </w:tcBorders>
                  <w:vAlign w:val="center"/>
                </w:tcPr>
                <w:p w14:paraId="44B55F73">
                  <w:pPr>
                    <w:autoSpaceDE w:val="0"/>
                    <w:autoSpaceDN w:val="0"/>
                    <w:adjustRightInd w:val="0"/>
                    <w:jc w:val="left"/>
                    <w:rPr>
                      <w:rFonts w:ascii="宋体" w:hAnsi="宋体" w:eastAsia="宋体" w:cs="宋体"/>
                      <w:color w:val="auto"/>
                      <w:kern w:val="0"/>
                      <w:szCs w:val="21"/>
                    </w:rPr>
                  </w:pPr>
                  <w:r>
                    <w:rPr>
                      <w:rFonts w:hint="eastAsia" w:ascii="宋体" w:hAnsi="宋体" w:eastAsia="宋体" w:cs="宋体"/>
                      <w:color w:val="auto"/>
                      <w:kern w:val="0"/>
                      <w:szCs w:val="21"/>
                    </w:rPr>
                    <w:t>具备中国潜水打捞行业协会或其他</w:t>
                  </w:r>
                  <w:r>
                    <w:rPr>
                      <w:rFonts w:hint="eastAsia" w:ascii="宋体" w:hAnsi="宋体" w:eastAsia="宋体" w:cs="宋体"/>
                      <w:bCs/>
                      <w:color w:val="auto"/>
                      <w:kern w:val="0"/>
                      <w:szCs w:val="21"/>
                    </w:rPr>
                    <w:t>行业主管部门颁发的潜水员证书</w:t>
                  </w:r>
                </w:p>
              </w:tc>
              <w:tc>
                <w:tcPr>
                  <w:tcW w:w="1684" w:type="pct"/>
                  <w:tcBorders>
                    <w:top w:val="single" w:color="000000" w:sz="4" w:space="0"/>
                    <w:left w:val="nil"/>
                    <w:bottom w:val="single" w:color="000000" w:sz="4" w:space="0"/>
                    <w:right w:val="single" w:color="000000" w:sz="4" w:space="0"/>
                  </w:tcBorders>
                  <w:vAlign w:val="center"/>
                </w:tcPr>
                <w:p w14:paraId="7D1BA43A">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bCs/>
                      <w:color w:val="auto"/>
                      <w:kern w:val="0"/>
                      <w:szCs w:val="21"/>
                    </w:rPr>
                    <w:t>须提供人员证书及劳动合同（或劳务合同）复印件</w:t>
                  </w:r>
                </w:p>
              </w:tc>
            </w:tr>
          </w:tbl>
          <w:p w14:paraId="28B0240F">
            <w:pPr>
              <w:pStyle w:val="129"/>
              <w:spacing w:line="360" w:lineRule="auto"/>
              <w:ind w:firstLine="0" w:firstLineChars="0"/>
              <w:rPr>
                <w:rFonts w:ascii="宋体" w:hAnsi="宋体" w:eastAsia="宋体" w:cs="宋体"/>
                <w:bCs/>
                <w:color w:val="auto"/>
                <w:szCs w:val="21"/>
              </w:rPr>
            </w:pPr>
          </w:p>
        </w:tc>
        <w:tc>
          <w:tcPr>
            <w:tcW w:w="337" w:type="pct"/>
            <w:vAlign w:val="center"/>
          </w:tcPr>
          <w:p w14:paraId="086415FD">
            <w:pPr>
              <w:keepNext/>
              <w:keepLines/>
              <w:spacing w:line="400" w:lineRule="exact"/>
              <w:jc w:val="center"/>
              <w:outlineLvl w:val="2"/>
              <w:rPr>
                <w:rFonts w:ascii="宋体" w:hAnsi="宋体" w:eastAsia="宋体" w:cs="宋体"/>
                <w:color w:val="auto"/>
                <w:kern w:val="0"/>
                <w:sz w:val="18"/>
                <w:szCs w:val="18"/>
              </w:rPr>
            </w:pPr>
          </w:p>
        </w:tc>
        <w:tc>
          <w:tcPr>
            <w:tcW w:w="405" w:type="pct"/>
            <w:vAlign w:val="center"/>
          </w:tcPr>
          <w:p w14:paraId="02AC49C7">
            <w:pPr>
              <w:keepNext/>
              <w:keepLines/>
              <w:spacing w:line="400" w:lineRule="exact"/>
              <w:jc w:val="center"/>
              <w:outlineLvl w:val="2"/>
              <w:rPr>
                <w:rFonts w:ascii="宋体" w:hAnsi="宋体" w:eastAsia="宋体" w:cs="宋体"/>
                <w:color w:val="auto"/>
                <w:kern w:val="0"/>
                <w:sz w:val="18"/>
                <w:szCs w:val="18"/>
              </w:rPr>
            </w:pPr>
          </w:p>
        </w:tc>
        <w:tc>
          <w:tcPr>
            <w:tcW w:w="388" w:type="pct"/>
            <w:vAlign w:val="center"/>
          </w:tcPr>
          <w:p w14:paraId="269719FB">
            <w:pPr>
              <w:keepNext/>
              <w:keepLines/>
              <w:spacing w:line="400" w:lineRule="exact"/>
              <w:jc w:val="center"/>
              <w:outlineLvl w:val="2"/>
              <w:rPr>
                <w:rFonts w:ascii="宋体" w:hAnsi="宋体" w:eastAsia="宋体" w:cs="宋体"/>
                <w:color w:val="auto"/>
                <w:kern w:val="0"/>
                <w:sz w:val="18"/>
                <w:szCs w:val="18"/>
              </w:rPr>
            </w:pPr>
          </w:p>
        </w:tc>
      </w:tr>
    </w:tbl>
    <w:p w14:paraId="7930815B">
      <w:pPr>
        <w:spacing w:line="360" w:lineRule="auto"/>
        <w:rPr>
          <w:rFonts w:ascii="宋体" w:hAnsi="宋体" w:eastAsia="宋体" w:cs="宋体"/>
          <w:color w:val="auto"/>
          <w:szCs w:val="21"/>
        </w:rPr>
      </w:pPr>
    </w:p>
    <w:p w14:paraId="54DF6AE8">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1A152106">
      <w:pPr>
        <w:spacing w:line="360" w:lineRule="auto"/>
        <w:ind w:left="605" w:leftChars="18" w:hanging="567" w:hangingChars="270"/>
        <w:rPr>
          <w:rFonts w:ascii="宋体" w:hAnsi="宋体" w:eastAsia="宋体" w:cs="宋体"/>
          <w:b/>
          <w:color w:val="auto"/>
          <w:szCs w:val="21"/>
          <w:u w:val="single"/>
        </w:rPr>
      </w:pPr>
      <w:r>
        <w:rPr>
          <w:rFonts w:hint="eastAsia" w:ascii="宋体" w:hAnsi="宋体" w:eastAsia="宋体" w:cs="宋体"/>
          <w:color w:val="auto"/>
          <w:szCs w:val="21"/>
        </w:rPr>
        <w:t>（1）</w:t>
      </w:r>
      <w:r>
        <w:rPr>
          <w:rFonts w:hint="eastAsia" w:ascii="宋体" w:hAnsi="宋体" w:eastAsia="宋体" w:cs="宋体"/>
          <w:b/>
          <w:color w:val="auto"/>
          <w:szCs w:val="21"/>
          <w:u w:val="single"/>
        </w:rPr>
        <w:t>投标人应对照招标文件用户需求书的响应，逐条逐项、如实地填写“偏离情况”，</w:t>
      </w:r>
      <w:r>
        <w:rPr>
          <w:rFonts w:hint="eastAsia" w:ascii="宋体" w:hAnsi="宋体" w:eastAsia="宋体" w:cs="宋体"/>
          <w:b/>
          <w:color w:val="auto"/>
          <w:kern w:val="0"/>
          <w:szCs w:val="21"/>
          <w:u w:val="single"/>
        </w:rPr>
        <w:t>若发现未填写本表，或虚假填写本表，或伪造、变造证明材料的，按无效投标文件处理</w:t>
      </w:r>
      <w:r>
        <w:rPr>
          <w:rFonts w:hint="eastAsia" w:ascii="宋体" w:hAnsi="宋体" w:eastAsia="宋体" w:cs="宋体"/>
          <w:b/>
          <w:color w:val="auto"/>
          <w:szCs w:val="21"/>
          <w:u w:val="single"/>
        </w:rPr>
        <w:t>。若招标文件用户需求书中有“★”条款须逐条逐项、如实地填写“偏离情况”，未填写“★”条款以外的条款的，视为完全满足招标文件要求。</w:t>
      </w:r>
    </w:p>
    <w:p w14:paraId="37A09562">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68F9EE7">
      <w:pPr>
        <w:spacing w:line="360" w:lineRule="auto"/>
        <w:ind w:left="607" w:leftChars="18" w:hanging="569" w:hangingChars="270"/>
        <w:rPr>
          <w:rFonts w:ascii="宋体" w:hAnsi="宋体" w:eastAsia="宋体" w:cs="宋体"/>
          <w:b/>
          <w:color w:val="auto"/>
          <w:kern w:val="0"/>
          <w:szCs w:val="21"/>
          <w:u w:val="single"/>
        </w:rPr>
      </w:pPr>
      <w:r>
        <w:rPr>
          <w:rFonts w:hint="eastAsia" w:ascii="宋体" w:hAnsi="宋体" w:eastAsia="宋体" w:cs="宋体"/>
          <w:b/>
          <w:color w:val="auto"/>
          <w:szCs w:val="21"/>
        </w:rPr>
        <w:t>（3）</w:t>
      </w:r>
      <w:r>
        <w:rPr>
          <w:rFonts w:hint="eastAsia" w:ascii="宋体" w:hAnsi="宋体" w:eastAsia="宋体" w:cs="宋体"/>
          <w:b/>
          <w:color w:val="auto"/>
          <w:kern w:val="0"/>
          <w:szCs w:val="21"/>
          <w:u w:val="single"/>
        </w:rPr>
        <w:t>应逐条</w:t>
      </w:r>
      <w:r>
        <w:rPr>
          <w:rFonts w:hint="eastAsia" w:ascii="宋体" w:hAnsi="宋体" w:eastAsia="宋体" w:cs="宋体"/>
          <w:b/>
          <w:color w:val="auto"/>
          <w:szCs w:val="21"/>
          <w:u w:val="single"/>
        </w:rPr>
        <w:t>逐项</w:t>
      </w:r>
      <w:r>
        <w:rPr>
          <w:rFonts w:hint="eastAsia" w:ascii="宋体" w:hAnsi="宋体" w:eastAsia="宋体" w:cs="宋体"/>
          <w:b/>
          <w:color w:val="auto"/>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6ECFD6A3">
      <w:pPr>
        <w:spacing w:line="360" w:lineRule="auto"/>
        <w:ind w:left="607" w:leftChars="18" w:hanging="569" w:hangingChars="270"/>
        <w:rPr>
          <w:rFonts w:ascii="宋体" w:hAnsi="宋体" w:eastAsia="宋体" w:cs="宋体"/>
          <w:b/>
          <w:color w:val="auto"/>
          <w:kern w:val="0"/>
          <w:szCs w:val="21"/>
          <w:u w:val="single"/>
        </w:rPr>
      </w:pPr>
      <w:r>
        <w:rPr>
          <w:rFonts w:hint="eastAsia" w:ascii="宋体" w:hAnsi="宋体" w:eastAsia="宋体" w:cs="宋体"/>
          <w:b/>
          <w:color w:val="auto"/>
          <w:szCs w:val="21"/>
        </w:rPr>
        <w:t>（4）</w:t>
      </w:r>
      <w:r>
        <w:rPr>
          <w:rFonts w:hint="eastAsia" w:ascii="宋体" w:hAnsi="宋体" w:eastAsia="宋体" w:cs="宋体"/>
          <w:b/>
          <w:color w:val="auto"/>
          <w:kern w:val="0"/>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u w:val="single"/>
          <w:lang w:val="zh-CN"/>
        </w:rPr>
        <w:t>。</w:t>
      </w:r>
    </w:p>
    <w:p w14:paraId="366A196F">
      <w:pPr>
        <w:spacing w:line="360" w:lineRule="auto"/>
        <w:rPr>
          <w:rFonts w:ascii="宋体" w:hAnsi="宋体" w:eastAsia="宋体" w:cs="宋体"/>
          <w:color w:val="auto"/>
          <w:szCs w:val="21"/>
        </w:rPr>
      </w:pPr>
    </w:p>
    <w:p w14:paraId="1F5E98A9">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投标人：（</w:t>
      </w:r>
      <w:r>
        <w:rPr>
          <w:rFonts w:hint="eastAsia" w:ascii="宋体" w:hAnsi="宋体" w:eastAsia="宋体" w:cs="宋体"/>
          <w:color w:val="auto"/>
          <w:szCs w:val="21"/>
          <w:lang w:val="zh-CN"/>
        </w:rPr>
        <w:t>加盖投标人法人公章</w:t>
      </w:r>
      <w:r>
        <w:rPr>
          <w:rFonts w:hint="eastAsia" w:ascii="宋体" w:hAnsi="宋体" w:eastAsia="宋体" w:cs="宋体"/>
          <w:color w:val="auto"/>
          <w:kern w:val="0"/>
          <w:szCs w:val="21"/>
        </w:rPr>
        <w:t>）</w:t>
      </w:r>
    </w:p>
    <w:p w14:paraId="0B133D00">
      <w:pPr>
        <w:autoSpaceDE w:val="0"/>
        <w:autoSpaceDN w:val="0"/>
        <w:adjustRightInd w:val="0"/>
        <w:ind w:left="462" w:leftChars="-50" w:hanging="567"/>
        <w:jc w:val="left"/>
        <w:rPr>
          <w:rFonts w:ascii="宋体" w:hAnsi="宋体" w:eastAsia="宋体" w:cs="宋体"/>
          <w:color w:val="auto"/>
          <w:kern w:val="0"/>
          <w:szCs w:val="21"/>
        </w:rPr>
      </w:pPr>
      <w:r>
        <w:rPr>
          <w:rFonts w:hint="eastAsia" w:ascii="宋体" w:hAnsi="宋体" w:eastAsia="宋体" w:cs="宋体"/>
          <w:color w:val="auto"/>
          <w:kern w:val="0"/>
          <w:szCs w:val="21"/>
        </w:rPr>
        <w:t xml:space="preserve">                                                               日  期：   年  月  日</w:t>
      </w:r>
    </w:p>
    <w:p w14:paraId="7C17E5EA">
      <w:pPr>
        <w:tabs>
          <w:tab w:val="left" w:pos="567"/>
        </w:tabs>
        <w:spacing w:line="360" w:lineRule="auto"/>
        <w:ind w:left="603" w:hanging="813"/>
        <w:outlineLvl w:val="3"/>
        <w:rPr>
          <w:rFonts w:ascii="宋体" w:hAnsi="宋体" w:eastAsia="宋体" w:cs="宋体"/>
          <w:b/>
          <w:color w:val="auto"/>
          <w:sz w:val="30"/>
          <w:szCs w:val="30"/>
        </w:rPr>
      </w:pPr>
      <w:r>
        <w:rPr>
          <w:rFonts w:hint="eastAsia" w:ascii="宋体" w:hAnsi="宋体" w:eastAsia="宋体" w:cs="宋体"/>
          <w:b/>
          <w:color w:val="auto"/>
          <w:kern w:val="0"/>
          <w:sz w:val="30"/>
          <w:szCs w:val="30"/>
        </w:rPr>
        <w:br w:type="page"/>
      </w:r>
      <w:r>
        <w:rPr>
          <w:rFonts w:hint="eastAsia" w:ascii="宋体" w:hAnsi="宋体" w:eastAsia="宋体" w:cs="宋体"/>
          <w:b/>
          <w:color w:val="auto"/>
          <w:sz w:val="30"/>
          <w:szCs w:val="30"/>
        </w:rPr>
        <w:t>13.2 人员配置方案格式</w:t>
      </w:r>
    </w:p>
    <w:p w14:paraId="3BDC35B3">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1.拟投入本项目的项目负责人简历表</w:t>
      </w:r>
    </w:p>
    <w:tbl>
      <w:tblPr>
        <w:tblStyle w:val="37"/>
        <w:tblW w:w="5000" w:type="pct"/>
        <w:jc w:val="center"/>
        <w:tblLayout w:type="autofit"/>
        <w:tblCellMar>
          <w:top w:w="0" w:type="dxa"/>
          <w:left w:w="108" w:type="dxa"/>
          <w:bottom w:w="0" w:type="dxa"/>
          <w:right w:w="108" w:type="dxa"/>
        </w:tblCellMar>
      </w:tblPr>
      <w:tblGrid>
        <w:gridCol w:w="2147"/>
        <w:gridCol w:w="249"/>
        <w:gridCol w:w="431"/>
        <w:gridCol w:w="803"/>
        <w:gridCol w:w="375"/>
        <w:gridCol w:w="879"/>
        <w:gridCol w:w="477"/>
        <w:gridCol w:w="686"/>
        <w:gridCol w:w="776"/>
        <w:gridCol w:w="1448"/>
        <w:gridCol w:w="784"/>
        <w:gridCol w:w="1315"/>
      </w:tblGrid>
      <w:tr w14:paraId="0882C7E2">
        <w:tblPrEx>
          <w:tblCellMar>
            <w:top w:w="0" w:type="dxa"/>
            <w:left w:w="108" w:type="dxa"/>
            <w:bottom w:w="0" w:type="dxa"/>
            <w:right w:w="108" w:type="dxa"/>
          </w:tblCellMar>
        </w:tblPrEx>
        <w:trPr>
          <w:trHeight w:val="915" w:hRule="atLeast"/>
          <w:jc w:val="center"/>
        </w:trPr>
        <w:tc>
          <w:tcPr>
            <w:tcW w:w="1035" w:type="pct"/>
            <w:tcBorders>
              <w:top w:val="single" w:color="auto" w:sz="8" w:space="0"/>
              <w:left w:val="single" w:color="auto" w:sz="8" w:space="0"/>
              <w:bottom w:val="single" w:color="auto" w:sz="8" w:space="0"/>
              <w:right w:val="single" w:color="auto" w:sz="8" w:space="0"/>
            </w:tcBorders>
            <w:noWrap/>
            <w:vAlign w:val="center"/>
          </w:tcPr>
          <w:p w14:paraId="0A04D8E4">
            <w:pPr>
              <w:widowControl/>
              <w:snapToGrid w:val="0"/>
              <w:jc w:val="center"/>
              <w:rPr>
                <w:rFonts w:ascii="宋体" w:hAnsi="宋体" w:eastAsia="宋体" w:cs="宋体"/>
                <w:color w:val="auto"/>
                <w:szCs w:val="21"/>
              </w:rPr>
            </w:pPr>
            <w:r>
              <w:rPr>
                <w:rFonts w:hint="eastAsia" w:ascii="宋体" w:hAnsi="宋体" w:eastAsia="宋体" w:cs="宋体"/>
                <w:color w:val="auto"/>
                <w:szCs w:val="21"/>
              </w:rPr>
              <w:t>姓名</w:t>
            </w:r>
          </w:p>
        </w:tc>
        <w:tc>
          <w:tcPr>
            <w:tcW w:w="896" w:type="pct"/>
            <w:gridSpan w:val="4"/>
            <w:tcBorders>
              <w:top w:val="single" w:color="auto" w:sz="8" w:space="0"/>
              <w:left w:val="nil"/>
              <w:bottom w:val="single" w:color="auto" w:sz="8" w:space="0"/>
              <w:right w:val="single" w:color="000000" w:sz="8" w:space="0"/>
            </w:tcBorders>
            <w:noWrap/>
            <w:vAlign w:val="center"/>
          </w:tcPr>
          <w:p w14:paraId="77015387">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424" w:type="pct"/>
            <w:tcBorders>
              <w:top w:val="single" w:color="auto" w:sz="8" w:space="0"/>
              <w:left w:val="nil"/>
              <w:bottom w:val="single" w:color="auto" w:sz="8" w:space="0"/>
              <w:right w:val="single" w:color="auto" w:sz="8" w:space="0"/>
            </w:tcBorders>
            <w:noWrap/>
            <w:vAlign w:val="center"/>
          </w:tcPr>
          <w:p w14:paraId="08EE64CC">
            <w:pPr>
              <w:widowControl/>
              <w:snapToGrid w:val="0"/>
              <w:jc w:val="center"/>
              <w:rPr>
                <w:rFonts w:ascii="宋体" w:hAnsi="宋体" w:eastAsia="宋体" w:cs="宋体"/>
                <w:color w:val="auto"/>
                <w:szCs w:val="21"/>
              </w:rPr>
            </w:pPr>
            <w:r>
              <w:rPr>
                <w:rFonts w:hint="eastAsia" w:ascii="宋体" w:hAnsi="宋体" w:eastAsia="宋体" w:cs="宋体"/>
                <w:color w:val="auto"/>
                <w:szCs w:val="21"/>
              </w:rPr>
              <w:t>性别</w:t>
            </w:r>
          </w:p>
        </w:tc>
        <w:tc>
          <w:tcPr>
            <w:tcW w:w="935" w:type="pct"/>
            <w:gridSpan w:val="3"/>
            <w:tcBorders>
              <w:top w:val="single" w:color="auto" w:sz="8" w:space="0"/>
              <w:left w:val="nil"/>
              <w:bottom w:val="single" w:color="auto" w:sz="8" w:space="0"/>
              <w:right w:val="single" w:color="000000" w:sz="8" w:space="0"/>
            </w:tcBorders>
            <w:noWrap/>
            <w:vAlign w:val="center"/>
          </w:tcPr>
          <w:p w14:paraId="3C9D983D">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75" w:type="pct"/>
            <w:gridSpan w:val="2"/>
            <w:tcBorders>
              <w:top w:val="single" w:color="auto" w:sz="8" w:space="0"/>
              <w:left w:val="nil"/>
              <w:bottom w:val="single" w:color="auto" w:sz="8" w:space="0"/>
              <w:right w:val="single" w:color="000000" w:sz="8" w:space="0"/>
            </w:tcBorders>
            <w:noWrap/>
            <w:vAlign w:val="center"/>
          </w:tcPr>
          <w:p w14:paraId="04E6237F">
            <w:pPr>
              <w:widowControl/>
              <w:snapToGrid w:val="0"/>
              <w:jc w:val="center"/>
              <w:rPr>
                <w:rFonts w:ascii="宋体" w:hAnsi="宋体" w:eastAsia="宋体" w:cs="宋体"/>
                <w:color w:val="auto"/>
                <w:szCs w:val="21"/>
              </w:rPr>
            </w:pPr>
            <w:r>
              <w:rPr>
                <w:rFonts w:hint="eastAsia" w:ascii="宋体" w:hAnsi="宋体" w:eastAsia="宋体" w:cs="宋体"/>
                <w:color w:val="auto"/>
                <w:szCs w:val="21"/>
              </w:rPr>
              <w:t>年龄</w:t>
            </w:r>
          </w:p>
        </w:tc>
        <w:tc>
          <w:tcPr>
            <w:tcW w:w="633" w:type="pct"/>
            <w:tcBorders>
              <w:top w:val="single" w:color="auto" w:sz="8" w:space="0"/>
              <w:left w:val="nil"/>
              <w:bottom w:val="single" w:color="auto" w:sz="8" w:space="0"/>
              <w:right w:val="single" w:color="000000" w:sz="8" w:space="0"/>
            </w:tcBorders>
            <w:noWrap/>
            <w:vAlign w:val="center"/>
          </w:tcPr>
          <w:p w14:paraId="0BEC6F9E">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14:paraId="7B87491E">
        <w:tblPrEx>
          <w:tblCellMar>
            <w:top w:w="0" w:type="dxa"/>
            <w:left w:w="108" w:type="dxa"/>
            <w:bottom w:w="0" w:type="dxa"/>
            <w:right w:w="108" w:type="dxa"/>
          </w:tblCellMar>
        </w:tblPrEx>
        <w:trPr>
          <w:trHeight w:val="915" w:hRule="atLeast"/>
          <w:jc w:val="center"/>
        </w:trPr>
        <w:tc>
          <w:tcPr>
            <w:tcW w:w="1035" w:type="pct"/>
            <w:tcBorders>
              <w:top w:val="nil"/>
              <w:left w:val="single" w:color="auto" w:sz="8" w:space="0"/>
              <w:bottom w:val="single" w:color="auto" w:sz="8" w:space="0"/>
              <w:right w:val="single" w:color="auto" w:sz="8" w:space="0"/>
            </w:tcBorders>
            <w:noWrap/>
            <w:vAlign w:val="center"/>
          </w:tcPr>
          <w:p w14:paraId="1C3AE785">
            <w:pPr>
              <w:widowControl/>
              <w:snapToGrid w:val="0"/>
              <w:jc w:val="center"/>
              <w:rPr>
                <w:rFonts w:ascii="宋体" w:hAnsi="宋体" w:eastAsia="宋体" w:cs="宋体"/>
                <w:color w:val="auto"/>
                <w:szCs w:val="21"/>
              </w:rPr>
            </w:pPr>
            <w:r>
              <w:rPr>
                <w:rFonts w:hint="eastAsia" w:ascii="宋体" w:hAnsi="宋体" w:eastAsia="宋体" w:cs="宋体"/>
                <w:color w:val="auto"/>
                <w:szCs w:val="21"/>
              </w:rPr>
              <w:t>职务</w:t>
            </w:r>
          </w:p>
        </w:tc>
        <w:tc>
          <w:tcPr>
            <w:tcW w:w="896" w:type="pct"/>
            <w:gridSpan w:val="4"/>
            <w:tcBorders>
              <w:top w:val="single" w:color="auto" w:sz="8" w:space="0"/>
              <w:left w:val="nil"/>
              <w:bottom w:val="single" w:color="auto" w:sz="8" w:space="0"/>
              <w:right w:val="single" w:color="000000" w:sz="8" w:space="0"/>
            </w:tcBorders>
            <w:noWrap/>
            <w:vAlign w:val="center"/>
          </w:tcPr>
          <w:p w14:paraId="1AD0988F">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424" w:type="pct"/>
            <w:tcBorders>
              <w:top w:val="nil"/>
              <w:left w:val="nil"/>
              <w:bottom w:val="single" w:color="auto" w:sz="8" w:space="0"/>
              <w:right w:val="single" w:color="auto" w:sz="8" w:space="0"/>
            </w:tcBorders>
            <w:noWrap/>
            <w:vAlign w:val="center"/>
          </w:tcPr>
          <w:p w14:paraId="4F79651D">
            <w:pPr>
              <w:widowControl/>
              <w:snapToGrid w:val="0"/>
              <w:jc w:val="center"/>
              <w:rPr>
                <w:rFonts w:ascii="宋体" w:hAnsi="宋体" w:eastAsia="宋体" w:cs="宋体"/>
                <w:color w:val="auto"/>
                <w:szCs w:val="21"/>
              </w:rPr>
            </w:pPr>
            <w:r>
              <w:rPr>
                <w:rFonts w:hint="eastAsia" w:ascii="宋体" w:hAnsi="宋体" w:eastAsia="宋体" w:cs="宋体"/>
                <w:color w:val="auto"/>
                <w:szCs w:val="21"/>
              </w:rPr>
              <w:t>职称</w:t>
            </w:r>
          </w:p>
        </w:tc>
        <w:tc>
          <w:tcPr>
            <w:tcW w:w="935" w:type="pct"/>
            <w:gridSpan w:val="3"/>
            <w:tcBorders>
              <w:top w:val="single" w:color="auto" w:sz="8" w:space="0"/>
              <w:left w:val="nil"/>
              <w:bottom w:val="single" w:color="auto" w:sz="8" w:space="0"/>
              <w:right w:val="single" w:color="000000" w:sz="8" w:space="0"/>
            </w:tcBorders>
            <w:noWrap/>
            <w:vAlign w:val="center"/>
          </w:tcPr>
          <w:p w14:paraId="7F28E817">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75" w:type="pct"/>
            <w:gridSpan w:val="2"/>
            <w:tcBorders>
              <w:top w:val="single" w:color="auto" w:sz="8" w:space="0"/>
              <w:left w:val="nil"/>
              <w:bottom w:val="single" w:color="auto" w:sz="8" w:space="0"/>
              <w:right w:val="single" w:color="000000" w:sz="8" w:space="0"/>
            </w:tcBorders>
            <w:noWrap/>
            <w:vAlign w:val="center"/>
          </w:tcPr>
          <w:p w14:paraId="5F5CC366">
            <w:pPr>
              <w:widowControl/>
              <w:snapToGrid w:val="0"/>
              <w:jc w:val="center"/>
              <w:rPr>
                <w:rFonts w:ascii="宋体" w:hAnsi="宋体" w:eastAsia="宋体" w:cs="宋体"/>
                <w:color w:val="auto"/>
                <w:szCs w:val="21"/>
              </w:rPr>
            </w:pPr>
            <w:r>
              <w:rPr>
                <w:rFonts w:hint="eastAsia" w:ascii="宋体" w:hAnsi="宋体" w:eastAsia="宋体" w:cs="宋体"/>
                <w:color w:val="auto"/>
                <w:szCs w:val="21"/>
              </w:rPr>
              <w:t>学历</w:t>
            </w:r>
          </w:p>
        </w:tc>
        <w:tc>
          <w:tcPr>
            <w:tcW w:w="633" w:type="pct"/>
            <w:tcBorders>
              <w:top w:val="single" w:color="auto" w:sz="8" w:space="0"/>
              <w:left w:val="nil"/>
              <w:bottom w:val="single" w:color="auto" w:sz="8" w:space="0"/>
              <w:right w:val="single" w:color="000000" w:sz="8" w:space="0"/>
            </w:tcBorders>
            <w:noWrap/>
            <w:vAlign w:val="center"/>
          </w:tcPr>
          <w:p w14:paraId="04C10271">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14:paraId="1038616C">
        <w:tblPrEx>
          <w:tblCellMar>
            <w:top w:w="0" w:type="dxa"/>
            <w:left w:w="108" w:type="dxa"/>
            <w:bottom w:w="0" w:type="dxa"/>
            <w:right w:w="108" w:type="dxa"/>
          </w:tblCellMar>
        </w:tblPrEx>
        <w:trPr>
          <w:trHeight w:val="915" w:hRule="atLeast"/>
          <w:jc w:val="center"/>
        </w:trPr>
        <w:tc>
          <w:tcPr>
            <w:tcW w:w="1363" w:type="pct"/>
            <w:gridSpan w:val="3"/>
            <w:tcBorders>
              <w:top w:val="single" w:color="auto" w:sz="8" w:space="0"/>
              <w:left w:val="single" w:color="auto" w:sz="8" w:space="0"/>
              <w:bottom w:val="single" w:color="auto" w:sz="8" w:space="0"/>
              <w:right w:val="single" w:color="000000" w:sz="8" w:space="0"/>
            </w:tcBorders>
            <w:noWrap/>
            <w:vAlign w:val="center"/>
          </w:tcPr>
          <w:p w14:paraId="100CFA37">
            <w:pPr>
              <w:widowControl/>
              <w:snapToGrid w:val="0"/>
              <w:jc w:val="center"/>
              <w:rPr>
                <w:rFonts w:ascii="宋体" w:hAnsi="宋体" w:eastAsia="宋体" w:cs="宋体"/>
                <w:color w:val="auto"/>
                <w:szCs w:val="21"/>
              </w:rPr>
            </w:pPr>
            <w:r>
              <w:rPr>
                <w:rFonts w:hint="eastAsia" w:ascii="宋体" w:hAnsi="宋体" w:eastAsia="宋体" w:cs="宋体"/>
                <w:color w:val="auto"/>
                <w:szCs w:val="21"/>
              </w:rPr>
              <w:t>参加工作时间</w:t>
            </w:r>
          </w:p>
        </w:tc>
        <w:tc>
          <w:tcPr>
            <w:tcW w:w="1553" w:type="pct"/>
            <w:gridSpan w:val="5"/>
            <w:tcBorders>
              <w:top w:val="single" w:color="auto" w:sz="8" w:space="0"/>
              <w:left w:val="nil"/>
              <w:bottom w:val="single" w:color="auto" w:sz="8" w:space="0"/>
              <w:right w:val="single" w:color="000000" w:sz="8" w:space="0"/>
            </w:tcBorders>
            <w:noWrap/>
            <w:vAlign w:val="center"/>
          </w:tcPr>
          <w:p w14:paraId="5CE7BC43">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450" w:type="pct"/>
            <w:gridSpan w:val="3"/>
            <w:tcBorders>
              <w:top w:val="single" w:color="auto" w:sz="8" w:space="0"/>
              <w:left w:val="nil"/>
              <w:bottom w:val="single" w:color="auto" w:sz="8" w:space="0"/>
              <w:right w:val="single" w:color="000000" w:sz="8" w:space="0"/>
            </w:tcBorders>
            <w:noWrap/>
            <w:vAlign w:val="center"/>
          </w:tcPr>
          <w:p w14:paraId="412E3D97">
            <w:pPr>
              <w:widowControl/>
              <w:snapToGrid w:val="0"/>
              <w:jc w:val="center"/>
              <w:rPr>
                <w:rFonts w:ascii="宋体" w:hAnsi="宋体" w:eastAsia="宋体" w:cs="宋体"/>
                <w:color w:val="auto"/>
                <w:szCs w:val="21"/>
              </w:rPr>
            </w:pPr>
            <w:r>
              <w:rPr>
                <w:rFonts w:hint="eastAsia" w:ascii="宋体" w:hAnsi="宋体" w:eastAsia="宋体" w:cs="宋体"/>
                <w:color w:val="auto"/>
                <w:szCs w:val="21"/>
              </w:rPr>
              <w:t>担任</w:t>
            </w:r>
            <w:r>
              <w:rPr>
                <w:rFonts w:hint="eastAsia" w:ascii="宋体" w:hAnsi="宋体" w:eastAsia="宋体" w:cs="宋体"/>
                <w:color w:val="auto"/>
                <w:szCs w:val="21"/>
                <w:u w:val="single"/>
              </w:rPr>
              <w:t xml:space="preserve">    （职位名称）</w:t>
            </w:r>
            <w:r>
              <w:rPr>
                <w:rFonts w:hint="eastAsia" w:ascii="宋体" w:hAnsi="宋体" w:eastAsia="宋体" w:cs="宋体"/>
                <w:color w:val="auto"/>
                <w:szCs w:val="21"/>
              </w:rPr>
              <w:t>年限</w:t>
            </w:r>
          </w:p>
        </w:tc>
        <w:tc>
          <w:tcPr>
            <w:tcW w:w="633" w:type="pct"/>
            <w:tcBorders>
              <w:top w:val="nil"/>
              <w:left w:val="nil"/>
              <w:bottom w:val="single" w:color="auto" w:sz="8" w:space="0"/>
              <w:right w:val="single" w:color="auto" w:sz="8" w:space="0"/>
            </w:tcBorders>
            <w:noWrap/>
            <w:vAlign w:val="center"/>
          </w:tcPr>
          <w:p w14:paraId="25FDAF3C">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14:paraId="64911C49">
        <w:tblPrEx>
          <w:tblCellMar>
            <w:top w:w="0" w:type="dxa"/>
            <w:left w:w="108" w:type="dxa"/>
            <w:bottom w:w="0" w:type="dxa"/>
            <w:right w:w="108" w:type="dxa"/>
          </w:tblCellMar>
        </w:tblPrEx>
        <w:trPr>
          <w:trHeight w:val="915" w:hRule="atLeast"/>
          <w:jc w:val="center"/>
        </w:trPr>
        <w:tc>
          <w:tcPr>
            <w:tcW w:w="1363" w:type="pct"/>
            <w:gridSpan w:val="3"/>
            <w:tcBorders>
              <w:top w:val="single" w:color="auto" w:sz="8" w:space="0"/>
              <w:left w:val="single" w:color="auto" w:sz="8" w:space="0"/>
              <w:bottom w:val="single" w:color="auto" w:sz="8" w:space="0"/>
              <w:right w:val="single" w:color="000000" w:sz="8" w:space="0"/>
            </w:tcBorders>
            <w:noWrap/>
            <w:vAlign w:val="center"/>
          </w:tcPr>
          <w:p w14:paraId="5DFE30CB">
            <w:pPr>
              <w:widowControl/>
              <w:snapToGrid w:val="0"/>
              <w:jc w:val="center"/>
              <w:rPr>
                <w:rFonts w:ascii="宋体" w:hAnsi="宋体" w:eastAsia="宋体" w:cs="宋体"/>
                <w:color w:val="auto"/>
                <w:szCs w:val="21"/>
              </w:rPr>
            </w:pPr>
            <w:r>
              <w:rPr>
                <w:rFonts w:hint="eastAsia" w:ascii="宋体" w:hAnsi="宋体" w:eastAsia="宋体" w:cs="宋体"/>
                <w:color w:val="auto"/>
                <w:szCs w:val="21"/>
              </w:rPr>
              <w:t>资格证书编号</w:t>
            </w:r>
          </w:p>
        </w:tc>
        <w:tc>
          <w:tcPr>
            <w:tcW w:w="1553" w:type="pct"/>
            <w:gridSpan w:val="5"/>
            <w:tcBorders>
              <w:top w:val="single" w:color="auto" w:sz="8" w:space="0"/>
              <w:left w:val="nil"/>
              <w:bottom w:val="single" w:color="auto" w:sz="8" w:space="0"/>
              <w:right w:val="single" w:color="000000" w:sz="8" w:space="0"/>
            </w:tcBorders>
            <w:noWrap/>
            <w:vAlign w:val="center"/>
          </w:tcPr>
          <w:p w14:paraId="7BA2BD4D">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450" w:type="pct"/>
            <w:gridSpan w:val="3"/>
            <w:tcBorders>
              <w:top w:val="single" w:color="auto" w:sz="8" w:space="0"/>
              <w:left w:val="nil"/>
              <w:bottom w:val="single" w:color="auto" w:sz="8" w:space="0"/>
              <w:right w:val="single" w:color="000000" w:sz="8" w:space="0"/>
            </w:tcBorders>
            <w:noWrap/>
            <w:vAlign w:val="center"/>
          </w:tcPr>
          <w:p w14:paraId="2D451FD8">
            <w:pPr>
              <w:widowControl/>
              <w:snapToGrid w:val="0"/>
              <w:jc w:val="center"/>
              <w:rPr>
                <w:rFonts w:ascii="宋体" w:hAnsi="宋体" w:eastAsia="宋体" w:cs="宋体"/>
                <w:color w:val="auto"/>
                <w:szCs w:val="21"/>
              </w:rPr>
            </w:pPr>
            <w:r>
              <w:rPr>
                <w:rFonts w:hint="eastAsia" w:ascii="宋体" w:hAnsi="宋体" w:eastAsia="宋体" w:cs="宋体"/>
                <w:color w:val="auto"/>
                <w:szCs w:val="21"/>
              </w:rPr>
              <w:t>联系电话</w:t>
            </w:r>
          </w:p>
        </w:tc>
        <w:tc>
          <w:tcPr>
            <w:tcW w:w="633" w:type="pct"/>
            <w:tcBorders>
              <w:top w:val="nil"/>
              <w:left w:val="nil"/>
              <w:bottom w:val="single" w:color="auto" w:sz="8" w:space="0"/>
              <w:right w:val="single" w:color="auto" w:sz="8" w:space="0"/>
            </w:tcBorders>
            <w:noWrap/>
            <w:vAlign w:val="center"/>
          </w:tcPr>
          <w:p w14:paraId="4FE37876">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14:paraId="76BD746F">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noWrap/>
            <w:vAlign w:val="center"/>
          </w:tcPr>
          <w:p w14:paraId="2DF6F90F">
            <w:pPr>
              <w:widowControl/>
              <w:snapToGrid w:val="0"/>
              <w:jc w:val="center"/>
              <w:rPr>
                <w:rFonts w:ascii="宋体" w:hAnsi="宋体" w:eastAsia="宋体" w:cs="宋体"/>
                <w:color w:val="auto"/>
                <w:szCs w:val="21"/>
              </w:rPr>
            </w:pPr>
            <w:r>
              <w:rPr>
                <w:rFonts w:hint="eastAsia" w:ascii="宋体" w:hAnsi="宋体" w:eastAsia="宋体" w:cs="宋体"/>
                <w:color w:val="auto"/>
                <w:szCs w:val="21"/>
              </w:rPr>
              <w:t>主要类似项目业绩</w:t>
            </w:r>
          </w:p>
        </w:tc>
      </w:tr>
      <w:tr w14:paraId="55C72BB3">
        <w:tblPrEx>
          <w:tblCellMar>
            <w:top w:w="0" w:type="dxa"/>
            <w:left w:w="108" w:type="dxa"/>
            <w:bottom w:w="0" w:type="dxa"/>
            <w:right w:w="108" w:type="dxa"/>
          </w:tblCellMar>
        </w:tblPrEx>
        <w:trPr>
          <w:trHeight w:val="915" w:hRule="atLeast"/>
          <w:jc w:val="center"/>
        </w:trPr>
        <w:tc>
          <w:tcPr>
            <w:tcW w:w="1155" w:type="pct"/>
            <w:gridSpan w:val="2"/>
            <w:tcBorders>
              <w:top w:val="single" w:color="auto" w:sz="8" w:space="0"/>
              <w:left w:val="single" w:color="auto" w:sz="8" w:space="0"/>
              <w:bottom w:val="single" w:color="auto" w:sz="8" w:space="0"/>
              <w:right w:val="single" w:color="000000" w:sz="8" w:space="0"/>
            </w:tcBorders>
            <w:noWrap/>
            <w:vAlign w:val="center"/>
          </w:tcPr>
          <w:p w14:paraId="5D28CB2C">
            <w:pPr>
              <w:widowControl/>
              <w:snapToGrid w:val="0"/>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595" w:type="pct"/>
            <w:gridSpan w:val="2"/>
            <w:tcBorders>
              <w:top w:val="single" w:color="auto" w:sz="8" w:space="0"/>
              <w:left w:val="nil"/>
              <w:bottom w:val="single" w:color="auto" w:sz="8" w:space="0"/>
              <w:right w:val="single" w:color="000000" w:sz="8" w:space="0"/>
            </w:tcBorders>
            <w:noWrap/>
            <w:vAlign w:val="center"/>
          </w:tcPr>
          <w:p w14:paraId="010732C7">
            <w:pPr>
              <w:widowControl/>
              <w:snapToGrid w:val="0"/>
              <w:jc w:val="center"/>
              <w:rPr>
                <w:rFonts w:ascii="宋体" w:hAnsi="宋体" w:eastAsia="宋体" w:cs="宋体"/>
                <w:color w:val="auto"/>
                <w:szCs w:val="21"/>
              </w:rPr>
            </w:pPr>
            <w:r>
              <w:rPr>
                <w:rFonts w:hint="eastAsia" w:ascii="宋体" w:hAnsi="宋体" w:eastAsia="宋体" w:cs="宋体"/>
                <w:color w:val="auto"/>
                <w:szCs w:val="21"/>
              </w:rPr>
              <w:t>发包单位</w:t>
            </w:r>
          </w:p>
        </w:tc>
        <w:tc>
          <w:tcPr>
            <w:tcW w:w="835" w:type="pct"/>
            <w:gridSpan w:val="3"/>
            <w:tcBorders>
              <w:top w:val="single" w:color="auto" w:sz="8" w:space="0"/>
              <w:left w:val="nil"/>
              <w:bottom w:val="single" w:color="auto" w:sz="8" w:space="0"/>
              <w:right w:val="single" w:color="000000" w:sz="8" w:space="0"/>
            </w:tcBorders>
            <w:noWrap/>
            <w:vAlign w:val="center"/>
          </w:tcPr>
          <w:p w14:paraId="0C339CF7">
            <w:pPr>
              <w:widowControl/>
              <w:snapToGrid w:val="0"/>
              <w:jc w:val="center"/>
              <w:rPr>
                <w:rFonts w:ascii="宋体" w:hAnsi="宋体" w:eastAsia="宋体" w:cs="宋体"/>
                <w:color w:val="auto"/>
                <w:szCs w:val="21"/>
              </w:rPr>
            </w:pPr>
            <w:r>
              <w:rPr>
                <w:rFonts w:hint="eastAsia" w:ascii="宋体" w:hAnsi="宋体" w:eastAsia="宋体" w:cs="宋体"/>
                <w:color w:val="auto"/>
                <w:szCs w:val="21"/>
              </w:rPr>
              <w:t>服务内容</w:t>
            </w:r>
          </w:p>
        </w:tc>
        <w:tc>
          <w:tcPr>
            <w:tcW w:w="1403" w:type="pct"/>
            <w:gridSpan w:val="3"/>
            <w:tcBorders>
              <w:top w:val="single" w:color="auto" w:sz="8" w:space="0"/>
              <w:left w:val="nil"/>
              <w:bottom w:val="single" w:color="auto" w:sz="8" w:space="0"/>
              <w:right w:val="single" w:color="000000" w:sz="8" w:space="0"/>
            </w:tcBorders>
            <w:noWrap/>
            <w:vAlign w:val="center"/>
          </w:tcPr>
          <w:p w14:paraId="33196AB4">
            <w:pPr>
              <w:widowControl/>
              <w:snapToGrid w:val="0"/>
              <w:jc w:val="center"/>
              <w:rPr>
                <w:rFonts w:ascii="宋体" w:hAnsi="宋体" w:eastAsia="宋体" w:cs="宋体"/>
                <w:color w:val="auto"/>
                <w:szCs w:val="21"/>
              </w:rPr>
            </w:pPr>
            <w:r>
              <w:rPr>
                <w:rFonts w:hint="eastAsia" w:ascii="宋体" w:hAnsi="宋体" w:eastAsia="宋体" w:cs="宋体"/>
                <w:color w:val="auto"/>
                <w:szCs w:val="21"/>
              </w:rPr>
              <w:t>本人在该项目中所任职务</w:t>
            </w:r>
          </w:p>
        </w:tc>
        <w:tc>
          <w:tcPr>
            <w:tcW w:w="1009" w:type="pct"/>
            <w:gridSpan w:val="2"/>
            <w:tcBorders>
              <w:top w:val="single" w:color="auto" w:sz="8" w:space="0"/>
              <w:left w:val="nil"/>
              <w:bottom w:val="single" w:color="auto" w:sz="8" w:space="0"/>
              <w:right w:val="single" w:color="000000" w:sz="8" w:space="0"/>
            </w:tcBorders>
            <w:noWrap/>
            <w:vAlign w:val="center"/>
          </w:tcPr>
          <w:p w14:paraId="711F387E">
            <w:pPr>
              <w:widowControl/>
              <w:snapToGrid w:val="0"/>
              <w:jc w:val="center"/>
              <w:rPr>
                <w:rFonts w:ascii="宋体" w:hAnsi="宋体" w:eastAsia="宋体" w:cs="宋体"/>
                <w:color w:val="auto"/>
                <w:szCs w:val="21"/>
              </w:rPr>
            </w:pPr>
            <w:r>
              <w:rPr>
                <w:rFonts w:hint="eastAsia" w:ascii="宋体" w:hAnsi="宋体" w:eastAsia="宋体" w:cs="宋体"/>
                <w:color w:val="auto"/>
                <w:szCs w:val="21"/>
              </w:rPr>
              <w:t>起止时间</w:t>
            </w:r>
          </w:p>
        </w:tc>
      </w:tr>
      <w:tr w14:paraId="17ED3899">
        <w:tblPrEx>
          <w:tblCellMar>
            <w:top w:w="0" w:type="dxa"/>
            <w:left w:w="108" w:type="dxa"/>
            <w:bottom w:w="0" w:type="dxa"/>
            <w:right w:w="108" w:type="dxa"/>
          </w:tblCellMar>
        </w:tblPrEx>
        <w:trPr>
          <w:trHeight w:val="915" w:hRule="atLeast"/>
          <w:jc w:val="center"/>
        </w:trPr>
        <w:tc>
          <w:tcPr>
            <w:tcW w:w="1155" w:type="pct"/>
            <w:gridSpan w:val="2"/>
            <w:tcBorders>
              <w:top w:val="single" w:color="auto" w:sz="8" w:space="0"/>
              <w:left w:val="single" w:color="auto" w:sz="8" w:space="0"/>
              <w:bottom w:val="single" w:color="auto" w:sz="8" w:space="0"/>
              <w:right w:val="single" w:color="000000" w:sz="8" w:space="0"/>
            </w:tcBorders>
            <w:noWrap/>
            <w:vAlign w:val="center"/>
          </w:tcPr>
          <w:p w14:paraId="54E4663D">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595" w:type="pct"/>
            <w:gridSpan w:val="2"/>
            <w:tcBorders>
              <w:top w:val="single" w:color="auto" w:sz="8" w:space="0"/>
              <w:left w:val="nil"/>
              <w:bottom w:val="single" w:color="auto" w:sz="8" w:space="0"/>
              <w:right w:val="single" w:color="000000" w:sz="8" w:space="0"/>
            </w:tcBorders>
            <w:noWrap/>
            <w:vAlign w:val="center"/>
          </w:tcPr>
          <w:p w14:paraId="593327CC">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835" w:type="pct"/>
            <w:gridSpan w:val="3"/>
            <w:tcBorders>
              <w:top w:val="single" w:color="auto" w:sz="8" w:space="0"/>
              <w:left w:val="nil"/>
              <w:bottom w:val="single" w:color="auto" w:sz="8" w:space="0"/>
              <w:right w:val="single" w:color="000000" w:sz="8" w:space="0"/>
            </w:tcBorders>
            <w:noWrap/>
            <w:vAlign w:val="center"/>
          </w:tcPr>
          <w:p w14:paraId="1A8A9DB2">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403" w:type="pct"/>
            <w:gridSpan w:val="3"/>
            <w:tcBorders>
              <w:top w:val="single" w:color="auto" w:sz="8" w:space="0"/>
              <w:left w:val="nil"/>
              <w:bottom w:val="single" w:color="auto" w:sz="8" w:space="0"/>
              <w:right w:val="single" w:color="000000" w:sz="8" w:space="0"/>
            </w:tcBorders>
            <w:noWrap/>
            <w:vAlign w:val="center"/>
          </w:tcPr>
          <w:p w14:paraId="52D06E4F">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09" w:type="pct"/>
            <w:gridSpan w:val="2"/>
            <w:tcBorders>
              <w:top w:val="single" w:color="auto" w:sz="8" w:space="0"/>
              <w:left w:val="nil"/>
              <w:bottom w:val="single" w:color="auto" w:sz="8" w:space="0"/>
              <w:right w:val="single" w:color="000000" w:sz="8" w:space="0"/>
            </w:tcBorders>
            <w:noWrap/>
            <w:vAlign w:val="center"/>
          </w:tcPr>
          <w:p w14:paraId="2124B2D4">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14:paraId="14D2308D">
        <w:tblPrEx>
          <w:tblCellMar>
            <w:top w:w="0" w:type="dxa"/>
            <w:left w:w="108" w:type="dxa"/>
            <w:bottom w:w="0" w:type="dxa"/>
            <w:right w:w="108" w:type="dxa"/>
          </w:tblCellMar>
        </w:tblPrEx>
        <w:trPr>
          <w:trHeight w:val="915" w:hRule="atLeast"/>
          <w:jc w:val="center"/>
        </w:trPr>
        <w:tc>
          <w:tcPr>
            <w:tcW w:w="1155" w:type="pct"/>
            <w:gridSpan w:val="2"/>
            <w:tcBorders>
              <w:top w:val="single" w:color="auto" w:sz="8" w:space="0"/>
              <w:left w:val="single" w:color="auto" w:sz="8" w:space="0"/>
              <w:bottom w:val="single" w:color="auto" w:sz="8" w:space="0"/>
              <w:right w:val="single" w:color="000000" w:sz="8" w:space="0"/>
            </w:tcBorders>
            <w:noWrap/>
            <w:vAlign w:val="center"/>
          </w:tcPr>
          <w:p w14:paraId="02A1074C">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595" w:type="pct"/>
            <w:gridSpan w:val="2"/>
            <w:tcBorders>
              <w:top w:val="single" w:color="auto" w:sz="8" w:space="0"/>
              <w:left w:val="nil"/>
              <w:bottom w:val="single" w:color="auto" w:sz="8" w:space="0"/>
              <w:right w:val="single" w:color="000000" w:sz="8" w:space="0"/>
            </w:tcBorders>
            <w:noWrap/>
            <w:vAlign w:val="center"/>
          </w:tcPr>
          <w:p w14:paraId="76A1AD8C">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835" w:type="pct"/>
            <w:gridSpan w:val="3"/>
            <w:tcBorders>
              <w:top w:val="single" w:color="auto" w:sz="8" w:space="0"/>
              <w:left w:val="nil"/>
              <w:bottom w:val="single" w:color="auto" w:sz="8" w:space="0"/>
              <w:right w:val="single" w:color="000000" w:sz="8" w:space="0"/>
            </w:tcBorders>
            <w:noWrap/>
            <w:vAlign w:val="center"/>
          </w:tcPr>
          <w:p w14:paraId="338BC3E1">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403" w:type="pct"/>
            <w:gridSpan w:val="3"/>
            <w:tcBorders>
              <w:top w:val="single" w:color="auto" w:sz="8" w:space="0"/>
              <w:left w:val="nil"/>
              <w:bottom w:val="single" w:color="auto" w:sz="8" w:space="0"/>
              <w:right w:val="single" w:color="000000" w:sz="8" w:space="0"/>
            </w:tcBorders>
            <w:noWrap/>
            <w:vAlign w:val="center"/>
          </w:tcPr>
          <w:p w14:paraId="13E66E6D">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09" w:type="pct"/>
            <w:gridSpan w:val="2"/>
            <w:tcBorders>
              <w:top w:val="single" w:color="auto" w:sz="8" w:space="0"/>
              <w:left w:val="nil"/>
              <w:bottom w:val="single" w:color="auto" w:sz="8" w:space="0"/>
              <w:right w:val="single" w:color="000000" w:sz="8" w:space="0"/>
            </w:tcBorders>
            <w:noWrap/>
            <w:vAlign w:val="center"/>
          </w:tcPr>
          <w:p w14:paraId="0A26FD5B">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14:paraId="0DF16DBD">
        <w:tblPrEx>
          <w:tblCellMar>
            <w:top w:w="0" w:type="dxa"/>
            <w:left w:w="108" w:type="dxa"/>
            <w:bottom w:w="0" w:type="dxa"/>
            <w:right w:w="108" w:type="dxa"/>
          </w:tblCellMar>
        </w:tblPrEx>
        <w:trPr>
          <w:trHeight w:val="915" w:hRule="atLeast"/>
          <w:jc w:val="center"/>
        </w:trPr>
        <w:tc>
          <w:tcPr>
            <w:tcW w:w="1155" w:type="pct"/>
            <w:gridSpan w:val="2"/>
            <w:tcBorders>
              <w:top w:val="single" w:color="auto" w:sz="8" w:space="0"/>
              <w:left w:val="single" w:color="auto" w:sz="8" w:space="0"/>
              <w:bottom w:val="single" w:color="auto" w:sz="8" w:space="0"/>
              <w:right w:val="single" w:color="000000" w:sz="8" w:space="0"/>
            </w:tcBorders>
            <w:noWrap/>
            <w:vAlign w:val="center"/>
          </w:tcPr>
          <w:p w14:paraId="5E9D564E">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595" w:type="pct"/>
            <w:gridSpan w:val="2"/>
            <w:tcBorders>
              <w:top w:val="single" w:color="auto" w:sz="8" w:space="0"/>
              <w:left w:val="nil"/>
              <w:bottom w:val="single" w:color="auto" w:sz="8" w:space="0"/>
              <w:right w:val="single" w:color="000000" w:sz="8" w:space="0"/>
            </w:tcBorders>
            <w:noWrap/>
            <w:vAlign w:val="center"/>
          </w:tcPr>
          <w:p w14:paraId="5504DA4F">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835" w:type="pct"/>
            <w:gridSpan w:val="3"/>
            <w:tcBorders>
              <w:top w:val="single" w:color="auto" w:sz="8" w:space="0"/>
              <w:left w:val="nil"/>
              <w:bottom w:val="single" w:color="auto" w:sz="8" w:space="0"/>
              <w:right w:val="single" w:color="000000" w:sz="8" w:space="0"/>
            </w:tcBorders>
            <w:noWrap/>
            <w:vAlign w:val="center"/>
          </w:tcPr>
          <w:p w14:paraId="3637D8B9">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403" w:type="pct"/>
            <w:gridSpan w:val="3"/>
            <w:tcBorders>
              <w:top w:val="single" w:color="auto" w:sz="8" w:space="0"/>
              <w:left w:val="nil"/>
              <w:bottom w:val="single" w:color="auto" w:sz="8" w:space="0"/>
              <w:right w:val="single" w:color="000000" w:sz="8" w:space="0"/>
            </w:tcBorders>
            <w:noWrap/>
            <w:vAlign w:val="center"/>
          </w:tcPr>
          <w:p w14:paraId="17820AC0">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09" w:type="pct"/>
            <w:gridSpan w:val="2"/>
            <w:tcBorders>
              <w:top w:val="single" w:color="auto" w:sz="8" w:space="0"/>
              <w:left w:val="nil"/>
              <w:bottom w:val="single" w:color="auto" w:sz="8" w:space="0"/>
              <w:right w:val="single" w:color="000000" w:sz="8" w:space="0"/>
            </w:tcBorders>
            <w:noWrap/>
            <w:vAlign w:val="center"/>
          </w:tcPr>
          <w:p w14:paraId="72E31D8C">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bl>
    <w:p w14:paraId="020B921A">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10F0A9E5">
      <w:pPr>
        <w:spacing w:line="360" w:lineRule="auto"/>
        <w:rPr>
          <w:rFonts w:ascii="宋体" w:hAnsi="宋体" w:eastAsia="宋体" w:cs="宋体"/>
          <w:color w:val="auto"/>
          <w:szCs w:val="21"/>
        </w:rPr>
      </w:pPr>
      <w:r>
        <w:rPr>
          <w:rFonts w:hint="eastAsia" w:ascii="宋体" w:hAnsi="宋体" w:eastAsia="宋体" w:cs="宋体"/>
          <w:color w:val="auto"/>
          <w:szCs w:val="21"/>
        </w:rPr>
        <w:t>（1）拟投入本项目的项目负责人需提供本简历表。</w:t>
      </w:r>
    </w:p>
    <w:p w14:paraId="7BB25D61">
      <w:pPr>
        <w:pStyle w:val="16"/>
        <w:spacing w:line="360" w:lineRule="auto"/>
        <w:rPr>
          <w:rFonts w:ascii="宋体" w:hAnsi="宋体" w:eastAsia="宋体" w:cs="宋体"/>
          <w:bCs/>
          <w:color w:val="auto"/>
          <w:szCs w:val="21"/>
        </w:rPr>
      </w:pPr>
      <w:r>
        <w:rPr>
          <w:rFonts w:hint="eastAsia" w:ascii="宋体" w:hAnsi="宋体" w:eastAsia="宋体" w:cs="宋体"/>
          <w:color w:val="auto"/>
          <w:szCs w:val="21"/>
        </w:rPr>
        <w:t>（2）投标人须随此表附上项目负责人</w:t>
      </w:r>
      <w:r>
        <w:rPr>
          <w:rFonts w:hint="eastAsia" w:ascii="宋体" w:hAnsi="宋体" w:eastAsia="宋体" w:cs="宋体"/>
          <w:color w:val="auto"/>
          <w:szCs w:val="21"/>
          <w:lang w:val="zh-CN"/>
        </w:rPr>
        <w:t>的资格证书（或注册/执业技术职称）、以及社会保障部门（或税务部门）出具的</w:t>
      </w:r>
      <w:r>
        <w:rPr>
          <w:rFonts w:hint="eastAsia" w:ascii="宋体" w:hAnsi="宋体" w:eastAsia="宋体" w:cs="宋体"/>
          <w:bCs/>
          <w:color w:val="auto"/>
          <w:szCs w:val="21"/>
        </w:rPr>
        <w:t>投标人企业2024年5月至2024年10月为其缴纳的社保证明复印件。</w:t>
      </w:r>
    </w:p>
    <w:p w14:paraId="04B54302">
      <w:pPr>
        <w:spacing w:line="360" w:lineRule="auto"/>
        <w:ind w:left="735" w:leftChars="350" w:firstLine="4725" w:firstLineChars="2250"/>
        <w:rPr>
          <w:rFonts w:ascii="宋体" w:hAnsi="宋体" w:eastAsia="宋体" w:cs="宋体"/>
          <w:color w:val="auto"/>
          <w:szCs w:val="21"/>
        </w:rPr>
      </w:pPr>
      <w:r>
        <w:rPr>
          <w:rFonts w:hint="eastAsia" w:ascii="宋体" w:hAnsi="宋体" w:eastAsia="宋体" w:cs="宋体"/>
          <w:color w:val="auto"/>
          <w:lang w:val="zh-CN"/>
        </w:rPr>
        <w:t>投标人：（加盖投标人法人公章）</w:t>
      </w:r>
    </w:p>
    <w:p w14:paraId="38D86570">
      <w:pPr>
        <w:spacing w:before="120" w:after="120" w:line="360" w:lineRule="auto"/>
        <w:ind w:left="629" w:firstLine="5040"/>
        <w:rPr>
          <w:rFonts w:ascii="宋体" w:hAnsi="宋体" w:eastAsia="宋体" w:cs="宋体"/>
          <w:color w:val="auto"/>
          <w:lang w:val="zh-CN"/>
        </w:rPr>
      </w:pPr>
      <w:r>
        <w:rPr>
          <w:rFonts w:hint="eastAsia" w:ascii="宋体" w:hAnsi="宋体" w:eastAsia="宋体" w:cs="宋体"/>
          <w:color w:val="auto"/>
          <w:lang w:val="zh-CN"/>
        </w:rPr>
        <w:t>日期：</w:t>
      </w:r>
      <w:r>
        <w:rPr>
          <w:rFonts w:hint="eastAsia" w:ascii="宋体" w:hAnsi="宋体" w:eastAsia="宋体" w:cs="宋体"/>
          <w:color w:val="auto"/>
        </w:rPr>
        <w:t xml:space="preserve">    </w:t>
      </w:r>
      <w:r>
        <w:rPr>
          <w:rFonts w:hint="eastAsia" w:ascii="宋体" w:hAnsi="宋体" w:eastAsia="宋体" w:cs="宋体"/>
          <w:color w:val="auto"/>
          <w:lang w:val="zh-CN"/>
        </w:rPr>
        <w:t>年</w:t>
      </w:r>
      <w:r>
        <w:rPr>
          <w:rFonts w:hint="eastAsia" w:ascii="宋体" w:hAnsi="宋体" w:eastAsia="宋体" w:cs="宋体"/>
          <w:color w:val="auto"/>
        </w:rPr>
        <w:t xml:space="preserve">  </w:t>
      </w:r>
      <w:r>
        <w:rPr>
          <w:rFonts w:hint="eastAsia" w:ascii="宋体" w:hAnsi="宋体" w:eastAsia="宋体" w:cs="宋体"/>
          <w:color w:val="auto"/>
          <w:lang w:val="zh-CN"/>
        </w:rPr>
        <w:t>月</w:t>
      </w:r>
      <w:r>
        <w:rPr>
          <w:rFonts w:hint="eastAsia" w:ascii="宋体" w:hAnsi="宋体" w:eastAsia="宋体" w:cs="宋体"/>
          <w:color w:val="auto"/>
        </w:rPr>
        <w:t xml:space="preserve">   </w:t>
      </w:r>
      <w:r>
        <w:rPr>
          <w:rFonts w:hint="eastAsia" w:ascii="宋体" w:hAnsi="宋体" w:eastAsia="宋体" w:cs="宋体"/>
          <w:color w:val="auto"/>
          <w:lang w:val="zh-CN"/>
        </w:rPr>
        <w:t>日</w:t>
      </w:r>
    </w:p>
    <w:p w14:paraId="60B85EFD">
      <w:pPr>
        <w:rPr>
          <w:rFonts w:ascii="宋体" w:hAnsi="宋体" w:eastAsia="宋体" w:cs="宋体"/>
          <w:b/>
          <w:color w:val="auto"/>
          <w:sz w:val="30"/>
          <w:szCs w:val="30"/>
        </w:rPr>
      </w:pPr>
      <w:r>
        <w:rPr>
          <w:rFonts w:hint="eastAsia" w:ascii="宋体" w:hAnsi="宋体" w:eastAsia="宋体" w:cs="宋体"/>
          <w:b/>
          <w:color w:val="auto"/>
          <w:sz w:val="30"/>
          <w:szCs w:val="30"/>
        </w:rPr>
        <w:br w:type="page"/>
      </w:r>
    </w:p>
    <w:p w14:paraId="1C20FFEE">
      <w:pPr>
        <w:spacing w:line="360" w:lineRule="auto"/>
        <w:ind w:left="603" w:hanging="813"/>
        <w:jc w:val="center"/>
        <w:rPr>
          <w:rFonts w:ascii="宋体" w:hAnsi="宋体" w:eastAsia="宋体" w:cs="宋体"/>
          <w:b/>
          <w:color w:val="auto"/>
          <w:sz w:val="30"/>
          <w:szCs w:val="30"/>
        </w:rPr>
      </w:pPr>
      <w:r>
        <w:rPr>
          <w:rFonts w:hint="eastAsia" w:ascii="宋体" w:hAnsi="宋体" w:eastAsia="宋体" w:cs="宋体"/>
          <w:b/>
          <w:color w:val="auto"/>
          <w:sz w:val="30"/>
          <w:szCs w:val="30"/>
        </w:rPr>
        <w:t>2.拟投入本项目人员情况一览表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73"/>
        <w:gridCol w:w="738"/>
        <w:gridCol w:w="738"/>
        <w:gridCol w:w="738"/>
        <w:gridCol w:w="1794"/>
        <w:gridCol w:w="1545"/>
        <w:gridCol w:w="1805"/>
        <w:gridCol w:w="1032"/>
      </w:tblGrid>
      <w:tr w14:paraId="0163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1" w:type="pct"/>
            <w:vAlign w:val="center"/>
          </w:tcPr>
          <w:p w14:paraId="39071624">
            <w:pPr>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614" w:type="pct"/>
            <w:vAlign w:val="center"/>
          </w:tcPr>
          <w:p w14:paraId="5FE94442">
            <w:pPr>
              <w:spacing w:line="360" w:lineRule="auto"/>
              <w:jc w:val="center"/>
              <w:rPr>
                <w:rFonts w:ascii="宋体" w:hAnsi="宋体" w:eastAsia="宋体" w:cs="宋体"/>
                <w:color w:val="auto"/>
                <w:szCs w:val="21"/>
              </w:rPr>
            </w:pPr>
            <w:r>
              <w:rPr>
                <w:rFonts w:hint="eastAsia" w:ascii="宋体" w:hAnsi="宋体" w:eastAsia="宋体" w:cs="宋体"/>
                <w:color w:val="auto"/>
                <w:szCs w:val="21"/>
              </w:rPr>
              <w:t>姓名</w:t>
            </w:r>
          </w:p>
        </w:tc>
        <w:tc>
          <w:tcPr>
            <w:tcW w:w="356" w:type="pct"/>
            <w:vAlign w:val="center"/>
          </w:tcPr>
          <w:p w14:paraId="12EC885F">
            <w:pPr>
              <w:spacing w:line="360" w:lineRule="auto"/>
              <w:jc w:val="center"/>
              <w:rPr>
                <w:rFonts w:ascii="宋体" w:hAnsi="宋体" w:eastAsia="宋体" w:cs="宋体"/>
                <w:color w:val="auto"/>
                <w:szCs w:val="21"/>
              </w:rPr>
            </w:pPr>
            <w:r>
              <w:rPr>
                <w:rFonts w:hint="eastAsia" w:ascii="宋体" w:hAnsi="宋体" w:eastAsia="宋体" w:cs="宋体"/>
                <w:color w:val="auto"/>
                <w:szCs w:val="21"/>
              </w:rPr>
              <w:t>性别</w:t>
            </w:r>
          </w:p>
        </w:tc>
        <w:tc>
          <w:tcPr>
            <w:tcW w:w="356" w:type="pct"/>
            <w:vAlign w:val="center"/>
          </w:tcPr>
          <w:p w14:paraId="173869AC">
            <w:pPr>
              <w:spacing w:line="360" w:lineRule="auto"/>
              <w:jc w:val="center"/>
              <w:rPr>
                <w:rFonts w:ascii="宋体" w:hAnsi="宋体" w:eastAsia="宋体" w:cs="宋体"/>
                <w:color w:val="auto"/>
                <w:szCs w:val="21"/>
              </w:rPr>
            </w:pPr>
            <w:r>
              <w:rPr>
                <w:rFonts w:hint="eastAsia" w:ascii="宋体" w:hAnsi="宋体" w:eastAsia="宋体" w:cs="宋体"/>
                <w:color w:val="auto"/>
                <w:szCs w:val="21"/>
              </w:rPr>
              <w:t>年龄</w:t>
            </w:r>
          </w:p>
        </w:tc>
        <w:tc>
          <w:tcPr>
            <w:tcW w:w="356" w:type="pct"/>
            <w:vAlign w:val="center"/>
          </w:tcPr>
          <w:p w14:paraId="6A3AB80F">
            <w:pPr>
              <w:spacing w:line="360" w:lineRule="auto"/>
              <w:jc w:val="center"/>
              <w:rPr>
                <w:rFonts w:ascii="宋体" w:hAnsi="宋体" w:eastAsia="宋体" w:cs="宋体"/>
                <w:color w:val="auto"/>
                <w:szCs w:val="21"/>
              </w:rPr>
            </w:pPr>
            <w:r>
              <w:rPr>
                <w:rFonts w:hint="eastAsia" w:ascii="宋体" w:hAnsi="宋体" w:eastAsia="宋体" w:cs="宋体"/>
                <w:color w:val="auto"/>
                <w:szCs w:val="21"/>
              </w:rPr>
              <w:t>学历</w:t>
            </w:r>
          </w:p>
        </w:tc>
        <w:tc>
          <w:tcPr>
            <w:tcW w:w="865" w:type="pct"/>
            <w:vAlign w:val="center"/>
          </w:tcPr>
          <w:p w14:paraId="69B409B6">
            <w:pPr>
              <w:spacing w:line="360" w:lineRule="auto"/>
              <w:jc w:val="center"/>
              <w:rPr>
                <w:rFonts w:ascii="宋体" w:hAnsi="宋体" w:eastAsia="宋体" w:cs="宋体"/>
                <w:color w:val="auto"/>
                <w:szCs w:val="21"/>
              </w:rPr>
            </w:pPr>
            <w:r>
              <w:rPr>
                <w:rFonts w:hint="eastAsia" w:ascii="宋体" w:hAnsi="宋体" w:eastAsia="宋体" w:cs="宋体"/>
                <w:color w:val="auto"/>
                <w:szCs w:val="21"/>
              </w:rPr>
              <w:t>资格证书</w:t>
            </w:r>
          </w:p>
        </w:tc>
        <w:tc>
          <w:tcPr>
            <w:tcW w:w="745" w:type="pct"/>
            <w:vAlign w:val="center"/>
          </w:tcPr>
          <w:p w14:paraId="3AE58B65">
            <w:pPr>
              <w:spacing w:line="360" w:lineRule="auto"/>
              <w:jc w:val="center"/>
              <w:rPr>
                <w:rFonts w:ascii="宋体" w:hAnsi="宋体" w:eastAsia="宋体" w:cs="宋体"/>
                <w:color w:val="auto"/>
                <w:szCs w:val="21"/>
              </w:rPr>
            </w:pPr>
            <w:r>
              <w:rPr>
                <w:rFonts w:hint="eastAsia" w:ascii="宋体" w:hAnsi="宋体" w:eastAsia="宋体" w:cs="宋体"/>
                <w:color w:val="auto"/>
                <w:szCs w:val="21"/>
              </w:rPr>
              <w:t>拟任职务或承担内容</w:t>
            </w:r>
          </w:p>
        </w:tc>
        <w:tc>
          <w:tcPr>
            <w:tcW w:w="870" w:type="pct"/>
            <w:vAlign w:val="center"/>
          </w:tcPr>
          <w:p w14:paraId="13217A56">
            <w:pPr>
              <w:spacing w:line="360" w:lineRule="auto"/>
              <w:jc w:val="center"/>
              <w:rPr>
                <w:rFonts w:ascii="宋体" w:hAnsi="宋体" w:eastAsia="宋体" w:cs="宋体"/>
                <w:color w:val="auto"/>
                <w:szCs w:val="21"/>
              </w:rPr>
            </w:pPr>
            <w:r>
              <w:rPr>
                <w:rFonts w:hint="eastAsia" w:ascii="宋体" w:hAnsi="宋体" w:eastAsia="宋体" w:cs="宋体"/>
                <w:color w:val="auto"/>
                <w:szCs w:val="21"/>
              </w:rPr>
              <w:t>专业年限</w:t>
            </w:r>
          </w:p>
        </w:tc>
        <w:tc>
          <w:tcPr>
            <w:tcW w:w="497" w:type="pct"/>
            <w:vAlign w:val="center"/>
          </w:tcPr>
          <w:p w14:paraId="065EE427">
            <w:pPr>
              <w:spacing w:line="360" w:lineRule="auto"/>
              <w:jc w:val="center"/>
              <w:rPr>
                <w:rFonts w:ascii="宋体" w:hAnsi="宋体" w:eastAsia="宋体" w:cs="宋体"/>
                <w:color w:val="auto"/>
                <w:szCs w:val="21"/>
              </w:rPr>
            </w:pPr>
            <w:r>
              <w:rPr>
                <w:rFonts w:hint="eastAsia" w:ascii="宋体" w:hAnsi="宋体" w:eastAsia="宋体" w:cs="宋体"/>
                <w:color w:val="auto"/>
                <w:szCs w:val="21"/>
              </w:rPr>
              <w:t>备注</w:t>
            </w:r>
          </w:p>
        </w:tc>
      </w:tr>
      <w:tr w14:paraId="636F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41" w:type="pct"/>
            <w:vAlign w:val="center"/>
          </w:tcPr>
          <w:p w14:paraId="5AA9E203">
            <w:pPr>
              <w:spacing w:line="360" w:lineRule="auto"/>
              <w:jc w:val="center"/>
              <w:rPr>
                <w:rFonts w:ascii="宋体" w:hAnsi="宋体" w:eastAsia="宋体" w:cs="宋体"/>
                <w:color w:val="auto"/>
                <w:szCs w:val="21"/>
              </w:rPr>
            </w:pPr>
          </w:p>
        </w:tc>
        <w:tc>
          <w:tcPr>
            <w:tcW w:w="614" w:type="pct"/>
            <w:vAlign w:val="center"/>
          </w:tcPr>
          <w:p w14:paraId="42506AD4">
            <w:pPr>
              <w:spacing w:line="360" w:lineRule="auto"/>
              <w:jc w:val="center"/>
              <w:rPr>
                <w:rFonts w:ascii="宋体" w:hAnsi="宋体" w:eastAsia="宋体" w:cs="宋体"/>
                <w:color w:val="auto"/>
                <w:szCs w:val="21"/>
              </w:rPr>
            </w:pPr>
          </w:p>
        </w:tc>
        <w:tc>
          <w:tcPr>
            <w:tcW w:w="356" w:type="pct"/>
            <w:vAlign w:val="center"/>
          </w:tcPr>
          <w:p w14:paraId="221F0EE0">
            <w:pPr>
              <w:spacing w:line="360" w:lineRule="auto"/>
              <w:jc w:val="center"/>
              <w:rPr>
                <w:rFonts w:ascii="宋体" w:hAnsi="宋体" w:eastAsia="宋体" w:cs="宋体"/>
                <w:color w:val="auto"/>
                <w:szCs w:val="21"/>
              </w:rPr>
            </w:pPr>
          </w:p>
        </w:tc>
        <w:tc>
          <w:tcPr>
            <w:tcW w:w="356" w:type="pct"/>
            <w:vAlign w:val="center"/>
          </w:tcPr>
          <w:p w14:paraId="1C8A6245">
            <w:pPr>
              <w:spacing w:line="360" w:lineRule="auto"/>
              <w:jc w:val="center"/>
              <w:rPr>
                <w:rFonts w:ascii="宋体" w:hAnsi="宋体" w:eastAsia="宋体" w:cs="宋体"/>
                <w:color w:val="auto"/>
                <w:szCs w:val="21"/>
              </w:rPr>
            </w:pPr>
          </w:p>
        </w:tc>
        <w:tc>
          <w:tcPr>
            <w:tcW w:w="356" w:type="pct"/>
            <w:vAlign w:val="center"/>
          </w:tcPr>
          <w:p w14:paraId="03E8C211">
            <w:pPr>
              <w:spacing w:line="360" w:lineRule="auto"/>
              <w:jc w:val="center"/>
              <w:rPr>
                <w:rFonts w:ascii="宋体" w:hAnsi="宋体" w:eastAsia="宋体" w:cs="宋体"/>
                <w:color w:val="auto"/>
                <w:szCs w:val="21"/>
              </w:rPr>
            </w:pPr>
          </w:p>
        </w:tc>
        <w:tc>
          <w:tcPr>
            <w:tcW w:w="865" w:type="pct"/>
            <w:vAlign w:val="center"/>
          </w:tcPr>
          <w:p w14:paraId="1369C737">
            <w:pPr>
              <w:spacing w:line="360" w:lineRule="auto"/>
              <w:jc w:val="center"/>
              <w:rPr>
                <w:rFonts w:ascii="宋体" w:hAnsi="宋体" w:eastAsia="宋体" w:cs="宋体"/>
                <w:color w:val="auto"/>
                <w:szCs w:val="21"/>
              </w:rPr>
            </w:pPr>
          </w:p>
        </w:tc>
        <w:tc>
          <w:tcPr>
            <w:tcW w:w="745" w:type="pct"/>
            <w:vAlign w:val="center"/>
          </w:tcPr>
          <w:p w14:paraId="5C0C55EE">
            <w:pPr>
              <w:spacing w:line="360" w:lineRule="auto"/>
              <w:jc w:val="center"/>
              <w:rPr>
                <w:rFonts w:ascii="宋体" w:hAnsi="宋体" w:eastAsia="宋体" w:cs="宋体"/>
                <w:color w:val="auto"/>
                <w:szCs w:val="21"/>
              </w:rPr>
            </w:pPr>
          </w:p>
        </w:tc>
        <w:tc>
          <w:tcPr>
            <w:tcW w:w="870" w:type="pct"/>
            <w:vAlign w:val="center"/>
          </w:tcPr>
          <w:p w14:paraId="60497A34">
            <w:pPr>
              <w:spacing w:line="360" w:lineRule="auto"/>
              <w:jc w:val="center"/>
              <w:rPr>
                <w:rFonts w:ascii="宋体" w:hAnsi="宋体" w:eastAsia="宋体" w:cs="宋体"/>
                <w:color w:val="auto"/>
                <w:szCs w:val="21"/>
              </w:rPr>
            </w:pPr>
          </w:p>
        </w:tc>
        <w:tc>
          <w:tcPr>
            <w:tcW w:w="497" w:type="pct"/>
            <w:vAlign w:val="center"/>
          </w:tcPr>
          <w:p w14:paraId="7DE2088F">
            <w:pPr>
              <w:spacing w:line="360" w:lineRule="auto"/>
              <w:jc w:val="center"/>
              <w:rPr>
                <w:rFonts w:ascii="宋体" w:hAnsi="宋体" w:eastAsia="宋体" w:cs="宋体"/>
                <w:color w:val="auto"/>
                <w:szCs w:val="21"/>
              </w:rPr>
            </w:pPr>
          </w:p>
        </w:tc>
      </w:tr>
      <w:tr w14:paraId="407D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 w:type="pct"/>
            <w:vAlign w:val="center"/>
          </w:tcPr>
          <w:p w14:paraId="4162C6AD">
            <w:pPr>
              <w:spacing w:line="360" w:lineRule="auto"/>
              <w:jc w:val="center"/>
              <w:rPr>
                <w:rFonts w:ascii="宋体" w:hAnsi="宋体" w:eastAsia="宋体" w:cs="宋体"/>
                <w:color w:val="auto"/>
                <w:szCs w:val="21"/>
              </w:rPr>
            </w:pPr>
          </w:p>
        </w:tc>
        <w:tc>
          <w:tcPr>
            <w:tcW w:w="614" w:type="pct"/>
            <w:vAlign w:val="center"/>
          </w:tcPr>
          <w:p w14:paraId="056CB584">
            <w:pPr>
              <w:spacing w:line="360" w:lineRule="auto"/>
              <w:jc w:val="center"/>
              <w:rPr>
                <w:rFonts w:ascii="宋体" w:hAnsi="宋体" w:eastAsia="宋体" w:cs="宋体"/>
                <w:color w:val="auto"/>
                <w:szCs w:val="21"/>
              </w:rPr>
            </w:pPr>
          </w:p>
        </w:tc>
        <w:tc>
          <w:tcPr>
            <w:tcW w:w="356" w:type="pct"/>
            <w:vAlign w:val="center"/>
          </w:tcPr>
          <w:p w14:paraId="367C3430">
            <w:pPr>
              <w:spacing w:line="360" w:lineRule="auto"/>
              <w:jc w:val="center"/>
              <w:rPr>
                <w:rFonts w:ascii="宋体" w:hAnsi="宋体" w:eastAsia="宋体" w:cs="宋体"/>
                <w:color w:val="auto"/>
                <w:szCs w:val="21"/>
              </w:rPr>
            </w:pPr>
          </w:p>
        </w:tc>
        <w:tc>
          <w:tcPr>
            <w:tcW w:w="356" w:type="pct"/>
            <w:vAlign w:val="center"/>
          </w:tcPr>
          <w:p w14:paraId="55EAE7DC">
            <w:pPr>
              <w:spacing w:line="360" w:lineRule="auto"/>
              <w:jc w:val="center"/>
              <w:rPr>
                <w:rFonts w:ascii="宋体" w:hAnsi="宋体" w:eastAsia="宋体" w:cs="宋体"/>
                <w:color w:val="auto"/>
                <w:szCs w:val="21"/>
              </w:rPr>
            </w:pPr>
          </w:p>
        </w:tc>
        <w:tc>
          <w:tcPr>
            <w:tcW w:w="356" w:type="pct"/>
            <w:vAlign w:val="center"/>
          </w:tcPr>
          <w:p w14:paraId="2FCDB545">
            <w:pPr>
              <w:spacing w:line="360" w:lineRule="auto"/>
              <w:jc w:val="center"/>
              <w:rPr>
                <w:rFonts w:ascii="宋体" w:hAnsi="宋体" w:eastAsia="宋体" w:cs="宋体"/>
                <w:color w:val="auto"/>
                <w:szCs w:val="21"/>
              </w:rPr>
            </w:pPr>
          </w:p>
        </w:tc>
        <w:tc>
          <w:tcPr>
            <w:tcW w:w="865" w:type="pct"/>
            <w:vAlign w:val="center"/>
          </w:tcPr>
          <w:p w14:paraId="01AFE373">
            <w:pPr>
              <w:spacing w:line="360" w:lineRule="auto"/>
              <w:jc w:val="center"/>
              <w:rPr>
                <w:rFonts w:ascii="宋体" w:hAnsi="宋体" w:eastAsia="宋体" w:cs="宋体"/>
                <w:color w:val="auto"/>
                <w:szCs w:val="21"/>
              </w:rPr>
            </w:pPr>
          </w:p>
        </w:tc>
        <w:tc>
          <w:tcPr>
            <w:tcW w:w="745" w:type="pct"/>
            <w:vAlign w:val="center"/>
          </w:tcPr>
          <w:p w14:paraId="53B55BE9">
            <w:pPr>
              <w:spacing w:line="360" w:lineRule="auto"/>
              <w:jc w:val="center"/>
              <w:rPr>
                <w:rFonts w:ascii="宋体" w:hAnsi="宋体" w:eastAsia="宋体" w:cs="宋体"/>
                <w:color w:val="auto"/>
                <w:szCs w:val="21"/>
              </w:rPr>
            </w:pPr>
          </w:p>
        </w:tc>
        <w:tc>
          <w:tcPr>
            <w:tcW w:w="870" w:type="pct"/>
            <w:vAlign w:val="center"/>
          </w:tcPr>
          <w:p w14:paraId="6F93EF22">
            <w:pPr>
              <w:spacing w:line="360" w:lineRule="auto"/>
              <w:jc w:val="center"/>
              <w:rPr>
                <w:rFonts w:ascii="宋体" w:hAnsi="宋体" w:eastAsia="宋体" w:cs="宋体"/>
                <w:color w:val="auto"/>
                <w:szCs w:val="21"/>
              </w:rPr>
            </w:pPr>
          </w:p>
        </w:tc>
        <w:tc>
          <w:tcPr>
            <w:tcW w:w="497" w:type="pct"/>
            <w:vAlign w:val="center"/>
          </w:tcPr>
          <w:p w14:paraId="1949D501">
            <w:pPr>
              <w:spacing w:line="360" w:lineRule="auto"/>
              <w:jc w:val="center"/>
              <w:rPr>
                <w:rFonts w:ascii="宋体" w:hAnsi="宋体" w:eastAsia="宋体" w:cs="宋体"/>
                <w:color w:val="auto"/>
                <w:szCs w:val="21"/>
              </w:rPr>
            </w:pPr>
          </w:p>
        </w:tc>
      </w:tr>
      <w:tr w14:paraId="7F8B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1FF39405">
            <w:pPr>
              <w:spacing w:line="360" w:lineRule="auto"/>
              <w:jc w:val="center"/>
              <w:rPr>
                <w:rFonts w:ascii="宋体" w:hAnsi="宋体" w:eastAsia="宋体" w:cs="宋体"/>
                <w:color w:val="auto"/>
                <w:szCs w:val="21"/>
              </w:rPr>
            </w:pPr>
          </w:p>
        </w:tc>
        <w:tc>
          <w:tcPr>
            <w:tcW w:w="614" w:type="pct"/>
            <w:vAlign w:val="center"/>
          </w:tcPr>
          <w:p w14:paraId="5E824C1F">
            <w:pPr>
              <w:spacing w:line="360" w:lineRule="auto"/>
              <w:jc w:val="center"/>
              <w:rPr>
                <w:rFonts w:ascii="宋体" w:hAnsi="宋体" w:eastAsia="宋体" w:cs="宋体"/>
                <w:color w:val="auto"/>
                <w:szCs w:val="21"/>
              </w:rPr>
            </w:pPr>
          </w:p>
        </w:tc>
        <w:tc>
          <w:tcPr>
            <w:tcW w:w="356" w:type="pct"/>
            <w:vAlign w:val="center"/>
          </w:tcPr>
          <w:p w14:paraId="47AF25F7">
            <w:pPr>
              <w:spacing w:line="360" w:lineRule="auto"/>
              <w:jc w:val="center"/>
              <w:rPr>
                <w:rFonts w:ascii="宋体" w:hAnsi="宋体" w:eastAsia="宋体" w:cs="宋体"/>
                <w:color w:val="auto"/>
                <w:szCs w:val="21"/>
              </w:rPr>
            </w:pPr>
          </w:p>
        </w:tc>
        <w:tc>
          <w:tcPr>
            <w:tcW w:w="356" w:type="pct"/>
            <w:vAlign w:val="center"/>
          </w:tcPr>
          <w:p w14:paraId="2550535E">
            <w:pPr>
              <w:spacing w:line="360" w:lineRule="auto"/>
              <w:jc w:val="center"/>
              <w:rPr>
                <w:rFonts w:ascii="宋体" w:hAnsi="宋体" w:eastAsia="宋体" w:cs="宋体"/>
                <w:color w:val="auto"/>
                <w:szCs w:val="21"/>
              </w:rPr>
            </w:pPr>
          </w:p>
        </w:tc>
        <w:tc>
          <w:tcPr>
            <w:tcW w:w="356" w:type="pct"/>
            <w:vAlign w:val="center"/>
          </w:tcPr>
          <w:p w14:paraId="159B0070">
            <w:pPr>
              <w:spacing w:line="360" w:lineRule="auto"/>
              <w:jc w:val="center"/>
              <w:rPr>
                <w:rFonts w:ascii="宋体" w:hAnsi="宋体" w:eastAsia="宋体" w:cs="宋体"/>
                <w:color w:val="auto"/>
                <w:szCs w:val="21"/>
              </w:rPr>
            </w:pPr>
          </w:p>
        </w:tc>
        <w:tc>
          <w:tcPr>
            <w:tcW w:w="865" w:type="pct"/>
            <w:vAlign w:val="center"/>
          </w:tcPr>
          <w:p w14:paraId="766C8082">
            <w:pPr>
              <w:spacing w:line="360" w:lineRule="auto"/>
              <w:jc w:val="center"/>
              <w:rPr>
                <w:rFonts w:ascii="宋体" w:hAnsi="宋体" w:eastAsia="宋体" w:cs="宋体"/>
                <w:color w:val="auto"/>
                <w:szCs w:val="21"/>
              </w:rPr>
            </w:pPr>
          </w:p>
        </w:tc>
        <w:tc>
          <w:tcPr>
            <w:tcW w:w="745" w:type="pct"/>
            <w:vAlign w:val="center"/>
          </w:tcPr>
          <w:p w14:paraId="3B8AE16E">
            <w:pPr>
              <w:spacing w:line="360" w:lineRule="auto"/>
              <w:jc w:val="center"/>
              <w:rPr>
                <w:rFonts w:ascii="宋体" w:hAnsi="宋体" w:eastAsia="宋体" w:cs="宋体"/>
                <w:color w:val="auto"/>
                <w:szCs w:val="21"/>
              </w:rPr>
            </w:pPr>
          </w:p>
        </w:tc>
        <w:tc>
          <w:tcPr>
            <w:tcW w:w="870" w:type="pct"/>
            <w:vAlign w:val="center"/>
          </w:tcPr>
          <w:p w14:paraId="59F70982">
            <w:pPr>
              <w:spacing w:line="360" w:lineRule="auto"/>
              <w:jc w:val="center"/>
              <w:rPr>
                <w:rFonts w:ascii="宋体" w:hAnsi="宋体" w:eastAsia="宋体" w:cs="宋体"/>
                <w:color w:val="auto"/>
                <w:szCs w:val="21"/>
              </w:rPr>
            </w:pPr>
          </w:p>
        </w:tc>
        <w:tc>
          <w:tcPr>
            <w:tcW w:w="497" w:type="pct"/>
            <w:vAlign w:val="center"/>
          </w:tcPr>
          <w:p w14:paraId="7534A42E">
            <w:pPr>
              <w:spacing w:line="360" w:lineRule="auto"/>
              <w:jc w:val="center"/>
              <w:rPr>
                <w:rFonts w:ascii="宋体" w:hAnsi="宋体" w:eastAsia="宋体" w:cs="宋体"/>
                <w:color w:val="auto"/>
                <w:szCs w:val="21"/>
              </w:rPr>
            </w:pPr>
          </w:p>
        </w:tc>
      </w:tr>
      <w:tr w14:paraId="28C5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20B0E88A">
            <w:pPr>
              <w:spacing w:line="360" w:lineRule="auto"/>
              <w:jc w:val="center"/>
              <w:rPr>
                <w:rFonts w:ascii="宋体" w:hAnsi="宋体" w:eastAsia="宋体" w:cs="宋体"/>
                <w:color w:val="auto"/>
                <w:szCs w:val="21"/>
              </w:rPr>
            </w:pPr>
          </w:p>
        </w:tc>
        <w:tc>
          <w:tcPr>
            <w:tcW w:w="614" w:type="pct"/>
            <w:vAlign w:val="center"/>
          </w:tcPr>
          <w:p w14:paraId="3DD5B140">
            <w:pPr>
              <w:spacing w:line="360" w:lineRule="auto"/>
              <w:jc w:val="center"/>
              <w:rPr>
                <w:rFonts w:ascii="宋体" w:hAnsi="宋体" w:eastAsia="宋体" w:cs="宋体"/>
                <w:color w:val="auto"/>
                <w:szCs w:val="21"/>
              </w:rPr>
            </w:pPr>
          </w:p>
        </w:tc>
        <w:tc>
          <w:tcPr>
            <w:tcW w:w="356" w:type="pct"/>
            <w:vAlign w:val="center"/>
          </w:tcPr>
          <w:p w14:paraId="49FDCA27">
            <w:pPr>
              <w:spacing w:line="360" w:lineRule="auto"/>
              <w:jc w:val="center"/>
              <w:rPr>
                <w:rFonts w:ascii="宋体" w:hAnsi="宋体" w:eastAsia="宋体" w:cs="宋体"/>
                <w:color w:val="auto"/>
                <w:szCs w:val="21"/>
              </w:rPr>
            </w:pPr>
          </w:p>
        </w:tc>
        <w:tc>
          <w:tcPr>
            <w:tcW w:w="356" w:type="pct"/>
            <w:vAlign w:val="center"/>
          </w:tcPr>
          <w:p w14:paraId="28411535">
            <w:pPr>
              <w:spacing w:line="360" w:lineRule="auto"/>
              <w:jc w:val="center"/>
              <w:rPr>
                <w:rFonts w:ascii="宋体" w:hAnsi="宋体" w:eastAsia="宋体" w:cs="宋体"/>
                <w:color w:val="auto"/>
                <w:szCs w:val="21"/>
              </w:rPr>
            </w:pPr>
          </w:p>
        </w:tc>
        <w:tc>
          <w:tcPr>
            <w:tcW w:w="356" w:type="pct"/>
            <w:vAlign w:val="center"/>
          </w:tcPr>
          <w:p w14:paraId="63D76054">
            <w:pPr>
              <w:spacing w:line="360" w:lineRule="auto"/>
              <w:jc w:val="center"/>
              <w:rPr>
                <w:rFonts w:ascii="宋体" w:hAnsi="宋体" w:eastAsia="宋体" w:cs="宋体"/>
                <w:color w:val="auto"/>
                <w:szCs w:val="21"/>
              </w:rPr>
            </w:pPr>
          </w:p>
        </w:tc>
        <w:tc>
          <w:tcPr>
            <w:tcW w:w="865" w:type="pct"/>
            <w:vAlign w:val="center"/>
          </w:tcPr>
          <w:p w14:paraId="58975AB2">
            <w:pPr>
              <w:spacing w:line="360" w:lineRule="auto"/>
              <w:jc w:val="center"/>
              <w:rPr>
                <w:rFonts w:ascii="宋体" w:hAnsi="宋体" w:eastAsia="宋体" w:cs="宋体"/>
                <w:color w:val="auto"/>
                <w:szCs w:val="21"/>
              </w:rPr>
            </w:pPr>
          </w:p>
        </w:tc>
        <w:tc>
          <w:tcPr>
            <w:tcW w:w="745" w:type="pct"/>
            <w:vAlign w:val="center"/>
          </w:tcPr>
          <w:p w14:paraId="417F32E2">
            <w:pPr>
              <w:spacing w:line="360" w:lineRule="auto"/>
              <w:jc w:val="center"/>
              <w:rPr>
                <w:rFonts w:ascii="宋体" w:hAnsi="宋体" w:eastAsia="宋体" w:cs="宋体"/>
                <w:color w:val="auto"/>
                <w:szCs w:val="21"/>
              </w:rPr>
            </w:pPr>
          </w:p>
        </w:tc>
        <w:tc>
          <w:tcPr>
            <w:tcW w:w="870" w:type="pct"/>
            <w:vAlign w:val="center"/>
          </w:tcPr>
          <w:p w14:paraId="47CFE83C">
            <w:pPr>
              <w:spacing w:line="360" w:lineRule="auto"/>
              <w:jc w:val="center"/>
              <w:rPr>
                <w:rFonts w:ascii="宋体" w:hAnsi="宋体" w:eastAsia="宋体" w:cs="宋体"/>
                <w:color w:val="auto"/>
                <w:szCs w:val="21"/>
              </w:rPr>
            </w:pPr>
          </w:p>
        </w:tc>
        <w:tc>
          <w:tcPr>
            <w:tcW w:w="497" w:type="pct"/>
            <w:vAlign w:val="center"/>
          </w:tcPr>
          <w:p w14:paraId="0E0D215D">
            <w:pPr>
              <w:spacing w:line="360" w:lineRule="auto"/>
              <w:jc w:val="center"/>
              <w:rPr>
                <w:rFonts w:ascii="宋体" w:hAnsi="宋体" w:eastAsia="宋体" w:cs="宋体"/>
                <w:color w:val="auto"/>
                <w:szCs w:val="21"/>
              </w:rPr>
            </w:pPr>
          </w:p>
        </w:tc>
      </w:tr>
      <w:tr w14:paraId="77FD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406E3E57">
            <w:pPr>
              <w:spacing w:line="360" w:lineRule="auto"/>
              <w:jc w:val="center"/>
              <w:rPr>
                <w:rFonts w:ascii="宋体" w:hAnsi="宋体" w:eastAsia="宋体" w:cs="宋体"/>
                <w:color w:val="auto"/>
                <w:szCs w:val="21"/>
              </w:rPr>
            </w:pPr>
          </w:p>
        </w:tc>
        <w:tc>
          <w:tcPr>
            <w:tcW w:w="614" w:type="pct"/>
            <w:vAlign w:val="center"/>
          </w:tcPr>
          <w:p w14:paraId="605A6672">
            <w:pPr>
              <w:spacing w:line="360" w:lineRule="auto"/>
              <w:jc w:val="center"/>
              <w:rPr>
                <w:rFonts w:ascii="宋体" w:hAnsi="宋体" w:eastAsia="宋体" w:cs="宋体"/>
                <w:color w:val="auto"/>
                <w:szCs w:val="21"/>
              </w:rPr>
            </w:pPr>
          </w:p>
        </w:tc>
        <w:tc>
          <w:tcPr>
            <w:tcW w:w="356" w:type="pct"/>
            <w:vAlign w:val="center"/>
          </w:tcPr>
          <w:p w14:paraId="07191143">
            <w:pPr>
              <w:spacing w:line="360" w:lineRule="auto"/>
              <w:jc w:val="center"/>
              <w:rPr>
                <w:rFonts w:ascii="宋体" w:hAnsi="宋体" w:eastAsia="宋体" w:cs="宋体"/>
                <w:color w:val="auto"/>
                <w:szCs w:val="21"/>
              </w:rPr>
            </w:pPr>
          </w:p>
        </w:tc>
        <w:tc>
          <w:tcPr>
            <w:tcW w:w="356" w:type="pct"/>
            <w:vAlign w:val="center"/>
          </w:tcPr>
          <w:p w14:paraId="67B7F5C1">
            <w:pPr>
              <w:spacing w:line="360" w:lineRule="auto"/>
              <w:jc w:val="center"/>
              <w:rPr>
                <w:rFonts w:ascii="宋体" w:hAnsi="宋体" w:eastAsia="宋体" w:cs="宋体"/>
                <w:color w:val="auto"/>
                <w:szCs w:val="21"/>
              </w:rPr>
            </w:pPr>
          </w:p>
        </w:tc>
        <w:tc>
          <w:tcPr>
            <w:tcW w:w="356" w:type="pct"/>
            <w:vAlign w:val="center"/>
          </w:tcPr>
          <w:p w14:paraId="175BD2B8">
            <w:pPr>
              <w:spacing w:line="360" w:lineRule="auto"/>
              <w:jc w:val="center"/>
              <w:rPr>
                <w:rFonts w:ascii="宋体" w:hAnsi="宋体" w:eastAsia="宋体" w:cs="宋体"/>
                <w:color w:val="auto"/>
                <w:szCs w:val="21"/>
              </w:rPr>
            </w:pPr>
          </w:p>
        </w:tc>
        <w:tc>
          <w:tcPr>
            <w:tcW w:w="865" w:type="pct"/>
            <w:vAlign w:val="center"/>
          </w:tcPr>
          <w:p w14:paraId="38AF9C02">
            <w:pPr>
              <w:spacing w:line="360" w:lineRule="auto"/>
              <w:jc w:val="center"/>
              <w:rPr>
                <w:rFonts w:ascii="宋体" w:hAnsi="宋体" w:eastAsia="宋体" w:cs="宋体"/>
                <w:color w:val="auto"/>
                <w:szCs w:val="21"/>
              </w:rPr>
            </w:pPr>
          </w:p>
        </w:tc>
        <w:tc>
          <w:tcPr>
            <w:tcW w:w="745" w:type="pct"/>
            <w:vAlign w:val="center"/>
          </w:tcPr>
          <w:p w14:paraId="4400D749">
            <w:pPr>
              <w:spacing w:line="360" w:lineRule="auto"/>
              <w:jc w:val="center"/>
              <w:rPr>
                <w:rFonts w:ascii="宋体" w:hAnsi="宋体" w:eastAsia="宋体" w:cs="宋体"/>
                <w:color w:val="auto"/>
                <w:szCs w:val="21"/>
              </w:rPr>
            </w:pPr>
          </w:p>
        </w:tc>
        <w:tc>
          <w:tcPr>
            <w:tcW w:w="870" w:type="pct"/>
            <w:vAlign w:val="center"/>
          </w:tcPr>
          <w:p w14:paraId="6F4FEE33">
            <w:pPr>
              <w:spacing w:line="360" w:lineRule="auto"/>
              <w:jc w:val="center"/>
              <w:rPr>
                <w:rFonts w:ascii="宋体" w:hAnsi="宋体" w:eastAsia="宋体" w:cs="宋体"/>
                <w:color w:val="auto"/>
                <w:szCs w:val="21"/>
              </w:rPr>
            </w:pPr>
          </w:p>
        </w:tc>
        <w:tc>
          <w:tcPr>
            <w:tcW w:w="497" w:type="pct"/>
            <w:vAlign w:val="center"/>
          </w:tcPr>
          <w:p w14:paraId="6871FCD5">
            <w:pPr>
              <w:spacing w:line="360" w:lineRule="auto"/>
              <w:jc w:val="center"/>
              <w:rPr>
                <w:rFonts w:ascii="宋体" w:hAnsi="宋体" w:eastAsia="宋体" w:cs="宋体"/>
                <w:color w:val="auto"/>
                <w:szCs w:val="21"/>
              </w:rPr>
            </w:pPr>
          </w:p>
        </w:tc>
      </w:tr>
      <w:tr w14:paraId="7D25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4DED8E53">
            <w:pPr>
              <w:spacing w:line="360" w:lineRule="auto"/>
              <w:jc w:val="center"/>
              <w:rPr>
                <w:rFonts w:ascii="宋体" w:hAnsi="宋体" w:eastAsia="宋体" w:cs="宋体"/>
                <w:color w:val="auto"/>
                <w:szCs w:val="21"/>
              </w:rPr>
            </w:pPr>
          </w:p>
        </w:tc>
        <w:tc>
          <w:tcPr>
            <w:tcW w:w="614" w:type="pct"/>
            <w:vAlign w:val="center"/>
          </w:tcPr>
          <w:p w14:paraId="2D79D880">
            <w:pPr>
              <w:spacing w:line="360" w:lineRule="auto"/>
              <w:jc w:val="center"/>
              <w:rPr>
                <w:rFonts w:ascii="宋体" w:hAnsi="宋体" w:eastAsia="宋体" w:cs="宋体"/>
                <w:color w:val="auto"/>
                <w:szCs w:val="21"/>
              </w:rPr>
            </w:pPr>
          </w:p>
        </w:tc>
        <w:tc>
          <w:tcPr>
            <w:tcW w:w="356" w:type="pct"/>
            <w:vAlign w:val="center"/>
          </w:tcPr>
          <w:p w14:paraId="367371E1">
            <w:pPr>
              <w:spacing w:line="360" w:lineRule="auto"/>
              <w:jc w:val="center"/>
              <w:rPr>
                <w:rFonts w:ascii="宋体" w:hAnsi="宋体" w:eastAsia="宋体" w:cs="宋体"/>
                <w:color w:val="auto"/>
                <w:szCs w:val="21"/>
              </w:rPr>
            </w:pPr>
          </w:p>
        </w:tc>
        <w:tc>
          <w:tcPr>
            <w:tcW w:w="356" w:type="pct"/>
            <w:vAlign w:val="center"/>
          </w:tcPr>
          <w:p w14:paraId="05E4943E">
            <w:pPr>
              <w:spacing w:line="360" w:lineRule="auto"/>
              <w:jc w:val="center"/>
              <w:rPr>
                <w:rFonts w:ascii="宋体" w:hAnsi="宋体" w:eastAsia="宋体" w:cs="宋体"/>
                <w:color w:val="auto"/>
                <w:szCs w:val="21"/>
              </w:rPr>
            </w:pPr>
          </w:p>
        </w:tc>
        <w:tc>
          <w:tcPr>
            <w:tcW w:w="356" w:type="pct"/>
            <w:vAlign w:val="center"/>
          </w:tcPr>
          <w:p w14:paraId="2D17B749">
            <w:pPr>
              <w:spacing w:line="360" w:lineRule="auto"/>
              <w:jc w:val="center"/>
              <w:rPr>
                <w:rFonts w:ascii="宋体" w:hAnsi="宋体" w:eastAsia="宋体" w:cs="宋体"/>
                <w:color w:val="auto"/>
                <w:szCs w:val="21"/>
              </w:rPr>
            </w:pPr>
          </w:p>
        </w:tc>
        <w:tc>
          <w:tcPr>
            <w:tcW w:w="865" w:type="pct"/>
            <w:vAlign w:val="center"/>
          </w:tcPr>
          <w:p w14:paraId="01DF3E2B">
            <w:pPr>
              <w:spacing w:line="360" w:lineRule="auto"/>
              <w:jc w:val="center"/>
              <w:rPr>
                <w:rFonts w:ascii="宋体" w:hAnsi="宋体" w:eastAsia="宋体" w:cs="宋体"/>
                <w:color w:val="auto"/>
                <w:szCs w:val="21"/>
              </w:rPr>
            </w:pPr>
          </w:p>
        </w:tc>
        <w:tc>
          <w:tcPr>
            <w:tcW w:w="745" w:type="pct"/>
            <w:vAlign w:val="center"/>
          </w:tcPr>
          <w:p w14:paraId="6C60B882">
            <w:pPr>
              <w:spacing w:line="360" w:lineRule="auto"/>
              <w:jc w:val="center"/>
              <w:rPr>
                <w:rFonts w:ascii="宋体" w:hAnsi="宋体" w:eastAsia="宋体" w:cs="宋体"/>
                <w:color w:val="auto"/>
                <w:szCs w:val="21"/>
              </w:rPr>
            </w:pPr>
          </w:p>
        </w:tc>
        <w:tc>
          <w:tcPr>
            <w:tcW w:w="870" w:type="pct"/>
            <w:vAlign w:val="center"/>
          </w:tcPr>
          <w:p w14:paraId="5593389B">
            <w:pPr>
              <w:spacing w:line="360" w:lineRule="auto"/>
              <w:jc w:val="center"/>
              <w:rPr>
                <w:rFonts w:ascii="宋体" w:hAnsi="宋体" w:eastAsia="宋体" w:cs="宋体"/>
                <w:color w:val="auto"/>
                <w:szCs w:val="21"/>
              </w:rPr>
            </w:pPr>
          </w:p>
        </w:tc>
        <w:tc>
          <w:tcPr>
            <w:tcW w:w="497" w:type="pct"/>
            <w:vAlign w:val="center"/>
          </w:tcPr>
          <w:p w14:paraId="0BEF79F0">
            <w:pPr>
              <w:spacing w:line="360" w:lineRule="auto"/>
              <w:jc w:val="center"/>
              <w:rPr>
                <w:rFonts w:ascii="宋体" w:hAnsi="宋体" w:eastAsia="宋体" w:cs="宋体"/>
                <w:color w:val="auto"/>
                <w:szCs w:val="21"/>
              </w:rPr>
            </w:pPr>
          </w:p>
        </w:tc>
      </w:tr>
      <w:tr w14:paraId="3566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1" w:type="pct"/>
            <w:vAlign w:val="center"/>
          </w:tcPr>
          <w:p w14:paraId="289EA098">
            <w:pPr>
              <w:spacing w:line="360" w:lineRule="auto"/>
              <w:jc w:val="center"/>
              <w:rPr>
                <w:rFonts w:ascii="宋体" w:hAnsi="宋体" w:eastAsia="宋体" w:cs="宋体"/>
                <w:color w:val="auto"/>
                <w:szCs w:val="21"/>
              </w:rPr>
            </w:pPr>
          </w:p>
        </w:tc>
        <w:tc>
          <w:tcPr>
            <w:tcW w:w="614" w:type="pct"/>
            <w:vAlign w:val="center"/>
          </w:tcPr>
          <w:p w14:paraId="6883ADB9">
            <w:pPr>
              <w:spacing w:line="360" w:lineRule="auto"/>
              <w:jc w:val="center"/>
              <w:rPr>
                <w:rFonts w:ascii="宋体" w:hAnsi="宋体" w:eastAsia="宋体" w:cs="宋体"/>
                <w:color w:val="auto"/>
                <w:szCs w:val="21"/>
              </w:rPr>
            </w:pPr>
          </w:p>
        </w:tc>
        <w:tc>
          <w:tcPr>
            <w:tcW w:w="356" w:type="pct"/>
            <w:vAlign w:val="center"/>
          </w:tcPr>
          <w:p w14:paraId="1EAC8F7D">
            <w:pPr>
              <w:spacing w:line="360" w:lineRule="auto"/>
              <w:jc w:val="center"/>
              <w:rPr>
                <w:rFonts w:ascii="宋体" w:hAnsi="宋体" w:eastAsia="宋体" w:cs="宋体"/>
                <w:color w:val="auto"/>
                <w:szCs w:val="21"/>
              </w:rPr>
            </w:pPr>
          </w:p>
        </w:tc>
        <w:tc>
          <w:tcPr>
            <w:tcW w:w="356" w:type="pct"/>
            <w:vAlign w:val="center"/>
          </w:tcPr>
          <w:p w14:paraId="5D097CDC">
            <w:pPr>
              <w:spacing w:line="360" w:lineRule="auto"/>
              <w:jc w:val="center"/>
              <w:rPr>
                <w:rFonts w:ascii="宋体" w:hAnsi="宋体" w:eastAsia="宋体" w:cs="宋体"/>
                <w:color w:val="auto"/>
                <w:szCs w:val="21"/>
              </w:rPr>
            </w:pPr>
          </w:p>
        </w:tc>
        <w:tc>
          <w:tcPr>
            <w:tcW w:w="356" w:type="pct"/>
            <w:vAlign w:val="center"/>
          </w:tcPr>
          <w:p w14:paraId="5007E494">
            <w:pPr>
              <w:spacing w:line="360" w:lineRule="auto"/>
              <w:jc w:val="center"/>
              <w:rPr>
                <w:rFonts w:ascii="宋体" w:hAnsi="宋体" w:eastAsia="宋体" w:cs="宋体"/>
                <w:color w:val="auto"/>
                <w:szCs w:val="21"/>
              </w:rPr>
            </w:pPr>
          </w:p>
        </w:tc>
        <w:tc>
          <w:tcPr>
            <w:tcW w:w="865" w:type="pct"/>
            <w:vAlign w:val="center"/>
          </w:tcPr>
          <w:p w14:paraId="59D8E7BE">
            <w:pPr>
              <w:spacing w:line="360" w:lineRule="auto"/>
              <w:jc w:val="center"/>
              <w:rPr>
                <w:rFonts w:ascii="宋体" w:hAnsi="宋体" w:eastAsia="宋体" w:cs="宋体"/>
                <w:color w:val="auto"/>
                <w:szCs w:val="21"/>
              </w:rPr>
            </w:pPr>
          </w:p>
        </w:tc>
        <w:tc>
          <w:tcPr>
            <w:tcW w:w="745" w:type="pct"/>
            <w:vAlign w:val="center"/>
          </w:tcPr>
          <w:p w14:paraId="713F4607">
            <w:pPr>
              <w:spacing w:line="360" w:lineRule="auto"/>
              <w:jc w:val="center"/>
              <w:rPr>
                <w:rFonts w:ascii="宋体" w:hAnsi="宋体" w:eastAsia="宋体" w:cs="宋体"/>
                <w:color w:val="auto"/>
                <w:szCs w:val="21"/>
              </w:rPr>
            </w:pPr>
          </w:p>
        </w:tc>
        <w:tc>
          <w:tcPr>
            <w:tcW w:w="870" w:type="pct"/>
            <w:vAlign w:val="center"/>
          </w:tcPr>
          <w:p w14:paraId="236E6ADD">
            <w:pPr>
              <w:spacing w:line="360" w:lineRule="auto"/>
              <w:jc w:val="center"/>
              <w:rPr>
                <w:rFonts w:ascii="宋体" w:hAnsi="宋体" w:eastAsia="宋体" w:cs="宋体"/>
                <w:color w:val="auto"/>
                <w:szCs w:val="21"/>
              </w:rPr>
            </w:pPr>
          </w:p>
        </w:tc>
        <w:tc>
          <w:tcPr>
            <w:tcW w:w="497" w:type="pct"/>
            <w:vAlign w:val="center"/>
          </w:tcPr>
          <w:p w14:paraId="5E065E8D">
            <w:pPr>
              <w:spacing w:line="360" w:lineRule="auto"/>
              <w:jc w:val="center"/>
              <w:rPr>
                <w:rFonts w:ascii="宋体" w:hAnsi="宋体" w:eastAsia="宋体" w:cs="宋体"/>
                <w:color w:val="auto"/>
                <w:szCs w:val="21"/>
              </w:rPr>
            </w:pPr>
          </w:p>
        </w:tc>
      </w:tr>
      <w:tr w14:paraId="5597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41" w:type="pct"/>
            <w:vAlign w:val="center"/>
          </w:tcPr>
          <w:p w14:paraId="29BBD83D">
            <w:pPr>
              <w:spacing w:line="360" w:lineRule="auto"/>
              <w:jc w:val="center"/>
              <w:rPr>
                <w:rFonts w:ascii="宋体" w:hAnsi="宋体" w:eastAsia="宋体" w:cs="宋体"/>
                <w:color w:val="auto"/>
                <w:szCs w:val="21"/>
              </w:rPr>
            </w:pPr>
          </w:p>
        </w:tc>
        <w:tc>
          <w:tcPr>
            <w:tcW w:w="614" w:type="pct"/>
            <w:vAlign w:val="center"/>
          </w:tcPr>
          <w:p w14:paraId="2663539C">
            <w:pPr>
              <w:spacing w:line="360" w:lineRule="auto"/>
              <w:jc w:val="center"/>
              <w:rPr>
                <w:rFonts w:ascii="宋体" w:hAnsi="宋体" w:eastAsia="宋体" w:cs="宋体"/>
                <w:color w:val="auto"/>
                <w:szCs w:val="21"/>
              </w:rPr>
            </w:pPr>
          </w:p>
        </w:tc>
        <w:tc>
          <w:tcPr>
            <w:tcW w:w="356" w:type="pct"/>
            <w:vAlign w:val="center"/>
          </w:tcPr>
          <w:p w14:paraId="4B8B4B08">
            <w:pPr>
              <w:spacing w:line="360" w:lineRule="auto"/>
              <w:jc w:val="center"/>
              <w:rPr>
                <w:rFonts w:ascii="宋体" w:hAnsi="宋体" w:eastAsia="宋体" w:cs="宋体"/>
                <w:color w:val="auto"/>
                <w:szCs w:val="21"/>
              </w:rPr>
            </w:pPr>
          </w:p>
        </w:tc>
        <w:tc>
          <w:tcPr>
            <w:tcW w:w="356" w:type="pct"/>
            <w:vAlign w:val="center"/>
          </w:tcPr>
          <w:p w14:paraId="39CA570F">
            <w:pPr>
              <w:spacing w:line="360" w:lineRule="auto"/>
              <w:jc w:val="center"/>
              <w:rPr>
                <w:rFonts w:ascii="宋体" w:hAnsi="宋体" w:eastAsia="宋体" w:cs="宋体"/>
                <w:color w:val="auto"/>
                <w:szCs w:val="21"/>
              </w:rPr>
            </w:pPr>
          </w:p>
        </w:tc>
        <w:tc>
          <w:tcPr>
            <w:tcW w:w="356" w:type="pct"/>
            <w:vAlign w:val="center"/>
          </w:tcPr>
          <w:p w14:paraId="227ABC88">
            <w:pPr>
              <w:spacing w:line="360" w:lineRule="auto"/>
              <w:jc w:val="center"/>
              <w:rPr>
                <w:rFonts w:ascii="宋体" w:hAnsi="宋体" w:eastAsia="宋体" w:cs="宋体"/>
                <w:color w:val="auto"/>
                <w:szCs w:val="21"/>
              </w:rPr>
            </w:pPr>
          </w:p>
        </w:tc>
        <w:tc>
          <w:tcPr>
            <w:tcW w:w="865" w:type="pct"/>
            <w:vAlign w:val="center"/>
          </w:tcPr>
          <w:p w14:paraId="599F7E54">
            <w:pPr>
              <w:spacing w:line="360" w:lineRule="auto"/>
              <w:jc w:val="center"/>
              <w:rPr>
                <w:rFonts w:ascii="宋体" w:hAnsi="宋体" w:eastAsia="宋体" w:cs="宋体"/>
                <w:color w:val="auto"/>
                <w:szCs w:val="21"/>
              </w:rPr>
            </w:pPr>
          </w:p>
        </w:tc>
        <w:tc>
          <w:tcPr>
            <w:tcW w:w="745" w:type="pct"/>
            <w:vAlign w:val="center"/>
          </w:tcPr>
          <w:p w14:paraId="56BE3CF3">
            <w:pPr>
              <w:spacing w:line="360" w:lineRule="auto"/>
              <w:jc w:val="center"/>
              <w:rPr>
                <w:rFonts w:ascii="宋体" w:hAnsi="宋体" w:eastAsia="宋体" w:cs="宋体"/>
                <w:color w:val="auto"/>
                <w:szCs w:val="21"/>
              </w:rPr>
            </w:pPr>
          </w:p>
        </w:tc>
        <w:tc>
          <w:tcPr>
            <w:tcW w:w="870" w:type="pct"/>
            <w:vAlign w:val="center"/>
          </w:tcPr>
          <w:p w14:paraId="5B350759">
            <w:pPr>
              <w:spacing w:line="360" w:lineRule="auto"/>
              <w:jc w:val="center"/>
              <w:rPr>
                <w:rFonts w:ascii="宋体" w:hAnsi="宋体" w:eastAsia="宋体" w:cs="宋体"/>
                <w:color w:val="auto"/>
                <w:szCs w:val="21"/>
              </w:rPr>
            </w:pPr>
          </w:p>
        </w:tc>
        <w:tc>
          <w:tcPr>
            <w:tcW w:w="497" w:type="pct"/>
            <w:vAlign w:val="center"/>
          </w:tcPr>
          <w:p w14:paraId="1C67CFB4">
            <w:pPr>
              <w:spacing w:line="360" w:lineRule="auto"/>
              <w:jc w:val="center"/>
              <w:rPr>
                <w:rFonts w:ascii="宋体" w:hAnsi="宋体" w:eastAsia="宋体" w:cs="宋体"/>
                <w:color w:val="auto"/>
                <w:szCs w:val="21"/>
              </w:rPr>
            </w:pPr>
          </w:p>
        </w:tc>
      </w:tr>
      <w:tr w14:paraId="6367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41" w:type="pct"/>
            <w:vAlign w:val="center"/>
          </w:tcPr>
          <w:p w14:paraId="41A75476">
            <w:pPr>
              <w:spacing w:line="360" w:lineRule="auto"/>
              <w:jc w:val="center"/>
              <w:rPr>
                <w:rFonts w:ascii="宋体" w:hAnsi="宋体" w:eastAsia="宋体" w:cs="宋体"/>
                <w:color w:val="auto"/>
                <w:szCs w:val="21"/>
              </w:rPr>
            </w:pPr>
          </w:p>
        </w:tc>
        <w:tc>
          <w:tcPr>
            <w:tcW w:w="614" w:type="pct"/>
            <w:vAlign w:val="center"/>
          </w:tcPr>
          <w:p w14:paraId="4B601B04">
            <w:pPr>
              <w:spacing w:line="360" w:lineRule="auto"/>
              <w:jc w:val="center"/>
              <w:rPr>
                <w:rFonts w:ascii="宋体" w:hAnsi="宋体" w:eastAsia="宋体" w:cs="宋体"/>
                <w:color w:val="auto"/>
                <w:szCs w:val="21"/>
              </w:rPr>
            </w:pPr>
          </w:p>
        </w:tc>
        <w:tc>
          <w:tcPr>
            <w:tcW w:w="356" w:type="pct"/>
            <w:vAlign w:val="center"/>
          </w:tcPr>
          <w:p w14:paraId="40F954BA">
            <w:pPr>
              <w:spacing w:line="360" w:lineRule="auto"/>
              <w:jc w:val="center"/>
              <w:rPr>
                <w:rFonts w:ascii="宋体" w:hAnsi="宋体" w:eastAsia="宋体" w:cs="宋体"/>
                <w:color w:val="auto"/>
                <w:szCs w:val="21"/>
              </w:rPr>
            </w:pPr>
          </w:p>
        </w:tc>
        <w:tc>
          <w:tcPr>
            <w:tcW w:w="356" w:type="pct"/>
            <w:vAlign w:val="center"/>
          </w:tcPr>
          <w:p w14:paraId="3834291B">
            <w:pPr>
              <w:spacing w:line="360" w:lineRule="auto"/>
              <w:jc w:val="center"/>
              <w:rPr>
                <w:rFonts w:ascii="宋体" w:hAnsi="宋体" w:eastAsia="宋体" w:cs="宋体"/>
                <w:color w:val="auto"/>
                <w:szCs w:val="21"/>
              </w:rPr>
            </w:pPr>
          </w:p>
        </w:tc>
        <w:tc>
          <w:tcPr>
            <w:tcW w:w="356" w:type="pct"/>
            <w:vAlign w:val="center"/>
          </w:tcPr>
          <w:p w14:paraId="4419B9DD">
            <w:pPr>
              <w:spacing w:line="360" w:lineRule="auto"/>
              <w:jc w:val="center"/>
              <w:rPr>
                <w:rFonts w:ascii="宋体" w:hAnsi="宋体" w:eastAsia="宋体" w:cs="宋体"/>
                <w:color w:val="auto"/>
                <w:szCs w:val="21"/>
              </w:rPr>
            </w:pPr>
          </w:p>
        </w:tc>
        <w:tc>
          <w:tcPr>
            <w:tcW w:w="865" w:type="pct"/>
            <w:vAlign w:val="center"/>
          </w:tcPr>
          <w:p w14:paraId="29FC30F2">
            <w:pPr>
              <w:spacing w:line="360" w:lineRule="auto"/>
              <w:jc w:val="center"/>
              <w:rPr>
                <w:rFonts w:ascii="宋体" w:hAnsi="宋体" w:eastAsia="宋体" w:cs="宋体"/>
                <w:color w:val="auto"/>
                <w:szCs w:val="21"/>
              </w:rPr>
            </w:pPr>
          </w:p>
        </w:tc>
        <w:tc>
          <w:tcPr>
            <w:tcW w:w="745" w:type="pct"/>
            <w:vAlign w:val="center"/>
          </w:tcPr>
          <w:p w14:paraId="4AEE8FB3">
            <w:pPr>
              <w:spacing w:line="360" w:lineRule="auto"/>
              <w:jc w:val="center"/>
              <w:rPr>
                <w:rFonts w:ascii="宋体" w:hAnsi="宋体" w:eastAsia="宋体" w:cs="宋体"/>
                <w:color w:val="auto"/>
                <w:szCs w:val="21"/>
              </w:rPr>
            </w:pPr>
          </w:p>
        </w:tc>
        <w:tc>
          <w:tcPr>
            <w:tcW w:w="870" w:type="pct"/>
            <w:vAlign w:val="center"/>
          </w:tcPr>
          <w:p w14:paraId="3D0BB36C">
            <w:pPr>
              <w:spacing w:line="360" w:lineRule="auto"/>
              <w:jc w:val="center"/>
              <w:rPr>
                <w:rFonts w:ascii="宋体" w:hAnsi="宋体" w:eastAsia="宋体" w:cs="宋体"/>
                <w:color w:val="auto"/>
                <w:szCs w:val="21"/>
              </w:rPr>
            </w:pPr>
          </w:p>
        </w:tc>
        <w:tc>
          <w:tcPr>
            <w:tcW w:w="497" w:type="pct"/>
            <w:vAlign w:val="center"/>
          </w:tcPr>
          <w:p w14:paraId="04EF1792">
            <w:pPr>
              <w:spacing w:line="360" w:lineRule="auto"/>
              <w:jc w:val="center"/>
              <w:rPr>
                <w:rFonts w:ascii="宋体" w:hAnsi="宋体" w:eastAsia="宋体" w:cs="宋体"/>
                <w:color w:val="auto"/>
                <w:szCs w:val="21"/>
              </w:rPr>
            </w:pPr>
          </w:p>
        </w:tc>
      </w:tr>
      <w:tr w14:paraId="7741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41" w:type="pct"/>
            <w:vAlign w:val="center"/>
          </w:tcPr>
          <w:p w14:paraId="25148FDC">
            <w:pPr>
              <w:spacing w:line="360" w:lineRule="auto"/>
              <w:jc w:val="center"/>
              <w:rPr>
                <w:rFonts w:ascii="宋体" w:hAnsi="宋体" w:eastAsia="宋体" w:cs="宋体"/>
                <w:color w:val="auto"/>
                <w:szCs w:val="21"/>
              </w:rPr>
            </w:pPr>
          </w:p>
        </w:tc>
        <w:tc>
          <w:tcPr>
            <w:tcW w:w="614" w:type="pct"/>
            <w:vAlign w:val="center"/>
          </w:tcPr>
          <w:p w14:paraId="20DFB840">
            <w:pPr>
              <w:spacing w:line="360" w:lineRule="auto"/>
              <w:jc w:val="center"/>
              <w:rPr>
                <w:rFonts w:ascii="宋体" w:hAnsi="宋体" w:eastAsia="宋体" w:cs="宋体"/>
                <w:color w:val="auto"/>
                <w:szCs w:val="21"/>
              </w:rPr>
            </w:pPr>
          </w:p>
        </w:tc>
        <w:tc>
          <w:tcPr>
            <w:tcW w:w="356" w:type="pct"/>
            <w:vAlign w:val="center"/>
          </w:tcPr>
          <w:p w14:paraId="41AC341C">
            <w:pPr>
              <w:spacing w:line="360" w:lineRule="auto"/>
              <w:jc w:val="center"/>
              <w:rPr>
                <w:rFonts w:ascii="宋体" w:hAnsi="宋体" w:eastAsia="宋体" w:cs="宋体"/>
                <w:color w:val="auto"/>
                <w:szCs w:val="21"/>
              </w:rPr>
            </w:pPr>
          </w:p>
        </w:tc>
        <w:tc>
          <w:tcPr>
            <w:tcW w:w="356" w:type="pct"/>
            <w:vAlign w:val="center"/>
          </w:tcPr>
          <w:p w14:paraId="0657ED3E">
            <w:pPr>
              <w:spacing w:line="360" w:lineRule="auto"/>
              <w:jc w:val="center"/>
              <w:rPr>
                <w:rFonts w:ascii="宋体" w:hAnsi="宋体" w:eastAsia="宋体" w:cs="宋体"/>
                <w:color w:val="auto"/>
                <w:szCs w:val="21"/>
              </w:rPr>
            </w:pPr>
          </w:p>
        </w:tc>
        <w:tc>
          <w:tcPr>
            <w:tcW w:w="356" w:type="pct"/>
            <w:vAlign w:val="center"/>
          </w:tcPr>
          <w:p w14:paraId="7635198B">
            <w:pPr>
              <w:spacing w:line="360" w:lineRule="auto"/>
              <w:jc w:val="center"/>
              <w:rPr>
                <w:rFonts w:ascii="宋体" w:hAnsi="宋体" w:eastAsia="宋体" w:cs="宋体"/>
                <w:color w:val="auto"/>
                <w:szCs w:val="21"/>
              </w:rPr>
            </w:pPr>
          </w:p>
        </w:tc>
        <w:tc>
          <w:tcPr>
            <w:tcW w:w="865" w:type="pct"/>
            <w:vAlign w:val="center"/>
          </w:tcPr>
          <w:p w14:paraId="6E21E846">
            <w:pPr>
              <w:spacing w:line="360" w:lineRule="auto"/>
              <w:jc w:val="center"/>
              <w:rPr>
                <w:rFonts w:ascii="宋体" w:hAnsi="宋体" w:eastAsia="宋体" w:cs="宋体"/>
                <w:color w:val="auto"/>
                <w:szCs w:val="21"/>
              </w:rPr>
            </w:pPr>
          </w:p>
        </w:tc>
        <w:tc>
          <w:tcPr>
            <w:tcW w:w="745" w:type="pct"/>
            <w:vAlign w:val="center"/>
          </w:tcPr>
          <w:p w14:paraId="25D8AC29">
            <w:pPr>
              <w:spacing w:line="360" w:lineRule="auto"/>
              <w:jc w:val="center"/>
              <w:rPr>
                <w:rFonts w:ascii="宋体" w:hAnsi="宋体" w:eastAsia="宋体" w:cs="宋体"/>
                <w:color w:val="auto"/>
                <w:szCs w:val="21"/>
              </w:rPr>
            </w:pPr>
          </w:p>
        </w:tc>
        <w:tc>
          <w:tcPr>
            <w:tcW w:w="870" w:type="pct"/>
            <w:vAlign w:val="center"/>
          </w:tcPr>
          <w:p w14:paraId="04515593">
            <w:pPr>
              <w:spacing w:line="360" w:lineRule="auto"/>
              <w:jc w:val="center"/>
              <w:rPr>
                <w:rFonts w:ascii="宋体" w:hAnsi="宋体" w:eastAsia="宋体" w:cs="宋体"/>
                <w:color w:val="auto"/>
                <w:szCs w:val="21"/>
              </w:rPr>
            </w:pPr>
          </w:p>
        </w:tc>
        <w:tc>
          <w:tcPr>
            <w:tcW w:w="497" w:type="pct"/>
            <w:vAlign w:val="center"/>
          </w:tcPr>
          <w:p w14:paraId="3F4C901D">
            <w:pPr>
              <w:spacing w:line="360" w:lineRule="auto"/>
              <w:jc w:val="center"/>
              <w:rPr>
                <w:rFonts w:ascii="宋体" w:hAnsi="宋体" w:eastAsia="宋体" w:cs="宋体"/>
                <w:color w:val="auto"/>
                <w:szCs w:val="21"/>
              </w:rPr>
            </w:pPr>
          </w:p>
        </w:tc>
      </w:tr>
    </w:tbl>
    <w:p w14:paraId="28C01CB4">
      <w:pPr>
        <w:spacing w:line="360" w:lineRule="auto"/>
        <w:rPr>
          <w:rFonts w:ascii="宋体" w:hAnsi="宋体" w:eastAsia="宋体" w:cs="宋体"/>
          <w:color w:val="auto"/>
          <w:szCs w:val="21"/>
        </w:rPr>
      </w:pPr>
    </w:p>
    <w:p w14:paraId="6D19DF28">
      <w:pPr>
        <w:overflowPunct w:val="0"/>
        <w:spacing w:before="120" w:line="360" w:lineRule="auto"/>
        <w:ind w:left="477" w:leftChars="-73" w:hanging="630" w:hangingChars="300"/>
        <w:rPr>
          <w:rFonts w:ascii="宋体" w:hAnsi="宋体" w:eastAsia="宋体" w:cs="宋体"/>
          <w:color w:val="auto"/>
          <w:szCs w:val="21"/>
        </w:rPr>
      </w:pPr>
      <w:r>
        <w:rPr>
          <w:rFonts w:hint="eastAsia" w:ascii="宋体" w:hAnsi="宋体" w:eastAsia="宋体" w:cs="宋体"/>
          <w:color w:val="auto"/>
          <w:szCs w:val="21"/>
        </w:rPr>
        <w:t>备注：须附有</w:t>
      </w:r>
      <w:r>
        <w:rPr>
          <w:rFonts w:hint="eastAsia" w:ascii="宋体" w:hAnsi="宋体" w:eastAsia="宋体" w:cs="宋体"/>
          <w:color w:val="auto"/>
          <w:szCs w:val="21"/>
          <w:lang w:val="zh-CN"/>
        </w:rPr>
        <w:t>上述人员</w:t>
      </w:r>
      <w:r>
        <w:rPr>
          <w:rFonts w:hint="eastAsia" w:ascii="宋体" w:hAnsi="宋体" w:eastAsia="宋体" w:cs="宋体"/>
          <w:color w:val="auto"/>
          <w:szCs w:val="21"/>
        </w:rPr>
        <w:t>资格证书（或注册/执业/岗位证书/技术职称）、以及社保部门（或税务部门）出具的</w:t>
      </w:r>
      <w:bookmarkStart w:id="643" w:name="_Hlk49417169"/>
      <w:r>
        <w:rPr>
          <w:rFonts w:hint="eastAsia" w:ascii="宋体" w:hAnsi="宋体" w:eastAsia="宋体" w:cs="宋体"/>
          <w:bCs/>
          <w:color w:val="auto"/>
          <w:szCs w:val="21"/>
        </w:rPr>
        <w:t>投标人企业2024年5月至2024年10月为其缴纳的社保证明复印件。</w:t>
      </w:r>
      <w:bookmarkEnd w:id="643"/>
    </w:p>
    <w:p w14:paraId="14930376">
      <w:pPr>
        <w:overflowPunct w:val="0"/>
        <w:spacing w:before="120" w:line="360" w:lineRule="auto"/>
        <w:ind w:left="267" w:leftChars="-73" w:hanging="420" w:hangingChars="200"/>
        <w:rPr>
          <w:rFonts w:ascii="宋体" w:hAnsi="宋体" w:eastAsia="宋体" w:cs="宋体"/>
          <w:color w:val="auto"/>
          <w:szCs w:val="21"/>
        </w:rPr>
      </w:pPr>
    </w:p>
    <w:p w14:paraId="66F87824">
      <w:pPr>
        <w:spacing w:line="360" w:lineRule="auto"/>
        <w:ind w:left="-210" w:right="420" w:firstLine="4935" w:firstLineChars="2350"/>
        <w:rPr>
          <w:rFonts w:ascii="宋体" w:hAnsi="宋体" w:eastAsia="宋体" w:cs="宋体"/>
          <w:color w:val="auto"/>
          <w:szCs w:val="21"/>
          <w:lang w:val="zh-CN"/>
        </w:rPr>
      </w:pPr>
    </w:p>
    <w:p w14:paraId="6525F8B5">
      <w:pPr>
        <w:spacing w:line="360" w:lineRule="auto"/>
        <w:ind w:left="-210" w:right="420" w:firstLine="4935" w:firstLineChars="2350"/>
        <w:rPr>
          <w:rFonts w:ascii="宋体" w:hAnsi="宋体" w:eastAsia="宋体" w:cs="宋体"/>
          <w:color w:val="auto"/>
          <w:szCs w:val="21"/>
          <w:lang w:val="zh-CN"/>
        </w:rPr>
      </w:pPr>
    </w:p>
    <w:p w14:paraId="7CC32CB7">
      <w:pPr>
        <w:spacing w:line="360" w:lineRule="auto"/>
        <w:ind w:left="-210" w:right="420" w:firstLine="4935" w:firstLineChars="2350"/>
        <w:rPr>
          <w:rFonts w:ascii="宋体" w:hAnsi="宋体" w:eastAsia="宋体" w:cs="宋体"/>
          <w:color w:val="auto"/>
          <w:szCs w:val="21"/>
          <w:lang w:val="zh-CN"/>
        </w:rPr>
      </w:pPr>
      <w:r>
        <w:rPr>
          <w:rFonts w:hint="eastAsia" w:ascii="宋体" w:hAnsi="宋体" w:eastAsia="宋体" w:cs="宋体"/>
          <w:color w:val="auto"/>
          <w:szCs w:val="21"/>
          <w:lang w:val="zh-CN"/>
        </w:rPr>
        <w:t>投标人：（加盖投标人法人公章）</w:t>
      </w:r>
    </w:p>
    <w:p w14:paraId="66975713">
      <w:pPr>
        <w:spacing w:line="360" w:lineRule="auto"/>
        <w:ind w:left="-210" w:firstLine="4935" w:firstLineChars="2350"/>
        <w:rPr>
          <w:rFonts w:ascii="宋体" w:hAnsi="宋体" w:eastAsia="宋体" w:cs="宋体"/>
          <w:color w:val="auto"/>
          <w:lang w:val="zh-CN"/>
        </w:rPr>
      </w:pPr>
      <w:r>
        <w:rPr>
          <w:rFonts w:hint="eastAsia" w:ascii="宋体" w:hAnsi="宋体" w:eastAsia="宋体" w:cs="宋体"/>
          <w:color w:val="auto"/>
          <w:szCs w:val="21"/>
        </w:rPr>
        <w:t xml:space="preserve">日  期：  </w:t>
      </w:r>
      <w:r>
        <w:rPr>
          <w:rFonts w:hint="eastAsia" w:ascii="宋体" w:hAnsi="宋体" w:eastAsia="宋体" w:cs="宋体"/>
          <w:color w:val="auto"/>
          <w:lang w:val="zh-CN"/>
        </w:rPr>
        <w:t>年  月  日</w:t>
      </w:r>
    </w:p>
    <w:p w14:paraId="56F451A3">
      <w:pPr>
        <w:spacing w:line="360" w:lineRule="auto"/>
        <w:ind w:left="-210" w:firstLine="5040" w:firstLineChars="2400"/>
        <w:rPr>
          <w:rFonts w:ascii="宋体" w:hAnsi="宋体" w:eastAsia="宋体" w:cs="宋体"/>
          <w:color w:val="auto"/>
          <w:lang w:val="zh-CN"/>
        </w:rPr>
      </w:pPr>
    </w:p>
    <w:p w14:paraId="75ECBCF8">
      <w:pPr>
        <w:jc w:val="left"/>
        <w:rPr>
          <w:rFonts w:ascii="宋体" w:hAnsi="宋体" w:eastAsia="宋体" w:cs="宋体"/>
          <w:color w:val="auto"/>
          <w:szCs w:val="21"/>
        </w:rPr>
      </w:pPr>
    </w:p>
    <w:p w14:paraId="161A5F5F">
      <w:pPr>
        <w:ind w:left="-210" w:firstLine="420" w:firstLineChars="200"/>
        <w:rPr>
          <w:rFonts w:ascii="宋体" w:hAnsi="宋体" w:eastAsia="宋体" w:cs="宋体"/>
          <w:color w:val="auto"/>
          <w:szCs w:val="21"/>
        </w:rPr>
      </w:pPr>
    </w:p>
    <w:p w14:paraId="0CC97AEF">
      <w:pPr>
        <w:tabs>
          <w:tab w:val="left" w:pos="567"/>
        </w:tabs>
        <w:spacing w:line="360" w:lineRule="auto"/>
        <w:ind w:left="603" w:hanging="813"/>
        <w:outlineLvl w:val="3"/>
        <w:rPr>
          <w:rFonts w:ascii="宋体" w:hAnsi="宋体" w:eastAsia="宋体" w:cs="宋体"/>
          <w:b/>
          <w:color w:val="auto"/>
          <w:sz w:val="30"/>
          <w:szCs w:val="30"/>
        </w:rPr>
      </w:pPr>
      <w:r>
        <w:rPr>
          <w:rFonts w:hint="eastAsia" w:ascii="宋体" w:hAnsi="宋体" w:eastAsia="宋体" w:cs="宋体"/>
          <w:b/>
          <w:color w:val="auto"/>
          <w:sz w:val="30"/>
          <w:szCs w:val="30"/>
        </w:rPr>
        <w:br w:type="page"/>
      </w:r>
      <w:r>
        <w:rPr>
          <w:rFonts w:hint="eastAsia" w:ascii="宋体" w:hAnsi="宋体" w:eastAsia="宋体" w:cs="宋体"/>
          <w:b/>
          <w:color w:val="auto"/>
          <w:sz w:val="30"/>
          <w:szCs w:val="30"/>
        </w:rPr>
        <w:t>13.3 总体实施方案（投标人自行编写）</w:t>
      </w:r>
    </w:p>
    <w:p w14:paraId="287DD7E0">
      <w:pPr>
        <w:rPr>
          <w:rFonts w:ascii="宋体" w:hAnsi="宋体" w:eastAsia="宋体" w:cs="宋体"/>
          <w:b/>
          <w:color w:val="auto"/>
          <w:sz w:val="30"/>
          <w:szCs w:val="30"/>
        </w:rPr>
      </w:pPr>
      <w:r>
        <w:rPr>
          <w:rFonts w:hint="eastAsia" w:ascii="宋体" w:hAnsi="宋体" w:eastAsia="宋体" w:cs="宋体"/>
          <w:b/>
          <w:color w:val="auto"/>
          <w:sz w:val="30"/>
          <w:szCs w:val="30"/>
        </w:rPr>
        <w:br w:type="page"/>
      </w:r>
    </w:p>
    <w:p w14:paraId="7ECF76ED">
      <w:pPr>
        <w:tabs>
          <w:tab w:val="left" w:pos="567"/>
        </w:tabs>
        <w:spacing w:line="360" w:lineRule="auto"/>
        <w:outlineLvl w:val="3"/>
        <w:rPr>
          <w:rFonts w:ascii="宋体" w:hAnsi="宋体" w:eastAsia="宋体" w:cs="宋体"/>
          <w:b/>
          <w:color w:val="auto"/>
          <w:sz w:val="30"/>
          <w:szCs w:val="30"/>
        </w:rPr>
      </w:pPr>
      <w:r>
        <w:rPr>
          <w:rFonts w:hint="eastAsia" w:ascii="宋体" w:hAnsi="宋体" w:eastAsia="宋体" w:cs="宋体"/>
          <w:b/>
          <w:color w:val="auto"/>
          <w:sz w:val="30"/>
          <w:szCs w:val="30"/>
        </w:rPr>
        <w:t>13.4 投标人认为有需要提供的其他文件（不做强制性提交要求）</w:t>
      </w:r>
    </w:p>
    <w:p w14:paraId="78125808">
      <w:pPr>
        <w:ind w:left="-210" w:firstLine="420" w:firstLineChars="200"/>
        <w:rPr>
          <w:rFonts w:ascii="宋体" w:hAnsi="宋体" w:eastAsia="宋体" w:cs="宋体"/>
          <w:color w:val="auto"/>
          <w:szCs w:val="21"/>
        </w:rPr>
      </w:pPr>
    </w:p>
    <w:p w14:paraId="72C82782">
      <w:pPr>
        <w:ind w:left="-210" w:firstLine="420" w:firstLineChars="200"/>
        <w:rPr>
          <w:rFonts w:ascii="宋体" w:hAnsi="宋体" w:eastAsia="宋体" w:cs="宋体"/>
          <w:color w:val="auto"/>
          <w:szCs w:val="21"/>
        </w:rPr>
      </w:pPr>
    </w:p>
    <w:p w14:paraId="03A0A921">
      <w:pPr>
        <w:widowControl/>
        <w:jc w:val="left"/>
        <w:rPr>
          <w:rFonts w:ascii="宋体" w:hAnsi="宋体" w:eastAsia="宋体" w:cs="宋体"/>
          <w:color w:val="auto"/>
          <w:szCs w:val="21"/>
        </w:rPr>
      </w:pPr>
      <w:r>
        <w:rPr>
          <w:rFonts w:hint="eastAsia" w:ascii="宋体" w:hAnsi="宋体" w:eastAsia="宋体" w:cs="宋体"/>
          <w:color w:val="auto"/>
          <w:szCs w:val="21"/>
        </w:rPr>
        <w:br w:type="page"/>
      </w:r>
    </w:p>
    <w:p w14:paraId="4585170D">
      <w:pPr>
        <w:tabs>
          <w:tab w:val="left" w:pos="1080"/>
        </w:tabs>
        <w:autoSpaceDE w:val="0"/>
        <w:autoSpaceDN w:val="0"/>
        <w:adjustRightInd w:val="0"/>
        <w:spacing w:line="360" w:lineRule="auto"/>
        <w:ind w:left="657" w:hanging="867"/>
        <w:jc w:val="left"/>
        <w:outlineLvl w:val="0"/>
        <w:rPr>
          <w:rFonts w:ascii="宋体" w:hAnsi="宋体" w:eastAsia="宋体" w:cs="宋体"/>
          <w:b/>
          <w:bCs/>
          <w:color w:val="auto"/>
          <w:kern w:val="44"/>
          <w:sz w:val="32"/>
          <w:szCs w:val="32"/>
          <w:lang w:val="zh-CN"/>
        </w:rPr>
      </w:pPr>
      <w:bookmarkStart w:id="644" w:name="_Toc1130"/>
      <w:bookmarkStart w:id="645" w:name="_Toc14977"/>
      <w:bookmarkStart w:id="646" w:name="_Toc142508390"/>
      <w:bookmarkStart w:id="647" w:name="_Toc21059"/>
      <w:bookmarkStart w:id="648" w:name="_Toc533708139"/>
      <w:bookmarkStart w:id="649" w:name="_Toc22601_WPSOffice_Level1"/>
      <w:bookmarkStart w:id="650" w:name="_Toc521918141"/>
      <w:bookmarkStart w:id="651" w:name="_Toc522047402"/>
      <w:r>
        <w:rPr>
          <w:rFonts w:hint="eastAsia" w:ascii="宋体" w:hAnsi="宋体" w:eastAsia="宋体" w:cs="宋体"/>
          <w:b/>
          <w:bCs/>
          <w:color w:val="auto"/>
          <w:kern w:val="44"/>
          <w:sz w:val="32"/>
          <w:szCs w:val="32"/>
          <w:lang w:val="zh-CN"/>
        </w:rPr>
        <w:t>附件一：评标工作大纲</w:t>
      </w:r>
      <w:bookmarkEnd w:id="644"/>
      <w:bookmarkEnd w:id="645"/>
      <w:bookmarkEnd w:id="646"/>
      <w:bookmarkEnd w:id="647"/>
    </w:p>
    <w:p w14:paraId="1DD2332E">
      <w:pPr>
        <w:autoSpaceDE w:val="0"/>
        <w:autoSpaceDN w:val="0"/>
        <w:adjustRightInd w:val="0"/>
        <w:spacing w:line="400" w:lineRule="atLeast"/>
        <w:ind w:left="359" w:hanging="569"/>
        <w:jc w:val="center"/>
        <w:rPr>
          <w:rFonts w:ascii="宋体" w:hAnsi="宋体" w:eastAsia="宋体" w:cs="宋体"/>
          <w:b/>
          <w:bCs/>
          <w:color w:val="auto"/>
          <w:szCs w:val="21"/>
        </w:rPr>
      </w:pPr>
    </w:p>
    <w:p w14:paraId="24021CF1">
      <w:pPr>
        <w:autoSpaceDE w:val="0"/>
        <w:autoSpaceDN w:val="0"/>
        <w:adjustRightInd w:val="0"/>
        <w:spacing w:line="400" w:lineRule="atLeast"/>
        <w:ind w:left="359" w:hanging="569"/>
        <w:jc w:val="center"/>
        <w:rPr>
          <w:rFonts w:ascii="宋体" w:hAnsi="宋体" w:eastAsia="宋体" w:cs="宋体"/>
          <w:b/>
          <w:bCs/>
          <w:color w:val="auto"/>
          <w:szCs w:val="21"/>
        </w:rPr>
      </w:pPr>
    </w:p>
    <w:p w14:paraId="001D09FE">
      <w:pPr>
        <w:autoSpaceDE w:val="0"/>
        <w:autoSpaceDN w:val="0"/>
        <w:adjustRightInd w:val="0"/>
        <w:spacing w:line="400" w:lineRule="atLeast"/>
        <w:ind w:left="359" w:hanging="569"/>
        <w:jc w:val="center"/>
        <w:rPr>
          <w:rFonts w:ascii="宋体" w:hAnsi="宋体" w:eastAsia="宋体" w:cs="宋体"/>
          <w:b/>
          <w:bCs/>
          <w:color w:val="auto"/>
          <w:szCs w:val="21"/>
        </w:rPr>
      </w:pPr>
    </w:p>
    <w:p w14:paraId="751510D7">
      <w:pPr>
        <w:autoSpaceDE w:val="0"/>
        <w:autoSpaceDN w:val="0"/>
        <w:adjustRightInd w:val="0"/>
        <w:spacing w:line="400" w:lineRule="atLeast"/>
        <w:ind w:left="359" w:hanging="569"/>
        <w:jc w:val="center"/>
        <w:rPr>
          <w:rFonts w:ascii="宋体" w:hAnsi="宋体" w:eastAsia="宋体" w:cs="宋体"/>
          <w:b/>
          <w:bCs/>
          <w:color w:val="auto"/>
          <w:szCs w:val="21"/>
        </w:rPr>
      </w:pPr>
    </w:p>
    <w:p w14:paraId="4433F175">
      <w:pPr>
        <w:autoSpaceDE w:val="0"/>
        <w:autoSpaceDN w:val="0"/>
        <w:adjustRightInd w:val="0"/>
        <w:spacing w:line="360" w:lineRule="auto"/>
        <w:jc w:val="center"/>
        <w:rPr>
          <w:rFonts w:ascii="宋体" w:hAnsi="宋体" w:eastAsia="宋体" w:cs="宋体"/>
          <w:b/>
          <w:bCs/>
          <w:color w:val="auto"/>
          <w:sz w:val="36"/>
          <w:szCs w:val="44"/>
        </w:rPr>
      </w:pPr>
      <w:r>
        <w:rPr>
          <w:rFonts w:hint="eastAsia" w:ascii="宋体" w:hAnsi="宋体" w:eastAsia="宋体" w:cs="宋体"/>
          <w:b/>
          <w:bCs/>
          <w:color w:val="auto"/>
          <w:sz w:val="40"/>
          <w:szCs w:val="36"/>
        </w:rPr>
        <w:t>东莞市水务集团管网有限公司2025年度机电设备维修定点服务单位采购项目</w:t>
      </w:r>
    </w:p>
    <w:p w14:paraId="17C2E634">
      <w:pPr>
        <w:autoSpaceDE w:val="0"/>
        <w:autoSpaceDN w:val="0"/>
        <w:adjustRightInd w:val="0"/>
        <w:spacing w:line="360" w:lineRule="auto"/>
        <w:jc w:val="center"/>
        <w:rPr>
          <w:rFonts w:ascii="宋体" w:hAnsi="宋体" w:eastAsia="宋体" w:cs="宋体"/>
          <w:b/>
          <w:bCs/>
          <w:color w:val="auto"/>
          <w:sz w:val="36"/>
          <w:szCs w:val="36"/>
        </w:rPr>
      </w:pPr>
      <w:bookmarkStart w:id="652" w:name="_Toc14752_WPSOffice_Level1"/>
      <w:r>
        <w:rPr>
          <w:rFonts w:hint="eastAsia" w:ascii="宋体" w:hAnsi="宋体" w:eastAsia="宋体" w:cs="宋体"/>
          <w:b/>
          <w:bCs/>
          <w:color w:val="auto"/>
          <w:sz w:val="36"/>
          <w:szCs w:val="36"/>
          <w:lang w:val="zh-CN"/>
        </w:rPr>
        <w:t>（招标编号：广建咨询（东招）2024-0131号）</w:t>
      </w:r>
      <w:bookmarkEnd w:id="652"/>
    </w:p>
    <w:p w14:paraId="2B06246C">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25AFFA4F">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6B226F94">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231F7A87">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09AC46F7">
      <w:pPr>
        <w:autoSpaceDE w:val="0"/>
        <w:autoSpaceDN w:val="0"/>
        <w:adjustRightInd w:val="0"/>
        <w:spacing w:line="400" w:lineRule="atLeast"/>
        <w:jc w:val="center"/>
        <w:rPr>
          <w:rFonts w:ascii="宋体" w:hAnsi="宋体" w:eastAsia="宋体" w:cs="宋体"/>
          <w:b/>
          <w:bCs/>
          <w:color w:val="auto"/>
          <w:sz w:val="72"/>
          <w:szCs w:val="72"/>
          <w:lang w:val="zh-CN"/>
        </w:rPr>
      </w:pPr>
      <w:bookmarkStart w:id="653" w:name="_Toc18947_WPSOffice_Level2"/>
      <w:r>
        <w:rPr>
          <w:rFonts w:hint="eastAsia" w:ascii="宋体" w:hAnsi="宋体" w:eastAsia="宋体" w:cs="宋体"/>
          <w:b/>
          <w:bCs/>
          <w:color w:val="auto"/>
          <w:sz w:val="72"/>
          <w:szCs w:val="72"/>
          <w:lang w:val="zh-CN"/>
        </w:rPr>
        <w:t>评标工作大纲</w:t>
      </w:r>
      <w:bookmarkEnd w:id="653"/>
    </w:p>
    <w:p w14:paraId="312B34DE">
      <w:pPr>
        <w:autoSpaceDE w:val="0"/>
        <w:autoSpaceDN w:val="0"/>
        <w:adjustRightInd w:val="0"/>
        <w:spacing w:line="400" w:lineRule="atLeast"/>
        <w:jc w:val="center"/>
        <w:rPr>
          <w:rFonts w:ascii="宋体" w:hAnsi="宋体" w:eastAsia="宋体" w:cs="宋体"/>
          <w:b/>
          <w:bCs/>
          <w:color w:val="auto"/>
          <w:sz w:val="36"/>
          <w:szCs w:val="36"/>
        </w:rPr>
      </w:pPr>
    </w:p>
    <w:p w14:paraId="6197F8E5">
      <w:pPr>
        <w:autoSpaceDE w:val="0"/>
        <w:autoSpaceDN w:val="0"/>
        <w:adjustRightInd w:val="0"/>
        <w:spacing w:line="400" w:lineRule="atLeast"/>
        <w:rPr>
          <w:rFonts w:ascii="宋体" w:hAnsi="宋体" w:eastAsia="宋体" w:cs="宋体"/>
          <w:b/>
          <w:bCs/>
          <w:color w:val="auto"/>
          <w:sz w:val="36"/>
          <w:szCs w:val="36"/>
        </w:rPr>
      </w:pPr>
    </w:p>
    <w:p w14:paraId="1E3457A3">
      <w:pPr>
        <w:autoSpaceDE w:val="0"/>
        <w:autoSpaceDN w:val="0"/>
        <w:adjustRightInd w:val="0"/>
        <w:spacing w:line="400" w:lineRule="atLeast"/>
        <w:jc w:val="center"/>
        <w:rPr>
          <w:rFonts w:ascii="宋体" w:hAnsi="宋体" w:eastAsia="宋体" w:cs="宋体"/>
          <w:b/>
          <w:bCs/>
          <w:color w:val="auto"/>
          <w:sz w:val="36"/>
          <w:szCs w:val="36"/>
        </w:rPr>
      </w:pPr>
    </w:p>
    <w:p w14:paraId="5912D803">
      <w:pPr>
        <w:autoSpaceDE w:val="0"/>
        <w:autoSpaceDN w:val="0"/>
        <w:adjustRightInd w:val="0"/>
        <w:spacing w:line="400" w:lineRule="atLeast"/>
        <w:jc w:val="center"/>
        <w:rPr>
          <w:rFonts w:ascii="宋体" w:hAnsi="宋体" w:eastAsia="宋体" w:cs="宋体"/>
          <w:b/>
          <w:bCs/>
          <w:color w:val="auto"/>
          <w:sz w:val="36"/>
          <w:szCs w:val="36"/>
        </w:rPr>
      </w:pPr>
    </w:p>
    <w:p w14:paraId="42F5D616">
      <w:pPr>
        <w:autoSpaceDE w:val="0"/>
        <w:autoSpaceDN w:val="0"/>
        <w:adjustRightInd w:val="0"/>
        <w:spacing w:line="400" w:lineRule="atLeast"/>
        <w:jc w:val="center"/>
        <w:rPr>
          <w:rFonts w:ascii="宋体" w:hAnsi="宋体" w:eastAsia="宋体" w:cs="宋体"/>
          <w:b/>
          <w:bCs/>
          <w:color w:val="auto"/>
          <w:sz w:val="36"/>
          <w:szCs w:val="36"/>
        </w:rPr>
      </w:pPr>
    </w:p>
    <w:p w14:paraId="6C22F284">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CN"/>
        </w:rPr>
        <w:t>建成工程咨询股份有限公司</w:t>
      </w:r>
    </w:p>
    <w:p w14:paraId="13BE9AB5">
      <w:pPr>
        <w:autoSpaceDE w:val="0"/>
        <w:autoSpaceDN w:val="0"/>
        <w:adjustRightInd w:val="0"/>
        <w:spacing w:line="400" w:lineRule="atLeast"/>
        <w:ind w:left="766" w:hanging="976"/>
        <w:jc w:val="center"/>
        <w:rPr>
          <w:rFonts w:ascii="宋体" w:hAnsi="宋体" w:eastAsia="宋体" w:cs="宋体"/>
          <w:b/>
          <w:bCs/>
          <w:color w:val="auto"/>
          <w:sz w:val="36"/>
          <w:szCs w:val="36"/>
        </w:rPr>
      </w:pPr>
    </w:p>
    <w:p w14:paraId="1241C2D6">
      <w:pPr>
        <w:autoSpaceDE w:val="0"/>
        <w:autoSpaceDN w:val="0"/>
        <w:adjustRightInd w:val="0"/>
        <w:spacing w:line="400" w:lineRule="atLeast"/>
        <w:ind w:left="978" w:hanging="1188"/>
        <w:jc w:val="center"/>
        <w:rPr>
          <w:rFonts w:ascii="宋体" w:hAnsi="宋体" w:eastAsia="宋体" w:cs="宋体"/>
          <w:b/>
          <w:bCs/>
          <w:color w:val="auto"/>
          <w:sz w:val="36"/>
          <w:szCs w:val="36"/>
        </w:rPr>
      </w:pPr>
      <w:r>
        <w:rPr>
          <w:rFonts w:hint="eastAsia" w:ascii="宋体" w:hAnsi="宋体" w:eastAsia="宋体" w:cs="宋体"/>
          <w:color w:val="auto"/>
          <w:sz w:val="44"/>
          <w:szCs w:val="44"/>
        </w:rPr>
        <w:br w:type="page"/>
      </w:r>
      <w:bookmarkStart w:id="654" w:name="_Toc32395_WPSOffice_Level1"/>
      <w:r>
        <w:rPr>
          <w:rFonts w:hint="eastAsia" w:ascii="宋体" w:hAnsi="宋体" w:eastAsia="宋体" w:cs="宋体"/>
          <w:b/>
          <w:bCs/>
          <w:color w:val="auto"/>
          <w:sz w:val="36"/>
          <w:szCs w:val="36"/>
          <w:lang w:val="zh-CN"/>
        </w:rPr>
        <w:t>目录</w:t>
      </w:r>
      <w:bookmarkEnd w:id="654"/>
    </w:p>
    <w:p w14:paraId="7FDC3E3E">
      <w:pPr>
        <w:autoSpaceDE w:val="0"/>
        <w:autoSpaceDN w:val="0"/>
        <w:adjustRightInd w:val="0"/>
        <w:spacing w:line="400" w:lineRule="atLeast"/>
        <w:ind w:left="978" w:hanging="1188"/>
        <w:jc w:val="center"/>
        <w:rPr>
          <w:rFonts w:ascii="宋体" w:hAnsi="宋体" w:eastAsia="宋体" w:cs="宋体"/>
          <w:color w:val="auto"/>
          <w:sz w:val="44"/>
          <w:szCs w:val="44"/>
        </w:rPr>
      </w:pPr>
    </w:p>
    <w:p w14:paraId="3F4CBAB2">
      <w:pPr>
        <w:autoSpaceDE w:val="0"/>
        <w:autoSpaceDN w:val="0"/>
        <w:adjustRightInd w:val="0"/>
        <w:spacing w:line="360" w:lineRule="auto"/>
        <w:ind w:left="357" w:hanging="567"/>
        <w:rPr>
          <w:rFonts w:ascii="宋体" w:hAnsi="宋体" w:eastAsia="宋体" w:cs="宋体"/>
          <w:color w:val="auto"/>
          <w:szCs w:val="30"/>
        </w:rPr>
      </w:pPr>
      <w:bookmarkStart w:id="655" w:name="_Toc21604_WPSOffice_Level1"/>
      <w:r>
        <w:rPr>
          <w:rFonts w:hint="eastAsia" w:ascii="宋体" w:hAnsi="宋体" w:eastAsia="宋体" w:cs="宋体"/>
          <w:color w:val="auto"/>
          <w:szCs w:val="30"/>
          <w:lang w:val="zh-CN"/>
        </w:rPr>
        <w:t>一、</w:t>
      </w:r>
      <w:r>
        <w:rPr>
          <w:rFonts w:hint="eastAsia" w:ascii="宋体" w:hAnsi="宋体" w:eastAsia="宋体" w:cs="宋体"/>
          <w:color w:val="auto"/>
          <w:szCs w:val="30"/>
          <w:lang w:val="zh-CN"/>
        </w:rPr>
        <w:tab/>
      </w:r>
      <w:r>
        <w:rPr>
          <w:rFonts w:hint="eastAsia" w:ascii="宋体" w:hAnsi="宋体" w:eastAsia="宋体" w:cs="宋体"/>
          <w:color w:val="auto"/>
          <w:szCs w:val="30"/>
          <w:lang w:val="zh-CN"/>
        </w:rPr>
        <w:t>总则</w:t>
      </w:r>
      <w:bookmarkEnd w:id="655"/>
    </w:p>
    <w:p w14:paraId="7DA32756">
      <w:pPr>
        <w:autoSpaceDE w:val="0"/>
        <w:autoSpaceDN w:val="0"/>
        <w:adjustRightInd w:val="0"/>
        <w:spacing w:line="360" w:lineRule="auto"/>
        <w:ind w:left="357" w:hanging="567"/>
        <w:rPr>
          <w:rFonts w:ascii="宋体" w:hAnsi="宋体" w:eastAsia="宋体" w:cs="宋体"/>
          <w:color w:val="auto"/>
          <w:szCs w:val="30"/>
        </w:rPr>
      </w:pPr>
      <w:bookmarkStart w:id="656" w:name="_Toc1387_WPSOffice_Level1"/>
      <w:r>
        <w:rPr>
          <w:rFonts w:hint="eastAsia" w:ascii="宋体" w:hAnsi="宋体" w:eastAsia="宋体" w:cs="宋体"/>
          <w:color w:val="auto"/>
          <w:szCs w:val="30"/>
          <w:lang w:val="zh-CN"/>
        </w:rPr>
        <w:t>二、</w:t>
      </w:r>
      <w:r>
        <w:rPr>
          <w:rFonts w:hint="eastAsia" w:ascii="宋体" w:hAnsi="宋体" w:eastAsia="宋体" w:cs="宋体"/>
          <w:color w:val="auto"/>
          <w:szCs w:val="30"/>
          <w:lang w:val="zh-CN"/>
        </w:rPr>
        <w:tab/>
      </w:r>
      <w:r>
        <w:rPr>
          <w:rFonts w:hint="eastAsia" w:ascii="宋体" w:hAnsi="宋体" w:eastAsia="宋体" w:cs="宋体"/>
          <w:color w:val="auto"/>
          <w:szCs w:val="30"/>
          <w:lang w:val="zh-CN"/>
        </w:rPr>
        <w:t>投标文件的初审</w:t>
      </w:r>
      <w:bookmarkEnd w:id="656"/>
    </w:p>
    <w:p w14:paraId="772904ED">
      <w:pPr>
        <w:autoSpaceDE w:val="0"/>
        <w:autoSpaceDN w:val="0"/>
        <w:adjustRightInd w:val="0"/>
        <w:spacing w:line="360" w:lineRule="auto"/>
        <w:ind w:left="357" w:hanging="567"/>
        <w:rPr>
          <w:rFonts w:ascii="宋体" w:hAnsi="宋体" w:eastAsia="宋体" w:cs="宋体"/>
          <w:color w:val="auto"/>
          <w:szCs w:val="30"/>
        </w:rPr>
      </w:pPr>
      <w:bookmarkStart w:id="657" w:name="_Toc30284_WPSOffice_Level1"/>
      <w:r>
        <w:rPr>
          <w:rFonts w:hint="eastAsia" w:ascii="宋体" w:hAnsi="宋体" w:eastAsia="宋体" w:cs="宋体"/>
          <w:color w:val="auto"/>
          <w:szCs w:val="30"/>
          <w:lang w:val="zh-CN"/>
        </w:rPr>
        <w:t>三、</w:t>
      </w:r>
      <w:r>
        <w:rPr>
          <w:rFonts w:hint="eastAsia" w:ascii="宋体" w:hAnsi="宋体" w:eastAsia="宋体" w:cs="宋体"/>
          <w:color w:val="auto"/>
          <w:szCs w:val="30"/>
          <w:lang w:val="zh-CN"/>
        </w:rPr>
        <w:tab/>
      </w:r>
      <w:r>
        <w:rPr>
          <w:rFonts w:hint="eastAsia" w:ascii="宋体" w:hAnsi="宋体" w:eastAsia="宋体" w:cs="宋体"/>
          <w:color w:val="auto"/>
          <w:szCs w:val="30"/>
          <w:lang w:val="zh-CN"/>
        </w:rPr>
        <w:t>澄清有关问题</w:t>
      </w:r>
      <w:bookmarkEnd w:id="657"/>
    </w:p>
    <w:p w14:paraId="7BAEED82">
      <w:pPr>
        <w:autoSpaceDE w:val="0"/>
        <w:autoSpaceDN w:val="0"/>
        <w:adjustRightInd w:val="0"/>
        <w:spacing w:line="360" w:lineRule="auto"/>
        <w:ind w:left="357" w:hanging="567"/>
        <w:rPr>
          <w:rFonts w:ascii="宋体" w:hAnsi="宋体" w:eastAsia="宋体" w:cs="宋体"/>
          <w:color w:val="auto"/>
          <w:szCs w:val="30"/>
        </w:rPr>
      </w:pPr>
      <w:bookmarkStart w:id="658" w:name="_Toc1206_WPSOffice_Level1"/>
      <w:r>
        <w:rPr>
          <w:rFonts w:hint="eastAsia" w:ascii="宋体" w:hAnsi="宋体" w:eastAsia="宋体" w:cs="宋体"/>
          <w:color w:val="auto"/>
          <w:szCs w:val="30"/>
        </w:rPr>
        <w:t>四、 比较和评价</w:t>
      </w:r>
      <w:bookmarkEnd w:id="658"/>
    </w:p>
    <w:p w14:paraId="00DA8659">
      <w:pPr>
        <w:autoSpaceDE w:val="0"/>
        <w:autoSpaceDN w:val="0"/>
        <w:adjustRightInd w:val="0"/>
        <w:spacing w:line="360" w:lineRule="auto"/>
        <w:ind w:left="357" w:hanging="567"/>
        <w:rPr>
          <w:rFonts w:ascii="宋体" w:hAnsi="宋体" w:eastAsia="宋体" w:cs="宋体"/>
          <w:color w:val="auto"/>
          <w:szCs w:val="30"/>
        </w:rPr>
      </w:pPr>
      <w:bookmarkStart w:id="659" w:name="_Toc12163_WPSOffice_Level1"/>
      <w:r>
        <w:rPr>
          <w:rFonts w:hint="eastAsia" w:ascii="宋体" w:hAnsi="宋体" w:eastAsia="宋体" w:cs="宋体"/>
          <w:color w:val="auto"/>
          <w:szCs w:val="30"/>
          <w:lang w:val="zh-CN"/>
        </w:rPr>
        <w:t>五、</w:t>
      </w:r>
      <w:r>
        <w:rPr>
          <w:rFonts w:hint="eastAsia" w:ascii="宋体" w:hAnsi="宋体" w:eastAsia="宋体" w:cs="宋体"/>
          <w:color w:val="auto"/>
          <w:szCs w:val="30"/>
          <w:lang w:val="zh-CN"/>
        </w:rPr>
        <w:tab/>
      </w:r>
      <w:r>
        <w:rPr>
          <w:rFonts w:hint="eastAsia" w:ascii="宋体" w:hAnsi="宋体" w:eastAsia="宋体" w:cs="宋体"/>
          <w:color w:val="auto"/>
          <w:szCs w:val="30"/>
          <w:lang w:val="zh-CN"/>
        </w:rPr>
        <w:t>推荐中标候选人名单</w:t>
      </w:r>
      <w:bookmarkEnd w:id="659"/>
    </w:p>
    <w:p w14:paraId="5A60AA05">
      <w:pPr>
        <w:autoSpaceDE w:val="0"/>
        <w:autoSpaceDN w:val="0"/>
        <w:adjustRightInd w:val="0"/>
        <w:spacing w:line="360" w:lineRule="auto"/>
        <w:ind w:left="357" w:hanging="567"/>
        <w:rPr>
          <w:rFonts w:ascii="宋体" w:hAnsi="宋体" w:eastAsia="宋体" w:cs="宋体"/>
          <w:color w:val="auto"/>
          <w:szCs w:val="30"/>
        </w:rPr>
      </w:pPr>
      <w:bookmarkStart w:id="660" w:name="_Toc366_WPSOffice_Level1"/>
      <w:r>
        <w:rPr>
          <w:rFonts w:hint="eastAsia" w:ascii="宋体" w:hAnsi="宋体" w:eastAsia="宋体" w:cs="宋体"/>
          <w:color w:val="auto"/>
          <w:szCs w:val="30"/>
          <w:lang w:val="zh-CN"/>
        </w:rPr>
        <w:t>六、</w:t>
      </w:r>
      <w:r>
        <w:rPr>
          <w:rFonts w:hint="eastAsia" w:ascii="宋体" w:hAnsi="宋体" w:eastAsia="宋体" w:cs="宋体"/>
          <w:color w:val="auto"/>
          <w:szCs w:val="30"/>
          <w:lang w:val="zh-CN"/>
        </w:rPr>
        <w:tab/>
      </w:r>
      <w:r>
        <w:rPr>
          <w:rFonts w:hint="eastAsia" w:ascii="宋体" w:hAnsi="宋体" w:eastAsia="宋体" w:cs="宋体"/>
          <w:color w:val="auto"/>
          <w:szCs w:val="30"/>
          <w:lang w:val="zh-CN"/>
        </w:rPr>
        <w:t>编写评标报告</w:t>
      </w:r>
      <w:bookmarkEnd w:id="660"/>
    </w:p>
    <w:p w14:paraId="496769AB">
      <w:pPr>
        <w:autoSpaceDE w:val="0"/>
        <w:autoSpaceDN w:val="0"/>
        <w:adjustRightInd w:val="0"/>
        <w:spacing w:line="360" w:lineRule="auto"/>
        <w:ind w:left="357" w:hanging="567"/>
        <w:rPr>
          <w:rFonts w:ascii="宋体" w:hAnsi="宋体" w:eastAsia="宋体" w:cs="宋体"/>
          <w:color w:val="auto"/>
          <w:szCs w:val="30"/>
        </w:rPr>
      </w:pPr>
      <w:bookmarkStart w:id="661" w:name="_Toc22378_WPSOffice_Level1"/>
      <w:r>
        <w:rPr>
          <w:rFonts w:hint="eastAsia" w:ascii="宋体" w:hAnsi="宋体" w:eastAsia="宋体" w:cs="宋体"/>
          <w:color w:val="auto"/>
          <w:szCs w:val="30"/>
          <w:lang w:val="zh-CN"/>
        </w:rPr>
        <w:t>七、</w:t>
      </w:r>
      <w:r>
        <w:rPr>
          <w:rFonts w:hint="eastAsia" w:ascii="宋体" w:hAnsi="宋体" w:eastAsia="宋体" w:cs="宋体"/>
          <w:color w:val="auto"/>
          <w:szCs w:val="30"/>
          <w:lang w:val="zh-CN"/>
        </w:rPr>
        <w:tab/>
      </w:r>
      <w:r>
        <w:rPr>
          <w:rFonts w:hint="eastAsia" w:ascii="宋体" w:hAnsi="宋体" w:eastAsia="宋体" w:cs="宋体"/>
          <w:color w:val="auto"/>
          <w:szCs w:val="30"/>
          <w:lang w:val="zh-CN"/>
        </w:rPr>
        <w:t>注意事项</w:t>
      </w:r>
      <w:bookmarkEnd w:id="661"/>
    </w:p>
    <w:p w14:paraId="1F4DA0FC">
      <w:pPr>
        <w:tabs>
          <w:tab w:val="right" w:pos="7320"/>
        </w:tabs>
        <w:autoSpaceDE w:val="0"/>
        <w:autoSpaceDN w:val="0"/>
        <w:adjustRightInd w:val="0"/>
        <w:spacing w:line="360" w:lineRule="auto"/>
        <w:ind w:left="357" w:hanging="567"/>
        <w:rPr>
          <w:rFonts w:ascii="宋体" w:hAnsi="宋体" w:eastAsia="宋体" w:cs="宋体"/>
          <w:color w:val="auto"/>
          <w:szCs w:val="30"/>
        </w:rPr>
      </w:pPr>
    </w:p>
    <w:p w14:paraId="0025B18D">
      <w:pPr>
        <w:tabs>
          <w:tab w:val="right" w:pos="7320"/>
        </w:tabs>
        <w:autoSpaceDE w:val="0"/>
        <w:autoSpaceDN w:val="0"/>
        <w:adjustRightInd w:val="0"/>
        <w:spacing w:line="360" w:lineRule="auto"/>
        <w:ind w:left="357" w:hanging="567"/>
        <w:rPr>
          <w:rFonts w:ascii="宋体" w:hAnsi="宋体" w:eastAsia="宋体" w:cs="宋体"/>
          <w:color w:val="auto"/>
          <w:szCs w:val="30"/>
        </w:rPr>
      </w:pPr>
    </w:p>
    <w:p w14:paraId="41192512">
      <w:pPr>
        <w:tabs>
          <w:tab w:val="left" w:pos="1080"/>
          <w:tab w:val="right" w:pos="7320"/>
        </w:tabs>
        <w:autoSpaceDE w:val="0"/>
        <w:autoSpaceDN w:val="0"/>
        <w:adjustRightInd w:val="0"/>
        <w:spacing w:line="400" w:lineRule="atLeast"/>
        <w:ind w:left="357" w:hanging="567"/>
        <w:rPr>
          <w:rFonts w:ascii="宋体" w:hAnsi="宋体" w:eastAsia="宋体" w:cs="宋体"/>
          <w:color w:val="auto"/>
          <w:szCs w:val="30"/>
        </w:rPr>
      </w:pPr>
    </w:p>
    <w:p w14:paraId="7CAFFBE1">
      <w:pPr>
        <w:tabs>
          <w:tab w:val="left" w:pos="1140"/>
        </w:tabs>
        <w:autoSpaceDE w:val="0"/>
        <w:autoSpaceDN w:val="0"/>
        <w:adjustRightInd w:val="0"/>
        <w:spacing w:line="360" w:lineRule="auto"/>
        <w:ind w:left="600" w:hanging="810"/>
        <w:jc w:val="center"/>
        <w:rPr>
          <w:rFonts w:ascii="宋体" w:hAnsi="宋体" w:eastAsia="宋体" w:cs="宋体"/>
          <w:b/>
          <w:bCs/>
          <w:color w:val="auto"/>
          <w:sz w:val="28"/>
          <w:szCs w:val="28"/>
        </w:rPr>
      </w:pPr>
      <w:r>
        <w:rPr>
          <w:rFonts w:hint="eastAsia" w:ascii="宋体" w:hAnsi="宋体" w:eastAsia="宋体" w:cs="宋体"/>
          <w:color w:val="auto"/>
          <w:sz w:val="30"/>
          <w:szCs w:val="30"/>
        </w:rPr>
        <w:br w:type="page"/>
      </w:r>
      <w:bookmarkStart w:id="662" w:name="_Toc27181_WPSOffice_Level1"/>
      <w:r>
        <w:rPr>
          <w:rFonts w:hint="eastAsia" w:ascii="宋体" w:hAnsi="宋体" w:eastAsia="宋体" w:cs="宋体"/>
          <w:color w:val="auto"/>
          <w:sz w:val="28"/>
          <w:szCs w:val="28"/>
          <w:lang w:val="zh-CN"/>
        </w:rPr>
        <w:t>一、</w:t>
      </w:r>
      <w:r>
        <w:rPr>
          <w:rFonts w:hint="eastAsia" w:ascii="宋体" w:hAnsi="宋体" w:eastAsia="宋体" w:cs="宋体"/>
          <w:b/>
          <w:bCs/>
          <w:color w:val="auto"/>
          <w:sz w:val="28"/>
          <w:szCs w:val="28"/>
          <w:lang w:val="zh-CN"/>
        </w:rPr>
        <w:t>总则</w:t>
      </w:r>
      <w:bookmarkEnd w:id="662"/>
    </w:p>
    <w:p w14:paraId="065ED4E3">
      <w:pPr>
        <w:tabs>
          <w:tab w:val="left" w:pos="567"/>
          <w:tab w:val="left" w:pos="600"/>
        </w:tabs>
        <w:autoSpaceDE w:val="0"/>
        <w:autoSpaceDN w:val="0"/>
        <w:adjustRightInd w:val="0"/>
        <w:spacing w:line="360" w:lineRule="auto"/>
        <w:ind w:left="413" w:hanging="413" w:hangingChars="196"/>
        <w:rPr>
          <w:rFonts w:ascii="宋体" w:hAnsi="宋体" w:eastAsia="宋体" w:cs="宋体"/>
          <w:b/>
          <w:bCs/>
          <w:color w:val="auto"/>
          <w:szCs w:val="24"/>
          <w:lang w:val="zh-CN"/>
        </w:rPr>
      </w:pPr>
      <w:r>
        <w:rPr>
          <w:rFonts w:hint="eastAsia" w:ascii="宋体" w:hAnsi="宋体" w:eastAsia="宋体" w:cs="宋体"/>
          <w:b/>
          <w:bCs/>
          <w:color w:val="auto"/>
          <w:szCs w:val="24"/>
          <w:lang w:val="zh-CN"/>
        </w:rPr>
        <w:t>1、一般规定</w:t>
      </w:r>
    </w:p>
    <w:p w14:paraId="7F19BC89">
      <w:pPr>
        <w:autoSpaceDE w:val="0"/>
        <w:autoSpaceDN w:val="0"/>
        <w:adjustRightInd w:val="0"/>
        <w:spacing w:line="360" w:lineRule="auto"/>
        <w:ind w:left="412" w:hanging="411" w:hangingChars="196"/>
        <w:rPr>
          <w:rFonts w:ascii="宋体" w:hAnsi="宋体" w:eastAsia="宋体" w:cs="宋体"/>
          <w:color w:val="auto"/>
          <w:kern w:val="0"/>
          <w:szCs w:val="32"/>
        </w:rPr>
      </w:pPr>
      <w:r>
        <w:rPr>
          <w:rFonts w:hint="eastAsia" w:ascii="宋体" w:hAnsi="宋体" w:eastAsia="宋体" w:cs="宋体"/>
          <w:color w:val="auto"/>
          <w:szCs w:val="21"/>
          <w:lang w:val="zh-CN"/>
        </w:rPr>
        <w:t>1.1</w:t>
      </w:r>
      <w:r>
        <w:rPr>
          <w:rFonts w:hint="eastAsia" w:ascii="宋体" w:hAnsi="宋体" w:eastAsia="宋体" w:cs="宋体"/>
          <w:color w:val="auto"/>
          <w:szCs w:val="21"/>
          <w:lang w:val="zh-CN"/>
        </w:rPr>
        <w:tab/>
      </w:r>
      <w:r>
        <w:rPr>
          <w:rFonts w:hint="eastAsia" w:ascii="宋体" w:hAnsi="宋体" w:eastAsia="宋体" w:cs="宋体"/>
          <w:color w:val="auto"/>
          <w:kern w:val="0"/>
          <w:szCs w:val="21"/>
        </w:rPr>
        <w:t>东莞市水务集团管网有限公司2025年度机电设备维修定点服务单位采购项目</w:t>
      </w:r>
      <w:r>
        <w:rPr>
          <w:rFonts w:hint="eastAsia" w:ascii="宋体" w:hAnsi="宋体" w:eastAsia="宋体" w:cs="宋体"/>
          <w:color w:val="auto"/>
          <w:szCs w:val="21"/>
          <w:lang w:val="zh-CN"/>
        </w:rPr>
        <w:t>(招标编号：广建咨询（东招）2024-0131号</w:t>
      </w:r>
      <w:r>
        <w:rPr>
          <w:rFonts w:hint="eastAsia" w:ascii="宋体" w:hAnsi="宋体" w:eastAsia="宋体" w:cs="宋体"/>
          <w:color w:val="auto"/>
          <w:kern w:val="0"/>
          <w:szCs w:val="32"/>
        </w:rPr>
        <w:t>)的</w:t>
      </w:r>
      <w:r>
        <w:rPr>
          <w:rFonts w:hint="eastAsia" w:ascii="宋体" w:hAnsi="宋体" w:eastAsia="宋体" w:cs="宋体"/>
          <w:color w:val="auto"/>
          <w:szCs w:val="21"/>
          <w:lang w:val="zh-CN"/>
        </w:rPr>
        <w:t>招标</w:t>
      </w:r>
      <w:r>
        <w:rPr>
          <w:rFonts w:hint="eastAsia" w:ascii="宋体" w:hAnsi="宋体" w:eastAsia="宋体" w:cs="宋体"/>
          <w:color w:val="auto"/>
          <w:kern w:val="0"/>
          <w:szCs w:val="32"/>
        </w:rPr>
        <w:t>按照《中华人民共和国招标投标法》等有关规定进行。</w:t>
      </w:r>
    </w:p>
    <w:p w14:paraId="1962DD31">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评标必须遵循公平、公正、诚实信用的原则。</w:t>
      </w:r>
    </w:p>
    <w:p w14:paraId="00CC5960">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招标代理机构</w:t>
      </w:r>
      <w:r>
        <w:rPr>
          <w:rFonts w:hint="eastAsia" w:ascii="宋体" w:hAnsi="宋体" w:eastAsia="宋体" w:cs="宋体"/>
          <w:color w:val="auto"/>
          <w:kern w:val="0"/>
          <w:szCs w:val="32"/>
        </w:rPr>
        <w:t>(建成工程咨询股份有限公司）组</w:t>
      </w:r>
      <w:r>
        <w:rPr>
          <w:rFonts w:hint="eastAsia" w:ascii="宋体" w:hAnsi="宋体" w:eastAsia="宋体" w:cs="宋体"/>
          <w:color w:val="auto"/>
          <w:szCs w:val="24"/>
          <w:lang w:val="zh-CN"/>
        </w:rPr>
        <w:t>织评标工作，全过程接受招标人及相关部门的监督、管理和指导。</w:t>
      </w:r>
    </w:p>
    <w:p w14:paraId="3A8D70AC">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评标按照招标文件规定的内容进行，采取综合评分</w:t>
      </w:r>
      <w:r>
        <w:rPr>
          <w:rFonts w:hint="eastAsia" w:ascii="宋体" w:hAnsi="宋体" w:eastAsia="宋体" w:cs="宋体"/>
          <w:color w:val="auto"/>
          <w:szCs w:val="21"/>
        </w:rPr>
        <w:t>法进行评审</w:t>
      </w:r>
      <w:r>
        <w:rPr>
          <w:rFonts w:hint="eastAsia" w:ascii="宋体" w:hAnsi="宋体" w:eastAsia="宋体" w:cs="宋体"/>
          <w:color w:val="auto"/>
          <w:szCs w:val="24"/>
          <w:lang w:val="zh-CN"/>
        </w:rPr>
        <w:t>。</w:t>
      </w:r>
    </w:p>
    <w:p w14:paraId="5F28442F">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1.5</w:t>
      </w:r>
      <w:r>
        <w:rPr>
          <w:rFonts w:hint="eastAsia" w:ascii="宋体" w:hAnsi="宋体" w:eastAsia="宋体" w:cs="宋体"/>
          <w:color w:val="auto"/>
          <w:szCs w:val="24"/>
          <w:lang w:val="zh-CN"/>
        </w:rPr>
        <w:tab/>
      </w:r>
      <w:r>
        <w:rPr>
          <w:rFonts w:hint="eastAsia" w:ascii="宋体" w:hAnsi="宋体" w:eastAsia="宋体" w:cs="宋体"/>
          <w:color w:val="auto"/>
          <w:szCs w:val="24"/>
          <w:lang w:val="zh-CN"/>
        </w:rPr>
        <w:t>本办法的评审对象是指投标人按照招标文件要求提供的有效投标文件，包括投标人应评标委员会要求对原投标文件作出的正式书面澄清文件。</w:t>
      </w:r>
    </w:p>
    <w:p w14:paraId="26CCB23E">
      <w:pPr>
        <w:autoSpaceDE w:val="0"/>
        <w:autoSpaceDN w:val="0"/>
        <w:adjustRightInd w:val="0"/>
        <w:spacing w:line="360" w:lineRule="auto"/>
        <w:ind w:left="470" w:hanging="470" w:hangingChars="196"/>
        <w:rPr>
          <w:rFonts w:ascii="宋体" w:hAnsi="宋体" w:eastAsia="宋体" w:cs="宋体"/>
          <w:color w:val="auto"/>
          <w:sz w:val="24"/>
          <w:szCs w:val="24"/>
          <w:lang w:val="zh-CN"/>
        </w:rPr>
      </w:pPr>
    </w:p>
    <w:p w14:paraId="15DEAEF8">
      <w:pPr>
        <w:tabs>
          <w:tab w:val="left" w:pos="360"/>
          <w:tab w:val="left" w:pos="600"/>
        </w:tabs>
        <w:autoSpaceDE w:val="0"/>
        <w:autoSpaceDN w:val="0"/>
        <w:adjustRightInd w:val="0"/>
        <w:spacing w:line="360" w:lineRule="auto"/>
        <w:ind w:left="413" w:hanging="413" w:hangingChars="196"/>
        <w:rPr>
          <w:rFonts w:ascii="宋体" w:hAnsi="宋体" w:eastAsia="宋体" w:cs="宋体"/>
          <w:b/>
          <w:bCs/>
          <w:color w:val="auto"/>
          <w:szCs w:val="24"/>
          <w:lang w:val="zh-CN"/>
        </w:rPr>
      </w:pPr>
      <w:r>
        <w:rPr>
          <w:rFonts w:hint="eastAsia" w:ascii="宋体" w:hAnsi="宋体" w:eastAsia="宋体" w:cs="宋体"/>
          <w:b/>
          <w:bCs/>
          <w:color w:val="auto"/>
          <w:szCs w:val="24"/>
          <w:lang w:val="zh-CN"/>
        </w:rPr>
        <w:t>2、</w:t>
      </w:r>
      <w:r>
        <w:rPr>
          <w:rFonts w:hint="eastAsia" w:ascii="宋体" w:hAnsi="宋体" w:eastAsia="宋体" w:cs="宋体"/>
          <w:b/>
          <w:bCs/>
          <w:color w:val="auto"/>
          <w:szCs w:val="24"/>
          <w:lang w:val="zh-CN"/>
        </w:rPr>
        <w:tab/>
      </w:r>
      <w:r>
        <w:rPr>
          <w:rFonts w:hint="eastAsia" w:ascii="宋体" w:hAnsi="宋体" w:eastAsia="宋体" w:cs="宋体"/>
          <w:b/>
          <w:bCs/>
          <w:color w:val="auto"/>
          <w:szCs w:val="24"/>
          <w:lang w:val="zh-CN"/>
        </w:rPr>
        <w:t>评标组织机构的组成</w:t>
      </w:r>
    </w:p>
    <w:p w14:paraId="1AEB2DA6">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2.1</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w:t>
      </w:r>
      <w:r>
        <w:rPr>
          <w:rFonts w:hint="eastAsia" w:ascii="宋体" w:hAnsi="宋体" w:eastAsia="宋体" w:cs="宋体"/>
          <w:color w:val="auto"/>
          <w:kern w:val="0"/>
          <w:szCs w:val="24"/>
        </w:rPr>
        <w:t>由招标人和技术、经济等方面的专家组成，成员为</w:t>
      </w:r>
      <w:r>
        <w:rPr>
          <w:rFonts w:hint="eastAsia" w:ascii="宋体" w:hAnsi="宋体" w:eastAsia="宋体" w:cs="宋体"/>
          <w:b/>
          <w:bCs/>
          <w:color w:val="auto"/>
          <w:kern w:val="0"/>
          <w:szCs w:val="24"/>
        </w:rPr>
        <w:t>7人以上（含7人）单数</w:t>
      </w:r>
      <w:r>
        <w:rPr>
          <w:rFonts w:hint="eastAsia" w:ascii="宋体" w:hAnsi="宋体" w:eastAsia="宋体" w:cs="宋体"/>
          <w:color w:val="auto"/>
          <w:kern w:val="0"/>
          <w:szCs w:val="24"/>
        </w:rPr>
        <w:t>，其中技术、经济等方面的专家不少于成员总数的三分之二。</w:t>
      </w:r>
      <w:r>
        <w:rPr>
          <w:rFonts w:hint="eastAsia" w:ascii="宋体" w:hAnsi="宋体" w:eastAsia="宋体" w:cs="宋体"/>
          <w:color w:val="auto"/>
          <w:szCs w:val="24"/>
          <w:lang w:val="zh-CN"/>
        </w:rPr>
        <w:t>专家依法从</w:t>
      </w:r>
      <w:r>
        <w:rPr>
          <w:rFonts w:hint="eastAsia" w:ascii="宋体" w:hAnsi="宋体" w:eastAsia="宋体" w:cs="宋体"/>
          <w:color w:val="auto"/>
          <w:kern w:val="0"/>
          <w:szCs w:val="24"/>
        </w:rPr>
        <w:t>专家库中随机抽取产生。</w:t>
      </w:r>
    </w:p>
    <w:p w14:paraId="4B42ECB5">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2.2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评标工作组由招标人、招标代理机构及有关专家组成，由评标委员会确认，并接受其领导。</w:t>
      </w:r>
    </w:p>
    <w:p w14:paraId="617FA675">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2.3</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评标工作组分成评标委员会、秘书组。</w:t>
      </w:r>
    </w:p>
    <w:p w14:paraId="7921B403">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2.4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1D03CB4E">
      <w:pPr>
        <w:autoSpaceDE w:val="0"/>
        <w:autoSpaceDN w:val="0"/>
        <w:adjustRightInd w:val="0"/>
        <w:spacing w:line="360" w:lineRule="auto"/>
        <w:ind w:left="470" w:hanging="470" w:hangingChars="196"/>
        <w:rPr>
          <w:rFonts w:ascii="宋体" w:hAnsi="宋体" w:eastAsia="宋体" w:cs="宋体"/>
          <w:color w:val="auto"/>
          <w:sz w:val="24"/>
          <w:szCs w:val="24"/>
          <w:lang w:val="zh-CN"/>
        </w:rPr>
      </w:pPr>
    </w:p>
    <w:p w14:paraId="359B3EB0">
      <w:pPr>
        <w:autoSpaceDE w:val="0"/>
        <w:autoSpaceDN w:val="0"/>
        <w:adjustRightInd w:val="0"/>
        <w:spacing w:line="360" w:lineRule="auto"/>
        <w:ind w:left="413" w:hanging="413" w:hangingChars="196"/>
        <w:rPr>
          <w:rFonts w:ascii="宋体" w:hAnsi="宋体" w:eastAsia="宋体" w:cs="宋体"/>
          <w:color w:val="auto"/>
          <w:sz w:val="24"/>
          <w:szCs w:val="24"/>
          <w:lang w:val="zh-CN"/>
        </w:rPr>
      </w:pPr>
      <w:r>
        <w:rPr>
          <w:rFonts w:hint="eastAsia" w:ascii="宋体" w:hAnsi="宋体" w:eastAsia="宋体" w:cs="宋体"/>
          <w:b/>
          <w:color w:val="auto"/>
          <w:szCs w:val="21"/>
          <w:lang w:val="zh-CN"/>
        </w:rPr>
        <w:t>3、</w:t>
      </w:r>
      <w:r>
        <w:rPr>
          <w:rFonts w:hint="eastAsia" w:ascii="宋体" w:hAnsi="宋体" w:eastAsia="宋体" w:cs="宋体"/>
          <w:b/>
          <w:bCs/>
          <w:color w:val="auto"/>
          <w:szCs w:val="21"/>
          <w:lang w:val="zh-CN"/>
        </w:rPr>
        <w:t>评标</w:t>
      </w:r>
      <w:r>
        <w:rPr>
          <w:rFonts w:hint="eastAsia" w:ascii="宋体" w:hAnsi="宋体" w:eastAsia="宋体" w:cs="宋体"/>
          <w:b/>
          <w:bCs/>
          <w:color w:val="auto"/>
          <w:szCs w:val="24"/>
          <w:lang w:val="zh-CN"/>
        </w:rPr>
        <w:t>委员会职责</w:t>
      </w:r>
    </w:p>
    <w:p w14:paraId="1FC0A721">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3.1  审查投标文件是否符合招标文件要求，并作出评价；</w:t>
      </w:r>
    </w:p>
    <w:p w14:paraId="3CD85183">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3.2  要求投标人对投标文件有关事项作出解释或者澄清；</w:t>
      </w:r>
    </w:p>
    <w:p w14:paraId="51BBF517">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3.3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推荐中标候选人名单及排序；</w:t>
      </w:r>
    </w:p>
    <w:p w14:paraId="32B65FC7">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3.4</w:t>
      </w:r>
      <w:r>
        <w:rPr>
          <w:rFonts w:hint="eastAsia" w:ascii="宋体" w:hAnsi="宋体" w:eastAsia="宋体" w:cs="宋体"/>
          <w:color w:val="auto"/>
          <w:szCs w:val="24"/>
          <w:lang w:val="zh-CN"/>
        </w:rPr>
        <w:tab/>
      </w:r>
      <w:r>
        <w:rPr>
          <w:rFonts w:hint="eastAsia" w:ascii="宋体" w:hAnsi="宋体" w:eastAsia="宋体" w:cs="宋体"/>
          <w:color w:val="auto"/>
          <w:szCs w:val="24"/>
          <w:lang w:val="zh-CN"/>
        </w:rPr>
        <w:t>向招标人、招标代理机构或者有关部门报告非法干预评标工作的行为。</w:t>
      </w:r>
    </w:p>
    <w:p w14:paraId="198528C4">
      <w:pPr>
        <w:autoSpaceDE w:val="0"/>
        <w:autoSpaceDN w:val="0"/>
        <w:adjustRightInd w:val="0"/>
        <w:spacing w:line="360" w:lineRule="auto"/>
        <w:ind w:left="470" w:hanging="470" w:hangingChars="196"/>
        <w:jc w:val="left"/>
        <w:rPr>
          <w:rFonts w:ascii="宋体" w:hAnsi="宋体" w:eastAsia="宋体" w:cs="宋体"/>
          <w:color w:val="auto"/>
          <w:kern w:val="0"/>
          <w:sz w:val="24"/>
          <w:szCs w:val="24"/>
          <w:lang w:val="zh-CN"/>
        </w:rPr>
      </w:pPr>
    </w:p>
    <w:p w14:paraId="2479A805">
      <w:pPr>
        <w:tabs>
          <w:tab w:val="left" w:pos="720"/>
        </w:tabs>
        <w:autoSpaceDE w:val="0"/>
        <w:autoSpaceDN w:val="0"/>
        <w:adjustRightInd w:val="0"/>
        <w:spacing w:line="360" w:lineRule="auto"/>
        <w:ind w:left="413" w:hanging="413" w:hangingChars="196"/>
        <w:rPr>
          <w:rFonts w:ascii="宋体" w:hAnsi="宋体" w:eastAsia="宋体" w:cs="宋体"/>
          <w:b/>
          <w:bCs/>
          <w:color w:val="auto"/>
          <w:szCs w:val="21"/>
          <w:lang w:val="zh-CN"/>
        </w:rPr>
      </w:pPr>
      <w:r>
        <w:rPr>
          <w:rFonts w:hint="eastAsia" w:ascii="宋体" w:hAnsi="宋体" w:eastAsia="宋体" w:cs="宋体"/>
          <w:b/>
          <w:bCs/>
          <w:color w:val="auto"/>
          <w:szCs w:val="21"/>
          <w:lang w:val="zh-CN"/>
        </w:rPr>
        <w:t>4、评标委员会义务</w:t>
      </w:r>
    </w:p>
    <w:p w14:paraId="6A2F7FDC">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4.1  遵纪守法，客观、公正、廉洁地履行职责；</w:t>
      </w:r>
    </w:p>
    <w:p w14:paraId="3B491608">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4.2  按照招标文件规定的评标方法和评标标准进行评审，对评审意见承担个人责任；</w:t>
      </w:r>
    </w:p>
    <w:p w14:paraId="7DDEF516">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4.3  对评标过程和结果，以及投标人的商业秘密保密；</w:t>
      </w:r>
    </w:p>
    <w:p w14:paraId="6D6D586E">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4.4  参与评标报告的起草；</w:t>
      </w:r>
    </w:p>
    <w:p w14:paraId="16E67584">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4.5  配合有关部门的投诉处理工作；</w:t>
      </w:r>
    </w:p>
    <w:p w14:paraId="2236FEAE">
      <w:pPr>
        <w:tabs>
          <w:tab w:val="left" w:pos="567"/>
          <w:tab w:val="left" w:pos="1145"/>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4.6  配合招标人、招标代理机构答复投标人提出的质疑、异议。</w:t>
      </w:r>
    </w:p>
    <w:p w14:paraId="32D515C1">
      <w:pPr>
        <w:tabs>
          <w:tab w:val="left" w:pos="720"/>
        </w:tabs>
        <w:autoSpaceDE w:val="0"/>
        <w:autoSpaceDN w:val="0"/>
        <w:adjustRightInd w:val="0"/>
        <w:spacing w:line="360" w:lineRule="auto"/>
        <w:ind w:left="438" w:hanging="648"/>
        <w:rPr>
          <w:rFonts w:ascii="宋体" w:hAnsi="宋体" w:eastAsia="宋体" w:cs="宋体"/>
          <w:color w:val="auto"/>
          <w:sz w:val="24"/>
          <w:szCs w:val="24"/>
          <w:lang w:val="zh-CN"/>
        </w:rPr>
      </w:pPr>
    </w:p>
    <w:p w14:paraId="33B05DF6">
      <w:pPr>
        <w:tabs>
          <w:tab w:val="left" w:pos="1547"/>
        </w:tabs>
        <w:autoSpaceDE w:val="0"/>
        <w:autoSpaceDN w:val="0"/>
        <w:adjustRightInd w:val="0"/>
        <w:spacing w:line="360" w:lineRule="auto"/>
        <w:ind w:left="413" w:hanging="413" w:hangingChars="196"/>
        <w:rPr>
          <w:rFonts w:ascii="宋体" w:hAnsi="宋体" w:eastAsia="宋体" w:cs="宋体"/>
          <w:b/>
          <w:color w:val="auto"/>
          <w:szCs w:val="24"/>
          <w:lang w:val="zh-CN"/>
        </w:rPr>
      </w:pPr>
      <w:r>
        <w:rPr>
          <w:rFonts w:hint="eastAsia" w:ascii="宋体" w:hAnsi="宋体" w:eastAsia="宋体" w:cs="宋体"/>
          <w:b/>
          <w:bCs/>
          <w:color w:val="auto"/>
          <w:szCs w:val="21"/>
          <w:lang w:val="zh-CN"/>
        </w:rPr>
        <w:t>5、评审程序</w:t>
      </w:r>
    </w:p>
    <w:p w14:paraId="10117FD6">
      <w:pPr>
        <w:autoSpaceDE w:val="0"/>
        <w:autoSpaceDN w:val="0"/>
        <w:adjustRightInd w:val="0"/>
        <w:spacing w:line="360" w:lineRule="auto"/>
        <w:ind w:left="412" w:hanging="411" w:hangingChars="196"/>
        <w:rPr>
          <w:rFonts w:ascii="宋体" w:hAnsi="宋体" w:eastAsia="宋体" w:cs="宋体"/>
          <w:bCs/>
          <w:color w:val="auto"/>
          <w:szCs w:val="24"/>
          <w:lang w:val="zh-CN"/>
        </w:rPr>
      </w:pPr>
      <w:r>
        <w:rPr>
          <w:rFonts w:hint="eastAsia" w:ascii="宋体" w:hAnsi="宋体" w:eastAsia="宋体" w:cs="宋体"/>
          <w:color w:val="auto"/>
          <w:szCs w:val="24"/>
          <w:lang w:val="zh-CN"/>
        </w:rPr>
        <w:t>5.1</w:t>
      </w:r>
      <w:r>
        <w:rPr>
          <w:rFonts w:hint="eastAsia" w:ascii="宋体" w:hAnsi="宋体" w:eastAsia="宋体" w:cs="宋体"/>
          <w:color w:val="auto"/>
          <w:szCs w:val="24"/>
          <w:lang w:val="zh-CN"/>
        </w:rPr>
        <w:tab/>
      </w:r>
      <w:r>
        <w:rPr>
          <w:rFonts w:hint="eastAsia" w:ascii="宋体" w:hAnsi="宋体" w:eastAsia="宋体" w:cs="宋体"/>
          <w:bCs/>
          <w:color w:val="auto"/>
          <w:szCs w:val="24"/>
          <w:lang w:val="zh-CN"/>
        </w:rPr>
        <w:t>评审首先由评标委员会对投标人的</w:t>
      </w:r>
      <w:r>
        <w:rPr>
          <w:rFonts w:hint="eastAsia" w:ascii="宋体" w:hAnsi="宋体" w:eastAsia="宋体" w:cs="宋体"/>
          <w:color w:val="auto"/>
          <w:szCs w:val="24"/>
          <w:lang w:val="zh-CN"/>
        </w:rPr>
        <w:t>投标</w:t>
      </w:r>
      <w:r>
        <w:rPr>
          <w:rFonts w:hint="eastAsia" w:ascii="宋体" w:hAnsi="宋体" w:eastAsia="宋体" w:cs="宋体"/>
          <w:bCs/>
          <w:color w:val="auto"/>
          <w:szCs w:val="24"/>
          <w:lang w:val="zh-CN"/>
        </w:rPr>
        <w:t>文件做初审，对未能通过初审的投标文件不再进入下一阶段评审。</w:t>
      </w:r>
    </w:p>
    <w:p w14:paraId="0A61E393">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5.2</w:t>
      </w:r>
      <w:r>
        <w:rPr>
          <w:rFonts w:hint="eastAsia" w:ascii="宋体" w:hAnsi="宋体" w:eastAsia="宋体" w:cs="宋体"/>
          <w:color w:val="auto"/>
          <w:szCs w:val="24"/>
          <w:lang w:val="zh-CN"/>
        </w:rPr>
        <w:tab/>
      </w:r>
      <w:r>
        <w:rPr>
          <w:rFonts w:hint="eastAsia" w:ascii="宋体" w:hAnsi="宋体" w:eastAsia="宋体" w:cs="宋体"/>
          <w:bCs/>
          <w:color w:val="auto"/>
          <w:szCs w:val="24"/>
          <w:lang w:val="zh-CN"/>
        </w:rPr>
        <w:t>评标</w:t>
      </w:r>
      <w:r>
        <w:rPr>
          <w:rFonts w:hint="eastAsia" w:ascii="宋体" w:hAnsi="宋体" w:eastAsia="宋体" w:cs="宋体"/>
          <w:color w:val="auto"/>
          <w:szCs w:val="24"/>
          <w:lang w:val="zh-CN"/>
        </w:rPr>
        <w:t>委员会对通过初审的投标人的投标文件进行详细的比较和评价。如需要，进行必要的澄清工作。</w:t>
      </w:r>
    </w:p>
    <w:p w14:paraId="68644608">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5.3  依据评分标准以及各项权重，各位评标委员会成员单独就每个投标人的商务状况、技术状况进行比较和评价，分别评出其商务得分和技术得分。</w:t>
      </w:r>
    </w:p>
    <w:p w14:paraId="69DF939F">
      <w:pPr>
        <w:autoSpaceDE w:val="0"/>
        <w:autoSpaceDN w:val="0"/>
        <w:adjustRightInd w:val="0"/>
        <w:spacing w:line="360" w:lineRule="auto"/>
        <w:ind w:left="412" w:hanging="411" w:hangingChars="196"/>
        <w:rPr>
          <w:rFonts w:ascii="宋体" w:hAnsi="宋体" w:eastAsia="宋体" w:cs="宋体"/>
          <w:color w:val="auto"/>
          <w:kern w:val="0"/>
          <w:szCs w:val="24"/>
          <w:lang w:val="zh-CN"/>
        </w:rPr>
      </w:pPr>
      <w:r>
        <w:rPr>
          <w:rFonts w:hint="eastAsia" w:ascii="宋体" w:hAnsi="宋体" w:eastAsia="宋体" w:cs="宋体"/>
          <w:color w:val="auto"/>
          <w:szCs w:val="24"/>
          <w:lang w:val="zh-CN"/>
        </w:rPr>
        <w:t>5.4</w:t>
      </w:r>
      <w:r>
        <w:rPr>
          <w:rFonts w:hint="eastAsia" w:ascii="宋体" w:hAnsi="宋体" w:eastAsia="宋体" w:cs="宋体"/>
          <w:color w:val="auto"/>
          <w:szCs w:val="24"/>
          <w:lang w:val="zh-CN"/>
        </w:rPr>
        <w:tab/>
      </w:r>
      <w:r>
        <w:rPr>
          <w:rFonts w:hint="eastAsia" w:ascii="宋体" w:hAnsi="宋体" w:eastAsia="宋体" w:cs="宋体"/>
          <w:color w:val="auto"/>
          <w:kern w:val="0"/>
          <w:szCs w:val="24"/>
          <w:lang w:val="zh-CN"/>
        </w:rPr>
        <w:t>将各</w:t>
      </w:r>
      <w:r>
        <w:rPr>
          <w:rFonts w:hint="eastAsia" w:ascii="宋体" w:hAnsi="宋体" w:eastAsia="宋体" w:cs="宋体"/>
          <w:color w:val="auto"/>
          <w:szCs w:val="24"/>
          <w:lang w:val="zh-CN"/>
        </w:rPr>
        <w:t>评委对</w:t>
      </w:r>
      <w:r>
        <w:rPr>
          <w:rFonts w:hint="eastAsia" w:ascii="宋体" w:hAnsi="宋体" w:eastAsia="宋体" w:cs="宋体"/>
          <w:color w:val="auto"/>
          <w:kern w:val="0"/>
          <w:szCs w:val="24"/>
          <w:lang w:val="zh-CN"/>
        </w:rPr>
        <w:t>投标人的商务打分的算术平均值、技术</w:t>
      </w:r>
      <w:r>
        <w:rPr>
          <w:rFonts w:hint="eastAsia" w:ascii="宋体" w:hAnsi="宋体" w:eastAsia="宋体" w:cs="宋体"/>
          <w:color w:val="auto"/>
          <w:kern w:val="0"/>
          <w:szCs w:val="24"/>
        </w:rPr>
        <w:t>部分</w:t>
      </w:r>
      <w:r>
        <w:rPr>
          <w:rFonts w:hint="eastAsia" w:ascii="宋体" w:hAnsi="宋体" w:eastAsia="宋体" w:cs="宋体"/>
          <w:color w:val="auto"/>
          <w:kern w:val="0"/>
          <w:szCs w:val="24"/>
          <w:lang w:val="zh-CN"/>
        </w:rPr>
        <w:t>的最终综合得分相加得出投标人的总分。</w:t>
      </w:r>
    </w:p>
    <w:p w14:paraId="412F181F">
      <w:pPr>
        <w:autoSpaceDE w:val="0"/>
        <w:autoSpaceDN w:val="0"/>
        <w:adjustRightInd w:val="0"/>
        <w:spacing w:line="360" w:lineRule="auto"/>
        <w:ind w:left="412" w:hanging="411" w:hangingChars="196"/>
        <w:rPr>
          <w:rFonts w:ascii="宋体" w:hAnsi="宋体" w:eastAsia="宋体" w:cs="宋体"/>
          <w:color w:val="auto"/>
          <w:kern w:val="0"/>
          <w:szCs w:val="21"/>
        </w:rPr>
      </w:pPr>
      <w:r>
        <w:rPr>
          <w:rFonts w:hint="eastAsia" w:ascii="宋体" w:hAnsi="宋体" w:eastAsia="宋体" w:cs="宋体"/>
          <w:bCs/>
          <w:color w:val="auto"/>
          <w:kern w:val="0"/>
          <w:szCs w:val="24"/>
        </w:rPr>
        <w:t xml:space="preserve">5.5  </w:t>
      </w:r>
      <w:r>
        <w:rPr>
          <w:rFonts w:hint="eastAsia" w:ascii="宋体" w:hAnsi="宋体" w:eastAsia="宋体" w:cs="宋体"/>
          <w:color w:val="auto"/>
          <w:kern w:val="0"/>
          <w:szCs w:val="21"/>
        </w:rPr>
        <w:t>评标委员会将向招标人推荐评标最后综合得分最高的前二名投标人为中标候选人，并标明排列顺序。</w:t>
      </w:r>
    </w:p>
    <w:p w14:paraId="46BD438A">
      <w:pPr>
        <w:autoSpaceDE w:val="0"/>
        <w:autoSpaceDN w:val="0"/>
        <w:adjustRightInd w:val="0"/>
        <w:spacing w:line="360" w:lineRule="auto"/>
        <w:ind w:left="412" w:hanging="411" w:hangingChars="196"/>
        <w:rPr>
          <w:rFonts w:ascii="宋体" w:hAnsi="宋体" w:eastAsia="宋体" w:cs="宋体"/>
          <w:bCs/>
          <w:color w:val="auto"/>
          <w:kern w:val="0"/>
          <w:szCs w:val="24"/>
        </w:rPr>
      </w:pPr>
      <w:r>
        <w:rPr>
          <w:rFonts w:hint="eastAsia" w:ascii="宋体" w:hAnsi="宋体" w:eastAsia="宋体" w:cs="宋体"/>
          <w:bCs/>
          <w:color w:val="auto"/>
          <w:kern w:val="0"/>
          <w:szCs w:val="24"/>
        </w:rPr>
        <w:t>5.6</w:t>
      </w:r>
      <w:r>
        <w:rPr>
          <w:rFonts w:hint="eastAsia" w:ascii="宋体" w:hAnsi="宋体" w:eastAsia="宋体" w:cs="宋体"/>
          <w:bCs/>
          <w:color w:val="auto"/>
          <w:kern w:val="0"/>
          <w:szCs w:val="24"/>
        </w:rPr>
        <w:tab/>
      </w:r>
      <w:r>
        <w:rPr>
          <w:rFonts w:hint="eastAsia" w:ascii="宋体" w:hAnsi="宋体" w:eastAsia="宋体" w:cs="宋体"/>
          <w:bCs/>
          <w:color w:val="auto"/>
          <w:kern w:val="0"/>
          <w:szCs w:val="24"/>
        </w:rPr>
        <w:t>评标委员会根据评审结果编写评标报告。</w:t>
      </w:r>
    </w:p>
    <w:p w14:paraId="65D4DCA6">
      <w:pPr>
        <w:autoSpaceDE w:val="0"/>
        <w:autoSpaceDN w:val="0"/>
        <w:adjustRightInd w:val="0"/>
        <w:spacing w:line="360" w:lineRule="auto"/>
        <w:ind w:left="525" w:hanging="525" w:hangingChars="250"/>
        <w:jc w:val="left"/>
        <w:rPr>
          <w:rFonts w:ascii="宋体" w:hAnsi="宋体" w:eastAsia="宋体" w:cs="宋体"/>
          <w:color w:val="auto"/>
          <w:szCs w:val="24"/>
          <w:lang w:val="zh-CN"/>
        </w:rPr>
      </w:pPr>
    </w:p>
    <w:p w14:paraId="3221AC24">
      <w:pPr>
        <w:tabs>
          <w:tab w:val="left" w:pos="1140"/>
        </w:tabs>
        <w:autoSpaceDE w:val="0"/>
        <w:autoSpaceDN w:val="0"/>
        <w:adjustRightInd w:val="0"/>
        <w:spacing w:line="360" w:lineRule="auto"/>
        <w:ind w:left="549" w:hanging="759"/>
        <w:jc w:val="center"/>
        <w:rPr>
          <w:rFonts w:ascii="宋体" w:hAnsi="宋体" w:eastAsia="宋体" w:cs="宋体"/>
          <w:b/>
          <w:bCs/>
          <w:color w:val="auto"/>
          <w:sz w:val="28"/>
          <w:szCs w:val="28"/>
        </w:rPr>
      </w:pPr>
      <w:bookmarkStart w:id="663" w:name="_Toc19435_WPSOffice_Level1"/>
      <w:r>
        <w:rPr>
          <w:rFonts w:hint="eastAsia" w:ascii="宋体" w:hAnsi="宋体" w:eastAsia="宋体" w:cs="宋体"/>
          <w:b/>
          <w:bCs/>
          <w:color w:val="auto"/>
          <w:sz w:val="28"/>
          <w:szCs w:val="28"/>
          <w:lang w:val="zh-CN"/>
        </w:rPr>
        <w:t>二、投标文件的初审</w:t>
      </w:r>
      <w:bookmarkEnd w:id="663"/>
    </w:p>
    <w:p w14:paraId="50D5A0C4">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6、投标文件的初审分为资格性检查和符合性检查。</w:t>
      </w:r>
    </w:p>
    <w:p w14:paraId="2E85682E">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EFA728B">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6.2  符合性检查是指评标委员会依据招标文件规定，从投标文件的有效性、完整性和对招标文件的响应程度进行审查，以确定是否对招标文件的实质性要求作出响应。</w:t>
      </w:r>
    </w:p>
    <w:p w14:paraId="7909236C">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6EA0D9C5">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评标委员会决定投标文件的响应性是基于投标文件的内容本身而不靠外部的证据。</w:t>
      </w:r>
    </w:p>
    <w:p w14:paraId="2BCF5E5E">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4D64031B">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7、投标文件出现下列情况之一的，被认定为无效投标：</w:t>
      </w:r>
    </w:p>
    <w:p w14:paraId="10D7FD2D">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7.1  投标人未按招标文件要求交纳投标保证金的；</w:t>
      </w:r>
    </w:p>
    <w:p w14:paraId="49185D12">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7.2  投标下浮率报价不等于固定下浮率的；</w:t>
      </w:r>
    </w:p>
    <w:p w14:paraId="46B75E72">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7.3  投标人以低于企业成本价报价，且投标人不能合理说明或不能提供相关证明材料；</w:t>
      </w:r>
    </w:p>
    <w:p w14:paraId="03AF0C44">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7.4  投标人递交两份或多份内容不同的投标文件，或在一份投标文件中报有两个或多个报价，且未书面声明哪一个有效；</w:t>
      </w:r>
    </w:p>
    <w:p w14:paraId="6D763FCD">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6C7A9707">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 xml:space="preserve">7.6  投标文件未按照招标文件规定要求密封；投标文件无法定代表人或其授权代表签字（或盖私章），或签字人无法定代表人有效授权的；签字盖章不符合招标文件要求的； </w:t>
      </w:r>
    </w:p>
    <w:p w14:paraId="3600D59D">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7.7  投标有效期限不符合要求；</w:t>
      </w:r>
    </w:p>
    <w:p w14:paraId="590FBB6E">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7.8  投标文件未对招标范围内的全部内容进行投标报价或投标方案不是唯一；</w:t>
      </w:r>
    </w:p>
    <w:p w14:paraId="4B964B2B">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7.9  未提供或虚假填写《合同条款偏离表》，或对《合同条款偏离表》有负偏离的；</w:t>
      </w:r>
    </w:p>
    <w:p w14:paraId="5FCE9326">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7.10  未填写或虚假填写《用户需求偏离表》的；</w:t>
      </w:r>
    </w:p>
    <w:p w14:paraId="12F0138A">
      <w:pPr>
        <w:autoSpaceDE w:val="0"/>
        <w:autoSpaceDN w:val="0"/>
        <w:adjustRightInd w:val="0"/>
        <w:spacing w:line="360" w:lineRule="auto"/>
        <w:ind w:left="413" w:hanging="413" w:hangingChars="196"/>
        <w:rPr>
          <w:rFonts w:ascii="宋体" w:hAnsi="宋体" w:eastAsia="宋体" w:cs="宋体"/>
          <w:b/>
          <w:color w:val="auto"/>
          <w:szCs w:val="21"/>
          <w:lang w:val="zh-CN"/>
        </w:rPr>
      </w:pPr>
      <w:r>
        <w:rPr>
          <w:rFonts w:hint="eastAsia" w:ascii="宋体" w:hAnsi="宋体" w:eastAsia="宋体" w:cs="宋体"/>
          <w:b/>
          <w:color w:val="auto"/>
          <w:szCs w:val="21"/>
          <w:lang w:val="zh-CN"/>
        </w:rPr>
        <w:t>7.11  未响应招标文件提出的实质性要求和条件（标注★的条款）。</w:t>
      </w:r>
    </w:p>
    <w:p w14:paraId="1F2A5CD7">
      <w:pPr>
        <w:autoSpaceDE w:val="0"/>
        <w:autoSpaceDN w:val="0"/>
        <w:adjustRightInd w:val="0"/>
        <w:spacing w:line="360" w:lineRule="auto"/>
        <w:ind w:left="315" w:hanging="315" w:hangingChars="150"/>
        <w:rPr>
          <w:rFonts w:ascii="宋体" w:hAnsi="宋体" w:eastAsia="宋体" w:cs="宋体"/>
          <w:color w:val="auto"/>
          <w:kern w:val="0"/>
          <w:szCs w:val="24"/>
          <w:lang w:val="zh-CN"/>
        </w:rPr>
      </w:pPr>
      <w:r>
        <w:rPr>
          <w:rFonts w:hint="eastAsia" w:ascii="宋体" w:hAnsi="宋体" w:eastAsia="宋体" w:cs="宋体"/>
          <w:bCs/>
          <w:color w:val="auto"/>
          <w:kern w:val="0"/>
          <w:szCs w:val="24"/>
          <w:lang w:val="zh-CN"/>
        </w:rPr>
        <w:t>8、</w:t>
      </w:r>
      <w:r>
        <w:rPr>
          <w:rFonts w:hint="eastAsia" w:ascii="宋体" w:hAnsi="宋体" w:eastAsia="宋体" w:cs="宋体"/>
          <w:color w:val="auto"/>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738776D">
      <w:pPr>
        <w:spacing w:line="360" w:lineRule="auto"/>
        <w:ind w:left="359" w:hanging="569"/>
        <w:rPr>
          <w:rFonts w:ascii="宋体" w:hAnsi="宋体" w:eastAsia="宋体" w:cs="宋体"/>
          <w:b/>
          <w:color w:val="auto"/>
          <w:kern w:val="0"/>
          <w:szCs w:val="21"/>
        </w:rPr>
      </w:pPr>
    </w:p>
    <w:p w14:paraId="0C4A69D7">
      <w:pPr>
        <w:tabs>
          <w:tab w:val="left" w:pos="1140"/>
        </w:tabs>
        <w:autoSpaceDE w:val="0"/>
        <w:autoSpaceDN w:val="0"/>
        <w:adjustRightInd w:val="0"/>
        <w:spacing w:line="360" w:lineRule="auto"/>
        <w:jc w:val="center"/>
        <w:rPr>
          <w:rFonts w:ascii="宋体" w:hAnsi="宋体" w:eastAsia="宋体" w:cs="宋体"/>
          <w:b/>
          <w:bCs/>
          <w:color w:val="auto"/>
          <w:sz w:val="28"/>
          <w:szCs w:val="28"/>
        </w:rPr>
      </w:pPr>
      <w:bookmarkStart w:id="664" w:name="_Toc4109_WPSOffice_Level1"/>
      <w:r>
        <w:rPr>
          <w:rFonts w:hint="eastAsia" w:ascii="宋体" w:hAnsi="宋体" w:eastAsia="宋体" w:cs="宋体"/>
          <w:b/>
          <w:bCs/>
          <w:color w:val="auto"/>
          <w:sz w:val="28"/>
          <w:szCs w:val="28"/>
          <w:lang w:val="zh-CN"/>
        </w:rPr>
        <w:t>三、澄清有关问题</w:t>
      </w:r>
      <w:bookmarkEnd w:id="664"/>
    </w:p>
    <w:p w14:paraId="1DCB1D65">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bCs/>
          <w:color w:val="auto"/>
          <w:szCs w:val="24"/>
          <w:lang w:val="zh-CN"/>
        </w:rPr>
        <w:t>9、</w:t>
      </w:r>
      <w:r>
        <w:rPr>
          <w:rFonts w:hint="eastAsia" w:ascii="宋体" w:hAnsi="宋体" w:eastAsia="宋体" w:cs="宋体"/>
          <w:color w:val="auto"/>
          <w:szCs w:val="24"/>
          <w:lang w:val="zh-CN"/>
        </w:rPr>
        <w:t>在</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的商务、技术资格性检查及符合性检查过程中，</w:t>
      </w:r>
      <w:r>
        <w:rPr>
          <w:rFonts w:hint="eastAsia" w:ascii="宋体" w:hAnsi="宋体" w:eastAsia="宋体" w:cs="宋体"/>
          <w:color w:val="auto"/>
          <w:kern w:val="0"/>
          <w:szCs w:val="24"/>
          <w:lang w:val="zh-CN"/>
        </w:rPr>
        <w:t>投标人</w:t>
      </w:r>
      <w:r>
        <w:rPr>
          <w:rFonts w:hint="eastAsia" w:ascii="宋体" w:hAnsi="宋体" w:eastAsia="宋体" w:cs="宋体"/>
          <w:color w:val="auto"/>
          <w:szCs w:val="24"/>
          <w:lang w:val="zh-CN"/>
        </w:rPr>
        <w:t>可应评标委员会要求对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中有关问题进行书面澄清。该书面澄清作为其</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的一部分。</w:t>
      </w:r>
    </w:p>
    <w:p w14:paraId="14337FB0">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9.1  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中含义不明确、同类问题表述不一致或者有明显文字和计算错误的内容，评标委员会可以书面形式（由评标委员会专家签字）要求投标人作出必要的澄清、说明或者纠正。</w:t>
      </w:r>
    </w:p>
    <w:p w14:paraId="16B64E2B">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AE1892E">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9.3  经过澄清后仍不符合要求，则该项目在下一步评审进行评分调整；若重大（实质性）偏差仍存在，且不可接受，投标人则被认为是“不响应招标文件要求的投标人”，不再进入下一步评审。</w:t>
      </w:r>
    </w:p>
    <w:p w14:paraId="6958A770">
      <w:pPr>
        <w:spacing w:line="360" w:lineRule="auto"/>
        <w:ind w:left="412" w:hanging="411" w:hangingChars="196"/>
        <w:rPr>
          <w:rFonts w:ascii="宋体" w:hAnsi="宋体" w:eastAsia="宋体" w:cs="宋体"/>
          <w:color w:val="auto"/>
          <w:kern w:val="0"/>
          <w:szCs w:val="21"/>
        </w:rPr>
      </w:pPr>
      <w:r>
        <w:rPr>
          <w:rFonts w:hint="eastAsia" w:ascii="宋体" w:hAnsi="宋体" w:eastAsia="宋体" w:cs="宋体"/>
          <w:color w:val="auto"/>
          <w:kern w:val="0"/>
          <w:szCs w:val="21"/>
        </w:rPr>
        <w:t>9.4  投标文件报价计算错误的修正</w:t>
      </w:r>
    </w:p>
    <w:p w14:paraId="091C6C1A">
      <w:pPr>
        <w:spacing w:line="360" w:lineRule="auto"/>
        <w:ind w:left="412" w:hanging="411" w:hangingChars="196"/>
        <w:jc w:val="left"/>
        <w:rPr>
          <w:rFonts w:ascii="宋体" w:hAnsi="宋体" w:eastAsia="宋体" w:cs="宋体"/>
          <w:color w:val="auto"/>
          <w:kern w:val="0"/>
          <w:szCs w:val="21"/>
        </w:rPr>
      </w:pPr>
      <w:r>
        <w:rPr>
          <w:rFonts w:hint="eastAsia" w:ascii="宋体" w:hAnsi="宋体" w:eastAsia="宋体" w:cs="宋体"/>
          <w:color w:val="auto"/>
          <w:kern w:val="0"/>
          <w:szCs w:val="21"/>
        </w:rPr>
        <w:t>（1）评标委员会将对确定为实质上响应招标文件要求的投标文件进行校核，看其是否有计算或表达上的错误，修正错误的原则为：</w:t>
      </w:r>
    </w:p>
    <w:p w14:paraId="226BD0F4">
      <w:pPr>
        <w:spacing w:line="360" w:lineRule="auto"/>
        <w:ind w:left="420" w:left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当以数字表示的金额与以文字表示的金额不一致时，以文字表示的金额为准。经双方确认后，作为合同文件的组成部分。</w:t>
      </w:r>
    </w:p>
    <w:p w14:paraId="1D3BDA43">
      <w:pPr>
        <w:spacing w:line="360" w:lineRule="auto"/>
        <w:ind w:left="412" w:hanging="411" w:hangingChars="196"/>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b/>
          <w:color w:val="auto"/>
          <w:kern w:val="0"/>
          <w:szCs w:val="21"/>
          <w:u w:val="single"/>
          <w:lang w:val="zh-CN"/>
        </w:rPr>
        <w:t>按上述修正</w:t>
      </w:r>
      <w:r>
        <w:rPr>
          <w:rFonts w:hint="eastAsia" w:ascii="宋体" w:hAnsi="宋体" w:eastAsia="宋体" w:cs="宋体"/>
          <w:b/>
          <w:color w:val="auto"/>
          <w:kern w:val="0"/>
          <w:szCs w:val="21"/>
          <w:u w:val="single"/>
        </w:rPr>
        <w:t>错误</w:t>
      </w:r>
      <w:r>
        <w:rPr>
          <w:rFonts w:hint="eastAsia" w:ascii="宋体" w:hAnsi="宋体" w:eastAsia="宋体" w:cs="宋体"/>
          <w:b/>
          <w:color w:val="auto"/>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lang w:val="zh-CN"/>
        </w:rPr>
        <w:t>。</w:t>
      </w:r>
    </w:p>
    <w:p w14:paraId="1C3109F8">
      <w:pPr>
        <w:spacing w:line="360" w:lineRule="auto"/>
        <w:ind w:left="412" w:hanging="411" w:hangingChars="196"/>
        <w:rPr>
          <w:rFonts w:ascii="宋体" w:hAnsi="宋体" w:eastAsia="宋体" w:cs="宋体"/>
          <w:color w:val="auto"/>
          <w:kern w:val="0"/>
          <w:szCs w:val="21"/>
          <w:lang w:val="zh-CN"/>
        </w:rPr>
      </w:pPr>
      <w:r>
        <w:rPr>
          <w:rFonts w:hint="eastAsia" w:ascii="宋体" w:hAnsi="宋体" w:eastAsia="宋体" w:cs="宋体"/>
          <w:color w:val="auto"/>
          <w:kern w:val="0"/>
          <w:szCs w:val="21"/>
          <w:lang w:val="zh-CN"/>
        </w:rPr>
        <w:t>9.5  若投标人出现超低报价，有可能影响服务质量和不能诚信履约的，</w:t>
      </w:r>
      <w:r>
        <w:rPr>
          <w:rFonts w:hint="eastAsia" w:ascii="宋体" w:hAnsi="宋体" w:eastAsia="宋体" w:cs="宋体"/>
          <w:bCs/>
          <w:color w:val="auto"/>
          <w:szCs w:val="21"/>
          <w:lang w:val="zh-CN"/>
        </w:rPr>
        <w:t>评标委员会将要求该投标人作出书面说明并提供相关证明材料，以确定投标人是否以低于企业成本价报价。</w:t>
      </w:r>
      <w:r>
        <w:rPr>
          <w:rFonts w:hint="eastAsia" w:ascii="宋体" w:hAnsi="宋体" w:eastAsia="宋体" w:cs="宋体"/>
          <w:b/>
          <w:color w:val="auto"/>
          <w:szCs w:val="21"/>
          <w:lang w:val="zh-CN"/>
        </w:rPr>
        <w:t>若投标人不能合理说明或不能提供相关证明材料的，评标委员会将认定其投标报价低于成本，同时否决其投标。</w:t>
      </w:r>
    </w:p>
    <w:p w14:paraId="20582977">
      <w:pPr>
        <w:autoSpaceDE w:val="0"/>
        <w:autoSpaceDN w:val="0"/>
        <w:adjustRightInd w:val="0"/>
        <w:spacing w:line="360" w:lineRule="auto"/>
        <w:ind w:left="551" w:hanging="551" w:hangingChars="196"/>
        <w:jc w:val="center"/>
        <w:rPr>
          <w:rFonts w:ascii="宋体" w:hAnsi="宋体" w:eastAsia="宋体" w:cs="宋体"/>
          <w:b/>
          <w:bCs/>
          <w:color w:val="auto"/>
          <w:sz w:val="28"/>
          <w:szCs w:val="28"/>
          <w:lang w:val="zh-CN"/>
        </w:rPr>
      </w:pPr>
      <w:bookmarkStart w:id="665" w:name="_Toc8518_WPSOffice_Level1"/>
    </w:p>
    <w:p w14:paraId="713B80CF">
      <w:pPr>
        <w:tabs>
          <w:tab w:val="left" w:pos="1140"/>
        </w:tabs>
        <w:autoSpaceDE w:val="0"/>
        <w:autoSpaceDN w:val="0"/>
        <w:adjustRightInd w:val="0"/>
        <w:spacing w:line="360" w:lineRule="auto"/>
        <w:jc w:val="center"/>
        <w:rPr>
          <w:rFonts w:ascii="宋体" w:hAnsi="宋体" w:eastAsia="宋体" w:cs="宋体"/>
          <w:b/>
          <w:bCs/>
          <w:color w:val="auto"/>
          <w:sz w:val="28"/>
          <w:szCs w:val="28"/>
          <w:lang w:val="zh-CN"/>
        </w:rPr>
      </w:pPr>
      <w:r>
        <w:rPr>
          <w:rFonts w:hint="eastAsia" w:ascii="宋体" w:hAnsi="宋体" w:eastAsia="宋体" w:cs="宋体"/>
          <w:b/>
          <w:bCs/>
          <w:color w:val="auto"/>
          <w:sz w:val="28"/>
          <w:szCs w:val="28"/>
          <w:lang w:val="zh-CN"/>
        </w:rPr>
        <w:t>四、比较和评价</w:t>
      </w:r>
      <w:bookmarkEnd w:id="665"/>
    </w:p>
    <w:p w14:paraId="12C98973">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bCs/>
          <w:color w:val="auto"/>
          <w:szCs w:val="24"/>
          <w:lang w:val="zh-CN"/>
        </w:rPr>
        <w:t>10、</w:t>
      </w:r>
      <w:r>
        <w:rPr>
          <w:rFonts w:hint="eastAsia" w:ascii="宋体" w:hAnsi="宋体" w:eastAsia="宋体" w:cs="宋体"/>
          <w:color w:val="auto"/>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w:t>
      </w:r>
      <w:r>
        <w:rPr>
          <w:rFonts w:hint="eastAsia" w:ascii="宋体" w:hAnsi="宋体" w:eastAsia="宋体" w:cs="宋体"/>
          <w:color w:val="auto"/>
          <w:szCs w:val="24"/>
        </w:rPr>
        <w:t>和</w:t>
      </w:r>
      <w:r>
        <w:rPr>
          <w:rFonts w:hint="eastAsia" w:ascii="宋体" w:hAnsi="宋体" w:eastAsia="宋体" w:cs="宋体"/>
          <w:color w:val="auto"/>
          <w:szCs w:val="24"/>
          <w:lang w:val="zh-CN"/>
        </w:rPr>
        <w:t>技术等内容进行打分。</w:t>
      </w:r>
    </w:p>
    <w:p w14:paraId="58AACB2E">
      <w:pPr>
        <w:autoSpaceDE w:val="0"/>
        <w:autoSpaceDN w:val="0"/>
        <w:adjustRightInd w:val="0"/>
        <w:spacing w:line="360" w:lineRule="auto"/>
        <w:ind w:left="422" w:leftChars="1" w:hanging="420" w:hangingChars="200"/>
        <w:rPr>
          <w:rFonts w:ascii="宋体" w:hAnsi="宋体" w:eastAsia="宋体" w:cs="宋体"/>
          <w:color w:val="auto"/>
          <w:szCs w:val="24"/>
          <w:lang w:val="zh-CN"/>
        </w:rPr>
      </w:pPr>
    </w:p>
    <w:p w14:paraId="2B418BB7">
      <w:pPr>
        <w:tabs>
          <w:tab w:val="left" w:pos="1701"/>
        </w:tabs>
        <w:autoSpaceDE w:val="0"/>
        <w:autoSpaceDN w:val="0"/>
        <w:adjustRightInd w:val="0"/>
        <w:spacing w:line="360" w:lineRule="auto"/>
        <w:ind w:left="413" w:hanging="413" w:hangingChars="196"/>
        <w:rPr>
          <w:rFonts w:ascii="宋体" w:hAnsi="宋体" w:eastAsia="宋体" w:cs="宋体"/>
          <w:b/>
          <w:color w:val="auto"/>
          <w:szCs w:val="24"/>
          <w:lang w:val="zh-CN"/>
        </w:rPr>
      </w:pPr>
      <w:r>
        <w:rPr>
          <w:rFonts w:hint="eastAsia" w:ascii="宋体" w:hAnsi="宋体" w:eastAsia="宋体" w:cs="宋体"/>
          <w:b/>
          <w:color w:val="auto"/>
          <w:szCs w:val="24"/>
          <w:lang w:val="zh-CN"/>
        </w:rPr>
        <w:t>11、评委打分办法</w:t>
      </w:r>
    </w:p>
    <w:p w14:paraId="0C99A375">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11.1 参加评分的评委应尽力体现客观、实事求是，避免学派偏见和个人偏好。</w:t>
      </w:r>
    </w:p>
    <w:p w14:paraId="7D2066EA">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11.2 衡量、对比的依据，应以招标文件、投标文件、提供的正式试验数据、开标澄清中的文字为准，口头回答和收集的资料只作为参考。</w:t>
      </w:r>
    </w:p>
    <w:p w14:paraId="5F190DAD">
      <w:pPr>
        <w:autoSpaceDE w:val="0"/>
        <w:autoSpaceDN w:val="0"/>
        <w:adjustRightInd w:val="0"/>
        <w:spacing w:line="360" w:lineRule="auto"/>
        <w:ind w:left="412" w:hanging="411" w:hangingChars="196"/>
        <w:rPr>
          <w:rFonts w:ascii="宋体" w:hAnsi="宋体" w:eastAsia="宋体" w:cs="宋体"/>
          <w:color w:val="auto"/>
          <w:kern w:val="0"/>
          <w:szCs w:val="21"/>
        </w:rPr>
      </w:pPr>
      <w:r>
        <w:rPr>
          <w:rFonts w:hint="eastAsia" w:ascii="宋体" w:hAnsi="宋体" w:eastAsia="宋体" w:cs="宋体"/>
          <w:color w:val="auto"/>
          <w:szCs w:val="24"/>
          <w:lang w:val="zh-CN"/>
        </w:rPr>
        <w:t>11.3 评分主要是为比较各投标人的商务</w:t>
      </w:r>
      <w:r>
        <w:rPr>
          <w:rFonts w:hint="eastAsia" w:ascii="宋体" w:hAnsi="宋体" w:eastAsia="宋体" w:cs="宋体"/>
          <w:color w:val="auto"/>
          <w:szCs w:val="24"/>
        </w:rPr>
        <w:t>和</w:t>
      </w:r>
      <w:r>
        <w:rPr>
          <w:rFonts w:hint="eastAsia" w:ascii="宋体" w:hAnsi="宋体" w:eastAsia="宋体" w:cs="宋体"/>
          <w:color w:val="auto"/>
          <w:szCs w:val="24"/>
          <w:lang w:val="zh-CN"/>
        </w:rPr>
        <w:t>技术综合排序。</w:t>
      </w:r>
      <w:r>
        <w:rPr>
          <w:rFonts w:hint="eastAsia" w:ascii="宋体" w:hAnsi="宋体" w:eastAsia="宋体" w:cs="宋体"/>
          <w:color w:val="auto"/>
          <w:kern w:val="0"/>
          <w:szCs w:val="21"/>
        </w:rPr>
        <w:t>评标委员会专家组的每一位评委根据招标文件评分标准对投标文件分别评审，对有效投标人投标文件的商务、技术分别评分。</w:t>
      </w:r>
    </w:p>
    <w:p w14:paraId="5F2E8AA0">
      <w:pPr>
        <w:autoSpaceDE w:val="0"/>
        <w:autoSpaceDN w:val="0"/>
        <w:adjustRightInd w:val="0"/>
        <w:spacing w:line="360" w:lineRule="auto"/>
        <w:ind w:left="412" w:hanging="411" w:hangingChars="196"/>
        <w:rPr>
          <w:rFonts w:ascii="宋体" w:hAnsi="宋体" w:eastAsia="宋体" w:cs="宋体"/>
          <w:color w:val="auto"/>
          <w:kern w:val="0"/>
          <w:szCs w:val="21"/>
        </w:rPr>
      </w:pPr>
      <w:r>
        <w:rPr>
          <w:rFonts w:hint="eastAsia" w:ascii="宋体" w:hAnsi="宋体" w:eastAsia="宋体" w:cs="宋体"/>
          <w:color w:val="auto"/>
          <w:kern w:val="0"/>
          <w:szCs w:val="21"/>
        </w:rPr>
        <w:t>（1）评标委员会首先对商务标进行评审，按评标标准打分后，取所有评委评分的平均值得出该投标人的商务评分；</w:t>
      </w:r>
    </w:p>
    <w:p w14:paraId="178901BB">
      <w:pPr>
        <w:autoSpaceDE w:val="0"/>
        <w:autoSpaceDN w:val="0"/>
        <w:adjustRightInd w:val="0"/>
        <w:spacing w:line="360" w:lineRule="auto"/>
        <w:ind w:left="412" w:hanging="411" w:hangingChars="196"/>
        <w:rPr>
          <w:rFonts w:ascii="宋体" w:hAnsi="宋体" w:eastAsia="宋体" w:cs="宋体"/>
          <w:color w:val="auto"/>
          <w:szCs w:val="21"/>
        </w:rPr>
      </w:pPr>
      <w:r>
        <w:rPr>
          <w:rFonts w:hint="eastAsia" w:ascii="宋体" w:hAnsi="宋体" w:eastAsia="宋体" w:cs="宋体"/>
          <w:color w:val="auto"/>
          <w:kern w:val="0"/>
          <w:szCs w:val="21"/>
        </w:rPr>
        <w:t>（2）然后评标委员会对技术标进行评审，按评标标准打分后，</w:t>
      </w:r>
      <w:r>
        <w:rPr>
          <w:rFonts w:hint="eastAsia" w:ascii="宋体" w:hAnsi="宋体" w:eastAsia="宋体" w:cs="宋体"/>
          <w:color w:val="auto"/>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7E142218">
      <w:pPr>
        <w:tabs>
          <w:tab w:val="left" w:pos="600"/>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11.4 评标委员会打分采取记名形式。</w:t>
      </w:r>
    </w:p>
    <w:p w14:paraId="656CF7A4">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11.5 各评委根据秘书组提供的打分表严格按照评标大纲内的评分标准独立自主打分，任何人不得要求评委统一打分或统一确定等次顺序。</w:t>
      </w:r>
    </w:p>
    <w:p w14:paraId="20653169">
      <w:pPr>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11.6 对打分表中的每项条款，各评委应根据投标文件、澄清材料、招标文件要求，按满足的程度给投标人打分。</w:t>
      </w:r>
    </w:p>
    <w:p w14:paraId="65255306">
      <w:pPr>
        <w:tabs>
          <w:tab w:val="left" w:pos="600"/>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11.7 评分程序</w:t>
      </w:r>
    </w:p>
    <w:p w14:paraId="63EEEAC3">
      <w:pPr>
        <w:tabs>
          <w:tab w:val="left" w:pos="1134"/>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（1）就投标人的投标文件对照整理出商务、技术评标因素对比表、偏差表，并在经过校核的基础上逐项打分。</w:t>
      </w:r>
    </w:p>
    <w:p w14:paraId="5FB13605">
      <w:pPr>
        <w:tabs>
          <w:tab w:val="left" w:pos="1134"/>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（2）各评委独立完成打分后，将统计好的评分表交给招标代理机构秘书组复核。</w:t>
      </w:r>
    </w:p>
    <w:p w14:paraId="2C724F56">
      <w:pPr>
        <w:tabs>
          <w:tab w:val="left" w:pos="1134"/>
        </w:tabs>
        <w:autoSpaceDE w:val="0"/>
        <w:autoSpaceDN w:val="0"/>
        <w:adjustRightInd w:val="0"/>
        <w:spacing w:line="360" w:lineRule="auto"/>
        <w:ind w:left="412" w:hanging="411" w:hangingChars="196"/>
        <w:rPr>
          <w:rFonts w:ascii="宋体" w:hAnsi="宋体" w:eastAsia="宋体" w:cs="宋体"/>
          <w:color w:val="auto"/>
          <w:szCs w:val="24"/>
          <w:lang w:val="zh-CN"/>
        </w:rPr>
      </w:pPr>
      <w:r>
        <w:rPr>
          <w:rFonts w:hint="eastAsia" w:ascii="宋体" w:hAnsi="宋体" w:eastAsia="宋体" w:cs="宋体"/>
          <w:color w:val="auto"/>
          <w:szCs w:val="24"/>
          <w:lang w:val="zh-CN"/>
        </w:rPr>
        <w:t>（3）评分统计表中各投标人技术得分应为最终综合得分，商务得分应为评委打分的算术平均值。</w:t>
      </w:r>
    </w:p>
    <w:p w14:paraId="385A50D6">
      <w:pPr>
        <w:autoSpaceDE w:val="0"/>
        <w:autoSpaceDN w:val="0"/>
        <w:adjustRightInd w:val="0"/>
        <w:spacing w:line="360" w:lineRule="auto"/>
        <w:rPr>
          <w:rFonts w:ascii="宋体" w:hAnsi="宋体" w:eastAsia="宋体" w:cs="宋体"/>
          <w:color w:val="auto"/>
          <w:szCs w:val="24"/>
          <w:lang w:val="zh-CN"/>
        </w:rPr>
      </w:pPr>
    </w:p>
    <w:p w14:paraId="7BDBFD3A">
      <w:pPr>
        <w:tabs>
          <w:tab w:val="left" w:pos="1701"/>
        </w:tabs>
        <w:autoSpaceDE w:val="0"/>
        <w:autoSpaceDN w:val="0"/>
        <w:adjustRightInd w:val="0"/>
        <w:spacing w:line="360" w:lineRule="auto"/>
        <w:ind w:left="359" w:hanging="569"/>
        <w:rPr>
          <w:rFonts w:ascii="宋体" w:hAnsi="宋体" w:eastAsia="宋体" w:cs="宋体"/>
          <w:b/>
          <w:color w:val="auto"/>
          <w:szCs w:val="24"/>
        </w:rPr>
      </w:pPr>
      <w:r>
        <w:rPr>
          <w:rFonts w:hint="eastAsia" w:ascii="宋体" w:hAnsi="宋体" w:eastAsia="宋体" w:cs="宋体"/>
          <w:b/>
          <w:color w:val="auto"/>
          <w:szCs w:val="24"/>
          <w:lang w:val="zh-CN"/>
        </w:rPr>
        <w:t>12、评分因素及分值</w:t>
      </w:r>
      <w:r>
        <w:rPr>
          <w:rFonts w:hint="eastAsia" w:ascii="宋体" w:hAnsi="宋体" w:eastAsia="宋体" w:cs="宋体"/>
          <w:b/>
          <w:color w:val="auto"/>
          <w:szCs w:val="24"/>
        </w:rPr>
        <w:t>(A包、B包、C包通用）</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3E637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18E91F5">
            <w:pPr>
              <w:spacing w:line="400" w:lineRule="exact"/>
              <w:ind w:left="386" w:hanging="596"/>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15822F76">
            <w:pPr>
              <w:spacing w:line="400" w:lineRule="exact"/>
              <w:ind w:left="386" w:hanging="596"/>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分值</w:t>
            </w:r>
          </w:p>
        </w:tc>
      </w:tr>
      <w:tr w14:paraId="04E92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08182877">
            <w:pPr>
              <w:jc w:val="center"/>
              <w:rPr>
                <w:rFonts w:ascii="宋体" w:hAnsi="宋体" w:eastAsia="宋体" w:cs="宋体"/>
                <w:bCs/>
                <w:color w:val="auto"/>
                <w:kern w:val="0"/>
                <w:sz w:val="22"/>
                <w:lang w:val="zh-CN"/>
              </w:rPr>
            </w:pPr>
            <w:r>
              <w:rPr>
                <w:rFonts w:hint="eastAsia" w:ascii="宋体" w:hAnsi="宋体" w:eastAsia="宋体" w:cs="宋体"/>
                <w:color w:val="auto"/>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1D509E4">
            <w:pPr>
              <w:jc w:val="center"/>
              <w:rPr>
                <w:rFonts w:ascii="宋体" w:hAnsi="宋体" w:eastAsia="宋体" w:cs="宋体"/>
                <w:bCs/>
                <w:color w:val="auto"/>
                <w:kern w:val="0"/>
                <w:sz w:val="22"/>
                <w:lang w:val="zh-CN"/>
              </w:rPr>
            </w:pPr>
            <w:r>
              <w:rPr>
                <w:rFonts w:hint="eastAsia" w:ascii="宋体" w:hAnsi="宋体" w:eastAsia="宋体" w:cs="宋体"/>
                <w:color w:val="auto"/>
                <w:szCs w:val="21"/>
              </w:rPr>
              <w:t>50</w:t>
            </w:r>
            <w:r>
              <w:rPr>
                <w:rFonts w:hint="eastAsia" w:ascii="宋体" w:hAnsi="宋体" w:eastAsia="宋体" w:cs="宋体"/>
                <w:color w:val="auto"/>
                <w:szCs w:val="21"/>
                <w:lang w:val="zh-CN"/>
              </w:rPr>
              <w:t>分</w:t>
            </w:r>
          </w:p>
        </w:tc>
      </w:tr>
      <w:tr w14:paraId="06F33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0077A7F1">
            <w:pPr>
              <w:jc w:val="center"/>
              <w:rPr>
                <w:rFonts w:ascii="宋体" w:hAnsi="宋体" w:eastAsia="宋体" w:cs="宋体"/>
                <w:bCs/>
                <w:color w:val="auto"/>
                <w:kern w:val="0"/>
                <w:sz w:val="22"/>
                <w:lang w:val="zh-CN"/>
              </w:rPr>
            </w:pPr>
            <w:r>
              <w:rPr>
                <w:rFonts w:hint="eastAsia" w:ascii="宋体" w:hAnsi="宋体" w:eastAsia="宋体" w:cs="宋体"/>
                <w:color w:val="auto"/>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097274B0">
            <w:pPr>
              <w:jc w:val="center"/>
              <w:rPr>
                <w:rFonts w:ascii="宋体" w:hAnsi="宋体" w:eastAsia="宋体" w:cs="宋体"/>
                <w:bCs/>
                <w:color w:val="auto"/>
                <w:kern w:val="0"/>
                <w:sz w:val="22"/>
                <w:lang w:val="zh-CN"/>
              </w:rPr>
            </w:pPr>
            <w:r>
              <w:rPr>
                <w:rFonts w:hint="eastAsia" w:ascii="宋体" w:hAnsi="宋体" w:eastAsia="宋体" w:cs="宋体"/>
                <w:color w:val="auto"/>
                <w:szCs w:val="21"/>
              </w:rPr>
              <w:t>50</w:t>
            </w:r>
            <w:r>
              <w:rPr>
                <w:rFonts w:hint="eastAsia" w:ascii="宋体" w:hAnsi="宋体" w:eastAsia="宋体" w:cs="宋体"/>
                <w:color w:val="auto"/>
                <w:szCs w:val="21"/>
                <w:lang w:val="zh-CN"/>
              </w:rPr>
              <w:t>分</w:t>
            </w:r>
          </w:p>
        </w:tc>
      </w:tr>
    </w:tbl>
    <w:p w14:paraId="3B8D9B96">
      <w:pPr>
        <w:tabs>
          <w:tab w:val="left" w:pos="585"/>
        </w:tabs>
        <w:autoSpaceDE w:val="0"/>
        <w:autoSpaceDN w:val="0"/>
        <w:adjustRightInd w:val="0"/>
        <w:spacing w:line="360" w:lineRule="auto"/>
        <w:ind w:left="359" w:hanging="569"/>
        <w:rPr>
          <w:rFonts w:ascii="宋体" w:hAnsi="宋体" w:eastAsia="宋体" w:cs="宋体"/>
          <w:b/>
          <w:color w:val="auto"/>
          <w:szCs w:val="21"/>
        </w:rPr>
      </w:pPr>
      <w:bookmarkStart w:id="666" w:name="_Toc18349_WPSOffice_Level2"/>
    </w:p>
    <w:p w14:paraId="4296A804">
      <w:pPr>
        <w:tabs>
          <w:tab w:val="left" w:pos="585"/>
        </w:tabs>
        <w:autoSpaceDE w:val="0"/>
        <w:autoSpaceDN w:val="0"/>
        <w:adjustRightInd w:val="0"/>
        <w:spacing w:line="360" w:lineRule="auto"/>
        <w:ind w:left="359" w:hanging="569"/>
        <w:rPr>
          <w:rFonts w:ascii="宋体" w:hAnsi="宋体" w:eastAsia="宋体" w:cs="宋体"/>
          <w:b/>
          <w:color w:val="auto"/>
          <w:szCs w:val="21"/>
          <w:lang w:val="zh-CN"/>
        </w:rPr>
      </w:pPr>
      <w:r>
        <w:rPr>
          <w:rFonts w:hint="eastAsia" w:ascii="宋体" w:hAnsi="宋体" w:eastAsia="宋体" w:cs="宋体"/>
          <w:b/>
          <w:color w:val="auto"/>
          <w:szCs w:val="21"/>
        </w:rPr>
        <w:t>（1）</w:t>
      </w:r>
      <w:r>
        <w:rPr>
          <w:rFonts w:hint="eastAsia" w:ascii="宋体" w:hAnsi="宋体" w:eastAsia="宋体" w:cs="宋体"/>
          <w:b/>
          <w:color w:val="auto"/>
          <w:szCs w:val="21"/>
          <w:lang w:val="zh-CN"/>
        </w:rPr>
        <w:t>商务：总分</w:t>
      </w:r>
      <w:r>
        <w:rPr>
          <w:rFonts w:hint="eastAsia" w:ascii="宋体" w:hAnsi="宋体" w:eastAsia="宋体" w:cs="宋体"/>
          <w:b/>
          <w:color w:val="auto"/>
          <w:szCs w:val="21"/>
        </w:rPr>
        <w:t>50</w:t>
      </w:r>
      <w:r>
        <w:rPr>
          <w:rFonts w:hint="eastAsia" w:ascii="宋体" w:hAnsi="宋体" w:eastAsia="宋体" w:cs="宋体"/>
          <w:b/>
          <w:color w:val="auto"/>
          <w:szCs w:val="21"/>
          <w:lang w:val="zh-CN"/>
        </w:rPr>
        <w:t>分</w:t>
      </w:r>
      <w:bookmarkEnd w:id="66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374"/>
        <w:gridCol w:w="1479"/>
        <w:gridCol w:w="6732"/>
      </w:tblGrid>
      <w:tr w14:paraId="6530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78" w:type="pct"/>
            <w:tcBorders>
              <w:top w:val="single" w:color="auto" w:sz="4" w:space="0"/>
              <w:left w:val="single" w:color="auto" w:sz="4" w:space="0"/>
              <w:bottom w:val="single" w:color="auto" w:sz="4" w:space="0"/>
              <w:right w:val="single" w:color="auto" w:sz="4" w:space="0"/>
            </w:tcBorders>
            <w:noWrap/>
            <w:vAlign w:val="center"/>
          </w:tcPr>
          <w:p w14:paraId="28B86D6F">
            <w:pPr>
              <w:spacing w:line="360" w:lineRule="auto"/>
              <w:jc w:val="center"/>
              <w:rPr>
                <w:rFonts w:ascii="宋体" w:hAnsi="宋体" w:eastAsia="宋体" w:cs="宋体"/>
                <w:b/>
                <w:color w:val="auto"/>
                <w:szCs w:val="21"/>
              </w:rPr>
            </w:pPr>
            <w:bookmarkStart w:id="667" w:name="_Toc11639_WPSOffice_Level2"/>
            <w:r>
              <w:rPr>
                <w:rFonts w:hint="eastAsia" w:ascii="宋体" w:hAnsi="宋体" w:eastAsia="宋体" w:cs="宋体"/>
                <w:b/>
                <w:color w:val="auto"/>
                <w:szCs w:val="21"/>
              </w:rPr>
              <w:t>序号</w:t>
            </w:r>
          </w:p>
        </w:tc>
        <w:tc>
          <w:tcPr>
            <w:tcW w:w="662" w:type="pct"/>
            <w:tcBorders>
              <w:top w:val="single" w:color="auto" w:sz="4" w:space="0"/>
              <w:left w:val="single" w:color="auto" w:sz="4" w:space="0"/>
              <w:bottom w:val="single" w:color="auto" w:sz="4" w:space="0"/>
              <w:right w:val="single" w:color="auto" w:sz="4" w:space="0"/>
            </w:tcBorders>
            <w:noWrap/>
            <w:vAlign w:val="center"/>
          </w:tcPr>
          <w:p w14:paraId="464AF5D8">
            <w:pPr>
              <w:spacing w:line="360" w:lineRule="auto"/>
              <w:jc w:val="center"/>
              <w:rPr>
                <w:rFonts w:ascii="宋体" w:hAnsi="宋体" w:eastAsia="宋体" w:cs="宋体"/>
                <w:b/>
                <w:color w:val="auto"/>
                <w:szCs w:val="21"/>
              </w:rPr>
            </w:pPr>
            <w:r>
              <w:rPr>
                <w:rFonts w:hint="eastAsia" w:ascii="宋体" w:hAnsi="宋体" w:eastAsia="宋体" w:cs="宋体"/>
                <w:b/>
                <w:color w:val="auto"/>
                <w:szCs w:val="21"/>
                <w:lang w:val="zh-CN"/>
              </w:rPr>
              <w:t>评审内容</w:t>
            </w:r>
          </w:p>
        </w:tc>
        <w:tc>
          <w:tcPr>
            <w:tcW w:w="713" w:type="pct"/>
            <w:tcBorders>
              <w:top w:val="single" w:color="auto" w:sz="4" w:space="0"/>
              <w:left w:val="single" w:color="auto" w:sz="4" w:space="0"/>
              <w:bottom w:val="single" w:color="auto" w:sz="4" w:space="0"/>
              <w:right w:val="single" w:color="auto" w:sz="4" w:space="0"/>
            </w:tcBorders>
            <w:noWrap/>
            <w:vAlign w:val="center"/>
          </w:tcPr>
          <w:p w14:paraId="44C633FD">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满分值</w:t>
            </w:r>
          </w:p>
        </w:tc>
        <w:tc>
          <w:tcPr>
            <w:tcW w:w="3245" w:type="pct"/>
            <w:tcBorders>
              <w:top w:val="single" w:color="auto" w:sz="4" w:space="0"/>
              <w:left w:val="single" w:color="auto" w:sz="4" w:space="0"/>
              <w:bottom w:val="single" w:color="auto" w:sz="4" w:space="0"/>
              <w:right w:val="single" w:color="auto" w:sz="4" w:space="0"/>
            </w:tcBorders>
            <w:noWrap/>
            <w:vAlign w:val="center"/>
          </w:tcPr>
          <w:p w14:paraId="02C5468F">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评审细则</w:t>
            </w:r>
          </w:p>
        </w:tc>
      </w:tr>
      <w:tr w14:paraId="1DA5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8" w:type="pct"/>
            <w:tcBorders>
              <w:top w:val="single" w:color="auto" w:sz="4" w:space="0"/>
              <w:left w:val="single" w:color="auto" w:sz="4" w:space="0"/>
              <w:bottom w:val="single" w:color="auto" w:sz="4" w:space="0"/>
              <w:right w:val="single" w:color="auto" w:sz="4" w:space="0"/>
            </w:tcBorders>
            <w:noWrap/>
            <w:vAlign w:val="center"/>
          </w:tcPr>
          <w:p w14:paraId="10C4D3C1">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1</w:t>
            </w:r>
          </w:p>
        </w:tc>
        <w:tc>
          <w:tcPr>
            <w:tcW w:w="662" w:type="pct"/>
            <w:tcBorders>
              <w:top w:val="single" w:color="auto" w:sz="4" w:space="0"/>
              <w:left w:val="single" w:color="auto" w:sz="4" w:space="0"/>
              <w:bottom w:val="single" w:color="auto" w:sz="4" w:space="0"/>
              <w:right w:val="single" w:color="auto" w:sz="4" w:space="0"/>
            </w:tcBorders>
            <w:noWrap/>
            <w:vAlign w:val="center"/>
          </w:tcPr>
          <w:p w14:paraId="69FC3CFF">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财务状况</w:t>
            </w:r>
          </w:p>
        </w:tc>
        <w:tc>
          <w:tcPr>
            <w:tcW w:w="713" w:type="pct"/>
            <w:tcBorders>
              <w:top w:val="single" w:color="auto" w:sz="4" w:space="0"/>
              <w:left w:val="single" w:color="auto" w:sz="4" w:space="0"/>
              <w:bottom w:val="single" w:color="auto" w:sz="4" w:space="0"/>
              <w:right w:val="single" w:color="auto" w:sz="4" w:space="0"/>
            </w:tcBorders>
            <w:noWrap/>
            <w:vAlign w:val="center"/>
          </w:tcPr>
          <w:p w14:paraId="0CBCF116">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3分</w:t>
            </w:r>
          </w:p>
        </w:tc>
        <w:tc>
          <w:tcPr>
            <w:tcW w:w="3245" w:type="pct"/>
            <w:tcBorders>
              <w:top w:val="single" w:color="auto" w:sz="4" w:space="0"/>
              <w:left w:val="single" w:color="auto" w:sz="4" w:space="0"/>
              <w:bottom w:val="single" w:color="auto" w:sz="4" w:space="0"/>
              <w:right w:val="single" w:color="auto" w:sz="4" w:space="0"/>
            </w:tcBorders>
            <w:noWrap/>
            <w:vAlign w:val="center"/>
          </w:tcPr>
          <w:p w14:paraId="4779826D">
            <w:pPr>
              <w:pStyle w:val="16"/>
              <w:snapToGri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投标人2021年-2023年三个年度，每具有1个年度盈利的得1分，满分3分。</w:t>
            </w:r>
          </w:p>
          <w:p w14:paraId="1B8D7A99">
            <w:pPr>
              <w:pStyle w:val="16"/>
              <w:spacing w:line="360" w:lineRule="auto"/>
              <w:rPr>
                <w:rFonts w:ascii="宋体" w:hAnsi="宋体" w:eastAsia="宋体" w:cs="宋体"/>
                <w:b/>
                <w:color w:val="auto"/>
                <w:szCs w:val="21"/>
              </w:rPr>
            </w:pPr>
            <w:r>
              <w:rPr>
                <w:rFonts w:hint="eastAsia" w:ascii="宋体" w:hAnsi="宋体" w:eastAsia="宋体" w:cs="宋体"/>
                <w:b/>
                <w:bCs/>
                <w:color w:val="auto"/>
                <w:szCs w:val="21"/>
                <w:lang w:val="zh-CN"/>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r>
      <w:tr w14:paraId="2027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78" w:type="pct"/>
            <w:tcBorders>
              <w:top w:val="single" w:color="auto" w:sz="4" w:space="0"/>
              <w:left w:val="single" w:color="auto" w:sz="4" w:space="0"/>
              <w:right w:val="single" w:color="auto" w:sz="4" w:space="0"/>
            </w:tcBorders>
            <w:noWrap/>
            <w:vAlign w:val="center"/>
          </w:tcPr>
          <w:p w14:paraId="5E40BEC6">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2</w:t>
            </w:r>
          </w:p>
        </w:tc>
        <w:tc>
          <w:tcPr>
            <w:tcW w:w="662" w:type="pct"/>
            <w:tcBorders>
              <w:top w:val="single" w:color="auto" w:sz="4" w:space="0"/>
              <w:left w:val="single" w:color="auto" w:sz="4" w:space="0"/>
              <w:right w:val="single" w:color="auto" w:sz="4" w:space="0"/>
            </w:tcBorders>
            <w:noWrap/>
            <w:vAlign w:val="center"/>
          </w:tcPr>
          <w:p w14:paraId="74E38938">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标准化管理水平</w:t>
            </w:r>
          </w:p>
        </w:tc>
        <w:tc>
          <w:tcPr>
            <w:tcW w:w="713" w:type="pct"/>
            <w:tcBorders>
              <w:top w:val="single" w:color="auto" w:sz="4" w:space="0"/>
              <w:left w:val="single" w:color="auto" w:sz="4" w:space="0"/>
              <w:right w:val="single" w:color="auto" w:sz="4" w:space="0"/>
            </w:tcBorders>
            <w:noWrap/>
            <w:vAlign w:val="center"/>
          </w:tcPr>
          <w:p w14:paraId="58141AA2">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3分</w:t>
            </w:r>
          </w:p>
        </w:tc>
        <w:tc>
          <w:tcPr>
            <w:tcW w:w="3245" w:type="pct"/>
            <w:tcBorders>
              <w:top w:val="single" w:color="auto" w:sz="4" w:space="0"/>
              <w:left w:val="single" w:color="auto" w:sz="4" w:space="0"/>
              <w:bottom w:val="single" w:color="auto" w:sz="4" w:space="0"/>
              <w:right w:val="single" w:color="auto" w:sz="4" w:space="0"/>
            </w:tcBorders>
            <w:noWrap/>
            <w:vAlign w:val="center"/>
          </w:tcPr>
          <w:p w14:paraId="164EAB45">
            <w:pPr>
              <w:spacing w:line="360" w:lineRule="auto"/>
              <w:rPr>
                <w:rFonts w:ascii="宋体" w:hAnsi="宋体" w:eastAsia="宋体" w:cs="宋体"/>
                <w:color w:val="auto"/>
                <w:szCs w:val="21"/>
              </w:rPr>
            </w:pPr>
            <w:r>
              <w:rPr>
                <w:rFonts w:hint="eastAsia" w:ascii="宋体" w:hAnsi="宋体" w:eastAsia="宋体" w:cs="宋体"/>
                <w:color w:val="auto"/>
                <w:szCs w:val="21"/>
              </w:rPr>
              <w:t>（1）投标人具有有效期内的ISO9001质量管理体系认证证书得1分；</w:t>
            </w:r>
          </w:p>
          <w:p w14:paraId="630D378D">
            <w:pPr>
              <w:spacing w:line="360" w:lineRule="auto"/>
              <w:rPr>
                <w:rFonts w:ascii="宋体" w:hAnsi="宋体" w:eastAsia="宋体" w:cs="宋体"/>
                <w:color w:val="auto"/>
                <w:szCs w:val="21"/>
              </w:rPr>
            </w:pPr>
            <w:r>
              <w:rPr>
                <w:rFonts w:hint="eastAsia" w:ascii="宋体" w:hAnsi="宋体" w:eastAsia="宋体" w:cs="宋体"/>
                <w:color w:val="auto"/>
                <w:szCs w:val="21"/>
              </w:rPr>
              <w:t>（2）投标人具有有效期内的ISO14001环境管理体系认证证书得1分；</w:t>
            </w:r>
          </w:p>
          <w:p w14:paraId="0D1912FD">
            <w:pPr>
              <w:spacing w:line="360" w:lineRule="auto"/>
              <w:rPr>
                <w:rFonts w:ascii="宋体" w:hAnsi="宋体" w:eastAsia="宋体" w:cs="宋体"/>
                <w:color w:val="auto"/>
                <w:szCs w:val="21"/>
              </w:rPr>
            </w:pPr>
            <w:r>
              <w:rPr>
                <w:rFonts w:hint="eastAsia" w:ascii="宋体" w:hAnsi="宋体" w:eastAsia="宋体" w:cs="宋体"/>
                <w:color w:val="auto"/>
                <w:szCs w:val="21"/>
              </w:rPr>
              <w:t>（3）投标人具有有效期内的OHSAS18001（GB/T45001-2020，或ISO45001）职业健康安全管理体系认证证书得1分。</w:t>
            </w:r>
          </w:p>
          <w:p w14:paraId="3833393C">
            <w:pPr>
              <w:tabs>
                <w:tab w:val="left" w:pos="134"/>
              </w:tabs>
              <w:spacing w:line="360" w:lineRule="auto"/>
              <w:rPr>
                <w:rFonts w:ascii="宋体" w:hAnsi="宋体" w:eastAsia="宋体" w:cs="宋体"/>
                <w:color w:val="auto"/>
                <w:szCs w:val="21"/>
              </w:rPr>
            </w:pPr>
            <w:r>
              <w:rPr>
                <w:rFonts w:hint="eastAsia" w:ascii="宋体" w:hAnsi="宋体" w:eastAsia="宋体" w:cs="宋体"/>
                <w:b/>
                <w:bCs/>
                <w:color w:val="auto"/>
                <w:szCs w:val="21"/>
                <w:lang w:val="zh-CN"/>
              </w:rPr>
              <w:t>备注</w:t>
            </w:r>
            <w:r>
              <w:rPr>
                <w:rFonts w:hint="eastAsia" w:ascii="宋体" w:hAnsi="宋体" w:eastAsia="宋体" w:cs="宋体"/>
                <w:b/>
                <w:bCs/>
                <w:color w:val="auto"/>
                <w:szCs w:val="21"/>
              </w:rPr>
              <w:t>：</w:t>
            </w:r>
            <w:r>
              <w:rPr>
                <w:rFonts w:hint="eastAsia" w:ascii="宋体" w:hAnsi="宋体" w:eastAsia="宋体" w:cs="宋体"/>
                <w:b/>
                <w:bCs/>
                <w:color w:val="auto"/>
                <w:szCs w:val="21"/>
                <w:lang w:val="zh-CN"/>
              </w:rPr>
              <w:t>投标人应提供上述证书复印件及能显示证书有效状态的全国认证认可信息公共服务平台</w:t>
            </w:r>
            <w:r>
              <w:rPr>
                <w:rFonts w:hint="eastAsia" w:ascii="宋体" w:hAnsi="宋体" w:eastAsia="宋体" w:cs="宋体"/>
                <w:b/>
                <w:bCs/>
                <w:color w:val="auto"/>
                <w:szCs w:val="21"/>
              </w:rPr>
              <w:t>（http://cx.cnca.cn/)</w:t>
            </w:r>
            <w:r>
              <w:rPr>
                <w:rFonts w:hint="eastAsia" w:ascii="宋体" w:hAnsi="宋体" w:eastAsia="宋体" w:cs="宋体"/>
                <w:b/>
                <w:bCs/>
                <w:color w:val="auto"/>
                <w:szCs w:val="21"/>
                <w:lang w:val="zh-CN"/>
              </w:rPr>
              <w:t>查询结果凭证</w:t>
            </w:r>
            <w:r>
              <w:rPr>
                <w:rFonts w:hint="eastAsia" w:ascii="宋体" w:hAnsi="宋体" w:eastAsia="宋体" w:cs="宋体"/>
                <w:b/>
                <w:bCs/>
                <w:color w:val="auto"/>
                <w:szCs w:val="21"/>
              </w:rPr>
              <w:t>[</w:t>
            </w:r>
            <w:r>
              <w:rPr>
                <w:rFonts w:hint="eastAsia" w:ascii="宋体" w:hAnsi="宋体" w:eastAsia="宋体" w:cs="宋体"/>
                <w:b/>
                <w:bCs/>
                <w:color w:val="auto"/>
                <w:szCs w:val="21"/>
                <w:lang w:val="zh-CN"/>
              </w:rPr>
              <w:t>凭证界面需显示有</w:t>
            </w:r>
            <w:r>
              <w:rPr>
                <w:rFonts w:hint="eastAsia" w:ascii="宋体" w:hAnsi="宋体" w:eastAsia="宋体" w:cs="宋体"/>
                <w:b/>
                <w:bCs/>
                <w:color w:val="auto"/>
                <w:szCs w:val="21"/>
              </w:rPr>
              <w:t>“</w:t>
            </w:r>
            <w:r>
              <w:rPr>
                <w:rFonts w:hint="eastAsia" w:ascii="宋体" w:hAnsi="宋体" w:eastAsia="宋体" w:cs="宋体"/>
                <w:b/>
                <w:bCs/>
                <w:color w:val="auto"/>
                <w:szCs w:val="21"/>
                <w:lang w:val="zh-CN"/>
              </w:rPr>
              <w:t>全国认证认可信息公共服务平台</w:t>
            </w:r>
            <w:r>
              <w:rPr>
                <w:rFonts w:hint="eastAsia" w:ascii="宋体" w:hAnsi="宋体" w:eastAsia="宋体" w:cs="宋体"/>
                <w:b/>
                <w:bCs/>
                <w:color w:val="auto"/>
                <w:szCs w:val="21"/>
              </w:rPr>
              <w:t>”</w:t>
            </w:r>
            <w:r>
              <w:rPr>
                <w:rFonts w:hint="eastAsia" w:ascii="宋体" w:hAnsi="宋体" w:eastAsia="宋体" w:cs="宋体"/>
                <w:b/>
                <w:bCs/>
                <w:color w:val="auto"/>
                <w:szCs w:val="21"/>
                <w:lang w:val="zh-CN"/>
              </w:rPr>
              <w:t>或</w:t>
            </w:r>
            <w:r>
              <w:rPr>
                <w:rFonts w:hint="eastAsia" w:ascii="宋体" w:hAnsi="宋体" w:eastAsia="宋体" w:cs="宋体"/>
                <w:b/>
                <w:bCs/>
                <w:color w:val="auto"/>
                <w:szCs w:val="21"/>
              </w:rPr>
              <w:t>“</w:t>
            </w:r>
            <w:r>
              <w:rPr>
                <w:rFonts w:hint="eastAsia" w:ascii="宋体" w:hAnsi="宋体" w:eastAsia="宋体" w:cs="宋体"/>
                <w:b/>
                <w:bCs/>
                <w:color w:val="auto"/>
                <w:szCs w:val="21"/>
                <w:lang w:val="zh-CN"/>
              </w:rPr>
              <w:t>认证证书</w:t>
            </w:r>
            <w:r>
              <w:rPr>
                <w:rFonts w:hint="eastAsia" w:ascii="宋体" w:hAnsi="宋体" w:eastAsia="宋体" w:cs="宋体"/>
                <w:b/>
                <w:bCs/>
                <w:color w:val="auto"/>
                <w:szCs w:val="21"/>
              </w:rPr>
              <w:t>（</w:t>
            </w:r>
            <w:r>
              <w:rPr>
                <w:rFonts w:hint="eastAsia" w:ascii="宋体" w:hAnsi="宋体" w:eastAsia="宋体" w:cs="宋体"/>
                <w:b/>
                <w:bCs/>
                <w:color w:val="auto"/>
                <w:szCs w:val="21"/>
                <w:lang w:val="zh-CN"/>
              </w:rPr>
              <w:t>需显示网址</w:t>
            </w:r>
            <w:r>
              <w:rPr>
                <w:rFonts w:hint="eastAsia" w:ascii="宋体" w:hAnsi="宋体" w:eastAsia="宋体" w:cs="宋体"/>
                <w:b/>
                <w:bCs/>
                <w:color w:val="auto"/>
                <w:szCs w:val="21"/>
              </w:rPr>
              <w:t>cx.cnca.cn）”]</w:t>
            </w:r>
            <w:r>
              <w:rPr>
                <w:rFonts w:hint="eastAsia" w:ascii="宋体" w:hAnsi="宋体" w:eastAsia="宋体" w:cs="宋体"/>
                <w:b/>
                <w:bCs/>
                <w:color w:val="auto"/>
                <w:szCs w:val="21"/>
                <w:lang w:val="zh-CN"/>
              </w:rPr>
              <w:t>。</w:t>
            </w:r>
          </w:p>
        </w:tc>
      </w:tr>
      <w:tr w14:paraId="0AF2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78" w:type="pct"/>
            <w:tcBorders>
              <w:left w:val="single" w:color="auto" w:sz="4" w:space="0"/>
              <w:right w:val="single" w:color="auto" w:sz="4" w:space="0"/>
            </w:tcBorders>
            <w:noWrap/>
            <w:vAlign w:val="center"/>
          </w:tcPr>
          <w:p w14:paraId="253A5E32">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3</w:t>
            </w:r>
          </w:p>
        </w:tc>
        <w:tc>
          <w:tcPr>
            <w:tcW w:w="662" w:type="pct"/>
            <w:tcBorders>
              <w:left w:val="single" w:color="auto" w:sz="4" w:space="0"/>
              <w:right w:val="single" w:color="auto" w:sz="4" w:space="0"/>
            </w:tcBorders>
            <w:noWrap/>
            <w:vAlign w:val="center"/>
          </w:tcPr>
          <w:p w14:paraId="4B3C63B4">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业绩</w:t>
            </w:r>
          </w:p>
        </w:tc>
        <w:tc>
          <w:tcPr>
            <w:tcW w:w="713" w:type="pct"/>
            <w:tcBorders>
              <w:left w:val="single" w:color="auto" w:sz="4" w:space="0"/>
              <w:right w:val="single" w:color="auto" w:sz="4" w:space="0"/>
            </w:tcBorders>
            <w:noWrap/>
            <w:vAlign w:val="center"/>
          </w:tcPr>
          <w:p w14:paraId="66C9CB6D">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44分</w:t>
            </w:r>
          </w:p>
        </w:tc>
        <w:tc>
          <w:tcPr>
            <w:tcW w:w="3245" w:type="pct"/>
            <w:tcBorders>
              <w:top w:val="single" w:color="auto" w:sz="4" w:space="0"/>
              <w:left w:val="single" w:color="auto" w:sz="4" w:space="0"/>
              <w:bottom w:val="single" w:color="auto" w:sz="4" w:space="0"/>
              <w:right w:val="single" w:color="auto" w:sz="4" w:space="0"/>
            </w:tcBorders>
            <w:noWrap/>
            <w:vAlign w:val="center"/>
          </w:tcPr>
          <w:p w14:paraId="0CE3FD70">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rPr>
              <w:t>1、</w:t>
            </w:r>
            <w:r>
              <w:rPr>
                <w:rFonts w:hint="eastAsia" w:ascii="宋体" w:hAnsi="宋体" w:eastAsia="宋体" w:cs="宋体"/>
                <w:color w:val="auto"/>
                <w:szCs w:val="21"/>
                <w:lang w:val="zh-CN"/>
              </w:rPr>
              <w:t>投标人</w:t>
            </w:r>
            <w:r>
              <w:rPr>
                <w:rFonts w:hint="eastAsia" w:ascii="宋体" w:hAnsi="宋体" w:eastAsia="宋体" w:cs="宋体"/>
                <w:color w:val="auto"/>
                <w:szCs w:val="21"/>
              </w:rPr>
              <w:t>2021</w:t>
            </w:r>
            <w:r>
              <w:rPr>
                <w:rFonts w:hint="eastAsia" w:ascii="宋体" w:hAnsi="宋体" w:eastAsia="宋体" w:cs="宋体"/>
                <w:color w:val="auto"/>
                <w:szCs w:val="21"/>
                <w:lang w:val="zh-CN"/>
              </w:rPr>
              <w:t>年1月1日以来（签订合同的时间为</w:t>
            </w:r>
            <w:r>
              <w:rPr>
                <w:rFonts w:hint="eastAsia" w:ascii="宋体" w:hAnsi="宋体" w:eastAsia="宋体" w:cs="宋体"/>
                <w:color w:val="auto"/>
                <w:szCs w:val="21"/>
              </w:rPr>
              <w:t>2021</w:t>
            </w:r>
            <w:r>
              <w:rPr>
                <w:rFonts w:hint="eastAsia" w:ascii="宋体" w:hAnsi="宋体" w:eastAsia="宋体" w:cs="宋体"/>
                <w:color w:val="auto"/>
                <w:szCs w:val="21"/>
                <w:lang w:val="zh-CN"/>
              </w:rPr>
              <w:t>年1月1日或以后）</w:t>
            </w:r>
            <w:r>
              <w:rPr>
                <w:rFonts w:hint="eastAsia" w:ascii="宋体" w:hAnsi="宋体" w:eastAsia="宋体" w:cs="宋体"/>
                <w:color w:val="auto"/>
                <w:szCs w:val="21"/>
              </w:rPr>
              <w:t>已完成</w:t>
            </w:r>
            <w:r>
              <w:rPr>
                <w:rFonts w:hint="eastAsia" w:ascii="宋体" w:hAnsi="宋体" w:eastAsia="宋体" w:cs="宋体"/>
                <w:color w:val="auto"/>
                <w:szCs w:val="21"/>
                <w:lang w:val="zh-CN"/>
              </w:rPr>
              <w:t>的排水泵站或排涝泵站或污水厂设备维修（</w:t>
            </w:r>
            <w:r>
              <w:rPr>
                <w:rFonts w:hint="eastAsia" w:ascii="宋体" w:hAnsi="宋体" w:eastAsia="宋体" w:cs="宋体"/>
                <w:color w:val="auto"/>
                <w:szCs w:val="21"/>
              </w:rPr>
              <w:t>或重置或改造</w:t>
            </w:r>
            <w:r>
              <w:rPr>
                <w:rFonts w:hint="eastAsia" w:ascii="宋体" w:hAnsi="宋体" w:eastAsia="宋体" w:cs="宋体"/>
                <w:color w:val="auto"/>
                <w:szCs w:val="21"/>
                <w:lang w:val="zh-CN"/>
              </w:rPr>
              <w:t>）项目业绩：</w:t>
            </w:r>
          </w:p>
          <w:p w14:paraId="225900BA">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lang w:val="zh-CN"/>
              </w:rPr>
              <w:t>（1）每具有一个单项合同金额在人民币</w:t>
            </w:r>
            <w:r>
              <w:rPr>
                <w:rFonts w:hint="eastAsia" w:ascii="宋体" w:hAnsi="宋体" w:eastAsia="宋体" w:cs="宋体"/>
                <w:color w:val="auto"/>
                <w:szCs w:val="21"/>
              </w:rPr>
              <w:t>50</w:t>
            </w:r>
            <w:r>
              <w:rPr>
                <w:rFonts w:hint="eastAsia" w:ascii="宋体" w:hAnsi="宋体" w:eastAsia="宋体" w:cs="宋体"/>
                <w:color w:val="auto"/>
                <w:szCs w:val="21"/>
                <w:lang w:val="zh-CN"/>
              </w:rPr>
              <w:t>万元及以上的</w:t>
            </w:r>
            <w:r>
              <w:rPr>
                <w:rFonts w:hint="eastAsia" w:ascii="宋体" w:hAnsi="宋体" w:eastAsia="宋体" w:cs="宋体"/>
                <w:color w:val="auto"/>
                <w:szCs w:val="21"/>
              </w:rPr>
              <w:t>排</w:t>
            </w:r>
            <w:r>
              <w:rPr>
                <w:rFonts w:hint="eastAsia" w:ascii="宋体" w:hAnsi="宋体" w:eastAsia="宋体" w:cs="宋体"/>
                <w:color w:val="auto"/>
                <w:szCs w:val="21"/>
                <w:lang w:val="zh-CN"/>
              </w:rPr>
              <w:t>水泵站设备维修或排涝泵站或污水厂（</w:t>
            </w:r>
            <w:r>
              <w:rPr>
                <w:rFonts w:hint="eastAsia" w:ascii="宋体" w:hAnsi="宋体" w:eastAsia="宋体" w:cs="宋体"/>
                <w:color w:val="auto"/>
                <w:szCs w:val="21"/>
              </w:rPr>
              <w:t>或重置或改造</w:t>
            </w:r>
            <w:r>
              <w:rPr>
                <w:rFonts w:hint="eastAsia" w:ascii="宋体" w:hAnsi="宋体" w:eastAsia="宋体" w:cs="宋体"/>
                <w:color w:val="auto"/>
                <w:szCs w:val="21"/>
                <w:lang w:val="zh-CN"/>
              </w:rPr>
              <w:t xml:space="preserve">）项目业绩得4分； </w:t>
            </w:r>
          </w:p>
          <w:p w14:paraId="233C154A">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lang w:val="zh-CN"/>
              </w:rPr>
              <w:t>（2）每具有一个单项合同金额在人民币</w:t>
            </w:r>
            <w:r>
              <w:rPr>
                <w:rFonts w:hint="eastAsia" w:ascii="宋体" w:hAnsi="宋体" w:eastAsia="宋体" w:cs="宋体"/>
                <w:color w:val="auto"/>
                <w:szCs w:val="21"/>
              </w:rPr>
              <w:t>10</w:t>
            </w:r>
            <w:r>
              <w:rPr>
                <w:rFonts w:hint="eastAsia" w:ascii="宋体" w:hAnsi="宋体" w:eastAsia="宋体" w:cs="宋体"/>
                <w:color w:val="auto"/>
                <w:szCs w:val="21"/>
                <w:lang w:val="zh-CN"/>
              </w:rPr>
              <w:t>万元（含</w:t>
            </w:r>
            <w:r>
              <w:rPr>
                <w:rFonts w:hint="eastAsia" w:ascii="宋体" w:hAnsi="宋体" w:eastAsia="宋体" w:cs="宋体"/>
                <w:color w:val="auto"/>
                <w:szCs w:val="21"/>
              </w:rPr>
              <w:t>10</w:t>
            </w:r>
            <w:r>
              <w:rPr>
                <w:rFonts w:hint="eastAsia" w:ascii="宋体" w:hAnsi="宋体" w:eastAsia="宋体" w:cs="宋体"/>
                <w:color w:val="auto"/>
                <w:szCs w:val="21"/>
                <w:lang w:val="zh-CN"/>
              </w:rPr>
              <w:t>万元）-</w:t>
            </w:r>
            <w:r>
              <w:rPr>
                <w:rFonts w:hint="eastAsia" w:ascii="宋体" w:hAnsi="宋体" w:eastAsia="宋体" w:cs="宋体"/>
                <w:color w:val="auto"/>
                <w:szCs w:val="21"/>
              </w:rPr>
              <w:t>50</w:t>
            </w:r>
            <w:r>
              <w:rPr>
                <w:rFonts w:hint="eastAsia" w:ascii="宋体" w:hAnsi="宋体" w:eastAsia="宋体" w:cs="宋体"/>
                <w:color w:val="auto"/>
                <w:szCs w:val="21"/>
                <w:lang w:val="zh-CN"/>
              </w:rPr>
              <w:t>万元（不含）的</w:t>
            </w:r>
            <w:r>
              <w:rPr>
                <w:rFonts w:hint="eastAsia" w:ascii="宋体" w:hAnsi="宋体" w:eastAsia="宋体" w:cs="宋体"/>
                <w:color w:val="auto"/>
                <w:szCs w:val="21"/>
              </w:rPr>
              <w:t>排</w:t>
            </w:r>
            <w:r>
              <w:rPr>
                <w:rFonts w:hint="eastAsia" w:ascii="宋体" w:hAnsi="宋体" w:eastAsia="宋体" w:cs="宋体"/>
                <w:color w:val="auto"/>
                <w:szCs w:val="21"/>
                <w:lang w:val="zh-CN"/>
              </w:rPr>
              <w:t>水泵站或排涝泵站或污水厂设备维修（</w:t>
            </w:r>
            <w:r>
              <w:rPr>
                <w:rFonts w:hint="eastAsia" w:ascii="宋体" w:hAnsi="宋体" w:eastAsia="宋体" w:cs="宋体"/>
                <w:color w:val="auto"/>
                <w:szCs w:val="21"/>
              </w:rPr>
              <w:t>或重置或改造</w:t>
            </w:r>
            <w:r>
              <w:rPr>
                <w:rFonts w:hint="eastAsia" w:ascii="宋体" w:hAnsi="宋体" w:eastAsia="宋体" w:cs="宋体"/>
                <w:color w:val="auto"/>
                <w:szCs w:val="21"/>
                <w:lang w:val="zh-CN"/>
              </w:rPr>
              <w:t>）项目业绩得3分；</w:t>
            </w:r>
          </w:p>
          <w:p w14:paraId="5F43A05B">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lang w:val="zh-CN"/>
              </w:rPr>
              <w:t>（3）每具有一个单项合同金额在人民币1万元（含</w:t>
            </w:r>
            <w:r>
              <w:rPr>
                <w:rFonts w:hint="eastAsia" w:ascii="宋体" w:hAnsi="宋体" w:eastAsia="宋体" w:cs="宋体"/>
                <w:color w:val="auto"/>
                <w:szCs w:val="21"/>
              </w:rPr>
              <w:t>1</w:t>
            </w:r>
            <w:r>
              <w:rPr>
                <w:rFonts w:hint="eastAsia" w:ascii="宋体" w:hAnsi="宋体" w:eastAsia="宋体" w:cs="宋体"/>
                <w:color w:val="auto"/>
                <w:szCs w:val="21"/>
                <w:lang w:val="zh-CN"/>
              </w:rPr>
              <w:t>万元）-</w:t>
            </w:r>
            <w:r>
              <w:rPr>
                <w:rFonts w:hint="eastAsia" w:ascii="宋体" w:hAnsi="宋体" w:eastAsia="宋体" w:cs="宋体"/>
                <w:color w:val="auto"/>
                <w:szCs w:val="21"/>
              </w:rPr>
              <w:t>1</w:t>
            </w:r>
            <w:r>
              <w:rPr>
                <w:rFonts w:hint="eastAsia" w:ascii="宋体" w:hAnsi="宋体" w:eastAsia="宋体" w:cs="宋体"/>
                <w:color w:val="auto"/>
                <w:szCs w:val="21"/>
                <w:lang w:val="zh-CN"/>
              </w:rPr>
              <w:t>0万元（不含）的</w:t>
            </w:r>
            <w:r>
              <w:rPr>
                <w:rFonts w:hint="eastAsia" w:ascii="宋体" w:hAnsi="宋体" w:eastAsia="宋体" w:cs="宋体"/>
                <w:color w:val="auto"/>
                <w:szCs w:val="21"/>
              </w:rPr>
              <w:t>排</w:t>
            </w:r>
            <w:r>
              <w:rPr>
                <w:rFonts w:hint="eastAsia" w:ascii="宋体" w:hAnsi="宋体" w:eastAsia="宋体" w:cs="宋体"/>
                <w:color w:val="auto"/>
                <w:szCs w:val="21"/>
                <w:lang w:val="zh-CN"/>
              </w:rPr>
              <w:t>水泵站或排涝泵站或污水厂设备维修（</w:t>
            </w:r>
            <w:r>
              <w:rPr>
                <w:rFonts w:hint="eastAsia" w:ascii="宋体" w:hAnsi="宋体" w:eastAsia="宋体" w:cs="宋体"/>
                <w:color w:val="auto"/>
                <w:szCs w:val="21"/>
              </w:rPr>
              <w:t>或重置或改造</w:t>
            </w:r>
            <w:r>
              <w:rPr>
                <w:rFonts w:hint="eastAsia" w:ascii="宋体" w:hAnsi="宋体" w:eastAsia="宋体" w:cs="宋体"/>
                <w:color w:val="auto"/>
                <w:szCs w:val="21"/>
                <w:lang w:val="zh-CN"/>
              </w:rPr>
              <w:t>）项目业绩得2分</w:t>
            </w:r>
            <w:r>
              <w:rPr>
                <w:rFonts w:hint="eastAsia" w:ascii="宋体" w:hAnsi="宋体" w:eastAsia="宋体" w:cs="宋体"/>
                <w:color w:val="auto"/>
                <w:szCs w:val="21"/>
              </w:rPr>
              <w:t>，本子项满分为10分。</w:t>
            </w:r>
          </w:p>
          <w:p w14:paraId="3106FB0F">
            <w:pPr>
              <w:spacing w:line="360" w:lineRule="auto"/>
              <w:ind w:right="-34"/>
              <w:rPr>
                <w:rFonts w:ascii="宋体" w:hAnsi="宋体" w:eastAsia="宋体" w:cs="宋体"/>
                <w:color w:val="auto"/>
                <w:szCs w:val="21"/>
              </w:rPr>
            </w:pPr>
            <w:r>
              <w:rPr>
                <w:rFonts w:hint="eastAsia" w:ascii="宋体" w:hAnsi="宋体" w:eastAsia="宋体" w:cs="宋体"/>
                <w:color w:val="auto"/>
                <w:szCs w:val="21"/>
              </w:rPr>
              <w:t>2、投标人2021年1月1日以来（签订合同的时间为2021年1月1日或以后）已完成的机电设备安装项目业绩：</w:t>
            </w:r>
          </w:p>
          <w:p w14:paraId="3E7BCD24">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hint="eastAsia" w:ascii="宋体" w:hAnsi="宋体" w:eastAsia="宋体" w:cs="宋体"/>
                <w:color w:val="auto"/>
                <w:szCs w:val="21"/>
                <w:lang w:val="zh-CN"/>
              </w:rPr>
              <w:t>每具有一个单项合同金额在人民币</w:t>
            </w:r>
            <w:r>
              <w:rPr>
                <w:rFonts w:hint="eastAsia" w:ascii="宋体" w:hAnsi="宋体" w:eastAsia="宋体" w:cs="宋体"/>
                <w:color w:val="auto"/>
                <w:szCs w:val="21"/>
              </w:rPr>
              <w:t>200</w:t>
            </w:r>
            <w:r>
              <w:rPr>
                <w:rFonts w:hint="eastAsia" w:ascii="宋体" w:hAnsi="宋体" w:eastAsia="宋体" w:cs="宋体"/>
                <w:color w:val="auto"/>
                <w:szCs w:val="21"/>
                <w:lang w:val="zh-CN"/>
              </w:rPr>
              <w:t>万元及以上的机电设备安装项目业绩得2分；</w:t>
            </w:r>
          </w:p>
          <w:p w14:paraId="1923AC33">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）每具有一个单项合同金额在人民币100万元（含100万元）-200万元（不含）的机电设备安装项目业绩得1分；</w:t>
            </w:r>
          </w:p>
          <w:p w14:paraId="3D6E2ECE">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）每具有一个单项合同金额在人民币50万元（含50万元）-100万元（不含）的机电设备安装项目业绩得0.5分，本子项满分为3分。</w:t>
            </w:r>
          </w:p>
          <w:p w14:paraId="2CECFD0A">
            <w:pPr>
              <w:spacing w:line="360" w:lineRule="auto"/>
              <w:ind w:right="-34"/>
              <w:rPr>
                <w:rFonts w:ascii="宋体" w:hAnsi="宋体" w:eastAsia="宋体" w:cs="宋体"/>
                <w:b/>
                <w:bCs/>
                <w:color w:val="auto"/>
                <w:szCs w:val="21"/>
                <w:lang w:val="zh-CN"/>
              </w:rPr>
            </w:pPr>
            <w:r>
              <w:rPr>
                <w:rFonts w:hint="eastAsia" w:ascii="宋体" w:hAnsi="宋体" w:eastAsia="宋体" w:cs="宋体"/>
                <w:b/>
                <w:bCs/>
                <w:color w:val="auto"/>
                <w:szCs w:val="21"/>
                <w:lang w:val="zh-CN"/>
              </w:rPr>
              <w:t>备注：</w:t>
            </w:r>
          </w:p>
          <w:p w14:paraId="1AB44313">
            <w:pPr>
              <w:spacing w:line="360" w:lineRule="auto"/>
              <w:ind w:right="-34"/>
              <w:rPr>
                <w:rFonts w:ascii="宋体" w:hAnsi="宋体" w:eastAsia="宋体" w:cs="宋体"/>
                <w:b/>
                <w:bCs/>
                <w:color w:val="auto"/>
                <w:szCs w:val="21"/>
                <w:lang w:val="zh-CN"/>
              </w:rPr>
            </w:pPr>
            <w:r>
              <w:rPr>
                <w:rFonts w:hint="eastAsia" w:ascii="宋体" w:hAnsi="宋体" w:eastAsia="宋体" w:cs="宋体"/>
                <w:b/>
                <w:bCs/>
                <w:color w:val="auto"/>
                <w:szCs w:val="21"/>
                <w:lang w:val="zh-CN"/>
              </w:rPr>
              <w:t>①业绩必须附合同关键页（包括但不限于合同名称、合同签订时间、合同金额、双方签字盖章页及反映评分条件的其他资料）复印件、任意一张对应的排水泵站或排涝泵站或污水厂设备维修（或重置或改造）或机电设备安装发票及相关验收证明；</w:t>
            </w:r>
          </w:p>
          <w:p w14:paraId="107DEC99">
            <w:pPr>
              <w:spacing w:line="360" w:lineRule="auto"/>
              <w:ind w:right="-34"/>
              <w:rPr>
                <w:rFonts w:ascii="宋体" w:hAnsi="宋体" w:eastAsia="宋体" w:cs="宋体"/>
                <w:b/>
                <w:bCs/>
                <w:color w:val="auto"/>
                <w:szCs w:val="21"/>
                <w:lang w:val="zh-CN"/>
              </w:rPr>
            </w:pPr>
            <w:r>
              <w:rPr>
                <w:rFonts w:hint="eastAsia" w:ascii="宋体" w:hAnsi="宋体" w:eastAsia="宋体" w:cs="宋体"/>
                <w:b/>
                <w:bCs/>
                <w:color w:val="auto"/>
                <w:szCs w:val="21"/>
                <w:lang w:val="zh-CN"/>
              </w:rPr>
              <w:t>②若投标人提供框架协议（或资格入围合同）的单项项目业绩，应同时提供框架协议（或资格入围合同）复印件以及单项项目合同、对应的单项项目任意一张对应的排水泵站或排涝泵站或污水厂设备维修（或重置或改造）或机电设备安装发票和相关验收证明，否则在评分时将不予考虑；</w:t>
            </w:r>
          </w:p>
          <w:p w14:paraId="49EA6201">
            <w:pPr>
              <w:spacing w:line="360" w:lineRule="auto"/>
              <w:ind w:right="-34"/>
              <w:rPr>
                <w:rFonts w:ascii="宋体" w:hAnsi="宋体" w:eastAsia="宋体" w:cs="宋体"/>
                <w:b/>
                <w:bCs/>
                <w:color w:val="auto"/>
                <w:szCs w:val="21"/>
                <w:lang w:val="zh-CN"/>
              </w:rPr>
            </w:pPr>
            <w:r>
              <w:rPr>
                <w:rFonts w:hint="eastAsia" w:ascii="宋体" w:hAnsi="宋体" w:eastAsia="宋体" w:cs="宋体"/>
                <w:b/>
                <w:bCs/>
                <w:color w:val="auto"/>
                <w:szCs w:val="21"/>
                <w:lang w:val="zh-CN"/>
              </w:rPr>
              <w:t>③上述资料必须能反映评分条件（合同签订日期为2021年1月1日或以后，合同服务内容必须为排水泵站或排涝泵站或污水厂设备维修（或重置或改造）项目或机电设备安装项目，合同金额），否则，须同时提供业主方出具的书面补充情况说明文件复印件作为辅助证明（复印件能显示业主方公章）；</w:t>
            </w:r>
          </w:p>
          <w:p w14:paraId="3FBE9196">
            <w:pPr>
              <w:spacing w:line="360" w:lineRule="auto"/>
              <w:ind w:right="-34"/>
              <w:rPr>
                <w:rFonts w:ascii="宋体" w:hAnsi="宋体" w:eastAsia="宋体" w:cs="宋体"/>
                <w:b/>
                <w:bCs/>
                <w:color w:val="auto"/>
                <w:szCs w:val="21"/>
                <w:lang w:val="zh-CN"/>
              </w:rPr>
            </w:pPr>
            <w:r>
              <w:rPr>
                <w:rFonts w:hint="eastAsia" w:ascii="宋体" w:hAnsi="宋体" w:eastAsia="宋体" w:cs="宋体"/>
                <w:b/>
                <w:bCs/>
                <w:color w:val="auto"/>
                <w:szCs w:val="21"/>
                <w:lang w:val="zh-CN"/>
              </w:rPr>
              <w:t>④一个项目的业绩同时符合本评审内容多种类型的业绩条件时，不得重复放置、也不重复加分。</w:t>
            </w:r>
          </w:p>
          <w:p w14:paraId="34DBB487">
            <w:pPr>
              <w:spacing w:line="360" w:lineRule="auto"/>
              <w:ind w:right="-34"/>
              <w:rPr>
                <w:rFonts w:ascii="宋体" w:hAnsi="宋体" w:eastAsia="宋体" w:cs="宋体"/>
                <w:color w:val="auto"/>
                <w:szCs w:val="21"/>
              </w:rPr>
            </w:pPr>
            <w:r>
              <w:rPr>
                <w:rFonts w:hint="eastAsia" w:ascii="宋体" w:hAnsi="宋体" w:eastAsia="宋体" w:cs="宋体"/>
                <w:b/>
                <w:bCs/>
                <w:color w:val="auto"/>
                <w:szCs w:val="21"/>
                <w:lang w:val="zh-CN"/>
              </w:rPr>
              <w:t>⑤未按上述要求提供证明材料的业绩，或所附材料无法证明填报项目属于投标人的或符合本项评分要求的业绩，在评审时将不予考虑。</w:t>
            </w:r>
          </w:p>
        </w:tc>
      </w:tr>
    </w:tbl>
    <w:p w14:paraId="213A5FB8">
      <w:pPr>
        <w:autoSpaceDE w:val="0"/>
        <w:autoSpaceDN w:val="0"/>
        <w:adjustRightInd w:val="0"/>
        <w:ind w:left="441" w:right="-26" w:hanging="651"/>
        <w:jc w:val="left"/>
        <w:rPr>
          <w:rFonts w:ascii="宋体" w:hAnsi="宋体" w:eastAsia="宋体" w:cs="宋体"/>
          <w:b/>
          <w:bCs/>
          <w:color w:val="auto"/>
          <w:kern w:val="0"/>
          <w:sz w:val="24"/>
          <w:szCs w:val="24"/>
        </w:rPr>
      </w:pPr>
    </w:p>
    <w:p w14:paraId="5776D8E7">
      <w:pPr>
        <w:numPr>
          <w:ilvl w:val="255"/>
          <w:numId w:val="0"/>
        </w:numPr>
        <w:tabs>
          <w:tab w:val="left" w:pos="585"/>
        </w:tabs>
        <w:autoSpaceDE w:val="0"/>
        <w:autoSpaceDN w:val="0"/>
        <w:adjustRightInd w:val="0"/>
        <w:spacing w:line="360" w:lineRule="auto"/>
        <w:ind w:left="420" w:leftChars="200"/>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4"/>
        </w:rPr>
        <w:t>2）</w:t>
      </w:r>
      <w:r>
        <w:rPr>
          <w:rFonts w:hint="eastAsia" w:ascii="宋体" w:hAnsi="宋体" w:eastAsia="宋体" w:cs="宋体"/>
          <w:b/>
          <w:color w:val="auto"/>
          <w:szCs w:val="24"/>
          <w:lang w:val="zh-CN"/>
        </w:rPr>
        <w:t>技术：</w:t>
      </w:r>
      <w:r>
        <w:rPr>
          <w:rFonts w:hint="eastAsia" w:ascii="宋体" w:hAnsi="宋体" w:eastAsia="宋体" w:cs="宋体"/>
          <w:b/>
          <w:color w:val="auto"/>
          <w:szCs w:val="21"/>
          <w:lang w:val="zh-CN"/>
        </w:rPr>
        <w:t>总分</w:t>
      </w:r>
      <w:r>
        <w:rPr>
          <w:rFonts w:hint="eastAsia" w:ascii="宋体" w:hAnsi="宋体" w:eastAsia="宋体" w:cs="宋体"/>
          <w:b/>
          <w:color w:val="auto"/>
          <w:szCs w:val="21"/>
        </w:rPr>
        <w:t>50</w:t>
      </w:r>
      <w:r>
        <w:rPr>
          <w:rFonts w:hint="eastAsia" w:ascii="宋体" w:hAnsi="宋体" w:eastAsia="宋体" w:cs="宋体"/>
          <w:b/>
          <w:color w:val="auto"/>
          <w:szCs w:val="21"/>
          <w:lang w:val="zh-CN"/>
        </w:rPr>
        <w:t>分</w:t>
      </w:r>
      <w:bookmarkEnd w:id="667"/>
    </w:p>
    <w:tbl>
      <w:tblPr>
        <w:tblStyle w:val="3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630"/>
        <w:gridCol w:w="999"/>
        <w:gridCol w:w="6130"/>
      </w:tblGrid>
      <w:tr w14:paraId="0CFE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861" w:type="dxa"/>
            <w:tcBorders>
              <w:top w:val="single" w:color="auto" w:sz="4" w:space="0"/>
              <w:left w:val="single" w:color="auto" w:sz="4" w:space="0"/>
              <w:bottom w:val="single" w:color="auto" w:sz="4" w:space="0"/>
              <w:right w:val="single" w:color="auto" w:sz="4" w:space="0"/>
            </w:tcBorders>
            <w:noWrap/>
            <w:vAlign w:val="center"/>
          </w:tcPr>
          <w:p w14:paraId="056C0591">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630" w:type="dxa"/>
            <w:tcBorders>
              <w:top w:val="single" w:color="auto" w:sz="4" w:space="0"/>
              <w:left w:val="single" w:color="auto" w:sz="4" w:space="0"/>
              <w:bottom w:val="single" w:color="auto" w:sz="4" w:space="0"/>
              <w:right w:val="single" w:color="auto" w:sz="4" w:space="0"/>
            </w:tcBorders>
            <w:noWrap/>
            <w:vAlign w:val="center"/>
          </w:tcPr>
          <w:p w14:paraId="1C1E3184">
            <w:pPr>
              <w:spacing w:line="360" w:lineRule="auto"/>
              <w:jc w:val="center"/>
              <w:rPr>
                <w:rFonts w:ascii="宋体" w:hAnsi="宋体" w:eastAsia="宋体" w:cs="宋体"/>
                <w:b/>
                <w:color w:val="auto"/>
                <w:szCs w:val="21"/>
              </w:rPr>
            </w:pPr>
            <w:r>
              <w:rPr>
                <w:rFonts w:hint="eastAsia" w:ascii="宋体" w:hAnsi="宋体" w:eastAsia="宋体" w:cs="宋体"/>
                <w:b/>
                <w:color w:val="auto"/>
                <w:szCs w:val="21"/>
                <w:lang w:val="zh-CN"/>
              </w:rPr>
              <w:t>评审内容</w:t>
            </w:r>
          </w:p>
        </w:tc>
        <w:tc>
          <w:tcPr>
            <w:tcW w:w="999" w:type="dxa"/>
            <w:tcBorders>
              <w:top w:val="single" w:color="auto" w:sz="4" w:space="0"/>
              <w:left w:val="single" w:color="auto" w:sz="4" w:space="0"/>
              <w:bottom w:val="single" w:color="auto" w:sz="4" w:space="0"/>
              <w:right w:val="single" w:color="auto" w:sz="4" w:space="0"/>
            </w:tcBorders>
            <w:noWrap/>
            <w:vAlign w:val="center"/>
          </w:tcPr>
          <w:p w14:paraId="4D5E6460">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满分值</w:t>
            </w:r>
          </w:p>
        </w:tc>
        <w:tc>
          <w:tcPr>
            <w:tcW w:w="6130" w:type="dxa"/>
            <w:tcBorders>
              <w:top w:val="single" w:color="auto" w:sz="4" w:space="0"/>
              <w:left w:val="single" w:color="auto" w:sz="4" w:space="0"/>
              <w:bottom w:val="single" w:color="auto" w:sz="4" w:space="0"/>
              <w:right w:val="single" w:color="auto" w:sz="4" w:space="0"/>
            </w:tcBorders>
            <w:noWrap/>
            <w:vAlign w:val="center"/>
          </w:tcPr>
          <w:p w14:paraId="393DA565">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评审细则</w:t>
            </w:r>
          </w:p>
        </w:tc>
      </w:tr>
      <w:tr w14:paraId="7DDF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861" w:type="dxa"/>
            <w:tcBorders>
              <w:top w:val="single" w:color="auto" w:sz="4" w:space="0"/>
              <w:left w:val="single" w:color="auto" w:sz="4" w:space="0"/>
              <w:bottom w:val="single" w:color="auto" w:sz="4" w:space="0"/>
              <w:right w:val="single" w:color="auto" w:sz="4" w:space="0"/>
            </w:tcBorders>
            <w:noWrap/>
            <w:vAlign w:val="center"/>
          </w:tcPr>
          <w:p w14:paraId="2A757162">
            <w:pPr>
              <w:spacing w:line="360" w:lineRule="auto"/>
              <w:ind w:right="-34"/>
              <w:jc w:val="center"/>
              <w:rPr>
                <w:rFonts w:ascii="宋体" w:hAnsi="宋体" w:eastAsia="宋体" w:cs="宋体"/>
                <w:color w:val="auto"/>
                <w:szCs w:val="21"/>
              </w:rPr>
            </w:pPr>
            <w:r>
              <w:rPr>
                <w:rFonts w:hint="eastAsia" w:ascii="宋体" w:hAnsi="宋体" w:eastAsia="宋体" w:cs="宋体"/>
                <w:color w:val="auto"/>
                <w:szCs w:val="21"/>
              </w:rPr>
              <w:t>1</w:t>
            </w:r>
          </w:p>
        </w:tc>
        <w:tc>
          <w:tcPr>
            <w:tcW w:w="1630" w:type="dxa"/>
            <w:tcBorders>
              <w:top w:val="single" w:color="auto" w:sz="4" w:space="0"/>
              <w:left w:val="single" w:color="auto" w:sz="4" w:space="0"/>
              <w:bottom w:val="single" w:color="auto" w:sz="4" w:space="0"/>
              <w:right w:val="single" w:color="auto" w:sz="4" w:space="0"/>
            </w:tcBorders>
            <w:noWrap/>
            <w:vAlign w:val="center"/>
          </w:tcPr>
          <w:p w14:paraId="768B7F23">
            <w:pPr>
              <w:spacing w:line="360" w:lineRule="auto"/>
              <w:ind w:right="-34"/>
              <w:jc w:val="center"/>
              <w:rPr>
                <w:rFonts w:ascii="宋体" w:hAnsi="宋体" w:eastAsia="宋体" w:cs="宋体"/>
                <w:color w:val="auto"/>
                <w:szCs w:val="21"/>
                <w:lang w:val="zh-CN"/>
              </w:rPr>
            </w:pPr>
            <w:r>
              <w:rPr>
                <w:rFonts w:hint="eastAsia" w:ascii="宋体" w:hAnsi="宋体" w:eastAsia="宋体" w:cs="宋体"/>
                <w:color w:val="auto"/>
                <w:szCs w:val="21"/>
              </w:rPr>
              <w:t>用户需求的响应程度</w:t>
            </w:r>
          </w:p>
        </w:tc>
        <w:tc>
          <w:tcPr>
            <w:tcW w:w="999" w:type="dxa"/>
            <w:tcBorders>
              <w:top w:val="single" w:color="auto" w:sz="4" w:space="0"/>
              <w:left w:val="single" w:color="auto" w:sz="4" w:space="0"/>
              <w:bottom w:val="single" w:color="auto" w:sz="4" w:space="0"/>
              <w:right w:val="single" w:color="auto" w:sz="4" w:space="0"/>
            </w:tcBorders>
            <w:noWrap/>
            <w:vAlign w:val="center"/>
          </w:tcPr>
          <w:p w14:paraId="609946F1">
            <w:pPr>
              <w:spacing w:line="360" w:lineRule="auto"/>
              <w:ind w:right="-34"/>
              <w:rPr>
                <w:rFonts w:ascii="宋体" w:hAnsi="宋体" w:eastAsia="宋体" w:cs="宋体"/>
                <w:color w:val="auto"/>
                <w:szCs w:val="21"/>
              </w:rPr>
            </w:pPr>
            <w:r>
              <w:rPr>
                <w:rFonts w:hint="eastAsia" w:ascii="宋体" w:hAnsi="宋体" w:eastAsia="宋体" w:cs="宋体"/>
                <w:color w:val="auto"/>
                <w:szCs w:val="21"/>
              </w:rPr>
              <w:t>20分</w:t>
            </w:r>
          </w:p>
        </w:tc>
        <w:tc>
          <w:tcPr>
            <w:tcW w:w="6130" w:type="dxa"/>
            <w:tcBorders>
              <w:top w:val="single" w:color="auto" w:sz="4" w:space="0"/>
              <w:left w:val="single" w:color="auto" w:sz="4" w:space="0"/>
              <w:bottom w:val="single" w:color="auto" w:sz="4" w:space="0"/>
              <w:right w:val="single" w:color="auto" w:sz="4" w:space="0"/>
            </w:tcBorders>
            <w:noWrap/>
            <w:vAlign w:val="center"/>
          </w:tcPr>
          <w:p w14:paraId="734374AC">
            <w:pPr>
              <w:spacing w:line="360" w:lineRule="auto"/>
              <w:ind w:right="-34"/>
              <w:rPr>
                <w:rFonts w:ascii="宋体" w:hAnsi="宋体" w:eastAsia="宋体" w:cs="宋体"/>
                <w:color w:val="auto"/>
                <w:szCs w:val="21"/>
              </w:rPr>
            </w:pPr>
            <w:r>
              <w:rPr>
                <w:rFonts w:hint="eastAsia" w:ascii="宋体" w:hAnsi="宋体" w:eastAsia="宋体" w:cs="宋体"/>
                <w:color w:val="auto"/>
                <w:szCs w:val="21"/>
                <w:lang w:val="zh-CN"/>
              </w:rPr>
              <w:t>对用户需求偏离表的偏离情况进行评审计分，完全满足用户需求书的要求得满分；每一处负偏离，扣</w:t>
            </w:r>
            <w:r>
              <w:rPr>
                <w:rFonts w:hint="eastAsia" w:ascii="宋体" w:hAnsi="宋体" w:eastAsia="宋体" w:cs="宋体"/>
                <w:color w:val="auto"/>
                <w:szCs w:val="21"/>
              </w:rPr>
              <w:t>5</w:t>
            </w:r>
            <w:r>
              <w:rPr>
                <w:rFonts w:hint="eastAsia" w:ascii="宋体" w:hAnsi="宋体" w:eastAsia="宋体" w:cs="宋体"/>
                <w:color w:val="auto"/>
                <w:szCs w:val="21"/>
                <w:lang w:val="zh-CN"/>
              </w:rPr>
              <w:t>分；本项最低分为0分。</w:t>
            </w:r>
          </w:p>
        </w:tc>
      </w:tr>
      <w:tr w14:paraId="7593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25E3D">
            <w:pPr>
              <w:spacing w:line="360" w:lineRule="auto"/>
              <w:ind w:right="-34"/>
              <w:jc w:val="center"/>
              <w:rPr>
                <w:rFonts w:ascii="宋体" w:hAnsi="宋体" w:eastAsia="宋体" w:cs="宋体"/>
                <w:color w:val="auto"/>
                <w:szCs w:val="21"/>
                <w:lang w:val="zh-CN"/>
              </w:rPr>
            </w:pPr>
            <w:r>
              <w:rPr>
                <w:rFonts w:hint="eastAsia" w:ascii="宋体" w:hAnsi="宋体" w:eastAsia="宋体" w:cs="宋体"/>
                <w:color w:val="auto"/>
                <w:szCs w:val="21"/>
                <w:lang w:val="zh-CN"/>
              </w:rPr>
              <w:t>2</w:t>
            </w:r>
          </w:p>
        </w:tc>
        <w:tc>
          <w:tcPr>
            <w:tcW w:w="1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5FFBC">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lang w:val="zh-CN"/>
              </w:rPr>
              <w:t>人员配置方案</w:t>
            </w:r>
          </w:p>
        </w:tc>
        <w:tc>
          <w:tcPr>
            <w:tcW w:w="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0A444">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lang w:val="zh-CN"/>
              </w:rPr>
              <w:t>20分</w:t>
            </w:r>
          </w:p>
        </w:tc>
        <w:tc>
          <w:tcPr>
            <w:tcW w:w="6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A9DCC">
            <w:p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lang w:val="zh-CN"/>
              </w:rPr>
              <w:t>在满足本用户需求书“（六）人员及其它配置要求”规定的人员配置要求基础上，投标人每增加以下人员的，按如下评分；</w:t>
            </w:r>
          </w:p>
          <w:p w14:paraId="38AC841B">
            <w:pPr>
              <w:numPr>
                <w:ilvl w:val="255"/>
                <w:numId w:val="0"/>
              </w:numPr>
              <w:spacing w:line="360" w:lineRule="auto"/>
              <w:ind w:right="-34"/>
              <w:rPr>
                <w:rFonts w:ascii="宋体" w:hAnsi="宋体" w:eastAsia="宋体" w:cs="宋体"/>
                <w:color w:val="auto"/>
                <w:szCs w:val="21"/>
              </w:rPr>
            </w:pPr>
            <w:r>
              <w:rPr>
                <w:rFonts w:hint="eastAsia" w:ascii="宋体" w:hAnsi="宋体" w:eastAsia="宋体" w:cs="宋体"/>
                <w:color w:val="auto"/>
                <w:szCs w:val="21"/>
              </w:rPr>
              <w:t>(1)具有中级职称的电气或机电工程师的，每提供1人，得2分，本子项满分8分；</w:t>
            </w:r>
          </w:p>
          <w:p w14:paraId="4D54CA49">
            <w:pPr>
              <w:numPr>
                <w:ilvl w:val="255"/>
                <w:numId w:val="0"/>
              </w:numPr>
              <w:spacing w:line="360" w:lineRule="auto"/>
              <w:ind w:right="-34"/>
              <w:rPr>
                <w:rFonts w:ascii="宋体" w:hAnsi="宋体" w:eastAsia="宋体" w:cs="宋体"/>
                <w:color w:val="auto"/>
                <w:szCs w:val="21"/>
              </w:rPr>
            </w:pPr>
            <w:r>
              <w:rPr>
                <w:rFonts w:hint="eastAsia" w:ascii="宋体" w:hAnsi="宋体" w:eastAsia="宋体" w:cs="宋体"/>
                <w:color w:val="auto"/>
                <w:szCs w:val="21"/>
              </w:rPr>
              <w:t>(2)具有有效的焊工上岗资格的，每提供1人，得1分，本子项满分5分；</w:t>
            </w:r>
          </w:p>
          <w:p w14:paraId="48E1417D">
            <w:pPr>
              <w:numPr>
                <w:ilvl w:val="255"/>
                <w:numId w:val="0"/>
              </w:numPr>
              <w:spacing w:line="360" w:lineRule="auto"/>
              <w:ind w:right="-34"/>
              <w:rPr>
                <w:rFonts w:ascii="宋体" w:hAnsi="宋体" w:eastAsia="宋体" w:cs="宋体"/>
                <w:color w:val="auto"/>
                <w:szCs w:val="21"/>
              </w:rPr>
            </w:pPr>
            <w:r>
              <w:rPr>
                <w:rFonts w:hint="eastAsia" w:ascii="宋体" w:hAnsi="宋体" w:eastAsia="宋体" w:cs="宋体"/>
                <w:color w:val="auto"/>
                <w:szCs w:val="21"/>
              </w:rPr>
              <w:t>(3)具有有效的低压电工上岗资格的，每提供1人，得1分，本子项满分4分；</w:t>
            </w:r>
          </w:p>
          <w:p w14:paraId="049A32A1">
            <w:pPr>
              <w:numPr>
                <w:ilvl w:val="255"/>
                <w:numId w:val="0"/>
              </w:numPr>
              <w:spacing w:line="360" w:lineRule="auto"/>
              <w:ind w:right="-34"/>
              <w:rPr>
                <w:rFonts w:ascii="宋体" w:hAnsi="宋体" w:eastAsia="宋体" w:cs="宋体"/>
                <w:color w:val="auto"/>
                <w:szCs w:val="21"/>
                <w:lang w:val="zh-CN"/>
              </w:rPr>
            </w:pPr>
            <w:r>
              <w:rPr>
                <w:rFonts w:hint="eastAsia" w:ascii="宋体" w:hAnsi="宋体" w:eastAsia="宋体" w:cs="宋体"/>
                <w:color w:val="auto"/>
                <w:szCs w:val="21"/>
              </w:rPr>
              <w:t>(4)</w:t>
            </w:r>
            <w:r>
              <w:rPr>
                <w:rFonts w:hint="eastAsia" w:ascii="宋体" w:hAnsi="宋体" w:eastAsia="宋体" w:cs="宋体"/>
                <w:color w:val="auto"/>
                <w:szCs w:val="21"/>
                <w:lang w:val="zh-CN"/>
              </w:rPr>
              <w:t>具有有效的安全员上岗证或安全生产考核合格证书（C类证）或注册安全工程师证，每增加一人，得1分，本子项满分3分。</w:t>
            </w:r>
          </w:p>
          <w:p w14:paraId="2A94F247">
            <w:pPr>
              <w:spacing w:line="360" w:lineRule="auto"/>
              <w:ind w:right="-34"/>
              <w:rPr>
                <w:rFonts w:ascii="宋体" w:hAnsi="宋体" w:eastAsia="宋体" w:cs="宋体"/>
                <w:b/>
                <w:bCs/>
                <w:color w:val="auto"/>
                <w:szCs w:val="21"/>
                <w:lang w:val="zh-CN"/>
              </w:rPr>
            </w:pPr>
            <w:r>
              <w:rPr>
                <w:rFonts w:hint="eastAsia" w:ascii="宋体" w:hAnsi="宋体" w:eastAsia="宋体" w:cs="宋体"/>
                <w:b/>
                <w:bCs/>
                <w:color w:val="auto"/>
                <w:szCs w:val="21"/>
                <w:lang w:val="zh-CN"/>
              </w:rPr>
              <w:t>备注：</w:t>
            </w:r>
          </w:p>
          <w:p w14:paraId="2F1F5294">
            <w:pPr>
              <w:spacing w:line="360" w:lineRule="auto"/>
              <w:ind w:right="-34"/>
              <w:rPr>
                <w:rFonts w:ascii="宋体" w:hAnsi="宋体" w:eastAsia="宋体" w:cs="宋体"/>
                <w:b/>
                <w:bCs/>
                <w:color w:val="auto"/>
                <w:szCs w:val="21"/>
                <w:lang w:val="zh-CN"/>
              </w:rPr>
            </w:pPr>
            <w:r>
              <w:rPr>
                <w:rFonts w:hint="eastAsia" w:ascii="宋体" w:hAnsi="宋体" w:eastAsia="宋体" w:cs="宋体"/>
                <w:b/>
                <w:bCs/>
                <w:color w:val="auto"/>
                <w:szCs w:val="21"/>
                <w:lang w:val="zh-CN"/>
              </w:rPr>
              <w:t>①上述人员为同一人的不重复得分；</w:t>
            </w:r>
          </w:p>
          <w:p w14:paraId="5FAFC7DD">
            <w:pPr>
              <w:spacing w:line="360" w:lineRule="auto"/>
              <w:ind w:right="-34"/>
              <w:rPr>
                <w:rFonts w:ascii="宋体" w:hAnsi="宋体" w:eastAsia="宋体" w:cs="宋体"/>
                <w:b/>
                <w:color w:val="auto"/>
                <w:szCs w:val="21"/>
                <w:lang w:val="zh-CN"/>
              </w:rPr>
            </w:pPr>
            <w:r>
              <w:rPr>
                <w:rFonts w:hint="eastAsia" w:ascii="宋体" w:hAnsi="宋体" w:eastAsia="宋体" w:cs="宋体"/>
                <w:b/>
                <w:bCs/>
                <w:color w:val="auto"/>
                <w:szCs w:val="21"/>
                <w:lang w:val="zh-CN"/>
              </w:rPr>
              <w:t>②应提供上述人员资格证书（或注册/执业/岗位证书/技术职称）、以及社会保障部门（或税务部门）出具的投标人企业2024年5月至2024年10月为其缴纳的社保证明复印件。</w:t>
            </w:r>
          </w:p>
        </w:tc>
      </w:tr>
      <w:tr w14:paraId="23C0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jc w:val="center"/>
        </w:trPr>
        <w:tc>
          <w:tcPr>
            <w:tcW w:w="861" w:type="dxa"/>
            <w:noWrap/>
            <w:vAlign w:val="center"/>
          </w:tcPr>
          <w:p w14:paraId="2E82C8CA">
            <w:pPr>
              <w:spacing w:line="360" w:lineRule="auto"/>
              <w:ind w:right="-34"/>
              <w:jc w:val="center"/>
              <w:rPr>
                <w:rFonts w:ascii="宋体" w:hAnsi="宋体" w:eastAsia="宋体" w:cs="宋体"/>
                <w:color w:val="auto"/>
                <w:szCs w:val="21"/>
              </w:rPr>
            </w:pPr>
            <w:r>
              <w:rPr>
                <w:rFonts w:hint="eastAsia" w:ascii="宋体" w:hAnsi="宋体" w:eastAsia="宋体" w:cs="宋体"/>
                <w:color w:val="auto"/>
                <w:szCs w:val="21"/>
              </w:rPr>
              <w:t>3</w:t>
            </w:r>
          </w:p>
        </w:tc>
        <w:tc>
          <w:tcPr>
            <w:tcW w:w="1630" w:type="dxa"/>
            <w:noWrap/>
            <w:vAlign w:val="center"/>
          </w:tcPr>
          <w:p w14:paraId="6A5DB157">
            <w:pPr>
              <w:spacing w:line="360" w:lineRule="auto"/>
              <w:ind w:right="-34"/>
              <w:rPr>
                <w:rFonts w:ascii="宋体" w:hAnsi="宋体" w:eastAsia="宋体" w:cs="宋体"/>
                <w:color w:val="auto"/>
                <w:szCs w:val="21"/>
              </w:rPr>
            </w:pPr>
            <w:r>
              <w:rPr>
                <w:rFonts w:hint="eastAsia" w:ascii="宋体" w:hAnsi="宋体" w:eastAsia="宋体" w:cs="宋体"/>
                <w:color w:val="auto"/>
                <w:szCs w:val="21"/>
                <w:lang w:val="zh-CN"/>
              </w:rPr>
              <w:t>总体实施方案</w:t>
            </w:r>
          </w:p>
        </w:tc>
        <w:tc>
          <w:tcPr>
            <w:tcW w:w="999" w:type="dxa"/>
            <w:noWrap/>
            <w:vAlign w:val="center"/>
          </w:tcPr>
          <w:p w14:paraId="27694D25">
            <w:pPr>
              <w:spacing w:line="360" w:lineRule="auto"/>
              <w:ind w:right="-34"/>
              <w:rPr>
                <w:rFonts w:ascii="宋体" w:hAnsi="宋体" w:eastAsia="宋体" w:cs="宋体"/>
                <w:color w:val="auto"/>
                <w:szCs w:val="21"/>
              </w:rPr>
            </w:pPr>
            <w:r>
              <w:rPr>
                <w:rFonts w:hint="eastAsia" w:ascii="宋体" w:hAnsi="宋体" w:eastAsia="宋体" w:cs="宋体"/>
                <w:color w:val="auto"/>
                <w:szCs w:val="21"/>
              </w:rPr>
              <w:t>10分</w:t>
            </w:r>
          </w:p>
        </w:tc>
        <w:tc>
          <w:tcPr>
            <w:tcW w:w="6130" w:type="dxa"/>
            <w:noWrap/>
            <w:vAlign w:val="center"/>
          </w:tcPr>
          <w:p w14:paraId="0DC1458F">
            <w:pPr>
              <w:spacing w:line="360" w:lineRule="auto"/>
              <w:ind w:right="-34"/>
              <w:rPr>
                <w:rFonts w:ascii="宋体" w:hAnsi="宋体" w:eastAsia="宋体" w:cs="宋体"/>
                <w:color w:val="auto"/>
                <w:szCs w:val="21"/>
              </w:rPr>
            </w:pPr>
            <w:r>
              <w:rPr>
                <w:rFonts w:hint="eastAsia" w:ascii="宋体" w:hAnsi="宋体" w:eastAsia="宋体" w:cs="宋体"/>
                <w:color w:val="auto"/>
                <w:szCs w:val="21"/>
              </w:rPr>
              <w:t>根据各投标人总体实施方案（包括但不限于维修前准备、维修作业流程、技术服务方案、停水作业方案、人员及设备配置、零配件的质量保证措施、有限空间作业实施方案、安全生产管理方案、工业废弃物处置（如废机油等）、作业后现场恢复、进度安排、验收、现场应急方案、资料整理方案等）内容全面、思路清晰，对本项目工作的重点、难点分析准确、透彻，对应措施科学、可操作性进行综合评价：</w:t>
            </w:r>
          </w:p>
          <w:p w14:paraId="4A962C81">
            <w:pPr>
              <w:spacing w:line="360" w:lineRule="auto"/>
              <w:ind w:right="-34"/>
              <w:rPr>
                <w:rFonts w:ascii="宋体" w:hAnsi="宋体" w:eastAsia="宋体" w:cs="宋体"/>
                <w:color w:val="auto"/>
                <w:szCs w:val="21"/>
              </w:rPr>
            </w:pPr>
            <w:r>
              <w:rPr>
                <w:rFonts w:hint="eastAsia" w:ascii="宋体" w:hAnsi="宋体" w:eastAsia="宋体" w:cs="宋体"/>
                <w:color w:val="auto"/>
                <w:szCs w:val="21"/>
              </w:rPr>
              <w:t>优：总体实施方案全面清晰，重点、难点分析准确，对应措施科学合理、可操作性强，得[10-8分）；</w:t>
            </w:r>
          </w:p>
          <w:p w14:paraId="7E363B7C">
            <w:pPr>
              <w:spacing w:line="360" w:lineRule="auto"/>
              <w:ind w:right="-34"/>
              <w:rPr>
                <w:rFonts w:ascii="宋体" w:hAnsi="宋体" w:eastAsia="宋体" w:cs="宋体"/>
                <w:color w:val="auto"/>
                <w:szCs w:val="21"/>
              </w:rPr>
            </w:pPr>
            <w:r>
              <w:rPr>
                <w:rFonts w:hint="eastAsia" w:ascii="宋体" w:hAnsi="宋体" w:eastAsia="宋体" w:cs="宋体"/>
                <w:color w:val="auto"/>
                <w:szCs w:val="21"/>
              </w:rPr>
              <w:t>良：总体实施方案基本清晰，重点、难点分析基本准确，对应措施基本合理、可操作性较强，得[8-6分）；</w:t>
            </w:r>
          </w:p>
          <w:p w14:paraId="0194F019">
            <w:pPr>
              <w:spacing w:line="360" w:lineRule="auto"/>
              <w:ind w:right="-34"/>
              <w:rPr>
                <w:rFonts w:ascii="宋体" w:hAnsi="宋体" w:eastAsia="宋体" w:cs="宋体"/>
                <w:color w:val="auto"/>
                <w:szCs w:val="21"/>
              </w:rPr>
            </w:pPr>
            <w:r>
              <w:rPr>
                <w:rFonts w:hint="eastAsia" w:ascii="宋体" w:hAnsi="宋体" w:eastAsia="宋体" w:cs="宋体"/>
                <w:color w:val="auto"/>
                <w:szCs w:val="21"/>
              </w:rPr>
              <w:t>中：总体实施方案一般，重点、难点分析一般，对应措施一般、可操作性一般，得[6-4分）；</w:t>
            </w:r>
          </w:p>
          <w:p w14:paraId="49CB9FDC">
            <w:pPr>
              <w:spacing w:line="360" w:lineRule="auto"/>
              <w:ind w:right="-34"/>
              <w:rPr>
                <w:rFonts w:ascii="宋体" w:hAnsi="宋体" w:eastAsia="宋体" w:cs="宋体"/>
                <w:color w:val="auto"/>
                <w:szCs w:val="21"/>
              </w:rPr>
            </w:pPr>
            <w:r>
              <w:rPr>
                <w:rFonts w:hint="eastAsia" w:ascii="宋体" w:hAnsi="宋体" w:eastAsia="宋体" w:cs="宋体"/>
                <w:color w:val="auto"/>
                <w:szCs w:val="21"/>
              </w:rPr>
              <w:t>差：总体实施方案不清晰，重点、难点分析不准确，对应措施不合理、可操作性差，得[4-0分]。</w:t>
            </w:r>
          </w:p>
        </w:tc>
      </w:tr>
    </w:tbl>
    <w:p w14:paraId="2F84E98D">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1900A54F">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①表中“[”代表闭区间，“]”代表闭区间，如[0，1]代表该分数段范围为大于等于0且小于等于1。表中“（”代表开区间，“]”代表闭区间，如（1，2]代表该分数段范围为大于1且小于等于2。</w:t>
      </w:r>
    </w:p>
    <w:p w14:paraId="48D28E6E">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②分数出现小数点，保留小数点后2位，从小数点后第3位四舍五入。</w:t>
      </w:r>
    </w:p>
    <w:p w14:paraId="50AEFDC8">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644ACA1B">
      <w:pPr>
        <w:autoSpaceDE w:val="0"/>
        <w:autoSpaceDN w:val="0"/>
        <w:adjustRightInd w:val="0"/>
        <w:spacing w:line="360" w:lineRule="auto"/>
        <w:ind w:left="420" w:leftChars="200" w:firstLine="422" w:firstLineChars="200"/>
        <w:rPr>
          <w:rFonts w:ascii="宋体" w:hAnsi="宋体" w:eastAsia="宋体" w:cs="宋体"/>
          <w:color w:val="auto"/>
          <w:kern w:val="0"/>
          <w:szCs w:val="21"/>
        </w:rPr>
      </w:pPr>
      <w:r>
        <w:rPr>
          <w:rFonts w:hint="eastAsia" w:ascii="宋体" w:hAnsi="宋体" w:eastAsia="宋体" w:cs="宋体"/>
          <w:b/>
          <w:color w:val="auto"/>
          <w:szCs w:val="24"/>
        </w:rPr>
        <w:t>④</w:t>
      </w:r>
      <w:r>
        <w:rPr>
          <w:rFonts w:hint="eastAsia" w:ascii="宋体" w:hAnsi="宋体" w:eastAsia="宋体" w:cs="宋体"/>
          <w:b/>
          <w:color w:val="auto"/>
          <w:kern w:val="0"/>
          <w:szCs w:val="21"/>
          <w:lang w:val="zh-CN"/>
        </w:rPr>
        <w:t>对</w:t>
      </w:r>
      <w:r>
        <w:rPr>
          <w:rFonts w:hint="eastAsia" w:ascii="宋体" w:hAnsi="宋体" w:eastAsia="宋体" w:cs="宋体"/>
          <w:b/>
          <w:color w:val="auto"/>
          <w:kern w:val="0"/>
          <w:szCs w:val="21"/>
        </w:rPr>
        <w:t>于各</w:t>
      </w:r>
      <w:r>
        <w:rPr>
          <w:rFonts w:hint="eastAsia" w:ascii="宋体" w:hAnsi="宋体" w:eastAsia="宋体" w:cs="宋体"/>
          <w:b/>
          <w:color w:val="auto"/>
          <w:kern w:val="0"/>
          <w:szCs w:val="21"/>
          <w:lang w:val="zh-CN"/>
        </w:rPr>
        <w:t>评标委员会成员</w:t>
      </w:r>
      <w:r>
        <w:rPr>
          <w:rFonts w:hint="eastAsia" w:ascii="宋体" w:hAnsi="宋体" w:eastAsia="宋体" w:cs="宋体"/>
          <w:b/>
          <w:color w:val="auto"/>
          <w:kern w:val="0"/>
          <w:szCs w:val="21"/>
        </w:rPr>
        <w:t>存在客观分打分不一致时</w:t>
      </w:r>
      <w:r>
        <w:rPr>
          <w:rFonts w:hint="eastAsia" w:ascii="宋体" w:hAnsi="宋体" w:eastAsia="宋体" w:cs="宋体"/>
          <w:b/>
          <w:color w:val="auto"/>
          <w:kern w:val="0"/>
          <w:szCs w:val="21"/>
          <w:lang w:val="zh-CN"/>
        </w:rPr>
        <w:t>,根据少数服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多数的原则，以记名方式表决</w:t>
      </w:r>
      <w:r>
        <w:rPr>
          <w:rFonts w:hint="eastAsia" w:ascii="宋体" w:hAnsi="宋体" w:eastAsia="宋体" w:cs="宋体"/>
          <w:b/>
          <w:color w:val="auto"/>
          <w:kern w:val="0"/>
          <w:szCs w:val="21"/>
        </w:rPr>
        <w:t>确定该项的评分。</w:t>
      </w:r>
    </w:p>
    <w:p w14:paraId="24384F98">
      <w:pPr>
        <w:tabs>
          <w:tab w:val="left" w:pos="585"/>
        </w:tabs>
        <w:autoSpaceDE w:val="0"/>
        <w:autoSpaceDN w:val="0"/>
        <w:adjustRightInd w:val="0"/>
        <w:spacing w:line="400" w:lineRule="exact"/>
        <w:ind w:left="359" w:hanging="569"/>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rPr>
        <w:t>3</w:t>
      </w:r>
      <w:r>
        <w:rPr>
          <w:rFonts w:hint="eastAsia" w:ascii="宋体" w:hAnsi="宋体" w:eastAsia="宋体" w:cs="宋体"/>
          <w:b/>
          <w:color w:val="auto"/>
          <w:szCs w:val="21"/>
          <w:lang w:val="zh-CN"/>
        </w:rPr>
        <w:t>）综合得分</w:t>
      </w:r>
    </w:p>
    <w:p w14:paraId="1F522F45">
      <w:pPr>
        <w:spacing w:line="400" w:lineRule="exact"/>
        <w:ind w:left="-210" w:firstLine="848" w:firstLineChars="404"/>
        <w:rPr>
          <w:rFonts w:ascii="宋体" w:hAnsi="宋体" w:eastAsia="宋体" w:cs="宋体"/>
          <w:color w:val="auto"/>
          <w:kern w:val="0"/>
          <w:szCs w:val="28"/>
          <w:lang w:val="zh-CN"/>
        </w:rPr>
      </w:pPr>
      <w:bookmarkStart w:id="668" w:name="_Toc31624_WPSOffice_Level2"/>
      <w:r>
        <w:rPr>
          <w:rFonts w:hint="eastAsia" w:ascii="宋体" w:hAnsi="宋体" w:eastAsia="宋体" w:cs="宋体"/>
          <w:color w:val="auto"/>
          <w:kern w:val="0"/>
          <w:szCs w:val="28"/>
          <w:lang w:val="zh-CN"/>
        </w:rPr>
        <w:t>评标总得分=F1＋F2＋……+Fn</w:t>
      </w:r>
      <w:bookmarkEnd w:id="668"/>
    </w:p>
    <w:p w14:paraId="2EEC349F">
      <w:pPr>
        <w:widowControl/>
        <w:autoSpaceDE w:val="0"/>
        <w:autoSpaceDN w:val="0"/>
        <w:adjustRightInd w:val="0"/>
        <w:spacing w:line="400" w:lineRule="exact"/>
        <w:ind w:left="-210" w:firstLine="840" w:firstLineChars="400"/>
        <w:jc w:val="left"/>
        <w:rPr>
          <w:rFonts w:ascii="宋体" w:hAnsi="宋体" w:eastAsia="宋体" w:cs="宋体"/>
          <w:color w:val="auto"/>
          <w:kern w:val="0"/>
          <w:szCs w:val="21"/>
        </w:rPr>
      </w:pPr>
      <w:bookmarkStart w:id="669" w:name="_Toc13236_WPSOffice_Level2"/>
      <w:r>
        <w:rPr>
          <w:rFonts w:hint="eastAsia" w:ascii="宋体" w:hAnsi="宋体" w:eastAsia="宋体" w:cs="宋体"/>
          <w:color w:val="auto"/>
          <w:kern w:val="0"/>
          <w:szCs w:val="21"/>
        </w:rPr>
        <w:t>F1、F2、……Fn分别为各项评分因素的得分</w:t>
      </w:r>
      <w:bookmarkEnd w:id="669"/>
      <w:r>
        <w:rPr>
          <w:rFonts w:hint="eastAsia" w:ascii="宋体" w:hAnsi="宋体" w:eastAsia="宋体" w:cs="宋体"/>
          <w:color w:val="auto"/>
          <w:kern w:val="0"/>
          <w:szCs w:val="21"/>
        </w:rPr>
        <w:t>。</w:t>
      </w:r>
    </w:p>
    <w:p w14:paraId="36AB8756">
      <w:pPr>
        <w:autoSpaceDE w:val="0"/>
        <w:autoSpaceDN w:val="0"/>
        <w:adjustRightInd w:val="0"/>
        <w:spacing w:line="360" w:lineRule="auto"/>
        <w:ind w:left="564" w:leftChars="1" w:hanging="562" w:hangingChars="200"/>
        <w:rPr>
          <w:rFonts w:ascii="宋体" w:hAnsi="宋体" w:eastAsia="宋体" w:cs="宋体"/>
          <w:b/>
          <w:bCs/>
          <w:color w:val="auto"/>
          <w:sz w:val="28"/>
          <w:szCs w:val="28"/>
        </w:rPr>
      </w:pPr>
    </w:p>
    <w:p w14:paraId="6D73C455">
      <w:pPr>
        <w:autoSpaceDE w:val="0"/>
        <w:autoSpaceDN w:val="0"/>
        <w:adjustRightInd w:val="0"/>
        <w:spacing w:line="360" w:lineRule="auto"/>
        <w:jc w:val="center"/>
        <w:rPr>
          <w:rFonts w:ascii="宋体" w:hAnsi="宋体" w:eastAsia="宋体" w:cs="宋体"/>
          <w:b/>
          <w:bCs/>
          <w:color w:val="auto"/>
          <w:sz w:val="28"/>
          <w:szCs w:val="28"/>
        </w:rPr>
      </w:pPr>
      <w:bookmarkStart w:id="670" w:name="_Toc518_WPSOffice_Level1"/>
      <w:r>
        <w:rPr>
          <w:rFonts w:hint="eastAsia" w:ascii="宋体" w:hAnsi="宋体" w:eastAsia="宋体" w:cs="宋体"/>
          <w:b/>
          <w:bCs/>
          <w:color w:val="auto"/>
          <w:sz w:val="28"/>
          <w:szCs w:val="28"/>
          <w:lang w:val="zh-CN"/>
        </w:rPr>
        <w:t>五、推荐中标人</w:t>
      </w:r>
      <w:bookmarkEnd w:id="670"/>
    </w:p>
    <w:p w14:paraId="0D3FE5C5">
      <w:pPr>
        <w:spacing w:line="360" w:lineRule="auto"/>
        <w:contextualSpacing/>
        <w:rPr>
          <w:rFonts w:ascii="宋体" w:hAnsi="宋体" w:eastAsia="宋体" w:cs="宋体"/>
          <w:color w:val="auto"/>
          <w:sz w:val="22"/>
        </w:rPr>
      </w:pPr>
      <w:r>
        <w:rPr>
          <w:rFonts w:hint="eastAsia" w:ascii="宋体" w:hAnsi="宋体" w:eastAsia="宋体" w:cs="宋体"/>
          <w:color w:val="auto"/>
          <w:kern w:val="0"/>
          <w:szCs w:val="21"/>
        </w:rPr>
        <w:t>13、</w:t>
      </w:r>
      <w:r>
        <w:rPr>
          <w:rFonts w:hint="eastAsia" w:ascii="宋体" w:hAnsi="宋体" w:eastAsia="宋体" w:cs="宋体"/>
          <w:color w:val="auto"/>
          <w:sz w:val="22"/>
        </w:rPr>
        <w:t>评标委员会按评审后得分由高到低顺序排列，并向招标人推荐最后综合得分最高的前二名投标人为中</w:t>
      </w:r>
    </w:p>
    <w:p w14:paraId="675E77D4">
      <w:pPr>
        <w:spacing w:line="360" w:lineRule="auto"/>
        <w:ind w:firstLine="440" w:firstLineChars="200"/>
        <w:contextualSpacing/>
        <w:rPr>
          <w:rFonts w:ascii="宋体" w:hAnsi="宋体" w:eastAsia="宋体" w:cs="宋体"/>
          <w:color w:val="auto"/>
          <w:sz w:val="22"/>
        </w:rPr>
      </w:pPr>
      <w:r>
        <w:rPr>
          <w:rFonts w:hint="eastAsia" w:ascii="宋体" w:hAnsi="宋体" w:eastAsia="宋体" w:cs="宋体"/>
          <w:color w:val="auto"/>
          <w:sz w:val="22"/>
        </w:rPr>
        <w:t>标候选人（最后综合得分排名第一、第二的投标人分别为第一、第二中标候选人），招标人将确定第</w:t>
      </w:r>
    </w:p>
    <w:p w14:paraId="2E27E1E0">
      <w:pPr>
        <w:spacing w:line="360" w:lineRule="auto"/>
        <w:ind w:firstLine="440" w:firstLineChars="200"/>
        <w:contextualSpacing/>
        <w:rPr>
          <w:rFonts w:ascii="宋体" w:hAnsi="宋体" w:eastAsia="宋体" w:cs="宋体"/>
          <w:color w:val="auto"/>
          <w:sz w:val="22"/>
        </w:rPr>
      </w:pPr>
      <w:r>
        <w:rPr>
          <w:rFonts w:hint="eastAsia" w:ascii="宋体" w:hAnsi="宋体" w:eastAsia="宋体" w:cs="宋体"/>
          <w:color w:val="auto"/>
          <w:sz w:val="22"/>
        </w:rPr>
        <w:t>一中标候选人为中标人。</w:t>
      </w:r>
    </w:p>
    <w:p w14:paraId="4B110A64">
      <w:pPr>
        <w:spacing w:line="360" w:lineRule="auto"/>
        <w:ind w:left="420" w:leftChars="200" w:firstLine="420" w:firstLineChars="200"/>
        <w:rPr>
          <w:rFonts w:ascii="宋体" w:hAnsi="宋体" w:eastAsia="宋体" w:cs="宋体"/>
          <w:color w:val="auto"/>
          <w:szCs w:val="21"/>
        </w:rPr>
      </w:pPr>
      <w:r>
        <w:rPr>
          <w:rFonts w:hint="eastAsia" w:ascii="宋体" w:hAnsi="宋体" w:eastAsia="宋体" w:cs="宋体"/>
          <w:color w:val="auto"/>
          <w:szCs w:val="21"/>
        </w:rPr>
        <w:t>如果有两个或以上的投标人的最后综合得分相同，则在最后综合得分相同的投标人按技术标的评标得分高低排出次序，得分高的排前，得分低的排后。如果出现投标人的最后综合得分、技术标得分均相同时，由评标委员会进行投票，得票多的排名在先。当第一轮投票结果为投标人得票数相同时，再次进行投票，如此类推，直到能确定排序次序为止。</w:t>
      </w:r>
    </w:p>
    <w:p w14:paraId="67C88B1F">
      <w:pPr>
        <w:tabs>
          <w:tab w:val="left" w:pos="540"/>
        </w:tabs>
        <w:spacing w:line="360" w:lineRule="auto"/>
        <w:ind w:right="18" w:firstLine="843" w:firstLineChars="400"/>
        <w:rPr>
          <w:rFonts w:ascii="宋体" w:hAnsi="宋体" w:eastAsia="宋体" w:cs="宋体"/>
          <w:b/>
          <w:color w:val="auto"/>
          <w:szCs w:val="21"/>
          <w:lang w:val="zh-CN"/>
        </w:rPr>
      </w:pPr>
      <w:r>
        <w:rPr>
          <w:rFonts w:hint="eastAsia" w:ascii="宋体" w:hAnsi="宋体" w:eastAsia="宋体" w:cs="宋体"/>
          <w:b/>
          <w:color w:val="auto"/>
          <w:szCs w:val="21"/>
          <w:lang w:val="zh-CN"/>
        </w:rPr>
        <w:t>东莞市水务集团管网有限公司2025年度机电设备维修定点服务单位采购项目分3个包组采购，分别为</w:t>
      </w:r>
    </w:p>
    <w:p w14:paraId="138E1A94">
      <w:pPr>
        <w:tabs>
          <w:tab w:val="left" w:pos="540"/>
        </w:tabs>
        <w:spacing w:line="360" w:lineRule="auto"/>
        <w:ind w:right="18" w:firstLine="422" w:firstLineChars="200"/>
        <w:rPr>
          <w:rFonts w:ascii="宋体" w:hAnsi="宋体" w:eastAsia="宋体" w:cs="宋体"/>
          <w:b/>
          <w:color w:val="auto"/>
          <w:szCs w:val="21"/>
          <w:lang w:val="zh-CN"/>
        </w:rPr>
      </w:pPr>
      <w:r>
        <w:rPr>
          <w:rFonts w:hint="eastAsia" w:ascii="宋体" w:hAnsi="宋体" w:eastAsia="宋体" w:cs="宋体"/>
          <w:b/>
          <w:color w:val="auto"/>
          <w:szCs w:val="21"/>
          <w:lang w:val="zh-CN"/>
        </w:rPr>
        <w:t>A包、B包、C包。投标人可参加东莞市水务集团管网有限公司2025年度机电设备维修定点服务单位采购</w:t>
      </w:r>
    </w:p>
    <w:p w14:paraId="4D9E4BF9">
      <w:pPr>
        <w:tabs>
          <w:tab w:val="left" w:pos="540"/>
        </w:tabs>
        <w:spacing w:line="360" w:lineRule="auto"/>
        <w:ind w:right="18" w:firstLine="422" w:firstLineChars="200"/>
        <w:rPr>
          <w:rFonts w:ascii="宋体" w:hAnsi="宋体" w:eastAsia="宋体" w:cs="宋体"/>
          <w:b/>
          <w:color w:val="auto"/>
          <w:szCs w:val="21"/>
          <w:lang w:val="zh-CN"/>
        </w:rPr>
      </w:pPr>
      <w:r>
        <w:rPr>
          <w:rFonts w:hint="eastAsia" w:ascii="宋体" w:hAnsi="宋体" w:eastAsia="宋体" w:cs="宋体"/>
          <w:b/>
          <w:color w:val="auto"/>
          <w:szCs w:val="21"/>
          <w:lang w:val="zh-CN"/>
        </w:rPr>
        <w:t>项目一个包或多个包组的投标，但仅可承担其中一个包组的机电设备维修服务。本项目依次从A包到C包</w:t>
      </w:r>
    </w:p>
    <w:p w14:paraId="4CD56FBD">
      <w:pPr>
        <w:tabs>
          <w:tab w:val="left" w:pos="540"/>
        </w:tabs>
        <w:spacing w:line="360" w:lineRule="auto"/>
        <w:ind w:right="18" w:firstLine="422" w:firstLineChars="200"/>
        <w:rPr>
          <w:rFonts w:ascii="宋体" w:hAnsi="宋体" w:eastAsia="宋体" w:cs="宋体"/>
          <w:b/>
          <w:color w:val="auto"/>
          <w:szCs w:val="21"/>
          <w:lang w:val="zh-CN"/>
        </w:rPr>
      </w:pPr>
      <w:r>
        <w:rPr>
          <w:rFonts w:hint="eastAsia" w:ascii="宋体" w:hAnsi="宋体" w:eastAsia="宋体" w:cs="宋体"/>
          <w:b/>
          <w:color w:val="auto"/>
          <w:szCs w:val="21"/>
          <w:lang w:val="zh-CN"/>
        </w:rPr>
        <w:t>的顺序进行评审，若投标人已在A包的评审中被推荐为第一中标候选人，则在其他包组的评审时，该投标</w:t>
      </w:r>
    </w:p>
    <w:p w14:paraId="332C8F29">
      <w:pPr>
        <w:tabs>
          <w:tab w:val="left" w:pos="540"/>
        </w:tabs>
        <w:spacing w:line="360" w:lineRule="auto"/>
        <w:ind w:right="18" w:firstLine="422" w:firstLineChars="200"/>
        <w:rPr>
          <w:rFonts w:ascii="宋体" w:hAnsi="宋体" w:eastAsia="宋体" w:cs="宋体"/>
          <w:b/>
          <w:color w:val="auto"/>
          <w:szCs w:val="21"/>
          <w:lang w:val="zh-CN"/>
        </w:rPr>
      </w:pPr>
      <w:r>
        <w:rPr>
          <w:rFonts w:hint="eastAsia" w:ascii="宋体" w:hAnsi="宋体" w:eastAsia="宋体" w:cs="宋体"/>
          <w:b/>
          <w:color w:val="auto"/>
          <w:szCs w:val="21"/>
          <w:lang w:val="zh-CN"/>
        </w:rPr>
        <w:t>人不可被推荐为中标候选人，由其他得分次高的投标人替代，以此类推。</w:t>
      </w:r>
    </w:p>
    <w:p w14:paraId="4F7CE824">
      <w:pPr>
        <w:widowControl/>
        <w:spacing w:line="360" w:lineRule="auto"/>
        <w:jc w:val="left"/>
        <w:rPr>
          <w:rFonts w:ascii="宋体" w:hAnsi="宋体" w:eastAsia="宋体" w:cs="宋体"/>
          <w:color w:val="auto"/>
          <w:kern w:val="0"/>
          <w:szCs w:val="21"/>
        </w:rPr>
      </w:pPr>
    </w:p>
    <w:p w14:paraId="05E29B87">
      <w:pPr>
        <w:autoSpaceDE w:val="0"/>
        <w:autoSpaceDN w:val="0"/>
        <w:adjustRightInd w:val="0"/>
        <w:spacing w:line="360" w:lineRule="auto"/>
        <w:jc w:val="center"/>
        <w:rPr>
          <w:rFonts w:ascii="宋体" w:hAnsi="宋体" w:eastAsia="宋体" w:cs="宋体"/>
          <w:b/>
          <w:bCs/>
          <w:color w:val="auto"/>
          <w:sz w:val="28"/>
          <w:szCs w:val="28"/>
          <w:lang w:val="zh-CN"/>
        </w:rPr>
      </w:pPr>
      <w:bookmarkStart w:id="671" w:name="_Toc22724_WPSOffice_Level1"/>
      <w:r>
        <w:rPr>
          <w:rFonts w:hint="eastAsia" w:ascii="宋体" w:hAnsi="宋体" w:eastAsia="宋体" w:cs="宋体"/>
          <w:b/>
          <w:bCs/>
          <w:color w:val="auto"/>
          <w:sz w:val="28"/>
          <w:szCs w:val="28"/>
          <w:lang w:val="zh-CN"/>
        </w:rPr>
        <w:t>六、编写评标报告</w:t>
      </w:r>
      <w:bookmarkEnd w:id="671"/>
    </w:p>
    <w:p w14:paraId="6175337A">
      <w:pPr>
        <w:autoSpaceDE w:val="0"/>
        <w:autoSpaceDN w:val="0"/>
        <w:adjustRightInd w:val="0"/>
        <w:spacing w:line="360" w:lineRule="auto"/>
        <w:ind w:left="420" w:hanging="420" w:hangingChars="200"/>
        <w:jc w:val="left"/>
        <w:rPr>
          <w:rFonts w:ascii="宋体" w:hAnsi="宋体" w:eastAsia="宋体" w:cs="宋体"/>
          <w:b/>
          <w:bCs/>
          <w:color w:val="auto"/>
          <w:szCs w:val="32"/>
          <w:lang w:val="zh-CN"/>
        </w:rPr>
      </w:pPr>
      <w:r>
        <w:rPr>
          <w:rFonts w:hint="eastAsia" w:ascii="宋体" w:hAnsi="宋体" w:eastAsia="宋体" w:cs="宋体"/>
          <w:color w:val="auto"/>
          <w:szCs w:val="24"/>
          <w:lang w:val="zh-CN"/>
        </w:rPr>
        <w:t>14、评标委员会根据评审结果撰写评标报告。评标报告是评标委员会根据全体评标委员会成员签字的原始评审记录和评审结果编写的报告，其主要内容包括：</w:t>
      </w:r>
    </w:p>
    <w:p w14:paraId="6844BA51">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（1）开标邀请时间、开标日期和地点；</w:t>
      </w:r>
    </w:p>
    <w:p w14:paraId="2FAC9DF4">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（2）投标人名单和评标委员会成员名单；</w:t>
      </w:r>
    </w:p>
    <w:p w14:paraId="0C345C08">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（3）开标评审方法和标准；</w:t>
      </w:r>
    </w:p>
    <w:p w14:paraId="4FBB4FD5">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（4）开标评审记录和评审情况及说明，包括投标无效投标人名单及原因；</w:t>
      </w:r>
    </w:p>
    <w:p w14:paraId="5FF28FAB">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（5）评审结果和中标候选投标人排序表；</w:t>
      </w:r>
    </w:p>
    <w:p w14:paraId="777E8589">
      <w:pPr>
        <w:autoSpaceDE w:val="0"/>
        <w:autoSpaceDN w:val="0"/>
        <w:adjustRightInd w:val="0"/>
        <w:spacing w:line="360" w:lineRule="auto"/>
        <w:jc w:val="left"/>
        <w:rPr>
          <w:rFonts w:ascii="宋体" w:hAnsi="宋体" w:eastAsia="宋体" w:cs="宋体"/>
          <w:color w:val="auto"/>
          <w:szCs w:val="24"/>
          <w:lang w:val="zh-CN"/>
        </w:rPr>
      </w:pPr>
      <w:r>
        <w:rPr>
          <w:rFonts w:hint="eastAsia" w:ascii="宋体" w:hAnsi="宋体" w:eastAsia="宋体" w:cs="宋体"/>
          <w:color w:val="auto"/>
          <w:kern w:val="0"/>
          <w:szCs w:val="24"/>
          <w:lang w:val="zh-CN"/>
        </w:rPr>
        <w:t>（6）评标委员会的推荐</w:t>
      </w:r>
      <w:r>
        <w:rPr>
          <w:rFonts w:hint="eastAsia" w:ascii="宋体" w:hAnsi="宋体" w:eastAsia="宋体" w:cs="宋体"/>
          <w:color w:val="auto"/>
          <w:szCs w:val="24"/>
          <w:lang w:val="zh-CN"/>
        </w:rPr>
        <w:t>建议。</w:t>
      </w:r>
    </w:p>
    <w:p w14:paraId="4BD5C09F">
      <w:pPr>
        <w:autoSpaceDE w:val="0"/>
        <w:autoSpaceDN w:val="0"/>
        <w:adjustRightInd w:val="0"/>
        <w:spacing w:line="360" w:lineRule="auto"/>
        <w:ind w:left="549" w:hanging="759"/>
        <w:jc w:val="center"/>
        <w:rPr>
          <w:rFonts w:ascii="宋体" w:hAnsi="宋体" w:eastAsia="宋体" w:cs="宋体"/>
          <w:b/>
          <w:bCs/>
          <w:color w:val="auto"/>
          <w:sz w:val="28"/>
          <w:szCs w:val="28"/>
          <w:lang w:val="zh-CN"/>
        </w:rPr>
      </w:pPr>
    </w:p>
    <w:p w14:paraId="624B644F">
      <w:pPr>
        <w:autoSpaceDE w:val="0"/>
        <w:autoSpaceDN w:val="0"/>
        <w:adjustRightInd w:val="0"/>
        <w:spacing w:line="360" w:lineRule="auto"/>
        <w:jc w:val="center"/>
        <w:rPr>
          <w:rFonts w:ascii="宋体" w:hAnsi="宋体" w:eastAsia="宋体" w:cs="宋体"/>
          <w:b/>
          <w:bCs/>
          <w:color w:val="auto"/>
          <w:sz w:val="28"/>
          <w:szCs w:val="28"/>
          <w:lang w:val="zh-CN"/>
        </w:rPr>
      </w:pPr>
      <w:bookmarkStart w:id="672" w:name="_Toc23773_WPSOffice_Level1"/>
      <w:r>
        <w:rPr>
          <w:rFonts w:hint="eastAsia" w:ascii="宋体" w:hAnsi="宋体" w:eastAsia="宋体" w:cs="宋体"/>
          <w:b/>
          <w:bCs/>
          <w:color w:val="auto"/>
          <w:sz w:val="28"/>
          <w:szCs w:val="28"/>
          <w:lang w:val="zh-CN"/>
        </w:rPr>
        <w:t>七、注意事项</w:t>
      </w:r>
      <w:bookmarkEnd w:id="672"/>
    </w:p>
    <w:p w14:paraId="01540EA8">
      <w:pPr>
        <w:autoSpaceDE w:val="0"/>
        <w:autoSpaceDN w:val="0"/>
        <w:adjustRightInd w:val="0"/>
        <w:spacing w:line="360" w:lineRule="auto"/>
        <w:ind w:left="420" w:hanging="420" w:hangingChars="200"/>
        <w:rPr>
          <w:rFonts w:ascii="宋体" w:hAnsi="宋体" w:eastAsia="宋体" w:cs="宋体"/>
          <w:color w:val="auto"/>
          <w:szCs w:val="24"/>
          <w:lang w:val="zh-CN"/>
        </w:rPr>
      </w:pPr>
      <w:r>
        <w:rPr>
          <w:rFonts w:hint="eastAsia" w:ascii="宋体" w:hAnsi="宋体" w:eastAsia="宋体" w:cs="宋体"/>
          <w:color w:val="auto"/>
          <w:szCs w:val="24"/>
          <w:lang w:val="zh-CN"/>
        </w:rPr>
        <w:t>15、为确保评审工作的顺利进行，防止因泄密或其它意外而造成的不良后果及影响，凡参加评审工作的人员都必须认真执行本规定：</w:t>
      </w:r>
    </w:p>
    <w:p w14:paraId="10C30259">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（1）在评审工作期间，所有分发的投标文件、资料等仅限于在评审场所中使用，不得带往其它地方，所有的招标文件、投标文件、资料等一律编号登记；</w:t>
      </w:r>
    </w:p>
    <w:p w14:paraId="243DD678">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（2）评审人员及工作人员不得在公共场合谈论有关评审内容；</w:t>
      </w:r>
    </w:p>
    <w:p w14:paraId="7359792B">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A8A5853">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（4）</w:t>
      </w:r>
      <w:r>
        <w:rPr>
          <w:rFonts w:hint="eastAsia" w:ascii="宋体" w:hAnsi="宋体" w:eastAsia="宋体" w:cs="宋体"/>
          <w:color w:val="auto"/>
          <w:szCs w:val="24"/>
        </w:rPr>
        <w:t>如有需要举行</w:t>
      </w:r>
      <w:r>
        <w:rPr>
          <w:rFonts w:hint="eastAsia" w:ascii="宋体" w:hAnsi="宋体" w:eastAsia="宋体" w:cs="宋体"/>
          <w:color w:val="auto"/>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86B4763">
      <w:pPr>
        <w:widowControl/>
        <w:jc w:val="left"/>
        <w:rPr>
          <w:rFonts w:ascii="宋体" w:hAnsi="宋体" w:eastAsia="宋体" w:cs="宋体"/>
          <w:color w:val="auto"/>
          <w:szCs w:val="24"/>
          <w:lang w:val="zh-CN"/>
        </w:rPr>
      </w:pPr>
      <w:r>
        <w:rPr>
          <w:rFonts w:hint="eastAsia" w:ascii="宋体" w:hAnsi="宋体" w:eastAsia="宋体" w:cs="宋体"/>
          <w:color w:val="auto"/>
          <w:szCs w:val="24"/>
          <w:lang w:val="zh-CN"/>
        </w:rPr>
        <w:t>（5）任何评审人员和工作人员不得对外公布评审的一切内容。</w:t>
      </w:r>
      <w:bookmarkEnd w:id="648"/>
      <w:bookmarkEnd w:id="649"/>
      <w:bookmarkEnd w:id="650"/>
      <w:bookmarkEnd w:id="651"/>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2469">
    <w:pPr>
      <w:tabs>
        <w:tab w:val="center" w:pos="4153"/>
        <w:tab w:val="right" w:pos="8306"/>
      </w:tabs>
      <w:snapToGrid w:val="0"/>
      <w:jc w:val="center"/>
      <w:rPr>
        <w:rFonts w:ascii="等线" w:hAnsi="等线" w:eastAsia="等线"/>
        <w:sz w:val="18"/>
        <w:szCs w:val="18"/>
      </w:rPr>
    </w:pPr>
    <w:r>
      <w:rPr>
        <w:rFonts w:ascii="等线" w:hAnsi="等线" w:eastAsia="等线"/>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59DBC2">
                          <w:pPr>
                            <w:tabs>
                              <w:tab w:val="center" w:pos="4153"/>
                              <w:tab w:val="right" w:pos="8306"/>
                            </w:tabs>
                            <w:snapToGrid w:val="0"/>
                            <w:rPr>
                              <w:rFonts w:ascii="等线" w:hAnsi="等线" w:eastAsia="等线"/>
                              <w:sz w:val="18"/>
                              <w:szCs w:val="18"/>
                            </w:rPr>
                          </w:pPr>
                          <w:r>
                            <w:rPr>
                              <w:rFonts w:ascii="等线" w:hAnsi="等线" w:eastAsia="等线"/>
                              <w:sz w:val="18"/>
                              <w:szCs w:val="18"/>
                            </w:rPr>
                            <w:t xml:space="preserve">第 </w:t>
                          </w:r>
                          <w:r>
                            <w:rPr>
                              <w:rFonts w:ascii="等线" w:hAnsi="等线" w:eastAsia="等线"/>
                              <w:sz w:val="18"/>
                              <w:szCs w:val="18"/>
                            </w:rPr>
                            <w:fldChar w:fldCharType="begin"/>
                          </w:r>
                          <w:r>
                            <w:rPr>
                              <w:rFonts w:ascii="等线" w:hAnsi="等线" w:eastAsia="等线"/>
                              <w:sz w:val="18"/>
                              <w:szCs w:val="18"/>
                            </w:rPr>
                            <w:instrText xml:space="preserve"> PAGE  \* MERGEFORMAT </w:instrText>
                          </w:r>
                          <w:r>
                            <w:rPr>
                              <w:rFonts w:ascii="等线" w:hAnsi="等线" w:eastAsia="等线"/>
                              <w:sz w:val="18"/>
                              <w:szCs w:val="18"/>
                            </w:rPr>
                            <w:fldChar w:fldCharType="separate"/>
                          </w:r>
                          <w:r>
                            <w:rPr>
                              <w:rFonts w:ascii="等线" w:hAnsi="等线" w:eastAsia="等线"/>
                              <w:sz w:val="18"/>
                              <w:szCs w:val="18"/>
                            </w:rPr>
                            <w:t>74</w:t>
                          </w:r>
                          <w:r>
                            <w:rPr>
                              <w:rFonts w:ascii="等线" w:hAnsi="等线" w:eastAsia="等线"/>
                              <w:sz w:val="18"/>
                              <w:szCs w:val="18"/>
                            </w:rPr>
                            <w:fldChar w:fldCharType="end"/>
                          </w:r>
                          <w:r>
                            <w:rPr>
                              <w:rFonts w:ascii="等线" w:hAnsi="等线" w:eastAsia="等线"/>
                              <w:sz w:val="18"/>
                              <w:szCs w:val="18"/>
                            </w:rPr>
                            <w:t xml:space="preserve"> 页 共 </w:t>
                          </w:r>
                          <w:r>
                            <w:rPr>
                              <w:rFonts w:ascii="等线" w:hAnsi="等线" w:eastAsia="等线"/>
                              <w:sz w:val="18"/>
                              <w:szCs w:val="18"/>
                            </w:rPr>
                            <w:fldChar w:fldCharType="begin"/>
                          </w:r>
                          <w:r>
                            <w:rPr>
                              <w:rFonts w:ascii="等线" w:hAnsi="等线" w:eastAsia="等线"/>
                              <w:sz w:val="18"/>
                              <w:szCs w:val="18"/>
                            </w:rPr>
                            <w:instrText xml:space="preserve"> NUMPAGES  \* MERGEFORMAT </w:instrText>
                          </w:r>
                          <w:r>
                            <w:rPr>
                              <w:rFonts w:ascii="等线" w:hAnsi="等线" w:eastAsia="等线"/>
                              <w:sz w:val="18"/>
                              <w:szCs w:val="18"/>
                            </w:rPr>
                            <w:fldChar w:fldCharType="separate"/>
                          </w:r>
                          <w:r>
                            <w:rPr>
                              <w:rFonts w:ascii="等线" w:hAnsi="等线" w:eastAsia="等线"/>
                              <w:sz w:val="18"/>
                              <w:szCs w:val="18"/>
                            </w:rPr>
                            <w:t>185</w:t>
                          </w:r>
                          <w:r>
                            <w:rPr>
                              <w:rFonts w:ascii="等线" w:hAnsi="等线" w:eastAsia="等线"/>
                              <w:sz w:val="18"/>
                              <w:szCs w:val="18"/>
                            </w:rPr>
                            <w:fldChar w:fldCharType="end"/>
                          </w:r>
                          <w:r>
                            <w:rPr>
                              <w:rFonts w:ascii="等线" w:hAnsi="等线" w:eastAsia="等线"/>
                              <w:sz w:val="18"/>
                              <w:szCs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259DBC2">
                    <w:pPr>
                      <w:tabs>
                        <w:tab w:val="center" w:pos="4153"/>
                        <w:tab w:val="right" w:pos="8306"/>
                      </w:tabs>
                      <w:snapToGrid w:val="0"/>
                      <w:rPr>
                        <w:rFonts w:ascii="等线" w:hAnsi="等线" w:eastAsia="等线"/>
                        <w:sz w:val="18"/>
                        <w:szCs w:val="18"/>
                      </w:rPr>
                    </w:pPr>
                    <w:r>
                      <w:rPr>
                        <w:rFonts w:ascii="等线" w:hAnsi="等线" w:eastAsia="等线"/>
                        <w:sz w:val="18"/>
                        <w:szCs w:val="18"/>
                      </w:rPr>
                      <w:t xml:space="preserve">第 </w:t>
                    </w:r>
                    <w:r>
                      <w:rPr>
                        <w:rFonts w:ascii="等线" w:hAnsi="等线" w:eastAsia="等线"/>
                        <w:sz w:val="18"/>
                        <w:szCs w:val="18"/>
                      </w:rPr>
                      <w:fldChar w:fldCharType="begin"/>
                    </w:r>
                    <w:r>
                      <w:rPr>
                        <w:rFonts w:ascii="等线" w:hAnsi="等线" w:eastAsia="等线"/>
                        <w:sz w:val="18"/>
                        <w:szCs w:val="18"/>
                      </w:rPr>
                      <w:instrText xml:space="preserve"> PAGE  \* MERGEFORMAT </w:instrText>
                    </w:r>
                    <w:r>
                      <w:rPr>
                        <w:rFonts w:ascii="等线" w:hAnsi="等线" w:eastAsia="等线"/>
                        <w:sz w:val="18"/>
                        <w:szCs w:val="18"/>
                      </w:rPr>
                      <w:fldChar w:fldCharType="separate"/>
                    </w:r>
                    <w:r>
                      <w:rPr>
                        <w:rFonts w:ascii="等线" w:hAnsi="等线" w:eastAsia="等线"/>
                        <w:sz w:val="18"/>
                        <w:szCs w:val="18"/>
                      </w:rPr>
                      <w:t>74</w:t>
                    </w:r>
                    <w:r>
                      <w:rPr>
                        <w:rFonts w:ascii="等线" w:hAnsi="等线" w:eastAsia="等线"/>
                        <w:sz w:val="18"/>
                        <w:szCs w:val="18"/>
                      </w:rPr>
                      <w:fldChar w:fldCharType="end"/>
                    </w:r>
                    <w:r>
                      <w:rPr>
                        <w:rFonts w:ascii="等线" w:hAnsi="等线" w:eastAsia="等线"/>
                        <w:sz w:val="18"/>
                        <w:szCs w:val="18"/>
                      </w:rPr>
                      <w:t xml:space="preserve"> 页 共 </w:t>
                    </w:r>
                    <w:r>
                      <w:rPr>
                        <w:rFonts w:ascii="等线" w:hAnsi="等线" w:eastAsia="等线"/>
                        <w:sz w:val="18"/>
                        <w:szCs w:val="18"/>
                      </w:rPr>
                      <w:fldChar w:fldCharType="begin"/>
                    </w:r>
                    <w:r>
                      <w:rPr>
                        <w:rFonts w:ascii="等线" w:hAnsi="等线" w:eastAsia="等线"/>
                        <w:sz w:val="18"/>
                        <w:szCs w:val="18"/>
                      </w:rPr>
                      <w:instrText xml:space="preserve"> NUMPAGES  \* MERGEFORMAT </w:instrText>
                    </w:r>
                    <w:r>
                      <w:rPr>
                        <w:rFonts w:ascii="等线" w:hAnsi="等线" w:eastAsia="等线"/>
                        <w:sz w:val="18"/>
                        <w:szCs w:val="18"/>
                      </w:rPr>
                      <w:fldChar w:fldCharType="separate"/>
                    </w:r>
                    <w:r>
                      <w:rPr>
                        <w:rFonts w:ascii="等线" w:hAnsi="等线" w:eastAsia="等线"/>
                        <w:sz w:val="18"/>
                        <w:szCs w:val="18"/>
                      </w:rPr>
                      <w:t>185</w:t>
                    </w:r>
                    <w:r>
                      <w:rPr>
                        <w:rFonts w:ascii="等线" w:hAnsi="等线" w:eastAsia="等线"/>
                        <w:sz w:val="18"/>
                        <w:szCs w:val="18"/>
                      </w:rPr>
                      <w:fldChar w:fldCharType="end"/>
                    </w:r>
                    <w:r>
                      <w:rPr>
                        <w:rFonts w:ascii="等线" w:hAnsi="等线" w:eastAsia="等线"/>
                        <w:sz w:val="18"/>
                        <w:szCs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DEA38">
    <w:pPr>
      <w:pStyle w:val="27"/>
      <w:jc w:val="center"/>
    </w:pPr>
    <w:r>
      <w:rPr>
        <w:rFonts w:hint="eastAsia"/>
      </w:rPr>
      <w:t>第</w:t>
    </w:r>
    <w:r>
      <w:rPr>
        <w:bCs/>
      </w:rPr>
      <w:fldChar w:fldCharType="begin"/>
    </w:r>
    <w:r>
      <w:rPr>
        <w:bCs/>
      </w:rPr>
      <w:instrText xml:space="preserve">PAGE</w:instrText>
    </w:r>
    <w:r>
      <w:rPr>
        <w:bCs/>
      </w:rPr>
      <w:fldChar w:fldCharType="separate"/>
    </w:r>
    <w:r>
      <w:rPr>
        <w:bCs/>
      </w:rPr>
      <w:t>135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185</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A7B3">
    <w:pPr>
      <w:pStyle w:val="27"/>
      <w:jc w:val="center"/>
    </w:pPr>
    <w:r>
      <w:rPr>
        <w:rFonts w:hint="eastAsia"/>
      </w:rPr>
      <w:t>第</w:t>
    </w:r>
    <w:r>
      <w:rPr>
        <w:bCs/>
      </w:rPr>
      <w:fldChar w:fldCharType="begin"/>
    </w:r>
    <w:r>
      <w:rPr>
        <w:bCs/>
      </w:rPr>
      <w:instrText xml:space="preserve">PAGE</w:instrText>
    </w:r>
    <w:r>
      <w:rPr>
        <w:bCs/>
      </w:rPr>
      <w:fldChar w:fldCharType="separate"/>
    </w:r>
    <w:r>
      <w:rPr>
        <w:bCs/>
      </w:rPr>
      <w:t>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185</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C583">
    <w:pPr>
      <w:pStyle w:val="27"/>
      <w:jc w:val="center"/>
    </w:pPr>
    <w:r>
      <w:rPr>
        <w:rFonts w:hint="eastAsia"/>
      </w:rPr>
      <w:t>第</w:t>
    </w:r>
    <w:r>
      <w:rPr>
        <w:bCs/>
      </w:rPr>
      <w:fldChar w:fldCharType="begin"/>
    </w:r>
    <w:r>
      <w:rPr>
        <w:bCs/>
      </w:rPr>
      <w:instrText xml:space="preserve">PAGE</w:instrText>
    </w:r>
    <w:r>
      <w:rPr>
        <w:bCs/>
      </w:rPr>
      <w:fldChar w:fldCharType="separate"/>
    </w:r>
    <w:r>
      <w:rPr>
        <w:bCs/>
      </w:rPr>
      <w:t>147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185</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DB0B">
    <w:pPr>
      <w:pStyle w:val="27"/>
      <w:jc w:val="center"/>
    </w:pPr>
    <w:r>
      <w:rPr>
        <w:rFonts w:hint="eastAsia"/>
      </w:rPr>
      <w:t>第</w:t>
    </w:r>
    <w:r>
      <w:rPr>
        <w:bCs/>
      </w:rPr>
      <w:fldChar w:fldCharType="begin"/>
    </w:r>
    <w:r>
      <w:rPr>
        <w:bCs/>
      </w:rPr>
      <w:instrText xml:space="preserve">PAGE</w:instrText>
    </w:r>
    <w:r>
      <w:rPr>
        <w:bCs/>
      </w:rPr>
      <w:fldChar w:fldCharType="separate"/>
    </w:r>
    <w:r>
      <w:rPr>
        <w:bCs/>
      </w:rPr>
      <w:t>136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185</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7B24">
    <w:pPr>
      <w:pStyle w:val="27"/>
      <w:jc w:val="center"/>
    </w:pPr>
    <w:r>
      <w:rPr>
        <w:rFonts w:hint="eastAsia"/>
      </w:rPr>
      <w:t>第</w:t>
    </w:r>
    <w:r>
      <w:rPr>
        <w:bCs/>
      </w:rPr>
      <w:fldChar w:fldCharType="begin"/>
    </w:r>
    <w:r>
      <w:rPr>
        <w:bCs/>
      </w:rPr>
      <w:instrText xml:space="preserve">PAGE</w:instrText>
    </w:r>
    <w:r>
      <w:rPr>
        <w:bCs/>
      </w:rPr>
      <w:fldChar w:fldCharType="separate"/>
    </w:r>
    <w:r>
      <w:rPr>
        <w:bCs/>
      </w:rPr>
      <w:t>153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185</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BEE1">
    <w:pPr>
      <w:pStyle w:val="27"/>
      <w:jc w:val="center"/>
    </w:pPr>
    <w:r>
      <w:rPr>
        <w:rFonts w:hint="eastAsia"/>
      </w:rPr>
      <w:t>第</w:t>
    </w:r>
    <w:r>
      <w:rPr>
        <w:bCs/>
      </w:rPr>
      <w:fldChar w:fldCharType="begin"/>
    </w:r>
    <w:r>
      <w:rPr>
        <w:bCs/>
      </w:rPr>
      <w:instrText xml:space="preserve">PAGE</w:instrText>
    </w:r>
    <w:r>
      <w:rPr>
        <w:bCs/>
      </w:rPr>
      <w:fldChar w:fldCharType="separate"/>
    </w:r>
    <w:r>
      <w:rPr>
        <w:bCs/>
      </w:rPr>
      <w:t>165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185</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1371">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182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185</w:t>
    </w:r>
    <w:r>
      <w:rPr>
        <w:bCs/>
        <w:sz w:val="24"/>
        <w:szCs w:val="24"/>
      </w:rPr>
      <w:fldChar w:fldCharType="end"/>
    </w:r>
    <w:r>
      <w:rPr>
        <w:b/>
        <w:bCs/>
        <w:sz w:val="24"/>
        <w:szCs w:val="24"/>
      </w:rPr>
      <w:t xml:space="preserve"> </w:t>
    </w:r>
    <w:r>
      <w:rPr>
        <w:rFonts w:hint="eastAsia"/>
      </w:rPr>
      <w:t>页</w:t>
    </w:r>
  </w:p>
  <w:p w14:paraId="38259CC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8FA5">
    <w:pPr>
      <w:pBdr>
        <w:bottom w:val="none" w:color="auto" w:sz="0" w:space="1"/>
      </w:pBdr>
      <w:tabs>
        <w:tab w:val="center" w:pos="4153"/>
        <w:tab w:val="right" w:pos="8306"/>
      </w:tabs>
      <w:snapToGrid w:val="0"/>
      <w:jc w:val="center"/>
      <w:rPr>
        <w:rFonts w:ascii="等线" w:hAnsi="宋体" w:eastAsia="等线"/>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16E1">
    <w:pPr>
      <w:pBdr>
        <w:bottom w:val="none" w:color="auto" w:sz="0" w:space="1"/>
      </w:pBdr>
      <w:tabs>
        <w:tab w:val="center" w:pos="4153"/>
        <w:tab w:val="right" w:pos="8306"/>
      </w:tabs>
      <w:snapToGrid w:val="0"/>
      <w:jc w:val="center"/>
      <w:rPr>
        <w:rFonts w:ascii="等线" w:hAnsi="宋体" w:eastAsia="等线"/>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0E81B"/>
    <w:multiLevelType w:val="singleLevel"/>
    <w:tmpl w:val="8FF0E81B"/>
    <w:lvl w:ilvl="0" w:tentative="0">
      <w:start w:val="1"/>
      <w:numFmt w:val="decimal"/>
      <w:suff w:val="space"/>
      <w:lvlText w:val="%1、"/>
      <w:lvlJc w:val="left"/>
    </w:lvl>
  </w:abstractNum>
  <w:abstractNum w:abstractNumId="1">
    <w:nsid w:val="903D5D37"/>
    <w:multiLevelType w:val="singleLevel"/>
    <w:tmpl w:val="903D5D37"/>
    <w:lvl w:ilvl="0" w:tentative="0">
      <w:start w:val="1"/>
      <w:numFmt w:val="decimal"/>
      <w:suff w:val="space"/>
      <w:lvlText w:val="%1."/>
      <w:lvlJc w:val="left"/>
    </w:lvl>
  </w:abstractNum>
  <w:abstractNum w:abstractNumId="2">
    <w:nsid w:val="B547698E"/>
    <w:multiLevelType w:val="singleLevel"/>
    <w:tmpl w:val="B547698E"/>
    <w:lvl w:ilvl="0" w:tentative="0">
      <w:start w:val="6"/>
      <w:numFmt w:val="chineseCounting"/>
      <w:suff w:val="space"/>
      <w:lvlText w:val="第%1条"/>
      <w:lvlJc w:val="left"/>
      <w:pPr>
        <w:tabs>
          <w:tab w:val="left" w:pos="0"/>
        </w:tabs>
        <w:ind w:left="1954"/>
      </w:pPr>
      <w:rPr>
        <w:rFonts w:hint="eastAsia" w:ascii="黑体" w:hAnsi="黑体" w:eastAsia="黑体"/>
        <w:b w:val="0"/>
        <w:lang w:val="en-US"/>
      </w:rPr>
    </w:lvl>
  </w:abstractNum>
  <w:abstractNum w:abstractNumId="3">
    <w:nsid w:val="C11C4246"/>
    <w:multiLevelType w:val="singleLevel"/>
    <w:tmpl w:val="C11C4246"/>
    <w:lvl w:ilvl="0" w:tentative="0">
      <w:start w:val="4"/>
      <w:numFmt w:val="chineseCounting"/>
      <w:suff w:val="nothing"/>
      <w:lvlText w:val="%1、"/>
      <w:lvlJc w:val="left"/>
      <w:rPr>
        <w:rFonts w:hint="eastAsia"/>
      </w:rPr>
    </w:lvl>
  </w:abstractNum>
  <w:abstractNum w:abstractNumId="4">
    <w:nsid w:val="C22717C1"/>
    <w:multiLevelType w:val="singleLevel"/>
    <w:tmpl w:val="C22717C1"/>
    <w:lvl w:ilvl="0" w:tentative="0">
      <w:start w:val="1"/>
      <w:numFmt w:val="decimal"/>
      <w:suff w:val="nothing"/>
      <w:lvlText w:val="%1、"/>
      <w:lvlJc w:val="left"/>
    </w:lvl>
  </w:abstractNum>
  <w:abstractNum w:abstractNumId="5">
    <w:nsid w:val="D085C510"/>
    <w:multiLevelType w:val="singleLevel"/>
    <w:tmpl w:val="D085C510"/>
    <w:lvl w:ilvl="0" w:tentative="0">
      <w:start w:val="3"/>
      <w:numFmt w:val="chineseCounting"/>
      <w:suff w:val="nothing"/>
      <w:lvlText w:val="（%1）"/>
      <w:lvlJc w:val="left"/>
      <w:pPr>
        <w:ind w:left="-2"/>
      </w:pPr>
      <w:rPr>
        <w:rFonts w:hint="eastAsia"/>
      </w:rPr>
    </w:lvl>
  </w:abstractNum>
  <w:abstractNum w:abstractNumId="6">
    <w:nsid w:val="F32F15E6"/>
    <w:multiLevelType w:val="singleLevel"/>
    <w:tmpl w:val="F32F15E6"/>
    <w:lvl w:ilvl="0" w:tentative="0">
      <w:start w:val="1"/>
      <w:numFmt w:val="decimal"/>
      <w:suff w:val="nothing"/>
      <w:lvlText w:val="（%1）"/>
      <w:lvlJc w:val="left"/>
    </w:lvl>
  </w:abstractNum>
  <w:abstractNum w:abstractNumId="7">
    <w:nsid w:val="F3E76669"/>
    <w:multiLevelType w:val="singleLevel"/>
    <w:tmpl w:val="F3E76669"/>
    <w:lvl w:ilvl="0" w:tentative="0">
      <w:start w:val="1"/>
      <w:numFmt w:val="chineseCounting"/>
      <w:suff w:val="nothing"/>
      <w:lvlText w:val="（%1）"/>
      <w:lvlJc w:val="left"/>
      <w:rPr>
        <w:rFonts w:hint="eastAsia"/>
      </w:rPr>
    </w:lvl>
  </w:abstractNum>
  <w:abstractNum w:abstractNumId="8">
    <w:nsid w:val="FCAAD67A"/>
    <w:multiLevelType w:val="singleLevel"/>
    <w:tmpl w:val="FCAAD67A"/>
    <w:lvl w:ilvl="0" w:tentative="0">
      <w:start w:val="2"/>
      <w:numFmt w:val="decimal"/>
      <w:suff w:val="nothing"/>
      <w:lvlText w:val="（%1）"/>
      <w:lvlJc w:val="left"/>
    </w:lvl>
  </w:abstractNum>
  <w:abstractNum w:abstractNumId="9">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205"/>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E562FF5"/>
    <w:multiLevelType w:val="multilevel"/>
    <w:tmpl w:val="0E562FF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F451539"/>
    <w:multiLevelType w:val="singleLevel"/>
    <w:tmpl w:val="1F451539"/>
    <w:lvl w:ilvl="0" w:tentative="0">
      <w:start w:val="1"/>
      <w:numFmt w:val="chineseCounting"/>
      <w:suff w:val="space"/>
      <w:lvlText w:val="第%1章"/>
      <w:lvlJc w:val="left"/>
      <w:rPr>
        <w:rFonts w:hint="eastAsia"/>
      </w:rPr>
    </w:lvl>
  </w:abstractNum>
  <w:abstractNum w:abstractNumId="12">
    <w:nsid w:val="240188B8"/>
    <w:multiLevelType w:val="singleLevel"/>
    <w:tmpl w:val="240188B8"/>
    <w:lvl w:ilvl="0" w:tentative="0">
      <w:start w:val="1"/>
      <w:numFmt w:val="chineseCounting"/>
      <w:suff w:val="space"/>
      <w:lvlText w:val="第%1条"/>
      <w:lvlJc w:val="left"/>
      <w:rPr>
        <w:rFonts w:hint="eastAsia"/>
      </w:rPr>
    </w:lvl>
  </w:abstractNum>
  <w:abstractNum w:abstractNumId="13">
    <w:nsid w:val="2A1CB04A"/>
    <w:multiLevelType w:val="singleLevel"/>
    <w:tmpl w:val="2A1CB04A"/>
    <w:lvl w:ilvl="0" w:tentative="0">
      <w:start w:val="1"/>
      <w:numFmt w:val="chineseCounting"/>
      <w:suff w:val="space"/>
      <w:lvlText w:val="第%1条"/>
      <w:lvlJc w:val="left"/>
      <w:pPr>
        <w:tabs>
          <w:tab w:val="left" w:pos="0"/>
        </w:tabs>
        <w:ind w:left="1954"/>
      </w:pPr>
      <w:rPr>
        <w:rFonts w:hint="eastAsia" w:ascii="黑体" w:hAnsi="黑体" w:eastAsia="黑体"/>
        <w:b w:val="0"/>
        <w:lang w:val="en-US"/>
      </w:rPr>
    </w:lvl>
  </w:abstractNum>
  <w:abstractNum w:abstractNumId="1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A8491DB"/>
    <w:multiLevelType w:val="singleLevel"/>
    <w:tmpl w:val="5A8491DB"/>
    <w:lvl w:ilvl="0" w:tentative="0">
      <w:start w:val="1"/>
      <w:numFmt w:val="chineseCounting"/>
      <w:suff w:val="nothing"/>
      <w:lvlText w:val="（%1）"/>
      <w:lvlJc w:val="left"/>
      <w:rPr>
        <w:rFonts w:hint="eastAsia"/>
      </w:rPr>
    </w:lvl>
  </w:abstractNum>
  <w:abstractNum w:abstractNumId="16">
    <w:nsid w:val="5FF295C0"/>
    <w:multiLevelType w:val="singleLevel"/>
    <w:tmpl w:val="5FF295C0"/>
    <w:lvl w:ilvl="0" w:tentative="0">
      <w:start w:val="1"/>
      <w:numFmt w:val="chineseCounting"/>
      <w:suff w:val="nothing"/>
      <w:lvlText w:val="（%1）"/>
      <w:lvlJc w:val="left"/>
      <w:rPr>
        <w:rFonts w:hint="eastAsia"/>
      </w:rPr>
    </w:lvl>
  </w:abstractNum>
  <w:abstractNum w:abstractNumId="17">
    <w:nsid w:val="72223226"/>
    <w:multiLevelType w:val="singleLevel"/>
    <w:tmpl w:val="72223226"/>
    <w:lvl w:ilvl="0" w:tentative="0">
      <w:start w:val="2"/>
      <w:numFmt w:val="decimal"/>
      <w:lvlText w:val="%1."/>
      <w:lvlJc w:val="left"/>
      <w:pPr>
        <w:tabs>
          <w:tab w:val="left" w:pos="312"/>
        </w:tabs>
      </w:pPr>
    </w:lvl>
  </w:abstractNum>
  <w:num w:numId="1">
    <w:abstractNumId w:val="9"/>
  </w:num>
  <w:num w:numId="2">
    <w:abstractNumId w:val="14"/>
  </w:num>
  <w:num w:numId="3">
    <w:abstractNumId w:val="8"/>
  </w:num>
  <w:num w:numId="4">
    <w:abstractNumId w:val="5"/>
  </w:num>
  <w:num w:numId="5">
    <w:abstractNumId w:val="17"/>
  </w:num>
  <w:num w:numId="6">
    <w:abstractNumId w:val="3"/>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13"/>
  </w:num>
  <w:num w:numId="12">
    <w:abstractNumId w:val="2"/>
  </w:num>
  <w:num w:numId="13">
    <w:abstractNumId w:val="7"/>
  </w:num>
  <w:num w:numId="14">
    <w:abstractNumId w:val="15"/>
  </w:num>
  <w:num w:numId="15">
    <w:abstractNumId w:val="16"/>
  </w:num>
  <w:num w:numId="16">
    <w:abstractNumId w:val="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 w:name="KSO_WPS_MARK_KEY" w:val="ee4c7a13-2733-40e9-928b-1e9e0bc5af27"/>
  </w:docVars>
  <w:rsids>
    <w:rsidRoot w:val="001E63B6"/>
    <w:rsid w:val="000011AE"/>
    <w:rsid w:val="00003465"/>
    <w:rsid w:val="00004430"/>
    <w:rsid w:val="00005CBD"/>
    <w:rsid w:val="000067A0"/>
    <w:rsid w:val="00006AEC"/>
    <w:rsid w:val="00015A2E"/>
    <w:rsid w:val="000245A6"/>
    <w:rsid w:val="0002570D"/>
    <w:rsid w:val="00027708"/>
    <w:rsid w:val="00033B49"/>
    <w:rsid w:val="00035595"/>
    <w:rsid w:val="00040BE6"/>
    <w:rsid w:val="00040F92"/>
    <w:rsid w:val="00046C4B"/>
    <w:rsid w:val="0005186E"/>
    <w:rsid w:val="00052FA1"/>
    <w:rsid w:val="00054A52"/>
    <w:rsid w:val="00054D9C"/>
    <w:rsid w:val="00057F23"/>
    <w:rsid w:val="000622F9"/>
    <w:rsid w:val="000640CD"/>
    <w:rsid w:val="000759EE"/>
    <w:rsid w:val="000768C6"/>
    <w:rsid w:val="000770B9"/>
    <w:rsid w:val="0008097F"/>
    <w:rsid w:val="00084D8D"/>
    <w:rsid w:val="000853A8"/>
    <w:rsid w:val="00086BE3"/>
    <w:rsid w:val="0008794C"/>
    <w:rsid w:val="0009401B"/>
    <w:rsid w:val="00094AF8"/>
    <w:rsid w:val="000A31BD"/>
    <w:rsid w:val="000A34F7"/>
    <w:rsid w:val="000A65CD"/>
    <w:rsid w:val="000A73D7"/>
    <w:rsid w:val="000B22D3"/>
    <w:rsid w:val="000B4B09"/>
    <w:rsid w:val="000C1661"/>
    <w:rsid w:val="000C18B7"/>
    <w:rsid w:val="000C5D06"/>
    <w:rsid w:val="000C6A11"/>
    <w:rsid w:val="000C6A37"/>
    <w:rsid w:val="000D0B5D"/>
    <w:rsid w:val="000D406D"/>
    <w:rsid w:val="000D5537"/>
    <w:rsid w:val="000D75D3"/>
    <w:rsid w:val="000E3ECA"/>
    <w:rsid w:val="000E4A4F"/>
    <w:rsid w:val="000E4D54"/>
    <w:rsid w:val="000F0A84"/>
    <w:rsid w:val="00100731"/>
    <w:rsid w:val="001058FF"/>
    <w:rsid w:val="001059DC"/>
    <w:rsid w:val="0010738F"/>
    <w:rsid w:val="001142B7"/>
    <w:rsid w:val="0011440A"/>
    <w:rsid w:val="00114519"/>
    <w:rsid w:val="001233ED"/>
    <w:rsid w:val="00127946"/>
    <w:rsid w:val="001300E3"/>
    <w:rsid w:val="0013197C"/>
    <w:rsid w:val="00131E91"/>
    <w:rsid w:val="00136CEB"/>
    <w:rsid w:val="001450A8"/>
    <w:rsid w:val="001523C0"/>
    <w:rsid w:val="00152F07"/>
    <w:rsid w:val="00152F67"/>
    <w:rsid w:val="00156A9D"/>
    <w:rsid w:val="0015711A"/>
    <w:rsid w:val="001634EE"/>
    <w:rsid w:val="001644BA"/>
    <w:rsid w:val="001647C7"/>
    <w:rsid w:val="00165203"/>
    <w:rsid w:val="00166309"/>
    <w:rsid w:val="00167673"/>
    <w:rsid w:val="00170004"/>
    <w:rsid w:val="00171642"/>
    <w:rsid w:val="001717F0"/>
    <w:rsid w:val="00174AE6"/>
    <w:rsid w:val="001758D3"/>
    <w:rsid w:val="00177B51"/>
    <w:rsid w:val="0018078B"/>
    <w:rsid w:val="00183284"/>
    <w:rsid w:val="00183344"/>
    <w:rsid w:val="001945CF"/>
    <w:rsid w:val="0019682B"/>
    <w:rsid w:val="001A1FCB"/>
    <w:rsid w:val="001A6F5A"/>
    <w:rsid w:val="001B042D"/>
    <w:rsid w:val="001B74B3"/>
    <w:rsid w:val="001B7C38"/>
    <w:rsid w:val="001C098B"/>
    <w:rsid w:val="001C0CB6"/>
    <w:rsid w:val="001C2086"/>
    <w:rsid w:val="001C30B2"/>
    <w:rsid w:val="001C4AC2"/>
    <w:rsid w:val="001C6FAA"/>
    <w:rsid w:val="001D00B3"/>
    <w:rsid w:val="001D5A65"/>
    <w:rsid w:val="001D6606"/>
    <w:rsid w:val="001D6B15"/>
    <w:rsid w:val="001E23EE"/>
    <w:rsid w:val="001E2C70"/>
    <w:rsid w:val="001E4158"/>
    <w:rsid w:val="001E6227"/>
    <w:rsid w:val="001E63B6"/>
    <w:rsid w:val="001E6DD8"/>
    <w:rsid w:val="001F0290"/>
    <w:rsid w:val="001F1BB3"/>
    <w:rsid w:val="001F5DB0"/>
    <w:rsid w:val="001F6A01"/>
    <w:rsid w:val="00202DB9"/>
    <w:rsid w:val="00215B7A"/>
    <w:rsid w:val="00223D5B"/>
    <w:rsid w:val="0022528C"/>
    <w:rsid w:val="002258BB"/>
    <w:rsid w:val="00225B7D"/>
    <w:rsid w:val="002260FC"/>
    <w:rsid w:val="002315B7"/>
    <w:rsid w:val="0023425B"/>
    <w:rsid w:val="002347FE"/>
    <w:rsid w:val="0024360C"/>
    <w:rsid w:val="002451A7"/>
    <w:rsid w:val="00247373"/>
    <w:rsid w:val="002510A7"/>
    <w:rsid w:val="00254720"/>
    <w:rsid w:val="00260C05"/>
    <w:rsid w:val="00261575"/>
    <w:rsid w:val="00262407"/>
    <w:rsid w:val="00272537"/>
    <w:rsid w:val="002747D4"/>
    <w:rsid w:val="00275E0E"/>
    <w:rsid w:val="0028146F"/>
    <w:rsid w:val="00282731"/>
    <w:rsid w:val="002831F6"/>
    <w:rsid w:val="00285684"/>
    <w:rsid w:val="00290CBF"/>
    <w:rsid w:val="0029590E"/>
    <w:rsid w:val="002A3EB3"/>
    <w:rsid w:val="002A7970"/>
    <w:rsid w:val="002B1734"/>
    <w:rsid w:val="002B5DBC"/>
    <w:rsid w:val="002B7423"/>
    <w:rsid w:val="002B7CA9"/>
    <w:rsid w:val="002B7D02"/>
    <w:rsid w:val="002C4A4A"/>
    <w:rsid w:val="002C5325"/>
    <w:rsid w:val="002D0003"/>
    <w:rsid w:val="002D1442"/>
    <w:rsid w:val="002D5A73"/>
    <w:rsid w:val="002E4079"/>
    <w:rsid w:val="002F68EE"/>
    <w:rsid w:val="002F7DEF"/>
    <w:rsid w:val="003014E2"/>
    <w:rsid w:val="00302D85"/>
    <w:rsid w:val="0030443D"/>
    <w:rsid w:val="0030753D"/>
    <w:rsid w:val="00307B92"/>
    <w:rsid w:val="00311DA1"/>
    <w:rsid w:val="003121B1"/>
    <w:rsid w:val="0031709C"/>
    <w:rsid w:val="0031738B"/>
    <w:rsid w:val="003223D5"/>
    <w:rsid w:val="00322AA4"/>
    <w:rsid w:val="00322D6D"/>
    <w:rsid w:val="00325EF0"/>
    <w:rsid w:val="00326230"/>
    <w:rsid w:val="00326290"/>
    <w:rsid w:val="00327B82"/>
    <w:rsid w:val="00330DA7"/>
    <w:rsid w:val="00332C2D"/>
    <w:rsid w:val="00335872"/>
    <w:rsid w:val="00335876"/>
    <w:rsid w:val="00340049"/>
    <w:rsid w:val="003462FF"/>
    <w:rsid w:val="00347A73"/>
    <w:rsid w:val="00347CB0"/>
    <w:rsid w:val="00352495"/>
    <w:rsid w:val="00353707"/>
    <w:rsid w:val="00354BE6"/>
    <w:rsid w:val="0035524D"/>
    <w:rsid w:val="00357E51"/>
    <w:rsid w:val="003628C2"/>
    <w:rsid w:val="00363FF7"/>
    <w:rsid w:val="00364854"/>
    <w:rsid w:val="00366644"/>
    <w:rsid w:val="00366BB7"/>
    <w:rsid w:val="003721DF"/>
    <w:rsid w:val="003748D5"/>
    <w:rsid w:val="0037694B"/>
    <w:rsid w:val="00381E11"/>
    <w:rsid w:val="003824D1"/>
    <w:rsid w:val="00385240"/>
    <w:rsid w:val="00392C68"/>
    <w:rsid w:val="00393CBD"/>
    <w:rsid w:val="00395C76"/>
    <w:rsid w:val="003A2B25"/>
    <w:rsid w:val="003A5520"/>
    <w:rsid w:val="003B074E"/>
    <w:rsid w:val="003B077B"/>
    <w:rsid w:val="003B3342"/>
    <w:rsid w:val="003B5C9C"/>
    <w:rsid w:val="003C193B"/>
    <w:rsid w:val="003C46A2"/>
    <w:rsid w:val="003D0D72"/>
    <w:rsid w:val="003D17A4"/>
    <w:rsid w:val="003D39E2"/>
    <w:rsid w:val="003D3F68"/>
    <w:rsid w:val="003D6085"/>
    <w:rsid w:val="003E006E"/>
    <w:rsid w:val="003E0B27"/>
    <w:rsid w:val="003E170B"/>
    <w:rsid w:val="003E30F8"/>
    <w:rsid w:val="003E399E"/>
    <w:rsid w:val="003E6830"/>
    <w:rsid w:val="003F3875"/>
    <w:rsid w:val="003F42C0"/>
    <w:rsid w:val="003F51B0"/>
    <w:rsid w:val="0040174C"/>
    <w:rsid w:val="004033E1"/>
    <w:rsid w:val="00405E84"/>
    <w:rsid w:val="0040607F"/>
    <w:rsid w:val="00417860"/>
    <w:rsid w:val="00417CB6"/>
    <w:rsid w:val="00420862"/>
    <w:rsid w:val="00420A7A"/>
    <w:rsid w:val="004235AF"/>
    <w:rsid w:val="0042558D"/>
    <w:rsid w:val="00427A89"/>
    <w:rsid w:val="0043107A"/>
    <w:rsid w:val="00432C43"/>
    <w:rsid w:val="004359C6"/>
    <w:rsid w:val="004360FC"/>
    <w:rsid w:val="004378C7"/>
    <w:rsid w:val="00437B9C"/>
    <w:rsid w:val="00437FC4"/>
    <w:rsid w:val="00440DD1"/>
    <w:rsid w:val="00441805"/>
    <w:rsid w:val="004505D9"/>
    <w:rsid w:val="004551D1"/>
    <w:rsid w:val="0045753C"/>
    <w:rsid w:val="004577C3"/>
    <w:rsid w:val="0046038A"/>
    <w:rsid w:val="00460F3E"/>
    <w:rsid w:val="00464570"/>
    <w:rsid w:val="00470F73"/>
    <w:rsid w:val="004761B2"/>
    <w:rsid w:val="004805D0"/>
    <w:rsid w:val="00481AFA"/>
    <w:rsid w:val="0049337D"/>
    <w:rsid w:val="004A21DD"/>
    <w:rsid w:val="004A317A"/>
    <w:rsid w:val="004B093D"/>
    <w:rsid w:val="004B4621"/>
    <w:rsid w:val="004B604C"/>
    <w:rsid w:val="004D7C4D"/>
    <w:rsid w:val="004E1A47"/>
    <w:rsid w:val="004E4ADE"/>
    <w:rsid w:val="004E5028"/>
    <w:rsid w:val="004E5F4E"/>
    <w:rsid w:val="004E7C45"/>
    <w:rsid w:val="004F2802"/>
    <w:rsid w:val="00500B9E"/>
    <w:rsid w:val="00502ABC"/>
    <w:rsid w:val="00503499"/>
    <w:rsid w:val="00506501"/>
    <w:rsid w:val="005074C0"/>
    <w:rsid w:val="00507BC4"/>
    <w:rsid w:val="00510168"/>
    <w:rsid w:val="00513DB6"/>
    <w:rsid w:val="00516EC6"/>
    <w:rsid w:val="00517685"/>
    <w:rsid w:val="00524E92"/>
    <w:rsid w:val="00531E28"/>
    <w:rsid w:val="005344B1"/>
    <w:rsid w:val="005352F7"/>
    <w:rsid w:val="005423E7"/>
    <w:rsid w:val="00550D8B"/>
    <w:rsid w:val="005572B4"/>
    <w:rsid w:val="0056010A"/>
    <w:rsid w:val="00561AF1"/>
    <w:rsid w:val="0056281A"/>
    <w:rsid w:val="00563302"/>
    <w:rsid w:val="00571307"/>
    <w:rsid w:val="00572D48"/>
    <w:rsid w:val="005743EA"/>
    <w:rsid w:val="00576F2E"/>
    <w:rsid w:val="00580DF4"/>
    <w:rsid w:val="00581210"/>
    <w:rsid w:val="00581FC3"/>
    <w:rsid w:val="005832B2"/>
    <w:rsid w:val="005851F1"/>
    <w:rsid w:val="00586309"/>
    <w:rsid w:val="005910B4"/>
    <w:rsid w:val="00596A23"/>
    <w:rsid w:val="005A2021"/>
    <w:rsid w:val="005B078B"/>
    <w:rsid w:val="005B735D"/>
    <w:rsid w:val="005C4A71"/>
    <w:rsid w:val="005C6F40"/>
    <w:rsid w:val="005D4119"/>
    <w:rsid w:val="005D66C2"/>
    <w:rsid w:val="005E2AC9"/>
    <w:rsid w:val="005E4D67"/>
    <w:rsid w:val="005F3D7C"/>
    <w:rsid w:val="00602D7E"/>
    <w:rsid w:val="00603BD0"/>
    <w:rsid w:val="0060555D"/>
    <w:rsid w:val="00605883"/>
    <w:rsid w:val="00606161"/>
    <w:rsid w:val="006062B3"/>
    <w:rsid w:val="006126D2"/>
    <w:rsid w:val="00612782"/>
    <w:rsid w:val="00612EB1"/>
    <w:rsid w:val="00612F7C"/>
    <w:rsid w:val="0061352C"/>
    <w:rsid w:val="006150EA"/>
    <w:rsid w:val="006165C8"/>
    <w:rsid w:val="006175B4"/>
    <w:rsid w:val="00617AAD"/>
    <w:rsid w:val="00621CDC"/>
    <w:rsid w:val="006229B2"/>
    <w:rsid w:val="00625E3D"/>
    <w:rsid w:val="00630B61"/>
    <w:rsid w:val="006402A6"/>
    <w:rsid w:val="00644B65"/>
    <w:rsid w:val="006530F8"/>
    <w:rsid w:val="006537BE"/>
    <w:rsid w:val="006654C0"/>
    <w:rsid w:val="006757B1"/>
    <w:rsid w:val="006813EB"/>
    <w:rsid w:val="00681997"/>
    <w:rsid w:val="0068375D"/>
    <w:rsid w:val="0068405C"/>
    <w:rsid w:val="00684EF2"/>
    <w:rsid w:val="00691017"/>
    <w:rsid w:val="0069152C"/>
    <w:rsid w:val="006A0883"/>
    <w:rsid w:val="006A29A5"/>
    <w:rsid w:val="006A2BD9"/>
    <w:rsid w:val="006A3C57"/>
    <w:rsid w:val="006A4F83"/>
    <w:rsid w:val="006A5072"/>
    <w:rsid w:val="006A7647"/>
    <w:rsid w:val="006B3A72"/>
    <w:rsid w:val="006B5151"/>
    <w:rsid w:val="006C2D84"/>
    <w:rsid w:val="006C2F7D"/>
    <w:rsid w:val="006C30A5"/>
    <w:rsid w:val="006C3580"/>
    <w:rsid w:val="006C3F4D"/>
    <w:rsid w:val="006C6349"/>
    <w:rsid w:val="006C7C6C"/>
    <w:rsid w:val="006D19EA"/>
    <w:rsid w:val="006D479F"/>
    <w:rsid w:val="006E2E51"/>
    <w:rsid w:val="006E482D"/>
    <w:rsid w:val="006F6DB2"/>
    <w:rsid w:val="00704298"/>
    <w:rsid w:val="00704B3A"/>
    <w:rsid w:val="00704E50"/>
    <w:rsid w:val="00705091"/>
    <w:rsid w:val="00710CF8"/>
    <w:rsid w:val="00711E08"/>
    <w:rsid w:val="007138FD"/>
    <w:rsid w:val="00716BB1"/>
    <w:rsid w:val="007172FD"/>
    <w:rsid w:val="007200C8"/>
    <w:rsid w:val="007215F6"/>
    <w:rsid w:val="00721BAA"/>
    <w:rsid w:val="0072303C"/>
    <w:rsid w:val="00745968"/>
    <w:rsid w:val="00747A3E"/>
    <w:rsid w:val="007647AD"/>
    <w:rsid w:val="00771D6B"/>
    <w:rsid w:val="007730C9"/>
    <w:rsid w:val="00775150"/>
    <w:rsid w:val="00776B48"/>
    <w:rsid w:val="00776E1E"/>
    <w:rsid w:val="0078099D"/>
    <w:rsid w:val="00783F99"/>
    <w:rsid w:val="00787DE8"/>
    <w:rsid w:val="007942D8"/>
    <w:rsid w:val="00794983"/>
    <w:rsid w:val="00796008"/>
    <w:rsid w:val="00796ED7"/>
    <w:rsid w:val="007A7740"/>
    <w:rsid w:val="007B08D5"/>
    <w:rsid w:val="007B4F1D"/>
    <w:rsid w:val="007C002A"/>
    <w:rsid w:val="007C024B"/>
    <w:rsid w:val="007D408A"/>
    <w:rsid w:val="007D4A5A"/>
    <w:rsid w:val="007D4A69"/>
    <w:rsid w:val="007D6B20"/>
    <w:rsid w:val="007E0673"/>
    <w:rsid w:val="007E1418"/>
    <w:rsid w:val="007E32FC"/>
    <w:rsid w:val="007E49A3"/>
    <w:rsid w:val="007F01A2"/>
    <w:rsid w:val="007F0378"/>
    <w:rsid w:val="007F2ABC"/>
    <w:rsid w:val="007F507C"/>
    <w:rsid w:val="007F7FEC"/>
    <w:rsid w:val="0081027D"/>
    <w:rsid w:val="00817B3D"/>
    <w:rsid w:val="00822299"/>
    <w:rsid w:val="008270D5"/>
    <w:rsid w:val="008279A7"/>
    <w:rsid w:val="00827CA0"/>
    <w:rsid w:val="00831B7F"/>
    <w:rsid w:val="00834AAB"/>
    <w:rsid w:val="00836621"/>
    <w:rsid w:val="008458F6"/>
    <w:rsid w:val="00845AA9"/>
    <w:rsid w:val="00846E66"/>
    <w:rsid w:val="0085250F"/>
    <w:rsid w:val="008525D6"/>
    <w:rsid w:val="0085388E"/>
    <w:rsid w:val="00854C03"/>
    <w:rsid w:val="00856F5E"/>
    <w:rsid w:val="008604D1"/>
    <w:rsid w:val="008659E9"/>
    <w:rsid w:val="0087095D"/>
    <w:rsid w:val="00871835"/>
    <w:rsid w:val="00871F12"/>
    <w:rsid w:val="00875420"/>
    <w:rsid w:val="00876184"/>
    <w:rsid w:val="00880A50"/>
    <w:rsid w:val="00884732"/>
    <w:rsid w:val="00884E95"/>
    <w:rsid w:val="0089007C"/>
    <w:rsid w:val="008928AE"/>
    <w:rsid w:val="00893092"/>
    <w:rsid w:val="00894583"/>
    <w:rsid w:val="00896B16"/>
    <w:rsid w:val="008A0A1F"/>
    <w:rsid w:val="008A2B35"/>
    <w:rsid w:val="008A46B7"/>
    <w:rsid w:val="008A4C9B"/>
    <w:rsid w:val="008B08C5"/>
    <w:rsid w:val="008B219F"/>
    <w:rsid w:val="008B6384"/>
    <w:rsid w:val="008B6557"/>
    <w:rsid w:val="008B74A7"/>
    <w:rsid w:val="008C02C2"/>
    <w:rsid w:val="008C1CB3"/>
    <w:rsid w:val="008C2349"/>
    <w:rsid w:val="008C47CD"/>
    <w:rsid w:val="008C7F21"/>
    <w:rsid w:val="008D1795"/>
    <w:rsid w:val="008D4357"/>
    <w:rsid w:val="008D469F"/>
    <w:rsid w:val="008D565D"/>
    <w:rsid w:val="008D6357"/>
    <w:rsid w:val="008E53D6"/>
    <w:rsid w:val="008E5EA1"/>
    <w:rsid w:val="008E6AB7"/>
    <w:rsid w:val="008F13C0"/>
    <w:rsid w:val="008F38EE"/>
    <w:rsid w:val="009001CB"/>
    <w:rsid w:val="009004F6"/>
    <w:rsid w:val="009077A0"/>
    <w:rsid w:val="009113DE"/>
    <w:rsid w:val="00913121"/>
    <w:rsid w:val="0091402D"/>
    <w:rsid w:val="009171D5"/>
    <w:rsid w:val="00917709"/>
    <w:rsid w:val="00917C84"/>
    <w:rsid w:val="009220F2"/>
    <w:rsid w:val="009227C1"/>
    <w:rsid w:val="00923EDB"/>
    <w:rsid w:val="00925D9A"/>
    <w:rsid w:val="00926978"/>
    <w:rsid w:val="00932BD9"/>
    <w:rsid w:val="00946307"/>
    <w:rsid w:val="0094670F"/>
    <w:rsid w:val="009479D0"/>
    <w:rsid w:val="00961BA9"/>
    <w:rsid w:val="00967923"/>
    <w:rsid w:val="009701D2"/>
    <w:rsid w:val="00970774"/>
    <w:rsid w:val="00972FAE"/>
    <w:rsid w:val="0097462A"/>
    <w:rsid w:val="00986292"/>
    <w:rsid w:val="00987779"/>
    <w:rsid w:val="009945E6"/>
    <w:rsid w:val="009A2AA5"/>
    <w:rsid w:val="009A414A"/>
    <w:rsid w:val="009A63FB"/>
    <w:rsid w:val="009B55D4"/>
    <w:rsid w:val="009B787A"/>
    <w:rsid w:val="009B7A49"/>
    <w:rsid w:val="009B7AD9"/>
    <w:rsid w:val="009C387D"/>
    <w:rsid w:val="009C5235"/>
    <w:rsid w:val="009C571F"/>
    <w:rsid w:val="009D0461"/>
    <w:rsid w:val="009D4188"/>
    <w:rsid w:val="009D4EFC"/>
    <w:rsid w:val="009D7FA3"/>
    <w:rsid w:val="009E00E3"/>
    <w:rsid w:val="009E0813"/>
    <w:rsid w:val="009E216D"/>
    <w:rsid w:val="009E401A"/>
    <w:rsid w:val="009E6283"/>
    <w:rsid w:val="009E63CA"/>
    <w:rsid w:val="009F11FB"/>
    <w:rsid w:val="009F12EC"/>
    <w:rsid w:val="009F34CB"/>
    <w:rsid w:val="009F7460"/>
    <w:rsid w:val="00A0103B"/>
    <w:rsid w:val="00A03E44"/>
    <w:rsid w:val="00A058F6"/>
    <w:rsid w:val="00A05A11"/>
    <w:rsid w:val="00A075A8"/>
    <w:rsid w:val="00A10A7B"/>
    <w:rsid w:val="00A13BE2"/>
    <w:rsid w:val="00A15F6A"/>
    <w:rsid w:val="00A16504"/>
    <w:rsid w:val="00A171F4"/>
    <w:rsid w:val="00A243C3"/>
    <w:rsid w:val="00A311C2"/>
    <w:rsid w:val="00A32233"/>
    <w:rsid w:val="00A36A24"/>
    <w:rsid w:val="00A376FB"/>
    <w:rsid w:val="00A45306"/>
    <w:rsid w:val="00A45D73"/>
    <w:rsid w:val="00A50551"/>
    <w:rsid w:val="00A50ED8"/>
    <w:rsid w:val="00A61B0C"/>
    <w:rsid w:val="00A62F8C"/>
    <w:rsid w:val="00A64725"/>
    <w:rsid w:val="00A6666A"/>
    <w:rsid w:val="00A73490"/>
    <w:rsid w:val="00A819B6"/>
    <w:rsid w:val="00A86479"/>
    <w:rsid w:val="00A91C8B"/>
    <w:rsid w:val="00A94074"/>
    <w:rsid w:val="00A95824"/>
    <w:rsid w:val="00AA0C1F"/>
    <w:rsid w:val="00AA3225"/>
    <w:rsid w:val="00AB2EDC"/>
    <w:rsid w:val="00AB47F4"/>
    <w:rsid w:val="00AC136E"/>
    <w:rsid w:val="00AC1F6A"/>
    <w:rsid w:val="00AC413D"/>
    <w:rsid w:val="00AC43AD"/>
    <w:rsid w:val="00AD3A9D"/>
    <w:rsid w:val="00AD79D3"/>
    <w:rsid w:val="00AE20A0"/>
    <w:rsid w:val="00AE5434"/>
    <w:rsid w:val="00AE6DBF"/>
    <w:rsid w:val="00AE75DB"/>
    <w:rsid w:val="00AF530C"/>
    <w:rsid w:val="00B0092D"/>
    <w:rsid w:val="00B01C60"/>
    <w:rsid w:val="00B01D22"/>
    <w:rsid w:val="00B0246F"/>
    <w:rsid w:val="00B03A00"/>
    <w:rsid w:val="00B0445D"/>
    <w:rsid w:val="00B0447C"/>
    <w:rsid w:val="00B05E53"/>
    <w:rsid w:val="00B072AA"/>
    <w:rsid w:val="00B10650"/>
    <w:rsid w:val="00B10E08"/>
    <w:rsid w:val="00B110BB"/>
    <w:rsid w:val="00B11436"/>
    <w:rsid w:val="00B12341"/>
    <w:rsid w:val="00B159C0"/>
    <w:rsid w:val="00B25D19"/>
    <w:rsid w:val="00B359D9"/>
    <w:rsid w:val="00B35BC7"/>
    <w:rsid w:val="00B40B8B"/>
    <w:rsid w:val="00B4404D"/>
    <w:rsid w:val="00B50993"/>
    <w:rsid w:val="00B5568A"/>
    <w:rsid w:val="00B63168"/>
    <w:rsid w:val="00B637CF"/>
    <w:rsid w:val="00B63E9B"/>
    <w:rsid w:val="00B64963"/>
    <w:rsid w:val="00B70085"/>
    <w:rsid w:val="00B7099F"/>
    <w:rsid w:val="00B71873"/>
    <w:rsid w:val="00B72A5D"/>
    <w:rsid w:val="00B736B7"/>
    <w:rsid w:val="00B73C45"/>
    <w:rsid w:val="00B822D8"/>
    <w:rsid w:val="00B82E01"/>
    <w:rsid w:val="00B84DD7"/>
    <w:rsid w:val="00B87C4B"/>
    <w:rsid w:val="00B91811"/>
    <w:rsid w:val="00B94460"/>
    <w:rsid w:val="00B9561A"/>
    <w:rsid w:val="00BA437F"/>
    <w:rsid w:val="00BA5C29"/>
    <w:rsid w:val="00BA7082"/>
    <w:rsid w:val="00BB67B5"/>
    <w:rsid w:val="00BB6812"/>
    <w:rsid w:val="00BB6C9A"/>
    <w:rsid w:val="00BB7194"/>
    <w:rsid w:val="00BC0594"/>
    <w:rsid w:val="00BC11FC"/>
    <w:rsid w:val="00BC1F54"/>
    <w:rsid w:val="00BC4C9D"/>
    <w:rsid w:val="00BC54FC"/>
    <w:rsid w:val="00BD2118"/>
    <w:rsid w:val="00BD5092"/>
    <w:rsid w:val="00BD5997"/>
    <w:rsid w:val="00BE6F50"/>
    <w:rsid w:val="00BF1BA3"/>
    <w:rsid w:val="00BF588D"/>
    <w:rsid w:val="00C03447"/>
    <w:rsid w:val="00C070D2"/>
    <w:rsid w:val="00C07EF5"/>
    <w:rsid w:val="00C128FE"/>
    <w:rsid w:val="00C13304"/>
    <w:rsid w:val="00C1777A"/>
    <w:rsid w:val="00C212E3"/>
    <w:rsid w:val="00C22FAE"/>
    <w:rsid w:val="00C23824"/>
    <w:rsid w:val="00C24C44"/>
    <w:rsid w:val="00C26B0C"/>
    <w:rsid w:val="00C30F18"/>
    <w:rsid w:val="00C331D1"/>
    <w:rsid w:val="00C35958"/>
    <w:rsid w:val="00C372A8"/>
    <w:rsid w:val="00C375FF"/>
    <w:rsid w:val="00C40848"/>
    <w:rsid w:val="00C50E47"/>
    <w:rsid w:val="00C55788"/>
    <w:rsid w:val="00C562AA"/>
    <w:rsid w:val="00C574F4"/>
    <w:rsid w:val="00C62AED"/>
    <w:rsid w:val="00C732A4"/>
    <w:rsid w:val="00C739FE"/>
    <w:rsid w:val="00C747C6"/>
    <w:rsid w:val="00C756C3"/>
    <w:rsid w:val="00C80F66"/>
    <w:rsid w:val="00C84AE8"/>
    <w:rsid w:val="00C85D1B"/>
    <w:rsid w:val="00C90DAB"/>
    <w:rsid w:val="00C94DF5"/>
    <w:rsid w:val="00C95E0F"/>
    <w:rsid w:val="00C96DDA"/>
    <w:rsid w:val="00CA3156"/>
    <w:rsid w:val="00CA7F1F"/>
    <w:rsid w:val="00CB4839"/>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1DFB"/>
    <w:rsid w:val="00D24FD7"/>
    <w:rsid w:val="00D25647"/>
    <w:rsid w:val="00D32DFA"/>
    <w:rsid w:val="00D34FE4"/>
    <w:rsid w:val="00D377A7"/>
    <w:rsid w:val="00D44C95"/>
    <w:rsid w:val="00D452A7"/>
    <w:rsid w:val="00D4584F"/>
    <w:rsid w:val="00D505B2"/>
    <w:rsid w:val="00D54110"/>
    <w:rsid w:val="00D54725"/>
    <w:rsid w:val="00D559FF"/>
    <w:rsid w:val="00D6157C"/>
    <w:rsid w:val="00D62B8C"/>
    <w:rsid w:val="00D63276"/>
    <w:rsid w:val="00D66F39"/>
    <w:rsid w:val="00D845FA"/>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0EF"/>
    <w:rsid w:val="00DC13AB"/>
    <w:rsid w:val="00DC5EF2"/>
    <w:rsid w:val="00DC7EF7"/>
    <w:rsid w:val="00DD3C42"/>
    <w:rsid w:val="00DD6B5E"/>
    <w:rsid w:val="00DD6BD4"/>
    <w:rsid w:val="00DE5E58"/>
    <w:rsid w:val="00DE7B46"/>
    <w:rsid w:val="00DF19E5"/>
    <w:rsid w:val="00E0162C"/>
    <w:rsid w:val="00E05EEF"/>
    <w:rsid w:val="00E11487"/>
    <w:rsid w:val="00E14ACC"/>
    <w:rsid w:val="00E15A8C"/>
    <w:rsid w:val="00E24345"/>
    <w:rsid w:val="00E4144C"/>
    <w:rsid w:val="00E42EEB"/>
    <w:rsid w:val="00E44F84"/>
    <w:rsid w:val="00E463C6"/>
    <w:rsid w:val="00E512A6"/>
    <w:rsid w:val="00E5167B"/>
    <w:rsid w:val="00E52D10"/>
    <w:rsid w:val="00E53121"/>
    <w:rsid w:val="00E5318E"/>
    <w:rsid w:val="00E53532"/>
    <w:rsid w:val="00E56781"/>
    <w:rsid w:val="00E6034D"/>
    <w:rsid w:val="00E61870"/>
    <w:rsid w:val="00E71967"/>
    <w:rsid w:val="00E754B1"/>
    <w:rsid w:val="00E801B5"/>
    <w:rsid w:val="00E905E8"/>
    <w:rsid w:val="00E93F56"/>
    <w:rsid w:val="00E952D9"/>
    <w:rsid w:val="00E96773"/>
    <w:rsid w:val="00E97CB9"/>
    <w:rsid w:val="00EB1303"/>
    <w:rsid w:val="00EB27E9"/>
    <w:rsid w:val="00EB37C9"/>
    <w:rsid w:val="00EC134E"/>
    <w:rsid w:val="00EC637A"/>
    <w:rsid w:val="00ED0445"/>
    <w:rsid w:val="00ED3C3B"/>
    <w:rsid w:val="00ED67A1"/>
    <w:rsid w:val="00EE48C3"/>
    <w:rsid w:val="00EE52CC"/>
    <w:rsid w:val="00EF199D"/>
    <w:rsid w:val="00EF4E12"/>
    <w:rsid w:val="00EF5326"/>
    <w:rsid w:val="00EF65F3"/>
    <w:rsid w:val="00F01510"/>
    <w:rsid w:val="00F02A6D"/>
    <w:rsid w:val="00F02B0D"/>
    <w:rsid w:val="00F0424C"/>
    <w:rsid w:val="00F10495"/>
    <w:rsid w:val="00F10DA8"/>
    <w:rsid w:val="00F1168A"/>
    <w:rsid w:val="00F12A10"/>
    <w:rsid w:val="00F2391C"/>
    <w:rsid w:val="00F27345"/>
    <w:rsid w:val="00F31E30"/>
    <w:rsid w:val="00F3326F"/>
    <w:rsid w:val="00F34781"/>
    <w:rsid w:val="00F41A5D"/>
    <w:rsid w:val="00F470A2"/>
    <w:rsid w:val="00F51F93"/>
    <w:rsid w:val="00F552E5"/>
    <w:rsid w:val="00F56AA8"/>
    <w:rsid w:val="00F66C36"/>
    <w:rsid w:val="00F67C91"/>
    <w:rsid w:val="00F723F9"/>
    <w:rsid w:val="00F82315"/>
    <w:rsid w:val="00F83BB9"/>
    <w:rsid w:val="00F83D3C"/>
    <w:rsid w:val="00F840D6"/>
    <w:rsid w:val="00F8691C"/>
    <w:rsid w:val="00F900BE"/>
    <w:rsid w:val="00F92C52"/>
    <w:rsid w:val="00F92F1F"/>
    <w:rsid w:val="00F9438A"/>
    <w:rsid w:val="00F97392"/>
    <w:rsid w:val="00F97DF6"/>
    <w:rsid w:val="00FA4EEC"/>
    <w:rsid w:val="00FB335B"/>
    <w:rsid w:val="00FB4EAA"/>
    <w:rsid w:val="00FC5512"/>
    <w:rsid w:val="00FC6366"/>
    <w:rsid w:val="00FC7740"/>
    <w:rsid w:val="00FD0CD9"/>
    <w:rsid w:val="00FD3EE4"/>
    <w:rsid w:val="00FD4970"/>
    <w:rsid w:val="00FD68BD"/>
    <w:rsid w:val="00FD6927"/>
    <w:rsid w:val="00FE02D9"/>
    <w:rsid w:val="00FE14F9"/>
    <w:rsid w:val="00FF2EFF"/>
    <w:rsid w:val="00FF4843"/>
    <w:rsid w:val="00FF5EEA"/>
    <w:rsid w:val="010921B3"/>
    <w:rsid w:val="015610DC"/>
    <w:rsid w:val="0160084E"/>
    <w:rsid w:val="02545FFC"/>
    <w:rsid w:val="030D7204"/>
    <w:rsid w:val="032674B4"/>
    <w:rsid w:val="03502CFD"/>
    <w:rsid w:val="036626ED"/>
    <w:rsid w:val="03BA241A"/>
    <w:rsid w:val="03BB1D6C"/>
    <w:rsid w:val="04561939"/>
    <w:rsid w:val="04AB11D5"/>
    <w:rsid w:val="051500D8"/>
    <w:rsid w:val="058F7720"/>
    <w:rsid w:val="05B41169"/>
    <w:rsid w:val="06A75D00"/>
    <w:rsid w:val="06D11E55"/>
    <w:rsid w:val="08425FDA"/>
    <w:rsid w:val="0A74428E"/>
    <w:rsid w:val="0A9B0F0E"/>
    <w:rsid w:val="0ACF0E88"/>
    <w:rsid w:val="0AD11912"/>
    <w:rsid w:val="0B287DE4"/>
    <w:rsid w:val="0B636D0D"/>
    <w:rsid w:val="0E5C209B"/>
    <w:rsid w:val="0EE83C31"/>
    <w:rsid w:val="0F0260AC"/>
    <w:rsid w:val="0F1B4A58"/>
    <w:rsid w:val="0F241091"/>
    <w:rsid w:val="0F4E14BE"/>
    <w:rsid w:val="0FB13B6D"/>
    <w:rsid w:val="10457303"/>
    <w:rsid w:val="10BC03C7"/>
    <w:rsid w:val="10F93ED3"/>
    <w:rsid w:val="1116087D"/>
    <w:rsid w:val="12257ED3"/>
    <w:rsid w:val="12A72E11"/>
    <w:rsid w:val="130F4A87"/>
    <w:rsid w:val="13E40E6B"/>
    <w:rsid w:val="13ED2C13"/>
    <w:rsid w:val="14237C67"/>
    <w:rsid w:val="14FD08ED"/>
    <w:rsid w:val="1571721E"/>
    <w:rsid w:val="157708C6"/>
    <w:rsid w:val="15A13C38"/>
    <w:rsid w:val="15C00929"/>
    <w:rsid w:val="1631151D"/>
    <w:rsid w:val="16B60189"/>
    <w:rsid w:val="16D50267"/>
    <w:rsid w:val="174B53AE"/>
    <w:rsid w:val="18297794"/>
    <w:rsid w:val="18E67F66"/>
    <w:rsid w:val="18EB7C71"/>
    <w:rsid w:val="19003166"/>
    <w:rsid w:val="197058BA"/>
    <w:rsid w:val="1977588B"/>
    <w:rsid w:val="1A8515E8"/>
    <w:rsid w:val="1AFA0F74"/>
    <w:rsid w:val="1B0940FF"/>
    <w:rsid w:val="1B527002"/>
    <w:rsid w:val="1BBA56D3"/>
    <w:rsid w:val="1C82501C"/>
    <w:rsid w:val="1C93440A"/>
    <w:rsid w:val="1D01483C"/>
    <w:rsid w:val="1D125559"/>
    <w:rsid w:val="1DC44F2B"/>
    <w:rsid w:val="1DCE02FB"/>
    <w:rsid w:val="1E1225FA"/>
    <w:rsid w:val="1E2A528A"/>
    <w:rsid w:val="1E641526"/>
    <w:rsid w:val="1E8128B1"/>
    <w:rsid w:val="1E9629D0"/>
    <w:rsid w:val="1EA01557"/>
    <w:rsid w:val="1F0E1FBB"/>
    <w:rsid w:val="1F72557D"/>
    <w:rsid w:val="207A1985"/>
    <w:rsid w:val="20900F90"/>
    <w:rsid w:val="20B9276D"/>
    <w:rsid w:val="20D312F7"/>
    <w:rsid w:val="21142EBD"/>
    <w:rsid w:val="2173504A"/>
    <w:rsid w:val="220804A8"/>
    <w:rsid w:val="226237C0"/>
    <w:rsid w:val="22A054CA"/>
    <w:rsid w:val="22C62CF4"/>
    <w:rsid w:val="234A565B"/>
    <w:rsid w:val="23A06120"/>
    <w:rsid w:val="23E67574"/>
    <w:rsid w:val="23F310B8"/>
    <w:rsid w:val="24B65F0C"/>
    <w:rsid w:val="257646A8"/>
    <w:rsid w:val="274A7BEC"/>
    <w:rsid w:val="2806431F"/>
    <w:rsid w:val="286E02B3"/>
    <w:rsid w:val="28AC24C6"/>
    <w:rsid w:val="28BD1F5D"/>
    <w:rsid w:val="28C1247E"/>
    <w:rsid w:val="28CD7B64"/>
    <w:rsid w:val="28DA73F5"/>
    <w:rsid w:val="28E321A5"/>
    <w:rsid w:val="29391FC1"/>
    <w:rsid w:val="29AE6B2F"/>
    <w:rsid w:val="29D37D2A"/>
    <w:rsid w:val="29EE750F"/>
    <w:rsid w:val="2A9E4307"/>
    <w:rsid w:val="2ADB4E0B"/>
    <w:rsid w:val="2BAA449E"/>
    <w:rsid w:val="2BCB5608"/>
    <w:rsid w:val="2BEB0850"/>
    <w:rsid w:val="2C0C6D59"/>
    <w:rsid w:val="2CFC2BFE"/>
    <w:rsid w:val="2D7C30AE"/>
    <w:rsid w:val="2E031252"/>
    <w:rsid w:val="2E1D0E93"/>
    <w:rsid w:val="2E492F14"/>
    <w:rsid w:val="2F2118E6"/>
    <w:rsid w:val="2F2E6FE6"/>
    <w:rsid w:val="304B6175"/>
    <w:rsid w:val="306B66BC"/>
    <w:rsid w:val="3103697D"/>
    <w:rsid w:val="314D028A"/>
    <w:rsid w:val="31BC7549"/>
    <w:rsid w:val="32606344"/>
    <w:rsid w:val="32D260EE"/>
    <w:rsid w:val="355530AA"/>
    <w:rsid w:val="35D86BA7"/>
    <w:rsid w:val="35FB11C4"/>
    <w:rsid w:val="360B7EBA"/>
    <w:rsid w:val="3632560E"/>
    <w:rsid w:val="364631D7"/>
    <w:rsid w:val="365A2E02"/>
    <w:rsid w:val="368928C2"/>
    <w:rsid w:val="369870BB"/>
    <w:rsid w:val="37432E7F"/>
    <w:rsid w:val="37850378"/>
    <w:rsid w:val="383D0314"/>
    <w:rsid w:val="38F00B77"/>
    <w:rsid w:val="3A3556CD"/>
    <w:rsid w:val="3AE47906"/>
    <w:rsid w:val="3B0E7991"/>
    <w:rsid w:val="3B1F29B6"/>
    <w:rsid w:val="3C400C8B"/>
    <w:rsid w:val="3DAD3129"/>
    <w:rsid w:val="3E89286E"/>
    <w:rsid w:val="3F5B255F"/>
    <w:rsid w:val="3FFC743E"/>
    <w:rsid w:val="40C50B35"/>
    <w:rsid w:val="40DC5A18"/>
    <w:rsid w:val="40F65D54"/>
    <w:rsid w:val="41BD115E"/>
    <w:rsid w:val="42306A26"/>
    <w:rsid w:val="42F55BFD"/>
    <w:rsid w:val="43B50E83"/>
    <w:rsid w:val="43C7383A"/>
    <w:rsid w:val="43FB34E3"/>
    <w:rsid w:val="440430C9"/>
    <w:rsid w:val="452147FA"/>
    <w:rsid w:val="45C77EF1"/>
    <w:rsid w:val="46FF32EA"/>
    <w:rsid w:val="470337EB"/>
    <w:rsid w:val="47A2003D"/>
    <w:rsid w:val="48C52BAA"/>
    <w:rsid w:val="49A11F60"/>
    <w:rsid w:val="4ABE288E"/>
    <w:rsid w:val="4BC8467F"/>
    <w:rsid w:val="4CFE53E3"/>
    <w:rsid w:val="4DD666D9"/>
    <w:rsid w:val="4EDE5BC3"/>
    <w:rsid w:val="4F0A4599"/>
    <w:rsid w:val="4FBB6A63"/>
    <w:rsid w:val="4FE63648"/>
    <w:rsid w:val="50001DF1"/>
    <w:rsid w:val="51094569"/>
    <w:rsid w:val="522944A1"/>
    <w:rsid w:val="52484A1A"/>
    <w:rsid w:val="53385317"/>
    <w:rsid w:val="535B2723"/>
    <w:rsid w:val="54174201"/>
    <w:rsid w:val="542E4835"/>
    <w:rsid w:val="54F06565"/>
    <w:rsid w:val="55074D3E"/>
    <w:rsid w:val="56503CB3"/>
    <w:rsid w:val="56B37004"/>
    <w:rsid w:val="56EF1FAC"/>
    <w:rsid w:val="58053BE7"/>
    <w:rsid w:val="58847DD3"/>
    <w:rsid w:val="58D019C3"/>
    <w:rsid w:val="59633BAD"/>
    <w:rsid w:val="59FB128F"/>
    <w:rsid w:val="5AD47ED6"/>
    <w:rsid w:val="5BE12FA3"/>
    <w:rsid w:val="5C4D6613"/>
    <w:rsid w:val="5C5B0B6B"/>
    <w:rsid w:val="5CC947EC"/>
    <w:rsid w:val="5D8866EC"/>
    <w:rsid w:val="5DE800B9"/>
    <w:rsid w:val="5DF16BB9"/>
    <w:rsid w:val="5E26118E"/>
    <w:rsid w:val="5E3C3D56"/>
    <w:rsid w:val="5E7D71F0"/>
    <w:rsid w:val="5EBF421E"/>
    <w:rsid w:val="5F524FCB"/>
    <w:rsid w:val="5FF437B1"/>
    <w:rsid w:val="604C498D"/>
    <w:rsid w:val="6097637F"/>
    <w:rsid w:val="616C5BB8"/>
    <w:rsid w:val="61922E34"/>
    <w:rsid w:val="61BF3EB2"/>
    <w:rsid w:val="62B13874"/>
    <w:rsid w:val="62DD524B"/>
    <w:rsid w:val="62F23ECC"/>
    <w:rsid w:val="63495BC1"/>
    <w:rsid w:val="63672753"/>
    <w:rsid w:val="63BB7093"/>
    <w:rsid w:val="643364F2"/>
    <w:rsid w:val="64E664F7"/>
    <w:rsid w:val="65653BDE"/>
    <w:rsid w:val="65E62E7A"/>
    <w:rsid w:val="660138DA"/>
    <w:rsid w:val="66AC1952"/>
    <w:rsid w:val="66EC7F6C"/>
    <w:rsid w:val="67BB5990"/>
    <w:rsid w:val="67DC095A"/>
    <w:rsid w:val="685B394D"/>
    <w:rsid w:val="68E338C4"/>
    <w:rsid w:val="695348DB"/>
    <w:rsid w:val="698A071D"/>
    <w:rsid w:val="69E33269"/>
    <w:rsid w:val="69F452BC"/>
    <w:rsid w:val="6AAD178D"/>
    <w:rsid w:val="6AC464E0"/>
    <w:rsid w:val="6AFD1BC2"/>
    <w:rsid w:val="6B31759F"/>
    <w:rsid w:val="6B795E96"/>
    <w:rsid w:val="6BBD1790"/>
    <w:rsid w:val="6BE542C2"/>
    <w:rsid w:val="6CC649E7"/>
    <w:rsid w:val="6CF252C1"/>
    <w:rsid w:val="6D46662D"/>
    <w:rsid w:val="6DDA5CDD"/>
    <w:rsid w:val="6DFA48CC"/>
    <w:rsid w:val="6E646561"/>
    <w:rsid w:val="6EA92939"/>
    <w:rsid w:val="6F5F71DE"/>
    <w:rsid w:val="6F6D4459"/>
    <w:rsid w:val="704812DB"/>
    <w:rsid w:val="707029DF"/>
    <w:rsid w:val="70975332"/>
    <w:rsid w:val="71014DCC"/>
    <w:rsid w:val="71114619"/>
    <w:rsid w:val="71D02BA1"/>
    <w:rsid w:val="729A3D44"/>
    <w:rsid w:val="72D2576C"/>
    <w:rsid w:val="731B77AB"/>
    <w:rsid w:val="732E3694"/>
    <w:rsid w:val="73DD2423"/>
    <w:rsid w:val="7465554B"/>
    <w:rsid w:val="74A1177B"/>
    <w:rsid w:val="74E605AC"/>
    <w:rsid w:val="751D3132"/>
    <w:rsid w:val="75411AA9"/>
    <w:rsid w:val="763E6A8D"/>
    <w:rsid w:val="77281627"/>
    <w:rsid w:val="77F10F2E"/>
    <w:rsid w:val="78B33445"/>
    <w:rsid w:val="790D22C6"/>
    <w:rsid w:val="791B6328"/>
    <w:rsid w:val="793170AA"/>
    <w:rsid w:val="7AA674DE"/>
    <w:rsid w:val="7C5C4971"/>
    <w:rsid w:val="7C7123FD"/>
    <w:rsid w:val="7C973296"/>
    <w:rsid w:val="7D136FDD"/>
    <w:rsid w:val="7D630A43"/>
    <w:rsid w:val="7D6457E7"/>
    <w:rsid w:val="7DF67724"/>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next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0"/>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21"/>
    <w:link w:val="92"/>
    <w:qFormat/>
    <w:uiPriority w:val="0"/>
    <w:pPr>
      <w:spacing w:line="360" w:lineRule="auto"/>
      <w:jc w:val="center"/>
    </w:pPr>
    <w:rPr>
      <w:rFonts w:ascii="宋体" w:hAnsi="宋体" w:eastAsia="宋体" w:cs="宋体"/>
      <w:b/>
      <w:szCs w:val="20"/>
    </w:rPr>
  </w:style>
  <w:style w:type="paragraph" w:styleId="21">
    <w:name w:val="Body Text First Indent 2"/>
    <w:basedOn w:val="20"/>
    <w:next w:val="12"/>
    <w:unhideWhenUsed/>
    <w:qFormat/>
    <w:uiPriority w:val="99"/>
    <w:pPr>
      <w:tabs>
        <w:tab w:val="left" w:pos="0"/>
        <w:tab w:val="left" w:pos="540"/>
        <w:tab w:val="left" w:pos="630"/>
        <w:tab w:val="left" w:pos="1440"/>
      </w:tabs>
      <w:spacing w:after="120"/>
      <w:ind w:left="420" w:leftChars="200" w:firstLine="420" w:firstLineChars="200"/>
    </w:pPr>
    <w:rPr>
      <w:kern w:val="0"/>
      <w:sz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0"/>
    <w:qFormat/>
    <w:uiPriority w:val="0"/>
    <w:rPr>
      <w:rFonts w:ascii="宋体" w:hAnsi="Courier New" w:eastAsia="宋体"/>
    </w:rPr>
  </w:style>
  <w:style w:type="paragraph" w:styleId="24">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qFormat/>
    <w:uiPriority w:val="0"/>
    <w:rPr>
      <w:rFonts w:ascii="Times New Roman" w:hAnsi="Times New Roman" w:eastAsia="宋体" w:cs="Times New Roman"/>
      <w:sz w:val="18"/>
      <w:szCs w:val="18"/>
    </w:rPr>
  </w:style>
  <w:style w:type="paragraph" w:styleId="27">
    <w:name w:val="footer"/>
    <w:basedOn w:val="1"/>
    <w:link w:val="78"/>
    <w:qFormat/>
    <w:uiPriority w:val="0"/>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qFormat/>
    <w:uiPriority w:val="0"/>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basedOn w:val="39"/>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文档正文"/>
    <w:basedOn w:val="1"/>
    <w:qFormat/>
    <w:uiPriority w:val="0"/>
    <w:pPr>
      <w:spacing w:line="360" w:lineRule="auto"/>
    </w:pPr>
    <w:rPr>
      <w:rFonts w:ascii="宋体" w:cs="Arial"/>
      <w:bCs/>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字符"/>
    <w:basedOn w:val="39"/>
    <w:link w:val="3"/>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字符"/>
    <w:basedOn w:val="39"/>
    <w:link w:val="5"/>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字符"/>
    <w:basedOn w:val="39"/>
    <w:link w:val="9"/>
    <w:qFormat/>
    <w:uiPriority w:val="9"/>
    <w:rPr>
      <w:rFonts w:ascii="Times New Roman" w:hAnsi="Calibri" w:eastAsia="黑体" w:cs="Times New Roman"/>
      <w:b/>
      <w:bCs/>
      <w:kern w:val="0"/>
      <w:sz w:val="28"/>
      <w:szCs w:val="24"/>
    </w:rPr>
  </w:style>
  <w:style w:type="character" w:customStyle="1" w:styleId="54">
    <w:name w:val="标题 8 字符"/>
    <w:basedOn w:val="39"/>
    <w:link w:val="10"/>
    <w:qFormat/>
    <w:uiPriority w:val="9"/>
    <w:rPr>
      <w:rFonts w:ascii="Times New Roman" w:hAnsi="Calibri" w:eastAsia="黑体" w:cs="Times New Roman"/>
      <w:b/>
      <w:kern w:val="0"/>
      <w:sz w:val="28"/>
      <w:szCs w:val="24"/>
    </w:rPr>
  </w:style>
  <w:style w:type="character" w:customStyle="1" w:styleId="55">
    <w:name w:val="标题 9 字符"/>
    <w:basedOn w:val="39"/>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字符1"/>
    <w:link w:val="35"/>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字符"/>
    <w:link w:val="26"/>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字符"/>
    <w:link w:val="27"/>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字符1"/>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字符"/>
    <w:link w:val="33"/>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字符1"/>
    <w:link w:val="20"/>
    <w:qFormat/>
    <w:uiPriority w:val="0"/>
    <w:rPr>
      <w:rFonts w:ascii="宋体" w:hAnsi="宋体" w:cs="宋体"/>
      <w:b/>
      <w:kern w:val="2"/>
      <w:sz w:val="21"/>
    </w:rPr>
  </w:style>
  <w:style w:type="character" w:customStyle="1" w:styleId="93">
    <w:name w:val="普通(网站) 字符2"/>
    <w:link w:val="34"/>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字符2"/>
    <w:link w:val="23"/>
    <w:qFormat/>
    <w:uiPriority w:val="0"/>
    <w:rPr>
      <w:rFonts w:ascii="宋体" w:hAnsi="Courier New" w:eastAsia="宋体"/>
    </w:rPr>
  </w:style>
  <w:style w:type="character" w:customStyle="1" w:styleId="101">
    <w:name w:val="正文文本缩进 2 字符"/>
    <w:link w:val="25"/>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4"/>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字符"/>
    <w:link w:val="36"/>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字符"/>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字符2"/>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字符"/>
    <w:link w:val="28"/>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字符"/>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字符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字符1"/>
    <w:link w:val="7"/>
    <w:qFormat/>
    <w:uiPriority w:val="9"/>
    <w:rPr>
      <w:rFonts w:ascii="Times New Roman" w:hAnsi="Calibri" w:eastAsia="黑体" w:cs="Times New Roman"/>
      <w:b/>
      <w:bCs/>
      <w:kern w:val="0"/>
      <w:sz w:val="28"/>
      <w:szCs w:val="24"/>
    </w:rPr>
  </w:style>
  <w:style w:type="character" w:customStyle="1" w:styleId="143">
    <w:name w:val="正文文本 2 字符"/>
    <w:link w:val="32"/>
    <w:qFormat/>
    <w:uiPriority w:val="0"/>
    <w:rPr>
      <w:rFonts w:ascii="Arial" w:hAnsi="Arial" w:eastAsia="宋体" w:cs="Times New Roman"/>
      <w:color w:val="000000"/>
      <w:szCs w:val="24"/>
    </w:rPr>
  </w:style>
  <w:style w:type="character" w:customStyle="1" w:styleId="144">
    <w:name w:val="标题 3 字符1"/>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字符1"/>
    <w:link w:val="2"/>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qFormat/>
    <w:uiPriority w:val="0"/>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字符"/>
    <w:link w:val="31"/>
    <w:qFormat/>
    <w:uiPriority w:val="0"/>
    <w:rPr>
      <w:rFonts w:ascii="宋体" w:hAnsi="Times New Roman" w:eastAsia="宋体" w:cs="Times New Roman"/>
      <w:kern w:val="0"/>
      <w:sz w:val="24"/>
      <w:szCs w:val="24"/>
    </w:rPr>
  </w:style>
  <w:style w:type="character" w:customStyle="1" w:styleId="155">
    <w:name w:val="页眉 Char"/>
    <w:qFormat/>
    <w:uiPriority w:val="0"/>
    <w:rPr>
      <w:kern w:val="2"/>
      <w:sz w:val="18"/>
      <w:szCs w:val="18"/>
    </w:rPr>
  </w:style>
  <w:style w:type="character" w:customStyle="1" w:styleId="156">
    <w:name w:val="正文文本 3 字符"/>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字符4"/>
    <w:basedOn w:val="39"/>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字符"/>
    <w:basedOn w:val="118"/>
    <w:link w:val="19"/>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缺省文本"/>
    <w:basedOn w:val="1"/>
    <w:qFormat/>
    <w:uiPriority w:val="0"/>
    <w:rPr>
      <w:rFonts w:ascii="Times New Roman"/>
    </w:rPr>
  </w:style>
  <w:style w:type="character" w:customStyle="1" w:styleId="204">
    <w:name w:val="font51"/>
    <w:qFormat/>
    <w:uiPriority w:val="0"/>
    <w:rPr>
      <w:rFonts w:hint="eastAsia" w:ascii="宋体" w:hAnsi="宋体" w:eastAsia="宋体" w:cs="宋体"/>
      <w:color w:val="FF0000"/>
      <w:sz w:val="20"/>
      <w:szCs w:val="20"/>
      <w:u w:val="none"/>
    </w:rPr>
  </w:style>
  <w:style w:type="paragraph" w:customStyle="1" w:styleId="205">
    <w:name w:val="样式4"/>
    <w:basedOn w:val="1"/>
    <w:qFormat/>
    <w:uiPriority w:val="0"/>
    <w:pPr>
      <w:numPr>
        <w:ilvl w:val="3"/>
        <w:numId w:val="1"/>
      </w:numPr>
      <w:tabs>
        <w:tab w:val="left" w:pos="1984"/>
      </w:tabs>
    </w:pPr>
    <w:rPr>
      <w:rFonts w:ascii="Times New Roman"/>
    </w:rPr>
  </w:style>
  <w:style w:type="paragraph" w:customStyle="1" w:styleId="206">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207">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184</Pages>
  <Words>24245</Words>
  <Characters>25224</Characters>
  <Lines>995</Lines>
  <Paragraphs>280</Paragraphs>
  <TotalTime>90</TotalTime>
  <ScaleCrop>false</ScaleCrop>
  <LinksUpToDate>false</LinksUpToDate>
  <CharactersWithSpaces>25619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杨冬妮</cp:lastModifiedBy>
  <cp:lastPrinted>2024-11-25T12:56:00Z</cp:lastPrinted>
  <dcterms:modified xsi:type="dcterms:W3CDTF">2024-12-12T14:00:12Z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BD2BA51813E2416FBEDD8438A5D4BBE4_13</vt:lpwstr>
  </property>
</Properties>
</file>