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9924B">
      <w:pPr>
        <w:snapToGrid w:val="0"/>
        <w:spacing w:beforeLines="0" w:afterLines="0" w:line="360" w:lineRule="auto"/>
        <w:ind w:right="-26"/>
        <w:jc w:val="center"/>
        <w:rPr>
          <w:rFonts w:hint="default" w:hAnsi="宋体"/>
          <w:b/>
          <w:kern w:val="2"/>
          <w:sz w:val="44"/>
          <w:szCs w:val="44"/>
          <w:lang w:val="zh-CN"/>
        </w:rPr>
      </w:pPr>
    </w:p>
    <w:p w14:paraId="69026876">
      <w:pPr>
        <w:snapToGrid w:val="0"/>
        <w:spacing w:beforeLines="0" w:afterLines="0" w:line="360" w:lineRule="auto"/>
        <w:ind w:right="-26"/>
        <w:jc w:val="center"/>
        <w:rPr>
          <w:rFonts w:hint="default" w:hAnsi="宋体"/>
          <w:b/>
          <w:kern w:val="2"/>
          <w:sz w:val="44"/>
          <w:szCs w:val="44"/>
          <w:lang w:val="zh-CN"/>
        </w:rPr>
      </w:pPr>
    </w:p>
    <w:p w14:paraId="455994E8">
      <w:pPr>
        <w:spacing w:beforeLines="0" w:afterLines="0" w:line="360" w:lineRule="auto"/>
        <w:jc w:val="center"/>
        <w:outlineLvl w:val="0"/>
        <w:rPr>
          <w:rFonts w:hint="default" w:hAnsi="宋体"/>
          <w:b/>
          <w:kern w:val="2"/>
          <w:sz w:val="48"/>
          <w:szCs w:val="48"/>
          <w:lang w:val="zh-CN"/>
        </w:rPr>
      </w:pPr>
      <w:bookmarkStart w:id="0" w:name="_Toc24464"/>
      <w:bookmarkStart w:id="1" w:name="_Toc32217"/>
      <w:r>
        <w:rPr>
          <w:rFonts w:hint="default" w:hAnsi="宋体"/>
          <w:b/>
          <w:kern w:val="2"/>
          <w:sz w:val="48"/>
          <w:szCs w:val="48"/>
          <w:lang w:val="zh-CN"/>
        </w:rPr>
        <w:t>管网运营平台管网清疏检测功能升级建设项目询价文件</w:t>
      </w:r>
      <w:bookmarkEnd w:id="0"/>
      <w:bookmarkEnd w:id="1"/>
    </w:p>
    <w:p w14:paraId="0866696C">
      <w:pPr>
        <w:snapToGrid w:val="0"/>
        <w:spacing w:beforeLines="0" w:afterLines="0" w:line="360" w:lineRule="auto"/>
        <w:ind w:right="-26"/>
        <w:jc w:val="center"/>
        <w:rPr>
          <w:rFonts w:hint="default" w:hAnsi="宋体"/>
          <w:b/>
          <w:kern w:val="2"/>
          <w:sz w:val="32"/>
          <w:szCs w:val="32"/>
          <w:lang w:val="zh-CN"/>
        </w:rPr>
      </w:pPr>
    </w:p>
    <w:p w14:paraId="3A06BF04">
      <w:pPr>
        <w:snapToGrid w:val="0"/>
        <w:spacing w:beforeLines="0" w:afterLines="0" w:line="360" w:lineRule="auto"/>
        <w:ind w:right="-26"/>
        <w:jc w:val="center"/>
        <w:rPr>
          <w:rFonts w:hint="default" w:hAnsi="宋体"/>
          <w:b/>
          <w:kern w:val="2"/>
          <w:sz w:val="44"/>
          <w:szCs w:val="44"/>
          <w:lang w:val="zh-CN"/>
        </w:rPr>
      </w:pPr>
    </w:p>
    <w:p w14:paraId="7C8A73BF">
      <w:pPr>
        <w:snapToGrid w:val="0"/>
        <w:spacing w:beforeLines="0" w:afterLines="0" w:line="360" w:lineRule="auto"/>
        <w:ind w:right="-26"/>
        <w:jc w:val="center"/>
        <w:rPr>
          <w:rFonts w:hint="default" w:hAnsi="宋体"/>
          <w:b/>
          <w:kern w:val="2"/>
          <w:sz w:val="44"/>
          <w:szCs w:val="44"/>
          <w:lang w:val="zh-CN"/>
        </w:rPr>
      </w:pPr>
    </w:p>
    <w:p w14:paraId="67F43A04">
      <w:pPr>
        <w:snapToGrid w:val="0"/>
        <w:spacing w:beforeLines="0" w:afterLines="0" w:line="360" w:lineRule="auto"/>
        <w:ind w:right="-26"/>
        <w:jc w:val="center"/>
        <w:rPr>
          <w:rFonts w:hint="default" w:hAnsi="宋体"/>
          <w:b/>
          <w:kern w:val="2"/>
          <w:sz w:val="44"/>
          <w:szCs w:val="44"/>
          <w:lang w:val="zh-CN"/>
        </w:rPr>
      </w:pPr>
    </w:p>
    <w:p w14:paraId="5D5DF6D4">
      <w:pPr>
        <w:snapToGrid w:val="0"/>
        <w:spacing w:beforeLines="0" w:afterLines="0" w:line="360" w:lineRule="auto"/>
        <w:ind w:right="-26"/>
        <w:rPr>
          <w:rFonts w:hint="default" w:hAnsi="宋体"/>
          <w:b/>
          <w:kern w:val="2"/>
          <w:sz w:val="44"/>
          <w:szCs w:val="44"/>
          <w:lang w:val="zh-CN"/>
        </w:rPr>
      </w:pPr>
    </w:p>
    <w:p w14:paraId="7178FD37">
      <w:pPr>
        <w:snapToGrid w:val="0"/>
        <w:spacing w:beforeLines="0" w:afterLines="0" w:line="360" w:lineRule="auto"/>
        <w:ind w:right="-26"/>
        <w:jc w:val="center"/>
        <w:rPr>
          <w:rFonts w:hint="default" w:hAnsi="宋体"/>
          <w:b/>
          <w:kern w:val="2"/>
          <w:sz w:val="44"/>
          <w:szCs w:val="44"/>
          <w:lang w:val="zh-CN"/>
        </w:rPr>
      </w:pPr>
    </w:p>
    <w:p w14:paraId="1FF96D62">
      <w:pPr>
        <w:snapToGrid w:val="0"/>
        <w:spacing w:beforeLines="0" w:afterLines="0" w:line="360" w:lineRule="auto"/>
        <w:ind w:right="-26"/>
        <w:jc w:val="center"/>
        <w:rPr>
          <w:rFonts w:hint="default" w:hAnsi="宋体"/>
          <w:b/>
          <w:kern w:val="2"/>
          <w:sz w:val="44"/>
          <w:szCs w:val="44"/>
          <w:lang w:val="zh-CN"/>
        </w:rPr>
      </w:pPr>
    </w:p>
    <w:p w14:paraId="3505FB7E">
      <w:pPr>
        <w:pStyle w:val="3"/>
        <w:spacing w:beforeLines="0" w:afterLines="0"/>
        <w:rPr>
          <w:rFonts w:hint="default"/>
          <w:sz w:val="84"/>
          <w:szCs w:val="84"/>
        </w:rPr>
      </w:pPr>
    </w:p>
    <w:p w14:paraId="438561C3">
      <w:pPr>
        <w:snapToGrid w:val="0"/>
        <w:spacing w:beforeLines="0" w:after="120" w:afterLines="50" w:line="360" w:lineRule="auto"/>
        <w:jc w:val="center"/>
        <w:outlineLvl w:val="0"/>
        <w:rPr>
          <w:rFonts w:hint="default" w:hAnsi="宋体"/>
          <w:b/>
          <w:kern w:val="2"/>
          <w:sz w:val="32"/>
          <w:szCs w:val="32"/>
          <w:lang w:val="zh-CN"/>
        </w:rPr>
      </w:pPr>
      <w:bookmarkStart w:id="2" w:name="_Toc15658"/>
      <w:bookmarkStart w:id="3" w:name="_Toc17170"/>
      <w:bookmarkStart w:id="4" w:name="_Toc31924"/>
      <w:r>
        <w:rPr>
          <w:rFonts w:hint="default" w:hAnsi="宋体"/>
          <w:b/>
          <w:kern w:val="2"/>
          <w:sz w:val="32"/>
          <w:szCs w:val="32"/>
          <w:lang w:val="zh-CN"/>
        </w:rPr>
        <w:t>东莞市水务集团管网有限公司</w:t>
      </w:r>
      <w:bookmarkEnd w:id="2"/>
      <w:bookmarkEnd w:id="3"/>
      <w:bookmarkEnd w:id="4"/>
    </w:p>
    <w:p w14:paraId="1BF4555A">
      <w:pPr>
        <w:snapToGrid w:val="0"/>
        <w:spacing w:beforeLines="0" w:after="120" w:afterLines="50" w:line="360" w:lineRule="auto"/>
        <w:jc w:val="center"/>
        <w:rPr>
          <w:rFonts w:hint="default" w:hAnsi="宋体"/>
          <w:b/>
          <w:color w:val="000000"/>
          <w:kern w:val="2"/>
          <w:sz w:val="32"/>
          <w:szCs w:val="32"/>
          <w:lang w:val="zh-CN"/>
        </w:rPr>
        <w:sectPr>
          <w:footerReference r:id="rId4" w:type="default"/>
          <w:pgSz w:w="11906" w:h="16838"/>
          <w:pgMar w:top="1440" w:right="1797" w:bottom="1440" w:left="1797" w:header="851" w:footer="992" w:gutter="0"/>
          <w:lnNumType w:countBy="0" w:distance="360"/>
          <w:pgNumType w:fmt="decimal"/>
          <w:cols w:space="720" w:num="1"/>
          <w:docGrid w:type="lines" w:linePitch="312" w:charSpace="0"/>
        </w:sectPr>
      </w:pPr>
      <w:r>
        <w:rPr>
          <w:rFonts w:hint="default" w:hAnsi="宋体"/>
          <w:b/>
          <w:color w:val="000000"/>
          <w:kern w:val="2"/>
          <w:sz w:val="32"/>
          <w:szCs w:val="32"/>
          <w:lang w:val="zh-CN"/>
        </w:rPr>
        <w:t>202</w:t>
      </w:r>
      <w:r>
        <w:rPr>
          <w:rFonts w:hint="default" w:hAnsi="宋体"/>
          <w:b/>
          <w:color w:val="000000"/>
          <w:kern w:val="2"/>
          <w:sz w:val="32"/>
          <w:szCs w:val="32"/>
        </w:rPr>
        <w:t>4</w:t>
      </w:r>
      <w:r>
        <w:rPr>
          <w:rFonts w:hint="default" w:hAnsi="宋体"/>
          <w:b/>
          <w:color w:val="000000"/>
          <w:kern w:val="2"/>
          <w:sz w:val="32"/>
          <w:szCs w:val="32"/>
          <w:lang w:val="zh-CN"/>
        </w:rPr>
        <w:t>年</w:t>
      </w:r>
      <w:r>
        <w:rPr>
          <w:rFonts w:hint="eastAsia" w:hAnsi="宋体"/>
          <w:b/>
          <w:color w:val="000000"/>
          <w:kern w:val="2"/>
          <w:sz w:val="32"/>
          <w:szCs w:val="32"/>
          <w:lang w:val="en-US" w:eastAsia="zh-CN"/>
        </w:rPr>
        <w:t>12</w:t>
      </w:r>
      <w:r>
        <w:rPr>
          <w:rFonts w:hint="default" w:hAnsi="宋体"/>
          <w:b/>
          <w:color w:val="000000"/>
          <w:kern w:val="2"/>
          <w:sz w:val="32"/>
          <w:szCs w:val="32"/>
          <w:lang w:val="zh-CN"/>
        </w:rPr>
        <w:t>月</w:t>
      </w:r>
      <w:r>
        <w:rPr>
          <w:rFonts w:hint="eastAsia" w:hAnsi="宋体"/>
          <w:b/>
          <w:color w:val="000000"/>
          <w:kern w:val="2"/>
          <w:sz w:val="32"/>
          <w:szCs w:val="32"/>
          <w:lang w:val="en-US" w:eastAsia="zh-CN"/>
        </w:rPr>
        <w:t>10</w:t>
      </w:r>
      <w:r>
        <w:rPr>
          <w:rFonts w:hint="default" w:hAnsi="宋体"/>
          <w:b/>
          <w:color w:val="000000"/>
          <w:kern w:val="2"/>
          <w:sz w:val="32"/>
          <w:szCs w:val="32"/>
          <w:lang w:val="zh-CN"/>
        </w:rPr>
        <w:t>日</w:t>
      </w:r>
    </w:p>
    <w:sdt>
      <w:sdtPr>
        <w:rPr>
          <w:rFonts w:hint="default" w:ascii="宋体" w:hAnsi="宋体" w:eastAsia="宋体" w:cs="Times New Roman"/>
          <w:sz w:val="24"/>
          <w:szCs w:val="24"/>
          <w:lang w:val="en-US" w:eastAsia="zh-CN" w:bidi="ar-SA"/>
        </w:rPr>
        <w:id w:val="147456924"/>
        <w15:color w:val="DBDBDB"/>
        <w:docPartObj>
          <w:docPartGallery w:val="Table of Contents"/>
          <w:docPartUnique/>
        </w:docPartObj>
      </w:sdtPr>
      <w:sdtEndPr>
        <w:rPr>
          <w:rFonts w:hint="default" w:ascii="宋体" w:hAnsi="宋体" w:eastAsia="宋体" w:cs="Times New Roman"/>
          <w:spacing w:val="28"/>
          <w:sz w:val="24"/>
          <w:szCs w:val="32"/>
          <w:lang w:val="en-US" w:eastAsia="zh-CN" w:bidi="ar-SA"/>
        </w:rPr>
      </w:sdtEndPr>
      <w:sdtContent>
        <w:p w14:paraId="646C6FD8">
          <w:pPr>
            <w:spacing w:before="0" w:beforeLines="0" w:after="0" w:afterLines="0" w:line="240" w:lineRule="auto"/>
            <w:ind w:left="0" w:leftChars="0" w:right="0" w:rightChars="0" w:firstLine="0" w:firstLineChars="0"/>
            <w:jc w:val="center"/>
            <w:rPr>
              <w:sz w:val="24"/>
              <w:szCs w:val="24"/>
            </w:rPr>
          </w:pPr>
          <w:r>
            <w:rPr>
              <w:rFonts w:ascii="宋体" w:hAnsi="宋体" w:eastAsia="宋体"/>
              <w:sz w:val="24"/>
              <w:szCs w:val="24"/>
            </w:rPr>
            <w:t>目录</w:t>
          </w:r>
        </w:p>
        <w:p w14:paraId="2EE4CAB4">
          <w:pPr>
            <w:pStyle w:val="12"/>
            <w:tabs>
              <w:tab w:val="right" w:leader="dot" w:pos="8312"/>
            </w:tabs>
          </w:pPr>
          <w:r>
            <w:rPr>
              <w:rFonts w:hint="default" w:hAnsi="宋体"/>
              <w:b/>
              <w:spacing w:val="28"/>
              <w:sz w:val="32"/>
              <w:szCs w:val="32"/>
            </w:rPr>
            <w:fldChar w:fldCharType="begin"/>
          </w:r>
          <w:r>
            <w:rPr>
              <w:rFonts w:hint="default" w:hAnsi="宋体"/>
              <w:b/>
              <w:spacing w:val="28"/>
              <w:sz w:val="32"/>
              <w:szCs w:val="32"/>
            </w:rPr>
            <w:instrText xml:space="preserve">TOC \o "1-1" \h \u </w:instrText>
          </w:r>
          <w:r>
            <w:rPr>
              <w:rFonts w:hint="default" w:hAnsi="宋体"/>
              <w:b/>
              <w:spacing w:val="28"/>
              <w:sz w:val="32"/>
              <w:szCs w:val="32"/>
            </w:rPr>
            <w:fldChar w:fldCharType="separate"/>
          </w:r>
        </w:p>
        <w:p w14:paraId="65C2EAE7">
          <w:pPr>
            <w:pStyle w:val="12"/>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28"/>
              <w:sz w:val="24"/>
              <w:szCs w:val="24"/>
            </w:rPr>
            <w:fldChar w:fldCharType="begin"/>
          </w:r>
          <w:r>
            <w:rPr>
              <w:rFonts w:hint="eastAsia" w:ascii="宋体" w:hAnsi="宋体" w:eastAsia="宋体" w:cs="宋体"/>
              <w:spacing w:val="28"/>
              <w:sz w:val="24"/>
              <w:szCs w:val="24"/>
            </w:rPr>
            <w:instrText xml:space="preserve"> HYPERLINK \l _Toc4918 </w:instrText>
          </w:r>
          <w:r>
            <w:rPr>
              <w:rFonts w:hint="eastAsia" w:ascii="宋体" w:hAnsi="宋体" w:eastAsia="宋体" w:cs="宋体"/>
              <w:spacing w:val="28"/>
              <w:sz w:val="24"/>
              <w:szCs w:val="24"/>
            </w:rPr>
            <w:fldChar w:fldCharType="separate"/>
          </w:r>
          <w:r>
            <w:rPr>
              <w:rFonts w:hint="eastAsia" w:ascii="宋体" w:hAnsi="宋体" w:eastAsia="宋体" w:cs="宋体"/>
              <w:sz w:val="24"/>
              <w:szCs w:val="24"/>
            </w:rPr>
            <w:t>第一章 询价邀请函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_Toc4918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pacing w:val="28"/>
              <w:sz w:val="24"/>
              <w:szCs w:val="24"/>
            </w:rPr>
            <w:fldChar w:fldCharType="end"/>
          </w:r>
        </w:p>
        <w:p w14:paraId="68BBDA00">
          <w:pPr>
            <w:pStyle w:val="12"/>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28"/>
              <w:sz w:val="24"/>
              <w:szCs w:val="24"/>
            </w:rPr>
            <w:fldChar w:fldCharType="begin"/>
          </w:r>
          <w:r>
            <w:rPr>
              <w:rFonts w:hint="eastAsia" w:ascii="宋体" w:hAnsi="宋体" w:eastAsia="宋体" w:cs="宋体"/>
              <w:spacing w:val="28"/>
              <w:sz w:val="24"/>
              <w:szCs w:val="24"/>
            </w:rPr>
            <w:instrText xml:space="preserve"> HYPERLINK \l _Toc11234 </w:instrText>
          </w:r>
          <w:r>
            <w:rPr>
              <w:rFonts w:hint="eastAsia" w:ascii="宋体" w:hAnsi="宋体" w:eastAsia="宋体" w:cs="宋体"/>
              <w:spacing w:val="28"/>
              <w:sz w:val="24"/>
              <w:szCs w:val="24"/>
            </w:rPr>
            <w:fldChar w:fldCharType="separate"/>
          </w:r>
          <w:r>
            <w:rPr>
              <w:rFonts w:hint="eastAsia" w:ascii="宋体" w:hAnsi="宋体" w:eastAsia="宋体" w:cs="宋体"/>
              <w:sz w:val="24"/>
              <w:szCs w:val="24"/>
            </w:rPr>
            <w:t>第二章 用户需求书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_Toc11234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pacing w:val="28"/>
              <w:sz w:val="24"/>
              <w:szCs w:val="24"/>
            </w:rPr>
            <w:fldChar w:fldCharType="end"/>
          </w:r>
        </w:p>
        <w:p w14:paraId="49B5B122">
          <w:pPr>
            <w:pStyle w:val="12"/>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28"/>
              <w:sz w:val="24"/>
              <w:szCs w:val="24"/>
            </w:rPr>
            <w:fldChar w:fldCharType="begin"/>
          </w:r>
          <w:r>
            <w:rPr>
              <w:rFonts w:hint="eastAsia" w:ascii="宋体" w:hAnsi="宋体" w:eastAsia="宋体" w:cs="宋体"/>
              <w:spacing w:val="28"/>
              <w:sz w:val="24"/>
              <w:szCs w:val="24"/>
            </w:rPr>
            <w:instrText xml:space="preserve"> HYPERLINK \l _Toc21465 </w:instrText>
          </w:r>
          <w:r>
            <w:rPr>
              <w:rFonts w:hint="eastAsia" w:ascii="宋体" w:hAnsi="宋体" w:eastAsia="宋体" w:cs="宋体"/>
              <w:spacing w:val="28"/>
              <w:sz w:val="24"/>
              <w:szCs w:val="24"/>
            </w:rPr>
            <w:fldChar w:fldCharType="separate"/>
          </w:r>
          <w:r>
            <w:rPr>
              <w:rFonts w:hint="eastAsia" w:ascii="宋体" w:hAnsi="宋体" w:eastAsia="宋体" w:cs="宋体"/>
              <w:sz w:val="24"/>
              <w:szCs w:val="24"/>
              <w:lang w:val="en-US" w:eastAsia="zh-CN"/>
            </w:rPr>
            <w:t>第三章 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_Toc21465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pacing w:val="28"/>
              <w:sz w:val="24"/>
              <w:szCs w:val="24"/>
            </w:rPr>
            <w:fldChar w:fldCharType="end"/>
          </w:r>
        </w:p>
        <w:p w14:paraId="500A544A">
          <w:pPr>
            <w:pStyle w:val="12"/>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28"/>
              <w:sz w:val="24"/>
              <w:szCs w:val="24"/>
            </w:rPr>
            <w:fldChar w:fldCharType="begin"/>
          </w:r>
          <w:r>
            <w:rPr>
              <w:rFonts w:hint="eastAsia" w:ascii="宋体" w:hAnsi="宋体" w:eastAsia="宋体" w:cs="宋体"/>
              <w:spacing w:val="28"/>
              <w:sz w:val="24"/>
              <w:szCs w:val="24"/>
            </w:rPr>
            <w:instrText xml:space="preserve"> HYPERLINK \l _Toc17293 </w:instrText>
          </w:r>
          <w:r>
            <w:rPr>
              <w:rFonts w:hint="eastAsia" w:ascii="宋体" w:hAnsi="宋体" w:eastAsia="宋体" w:cs="宋体"/>
              <w:spacing w:val="28"/>
              <w:sz w:val="24"/>
              <w:szCs w:val="24"/>
            </w:rPr>
            <w:fldChar w:fldCharType="separate"/>
          </w:r>
          <w:r>
            <w:rPr>
              <w:rFonts w:hint="eastAsia" w:ascii="宋体" w:hAnsi="宋体" w:eastAsia="宋体" w:cs="宋体"/>
              <w:sz w:val="24"/>
              <w:szCs w:val="24"/>
            </w:rPr>
            <w:t>第四章 报价须知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_Toc17293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spacing w:val="28"/>
              <w:sz w:val="24"/>
              <w:szCs w:val="24"/>
            </w:rPr>
            <w:fldChar w:fldCharType="end"/>
          </w:r>
        </w:p>
        <w:p w14:paraId="20A75C4C">
          <w:pPr>
            <w:pStyle w:val="12"/>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28"/>
              <w:sz w:val="24"/>
              <w:szCs w:val="24"/>
            </w:rPr>
            <w:fldChar w:fldCharType="begin"/>
          </w:r>
          <w:r>
            <w:rPr>
              <w:rFonts w:hint="eastAsia" w:ascii="宋体" w:hAnsi="宋体" w:eastAsia="宋体" w:cs="宋体"/>
              <w:spacing w:val="28"/>
              <w:sz w:val="24"/>
              <w:szCs w:val="24"/>
            </w:rPr>
            <w:instrText xml:space="preserve"> HYPERLINK \l _Toc13624 </w:instrText>
          </w:r>
          <w:r>
            <w:rPr>
              <w:rFonts w:hint="eastAsia" w:ascii="宋体" w:hAnsi="宋体" w:eastAsia="宋体" w:cs="宋体"/>
              <w:spacing w:val="28"/>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五</w:t>
          </w:r>
          <w:r>
            <w:rPr>
              <w:rFonts w:hint="eastAsia" w:ascii="宋体" w:hAnsi="宋体" w:eastAsia="宋体" w:cs="宋体"/>
              <w:sz w:val="24"/>
              <w:szCs w:val="24"/>
            </w:rPr>
            <w:t>章 报价文件（格式）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_Toc13624 \h </w:instrText>
          </w:r>
          <w:r>
            <w:rPr>
              <w:rFonts w:hint="eastAsia" w:ascii="宋体" w:hAnsi="宋体" w:eastAsia="宋体" w:cs="宋体"/>
              <w:sz w:val="24"/>
              <w:szCs w:val="24"/>
            </w:rPr>
            <w:fldChar w:fldCharType="separate"/>
          </w:r>
          <w:r>
            <w:rPr>
              <w:rFonts w:hint="eastAsia" w:ascii="宋体" w:hAnsi="宋体" w:eastAsia="宋体" w:cs="宋体"/>
              <w:sz w:val="24"/>
              <w:szCs w:val="24"/>
            </w:rPr>
            <w:t>77</w:t>
          </w:r>
          <w:r>
            <w:rPr>
              <w:rFonts w:hint="eastAsia" w:ascii="宋体" w:hAnsi="宋体" w:eastAsia="宋体" w:cs="宋体"/>
              <w:sz w:val="24"/>
              <w:szCs w:val="24"/>
            </w:rPr>
            <w:fldChar w:fldCharType="end"/>
          </w:r>
          <w:r>
            <w:rPr>
              <w:rFonts w:hint="eastAsia" w:ascii="宋体" w:hAnsi="宋体" w:eastAsia="宋体" w:cs="宋体"/>
              <w:spacing w:val="28"/>
              <w:sz w:val="24"/>
              <w:szCs w:val="24"/>
            </w:rPr>
            <w:fldChar w:fldCharType="end"/>
          </w:r>
        </w:p>
        <w:p w14:paraId="5756FF5A">
          <w:pPr>
            <w:pStyle w:val="12"/>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E35377C">
          <w:pPr>
            <w:pStyle w:val="12"/>
            <w:tabs>
              <w:tab w:val="right" w:leader="dot" w:pos="8312"/>
            </w:tabs>
          </w:pPr>
        </w:p>
        <w:p w14:paraId="03D63934">
          <w:pPr>
            <w:snapToGrid w:val="0"/>
            <w:spacing w:beforeLines="0" w:after="120" w:afterLines="50" w:line="360" w:lineRule="auto"/>
            <w:jc w:val="center"/>
            <w:rPr>
              <w:rFonts w:hint="default" w:hAnsi="宋体"/>
              <w:b/>
              <w:spacing w:val="28"/>
              <w:sz w:val="32"/>
              <w:szCs w:val="32"/>
            </w:rPr>
          </w:pPr>
          <w:r>
            <w:rPr>
              <w:rFonts w:hint="default" w:hAnsi="宋体"/>
              <w:spacing w:val="28"/>
              <w:szCs w:val="32"/>
            </w:rPr>
            <w:fldChar w:fldCharType="end"/>
          </w:r>
        </w:p>
      </w:sdtContent>
    </w:sdt>
    <w:p w14:paraId="1FDFA0CF">
      <w:pPr>
        <w:snapToGrid w:val="0"/>
        <w:spacing w:beforeLines="0" w:after="120" w:afterLines="50" w:line="360" w:lineRule="auto"/>
        <w:jc w:val="center"/>
        <w:rPr>
          <w:rFonts w:hint="default" w:hAnsi="宋体"/>
          <w:b/>
          <w:spacing w:val="28"/>
          <w:sz w:val="32"/>
          <w:szCs w:val="32"/>
        </w:rPr>
      </w:pPr>
    </w:p>
    <w:p w14:paraId="32862508">
      <w:pPr>
        <w:snapToGrid w:val="0"/>
        <w:spacing w:beforeLines="0" w:after="120" w:afterLines="50" w:line="360" w:lineRule="auto"/>
        <w:jc w:val="center"/>
        <w:rPr>
          <w:rFonts w:hint="default" w:hAnsi="宋体"/>
          <w:b/>
          <w:spacing w:val="28"/>
          <w:sz w:val="32"/>
          <w:szCs w:val="32"/>
        </w:rPr>
      </w:pPr>
    </w:p>
    <w:p w14:paraId="365E3B7E">
      <w:pPr>
        <w:snapToGrid w:val="0"/>
        <w:spacing w:beforeLines="0" w:after="120" w:afterLines="50" w:line="360" w:lineRule="auto"/>
        <w:jc w:val="center"/>
        <w:rPr>
          <w:rFonts w:hint="default" w:hAnsi="宋体"/>
          <w:b/>
          <w:spacing w:val="28"/>
          <w:sz w:val="32"/>
          <w:szCs w:val="32"/>
        </w:rPr>
      </w:pPr>
    </w:p>
    <w:p w14:paraId="2D384A5F">
      <w:pPr>
        <w:snapToGrid w:val="0"/>
        <w:spacing w:beforeLines="0" w:after="120" w:afterLines="50" w:line="360" w:lineRule="auto"/>
        <w:jc w:val="center"/>
        <w:rPr>
          <w:rFonts w:hint="default" w:hAnsi="宋体"/>
          <w:b/>
          <w:spacing w:val="28"/>
          <w:sz w:val="32"/>
          <w:szCs w:val="32"/>
        </w:rPr>
      </w:pPr>
    </w:p>
    <w:p w14:paraId="6635EC7C">
      <w:pPr>
        <w:snapToGrid w:val="0"/>
        <w:spacing w:beforeLines="0" w:after="120" w:afterLines="50" w:line="360" w:lineRule="auto"/>
        <w:jc w:val="center"/>
        <w:rPr>
          <w:rFonts w:hint="default" w:hAnsi="宋体"/>
          <w:b/>
          <w:spacing w:val="28"/>
          <w:sz w:val="32"/>
          <w:szCs w:val="32"/>
        </w:rPr>
      </w:pPr>
    </w:p>
    <w:p w14:paraId="21B960FA">
      <w:pPr>
        <w:snapToGrid w:val="0"/>
        <w:spacing w:beforeLines="0" w:after="120" w:afterLines="50" w:line="360" w:lineRule="auto"/>
        <w:jc w:val="center"/>
        <w:rPr>
          <w:rFonts w:hint="default" w:hAnsi="宋体"/>
          <w:b/>
          <w:spacing w:val="28"/>
          <w:sz w:val="32"/>
          <w:szCs w:val="32"/>
        </w:rPr>
      </w:pPr>
    </w:p>
    <w:p w14:paraId="7E64C0C4">
      <w:pPr>
        <w:snapToGrid w:val="0"/>
        <w:spacing w:beforeLines="0" w:after="120" w:afterLines="50" w:line="360" w:lineRule="auto"/>
        <w:jc w:val="center"/>
        <w:rPr>
          <w:rFonts w:hint="default" w:hAnsi="宋体"/>
          <w:b/>
          <w:spacing w:val="28"/>
          <w:sz w:val="32"/>
          <w:szCs w:val="32"/>
        </w:rPr>
      </w:pPr>
    </w:p>
    <w:p w14:paraId="736A4A69">
      <w:pPr>
        <w:snapToGrid w:val="0"/>
        <w:spacing w:beforeLines="0" w:after="120" w:afterLines="50" w:line="360" w:lineRule="auto"/>
        <w:jc w:val="center"/>
        <w:rPr>
          <w:rFonts w:hint="default" w:hAnsi="宋体"/>
          <w:b/>
          <w:spacing w:val="28"/>
          <w:sz w:val="32"/>
          <w:szCs w:val="32"/>
        </w:rPr>
      </w:pPr>
    </w:p>
    <w:p w14:paraId="17F14F91">
      <w:pPr>
        <w:snapToGrid w:val="0"/>
        <w:spacing w:beforeLines="0" w:after="120" w:afterLines="50" w:line="360" w:lineRule="auto"/>
        <w:jc w:val="center"/>
        <w:rPr>
          <w:rFonts w:hint="default" w:hAnsi="宋体"/>
          <w:b/>
          <w:spacing w:val="28"/>
          <w:sz w:val="32"/>
          <w:szCs w:val="32"/>
        </w:rPr>
      </w:pPr>
    </w:p>
    <w:p w14:paraId="043B5DD8">
      <w:pPr>
        <w:snapToGrid w:val="0"/>
        <w:spacing w:beforeLines="0" w:after="120" w:afterLines="50" w:line="360" w:lineRule="auto"/>
        <w:jc w:val="center"/>
        <w:rPr>
          <w:rFonts w:hint="default" w:hAnsi="宋体"/>
          <w:b/>
          <w:spacing w:val="28"/>
          <w:sz w:val="32"/>
          <w:szCs w:val="32"/>
        </w:rPr>
      </w:pPr>
    </w:p>
    <w:p w14:paraId="7D1D3EF6">
      <w:pPr>
        <w:snapToGrid w:val="0"/>
        <w:spacing w:beforeLines="0" w:after="120" w:afterLines="50" w:line="360" w:lineRule="auto"/>
        <w:jc w:val="center"/>
        <w:rPr>
          <w:rFonts w:hint="default" w:hAnsi="宋体"/>
          <w:b/>
          <w:spacing w:val="28"/>
          <w:sz w:val="32"/>
          <w:szCs w:val="32"/>
        </w:rPr>
      </w:pPr>
    </w:p>
    <w:p w14:paraId="61326A54">
      <w:pPr>
        <w:snapToGrid w:val="0"/>
        <w:spacing w:beforeLines="0" w:afterLines="0" w:line="360" w:lineRule="auto"/>
        <w:rPr>
          <w:rFonts w:hint="default" w:hAnsi="宋体"/>
          <w:sz w:val="24"/>
          <w:szCs w:val="24"/>
        </w:rPr>
        <w:sectPr>
          <w:pgSz w:w="11906" w:h="16838"/>
          <w:pgMar w:top="1440" w:right="1797" w:bottom="1440" w:left="1797" w:header="851" w:footer="992" w:gutter="0"/>
          <w:lnNumType w:countBy="0" w:distance="360"/>
          <w:pgNumType w:fmt="decimal"/>
          <w:cols w:space="720" w:num="1"/>
          <w:docGrid w:type="lines" w:linePitch="312" w:charSpace="0"/>
        </w:sectPr>
      </w:pPr>
    </w:p>
    <w:p w14:paraId="15E93ECA">
      <w:pPr>
        <w:pStyle w:val="4"/>
        <w:numPr>
          <w:ilvl w:val="0"/>
          <w:numId w:val="1"/>
        </w:numPr>
        <w:snapToGrid w:val="0"/>
        <w:spacing w:before="0" w:beforeLines="0" w:after="0" w:afterLines="0"/>
        <w:jc w:val="center"/>
        <w:rPr>
          <w:rFonts w:hint="default"/>
        </w:rPr>
      </w:pPr>
      <w:bookmarkStart w:id="5" w:name="_Toc14758"/>
      <w:bookmarkStart w:id="6" w:name="_Toc4918"/>
      <w:bookmarkStart w:id="7" w:name="_Toc23431"/>
      <w:r>
        <w:rPr>
          <w:rFonts w:hint="default" w:hAnsi="宋体"/>
          <w:sz w:val="32"/>
          <w:szCs w:val="32"/>
        </w:rPr>
        <w:t>询价邀请函</w:t>
      </w:r>
      <w:bookmarkEnd w:id="5"/>
      <w:bookmarkEnd w:id="6"/>
      <w:bookmarkEnd w:id="7"/>
    </w:p>
    <w:p w14:paraId="6305DBB7">
      <w:pPr>
        <w:snapToGrid w:val="0"/>
        <w:spacing w:beforeLines="0" w:afterLines="0" w:line="360" w:lineRule="auto"/>
        <w:rPr>
          <w:rFonts w:hint="default" w:hAnsi="宋体"/>
          <w:sz w:val="24"/>
          <w:szCs w:val="24"/>
        </w:rPr>
      </w:pPr>
      <w:r>
        <w:rPr>
          <w:rFonts w:hint="default" w:hAnsi="宋体"/>
          <w:sz w:val="24"/>
          <w:szCs w:val="24"/>
        </w:rPr>
        <w:t>各供应商:</w:t>
      </w:r>
    </w:p>
    <w:p w14:paraId="565AED50">
      <w:pPr>
        <w:snapToGrid w:val="0"/>
        <w:spacing w:beforeLines="0" w:afterLines="0" w:line="360" w:lineRule="auto"/>
        <w:ind w:firstLine="480" w:firstLineChars="200"/>
        <w:rPr>
          <w:rFonts w:hint="default" w:hAnsi="宋体"/>
          <w:sz w:val="24"/>
          <w:szCs w:val="24"/>
        </w:rPr>
      </w:pPr>
      <w:r>
        <w:rPr>
          <w:rFonts w:hint="default" w:hAnsi="宋体"/>
          <w:sz w:val="24"/>
          <w:szCs w:val="24"/>
        </w:rPr>
        <w:t>我公司的</w:t>
      </w:r>
      <w:r>
        <w:rPr>
          <w:rFonts w:hint="default" w:hAnsi="宋体"/>
          <w:color w:val="000000"/>
          <w:sz w:val="24"/>
          <w:szCs w:val="24"/>
        </w:rPr>
        <w:t>“管网运营平台管网清疏检测功能升级建设项目”</w:t>
      </w:r>
      <w:r>
        <w:rPr>
          <w:rFonts w:hint="default" w:hAnsi="宋体"/>
          <w:sz w:val="24"/>
          <w:szCs w:val="24"/>
        </w:rPr>
        <w:t>正式开展，现邀请贵司参与本项目的询价采购。具体采购信息如下：</w:t>
      </w:r>
    </w:p>
    <w:p w14:paraId="5B4A7EE5">
      <w:pPr>
        <w:snapToGrid w:val="0"/>
        <w:spacing w:beforeLines="0" w:afterLines="0" w:line="360" w:lineRule="auto"/>
        <w:ind w:firstLine="424" w:firstLineChars="177"/>
        <w:outlineLvl w:val="1"/>
        <w:rPr>
          <w:rFonts w:hint="default" w:hAnsi="宋体"/>
          <w:color w:val="000000"/>
          <w:sz w:val="24"/>
          <w:szCs w:val="24"/>
        </w:rPr>
      </w:pPr>
      <w:bookmarkStart w:id="8" w:name="_Toc5974"/>
      <w:r>
        <w:rPr>
          <w:rFonts w:hint="default" w:hAnsi="宋体"/>
          <w:sz w:val="24"/>
          <w:szCs w:val="24"/>
        </w:rPr>
        <w:t>一、采购项目编号：</w:t>
      </w:r>
      <w:bookmarkEnd w:id="8"/>
      <w:r>
        <w:rPr>
          <w:rFonts w:hint="default" w:hAnsi="宋体"/>
          <w:color w:val="000000"/>
          <w:sz w:val="24"/>
          <w:szCs w:val="24"/>
        </w:rPr>
        <w:t>2024-138</w:t>
      </w:r>
    </w:p>
    <w:p w14:paraId="2ECEA6B5">
      <w:pPr>
        <w:snapToGrid w:val="0"/>
        <w:spacing w:beforeLines="0" w:afterLines="0" w:line="360" w:lineRule="auto"/>
        <w:ind w:left="426" w:leftChars="177" w:hanging="1"/>
        <w:rPr>
          <w:rFonts w:hint="default" w:hAnsi="宋体"/>
          <w:color w:val="000000"/>
          <w:sz w:val="24"/>
          <w:szCs w:val="24"/>
        </w:rPr>
      </w:pPr>
      <w:r>
        <w:rPr>
          <w:rFonts w:hint="default" w:hAnsi="宋体"/>
          <w:sz w:val="24"/>
          <w:szCs w:val="24"/>
        </w:rPr>
        <w:t>二、采购项目名称：</w:t>
      </w:r>
      <w:r>
        <w:rPr>
          <w:rFonts w:hint="default" w:hAnsi="宋体"/>
          <w:color w:val="000000"/>
          <w:sz w:val="24"/>
          <w:szCs w:val="24"/>
        </w:rPr>
        <w:t>管网运营平台管网清疏检测功能升级建设项目</w:t>
      </w:r>
    </w:p>
    <w:p w14:paraId="7CA6D2F6">
      <w:pPr>
        <w:snapToGrid w:val="0"/>
        <w:spacing w:beforeLines="0" w:afterLines="0" w:line="360" w:lineRule="auto"/>
        <w:ind w:left="426" w:leftChars="177" w:hanging="1"/>
        <w:rPr>
          <w:rFonts w:hint="default"/>
          <w:lang w:val="en-US" w:eastAsia="zh-CN"/>
        </w:rPr>
      </w:pPr>
      <w:r>
        <w:rPr>
          <w:rFonts w:hint="default" w:hAnsi="宋体"/>
          <w:color w:val="000000"/>
          <w:sz w:val="24"/>
          <w:szCs w:val="24"/>
        </w:rPr>
        <w:t>三、采购</w:t>
      </w:r>
      <w:r>
        <w:rPr>
          <w:rFonts w:hint="eastAsia" w:hAnsi="宋体"/>
          <w:color w:val="000000"/>
          <w:sz w:val="24"/>
          <w:szCs w:val="24"/>
          <w:lang w:val="en-US" w:eastAsia="zh-CN"/>
        </w:rPr>
        <w:t>限价</w:t>
      </w:r>
      <w:r>
        <w:rPr>
          <w:rFonts w:hint="default" w:hAnsi="宋体"/>
          <w:color w:val="000000"/>
          <w:sz w:val="24"/>
          <w:szCs w:val="24"/>
        </w:rPr>
        <w:t>：438566.67元（不含税）</w:t>
      </w:r>
      <w:r>
        <w:rPr>
          <w:rFonts w:hint="eastAsia"/>
          <w:lang w:val="en-US" w:eastAsia="zh-CN"/>
        </w:rPr>
        <w:t xml:space="preserve">      </w:t>
      </w:r>
    </w:p>
    <w:p w14:paraId="2475D3D9">
      <w:pPr>
        <w:snapToGrid w:val="0"/>
        <w:spacing w:beforeLines="0" w:afterLines="0" w:line="360" w:lineRule="auto"/>
        <w:ind w:firstLine="424" w:firstLineChars="177"/>
        <w:rPr>
          <w:rFonts w:hint="default" w:hAnsi="宋体"/>
          <w:sz w:val="24"/>
          <w:szCs w:val="24"/>
        </w:rPr>
      </w:pPr>
      <w:r>
        <w:rPr>
          <w:rFonts w:hint="default" w:hAnsi="宋体"/>
          <w:sz w:val="24"/>
          <w:szCs w:val="24"/>
        </w:rPr>
        <w:t>四、采购内容：具体详见用户需求书。</w:t>
      </w:r>
    </w:p>
    <w:p w14:paraId="7B0D0EE1">
      <w:pPr>
        <w:pStyle w:val="2"/>
        <w:ind w:firstLine="480" w:firstLineChars="200"/>
        <w:rPr>
          <w:rFonts w:hint="eastAsia" w:hAnsi="宋体"/>
          <w:sz w:val="24"/>
          <w:szCs w:val="24"/>
          <w:lang w:val="en-US" w:eastAsia="zh-CN"/>
        </w:rPr>
      </w:pPr>
      <w:r>
        <w:rPr>
          <w:rFonts w:hint="eastAsia" w:hAnsi="宋体"/>
          <w:sz w:val="24"/>
          <w:szCs w:val="24"/>
          <w:lang w:val="en-US" w:eastAsia="zh-CN"/>
        </w:rPr>
        <w:t>五、资质要求：</w:t>
      </w:r>
    </w:p>
    <w:p w14:paraId="433D0A66">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hAnsi="宋体"/>
          <w:sz w:val="24"/>
          <w:szCs w:val="24"/>
          <w:lang w:val="en-US" w:eastAsia="zh-CN"/>
        </w:rPr>
      </w:pPr>
      <w:r>
        <w:rPr>
          <w:rFonts w:hint="eastAsia" w:hAnsi="宋体"/>
          <w:sz w:val="24"/>
          <w:szCs w:val="24"/>
          <w:lang w:val="en-US" w:eastAsia="zh-CN"/>
        </w:rPr>
        <w:t>（一）提供一份报价人2021年1月1日以来信息化升级建设项目业绩（合同签订日期为2021年1月1日或以后）；</w:t>
      </w:r>
    </w:p>
    <w:p w14:paraId="7654325F">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eastAsia="宋体"/>
          <w:lang w:val="en-US" w:eastAsia="zh-CN"/>
        </w:rPr>
      </w:pPr>
      <w:r>
        <w:rPr>
          <w:rFonts w:hint="eastAsia" w:hAnsi="宋体"/>
          <w:sz w:val="24"/>
          <w:szCs w:val="24"/>
          <w:lang w:val="en-US" w:eastAsia="zh-CN"/>
        </w:rPr>
        <w:t>（二）报价人未被列入“信用中国”网站（www.creditchina.gov.cn）失信被执行人、重大税收违法失信主体、政府采购严重违法失信行为记录名单（处罚期限届满的除外）。</w:t>
      </w:r>
    </w:p>
    <w:p w14:paraId="035E0781">
      <w:pPr>
        <w:snapToGrid w:val="0"/>
        <w:spacing w:beforeLines="0" w:afterLines="0" w:line="360" w:lineRule="auto"/>
        <w:ind w:firstLine="424" w:firstLineChars="177"/>
        <w:rPr>
          <w:rFonts w:hint="default" w:hAnsi="宋体"/>
          <w:color w:val="000000"/>
          <w:sz w:val="24"/>
          <w:szCs w:val="24"/>
        </w:rPr>
      </w:pPr>
      <w:r>
        <w:rPr>
          <w:rFonts w:hint="eastAsia" w:hAnsi="宋体"/>
          <w:color w:val="000000"/>
          <w:sz w:val="24"/>
          <w:szCs w:val="24"/>
          <w:lang w:val="en-US" w:eastAsia="zh-CN"/>
        </w:rPr>
        <w:t>六</w:t>
      </w:r>
      <w:r>
        <w:rPr>
          <w:rFonts w:hint="default" w:hAnsi="宋体"/>
          <w:color w:val="000000"/>
          <w:sz w:val="24"/>
          <w:szCs w:val="24"/>
        </w:rPr>
        <w:t>、成交原则：本项目报价为不含税报价，报价人所报价格不得超过采购限价。从实质性满足采购需求的供应商中，按不含税报价最低成交原则确定成交供应商。</w:t>
      </w:r>
    </w:p>
    <w:p w14:paraId="06EDCC48">
      <w:pPr>
        <w:snapToGrid w:val="0"/>
        <w:spacing w:beforeLines="0" w:afterLines="0" w:line="360" w:lineRule="auto"/>
        <w:ind w:firstLine="424" w:firstLineChars="177"/>
        <w:outlineLvl w:val="1"/>
        <w:rPr>
          <w:rFonts w:hint="default" w:hAnsi="宋体"/>
          <w:color w:val="000000" w:themeColor="text1"/>
          <w:sz w:val="24"/>
          <w:szCs w:val="24"/>
          <w14:textFill>
            <w14:solidFill>
              <w14:schemeClr w14:val="tx1"/>
            </w14:solidFill>
          </w14:textFill>
        </w:rPr>
      </w:pPr>
      <w:bookmarkStart w:id="9" w:name="_Toc29338"/>
      <w:r>
        <w:rPr>
          <w:rFonts w:hint="eastAsia" w:hAnsi="宋体"/>
          <w:sz w:val="24"/>
          <w:szCs w:val="24"/>
          <w:lang w:val="en-US" w:eastAsia="zh-CN"/>
        </w:rPr>
        <w:t>七</w:t>
      </w:r>
      <w:r>
        <w:rPr>
          <w:rFonts w:hint="default" w:hAnsi="宋体"/>
          <w:sz w:val="24"/>
          <w:szCs w:val="24"/>
        </w:rPr>
        <w:t>、报价文件递交截止时间</w:t>
      </w:r>
      <w:r>
        <w:rPr>
          <w:rFonts w:hint="default" w:hAnsi="宋体"/>
          <w:color w:val="000000" w:themeColor="text1"/>
          <w:sz w:val="24"/>
          <w:szCs w:val="24"/>
          <w14:textFill>
            <w14:solidFill>
              <w14:schemeClr w14:val="tx1"/>
            </w14:solidFill>
          </w14:textFill>
        </w:rPr>
        <w:t>：2024年</w:t>
      </w:r>
      <w:r>
        <w:rPr>
          <w:rFonts w:hint="eastAsia" w:hAnsi="宋体"/>
          <w:color w:val="000000" w:themeColor="text1"/>
          <w:sz w:val="24"/>
          <w:szCs w:val="24"/>
          <w:lang w:val="en-US" w:eastAsia="zh-CN"/>
          <w14:textFill>
            <w14:solidFill>
              <w14:schemeClr w14:val="tx1"/>
            </w14:solidFill>
          </w14:textFill>
        </w:rPr>
        <w:t>12</w:t>
      </w:r>
      <w:r>
        <w:rPr>
          <w:rFonts w:hint="default" w:hAnsi="宋体"/>
          <w:color w:val="000000" w:themeColor="text1"/>
          <w:sz w:val="24"/>
          <w:szCs w:val="24"/>
          <w14:textFill>
            <w14:solidFill>
              <w14:schemeClr w14:val="tx1"/>
            </w14:solidFill>
          </w14:textFill>
        </w:rPr>
        <w:t>月</w:t>
      </w:r>
      <w:r>
        <w:rPr>
          <w:rFonts w:hint="eastAsia" w:hAnsi="宋体"/>
          <w:color w:val="000000" w:themeColor="text1"/>
          <w:sz w:val="24"/>
          <w:szCs w:val="24"/>
          <w:lang w:val="en-US" w:eastAsia="zh-CN"/>
          <w14:textFill>
            <w14:solidFill>
              <w14:schemeClr w14:val="tx1"/>
            </w14:solidFill>
          </w14:textFill>
        </w:rPr>
        <w:t>16</w:t>
      </w:r>
      <w:r>
        <w:rPr>
          <w:rFonts w:hint="default" w:hAnsi="宋体"/>
          <w:color w:val="000000" w:themeColor="text1"/>
          <w:sz w:val="24"/>
          <w:szCs w:val="24"/>
          <w14:textFill>
            <w14:solidFill>
              <w14:schemeClr w14:val="tx1"/>
            </w14:solidFill>
          </w14:textFill>
        </w:rPr>
        <w:t>日1</w:t>
      </w:r>
      <w:r>
        <w:rPr>
          <w:rFonts w:hint="eastAsia" w:hAnsi="宋体"/>
          <w:color w:val="000000" w:themeColor="text1"/>
          <w:sz w:val="24"/>
          <w:szCs w:val="24"/>
          <w:lang w:val="en-US" w:eastAsia="zh-CN"/>
          <w14:textFill>
            <w14:solidFill>
              <w14:schemeClr w14:val="tx1"/>
            </w14:solidFill>
          </w14:textFill>
        </w:rPr>
        <w:t>0</w:t>
      </w:r>
      <w:r>
        <w:rPr>
          <w:rFonts w:hint="default" w:hAnsi="宋体"/>
          <w:color w:val="000000" w:themeColor="text1"/>
          <w:sz w:val="24"/>
          <w:szCs w:val="24"/>
          <w14:textFill>
            <w14:solidFill>
              <w14:schemeClr w14:val="tx1"/>
            </w14:solidFill>
          </w14:textFill>
        </w:rPr>
        <w:t>时</w:t>
      </w:r>
      <w:r>
        <w:rPr>
          <w:rFonts w:hint="eastAsia" w:hAnsi="宋体"/>
          <w:color w:val="000000" w:themeColor="text1"/>
          <w:sz w:val="24"/>
          <w:szCs w:val="24"/>
          <w:lang w:val="en-US" w:eastAsia="zh-CN"/>
          <w14:textFill>
            <w14:solidFill>
              <w14:schemeClr w14:val="tx1"/>
            </w14:solidFill>
          </w14:textFill>
        </w:rPr>
        <w:t>3</w:t>
      </w:r>
      <w:r>
        <w:rPr>
          <w:rFonts w:hint="default" w:hAnsi="宋体"/>
          <w:color w:val="000000" w:themeColor="text1"/>
          <w:sz w:val="24"/>
          <w:szCs w:val="24"/>
          <w14:textFill>
            <w14:solidFill>
              <w14:schemeClr w14:val="tx1"/>
            </w14:solidFill>
          </w14:textFill>
        </w:rPr>
        <w:t>0分。</w:t>
      </w:r>
    </w:p>
    <w:p w14:paraId="1681A424">
      <w:pPr>
        <w:snapToGrid w:val="0"/>
        <w:spacing w:beforeLines="0" w:afterLines="0" w:line="360" w:lineRule="auto"/>
        <w:ind w:firstLine="424" w:firstLineChars="177"/>
        <w:outlineLvl w:val="1"/>
        <w:rPr>
          <w:rFonts w:hint="default"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八</w:t>
      </w:r>
      <w:r>
        <w:rPr>
          <w:rFonts w:hint="default" w:hAnsi="宋体"/>
          <w:color w:val="000000" w:themeColor="text1"/>
          <w:sz w:val="24"/>
          <w:szCs w:val="24"/>
          <w14:textFill>
            <w14:solidFill>
              <w14:schemeClr w14:val="tx1"/>
            </w14:solidFill>
          </w14:textFill>
        </w:rPr>
        <w:t>、报价文件开封时间：2024年</w:t>
      </w:r>
      <w:r>
        <w:rPr>
          <w:rFonts w:hint="eastAsia" w:hAnsi="宋体"/>
          <w:color w:val="000000" w:themeColor="text1"/>
          <w:sz w:val="24"/>
          <w:szCs w:val="24"/>
          <w:lang w:val="en-US" w:eastAsia="zh-CN"/>
          <w14:textFill>
            <w14:solidFill>
              <w14:schemeClr w14:val="tx1"/>
            </w14:solidFill>
          </w14:textFill>
        </w:rPr>
        <w:t>12</w:t>
      </w:r>
      <w:r>
        <w:rPr>
          <w:rFonts w:hint="default" w:hAnsi="宋体"/>
          <w:color w:val="000000" w:themeColor="text1"/>
          <w:sz w:val="24"/>
          <w:szCs w:val="24"/>
          <w14:textFill>
            <w14:solidFill>
              <w14:schemeClr w14:val="tx1"/>
            </w14:solidFill>
          </w14:textFill>
        </w:rPr>
        <w:t>月</w:t>
      </w:r>
      <w:r>
        <w:rPr>
          <w:rFonts w:hint="eastAsia" w:hAnsi="宋体"/>
          <w:color w:val="000000" w:themeColor="text1"/>
          <w:sz w:val="24"/>
          <w:szCs w:val="24"/>
          <w:lang w:val="en-US" w:eastAsia="zh-CN"/>
          <w14:textFill>
            <w14:solidFill>
              <w14:schemeClr w14:val="tx1"/>
            </w14:solidFill>
          </w14:textFill>
        </w:rPr>
        <w:t>16</w:t>
      </w:r>
      <w:r>
        <w:rPr>
          <w:rFonts w:hint="default" w:hAnsi="宋体"/>
          <w:color w:val="000000" w:themeColor="text1"/>
          <w:sz w:val="24"/>
          <w:szCs w:val="24"/>
          <w14:textFill>
            <w14:solidFill>
              <w14:schemeClr w14:val="tx1"/>
            </w14:solidFill>
          </w14:textFill>
        </w:rPr>
        <w:t>日1</w:t>
      </w:r>
      <w:r>
        <w:rPr>
          <w:rFonts w:hint="eastAsia" w:hAnsi="宋体"/>
          <w:color w:val="000000" w:themeColor="text1"/>
          <w:sz w:val="24"/>
          <w:szCs w:val="24"/>
          <w:lang w:val="en-US" w:eastAsia="zh-CN"/>
          <w14:textFill>
            <w14:solidFill>
              <w14:schemeClr w14:val="tx1"/>
            </w14:solidFill>
          </w14:textFill>
        </w:rPr>
        <w:t>0</w:t>
      </w:r>
      <w:r>
        <w:rPr>
          <w:rFonts w:hint="default" w:hAnsi="宋体"/>
          <w:color w:val="000000" w:themeColor="text1"/>
          <w:sz w:val="24"/>
          <w:szCs w:val="24"/>
          <w14:textFill>
            <w14:solidFill>
              <w14:schemeClr w14:val="tx1"/>
            </w14:solidFill>
          </w14:textFill>
        </w:rPr>
        <w:t>时</w:t>
      </w:r>
      <w:r>
        <w:rPr>
          <w:rFonts w:hint="eastAsia" w:hAnsi="宋体"/>
          <w:color w:val="000000" w:themeColor="text1"/>
          <w:sz w:val="24"/>
          <w:szCs w:val="24"/>
          <w:lang w:val="en-US" w:eastAsia="zh-CN"/>
          <w14:textFill>
            <w14:solidFill>
              <w14:schemeClr w14:val="tx1"/>
            </w14:solidFill>
          </w14:textFill>
        </w:rPr>
        <w:t>3</w:t>
      </w:r>
      <w:r>
        <w:rPr>
          <w:rFonts w:hint="default" w:hAnsi="宋体"/>
          <w:color w:val="000000" w:themeColor="text1"/>
          <w:sz w:val="24"/>
          <w:szCs w:val="24"/>
          <w14:textFill>
            <w14:solidFill>
              <w14:schemeClr w14:val="tx1"/>
            </w14:solidFill>
          </w14:textFill>
        </w:rPr>
        <w:t>0分。</w:t>
      </w:r>
      <w:bookmarkEnd w:id="9"/>
    </w:p>
    <w:p w14:paraId="7EE004FF">
      <w:pPr>
        <w:snapToGrid w:val="0"/>
        <w:spacing w:beforeLines="0" w:afterLines="0" w:line="360" w:lineRule="auto"/>
        <w:ind w:firstLine="424" w:firstLineChars="177"/>
        <w:rPr>
          <w:rFonts w:hint="default" w:hAnsi="宋体"/>
          <w:sz w:val="24"/>
          <w:szCs w:val="24"/>
        </w:rPr>
      </w:pPr>
      <w:r>
        <w:rPr>
          <w:rFonts w:hint="eastAsia" w:hAnsi="宋体"/>
          <w:sz w:val="24"/>
          <w:szCs w:val="24"/>
          <w:lang w:val="en-US" w:eastAsia="zh-CN"/>
        </w:rPr>
        <w:t>九</w:t>
      </w:r>
      <w:r>
        <w:rPr>
          <w:rFonts w:hint="default" w:hAnsi="宋体"/>
          <w:sz w:val="24"/>
          <w:szCs w:val="24"/>
        </w:rPr>
        <w:t>、报价文件递交地点：广东省</w:t>
      </w:r>
      <w:r>
        <w:rPr>
          <w:rFonts w:hint="default" w:hAnsi="宋体"/>
          <w:color w:val="000000"/>
          <w:sz w:val="24"/>
          <w:szCs w:val="24"/>
        </w:rPr>
        <w:t>东莞市东城街道运河路5号东莞市水务集团管网有限公司合同管理部二室(313室)</w:t>
      </w:r>
      <w:r>
        <w:rPr>
          <w:rFonts w:hint="default" w:hAnsi="宋体"/>
          <w:sz w:val="24"/>
          <w:szCs w:val="24"/>
        </w:rPr>
        <w:t xml:space="preserve">。 </w:t>
      </w:r>
    </w:p>
    <w:p w14:paraId="3AB98191">
      <w:pPr>
        <w:snapToGrid w:val="0"/>
        <w:spacing w:beforeLines="0" w:afterLines="0" w:line="360" w:lineRule="auto"/>
        <w:ind w:firstLine="424" w:firstLineChars="177"/>
        <w:outlineLvl w:val="1"/>
        <w:rPr>
          <w:rFonts w:hint="default" w:hAnsi="宋体"/>
          <w:sz w:val="24"/>
          <w:szCs w:val="24"/>
        </w:rPr>
      </w:pPr>
      <w:bookmarkStart w:id="10" w:name="_Toc6662"/>
      <w:r>
        <w:rPr>
          <w:rFonts w:hint="eastAsia" w:hAnsi="宋体"/>
          <w:sz w:val="24"/>
          <w:szCs w:val="24"/>
          <w:lang w:val="en-US" w:eastAsia="zh-CN"/>
        </w:rPr>
        <w:t>十</w:t>
      </w:r>
      <w:r>
        <w:rPr>
          <w:rFonts w:hint="default" w:hAnsi="宋体"/>
          <w:sz w:val="24"/>
          <w:szCs w:val="24"/>
        </w:rPr>
        <w:t>、采购人联系方式：</w:t>
      </w:r>
      <w:bookmarkEnd w:id="10"/>
    </w:p>
    <w:p w14:paraId="3AC36CCB">
      <w:pPr>
        <w:snapToGrid w:val="0"/>
        <w:spacing w:beforeLines="0" w:afterLines="0" w:line="360" w:lineRule="auto"/>
        <w:ind w:left="566" w:leftChars="236" w:firstLine="285"/>
        <w:rPr>
          <w:rFonts w:hint="default" w:hAnsi="宋体"/>
          <w:color w:val="000000"/>
          <w:sz w:val="24"/>
          <w:szCs w:val="24"/>
        </w:rPr>
      </w:pPr>
      <w:bookmarkStart w:id="11" w:name="_Hlk27129143"/>
      <w:r>
        <w:rPr>
          <w:rFonts w:hint="default" w:hAnsi="宋体"/>
          <w:color w:val="000000"/>
          <w:sz w:val="24"/>
          <w:szCs w:val="24"/>
        </w:rPr>
        <w:t>采购联系人：刘工</w:t>
      </w:r>
    </w:p>
    <w:p w14:paraId="57BFE5E3">
      <w:pPr>
        <w:snapToGrid w:val="0"/>
        <w:spacing w:beforeLines="0" w:afterLines="0" w:line="360" w:lineRule="auto"/>
        <w:ind w:left="566" w:leftChars="236" w:firstLine="285"/>
        <w:rPr>
          <w:rFonts w:hint="default" w:hAnsi="宋体" w:eastAsia="宋体"/>
          <w:color w:val="000000"/>
          <w:sz w:val="24"/>
          <w:szCs w:val="24"/>
          <w:lang w:val="en-US" w:eastAsia="zh-CN"/>
        </w:rPr>
      </w:pPr>
      <w:r>
        <w:rPr>
          <w:rFonts w:hint="default" w:hAnsi="宋体"/>
          <w:color w:val="000000"/>
          <w:sz w:val="24"/>
          <w:szCs w:val="24"/>
        </w:rPr>
        <w:t xml:space="preserve">联系电话：0769-22001352 </w:t>
      </w:r>
    </w:p>
    <w:p w14:paraId="6FB1EA47">
      <w:pPr>
        <w:snapToGrid w:val="0"/>
        <w:spacing w:beforeLines="0" w:afterLines="0" w:line="360" w:lineRule="auto"/>
        <w:ind w:left="566" w:leftChars="236" w:firstLine="285"/>
        <w:rPr>
          <w:rFonts w:hint="default" w:hAnsi="宋体"/>
          <w:color w:val="000000"/>
          <w:sz w:val="24"/>
          <w:szCs w:val="24"/>
        </w:rPr>
      </w:pPr>
      <w:r>
        <w:rPr>
          <w:rFonts w:hint="default" w:hAnsi="宋体"/>
          <w:color w:val="000000"/>
          <w:sz w:val="24"/>
          <w:szCs w:val="24"/>
        </w:rPr>
        <w:t>联系地址：</w:t>
      </w:r>
      <w:bookmarkEnd w:id="11"/>
      <w:r>
        <w:rPr>
          <w:rFonts w:hint="default" w:hAnsi="宋体"/>
          <w:sz w:val="24"/>
          <w:szCs w:val="24"/>
        </w:rPr>
        <w:t>广东省</w:t>
      </w:r>
      <w:r>
        <w:rPr>
          <w:rFonts w:hint="default" w:hAnsi="宋体"/>
          <w:color w:val="000000"/>
          <w:sz w:val="24"/>
          <w:szCs w:val="24"/>
        </w:rPr>
        <w:t>东莞市东城街道运河路5号东莞市水务集团管网有限公司合同管理部二室(313室)</w:t>
      </w:r>
    </w:p>
    <w:p w14:paraId="744609AC">
      <w:pPr>
        <w:snapToGrid w:val="0"/>
        <w:spacing w:beforeLines="0" w:afterLines="0" w:line="360" w:lineRule="auto"/>
        <w:ind w:left="566" w:leftChars="236" w:firstLine="285"/>
        <w:rPr>
          <w:rFonts w:hint="default" w:hAnsi="宋体"/>
          <w:color w:val="000000"/>
          <w:sz w:val="24"/>
          <w:szCs w:val="24"/>
        </w:rPr>
      </w:pPr>
    </w:p>
    <w:p w14:paraId="3967E626">
      <w:pPr>
        <w:snapToGrid w:val="0"/>
        <w:spacing w:beforeLines="0" w:afterLines="0" w:line="360" w:lineRule="auto"/>
        <w:ind w:firstLine="4819" w:firstLineChars="2008"/>
        <w:rPr>
          <w:rFonts w:hint="default" w:hAnsi="宋体"/>
          <w:sz w:val="24"/>
          <w:szCs w:val="24"/>
        </w:rPr>
      </w:pPr>
      <w:bookmarkStart w:id="12" w:name="_Hlk33286752"/>
    </w:p>
    <w:p w14:paraId="0CC2F330">
      <w:pPr>
        <w:snapToGrid w:val="0"/>
        <w:spacing w:beforeLines="0" w:afterLines="0" w:line="360" w:lineRule="auto"/>
        <w:ind w:firstLine="4819" w:firstLineChars="2008"/>
        <w:rPr>
          <w:rFonts w:hint="default" w:hAnsi="宋体"/>
          <w:sz w:val="24"/>
          <w:szCs w:val="24"/>
        </w:rPr>
      </w:pPr>
    </w:p>
    <w:p w14:paraId="5D24C699">
      <w:pPr>
        <w:snapToGrid w:val="0"/>
        <w:spacing w:beforeLines="0" w:afterLines="0" w:line="360" w:lineRule="auto"/>
        <w:ind w:firstLine="4819" w:firstLineChars="2008"/>
        <w:rPr>
          <w:rFonts w:hint="default" w:hAnsi="宋体"/>
          <w:sz w:val="24"/>
          <w:szCs w:val="24"/>
        </w:rPr>
      </w:pPr>
    </w:p>
    <w:p w14:paraId="1472636B">
      <w:pPr>
        <w:snapToGrid w:val="0"/>
        <w:spacing w:beforeLines="0" w:afterLines="0" w:line="360" w:lineRule="auto"/>
        <w:ind w:firstLine="4819" w:firstLineChars="2008"/>
        <w:rPr>
          <w:rFonts w:hint="default" w:hAnsi="宋体"/>
          <w:sz w:val="24"/>
          <w:szCs w:val="24"/>
        </w:rPr>
      </w:pPr>
    </w:p>
    <w:p w14:paraId="0EDD6A70">
      <w:pPr>
        <w:snapToGrid w:val="0"/>
        <w:spacing w:beforeLines="0" w:afterLines="0" w:line="360" w:lineRule="auto"/>
        <w:ind w:firstLine="4819" w:firstLineChars="2008"/>
        <w:outlineLvl w:val="0"/>
        <w:rPr>
          <w:rFonts w:hint="default" w:hAnsi="宋体"/>
          <w:sz w:val="24"/>
          <w:szCs w:val="24"/>
        </w:rPr>
      </w:pPr>
      <w:bookmarkStart w:id="13" w:name="_Toc16391"/>
      <w:bookmarkStart w:id="14" w:name="_Toc28612"/>
      <w:bookmarkStart w:id="15" w:name="_Toc20425"/>
      <w:bookmarkStart w:id="16" w:name="_Toc30716"/>
      <w:r>
        <w:rPr>
          <w:rFonts w:hint="default" w:hAnsi="宋体"/>
          <w:sz w:val="24"/>
          <w:szCs w:val="24"/>
        </w:rPr>
        <w:t>东莞市水务集团管网有限公司</w:t>
      </w:r>
      <w:bookmarkEnd w:id="13"/>
      <w:bookmarkEnd w:id="14"/>
      <w:bookmarkEnd w:id="15"/>
      <w:bookmarkEnd w:id="16"/>
    </w:p>
    <w:bookmarkEnd w:id="12"/>
    <w:p w14:paraId="19EB0AD0">
      <w:pPr>
        <w:snapToGrid w:val="0"/>
        <w:spacing w:beforeLines="0" w:afterLines="0" w:line="360" w:lineRule="auto"/>
        <w:ind w:firstLine="5822" w:firstLineChars="2426"/>
        <w:rPr>
          <w:rFonts w:hint="default" w:hAnsi="宋体"/>
          <w:color w:val="000000" w:themeColor="text1"/>
          <w:sz w:val="24"/>
          <w:szCs w:val="24"/>
          <w14:textFill>
            <w14:solidFill>
              <w14:schemeClr w14:val="tx1"/>
            </w14:solidFill>
          </w14:textFill>
        </w:rPr>
      </w:pPr>
      <w:bookmarkStart w:id="17" w:name="_Hlk27129149"/>
      <w:r>
        <w:rPr>
          <w:rFonts w:hint="default" w:hAnsi="宋体"/>
          <w:color w:val="000000" w:themeColor="text1"/>
          <w:sz w:val="24"/>
          <w:szCs w:val="24"/>
          <w14:textFill>
            <w14:solidFill>
              <w14:schemeClr w14:val="tx1"/>
            </w14:solidFill>
          </w14:textFill>
        </w:rPr>
        <w:t>2024年</w:t>
      </w:r>
      <w:r>
        <w:rPr>
          <w:rFonts w:hint="eastAsia" w:hAnsi="宋体"/>
          <w:color w:val="000000" w:themeColor="text1"/>
          <w:sz w:val="24"/>
          <w:szCs w:val="24"/>
          <w:lang w:val="en-US" w:eastAsia="zh-CN"/>
          <w14:textFill>
            <w14:solidFill>
              <w14:schemeClr w14:val="tx1"/>
            </w14:solidFill>
          </w14:textFill>
        </w:rPr>
        <w:t>12</w:t>
      </w:r>
      <w:r>
        <w:rPr>
          <w:rFonts w:hint="default" w:hAnsi="宋体"/>
          <w:color w:val="000000" w:themeColor="text1"/>
          <w:sz w:val="24"/>
          <w:szCs w:val="24"/>
          <w14:textFill>
            <w14:solidFill>
              <w14:schemeClr w14:val="tx1"/>
            </w14:solidFill>
          </w14:textFill>
        </w:rPr>
        <w:t>月</w:t>
      </w:r>
      <w:r>
        <w:rPr>
          <w:rFonts w:hint="eastAsia" w:hAnsi="宋体"/>
          <w:color w:val="000000" w:themeColor="text1"/>
          <w:sz w:val="24"/>
          <w:szCs w:val="24"/>
          <w:lang w:val="en-US" w:eastAsia="zh-CN"/>
          <w14:textFill>
            <w14:solidFill>
              <w14:schemeClr w14:val="tx1"/>
            </w14:solidFill>
          </w14:textFill>
        </w:rPr>
        <w:t>10</w:t>
      </w:r>
      <w:r>
        <w:rPr>
          <w:rFonts w:hint="default" w:hAnsi="宋体"/>
          <w:color w:val="000000" w:themeColor="text1"/>
          <w:sz w:val="24"/>
          <w:szCs w:val="24"/>
          <w14:textFill>
            <w14:solidFill>
              <w14:schemeClr w14:val="tx1"/>
            </w14:solidFill>
          </w14:textFill>
        </w:rPr>
        <w:t>日</w:t>
      </w:r>
    </w:p>
    <w:bookmarkEnd w:id="17"/>
    <w:p w14:paraId="7A5C0412">
      <w:pPr>
        <w:snapToGrid w:val="0"/>
        <w:spacing w:beforeLines="0" w:afterLines="0" w:line="360" w:lineRule="auto"/>
        <w:rPr>
          <w:rFonts w:hint="default" w:hAnsi="宋体"/>
          <w:sz w:val="24"/>
          <w:szCs w:val="24"/>
        </w:rPr>
        <w:sectPr>
          <w:pgSz w:w="11906" w:h="16838"/>
          <w:pgMar w:top="1440" w:right="1797" w:bottom="1440" w:left="1797" w:header="851" w:footer="992" w:gutter="0"/>
          <w:lnNumType w:countBy="0" w:distance="360"/>
          <w:pgNumType w:fmt="decimal"/>
          <w:cols w:space="720" w:num="1"/>
          <w:docGrid w:type="lines" w:linePitch="312" w:charSpace="0"/>
        </w:sectPr>
      </w:pPr>
      <w:bookmarkStart w:id="69" w:name="_GoBack"/>
      <w:bookmarkEnd w:id="69"/>
    </w:p>
    <w:p w14:paraId="1148D1C1">
      <w:pPr>
        <w:pStyle w:val="4"/>
        <w:numPr>
          <w:ilvl w:val="0"/>
          <w:numId w:val="2"/>
        </w:numPr>
        <w:snapToGrid w:val="0"/>
        <w:spacing w:before="0" w:beforeLines="0" w:after="0" w:afterLines="0"/>
        <w:jc w:val="center"/>
        <w:rPr>
          <w:rFonts w:hint="default"/>
        </w:rPr>
      </w:pPr>
      <w:bookmarkStart w:id="18" w:name="_Toc8254"/>
      <w:bookmarkStart w:id="19" w:name="_Toc11234"/>
      <w:r>
        <w:rPr>
          <w:rFonts w:hint="default" w:hAnsi="宋体"/>
          <w:color w:val="000000"/>
          <w:sz w:val="32"/>
          <w:szCs w:val="32"/>
        </w:rPr>
        <w:t>用户需求书</w:t>
      </w:r>
      <w:bookmarkEnd w:id="18"/>
      <w:bookmarkEnd w:id="19"/>
    </w:p>
    <w:p w14:paraId="267995DB">
      <w:pPr>
        <w:spacing w:beforeLines="0" w:afterLines="0"/>
        <w:rPr>
          <w:rFonts w:hint="default"/>
          <w:sz w:val="24"/>
          <w:szCs w:val="24"/>
        </w:rPr>
      </w:pPr>
    </w:p>
    <w:p w14:paraId="578FCCF9">
      <w:pPr>
        <w:autoSpaceDE/>
        <w:autoSpaceDN/>
        <w:adjustRightInd/>
        <w:snapToGrid/>
        <w:spacing w:beforeLines="-2147483648" w:afterLines="-2147483648" w:line="600" w:lineRule="exact"/>
        <w:ind w:firstLine="0" w:firstLineChars="0"/>
        <w:jc w:val="both"/>
        <w:rPr>
          <w:rFonts w:hint="default" w:ascii="仿宋_GB2312" w:hAnsi="Times New Roman" w:eastAsia="仿宋_GB2312" w:cs="Times New Roman"/>
          <w:b/>
          <w:bCs w:val="0"/>
          <w:snapToGrid w:val="0"/>
          <w:sz w:val="32"/>
          <w:szCs w:val="30"/>
        </w:rPr>
      </w:pPr>
      <w:r>
        <w:rPr>
          <w:rFonts w:hint="eastAsia" w:ascii="仿宋_GB2312" w:hAnsi="Times New Roman" w:eastAsia="仿宋_GB2312" w:cs="Times New Roman"/>
          <w:b/>
          <w:bCs w:val="0"/>
          <w:snapToGrid w:val="0"/>
          <w:sz w:val="32"/>
          <w:szCs w:val="30"/>
        </w:rPr>
        <w:t>一、项目信息</w:t>
      </w:r>
    </w:p>
    <w:p w14:paraId="5029000F">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（一）采购人</w:t>
      </w:r>
    </w:p>
    <w:p w14:paraId="4A21A4F0">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东莞市水务集团管网有限公司</w:t>
      </w:r>
    </w:p>
    <w:p w14:paraId="5D287FA1">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（二）项目名称</w:t>
      </w:r>
    </w:p>
    <w:p w14:paraId="3EE73DD5">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管网运营平台</w:t>
      </w:r>
      <w:bookmarkStart w:id="20" w:name="OLE_LINK1"/>
      <w:r>
        <w:rPr>
          <w:rFonts w:hint="eastAsia" w:ascii="仿宋_GB2312" w:hAnsi="Times New Roman" w:eastAsia="仿宋_GB2312" w:cs="Times New Roman"/>
          <w:bCs/>
          <w:snapToGrid w:val="0"/>
          <w:sz w:val="32"/>
          <w:szCs w:val="30"/>
        </w:rPr>
        <w:t>管网清疏检测功能</w:t>
      </w:r>
      <w:bookmarkEnd w:id="20"/>
      <w:r>
        <w:rPr>
          <w:rFonts w:hint="eastAsia" w:ascii="仿宋_GB2312" w:hAnsi="Times New Roman" w:eastAsia="仿宋_GB2312" w:cs="Times New Roman"/>
          <w:bCs/>
          <w:snapToGrid w:val="0"/>
          <w:sz w:val="32"/>
          <w:szCs w:val="30"/>
        </w:rPr>
        <w:t>升级建设项目</w:t>
      </w:r>
    </w:p>
    <w:p w14:paraId="00F4E6C2">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（三）项目</w:t>
      </w:r>
      <w:r>
        <w:rPr>
          <w:rFonts w:hint="eastAsia" w:ascii="仿宋_GB2312" w:eastAsia="仿宋_GB2312" w:cs="Times New Roman"/>
          <w:bCs/>
          <w:snapToGrid w:val="0"/>
          <w:sz w:val="32"/>
          <w:szCs w:val="30"/>
          <w:lang w:val="en-US" w:eastAsia="zh-CN"/>
        </w:rPr>
        <w:t>预</w:t>
      </w:r>
      <w:r>
        <w:rPr>
          <w:rFonts w:hint="eastAsia" w:ascii="仿宋_GB2312" w:hAnsi="Times New Roman" w:eastAsia="仿宋_GB2312" w:cs="Times New Roman"/>
          <w:bCs/>
          <w:snapToGrid w:val="0"/>
          <w:sz w:val="32"/>
          <w:szCs w:val="30"/>
        </w:rPr>
        <w:t>算</w:t>
      </w:r>
    </w:p>
    <w:p w14:paraId="3AF7C847">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color w:val="000000" w:themeColor="text1"/>
          <w:sz w:val="32"/>
          <w:szCs w:val="30"/>
          <w14:textFill>
            <w14:solidFill>
              <w14:schemeClr w14:val="tx1"/>
            </w14:solidFill>
          </w14:textFill>
        </w:rPr>
      </w:pPr>
      <w:r>
        <w:rPr>
          <w:rFonts w:hint="eastAsia" w:ascii="仿宋_GB2312" w:hAnsi="Times New Roman" w:eastAsia="仿宋_GB2312" w:cs="Times New Roman"/>
          <w:bCs/>
          <w:snapToGrid w:val="0"/>
          <w:color w:val="000000" w:themeColor="text1"/>
          <w:sz w:val="32"/>
          <w:szCs w:val="30"/>
          <w14:textFill>
            <w14:solidFill>
              <w14:schemeClr w14:val="tx1"/>
            </w14:solidFill>
          </w14:textFill>
        </w:rPr>
        <w:t>438566.67元</w:t>
      </w:r>
      <w:r>
        <w:rPr>
          <w:rFonts w:hint="eastAsia" w:ascii="仿宋_GB2312" w:eastAsia="仿宋_GB2312" w:cs="Times New Roman"/>
          <w:bCs/>
          <w:snapToGrid w:val="0"/>
          <w:color w:val="000000" w:themeColor="text1"/>
          <w:sz w:val="32"/>
          <w:szCs w:val="30"/>
          <w:lang w:eastAsia="zh-CN"/>
          <w14:textFill>
            <w14:solidFill>
              <w14:schemeClr w14:val="tx1"/>
            </w14:solidFill>
          </w14:textFill>
        </w:rPr>
        <w:t>（</w:t>
      </w:r>
      <w:r>
        <w:rPr>
          <w:rFonts w:hint="eastAsia" w:ascii="仿宋_GB2312" w:eastAsia="仿宋_GB2312" w:cs="Times New Roman"/>
          <w:bCs/>
          <w:snapToGrid w:val="0"/>
          <w:color w:val="000000" w:themeColor="text1"/>
          <w:sz w:val="32"/>
          <w:szCs w:val="30"/>
          <w:lang w:val="en-US" w:eastAsia="zh-CN"/>
          <w14:textFill>
            <w14:solidFill>
              <w14:schemeClr w14:val="tx1"/>
            </w14:solidFill>
          </w14:textFill>
        </w:rPr>
        <w:t>不含税）</w:t>
      </w:r>
      <w:r>
        <w:rPr>
          <w:rFonts w:hint="eastAsia" w:ascii="仿宋_GB2312" w:hAnsi="Times New Roman" w:eastAsia="仿宋_GB2312" w:cs="Times New Roman"/>
          <w:bCs/>
          <w:snapToGrid w:val="0"/>
          <w:color w:val="000000" w:themeColor="text1"/>
          <w:sz w:val="32"/>
          <w:szCs w:val="30"/>
          <w14:textFill>
            <w14:solidFill>
              <w14:schemeClr w14:val="tx1"/>
            </w14:solidFill>
          </w14:textFill>
        </w:rPr>
        <w:t xml:space="preserve">。 </w:t>
      </w:r>
    </w:p>
    <w:p w14:paraId="644330A9">
      <w:pPr>
        <w:autoSpaceDE/>
        <w:autoSpaceDN/>
        <w:adjustRightInd/>
        <w:snapToGrid/>
        <w:spacing w:beforeLines="-2147483648" w:afterLines="-2147483648" w:line="600" w:lineRule="exact"/>
        <w:ind w:firstLine="0" w:firstLineChars="0"/>
        <w:jc w:val="both"/>
        <w:rPr>
          <w:rFonts w:hint="default" w:ascii="仿宋_GB2312" w:hAnsi="Times New Roman" w:eastAsia="仿宋_GB2312" w:cs="Times New Roman"/>
          <w:b/>
          <w:bCs w:val="0"/>
          <w:snapToGrid w:val="0"/>
          <w:sz w:val="32"/>
          <w:szCs w:val="30"/>
        </w:rPr>
      </w:pPr>
      <w:r>
        <w:rPr>
          <w:rFonts w:hint="eastAsia" w:ascii="仿宋_GB2312" w:hAnsi="Times New Roman" w:eastAsia="仿宋_GB2312" w:cs="Times New Roman"/>
          <w:b/>
          <w:bCs w:val="0"/>
          <w:snapToGrid w:val="0"/>
          <w:sz w:val="32"/>
          <w:szCs w:val="30"/>
        </w:rPr>
        <w:t>二、项目概况</w:t>
      </w:r>
    </w:p>
    <w:p w14:paraId="01DEE113">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2020年11月，随管网公司运营模式调整升级，为配套与业务板块相匹配的信息化管理模块，经水务集团同意，立项开展东莞市水务集团管网有限公司管网</w:t>
      </w:r>
      <w:bookmarkStart w:id="21" w:name="OLE_LINK2"/>
      <w:r>
        <w:rPr>
          <w:rFonts w:hint="eastAsia" w:ascii="仿宋_GB2312" w:hAnsi="Times New Roman" w:eastAsia="仿宋_GB2312" w:cs="Times New Roman"/>
          <w:bCs/>
          <w:snapToGrid w:val="0"/>
          <w:sz w:val="32"/>
          <w:szCs w:val="30"/>
        </w:rPr>
        <w:t>运维管理系统</w:t>
      </w:r>
      <w:bookmarkEnd w:id="21"/>
      <w:r>
        <w:rPr>
          <w:rFonts w:hint="eastAsia" w:ascii="仿宋_GB2312" w:hAnsi="Times New Roman" w:eastAsia="仿宋_GB2312" w:cs="Times New Roman"/>
          <w:bCs/>
          <w:snapToGrid w:val="0"/>
          <w:sz w:val="32"/>
          <w:szCs w:val="30"/>
        </w:rPr>
        <w:t>升级建设服务项目并投入使用。系统目前基本能够为运营、设备等业务部门提供部分业务工作的信息化支撑及管网数据展现支撑。结合业务实际需求，管网公司于2023年立项开展东莞市水务集团管网有限公司基础数据管理平台项目及东莞市管网运营平台雨污同治升级项目（后称基础平台及雨污同治升级项目），项目目前按集团信息化项目流程由集团运营管理部（信息管理中心）推进开展中，前期因项目采购模式调整等原因总体建设计划推迟约1年，预计2025年底初步上线运行。</w:t>
      </w:r>
    </w:p>
    <w:p w14:paraId="002DB855">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其中在清疏、检测等业务方面</w:t>
      </w:r>
      <w:r>
        <w:rPr>
          <w:rFonts w:hint="eastAsia" w:ascii="仿宋_GB2312" w:hAnsi="Times New Roman" w:eastAsia="仿宋_GB2312" w:cs="Times New Roman"/>
          <w:bCs/>
          <w:snapToGrid w:val="0"/>
          <w:sz w:val="32"/>
          <w:szCs w:val="30"/>
          <w:lang w:eastAsia="zh-CN"/>
        </w:rPr>
        <w:t>，</w:t>
      </w:r>
      <w:r>
        <w:rPr>
          <w:rFonts w:hint="eastAsia" w:ascii="仿宋_GB2312" w:hAnsi="Times New Roman" w:eastAsia="仿宋_GB2312" w:cs="Times New Roman"/>
          <w:bCs/>
          <w:snapToGrid w:val="0"/>
          <w:sz w:val="32"/>
          <w:szCs w:val="30"/>
          <w:lang w:val="en-US" w:eastAsia="zh-CN"/>
        </w:rPr>
        <w:t>日常运营、提质增效及黑臭水体治理相关任务要求落实管网巡查养护及清疏检测等工作</w:t>
      </w:r>
      <w:r>
        <w:rPr>
          <w:rFonts w:hint="eastAsia" w:ascii="仿宋_GB2312" w:hAnsi="Times New Roman" w:eastAsia="仿宋_GB2312" w:cs="Times New Roman"/>
          <w:bCs/>
          <w:snapToGrid w:val="0"/>
          <w:sz w:val="32"/>
          <w:szCs w:val="30"/>
        </w:rPr>
        <w:t>，因业务部门在清疏、检测及其他日常业务安排过程中发现因无法清晰直观地了解周期内已完成的管网设施、无法通过信息化系统高效制定业务计划、无法清晰比对历史执行情况、业务执行人员难以在手持设备上清晰了解设施历史业务执行情况、管理人员难以了解业务执行人员异常情况等问题，造成一定程度的数据资源浪费、影响决策的及时性和准确性等情况，因此亟需搭建更有利于日常业务执行的清疏、检测功能并形成相关业务一张图，同时升级部分其他业务功能，以保障系统更贴合业务需求、更大程度的效率提升、更完善地日常工作运营、更准确及时高效的管理。考虑基础平台及雨污</w:t>
      </w:r>
      <w:r>
        <w:rPr>
          <w:rFonts w:hint="eastAsia" w:ascii="仿宋_GB2312" w:hAnsi="Times New Roman" w:eastAsia="仿宋_GB2312" w:cs="Times New Roman"/>
          <w:bCs/>
          <w:snapToGrid w:val="0"/>
          <w:sz w:val="32"/>
          <w:szCs w:val="30"/>
          <w:lang w:val="en-US" w:eastAsia="zh-CN"/>
        </w:rPr>
        <w:t>同治</w:t>
      </w:r>
      <w:r>
        <w:rPr>
          <w:rFonts w:hint="eastAsia" w:ascii="仿宋_GB2312" w:hAnsi="Times New Roman" w:eastAsia="仿宋_GB2312" w:cs="Times New Roman"/>
          <w:bCs/>
          <w:snapToGrid w:val="0"/>
          <w:sz w:val="32"/>
          <w:szCs w:val="30"/>
        </w:rPr>
        <w:t>升级项目进度难以满足业务部门当前对使用该部分功能的迫切性</w:t>
      </w:r>
      <w:r>
        <w:rPr>
          <w:rFonts w:hint="eastAsia" w:ascii="仿宋_GB2312" w:hAnsi="Times New Roman" w:eastAsia="仿宋_GB2312" w:cs="Times New Roman"/>
          <w:bCs/>
          <w:snapToGrid w:val="0"/>
          <w:sz w:val="32"/>
          <w:szCs w:val="30"/>
          <w:lang w:eastAsia="zh-CN"/>
        </w:rPr>
        <w:t>，</w:t>
      </w:r>
      <w:r>
        <w:rPr>
          <w:rFonts w:hint="eastAsia" w:ascii="仿宋_GB2312" w:hAnsi="Times New Roman" w:eastAsia="仿宋_GB2312" w:cs="Times New Roman"/>
          <w:bCs/>
          <w:snapToGrid w:val="0"/>
          <w:sz w:val="32"/>
          <w:szCs w:val="30"/>
          <w:lang w:val="en-US" w:eastAsia="zh-CN"/>
        </w:rPr>
        <w:t>为辅助业务实际需求及提质增效、黑臭水体相关任务工作落实开展</w:t>
      </w:r>
      <w:r>
        <w:rPr>
          <w:rFonts w:hint="eastAsia" w:ascii="仿宋_GB2312" w:hAnsi="Times New Roman" w:eastAsia="仿宋_GB2312" w:cs="Times New Roman"/>
          <w:bCs/>
          <w:snapToGrid w:val="0"/>
          <w:sz w:val="32"/>
          <w:szCs w:val="30"/>
        </w:rPr>
        <w:t>，拟将该相关部分功能从雨污同治升级项目剥离并于本项目开展升级建设。</w:t>
      </w:r>
    </w:p>
    <w:p w14:paraId="74EC2859">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运营平台技术架构概况：原系统采用B/S架构、M/S架构。前端采用VUE2框架，APP端为安卓移动端原生语言。系统当前共使用4台相关服务器，包括应用服务器、地图服务器、IOT数据库服务器及数据库服务器。微服务方面采用Spring Cloud框架，同时通过Consul平台来实现注册中心，通过Spring Cloud来访问用户中心，数据库采用MySQL，各种巡检数据保存在MySQL；空间数据库采用Postgresql，巡检中产生的图层数据保存在Postgresql，巡检定位服务功能采用高德定位功能；通过ArcGis平台实现空间数据管理、配图及地图服务发布调用等；同时使用Elasticsearch保存大量的巡检轨迹数据；采用Activiti工作流框架来处理巡检中复杂的工作流。项目构建采用微服务的方式。系统基于Java EE平台，既能部署在Linux系统上，也能够部署在Window平台上。</w:t>
      </w:r>
    </w:p>
    <w:p w14:paraId="051348B4">
      <w:pPr>
        <w:autoSpaceDE/>
        <w:autoSpaceDN/>
        <w:adjustRightInd/>
        <w:snapToGrid/>
        <w:spacing w:beforeLines="-2147483648" w:afterLines="-2147483648" w:line="600" w:lineRule="exact"/>
        <w:ind w:firstLine="0" w:firstLineChars="0"/>
        <w:jc w:val="both"/>
        <w:rPr>
          <w:rFonts w:hint="default" w:ascii="仿宋_GB2312" w:hAnsi="Times New Roman" w:eastAsia="仿宋_GB2312" w:cs="Times New Roman"/>
          <w:b/>
          <w:bCs w:val="0"/>
          <w:snapToGrid w:val="0"/>
          <w:sz w:val="32"/>
          <w:szCs w:val="30"/>
        </w:rPr>
      </w:pPr>
      <w:r>
        <w:rPr>
          <w:rFonts w:hint="eastAsia" w:ascii="仿宋_GB2312" w:hAnsi="Times New Roman" w:eastAsia="仿宋_GB2312" w:cs="Times New Roman"/>
          <w:b/>
          <w:bCs w:val="0"/>
          <w:snapToGrid w:val="0"/>
          <w:sz w:val="32"/>
          <w:szCs w:val="30"/>
        </w:rPr>
        <w:t>三、需求内容</w:t>
      </w:r>
    </w:p>
    <w:p w14:paraId="6E0D5975">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（一）需求范围及建设周期</w:t>
      </w:r>
    </w:p>
    <w:p w14:paraId="3277208E">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本技术支持维护服务合同的期限自合同签订之日起</w:t>
      </w:r>
      <w:r>
        <w:rPr>
          <w:rFonts w:hint="eastAsia" w:ascii="仿宋_GB2312" w:hAnsi="Times New Roman" w:eastAsia="仿宋_GB2312" w:cs="Times New Roman"/>
          <w:bCs/>
          <w:snapToGrid w:val="0"/>
          <w:sz w:val="32"/>
          <w:szCs w:val="30"/>
          <w:lang w:val="en-US" w:eastAsia="zh-CN"/>
        </w:rPr>
        <w:t>90</w:t>
      </w:r>
      <w:r>
        <w:rPr>
          <w:rFonts w:hint="eastAsia" w:ascii="仿宋_GB2312" w:hAnsi="Times New Roman" w:eastAsia="仿宋_GB2312" w:cs="Times New Roman"/>
          <w:bCs/>
          <w:snapToGrid w:val="0"/>
          <w:sz w:val="32"/>
          <w:szCs w:val="30"/>
        </w:rPr>
        <w:t>个工作日完成项目需求深化调研、软件开发、数据及功能整合、部署上线及培训等工作。</w:t>
      </w:r>
    </w:p>
    <w:tbl>
      <w:tblPr>
        <w:tblStyle w:val="9"/>
        <w:tblW w:w="3047" w:type="pct"/>
        <w:jc w:val="center"/>
        <w:tblLayout w:type="autofit"/>
        <w:tblCellMar>
          <w:top w:w="0" w:type="dxa"/>
          <w:left w:w="108" w:type="dxa"/>
          <w:bottom w:w="0" w:type="dxa"/>
          <w:right w:w="108" w:type="dxa"/>
        </w:tblCellMar>
      </w:tblPr>
      <w:tblGrid>
        <w:gridCol w:w="2863"/>
        <w:gridCol w:w="2520"/>
      </w:tblGrid>
      <w:tr w14:paraId="55FEADDB">
        <w:tblPrEx>
          <w:tblCellMar>
            <w:top w:w="0" w:type="dxa"/>
            <w:left w:w="108" w:type="dxa"/>
            <w:bottom w:w="0" w:type="dxa"/>
            <w:right w:w="108" w:type="dxa"/>
          </w:tblCellMar>
        </w:tblPrEx>
        <w:trPr>
          <w:trHeight w:val="349" w:hRule="atLeast"/>
          <w:jc w:val="center"/>
        </w:trPr>
        <w:tc>
          <w:tcPr>
            <w:tcW w:w="2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5D23">
            <w:pPr>
              <w:autoSpaceDE/>
              <w:autoSpaceDN/>
              <w:snapToGrid w:val="0"/>
              <w:spacing w:beforeLines="-2147483648" w:afterLines="-2147483648" w:line="600" w:lineRule="exact"/>
              <w:ind w:firstLine="0" w:firstLineChars="0"/>
              <w:jc w:val="center"/>
              <w:rPr>
                <w:rFonts w:hint="default" w:ascii="仿宋_GB2312" w:hAnsi="Times New Roman" w:eastAsia="仿宋_GB2312" w:cs="Times New Roman"/>
                <w:b/>
                <w:bCs w:val="0"/>
                <w:snapToGrid w:val="0"/>
                <w:sz w:val="32"/>
                <w:szCs w:val="30"/>
              </w:rPr>
            </w:pPr>
            <w:r>
              <w:rPr>
                <w:rFonts w:hint="eastAsia" w:ascii="仿宋_GB2312" w:hAnsi="Times New Roman" w:eastAsia="仿宋_GB2312" w:cs="Times New Roman"/>
                <w:b/>
                <w:bCs/>
                <w:snapToGrid w:val="0"/>
                <w:sz w:val="32"/>
                <w:szCs w:val="30"/>
                <w:lang w:bidi="ar"/>
              </w:rPr>
              <w:t>内容</w:t>
            </w:r>
          </w:p>
        </w:tc>
        <w:tc>
          <w:tcPr>
            <w:tcW w:w="2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7340">
            <w:pPr>
              <w:autoSpaceDE/>
              <w:autoSpaceDN/>
              <w:snapToGrid w:val="0"/>
              <w:spacing w:beforeLines="-2147483648" w:afterLines="-2147483648" w:line="600" w:lineRule="exact"/>
              <w:ind w:firstLine="0" w:firstLineChars="0"/>
              <w:jc w:val="center"/>
              <w:rPr>
                <w:rFonts w:hint="default" w:ascii="仿宋_GB2312" w:hAnsi="Times New Roman" w:eastAsia="仿宋_GB2312" w:cs="Times New Roman"/>
                <w:b/>
                <w:bCs w:val="0"/>
                <w:snapToGrid w:val="0"/>
                <w:sz w:val="32"/>
                <w:szCs w:val="30"/>
              </w:rPr>
            </w:pPr>
            <w:r>
              <w:rPr>
                <w:rFonts w:hint="eastAsia" w:ascii="仿宋_GB2312" w:hAnsi="Times New Roman" w:eastAsia="仿宋_GB2312" w:cs="Times New Roman"/>
                <w:b/>
                <w:bCs/>
                <w:snapToGrid w:val="0"/>
                <w:sz w:val="32"/>
                <w:szCs w:val="30"/>
                <w:lang w:bidi="ar"/>
              </w:rPr>
              <w:t>涵盖范围</w:t>
            </w:r>
          </w:p>
        </w:tc>
      </w:tr>
      <w:tr w14:paraId="1793890A">
        <w:tblPrEx>
          <w:tblCellMar>
            <w:top w:w="0" w:type="dxa"/>
            <w:left w:w="108" w:type="dxa"/>
            <w:bottom w:w="0" w:type="dxa"/>
            <w:right w:w="108" w:type="dxa"/>
          </w:tblCellMar>
        </w:tblPrEx>
        <w:trPr>
          <w:trHeight w:val="375" w:hRule="atLeast"/>
          <w:jc w:val="center"/>
        </w:trPr>
        <w:tc>
          <w:tcPr>
            <w:tcW w:w="2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CA2E">
            <w:pPr>
              <w:autoSpaceDE/>
              <w:autoSpaceDN/>
              <w:snapToGrid w:val="0"/>
              <w:spacing w:beforeLines="-2147483648" w:afterLines="-2147483648" w:line="600" w:lineRule="exact"/>
              <w:ind w:firstLine="0" w:firstLineChars="0"/>
              <w:jc w:val="center"/>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lang w:bidi="ar"/>
              </w:rPr>
              <w:t>清疏相关功能</w:t>
            </w:r>
          </w:p>
        </w:tc>
        <w:tc>
          <w:tcPr>
            <w:tcW w:w="2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2ED8">
            <w:pPr>
              <w:autoSpaceDE/>
              <w:autoSpaceDN/>
              <w:snapToGrid w:val="0"/>
              <w:spacing w:beforeLines="-2147483648" w:afterLines="-2147483648" w:line="600" w:lineRule="exact"/>
              <w:ind w:firstLine="0" w:firstLineChars="0"/>
              <w:jc w:val="center"/>
              <w:rPr>
                <w:rFonts w:hint="default" w:ascii="仿宋_GB2312" w:hAnsi="Times New Roman" w:eastAsia="仿宋_GB2312" w:cs="Times New Roman"/>
                <w:bCs/>
                <w:snapToGrid w:val="0"/>
                <w:sz w:val="32"/>
                <w:szCs w:val="30"/>
              </w:rPr>
            </w:pPr>
            <w:bookmarkStart w:id="22" w:name="_Hlk167699532"/>
            <w:r>
              <w:rPr>
                <w:rFonts w:hint="eastAsia" w:ascii="仿宋_GB2312" w:hAnsi="Times New Roman" w:eastAsia="仿宋_GB2312" w:cs="Times New Roman"/>
                <w:bCs/>
                <w:snapToGrid w:val="0"/>
                <w:sz w:val="32"/>
                <w:szCs w:val="30"/>
              </w:rPr>
              <w:t>Web、App</w:t>
            </w:r>
            <w:bookmarkEnd w:id="22"/>
            <w:r>
              <w:rPr>
                <w:rFonts w:hint="eastAsia" w:ascii="仿宋_GB2312" w:hAnsi="Times New Roman" w:eastAsia="仿宋_GB2312" w:cs="Times New Roman"/>
                <w:bCs/>
                <w:snapToGrid w:val="0"/>
                <w:sz w:val="32"/>
                <w:szCs w:val="30"/>
              </w:rPr>
              <w:t>、后台</w:t>
            </w:r>
          </w:p>
        </w:tc>
      </w:tr>
      <w:tr w14:paraId="63FAFFF1">
        <w:tblPrEx>
          <w:tblCellMar>
            <w:top w:w="0" w:type="dxa"/>
            <w:left w:w="108" w:type="dxa"/>
            <w:bottom w:w="0" w:type="dxa"/>
            <w:right w:w="108" w:type="dxa"/>
          </w:tblCellMar>
        </w:tblPrEx>
        <w:trPr>
          <w:trHeight w:val="375" w:hRule="atLeast"/>
          <w:jc w:val="center"/>
        </w:trPr>
        <w:tc>
          <w:tcPr>
            <w:tcW w:w="2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5165">
            <w:pPr>
              <w:autoSpaceDE/>
              <w:autoSpaceDN/>
              <w:snapToGrid w:val="0"/>
              <w:spacing w:beforeLines="-2147483648" w:afterLines="-2147483648" w:line="600" w:lineRule="exact"/>
              <w:ind w:firstLine="0" w:firstLineChars="0"/>
              <w:jc w:val="center"/>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lang w:bidi="ar"/>
              </w:rPr>
              <w:t>检测相关功能</w:t>
            </w:r>
          </w:p>
        </w:tc>
        <w:tc>
          <w:tcPr>
            <w:tcW w:w="2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4BBF">
            <w:pPr>
              <w:autoSpaceDE/>
              <w:autoSpaceDN/>
              <w:snapToGrid w:val="0"/>
              <w:spacing w:beforeLines="-2147483648" w:afterLines="-2147483648" w:line="600" w:lineRule="exact"/>
              <w:ind w:firstLine="0" w:firstLineChars="0"/>
              <w:jc w:val="center"/>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Web、App、后台</w:t>
            </w:r>
          </w:p>
        </w:tc>
      </w:tr>
      <w:tr w14:paraId="559DB454">
        <w:tblPrEx>
          <w:tblCellMar>
            <w:top w:w="0" w:type="dxa"/>
            <w:left w:w="108" w:type="dxa"/>
            <w:bottom w:w="0" w:type="dxa"/>
            <w:right w:w="108" w:type="dxa"/>
          </w:tblCellMar>
        </w:tblPrEx>
        <w:trPr>
          <w:trHeight w:val="375" w:hRule="atLeast"/>
          <w:jc w:val="center"/>
        </w:trPr>
        <w:tc>
          <w:tcPr>
            <w:tcW w:w="2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9450">
            <w:pPr>
              <w:autoSpaceDE/>
              <w:autoSpaceDN/>
              <w:snapToGrid w:val="0"/>
              <w:spacing w:beforeLines="-2147483648" w:afterLines="-2147483648" w:line="600" w:lineRule="exact"/>
              <w:ind w:firstLine="0" w:firstLineChars="0"/>
              <w:jc w:val="center"/>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lang w:bidi="ar"/>
              </w:rPr>
              <w:t>其他功能优化</w:t>
            </w:r>
          </w:p>
        </w:tc>
        <w:tc>
          <w:tcPr>
            <w:tcW w:w="2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2B28">
            <w:pPr>
              <w:autoSpaceDE/>
              <w:autoSpaceDN/>
              <w:snapToGrid w:val="0"/>
              <w:spacing w:beforeLines="-2147483648" w:afterLines="-2147483648" w:line="600" w:lineRule="exact"/>
              <w:ind w:firstLine="0" w:firstLineChars="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Web、App</w:t>
            </w:r>
          </w:p>
        </w:tc>
      </w:tr>
    </w:tbl>
    <w:p w14:paraId="2AB3544E">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（二）需求内容</w:t>
      </w:r>
    </w:p>
    <w:p w14:paraId="035B06C1">
      <w:pPr>
        <w:adjustRightInd/>
        <w:snapToGrid/>
        <w:ind w:firstLine="640"/>
        <w:rPr>
          <w:rFonts w:ascii="仿宋_GB2312"/>
        </w:rPr>
        <w:sectPr>
          <w:pgSz w:w="11906" w:h="16838"/>
          <w:pgMar w:top="1474" w:right="1588" w:bottom="1474" w:left="1701" w:header="851" w:footer="992" w:gutter="0"/>
          <w:pgNumType w:fmt="decimal"/>
          <w:cols w:space="720" w:num="1"/>
          <w:docGrid w:type="lines" w:linePitch="435" w:charSpace="0"/>
        </w:sectPr>
      </w:pPr>
    </w:p>
    <w:tbl>
      <w:tblPr>
        <w:tblStyle w:val="9"/>
        <w:tblW w:w="13887" w:type="dxa"/>
        <w:tblInd w:w="0" w:type="dxa"/>
        <w:tblLayout w:type="autofit"/>
        <w:tblCellMar>
          <w:top w:w="0" w:type="dxa"/>
          <w:left w:w="108" w:type="dxa"/>
          <w:bottom w:w="0" w:type="dxa"/>
          <w:right w:w="108" w:type="dxa"/>
        </w:tblCellMar>
      </w:tblPr>
      <w:tblGrid>
        <w:gridCol w:w="1094"/>
        <w:gridCol w:w="2020"/>
        <w:gridCol w:w="3946"/>
        <w:gridCol w:w="6827"/>
      </w:tblGrid>
      <w:tr w14:paraId="4D35293A">
        <w:tblPrEx>
          <w:tblCellMar>
            <w:top w:w="0" w:type="dxa"/>
            <w:left w:w="108" w:type="dxa"/>
            <w:bottom w:w="0" w:type="dxa"/>
            <w:right w:w="108" w:type="dxa"/>
          </w:tblCellMar>
        </w:tblPrEx>
        <w:trPr>
          <w:trHeight w:val="560" w:hRule="atLeast"/>
          <w:tblHeader/>
        </w:trPr>
        <w:tc>
          <w:tcPr>
            <w:tcW w:w="1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3D7B6">
            <w:pPr>
              <w:widowControl/>
              <w:autoSpaceDE/>
              <w:autoSpaceDN/>
              <w:adjustRightInd/>
              <w:snapToGrid w:val="0"/>
              <w:spacing w:beforeLines="-2147483648" w:afterLines="-2147483648" w:line="600" w:lineRule="exact"/>
              <w:ind w:firstLine="0" w:firstLineChars="0"/>
              <w:jc w:val="center"/>
              <w:rPr>
                <w:rFonts w:hint="eastAsia" w:ascii="仿宋_GB2312" w:hAnsi="等线" w:eastAsia="仿宋_GB2312" w:cs="宋体"/>
                <w:bCs/>
                <w:snapToGrid w:val="0"/>
                <w:color w:val="000000"/>
                <w:sz w:val="22"/>
                <w:szCs w:val="22"/>
              </w:rPr>
            </w:pPr>
            <w:r>
              <w:rPr>
                <w:rFonts w:hint="eastAsia" w:ascii="仿宋_GB2312" w:hAnsi="等线" w:eastAsia="仿宋_GB2312" w:cs="宋体"/>
                <w:bCs/>
                <w:snapToGrid w:val="0"/>
                <w:color w:val="000000"/>
                <w:sz w:val="22"/>
                <w:szCs w:val="22"/>
              </w:rPr>
              <w:t>客户端</w:t>
            </w:r>
          </w:p>
        </w:tc>
        <w:tc>
          <w:tcPr>
            <w:tcW w:w="2020" w:type="dxa"/>
            <w:tcBorders>
              <w:top w:val="single" w:color="auto" w:sz="4" w:space="0"/>
              <w:left w:val="nil"/>
              <w:bottom w:val="single" w:color="auto" w:sz="4" w:space="0"/>
              <w:right w:val="single" w:color="auto" w:sz="4" w:space="0"/>
            </w:tcBorders>
            <w:shd w:val="clear" w:color="auto" w:fill="auto"/>
            <w:vAlign w:val="center"/>
          </w:tcPr>
          <w:p w14:paraId="32B924D8">
            <w:pPr>
              <w:widowControl/>
              <w:autoSpaceDE/>
              <w:autoSpaceDN/>
              <w:adjustRightInd/>
              <w:snapToGrid w:val="0"/>
              <w:spacing w:beforeLines="-2147483648" w:afterLines="-2147483648" w:line="600" w:lineRule="exact"/>
              <w:ind w:firstLine="0" w:firstLineChars="0"/>
              <w:jc w:val="center"/>
              <w:rPr>
                <w:rFonts w:hint="eastAsia" w:ascii="仿宋_GB2312" w:hAnsi="等线" w:eastAsia="仿宋_GB2312" w:cs="宋体"/>
                <w:bCs/>
                <w:snapToGrid w:val="0"/>
                <w:color w:val="000000"/>
                <w:sz w:val="22"/>
                <w:szCs w:val="22"/>
              </w:rPr>
            </w:pPr>
            <w:r>
              <w:rPr>
                <w:rFonts w:hint="eastAsia" w:ascii="仿宋_GB2312" w:hAnsi="等线" w:eastAsia="仿宋_GB2312" w:cs="宋体"/>
                <w:bCs/>
                <w:snapToGrid w:val="0"/>
                <w:color w:val="000000"/>
                <w:sz w:val="22"/>
                <w:szCs w:val="22"/>
              </w:rPr>
              <w:t>功能</w:t>
            </w:r>
          </w:p>
        </w:tc>
        <w:tc>
          <w:tcPr>
            <w:tcW w:w="3946" w:type="dxa"/>
            <w:tcBorders>
              <w:top w:val="single" w:color="auto" w:sz="4" w:space="0"/>
              <w:left w:val="nil"/>
              <w:bottom w:val="single" w:color="auto" w:sz="4" w:space="0"/>
              <w:right w:val="single" w:color="auto" w:sz="4" w:space="0"/>
            </w:tcBorders>
            <w:shd w:val="clear" w:color="auto" w:fill="auto"/>
            <w:noWrap/>
            <w:vAlign w:val="center"/>
          </w:tcPr>
          <w:p w14:paraId="5429C79E">
            <w:pPr>
              <w:widowControl/>
              <w:autoSpaceDE/>
              <w:autoSpaceDN/>
              <w:adjustRightInd/>
              <w:snapToGrid w:val="0"/>
              <w:spacing w:beforeLines="-2147483648" w:afterLines="-2147483648" w:line="600" w:lineRule="exact"/>
              <w:ind w:firstLine="0" w:firstLineChars="0"/>
              <w:jc w:val="center"/>
              <w:rPr>
                <w:rFonts w:hint="eastAsia" w:ascii="仿宋_GB2312" w:hAnsi="等线" w:eastAsia="仿宋_GB2312" w:cs="宋体"/>
                <w:bCs/>
                <w:snapToGrid w:val="0"/>
                <w:color w:val="000000"/>
                <w:sz w:val="22"/>
                <w:szCs w:val="22"/>
              </w:rPr>
            </w:pPr>
            <w:r>
              <w:rPr>
                <w:rFonts w:hint="eastAsia" w:ascii="仿宋_GB2312" w:hAnsi="等线" w:eastAsia="仿宋_GB2312" w:cs="宋体"/>
                <w:bCs/>
                <w:snapToGrid w:val="0"/>
                <w:color w:val="000000"/>
                <w:sz w:val="22"/>
                <w:szCs w:val="22"/>
              </w:rPr>
              <w:t>简要描述</w:t>
            </w:r>
          </w:p>
        </w:tc>
        <w:tc>
          <w:tcPr>
            <w:tcW w:w="6827" w:type="dxa"/>
            <w:tcBorders>
              <w:top w:val="single" w:color="auto" w:sz="4" w:space="0"/>
              <w:left w:val="nil"/>
              <w:bottom w:val="single" w:color="auto" w:sz="4" w:space="0"/>
              <w:right w:val="single" w:color="auto" w:sz="4" w:space="0"/>
            </w:tcBorders>
            <w:shd w:val="clear" w:color="auto" w:fill="auto"/>
            <w:noWrap/>
            <w:vAlign w:val="center"/>
          </w:tcPr>
          <w:p w14:paraId="26BDE1D9">
            <w:pPr>
              <w:widowControl/>
              <w:autoSpaceDE/>
              <w:autoSpaceDN/>
              <w:adjustRightInd/>
              <w:snapToGrid w:val="0"/>
              <w:spacing w:beforeLines="-2147483648" w:afterLines="-2147483648" w:line="600" w:lineRule="exact"/>
              <w:ind w:firstLine="0" w:firstLineChars="0"/>
              <w:jc w:val="center"/>
              <w:rPr>
                <w:rFonts w:hint="eastAsia" w:ascii="仿宋_GB2312" w:hAnsi="等线" w:eastAsia="仿宋_GB2312" w:cs="宋体"/>
                <w:bCs/>
                <w:snapToGrid w:val="0"/>
                <w:color w:val="000000"/>
                <w:sz w:val="22"/>
                <w:szCs w:val="22"/>
              </w:rPr>
            </w:pPr>
            <w:r>
              <w:rPr>
                <w:rFonts w:hint="eastAsia" w:ascii="仿宋_GB2312" w:hAnsi="等线" w:eastAsia="仿宋_GB2312" w:cs="宋体"/>
                <w:bCs/>
                <w:snapToGrid w:val="0"/>
                <w:color w:val="000000"/>
                <w:sz w:val="22"/>
                <w:szCs w:val="22"/>
              </w:rPr>
              <w:t>补充说明</w:t>
            </w:r>
          </w:p>
        </w:tc>
      </w:tr>
      <w:tr w14:paraId="695B10C5">
        <w:tblPrEx>
          <w:tblCellMar>
            <w:top w:w="0" w:type="dxa"/>
            <w:left w:w="108" w:type="dxa"/>
            <w:bottom w:w="0" w:type="dxa"/>
            <w:right w:w="108" w:type="dxa"/>
          </w:tblCellMar>
        </w:tblPrEx>
        <w:trPr>
          <w:trHeight w:val="1920" w:hRule="atLeast"/>
        </w:trPr>
        <w:tc>
          <w:tcPr>
            <w:tcW w:w="1094" w:type="dxa"/>
            <w:vMerge w:val="restart"/>
            <w:tcBorders>
              <w:top w:val="nil"/>
              <w:left w:val="single" w:color="auto" w:sz="4" w:space="0"/>
              <w:bottom w:val="single" w:color="auto" w:sz="4" w:space="0"/>
              <w:right w:val="single" w:color="auto" w:sz="4" w:space="0"/>
            </w:tcBorders>
            <w:shd w:val="clear" w:color="auto" w:fill="auto"/>
            <w:vAlign w:val="center"/>
          </w:tcPr>
          <w:p w14:paraId="6DD5FCB9">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web端</w:t>
            </w:r>
          </w:p>
        </w:tc>
        <w:tc>
          <w:tcPr>
            <w:tcW w:w="2020" w:type="dxa"/>
            <w:tcBorders>
              <w:top w:val="nil"/>
              <w:left w:val="nil"/>
              <w:bottom w:val="single" w:color="auto" w:sz="4" w:space="0"/>
              <w:right w:val="single" w:color="auto" w:sz="4" w:space="0"/>
            </w:tcBorders>
            <w:shd w:val="clear" w:color="auto" w:fill="auto"/>
            <w:vAlign w:val="center"/>
          </w:tcPr>
          <w:p w14:paraId="6E59977E">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清疏一张图</w:t>
            </w:r>
          </w:p>
        </w:tc>
        <w:tc>
          <w:tcPr>
            <w:tcW w:w="3946" w:type="dxa"/>
            <w:tcBorders>
              <w:top w:val="nil"/>
              <w:left w:val="nil"/>
              <w:bottom w:val="single" w:color="auto" w:sz="4" w:space="0"/>
              <w:right w:val="single" w:color="auto" w:sz="4" w:space="0"/>
            </w:tcBorders>
            <w:shd w:val="clear" w:color="auto" w:fill="auto"/>
            <w:vAlign w:val="center"/>
          </w:tcPr>
          <w:p w14:paraId="6BC712AE">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在地图中对清疏历史清疏管段、管井按照清疏次数进行不同颜色标识，并可根据相关条件进行查询展示。</w:t>
            </w:r>
          </w:p>
        </w:tc>
        <w:tc>
          <w:tcPr>
            <w:tcW w:w="6827" w:type="dxa"/>
            <w:tcBorders>
              <w:top w:val="nil"/>
              <w:left w:val="nil"/>
              <w:bottom w:val="single" w:color="auto" w:sz="4" w:space="0"/>
              <w:right w:val="single" w:color="auto" w:sz="4" w:space="0"/>
            </w:tcBorders>
            <w:shd w:val="clear" w:color="auto" w:fill="auto"/>
            <w:vAlign w:val="center"/>
          </w:tcPr>
          <w:p w14:paraId="0EA1201B">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18"/>
                <w:szCs w:val="18"/>
              </w:rPr>
            </w:pPr>
            <w:r>
              <w:rPr>
                <w:rFonts w:hint="eastAsia" w:ascii="仿宋_GB2312" w:hAnsi="宋体" w:eastAsia="仿宋_GB2312" w:cs="宋体"/>
                <w:bCs/>
                <w:snapToGrid w:val="0"/>
                <w:color w:val="000000"/>
                <w:sz w:val="18"/>
                <w:szCs w:val="18"/>
              </w:rPr>
              <w:t>在GIS地图中对清疏历史清疏管段、管井按照清疏次数进行不同颜色标识；根据需求对地图展示结果的显示定制（如分公司、镇街、时间段等）；设施历史清疏记录概况的列表展示（如设施编号、地址、清疏次数）及历史清疏记录信息导出；某设施历史清疏记录概况列表（如设施编号、清疏日期、地址）及设施历史清疏记录详情；地图点击设施后基础信息及清疏信息展示。</w:t>
            </w:r>
          </w:p>
        </w:tc>
      </w:tr>
      <w:tr w14:paraId="6E3C7941">
        <w:tblPrEx>
          <w:tblCellMar>
            <w:top w:w="0" w:type="dxa"/>
            <w:left w:w="108" w:type="dxa"/>
            <w:bottom w:w="0" w:type="dxa"/>
            <w:right w:w="108" w:type="dxa"/>
          </w:tblCellMar>
        </w:tblPrEx>
        <w:trPr>
          <w:trHeight w:val="8190" w:hRule="atLeast"/>
        </w:trPr>
        <w:tc>
          <w:tcPr>
            <w:tcW w:w="1094" w:type="dxa"/>
            <w:vMerge w:val="continue"/>
            <w:tcBorders>
              <w:top w:val="nil"/>
              <w:left w:val="single" w:color="auto" w:sz="4" w:space="0"/>
              <w:bottom w:val="single" w:color="auto" w:sz="4" w:space="0"/>
              <w:right w:val="single" w:color="auto" w:sz="4" w:space="0"/>
            </w:tcBorders>
            <w:vAlign w:val="center"/>
          </w:tcPr>
          <w:p w14:paraId="6EE24D86">
            <w:pPr>
              <w:widowControl/>
              <w:autoSpaceDE/>
              <w:autoSpaceDN/>
              <w:adjustRightInd/>
              <w:snapToGrid w:val="0"/>
              <w:spacing w:beforeLines="-2147483648" w:afterLines="-2147483648" w:line="600" w:lineRule="exact"/>
              <w:ind w:firstLine="440" w:firstLineChars="200"/>
              <w:jc w:val="both"/>
              <w:rPr>
                <w:rFonts w:hint="eastAsia" w:ascii="仿宋_GB2312" w:hAnsi="宋体" w:eastAsia="仿宋_GB2312" w:cs="宋体"/>
                <w:bCs/>
                <w:snapToGrid w:val="0"/>
                <w:color w:val="00000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C585BE3">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清疏计划</w:t>
            </w:r>
          </w:p>
        </w:tc>
        <w:tc>
          <w:tcPr>
            <w:tcW w:w="3946" w:type="dxa"/>
            <w:tcBorders>
              <w:top w:val="nil"/>
              <w:left w:val="nil"/>
              <w:bottom w:val="single" w:color="auto" w:sz="4" w:space="0"/>
              <w:right w:val="single" w:color="auto" w:sz="4" w:space="0"/>
            </w:tcBorders>
            <w:shd w:val="clear" w:color="auto" w:fill="auto"/>
            <w:vAlign w:val="center"/>
          </w:tcPr>
          <w:p w14:paraId="2CC21855">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新增删除自主/委外清疏计划，并支持子计划的查看、复制、删除、批量编辑、派发、收回、批量派发。</w:t>
            </w:r>
          </w:p>
        </w:tc>
        <w:tc>
          <w:tcPr>
            <w:tcW w:w="6827" w:type="dxa"/>
            <w:tcBorders>
              <w:top w:val="nil"/>
              <w:left w:val="nil"/>
              <w:bottom w:val="single" w:color="auto" w:sz="4" w:space="0"/>
              <w:right w:val="single" w:color="auto" w:sz="4" w:space="0"/>
            </w:tcBorders>
            <w:shd w:val="clear" w:color="auto" w:fill="auto"/>
            <w:vAlign w:val="center"/>
          </w:tcPr>
          <w:p w14:paraId="64210F5D">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18"/>
                <w:szCs w:val="18"/>
              </w:rPr>
            </w:pPr>
            <w:r>
              <w:rPr>
                <w:rFonts w:hint="eastAsia" w:ascii="仿宋_GB2312" w:hAnsi="宋体" w:eastAsia="仿宋_GB2312" w:cs="宋体"/>
                <w:bCs/>
                <w:snapToGrid w:val="0"/>
                <w:color w:val="000000"/>
                <w:sz w:val="18"/>
                <w:szCs w:val="18"/>
              </w:rPr>
              <w:t>新增项目计划，可在分公司级别进行计划新增；删除未执行的清疏项目计划；（自主清疏）显示项目计划子计划列表；（自主清疏）可按照计划名称检索子计划信息；（自主清疏）可按照计划班组检索子计划信息；（自主清疏）新增子计划；（自主清疏）可删除选定的未派发执行的子计划；（自主清疏）可批量设定子计划预计起止时间和执行班组；（自主清疏）根据子计划设定的执行班组批量派发执行；（自主清疏）查看子计划详细信息，基本情况、涉及的管井管段；（自主清疏）复制子计划信息生成新子计划；（自主清疏）删除子计划；（自主清疏）子计划新增设定完毕，派发执行；（自主清疏）子计划未执行时收回；（自主清疏）可对子计划信息进行编辑调整；（自主清疏）登记子计划基础信息（计划名称、预计起止时间、执行班组、备注），设定计划网格，并可自定义绘制计划区域；（自主清疏）保存子计划基础信息；（自主清疏）返回计划列表；（自主清疏）显示管井总数；（自主清疏）可根据设施类型（污水、雨水、雨污合流）、管井类型（全部、检查井、雨水井、跌水井、水封井、冲洗井……）、项目类属等条件查看计划管井信息；（自主清疏）选定区域后列表展示该区域管井管段设施信息，可根据设施类型（雨水、污水、合流）进行过滤，并将选定的管井管段设施添加至项目计划中；（自主清疏）删除计划列表中的管井；（自主清疏）可根据设施编号进行精准定位搜索；（自主清疏）可通过多选按钮设定必打卡管井；（自主清疏）显示管井信息列表项（管井编号、项目类属、必打卡标识、开井数、管井类型），其中管井编号、项目类属、开井数可设定升降序显示，必打卡可设定管井是否必打卡标识；（自主清疏）可设定计划要求主干管开井比例、主干管开井数量、计划覆盖率要求（%）、非主干管开井比例（%）、非主干管开井数量，当app端提交计划时进行评估，app端可强制提交计划；（自主清疏）显示管段总数；（自主清疏）可根据设施类型（污水、雨水、雨污合流）、项目类属等条件查看计划管段信息；（自主清疏）选定区域后列表展示该区域管井管段设施信息，可根据设施类型（雨水、污水、合流）进行过滤，并将选定的管井管段设施添加至项目计划中；（自主清疏）删除计划列表中的管段；（自主清疏）可根据设施编号进行精准定位搜索；（自主清疏）可通过多选按钮设定必打卡管段；（自主清疏）显示管道信息列表项（管道编号、项目类属、必打卡标识、开井数、管道类型），其中管道编号、项目类属、开井数可设定升降序显示，必打卡可设定管段是否必打卡标识；（自主清疏）点击列表项中的管道编号可在地图进行定位，并标识；（委外清疏）显示项目计划子计划列表；（委外清疏）可按照计划名称检索子计划信息；（委外清疏）可按照计划班组检索子计划信息；（委外清疏）新增子计划；（委外清疏）可删除选定的未派发执行的子计划；（委外清疏）可批量设定子计划预计起止时间和执行班组；（委外清疏）根据子计划设定的执行班组批量派发执行；（委外清疏）查看子计划详细信息，基本情况、涉及的管井管段；（委外清疏）复制子计划信息生成新子计划；（委外清疏）删除子计划；（委外清疏）子计划新增设定完毕，派发执行；（委外清疏）子计划未执行时收回；（委外清疏）可对子计划信息进行编辑调整；（委外清疏）登记子计划基础信息（计划名称、预计起止时间、执行班组、供应商、备注），设定计划网格，并可自定义绘制计划区域；（委外清疏）保存子计划基础信息；（委外清疏）返回计划列表；（委外清疏）显示管井总数及**占比；（委外清疏）可根据设施类型（污水、雨水、雨污合流）、管井类型（全部、检查井、雨水井、跌水井、水封井、冲洗井……）、项目类属等条件查看计划管井信息；（委外清疏）选定区域后列表展示该区域管井管段设施信息，可根据设施类型（雨水、污水、合流）进行过滤，并将选定的管井管段设施添加至项目计划中；（委外清疏）删除计划列表中的管井；（委外清疏）可根据设施编号进行精准定位搜索；（委外清疏）可批量设定管井是否清疏（枚举值是/否）；（委外清疏）可批量设定封堵数量（枚举值0/1/2）；（委外清疏）可批量设定封堵类型；（委外清疏）可设定某设施井是否清疏；（委外清疏）可设定某设施井封堵数量；（委外清疏）可设定某设施井封堵类型；（委外清疏）显示管井信息列表项（管井编号、项目类属、是否清疏、封堵数量、封堵类型、管井类别），其中管井编号、项目类属可设定升降序显示；（委外清疏）点击列表项中的管井可在地图进行定位，并标识；（委外清疏）显示管道总数；（委外清疏）可根据设施类型（污水、雨水、雨污合流）、项目类属等条件查看计划管道信息；（委外清疏）选定区域后列表展示该区域管井管段设施信息，可根据设施类型（雨水、污水、合流）进行过滤，并将选定的管井管段设施添加至项目计划中；（委外清疏）删除计划列表中的管道；（委外清疏）可根据设施编号进行精准定位搜索；（委外清疏）可批量选择导排类型；（委外清疏）可批量选择检测类型；（委外清疏）可设定某设施管道导排类型；（委外清疏）可设定某设施管道检测类型；（委外清疏）显示管道信息列表项（管道编号、项目类属、导排类型、检测类型、管道类别），其中管道编号、项目类属可设定升降序显示；（委外清疏）点击列表项中的管道编号可在地图进行定位，并标识；（委外清疏）显示委外清疏工程量信息（委外项目、单位、计划工程量、实际工程量）；查看计划详细信息，基本情况、涉及的管井管段；复制计划信息生成新计划；删除计划；可批量设定计划预计开始结束时间和执行班组；计划新增设定完毕，派发执行；计划未执行时收回；可进行计划批量派发；复制项目计划信息生成新项目计划。</w:t>
            </w:r>
          </w:p>
        </w:tc>
      </w:tr>
      <w:tr w14:paraId="06EC915E">
        <w:tblPrEx>
          <w:tblCellMar>
            <w:top w:w="0" w:type="dxa"/>
            <w:left w:w="108" w:type="dxa"/>
            <w:bottom w:w="0" w:type="dxa"/>
            <w:right w:w="108" w:type="dxa"/>
          </w:tblCellMar>
        </w:tblPrEx>
        <w:trPr>
          <w:trHeight w:val="840" w:hRule="atLeast"/>
        </w:trPr>
        <w:tc>
          <w:tcPr>
            <w:tcW w:w="1094" w:type="dxa"/>
            <w:vMerge w:val="continue"/>
            <w:tcBorders>
              <w:top w:val="nil"/>
              <w:left w:val="single" w:color="auto" w:sz="4" w:space="0"/>
              <w:bottom w:val="single" w:color="auto" w:sz="4" w:space="0"/>
              <w:right w:val="single" w:color="auto" w:sz="4" w:space="0"/>
            </w:tcBorders>
            <w:vAlign w:val="center"/>
          </w:tcPr>
          <w:p w14:paraId="53412648">
            <w:pPr>
              <w:widowControl/>
              <w:autoSpaceDE/>
              <w:autoSpaceDN/>
              <w:adjustRightInd/>
              <w:snapToGrid w:val="0"/>
              <w:spacing w:beforeLines="-2147483648" w:afterLines="-2147483648" w:line="600" w:lineRule="exact"/>
              <w:ind w:firstLine="440" w:firstLineChars="200"/>
              <w:jc w:val="both"/>
              <w:rPr>
                <w:rFonts w:hint="eastAsia" w:ascii="仿宋_GB2312" w:hAnsi="宋体" w:eastAsia="仿宋_GB2312" w:cs="宋体"/>
                <w:bCs/>
                <w:snapToGrid w:val="0"/>
                <w:color w:val="00000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A9003A0">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清疏计划台账导出对比</w:t>
            </w:r>
          </w:p>
        </w:tc>
        <w:tc>
          <w:tcPr>
            <w:tcW w:w="3946" w:type="dxa"/>
            <w:tcBorders>
              <w:top w:val="nil"/>
              <w:left w:val="nil"/>
              <w:bottom w:val="single" w:color="auto" w:sz="4" w:space="0"/>
              <w:right w:val="single" w:color="auto" w:sz="4" w:space="0"/>
            </w:tcBorders>
            <w:shd w:val="clear" w:color="auto" w:fill="auto"/>
            <w:vAlign w:val="center"/>
          </w:tcPr>
          <w:p w14:paraId="605E94B3">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制定计划之后，可以看到计划中计划清疏的管井管段之前的清疏情况信息（时间、方式等等）。</w:t>
            </w:r>
          </w:p>
        </w:tc>
        <w:tc>
          <w:tcPr>
            <w:tcW w:w="6827" w:type="dxa"/>
            <w:tcBorders>
              <w:top w:val="nil"/>
              <w:left w:val="nil"/>
              <w:bottom w:val="single" w:color="auto" w:sz="4" w:space="0"/>
              <w:right w:val="single" w:color="auto" w:sz="4" w:space="0"/>
            </w:tcBorders>
            <w:shd w:val="clear" w:color="auto" w:fill="auto"/>
            <w:vAlign w:val="center"/>
          </w:tcPr>
          <w:p w14:paraId="2355C3DA">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18"/>
                <w:szCs w:val="18"/>
              </w:rPr>
            </w:pPr>
            <w:r>
              <w:rPr>
                <w:rFonts w:hint="eastAsia" w:ascii="仿宋_GB2312" w:hAnsi="宋体" w:eastAsia="仿宋_GB2312" w:cs="宋体"/>
                <w:bCs/>
                <w:snapToGrid w:val="0"/>
                <w:color w:val="000000"/>
                <w:sz w:val="18"/>
                <w:szCs w:val="18"/>
              </w:rPr>
              <w:t>制定计划之后，可以看到计划中计划清疏的管井管段之前的清疏情况信息（时间、方式等等），用以更好的工作计划安排。</w:t>
            </w:r>
          </w:p>
        </w:tc>
      </w:tr>
      <w:tr w14:paraId="54EE3A90">
        <w:tblPrEx>
          <w:tblCellMar>
            <w:top w:w="0" w:type="dxa"/>
            <w:left w:w="108" w:type="dxa"/>
            <w:bottom w:w="0" w:type="dxa"/>
            <w:right w:w="108" w:type="dxa"/>
          </w:tblCellMar>
        </w:tblPrEx>
        <w:trPr>
          <w:trHeight w:val="560" w:hRule="atLeast"/>
        </w:trPr>
        <w:tc>
          <w:tcPr>
            <w:tcW w:w="1094" w:type="dxa"/>
            <w:vMerge w:val="continue"/>
            <w:tcBorders>
              <w:top w:val="nil"/>
              <w:left w:val="single" w:color="auto" w:sz="4" w:space="0"/>
              <w:bottom w:val="single" w:color="auto" w:sz="4" w:space="0"/>
              <w:right w:val="single" w:color="auto" w:sz="4" w:space="0"/>
            </w:tcBorders>
            <w:vAlign w:val="center"/>
          </w:tcPr>
          <w:p w14:paraId="75D43888">
            <w:pPr>
              <w:widowControl/>
              <w:autoSpaceDE/>
              <w:autoSpaceDN/>
              <w:adjustRightInd/>
              <w:snapToGrid w:val="0"/>
              <w:spacing w:beforeLines="-2147483648" w:afterLines="-2147483648" w:line="600" w:lineRule="exact"/>
              <w:ind w:firstLine="440" w:firstLineChars="200"/>
              <w:jc w:val="both"/>
              <w:rPr>
                <w:rFonts w:hint="eastAsia" w:ascii="仿宋_GB2312" w:hAnsi="宋体" w:eastAsia="仿宋_GB2312" w:cs="宋体"/>
                <w:bCs/>
                <w:snapToGrid w:val="0"/>
                <w:color w:val="00000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4A04B8E">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清疏计划台账</w:t>
            </w:r>
          </w:p>
        </w:tc>
        <w:tc>
          <w:tcPr>
            <w:tcW w:w="3946" w:type="dxa"/>
            <w:tcBorders>
              <w:top w:val="nil"/>
              <w:left w:val="nil"/>
              <w:bottom w:val="single" w:color="auto" w:sz="4" w:space="0"/>
              <w:right w:val="single" w:color="auto" w:sz="4" w:space="0"/>
            </w:tcBorders>
            <w:shd w:val="clear" w:color="auto" w:fill="auto"/>
            <w:vAlign w:val="center"/>
          </w:tcPr>
          <w:p w14:paraId="5118D139">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计划制定后可导出计划信息，并生成管井管段封堵点图片。</w:t>
            </w:r>
          </w:p>
        </w:tc>
        <w:tc>
          <w:tcPr>
            <w:tcW w:w="6827" w:type="dxa"/>
            <w:tcBorders>
              <w:top w:val="nil"/>
              <w:left w:val="nil"/>
              <w:bottom w:val="single" w:color="auto" w:sz="4" w:space="0"/>
              <w:right w:val="single" w:color="auto" w:sz="4" w:space="0"/>
            </w:tcBorders>
            <w:shd w:val="clear" w:color="auto" w:fill="auto"/>
            <w:vAlign w:val="center"/>
          </w:tcPr>
          <w:p w14:paraId="390258B4">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18"/>
                <w:szCs w:val="18"/>
              </w:rPr>
            </w:pPr>
            <w:r>
              <w:rPr>
                <w:rFonts w:hint="eastAsia" w:ascii="仿宋_GB2312" w:hAnsi="宋体" w:eastAsia="仿宋_GB2312" w:cs="宋体"/>
                <w:bCs/>
                <w:snapToGrid w:val="0"/>
                <w:color w:val="000000"/>
                <w:sz w:val="18"/>
                <w:szCs w:val="18"/>
              </w:rPr>
              <w:t>计划制定后可导出计划信息，并生成地图中管井管段封堵点图片。</w:t>
            </w:r>
          </w:p>
        </w:tc>
      </w:tr>
      <w:tr w14:paraId="7F9F5D50">
        <w:tblPrEx>
          <w:tblCellMar>
            <w:top w:w="0" w:type="dxa"/>
            <w:left w:w="108" w:type="dxa"/>
            <w:bottom w:w="0" w:type="dxa"/>
            <w:right w:w="108" w:type="dxa"/>
          </w:tblCellMar>
        </w:tblPrEx>
        <w:trPr>
          <w:trHeight w:val="1920" w:hRule="atLeast"/>
        </w:trPr>
        <w:tc>
          <w:tcPr>
            <w:tcW w:w="1094" w:type="dxa"/>
            <w:vMerge w:val="continue"/>
            <w:tcBorders>
              <w:top w:val="nil"/>
              <w:left w:val="single" w:color="auto" w:sz="4" w:space="0"/>
              <w:bottom w:val="single" w:color="auto" w:sz="4" w:space="0"/>
              <w:right w:val="single" w:color="auto" w:sz="4" w:space="0"/>
            </w:tcBorders>
            <w:vAlign w:val="center"/>
          </w:tcPr>
          <w:p w14:paraId="78A0F865">
            <w:pPr>
              <w:widowControl/>
              <w:autoSpaceDE/>
              <w:autoSpaceDN/>
              <w:adjustRightInd/>
              <w:snapToGrid w:val="0"/>
              <w:spacing w:beforeLines="-2147483648" w:afterLines="-2147483648" w:line="600" w:lineRule="exact"/>
              <w:ind w:firstLine="440" w:firstLineChars="200"/>
              <w:jc w:val="both"/>
              <w:rPr>
                <w:rFonts w:hint="eastAsia" w:ascii="仿宋_GB2312" w:hAnsi="宋体" w:eastAsia="仿宋_GB2312" w:cs="宋体"/>
                <w:bCs/>
                <w:snapToGrid w:val="0"/>
                <w:color w:val="00000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D9B4F27">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检测一张图</w:t>
            </w:r>
          </w:p>
        </w:tc>
        <w:tc>
          <w:tcPr>
            <w:tcW w:w="3946" w:type="dxa"/>
            <w:tcBorders>
              <w:top w:val="nil"/>
              <w:left w:val="nil"/>
              <w:bottom w:val="single" w:color="auto" w:sz="4" w:space="0"/>
              <w:right w:val="single" w:color="auto" w:sz="4" w:space="0"/>
            </w:tcBorders>
            <w:shd w:val="clear" w:color="auto" w:fill="auto"/>
            <w:vAlign w:val="center"/>
          </w:tcPr>
          <w:p w14:paraId="2A68E148">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在地图中对检测历史检测管段、管井按照检测次数进行不同颜色标识，并可根据相关条件进行查询展示。</w:t>
            </w:r>
          </w:p>
        </w:tc>
        <w:tc>
          <w:tcPr>
            <w:tcW w:w="6827" w:type="dxa"/>
            <w:tcBorders>
              <w:top w:val="nil"/>
              <w:left w:val="nil"/>
              <w:bottom w:val="single" w:color="auto" w:sz="4" w:space="0"/>
              <w:right w:val="single" w:color="auto" w:sz="4" w:space="0"/>
            </w:tcBorders>
            <w:shd w:val="clear" w:color="auto" w:fill="auto"/>
            <w:vAlign w:val="center"/>
          </w:tcPr>
          <w:p w14:paraId="08E9C41E">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18"/>
                <w:szCs w:val="18"/>
              </w:rPr>
            </w:pPr>
            <w:r>
              <w:rPr>
                <w:rFonts w:hint="eastAsia" w:ascii="仿宋_GB2312" w:hAnsi="宋体" w:eastAsia="仿宋_GB2312" w:cs="宋体"/>
                <w:bCs/>
                <w:snapToGrid w:val="0"/>
                <w:color w:val="000000"/>
                <w:sz w:val="18"/>
                <w:szCs w:val="18"/>
              </w:rPr>
              <w:t>在GIS在地图中对检测历史检测管段、管井按照检测次数进行不同颜色标识;根据需求对地图展示结果的显示定制（如分公司、镇街、时间段等）；设施历史检测记录概况的列表展示（如设施编号、地址、检测次数）及历史检测记录信息导出；某设施历史检测记录概况列表（如设施编号、检测日期、地址）及设施历史检测记录详情；地图点击设施后检测信息展示。</w:t>
            </w:r>
          </w:p>
        </w:tc>
      </w:tr>
      <w:tr w14:paraId="4680D42D">
        <w:tblPrEx>
          <w:tblCellMar>
            <w:top w:w="0" w:type="dxa"/>
            <w:left w:w="108" w:type="dxa"/>
            <w:bottom w:w="0" w:type="dxa"/>
            <w:right w:w="108" w:type="dxa"/>
          </w:tblCellMar>
        </w:tblPrEx>
        <w:trPr>
          <w:trHeight w:val="8190" w:hRule="atLeast"/>
        </w:trPr>
        <w:tc>
          <w:tcPr>
            <w:tcW w:w="1094" w:type="dxa"/>
            <w:vMerge w:val="continue"/>
            <w:tcBorders>
              <w:top w:val="nil"/>
              <w:left w:val="single" w:color="auto" w:sz="4" w:space="0"/>
              <w:bottom w:val="single" w:color="auto" w:sz="4" w:space="0"/>
              <w:right w:val="single" w:color="auto" w:sz="4" w:space="0"/>
            </w:tcBorders>
            <w:vAlign w:val="center"/>
          </w:tcPr>
          <w:p w14:paraId="6D1CDCB1">
            <w:pPr>
              <w:widowControl/>
              <w:autoSpaceDE/>
              <w:autoSpaceDN/>
              <w:adjustRightInd/>
              <w:snapToGrid w:val="0"/>
              <w:spacing w:beforeLines="-2147483648" w:afterLines="-2147483648" w:line="600" w:lineRule="exact"/>
              <w:ind w:firstLine="440" w:firstLineChars="200"/>
              <w:jc w:val="both"/>
              <w:rPr>
                <w:rFonts w:hint="eastAsia" w:ascii="仿宋_GB2312" w:hAnsi="宋体" w:eastAsia="仿宋_GB2312" w:cs="宋体"/>
                <w:bCs/>
                <w:snapToGrid w:val="0"/>
                <w:color w:val="00000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07FD082">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检测计划</w:t>
            </w:r>
          </w:p>
        </w:tc>
        <w:tc>
          <w:tcPr>
            <w:tcW w:w="3946" w:type="dxa"/>
            <w:tcBorders>
              <w:top w:val="nil"/>
              <w:left w:val="nil"/>
              <w:bottom w:val="single" w:color="auto" w:sz="4" w:space="0"/>
              <w:right w:val="single" w:color="auto" w:sz="4" w:space="0"/>
            </w:tcBorders>
            <w:shd w:val="clear" w:color="auto" w:fill="auto"/>
            <w:vAlign w:val="center"/>
          </w:tcPr>
          <w:p w14:paraId="0B1854AF">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新增删除自主/委外检测计划，并支持子计划的查看、复制、删除、批量编辑、派发、收回、批量派发。</w:t>
            </w:r>
          </w:p>
        </w:tc>
        <w:tc>
          <w:tcPr>
            <w:tcW w:w="6827" w:type="dxa"/>
            <w:tcBorders>
              <w:top w:val="nil"/>
              <w:left w:val="nil"/>
              <w:bottom w:val="single" w:color="auto" w:sz="4" w:space="0"/>
              <w:right w:val="single" w:color="auto" w:sz="4" w:space="0"/>
            </w:tcBorders>
            <w:shd w:val="clear" w:color="auto" w:fill="auto"/>
            <w:vAlign w:val="center"/>
          </w:tcPr>
          <w:p w14:paraId="4CE6A502">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18"/>
                <w:szCs w:val="18"/>
              </w:rPr>
            </w:pPr>
            <w:r>
              <w:rPr>
                <w:rFonts w:hint="eastAsia" w:ascii="仿宋_GB2312" w:hAnsi="宋体" w:eastAsia="仿宋_GB2312" w:cs="宋体"/>
                <w:bCs/>
                <w:snapToGrid w:val="0"/>
                <w:color w:val="000000"/>
                <w:sz w:val="18"/>
                <w:szCs w:val="18"/>
              </w:rPr>
              <w:t>新增项目计划，可在分公司级别进行计划新增；删除未执行的检测项目计划；（自主检测）显示项目计划子计划列表；（自主检测）可按照计划名称检索子计划信息；（自主检测）可按照计划班组检索子计划信息；（自主检测）新增子计划；（自主检测）可删除选定的未派发执行的子计划；（自主检测）可批量设定子计划预计起止时间和执行班组；（自主检测）根据子计划设定的执行班组批量派发执行；（自主检测）查看子计划详细信息，基本情况、涉及的管井管段；（自主检测）复制子计划信息生成新子计划；（自主检测）删除子计划；（自主检测）子计划新增设定完毕，派发执行；（自主检测）子计划未执行时收回；（自主检测）可对子计划信息进行编辑调整；（自主检测）登记子计划基础信息（计划名称、预计起止时间、执行班组、备注），设定计划网格，并可自定义绘制计划区域；（自主检测）保存子计划基础信息；（自主检测）返回计划列表；（自主检测）显示管段总数；（自主检测）可根据设施类型（污水、雨水、雨污合流）、项目类属等条件查看计划管段信息；（自主检测）选定区域后列表展示该区域管井管段设施信息，可根据设施类型（雨水、污水、合流）进行过滤，并将选定的管井管段设施添加至项目计划中；（自主检测）删除计划列表中的管段；（自主检测）可根据设施编号进行精准定位搜索；（自主检测）可通过多选按钮设定必打卡管段；（自主检测）显示管道信息列表项（管道编号、项目类属、必打卡标识、开井数、管道类型），其中管道编号、项目类属、开井数可设定升降序显示，必打卡可设定管井是否必打卡标识；（自主检测）点击列表项中的管道编号可在地图进行定位，并标识；（委外检测）显示项目计划子计划列表；（委外检测）可按照计划名称检索子计划信息；（委外检测）可按照计划班组检索子计划信息；（委外检测）新增子计划；（委外检测）可删除选定的未派发执行的子计划；（委外检测）可批量设定子计划预计起止时间和执行班组；（委外检测）根据子计划设定的执行班组批量派发执行；（委外检测）查看子计划详细信息，基本情况、涉及的管井管段；（委外检测）复制子计划信息生成新子计划；（委外检测）删除子计划；（委外检测）子计划新增设定完毕，派发执行；（委外检测）子计划未执行时收回；（委外检测）可对子计划信息进行编辑调整；（委外检测）登记子计划基础信息（计划名称、预计起止时间、执行班组、供应商、备注），设定计划网格，并可自定义绘制计划区域；（委外检测）保存子计划基础信息；（委外检测）返回计划列表；（委外检测）显示管段总数；（委外检测）可根据设施类型（污水、雨水、雨污合流）、项目类属等条件查看计划管井信息；（委外检测）选定区域后列表展示该区域管井管段设施信息，可根据设施类型（雨水、污水、合流）进行过滤，并将选定的管井管段设施添加至项目计划中；（委外检测）删除计划列表中的管段；（委外检测）可根据设施编号进行精准定位搜索；（委外检测）显示管道信息列表项（管道编号、项目类属、导排类型、检测类型、管道类别），其中管道编号、项目类属可设定升降序显示；（委外检测）点击列表项中的管道编号可在地图进行定位，并标识；查看计划详细信息，基本情况、涉及的管井管段；复制计划信息生成新计划；删除计划；可批量设定计划预计开始结束时间和执行班组；计划新增设定完毕，派发执行；计划未执行时收回；可进行计划批量派发；复制项目计划信息生成新项目计划。</w:t>
            </w:r>
          </w:p>
        </w:tc>
      </w:tr>
      <w:tr w14:paraId="3601997E">
        <w:tblPrEx>
          <w:tblCellMar>
            <w:top w:w="0" w:type="dxa"/>
            <w:left w:w="108" w:type="dxa"/>
            <w:bottom w:w="0" w:type="dxa"/>
            <w:right w:w="108" w:type="dxa"/>
          </w:tblCellMar>
        </w:tblPrEx>
        <w:trPr>
          <w:trHeight w:val="840" w:hRule="atLeast"/>
        </w:trPr>
        <w:tc>
          <w:tcPr>
            <w:tcW w:w="1094" w:type="dxa"/>
            <w:vMerge w:val="continue"/>
            <w:tcBorders>
              <w:top w:val="nil"/>
              <w:left w:val="single" w:color="auto" w:sz="4" w:space="0"/>
              <w:bottom w:val="single" w:color="auto" w:sz="4" w:space="0"/>
              <w:right w:val="single" w:color="auto" w:sz="4" w:space="0"/>
            </w:tcBorders>
            <w:vAlign w:val="center"/>
          </w:tcPr>
          <w:p w14:paraId="4576384B">
            <w:pPr>
              <w:widowControl/>
              <w:autoSpaceDE/>
              <w:autoSpaceDN/>
              <w:adjustRightInd/>
              <w:snapToGrid w:val="0"/>
              <w:spacing w:beforeLines="-2147483648" w:afterLines="-2147483648" w:line="600" w:lineRule="exact"/>
              <w:ind w:firstLine="440" w:firstLineChars="200"/>
              <w:jc w:val="both"/>
              <w:rPr>
                <w:rFonts w:hint="eastAsia" w:ascii="仿宋_GB2312" w:hAnsi="宋体" w:eastAsia="仿宋_GB2312" w:cs="宋体"/>
                <w:bCs/>
                <w:snapToGrid w:val="0"/>
                <w:color w:val="00000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84E17E2">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检测计划台账导出对比</w:t>
            </w:r>
          </w:p>
        </w:tc>
        <w:tc>
          <w:tcPr>
            <w:tcW w:w="3946" w:type="dxa"/>
            <w:tcBorders>
              <w:top w:val="nil"/>
              <w:left w:val="nil"/>
              <w:bottom w:val="single" w:color="auto" w:sz="4" w:space="0"/>
              <w:right w:val="single" w:color="auto" w:sz="4" w:space="0"/>
            </w:tcBorders>
            <w:shd w:val="clear" w:color="auto" w:fill="auto"/>
            <w:vAlign w:val="center"/>
          </w:tcPr>
          <w:p w14:paraId="2662A1F3">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制定计划之后，可以看到计划中计划检测的管井管段之前的检测情况信息（时间、方式等等）。</w:t>
            </w:r>
          </w:p>
        </w:tc>
        <w:tc>
          <w:tcPr>
            <w:tcW w:w="6827" w:type="dxa"/>
            <w:tcBorders>
              <w:top w:val="nil"/>
              <w:left w:val="nil"/>
              <w:bottom w:val="single" w:color="auto" w:sz="4" w:space="0"/>
              <w:right w:val="single" w:color="auto" w:sz="4" w:space="0"/>
            </w:tcBorders>
            <w:shd w:val="clear" w:color="auto" w:fill="auto"/>
            <w:vAlign w:val="center"/>
          </w:tcPr>
          <w:p w14:paraId="408F0F92">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18"/>
                <w:szCs w:val="18"/>
              </w:rPr>
            </w:pPr>
            <w:r>
              <w:rPr>
                <w:rFonts w:hint="eastAsia" w:ascii="仿宋_GB2312" w:hAnsi="宋体" w:eastAsia="仿宋_GB2312" w:cs="宋体"/>
                <w:bCs/>
                <w:snapToGrid w:val="0"/>
                <w:color w:val="000000"/>
                <w:sz w:val="18"/>
                <w:szCs w:val="18"/>
              </w:rPr>
              <w:t>制定计划之后，可以看到计划中计划检测的管井管段之前的检测情况信息（时间、方式等等），用于更好的检测计划工作安排。</w:t>
            </w:r>
          </w:p>
        </w:tc>
      </w:tr>
      <w:tr w14:paraId="6A77EAFD">
        <w:tblPrEx>
          <w:tblCellMar>
            <w:top w:w="0" w:type="dxa"/>
            <w:left w:w="108" w:type="dxa"/>
            <w:bottom w:w="0" w:type="dxa"/>
            <w:right w:w="108" w:type="dxa"/>
          </w:tblCellMar>
        </w:tblPrEx>
        <w:trPr>
          <w:trHeight w:val="560" w:hRule="atLeast"/>
        </w:trPr>
        <w:tc>
          <w:tcPr>
            <w:tcW w:w="1094" w:type="dxa"/>
            <w:vMerge w:val="continue"/>
            <w:tcBorders>
              <w:top w:val="nil"/>
              <w:left w:val="single" w:color="auto" w:sz="4" w:space="0"/>
              <w:bottom w:val="single" w:color="auto" w:sz="4" w:space="0"/>
              <w:right w:val="single" w:color="auto" w:sz="4" w:space="0"/>
            </w:tcBorders>
            <w:vAlign w:val="center"/>
          </w:tcPr>
          <w:p w14:paraId="26AAD2E6">
            <w:pPr>
              <w:widowControl/>
              <w:autoSpaceDE/>
              <w:autoSpaceDN/>
              <w:adjustRightInd/>
              <w:snapToGrid w:val="0"/>
              <w:spacing w:beforeLines="-2147483648" w:afterLines="-2147483648" w:line="600" w:lineRule="exact"/>
              <w:ind w:firstLine="440" w:firstLineChars="200"/>
              <w:jc w:val="both"/>
              <w:rPr>
                <w:rFonts w:hint="eastAsia" w:ascii="仿宋_GB2312" w:hAnsi="宋体" w:eastAsia="仿宋_GB2312" w:cs="宋体"/>
                <w:bCs/>
                <w:snapToGrid w:val="0"/>
                <w:color w:val="00000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96D7E71">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GIS地图设施查询</w:t>
            </w:r>
          </w:p>
        </w:tc>
        <w:tc>
          <w:tcPr>
            <w:tcW w:w="3946" w:type="dxa"/>
            <w:tcBorders>
              <w:top w:val="nil"/>
              <w:left w:val="nil"/>
              <w:bottom w:val="single" w:color="auto" w:sz="4" w:space="0"/>
              <w:right w:val="single" w:color="auto" w:sz="4" w:space="0"/>
            </w:tcBorders>
            <w:shd w:val="clear" w:color="auto" w:fill="auto"/>
            <w:vAlign w:val="center"/>
          </w:tcPr>
          <w:p w14:paraId="74754342">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展示设施历史清疏、检测、维修、巡查信息。</w:t>
            </w:r>
          </w:p>
        </w:tc>
        <w:tc>
          <w:tcPr>
            <w:tcW w:w="6827" w:type="dxa"/>
            <w:tcBorders>
              <w:top w:val="nil"/>
              <w:left w:val="nil"/>
              <w:bottom w:val="single" w:color="auto" w:sz="4" w:space="0"/>
              <w:right w:val="single" w:color="auto" w:sz="4" w:space="0"/>
            </w:tcBorders>
            <w:shd w:val="clear" w:color="auto" w:fill="auto"/>
            <w:vAlign w:val="center"/>
          </w:tcPr>
          <w:p w14:paraId="0E5D2F95">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18"/>
                <w:szCs w:val="18"/>
              </w:rPr>
            </w:pPr>
            <w:r>
              <w:rPr>
                <w:rFonts w:hint="eastAsia" w:ascii="仿宋_GB2312" w:hAnsi="宋体" w:eastAsia="仿宋_GB2312" w:cs="宋体"/>
                <w:bCs/>
                <w:snapToGrid w:val="0"/>
                <w:color w:val="000000"/>
                <w:sz w:val="18"/>
                <w:szCs w:val="18"/>
              </w:rPr>
              <w:t>展示信息设计展示设施的历史清疏、检测、维修、巡查、问题上报、外部施工等所有历史工作信息。</w:t>
            </w:r>
          </w:p>
        </w:tc>
      </w:tr>
      <w:tr w14:paraId="5B98455A">
        <w:tblPrEx>
          <w:tblCellMar>
            <w:top w:w="0" w:type="dxa"/>
            <w:left w:w="108" w:type="dxa"/>
            <w:bottom w:w="0" w:type="dxa"/>
            <w:right w:w="108" w:type="dxa"/>
          </w:tblCellMar>
        </w:tblPrEx>
        <w:trPr>
          <w:trHeight w:val="1200" w:hRule="atLeast"/>
        </w:trPr>
        <w:tc>
          <w:tcPr>
            <w:tcW w:w="1094" w:type="dxa"/>
            <w:vMerge w:val="continue"/>
            <w:tcBorders>
              <w:top w:val="nil"/>
              <w:left w:val="single" w:color="auto" w:sz="4" w:space="0"/>
              <w:bottom w:val="single" w:color="auto" w:sz="4" w:space="0"/>
              <w:right w:val="single" w:color="auto" w:sz="4" w:space="0"/>
            </w:tcBorders>
            <w:vAlign w:val="center"/>
          </w:tcPr>
          <w:p w14:paraId="2ECDF26D">
            <w:pPr>
              <w:widowControl/>
              <w:autoSpaceDE/>
              <w:autoSpaceDN/>
              <w:adjustRightInd/>
              <w:snapToGrid w:val="0"/>
              <w:spacing w:beforeLines="-2147483648" w:afterLines="-2147483648" w:line="600" w:lineRule="exact"/>
              <w:ind w:firstLine="440" w:firstLineChars="200"/>
              <w:jc w:val="both"/>
              <w:rPr>
                <w:rFonts w:hint="eastAsia" w:ascii="仿宋_GB2312" w:hAnsi="宋体" w:eastAsia="仿宋_GB2312" w:cs="宋体"/>
                <w:bCs/>
                <w:snapToGrid w:val="0"/>
                <w:color w:val="00000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EC06B14">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泵站管理</w:t>
            </w:r>
          </w:p>
        </w:tc>
        <w:tc>
          <w:tcPr>
            <w:tcW w:w="3946" w:type="dxa"/>
            <w:tcBorders>
              <w:top w:val="nil"/>
              <w:left w:val="nil"/>
              <w:bottom w:val="single" w:color="auto" w:sz="4" w:space="0"/>
              <w:right w:val="single" w:color="auto" w:sz="4" w:space="0"/>
            </w:tcBorders>
            <w:shd w:val="clear" w:color="auto" w:fill="auto"/>
            <w:vAlign w:val="center"/>
          </w:tcPr>
          <w:p w14:paraId="2A6110CD">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泵站巡检记录，泵站养护计划增加编辑功能。</w:t>
            </w:r>
          </w:p>
        </w:tc>
        <w:tc>
          <w:tcPr>
            <w:tcW w:w="6827" w:type="dxa"/>
            <w:tcBorders>
              <w:top w:val="nil"/>
              <w:left w:val="nil"/>
              <w:bottom w:val="single" w:color="auto" w:sz="4" w:space="0"/>
              <w:right w:val="single" w:color="auto" w:sz="4" w:space="0"/>
            </w:tcBorders>
            <w:shd w:val="clear" w:color="auto" w:fill="auto"/>
            <w:vAlign w:val="center"/>
          </w:tcPr>
          <w:p w14:paraId="5C3BDD6E">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18"/>
                <w:szCs w:val="18"/>
              </w:rPr>
            </w:pPr>
            <w:r>
              <w:rPr>
                <w:rFonts w:hint="eastAsia" w:ascii="仿宋_GB2312" w:hAnsi="宋体" w:eastAsia="仿宋_GB2312" w:cs="宋体"/>
                <w:bCs/>
                <w:snapToGrid w:val="0"/>
                <w:color w:val="000000"/>
                <w:sz w:val="18"/>
                <w:szCs w:val="18"/>
              </w:rPr>
              <w:t>支持记录泵站巡检情况，并在发现问题时跳转至问题上报及养护；已制定的泵站养护计划目前无编辑调整功能，新增编辑调整功能，方便计划内容的准确有效设置，同时网页及导出的泵站养护计划能清晰标注出养护计划调整内容及备注。</w:t>
            </w:r>
          </w:p>
        </w:tc>
      </w:tr>
      <w:tr w14:paraId="1609BFCA">
        <w:tblPrEx>
          <w:tblCellMar>
            <w:top w:w="0" w:type="dxa"/>
            <w:left w:w="108" w:type="dxa"/>
            <w:bottom w:w="0" w:type="dxa"/>
            <w:right w:w="108" w:type="dxa"/>
          </w:tblCellMar>
        </w:tblPrEx>
        <w:trPr>
          <w:trHeight w:val="1960" w:hRule="atLeast"/>
        </w:trPr>
        <w:tc>
          <w:tcPr>
            <w:tcW w:w="1094" w:type="dxa"/>
            <w:vMerge w:val="continue"/>
            <w:tcBorders>
              <w:top w:val="nil"/>
              <w:left w:val="single" w:color="auto" w:sz="4" w:space="0"/>
              <w:bottom w:val="single" w:color="auto" w:sz="4" w:space="0"/>
              <w:right w:val="single" w:color="auto" w:sz="4" w:space="0"/>
            </w:tcBorders>
            <w:vAlign w:val="center"/>
          </w:tcPr>
          <w:p w14:paraId="0EB82F8B">
            <w:pPr>
              <w:widowControl/>
              <w:autoSpaceDE/>
              <w:autoSpaceDN/>
              <w:adjustRightInd/>
              <w:snapToGrid w:val="0"/>
              <w:spacing w:beforeLines="-2147483648" w:afterLines="-2147483648" w:line="600" w:lineRule="exact"/>
              <w:ind w:firstLine="440" w:firstLineChars="200"/>
              <w:jc w:val="both"/>
              <w:rPr>
                <w:rFonts w:hint="eastAsia" w:ascii="仿宋_GB2312" w:hAnsi="宋体" w:eastAsia="仿宋_GB2312" w:cs="宋体"/>
                <w:bCs/>
                <w:snapToGrid w:val="0"/>
                <w:color w:val="00000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D59D55D">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台账管理</w:t>
            </w:r>
          </w:p>
        </w:tc>
        <w:tc>
          <w:tcPr>
            <w:tcW w:w="3946" w:type="dxa"/>
            <w:tcBorders>
              <w:top w:val="nil"/>
              <w:left w:val="nil"/>
              <w:bottom w:val="single" w:color="auto" w:sz="4" w:space="0"/>
              <w:right w:val="single" w:color="auto" w:sz="4" w:space="0"/>
            </w:tcBorders>
            <w:shd w:val="clear" w:color="auto" w:fill="auto"/>
            <w:vAlign w:val="center"/>
          </w:tcPr>
          <w:p w14:paraId="2D406967">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截流井：在网格化模块中单列一个截流井模块，可在web端内直接看到具体台账以及截流井具体信息并进行截流井状态的更新；异常轨迹台账：根据镇街分公司检索异常轨迹人员并展示人员异常轨迹台账（人员、镇街分公司、停留起始时间、结束时间、停留时长）。</w:t>
            </w:r>
          </w:p>
        </w:tc>
        <w:tc>
          <w:tcPr>
            <w:tcW w:w="6827" w:type="dxa"/>
            <w:tcBorders>
              <w:top w:val="nil"/>
              <w:left w:val="nil"/>
              <w:bottom w:val="single" w:color="auto" w:sz="4" w:space="0"/>
              <w:right w:val="single" w:color="auto" w:sz="4" w:space="0"/>
            </w:tcBorders>
            <w:shd w:val="clear" w:color="auto" w:fill="auto"/>
            <w:vAlign w:val="center"/>
          </w:tcPr>
          <w:p w14:paraId="7469E0BC">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18"/>
                <w:szCs w:val="18"/>
              </w:rPr>
            </w:pPr>
            <w:r>
              <w:rPr>
                <w:rFonts w:hint="eastAsia" w:ascii="仿宋_GB2312" w:hAnsi="宋体" w:eastAsia="仿宋_GB2312" w:cs="宋体"/>
                <w:bCs/>
                <w:snapToGrid w:val="0"/>
                <w:color w:val="000000"/>
                <w:sz w:val="18"/>
                <w:szCs w:val="18"/>
              </w:rPr>
              <w:t>截流井：单列一个截流井模块，可在web端内根据分公司、镇街、项目类属、截流井状态等筛选条件看到具体台账以及截流井具体基础信息、截流井清疏次数同时可进行截流井状态的更新；异常轨迹台账：根据镇街分公司检索异常轨迹人员并展示人员异常轨迹台账（人员、镇街分公司、停留起始时间、结束时间、停留时长）。</w:t>
            </w:r>
          </w:p>
        </w:tc>
      </w:tr>
      <w:tr w14:paraId="7E25EF98">
        <w:tblPrEx>
          <w:tblCellMar>
            <w:top w:w="0" w:type="dxa"/>
            <w:left w:w="108" w:type="dxa"/>
            <w:bottom w:w="0" w:type="dxa"/>
            <w:right w:w="108" w:type="dxa"/>
          </w:tblCellMar>
        </w:tblPrEx>
        <w:trPr>
          <w:trHeight w:val="960" w:hRule="atLeast"/>
        </w:trPr>
        <w:tc>
          <w:tcPr>
            <w:tcW w:w="1094" w:type="dxa"/>
            <w:vMerge w:val="continue"/>
            <w:tcBorders>
              <w:top w:val="nil"/>
              <w:left w:val="single" w:color="auto" w:sz="4" w:space="0"/>
              <w:bottom w:val="single" w:color="auto" w:sz="4" w:space="0"/>
              <w:right w:val="single" w:color="auto" w:sz="4" w:space="0"/>
            </w:tcBorders>
            <w:vAlign w:val="center"/>
          </w:tcPr>
          <w:p w14:paraId="75907F2B">
            <w:pPr>
              <w:widowControl/>
              <w:autoSpaceDE/>
              <w:autoSpaceDN/>
              <w:adjustRightInd/>
              <w:snapToGrid w:val="0"/>
              <w:spacing w:beforeLines="-2147483648" w:afterLines="-2147483648" w:line="600" w:lineRule="exact"/>
              <w:ind w:firstLine="440" w:firstLineChars="200"/>
              <w:jc w:val="both"/>
              <w:rPr>
                <w:rFonts w:hint="eastAsia" w:ascii="仿宋_GB2312" w:hAnsi="宋体" w:eastAsia="仿宋_GB2312" w:cs="宋体"/>
                <w:bCs/>
                <w:snapToGrid w:val="0"/>
                <w:color w:val="000000"/>
                <w:sz w:val="22"/>
                <w:szCs w:val="22"/>
              </w:rPr>
            </w:pPr>
          </w:p>
        </w:tc>
        <w:tc>
          <w:tcPr>
            <w:tcW w:w="2020" w:type="dxa"/>
            <w:tcBorders>
              <w:top w:val="nil"/>
              <w:left w:val="nil"/>
              <w:bottom w:val="single" w:color="auto" w:sz="4" w:space="0"/>
              <w:right w:val="single" w:color="auto" w:sz="4" w:space="0"/>
            </w:tcBorders>
            <w:shd w:val="clear" w:color="000000" w:fill="FFFFFF"/>
            <w:vAlign w:val="center"/>
          </w:tcPr>
          <w:p w14:paraId="016F2B8F">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其他功能</w:t>
            </w:r>
          </w:p>
        </w:tc>
        <w:tc>
          <w:tcPr>
            <w:tcW w:w="3946" w:type="dxa"/>
            <w:tcBorders>
              <w:top w:val="nil"/>
              <w:left w:val="nil"/>
              <w:bottom w:val="single" w:color="auto" w:sz="4" w:space="0"/>
              <w:right w:val="single" w:color="auto" w:sz="4" w:space="0"/>
            </w:tcBorders>
            <w:shd w:val="clear" w:color="000000" w:fill="FFFFFF"/>
            <w:vAlign w:val="center"/>
          </w:tcPr>
          <w:p w14:paraId="3928F129">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其他日常工作可对水质检测指标值进行上报及后续编辑。</w:t>
            </w:r>
          </w:p>
        </w:tc>
        <w:tc>
          <w:tcPr>
            <w:tcW w:w="6827" w:type="dxa"/>
            <w:tcBorders>
              <w:top w:val="nil"/>
              <w:left w:val="nil"/>
              <w:bottom w:val="single" w:color="auto" w:sz="4" w:space="0"/>
              <w:right w:val="single" w:color="auto" w:sz="4" w:space="0"/>
            </w:tcBorders>
            <w:shd w:val="clear" w:color="000000" w:fill="FFFFFF"/>
            <w:vAlign w:val="center"/>
          </w:tcPr>
          <w:p w14:paraId="092AFA2C">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18"/>
                <w:szCs w:val="18"/>
              </w:rPr>
            </w:pPr>
            <w:r>
              <w:rPr>
                <w:rFonts w:hint="eastAsia" w:ascii="仿宋_GB2312" w:hAnsi="宋体" w:eastAsia="仿宋_GB2312" w:cs="宋体"/>
                <w:bCs/>
                <w:snapToGrid w:val="0"/>
                <w:color w:val="000000"/>
                <w:sz w:val="18"/>
                <w:szCs w:val="18"/>
              </w:rPr>
              <w:t>增加对水质检测指标值编辑功能，以便对水质检测指标进行上报及后续变更调整。</w:t>
            </w:r>
          </w:p>
        </w:tc>
      </w:tr>
      <w:tr w14:paraId="76E5D7BA">
        <w:tblPrEx>
          <w:tblCellMar>
            <w:top w:w="0" w:type="dxa"/>
            <w:left w:w="108" w:type="dxa"/>
            <w:bottom w:w="0" w:type="dxa"/>
            <w:right w:w="108" w:type="dxa"/>
          </w:tblCellMar>
        </w:tblPrEx>
        <w:trPr>
          <w:trHeight w:val="750" w:hRule="atLeast"/>
        </w:trPr>
        <w:tc>
          <w:tcPr>
            <w:tcW w:w="1094" w:type="dxa"/>
            <w:vMerge w:val="restart"/>
            <w:tcBorders>
              <w:top w:val="nil"/>
              <w:left w:val="single" w:color="auto" w:sz="4" w:space="0"/>
              <w:bottom w:val="single" w:color="auto" w:sz="4" w:space="0"/>
              <w:right w:val="single" w:color="auto" w:sz="4" w:space="0"/>
            </w:tcBorders>
            <w:shd w:val="clear" w:color="auto" w:fill="auto"/>
            <w:vAlign w:val="center"/>
          </w:tcPr>
          <w:p w14:paraId="42A31590">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app端</w:t>
            </w:r>
          </w:p>
        </w:tc>
        <w:tc>
          <w:tcPr>
            <w:tcW w:w="2020" w:type="dxa"/>
            <w:tcBorders>
              <w:top w:val="nil"/>
              <w:left w:val="nil"/>
              <w:bottom w:val="single" w:color="auto" w:sz="4" w:space="0"/>
              <w:right w:val="single" w:color="auto" w:sz="4" w:space="0"/>
            </w:tcBorders>
            <w:shd w:val="clear" w:color="auto" w:fill="auto"/>
            <w:vAlign w:val="center"/>
          </w:tcPr>
          <w:p w14:paraId="382E7FC7">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设施历史工作记录</w:t>
            </w:r>
          </w:p>
        </w:tc>
        <w:tc>
          <w:tcPr>
            <w:tcW w:w="3946" w:type="dxa"/>
            <w:tcBorders>
              <w:top w:val="nil"/>
              <w:left w:val="nil"/>
              <w:bottom w:val="single" w:color="auto" w:sz="4" w:space="0"/>
              <w:right w:val="single" w:color="auto" w:sz="4" w:space="0"/>
            </w:tcBorders>
            <w:shd w:val="clear" w:color="auto" w:fill="auto"/>
            <w:vAlign w:val="center"/>
          </w:tcPr>
          <w:p w14:paraId="592C5AEC">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查看设施详情时，可展示设施历史工作记录。</w:t>
            </w:r>
          </w:p>
        </w:tc>
        <w:tc>
          <w:tcPr>
            <w:tcW w:w="6827" w:type="dxa"/>
            <w:tcBorders>
              <w:top w:val="nil"/>
              <w:left w:val="nil"/>
              <w:bottom w:val="single" w:color="auto" w:sz="4" w:space="0"/>
              <w:right w:val="single" w:color="auto" w:sz="4" w:space="0"/>
            </w:tcBorders>
            <w:shd w:val="clear" w:color="000000" w:fill="FFFFFF"/>
            <w:vAlign w:val="center"/>
          </w:tcPr>
          <w:p w14:paraId="4F35E78F">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18"/>
                <w:szCs w:val="18"/>
              </w:rPr>
            </w:pPr>
            <w:r>
              <w:rPr>
                <w:rFonts w:hint="eastAsia" w:ascii="仿宋_GB2312" w:hAnsi="宋体" w:eastAsia="仿宋_GB2312" w:cs="宋体"/>
                <w:bCs/>
                <w:snapToGrid w:val="0"/>
                <w:color w:val="000000"/>
                <w:sz w:val="18"/>
                <w:szCs w:val="18"/>
              </w:rPr>
              <w:t>优化现有设施历史维修、清疏、检测工单记录样式，补充是否委外、处理人等字段，同时补充关联巡查、开井、问题上报、外部施工等历史记录，支持筛选。</w:t>
            </w:r>
          </w:p>
        </w:tc>
      </w:tr>
      <w:tr w14:paraId="6BAA7A78">
        <w:tblPrEx>
          <w:tblCellMar>
            <w:top w:w="0" w:type="dxa"/>
            <w:left w:w="108" w:type="dxa"/>
            <w:bottom w:w="0" w:type="dxa"/>
            <w:right w:w="108" w:type="dxa"/>
          </w:tblCellMar>
        </w:tblPrEx>
        <w:trPr>
          <w:trHeight w:val="720" w:hRule="atLeast"/>
        </w:trPr>
        <w:tc>
          <w:tcPr>
            <w:tcW w:w="1094" w:type="dxa"/>
            <w:vMerge w:val="continue"/>
            <w:tcBorders>
              <w:top w:val="nil"/>
              <w:left w:val="single" w:color="auto" w:sz="4" w:space="0"/>
              <w:bottom w:val="single" w:color="auto" w:sz="4" w:space="0"/>
              <w:right w:val="single" w:color="auto" w:sz="4" w:space="0"/>
            </w:tcBorders>
            <w:vAlign w:val="center"/>
          </w:tcPr>
          <w:p w14:paraId="4A7FA0CE">
            <w:pPr>
              <w:widowControl/>
              <w:autoSpaceDE/>
              <w:autoSpaceDN/>
              <w:adjustRightInd/>
              <w:snapToGrid w:val="0"/>
              <w:spacing w:beforeLines="-2147483648" w:afterLines="-2147483648" w:line="600" w:lineRule="exact"/>
              <w:ind w:firstLine="440" w:firstLineChars="200"/>
              <w:jc w:val="both"/>
              <w:rPr>
                <w:rFonts w:hint="eastAsia" w:ascii="仿宋_GB2312" w:hAnsi="宋体" w:eastAsia="仿宋_GB2312" w:cs="宋体"/>
                <w:bCs/>
                <w:snapToGrid w:val="0"/>
                <w:color w:val="00000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B00E320">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计划执行</w:t>
            </w:r>
          </w:p>
        </w:tc>
        <w:tc>
          <w:tcPr>
            <w:tcW w:w="3946" w:type="dxa"/>
            <w:tcBorders>
              <w:top w:val="nil"/>
              <w:left w:val="nil"/>
              <w:bottom w:val="single" w:color="auto" w:sz="4" w:space="0"/>
              <w:right w:val="single" w:color="auto" w:sz="4" w:space="0"/>
            </w:tcBorders>
            <w:shd w:val="clear" w:color="auto" w:fill="auto"/>
            <w:vAlign w:val="center"/>
          </w:tcPr>
          <w:p w14:paraId="612A68DF">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支持检测、清疏等计划执行。</w:t>
            </w:r>
          </w:p>
        </w:tc>
        <w:tc>
          <w:tcPr>
            <w:tcW w:w="6827" w:type="dxa"/>
            <w:tcBorders>
              <w:top w:val="nil"/>
              <w:left w:val="nil"/>
              <w:bottom w:val="single" w:color="auto" w:sz="4" w:space="0"/>
              <w:right w:val="single" w:color="auto" w:sz="4" w:space="0"/>
            </w:tcBorders>
            <w:shd w:val="clear" w:color="auto" w:fill="auto"/>
            <w:vAlign w:val="center"/>
          </w:tcPr>
          <w:p w14:paraId="5F31C69F">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18"/>
                <w:szCs w:val="18"/>
              </w:rPr>
            </w:pPr>
            <w:r>
              <w:rPr>
                <w:rFonts w:hint="eastAsia" w:ascii="仿宋_GB2312" w:hAnsi="宋体" w:eastAsia="仿宋_GB2312" w:cs="宋体"/>
                <w:bCs/>
                <w:snapToGrid w:val="0"/>
                <w:color w:val="000000"/>
                <w:sz w:val="18"/>
                <w:szCs w:val="18"/>
              </w:rPr>
              <w:t>支持计划性检测、专项检测等检测计划、清疏计划的执行。</w:t>
            </w:r>
          </w:p>
        </w:tc>
      </w:tr>
      <w:tr w14:paraId="6E2EC7B9">
        <w:tblPrEx>
          <w:tblCellMar>
            <w:top w:w="0" w:type="dxa"/>
            <w:left w:w="108" w:type="dxa"/>
            <w:bottom w:w="0" w:type="dxa"/>
            <w:right w:w="108" w:type="dxa"/>
          </w:tblCellMar>
        </w:tblPrEx>
        <w:trPr>
          <w:trHeight w:val="3080" w:hRule="atLeast"/>
        </w:trPr>
        <w:tc>
          <w:tcPr>
            <w:tcW w:w="1094" w:type="dxa"/>
            <w:vMerge w:val="continue"/>
            <w:tcBorders>
              <w:top w:val="nil"/>
              <w:left w:val="single" w:color="auto" w:sz="4" w:space="0"/>
              <w:bottom w:val="single" w:color="auto" w:sz="4" w:space="0"/>
              <w:right w:val="single" w:color="auto" w:sz="4" w:space="0"/>
            </w:tcBorders>
            <w:vAlign w:val="center"/>
          </w:tcPr>
          <w:p w14:paraId="3E33A7D2">
            <w:pPr>
              <w:widowControl/>
              <w:autoSpaceDE/>
              <w:autoSpaceDN/>
              <w:adjustRightInd/>
              <w:snapToGrid w:val="0"/>
              <w:spacing w:beforeLines="-2147483648" w:afterLines="-2147483648" w:line="600" w:lineRule="exact"/>
              <w:ind w:firstLine="440" w:firstLineChars="200"/>
              <w:jc w:val="both"/>
              <w:rPr>
                <w:rFonts w:hint="eastAsia" w:ascii="仿宋_GB2312" w:hAnsi="宋体" w:eastAsia="仿宋_GB2312" w:cs="宋体"/>
                <w:bCs/>
                <w:snapToGrid w:val="0"/>
                <w:color w:val="000000"/>
                <w:sz w:val="22"/>
                <w:szCs w:val="22"/>
              </w:rPr>
            </w:pPr>
          </w:p>
        </w:tc>
        <w:tc>
          <w:tcPr>
            <w:tcW w:w="2020" w:type="dxa"/>
            <w:tcBorders>
              <w:top w:val="nil"/>
              <w:left w:val="nil"/>
              <w:bottom w:val="single" w:color="auto" w:sz="4" w:space="0"/>
              <w:right w:val="single" w:color="auto" w:sz="4" w:space="0"/>
            </w:tcBorders>
            <w:shd w:val="clear" w:color="000000" w:fill="FFFFFF"/>
            <w:vAlign w:val="center"/>
          </w:tcPr>
          <w:p w14:paraId="444EA992">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待办计划</w:t>
            </w:r>
          </w:p>
        </w:tc>
        <w:tc>
          <w:tcPr>
            <w:tcW w:w="3946" w:type="dxa"/>
            <w:tcBorders>
              <w:top w:val="nil"/>
              <w:left w:val="nil"/>
              <w:bottom w:val="single" w:color="auto" w:sz="4" w:space="0"/>
              <w:right w:val="single" w:color="auto" w:sz="4" w:space="0"/>
            </w:tcBorders>
            <w:shd w:val="clear" w:color="000000" w:fill="FFFFFF"/>
            <w:vAlign w:val="center"/>
          </w:tcPr>
          <w:p w14:paraId="449FA9C0">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新增井号信息可在当月巡检计划中使用开井巡查功能及路面巡查功能，问题上报台账保存待办；APP巡检计划开井记录覆盖逻辑调整，若同一计划中同一井重复打卡，询问新增打卡记录或覆盖修改原记录；水质检测：可填报COD、BOD、氨氮、预估水量、备注等水质指标。</w:t>
            </w:r>
          </w:p>
        </w:tc>
        <w:tc>
          <w:tcPr>
            <w:tcW w:w="6827" w:type="dxa"/>
            <w:tcBorders>
              <w:top w:val="nil"/>
              <w:left w:val="nil"/>
              <w:bottom w:val="single" w:color="auto" w:sz="4" w:space="0"/>
              <w:right w:val="single" w:color="auto" w:sz="4" w:space="0"/>
            </w:tcBorders>
            <w:shd w:val="clear" w:color="000000" w:fill="FFFFFF"/>
            <w:vAlign w:val="center"/>
          </w:tcPr>
          <w:p w14:paraId="23FA8983">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18"/>
                <w:szCs w:val="18"/>
              </w:rPr>
            </w:pPr>
            <w:r>
              <w:rPr>
                <w:rFonts w:hint="eastAsia" w:ascii="仿宋_GB2312" w:hAnsi="宋体" w:eastAsia="仿宋_GB2312" w:cs="宋体"/>
                <w:bCs/>
                <w:snapToGrid w:val="0"/>
                <w:color w:val="000000"/>
                <w:sz w:val="18"/>
                <w:szCs w:val="18"/>
              </w:rPr>
              <w:t>新增井号信息可在当月巡检计划中使用开井巡查功能及路面巡查功能，问题上报台账保存待办；APP巡检计划开井记录覆盖逻辑调整，若同一计划中同一井重复打卡，询问新增打卡记录或覆盖修改原记录；水质检测：可填报COD、BOD、氨氮、预估水量、备注等水质指标。</w:t>
            </w:r>
          </w:p>
        </w:tc>
      </w:tr>
      <w:tr w14:paraId="5B6F54AC">
        <w:tblPrEx>
          <w:tblCellMar>
            <w:top w:w="0" w:type="dxa"/>
            <w:left w:w="108" w:type="dxa"/>
            <w:bottom w:w="0" w:type="dxa"/>
            <w:right w:w="108" w:type="dxa"/>
          </w:tblCellMar>
        </w:tblPrEx>
        <w:trPr>
          <w:trHeight w:val="1390" w:hRule="atLeast"/>
        </w:trPr>
        <w:tc>
          <w:tcPr>
            <w:tcW w:w="1094" w:type="dxa"/>
            <w:vMerge w:val="restart"/>
            <w:tcBorders>
              <w:top w:val="nil"/>
              <w:left w:val="single" w:color="auto" w:sz="4" w:space="0"/>
              <w:bottom w:val="single" w:color="auto" w:sz="4" w:space="0"/>
              <w:right w:val="single" w:color="auto" w:sz="4" w:space="0"/>
            </w:tcBorders>
            <w:shd w:val="clear" w:color="auto" w:fill="auto"/>
            <w:vAlign w:val="center"/>
          </w:tcPr>
          <w:p w14:paraId="7E25A6A6">
            <w:pPr>
              <w:widowControl/>
              <w:autoSpaceDE/>
              <w:autoSpaceDN/>
              <w:adjustRightInd/>
              <w:snapToGrid w:val="0"/>
              <w:spacing w:beforeLines="-2147483648" w:afterLines="-2147483648" w:line="600" w:lineRule="exact"/>
              <w:ind w:firstLine="0" w:firstLineChars="0"/>
              <w:jc w:val="center"/>
              <w:rPr>
                <w:rFonts w:hint="eastAsia" w:ascii="仿宋_GB2312" w:hAnsi="等线" w:eastAsia="仿宋_GB2312" w:cs="宋体"/>
                <w:bCs/>
                <w:snapToGrid w:val="0"/>
                <w:color w:val="000000"/>
                <w:sz w:val="22"/>
                <w:szCs w:val="22"/>
              </w:rPr>
            </w:pPr>
            <w:r>
              <w:rPr>
                <w:rFonts w:hint="eastAsia" w:ascii="仿宋_GB2312" w:hAnsi="等线" w:eastAsia="仿宋_GB2312" w:cs="宋体"/>
                <w:bCs/>
                <w:snapToGrid w:val="0"/>
                <w:color w:val="000000"/>
                <w:sz w:val="22"/>
                <w:szCs w:val="22"/>
              </w:rPr>
              <w:t>后台代码、数据库迁移及调整</w:t>
            </w:r>
          </w:p>
        </w:tc>
        <w:tc>
          <w:tcPr>
            <w:tcW w:w="2020" w:type="dxa"/>
            <w:tcBorders>
              <w:top w:val="nil"/>
              <w:left w:val="nil"/>
              <w:bottom w:val="single" w:color="auto" w:sz="4" w:space="0"/>
              <w:right w:val="single" w:color="auto" w:sz="4" w:space="0"/>
            </w:tcBorders>
            <w:shd w:val="clear" w:color="auto" w:fill="auto"/>
            <w:vAlign w:val="center"/>
          </w:tcPr>
          <w:p w14:paraId="759CD49A">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检测计划迁移检测相关表和记录，从psgs数据库到gwxj数据库</w:t>
            </w:r>
          </w:p>
        </w:tc>
        <w:tc>
          <w:tcPr>
            <w:tcW w:w="3946" w:type="dxa"/>
            <w:tcBorders>
              <w:top w:val="nil"/>
              <w:left w:val="nil"/>
              <w:bottom w:val="single" w:color="auto" w:sz="4" w:space="0"/>
              <w:right w:val="single" w:color="auto" w:sz="4" w:space="0"/>
            </w:tcBorders>
            <w:shd w:val="clear" w:color="auto" w:fill="auto"/>
            <w:vAlign w:val="center"/>
          </w:tcPr>
          <w:p w14:paraId="196EF03C">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数据库迁移，为较理想实现功能效果避免出现速度慢及其他相关问题，需将检测计划涉及的相关表和记录进行迁移。</w:t>
            </w:r>
          </w:p>
        </w:tc>
        <w:tc>
          <w:tcPr>
            <w:tcW w:w="6827" w:type="dxa"/>
            <w:tcBorders>
              <w:top w:val="nil"/>
              <w:left w:val="nil"/>
              <w:bottom w:val="single" w:color="auto" w:sz="4" w:space="0"/>
              <w:right w:val="single" w:color="auto" w:sz="4" w:space="0"/>
            </w:tcBorders>
            <w:shd w:val="clear" w:color="auto" w:fill="auto"/>
            <w:vAlign w:val="center"/>
          </w:tcPr>
          <w:p w14:paraId="469694CF">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数据库迁移，为较理想实现功能效果避免出现速度慢及其他相关问题，需将检测计划涉及的相关表和记录进行迁移。</w:t>
            </w:r>
          </w:p>
        </w:tc>
      </w:tr>
      <w:tr w14:paraId="142F6458">
        <w:tblPrEx>
          <w:tblCellMar>
            <w:top w:w="0" w:type="dxa"/>
            <w:left w:w="108" w:type="dxa"/>
            <w:bottom w:w="0" w:type="dxa"/>
            <w:right w:w="108" w:type="dxa"/>
          </w:tblCellMar>
        </w:tblPrEx>
        <w:trPr>
          <w:trHeight w:val="1640" w:hRule="atLeast"/>
        </w:trPr>
        <w:tc>
          <w:tcPr>
            <w:tcW w:w="1094" w:type="dxa"/>
            <w:vMerge w:val="continue"/>
            <w:tcBorders>
              <w:top w:val="nil"/>
              <w:left w:val="single" w:color="auto" w:sz="4" w:space="0"/>
              <w:bottom w:val="single" w:color="auto" w:sz="4" w:space="0"/>
              <w:right w:val="single" w:color="auto" w:sz="4" w:space="0"/>
            </w:tcBorders>
            <w:vAlign w:val="center"/>
          </w:tcPr>
          <w:p w14:paraId="77AEBF68">
            <w:pPr>
              <w:widowControl/>
              <w:autoSpaceDE/>
              <w:autoSpaceDN/>
              <w:adjustRightInd/>
              <w:snapToGrid w:val="0"/>
              <w:spacing w:beforeLines="-2147483648" w:afterLines="-2147483648" w:line="600" w:lineRule="exact"/>
              <w:ind w:firstLine="440" w:firstLineChars="200"/>
              <w:jc w:val="both"/>
              <w:rPr>
                <w:rFonts w:hint="eastAsia" w:ascii="仿宋_GB2312" w:hAnsi="等线" w:eastAsia="仿宋_GB2312" w:cs="宋体"/>
                <w:bCs/>
                <w:snapToGrid w:val="0"/>
                <w:color w:val="00000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3519D27">
            <w:pPr>
              <w:widowControl/>
              <w:autoSpaceDE/>
              <w:autoSpaceDN/>
              <w:adjustRightInd/>
              <w:snapToGrid w:val="0"/>
              <w:spacing w:beforeLines="-2147483648" w:afterLines="-2147483648" w:line="600" w:lineRule="exact"/>
              <w:ind w:firstLine="0" w:firstLineChars="0"/>
              <w:jc w:val="center"/>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迁移检测模块相关代码从psgs到gwxj</w:t>
            </w:r>
          </w:p>
        </w:tc>
        <w:tc>
          <w:tcPr>
            <w:tcW w:w="3946" w:type="dxa"/>
            <w:tcBorders>
              <w:top w:val="nil"/>
              <w:left w:val="nil"/>
              <w:bottom w:val="single" w:color="auto" w:sz="4" w:space="0"/>
              <w:right w:val="single" w:color="auto" w:sz="4" w:space="0"/>
            </w:tcBorders>
            <w:shd w:val="clear" w:color="auto" w:fill="auto"/>
            <w:vAlign w:val="center"/>
          </w:tcPr>
          <w:p w14:paraId="7DAF3425">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 xml:space="preserve">代码迁移，为较理想实现功能效果，需将检测计划中需要的班组、网格等相关代码信息进行迁移。 </w:t>
            </w:r>
          </w:p>
        </w:tc>
        <w:tc>
          <w:tcPr>
            <w:tcW w:w="6827" w:type="dxa"/>
            <w:tcBorders>
              <w:top w:val="nil"/>
              <w:left w:val="nil"/>
              <w:bottom w:val="single" w:color="auto" w:sz="4" w:space="0"/>
              <w:right w:val="single" w:color="auto" w:sz="4" w:space="0"/>
            </w:tcBorders>
            <w:shd w:val="clear" w:color="auto" w:fill="auto"/>
            <w:vAlign w:val="center"/>
          </w:tcPr>
          <w:p w14:paraId="3986A710">
            <w:pPr>
              <w:widowControl/>
              <w:autoSpaceDE/>
              <w:autoSpaceDN/>
              <w:adjustRightInd/>
              <w:snapToGrid w:val="0"/>
              <w:spacing w:beforeLines="-2147483648" w:afterLines="-2147483648" w:line="600" w:lineRule="exact"/>
              <w:ind w:firstLine="0" w:firstLineChars="0"/>
              <w:jc w:val="both"/>
              <w:rPr>
                <w:rFonts w:hint="eastAsia" w:ascii="仿宋_GB2312" w:hAnsi="宋体" w:eastAsia="仿宋_GB2312" w:cs="宋体"/>
                <w:bCs/>
                <w:snapToGrid w:val="0"/>
                <w:color w:val="000000"/>
                <w:sz w:val="22"/>
                <w:szCs w:val="22"/>
              </w:rPr>
            </w:pPr>
            <w:r>
              <w:rPr>
                <w:rFonts w:hint="eastAsia" w:ascii="仿宋_GB2312" w:hAnsi="宋体" w:eastAsia="仿宋_GB2312" w:cs="宋体"/>
                <w:bCs/>
                <w:snapToGrid w:val="0"/>
                <w:color w:val="000000"/>
                <w:sz w:val="22"/>
                <w:szCs w:val="22"/>
              </w:rPr>
              <w:t xml:space="preserve">代码迁移，为较理想实现功能效果，需将检测计划中需要的班组、网格等相关代码信息进行迁移。 </w:t>
            </w:r>
          </w:p>
        </w:tc>
      </w:tr>
    </w:tbl>
    <w:p w14:paraId="2E27383D">
      <w:pPr>
        <w:adjustRightInd/>
        <w:snapToGrid/>
        <w:ind w:firstLine="643"/>
        <w:rPr>
          <w:rFonts w:ascii="仿宋_GB2312"/>
          <w:b/>
          <w:bCs w:val="0"/>
        </w:rPr>
        <w:sectPr>
          <w:pgSz w:w="16838" w:h="11906" w:orient="landscape"/>
          <w:pgMar w:top="1701" w:right="1474" w:bottom="1588" w:left="1474" w:header="851" w:footer="992" w:gutter="0"/>
          <w:pgNumType w:fmt="decimal"/>
          <w:cols w:space="720" w:num="1"/>
          <w:docGrid w:type="lines" w:linePitch="435" w:charSpace="0"/>
        </w:sectPr>
      </w:pPr>
    </w:p>
    <w:p w14:paraId="4E07EA83">
      <w:pPr>
        <w:autoSpaceDE/>
        <w:autoSpaceDN/>
        <w:adjustRightInd/>
        <w:snapToGrid/>
        <w:spacing w:beforeLines="-2147483648" w:afterLines="-2147483648" w:line="600" w:lineRule="exact"/>
        <w:ind w:firstLine="0" w:firstLineChars="0"/>
        <w:jc w:val="both"/>
        <w:rPr>
          <w:rFonts w:hint="default" w:ascii="仿宋_GB2312" w:hAnsi="Times New Roman" w:eastAsia="仿宋_GB2312" w:cs="Times New Roman"/>
          <w:b/>
          <w:bCs w:val="0"/>
          <w:snapToGrid w:val="0"/>
          <w:sz w:val="32"/>
          <w:szCs w:val="30"/>
        </w:rPr>
      </w:pPr>
      <w:r>
        <w:rPr>
          <w:rFonts w:hint="eastAsia" w:ascii="仿宋_GB2312" w:hAnsi="Times New Roman" w:eastAsia="仿宋_GB2312" w:cs="Times New Roman"/>
          <w:b/>
          <w:bCs w:val="0"/>
          <w:snapToGrid w:val="0"/>
          <w:sz w:val="32"/>
          <w:szCs w:val="30"/>
        </w:rPr>
        <w:t>四、其他要求</w:t>
      </w:r>
    </w:p>
    <w:p w14:paraId="1BD33B3F">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（一）验收要求</w:t>
      </w:r>
    </w:p>
    <w:p w14:paraId="3289C743">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项目完成开发后，采购人组织开展初步验收，采购人组织相关验收的人员（含委托的第三方）根据采购文件、合同约定的服务要求和质量，对报价人项目实施情况或成果进行验收，提出修改意见。通过验收后参与验收的人员进行签字确认，待报价人完成相关需求修改后形成初步验收报告，进入试运行期。</w:t>
      </w:r>
    </w:p>
    <w:p w14:paraId="582DF1C1">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项目在试运行期间稳定运行3个月后，采购人组织开展最终验收，由采购人组织相关验收的人员开展最终验收工作，并提出试运行期间的修改意见。通过验收后参与验收的人员进行签字确认，待报价人完成相关需求修改后形成初步验收报告，进入售后服务期。</w:t>
      </w:r>
    </w:p>
    <w:p w14:paraId="5AA7B9AF">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（二）培训服务</w:t>
      </w:r>
    </w:p>
    <w:p w14:paraId="02AAF417">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1）报价人应提供完整的用户手册（包含对内软件的使用手册和对外网上系统的帮助文档）及视频教学，同时应为采购人相关人员提供免费的培训服务。报价人应视其软件开发的相关进度及操作的难易程度制定相应的培训方案，培训至采购人人员熟练操作、配置和使用应用系统。</w:t>
      </w:r>
    </w:p>
    <w:p w14:paraId="41FF81A1">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（2）培训效果标准：①对业务用户的培训应达到的要求：能够熟练使用供应商所开发的软件；②对部门信息系统管理员的培训应达到的要求：可以维护日常应用方面出现的问题。</w:t>
      </w:r>
    </w:p>
    <w:p w14:paraId="3FD9A6C3">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（三）售后服务内容</w:t>
      </w:r>
    </w:p>
    <w:p w14:paraId="50AFC365">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自最终验收合格之日起，供应商需为本项目的软件系统提</w:t>
      </w:r>
      <w:r>
        <w:rPr>
          <w:rFonts w:hint="eastAsia" w:ascii="仿宋_GB2312" w:hAnsi="Times New Roman" w:eastAsia="仿宋_GB2312" w:cs="Times New Roman"/>
          <w:bCs/>
          <w:snapToGrid w:val="0"/>
          <w:sz w:val="32"/>
          <w:szCs w:val="30"/>
        </w:rPr>
        <w:br w:type="textWrapping"/>
      </w:r>
      <w:r>
        <w:rPr>
          <w:rFonts w:hint="eastAsia" w:ascii="仿宋_GB2312" w:hAnsi="Times New Roman" w:eastAsia="仿宋_GB2312" w:cs="Times New Roman"/>
          <w:bCs/>
          <w:snapToGrid w:val="0"/>
          <w:sz w:val="32"/>
          <w:szCs w:val="30"/>
        </w:rPr>
        <w:t>供为期6个月的售后服务，售后服务将采用评分机制，各季度售后服务评分将与最后一笔售后服务款挂钩。</w:t>
      </w:r>
    </w:p>
    <w:p w14:paraId="5C18FA31">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售后服务包括但不限于与本合同需求内容相关的以下内容：</w:t>
      </w:r>
    </w:p>
    <w:p w14:paraId="14ACD3BA">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（1）系统BUG修复，系统优化（含Web端及App端，下同）；</w:t>
      </w:r>
    </w:p>
    <w:p w14:paraId="337A6A0D">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（2）系统台账、表单、报表等功能优化完善；</w:t>
      </w:r>
    </w:p>
    <w:p w14:paraId="57D9EB2E">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（3）系统使用培训及日常运维技术支持培训；</w:t>
      </w:r>
    </w:p>
    <w:p w14:paraId="43194F1E">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（4）外部系统及数据对接；</w:t>
      </w:r>
    </w:p>
    <w:p w14:paraId="137D172F">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（5）系统售后服务期结束后再次提供项目最终版本源代码；</w:t>
      </w:r>
    </w:p>
    <w:p w14:paraId="776BBEB2">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（6）售后服务期结束后系统若再次委托运维，每年运维服务费用应不超合同总金额的10%。</w:t>
      </w:r>
    </w:p>
    <w:p w14:paraId="01A2CA51">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（四）售后服务评分及费用</w:t>
      </w:r>
    </w:p>
    <w:p w14:paraId="104769A3">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 xml:space="preserve">自最终验收合格之日起，供应商需为本项目的软件系统提供为期六个月的售后服务，售后服务将采用评分机制，各季度度售后服务评分将与最后一笔售后服务款挂钩，售后服务期结束后，统一支付各季度售后服务款。评分结果采购人及时告知报价人，如报价人收到评分结果后有异议的，应在3日内书面向采购人提出申诉并提供佐证资料。    </w:t>
      </w:r>
    </w:p>
    <w:p w14:paraId="251AD29D">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具体如下：</w:t>
      </w:r>
    </w:p>
    <w:p w14:paraId="0D3E4C2F">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（1）当季度评分90分以上，获得该季度全额售后服务款；</w:t>
      </w:r>
    </w:p>
    <w:p w14:paraId="7A38331D">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（2）当季度评分80到90分之间（包括80分），该季度费用最终按照80%支付；</w:t>
      </w:r>
    </w:p>
    <w:p w14:paraId="727DD14C">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（3）当季度评分70到80分之间（包括70分），该季度费用最终按照70%支付；</w:t>
      </w:r>
    </w:p>
    <w:p w14:paraId="1958ECD6">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（4）当季度评分60到70分之间（包括60分），该季度费用最终按照60%支付；</w:t>
      </w:r>
    </w:p>
    <w:p w14:paraId="14CC517D">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（5）当季度评分60分以下，该季度全额售后服务款按50%支付；连续2个季度60分以下，第二个季度售后服务款不支付。</w:t>
      </w:r>
    </w:p>
    <w:p w14:paraId="0F568A06">
      <w:pPr>
        <w:autoSpaceDE/>
        <w:autoSpaceDN/>
        <w:adjustRightInd/>
        <w:snapToGrid/>
        <w:spacing w:beforeLines="-2147483648" w:afterLines="-2147483648" w:line="600" w:lineRule="exact"/>
        <w:ind w:firstLine="0" w:firstLineChars="0"/>
        <w:jc w:val="both"/>
        <w:rPr>
          <w:rFonts w:hint="default" w:ascii="仿宋_GB2312" w:hAnsi="Times New Roman" w:eastAsia="仿宋_GB2312" w:cs="Times New Roman"/>
          <w:b/>
          <w:bCs w:val="0"/>
          <w:snapToGrid w:val="0"/>
          <w:sz w:val="32"/>
          <w:szCs w:val="30"/>
        </w:rPr>
      </w:pPr>
      <w:r>
        <w:rPr>
          <w:rFonts w:hint="eastAsia" w:ascii="仿宋_GB2312" w:hAnsi="Times New Roman" w:eastAsia="仿宋_GB2312" w:cs="Times New Roman"/>
          <w:b/>
          <w:bCs w:val="0"/>
          <w:snapToGrid w:val="0"/>
          <w:sz w:val="32"/>
          <w:szCs w:val="30"/>
        </w:rPr>
        <w:t>五、项目费用及支付进度</w:t>
      </w:r>
    </w:p>
    <w:p w14:paraId="2E6476F0">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（一）签订合同后，报价人提交支付申请经审批确认后30个工作日内，采购人向报价人支付合同价的20%；</w:t>
      </w:r>
    </w:p>
    <w:p w14:paraId="698D5F36">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（二）软件模块上线后15个工作日并通过项目初验合格后，报价人提交支付申请经审批确认后30个工作日内，采购人向报价人支付合同价的40%作为项目进度款；</w:t>
      </w:r>
    </w:p>
    <w:p w14:paraId="46D68CD1">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（三）项目试运行期3个月结束后并经最终验收合格后，报价人提交支付申请经审批确认后30个工作日内，采购人向报价人支付至最终结算价的90%作为项目验收款；</w:t>
      </w:r>
    </w:p>
    <w:p w14:paraId="6F64D200">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四）完成项目并通过采购人终验并通过6个月运维期后的30工作日内，报价人提交售后服务款（各季度售后服务款之和）支付申请，经采购人确认后按售后服务评分规则支付报价人剩余合同款（即售后服务款，最高为合同款10%）。</w:t>
      </w:r>
    </w:p>
    <w:p w14:paraId="3091C113">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五）每次请款时，报价人应向采购人提交相应价款的增值税专用发票（服务款由采购人内部各方按照其内部约定的服务款比例承担，报价人对此知悉并明确表示同意且无任何异议。报价人需按采购人内部各方约定的服务款承担比例向采购人各方分别开具相应金额的增值税专用发票）和请款报告。</w:t>
      </w:r>
    </w:p>
    <w:p w14:paraId="6BC6FA37">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六）若因报价人或客观因素导致报价人未能完全按用户需求建设且采购人和报价人无法商榷出合理的解决方案，经采购人同意，报价人在承担其违约责任的基础上（客观因素导致不能完全按用户需求建设除外），采购人可按实际验收合格的系统建设模块（或功能）报价所占总报价的比例予以按实结算及支付，最终支付实际金额为实际验收通过的功能点报价费用，已支付金额超出最终需支付金额的，在结算完成后，由报价人在7个工作日内退回至采购人账户。</w:t>
      </w:r>
    </w:p>
    <w:p w14:paraId="1116F665">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七）在项目建设期间，若非采购人、不可抗力、双方同意延期的其中原因之一，报价人未能在采购人规定工期内完成约定的工作内容的，每逾期一日，报价人按1000元/天承担违约金（最高不超过含税合同价的20%）。逾期超过【20】个日历日的，采购人有权解除合同，报价人应向采购人支付含税合同价【20%】的违约金；自采购人发出解除合同通知之日起【10】日内，报价人应撤离服务现场，如逾期未撤离服务现场，应视为侵权，应按10000元/天承担违约金。造成采购人损失的，报价人应当承担全部责任及损失赔偿，采购人有权在未付款项中直接抵扣或没收履约担保（如有）。</w:t>
      </w:r>
    </w:p>
    <w:p w14:paraId="1DDF8850">
      <w:pPr>
        <w:autoSpaceDE/>
        <w:autoSpaceDN/>
        <w:adjustRightInd/>
        <w:snapToGrid/>
        <w:spacing w:beforeLines="-2147483648" w:afterLines="-2147483648" w:line="600" w:lineRule="exact"/>
        <w:ind w:firstLine="640" w:firstLineChars="200"/>
        <w:jc w:val="both"/>
        <w:rPr>
          <w:rFonts w:hint="default"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八）报价人所报价格为不含税价，即为《中华人民共和国增值税条例》（国务院令第691号修订版）规定的销售额。本项目所称的不含税价和合同价是指不含本采购项目供应商的销项税额，包含了报价人完成合同义务（含报价人代缴代扣、分包及委外服务、采购货物等所产生的价税）的其他全部费用。本采购项目的销项税额由采购人承担，不计入报价。报价均包括但不限于以下内容涉及的费用：培训费、人工费、管理费、现场服务费、通讯费、资料费及利润等及报价人销项税额以外的税费等相关服务及为完成本合同项下义务所产生的所有费用的全部费用。</w:t>
      </w:r>
    </w:p>
    <w:p w14:paraId="5087EA4D">
      <w:pPr>
        <w:autoSpaceDE/>
        <w:autoSpaceDN/>
        <w:adjustRightInd/>
        <w:snapToGrid/>
        <w:spacing w:beforeLines="-2147483648" w:afterLines="-2147483648" w:line="600" w:lineRule="exact"/>
        <w:ind w:firstLine="640" w:firstLineChars="200"/>
        <w:jc w:val="both"/>
        <w:rPr>
          <w:rFonts w:hint="eastAsia" w:ascii="仿宋_GB2312" w:hAnsi="Times New Roman" w:eastAsia="仿宋_GB2312" w:cs="Times New Roman"/>
          <w:bCs/>
          <w:snapToGrid w:val="0"/>
          <w:sz w:val="32"/>
          <w:szCs w:val="30"/>
        </w:rPr>
      </w:pPr>
      <w:r>
        <w:rPr>
          <w:rFonts w:hint="eastAsia" w:ascii="仿宋_GB2312" w:hAnsi="Times New Roman" w:eastAsia="仿宋_GB2312" w:cs="Times New Roman"/>
          <w:bCs/>
          <w:snapToGrid w:val="0"/>
          <w:sz w:val="32"/>
          <w:szCs w:val="30"/>
        </w:rPr>
        <w:t>（九）报价人逾期提供请款资料及发票或提交资料不符合采购人要求的，采购人付款时间顺延，并不承担逾期付款违约责任。由于报价人提供的发票不符合税法规定，给采购人造成的损失由报价人承担赔偿责任。</w:t>
      </w:r>
    </w:p>
    <w:p w14:paraId="78962400">
      <w:pPr>
        <w:spacing w:beforeLines="0" w:afterLines="0"/>
        <w:rPr>
          <w:rFonts w:hint="default"/>
          <w:sz w:val="24"/>
          <w:szCs w:val="24"/>
        </w:rPr>
      </w:pPr>
    </w:p>
    <w:p w14:paraId="4BA2F589">
      <w:pPr>
        <w:spacing w:beforeLines="0" w:afterLines="0"/>
        <w:rPr>
          <w:rFonts w:hint="default"/>
          <w:sz w:val="24"/>
          <w:szCs w:val="24"/>
        </w:rPr>
      </w:pPr>
    </w:p>
    <w:p w14:paraId="3E727337">
      <w:pPr>
        <w:spacing w:beforeLines="0" w:afterLines="0" w:line="600" w:lineRule="exact"/>
        <w:rPr>
          <w:rFonts w:hint="eastAsia" w:ascii="Times New Roman" w:eastAsia="仿宋_GB2312"/>
          <w:sz w:val="32"/>
          <w:szCs w:val="32"/>
        </w:rPr>
      </w:pPr>
    </w:p>
    <w:p w14:paraId="08DC6ACA">
      <w:pPr>
        <w:spacing w:beforeLines="0" w:afterLines="0" w:line="600" w:lineRule="exact"/>
        <w:rPr>
          <w:rFonts w:hint="eastAsia" w:ascii="Times New Roman" w:eastAsia="仿宋_GB2312"/>
          <w:sz w:val="32"/>
          <w:szCs w:val="32"/>
        </w:rPr>
      </w:pPr>
    </w:p>
    <w:p w14:paraId="0053F96A">
      <w:pPr>
        <w:spacing w:beforeLines="0" w:afterLines="0" w:line="600" w:lineRule="exact"/>
        <w:rPr>
          <w:rFonts w:hint="eastAsia" w:ascii="Times New Roman" w:eastAsia="仿宋_GB2312"/>
          <w:sz w:val="32"/>
          <w:szCs w:val="32"/>
        </w:rPr>
      </w:pPr>
    </w:p>
    <w:p w14:paraId="457D693D">
      <w:pPr>
        <w:spacing w:beforeLines="0" w:afterLines="0" w:line="600" w:lineRule="exact"/>
        <w:rPr>
          <w:rFonts w:hint="eastAsia" w:ascii="Times New Roman" w:eastAsia="仿宋_GB2312"/>
          <w:sz w:val="32"/>
          <w:szCs w:val="32"/>
        </w:rPr>
      </w:pPr>
    </w:p>
    <w:p w14:paraId="4B5DF037">
      <w:pPr>
        <w:pStyle w:val="2"/>
        <w:rPr>
          <w:rFonts w:hint="eastAsia" w:ascii="Times New Roman" w:eastAsia="仿宋_GB2312"/>
          <w:sz w:val="32"/>
          <w:szCs w:val="32"/>
        </w:rPr>
      </w:pPr>
    </w:p>
    <w:p w14:paraId="4D581CC8">
      <w:pPr>
        <w:pStyle w:val="2"/>
        <w:rPr>
          <w:rFonts w:hint="eastAsia" w:ascii="Times New Roman" w:eastAsia="仿宋_GB2312"/>
          <w:sz w:val="32"/>
          <w:szCs w:val="32"/>
        </w:rPr>
      </w:pPr>
    </w:p>
    <w:p w14:paraId="27E6DC52">
      <w:pPr>
        <w:pStyle w:val="2"/>
        <w:rPr>
          <w:rFonts w:hint="eastAsia" w:ascii="Times New Roman" w:eastAsia="仿宋_GB2312"/>
          <w:sz w:val="32"/>
          <w:szCs w:val="32"/>
        </w:rPr>
      </w:pPr>
    </w:p>
    <w:p w14:paraId="39433561">
      <w:pPr>
        <w:pStyle w:val="2"/>
        <w:rPr>
          <w:rFonts w:hint="eastAsia" w:ascii="Times New Roman" w:eastAsia="仿宋_GB2312"/>
          <w:sz w:val="32"/>
          <w:szCs w:val="32"/>
        </w:rPr>
      </w:pPr>
    </w:p>
    <w:p w14:paraId="162DAF39">
      <w:pPr>
        <w:pStyle w:val="2"/>
        <w:rPr>
          <w:rFonts w:hint="eastAsia" w:ascii="Times New Roman" w:eastAsia="仿宋_GB2312"/>
          <w:sz w:val="32"/>
          <w:szCs w:val="32"/>
        </w:rPr>
      </w:pPr>
    </w:p>
    <w:p w14:paraId="42940364">
      <w:pPr>
        <w:spacing w:beforeLines="0" w:afterLines="0" w:line="600" w:lineRule="exact"/>
        <w:rPr>
          <w:rFonts w:hint="eastAsia" w:ascii="Times New Roman" w:eastAsia="仿宋_GB2312"/>
          <w:sz w:val="32"/>
          <w:szCs w:val="32"/>
        </w:rPr>
      </w:pPr>
    </w:p>
    <w:p w14:paraId="4F7052B8">
      <w:pPr>
        <w:pStyle w:val="3"/>
        <w:numPr>
          <w:ilvl w:val="0"/>
          <w:numId w:val="2"/>
        </w:numPr>
        <w:spacing w:beforeLines="0" w:afterLines="0"/>
        <w:ind w:left="0" w:leftChars="0" w:firstLine="0" w:firstLineChars="0"/>
        <w:jc w:val="center"/>
        <w:outlineLvl w:val="0"/>
        <w:rPr>
          <w:rFonts w:hint="eastAsia" w:hAnsi="宋体" w:cs="宋体"/>
          <w:color w:val="auto"/>
          <w:sz w:val="32"/>
          <w:szCs w:val="32"/>
          <w:lang w:val="en-US" w:eastAsia="zh-CN"/>
        </w:rPr>
      </w:pPr>
      <w:bookmarkStart w:id="23" w:name="_Toc447044599"/>
      <w:bookmarkEnd w:id="23"/>
      <w:bookmarkStart w:id="24" w:name="_Toc27649594"/>
      <w:bookmarkEnd w:id="24"/>
      <w:bookmarkStart w:id="25" w:name="_Toc534983534"/>
      <w:bookmarkEnd w:id="25"/>
      <w:bookmarkStart w:id="26" w:name="_Toc447044475"/>
      <w:bookmarkEnd w:id="26"/>
      <w:bookmarkStart w:id="27" w:name="_Toc21465"/>
      <w:r>
        <w:rPr>
          <w:rFonts w:hint="eastAsia" w:hAnsi="宋体" w:cs="宋体"/>
          <w:color w:val="auto"/>
          <w:sz w:val="32"/>
          <w:szCs w:val="32"/>
          <w:lang w:val="en-US" w:eastAsia="zh-CN"/>
        </w:rPr>
        <w:t>合同条款</w:t>
      </w:r>
      <w:bookmarkEnd w:id="27"/>
    </w:p>
    <w:p w14:paraId="58796C6D">
      <w:pPr>
        <w:numPr>
          <w:ilvl w:val="0"/>
          <w:numId w:val="0"/>
        </w:numPr>
        <w:ind w:leftChars="0"/>
        <w:rPr>
          <w:rFonts w:hint="default"/>
          <w:lang w:val="en-US" w:eastAsia="zh-CN"/>
        </w:rPr>
      </w:pPr>
    </w:p>
    <w:p w14:paraId="4BB55F9E">
      <w:pPr>
        <w:wordWrap w:val="0"/>
        <w:spacing w:beforeLines="0" w:afterLines="0" w:line="360" w:lineRule="auto"/>
        <w:jc w:val="right"/>
        <w:rPr>
          <w:rFonts w:hint="default"/>
          <w:color w:val="000000"/>
          <w:sz w:val="24"/>
          <w:szCs w:val="24"/>
        </w:rPr>
      </w:pPr>
      <w:r>
        <w:rPr>
          <w:rFonts w:hint="default"/>
          <w:color w:val="000000"/>
          <w:sz w:val="24"/>
          <w:szCs w:val="24"/>
        </w:rPr>
        <w:t xml:space="preserve">合同编号：     </w:t>
      </w:r>
    </w:p>
    <w:p w14:paraId="4535A359">
      <w:pPr>
        <w:spacing w:beforeLines="0" w:afterLines="0" w:line="360" w:lineRule="auto"/>
        <w:jc w:val="center"/>
        <w:rPr>
          <w:rFonts w:hint="default"/>
          <w:color w:val="000000"/>
          <w:sz w:val="24"/>
          <w:szCs w:val="24"/>
        </w:rPr>
      </w:pPr>
    </w:p>
    <w:p w14:paraId="4A1F1846">
      <w:pPr>
        <w:spacing w:beforeLines="0" w:afterLines="0" w:line="840" w:lineRule="exact"/>
        <w:rPr>
          <w:rFonts w:hint="default"/>
          <w:color w:val="000000"/>
          <w:sz w:val="24"/>
          <w:szCs w:val="24"/>
        </w:rPr>
      </w:pPr>
    </w:p>
    <w:p w14:paraId="05A34005">
      <w:pPr>
        <w:spacing w:beforeLines="0" w:afterLines="0" w:line="480" w:lineRule="auto"/>
        <w:ind w:left="-142" w:leftChars="-59"/>
        <w:jc w:val="center"/>
        <w:rPr>
          <w:rFonts w:hint="default" w:ascii="Times New Roman"/>
          <w:b/>
          <w:sz w:val="44"/>
          <w:szCs w:val="44"/>
        </w:rPr>
      </w:pPr>
      <w:r>
        <w:rPr>
          <w:rFonts w:hint="default"/>
          <w:b/>
          <w:sz w:val="44"/>
          <w:szCs w:val="44"/>
        </w:rPr>
        <w:t>管网运营平台管网清疏检测功能升级建设项目合同</w:t>
      </w:r>
    </w:p>
    <w:p w14:paraId="60E298A4">
      <w:pPr>
        <w:spacing w:beforeLines="0" w:afterLines="0" w:line="360" w:lineRule="auto"/>
        <w:rPr>
          <w:rFonts w:hint="default" w:ascii="Times New Roman"/>
          <w:sz w:val="24"/>
          <w:szCs w:val="24"/>
        </w:rPr>
      </w:pPr>
    </w:p>
    <w:p w14:paraId="69BC244F">
      <w:pPr>
        <w:spacing w:beforeLines="0" w:afterLines="0" w:line="360" w:lineRule="auto"/>
        <w:rPr>
          <w:rFonts w:hint="default" w:ascii="Times New Roman"/>
          <w:sz w:val="24"/>
          <w:szCs w:val="24"/>
        </w:rPr>
      </w:pPr>
    </w:p>
    <w:p w14:paraId="655B7D07">
      <w:pPr>
        <w:spacing w:beforeLines="0" w:afterLines="0" w:line="360" w:lineRule="auto"/>
        <w:rPr>
          <w:rFonts w:hint="default" w:ascii="Times New Roman"/>
          <w:sz w:val="24"/>
          <w:szCs w:val="24"/>
        </w:rPr>
      </w:pPr>
    </w:p>
    <w:p w14:paraId="3B9CF621">
      <w:pPr>
        <w:spacing w:beforeLines="0" w:afterLines="0" w:line="360" w:lineRule="auto"/>
        <w:jc w:val="center"/>
        <w:rPr>
          <w:rFonts w:hint="default" w:ascii="Times New Roman"/>
          <w:sz w:val="24"/>
          <w:szCs w:val="24"/>
        </w:rPr>
      </w:pPr>
    </w:p>
    <w:p w14:paraId="506A2D6E">
      <w:pPr>
        <w:spacing w:beforeLines="0" w:afterLines="0" w:line="360" w:lineRule="auto"/>
        <w:rPr>
          <w:rFonts w:hint="default" w:ascii="Times New Roman"/>
          <w:sz w:val="24"/>
          <w:szCs w:val="24"/>
        </w:rPr>
      </w:pPr>
    </w:p>
    <w:p w14:paraId="1F1B7F15">
      <w:pPr>
        <w:spacing w:beforeLines="0" w:afterLines="0" w:line="360" w:lineRule="auto"/>
        <w:jc w:val="center"/>
        <w:rPr>
          <w:rFonts w:hint="default" w:ascii="Times New Roman"/>
          <w:sz w:val="24"/>
          <w:szCs w:val="24"/>
        </w:rPr>
      </w:pPr>
    </w:p>
    <w:p w14:paraId="7BFF0A1D">
      <w:pPr>
        <w:spacing w:beforeLines="0" w:afterLines="0" w:line="360" w:lineRule="auto"/>
        <w:rPr>
          <w:rFonts w:hint="default" w:ascii="Times New Roman"/>
          <w:sz w:val="24"/>
          <w:szCs w:val="24"/>
        </w:rPr>
      </w:pPr>
      <w:r>
        <w:rPr>
          <w:rFonts w:hint="default"/>
          <w:sz w:val="30"/>
          <w:szCs w:val="30"/>
        </w:rPr>
        <w:t xml:space="preserve">                             </w:t>
      </w:r>
    </w:p>
    <w:p w14:paraId="0BEAB2DC">
      <w:pPr>
        <w:spacing w:beforeLines="0" w:afterLines="0" w:line="360" w:lineRule="auto"/>
        <w:rPr>
          <w:rFonts w:hint="default" w:ascii="Times New Roman"/>
          <w:sz w:val="24"/>
          <w:szCs w:val="24"/>
        </w:rPr>
      </w:pPr>
    </w:p>
    <w:p w14:paraId="3C53BAE2">
      <w:pPr>
        <w:spacing w:beforeLines="0" w:afterLines="0" w:line="360" w:lineRule="auto"/>
        <w:ind w:firstLine="1680" w:firstLineChars="600"/>
        <w:rPr>
          <w:rFonts w:hint="default" w:ascii="Times New Roman"/>
          <w:b/>
          <w:sz w:val="28"/>
          <w:szCs w:val="28"/>
          <w:u w:val="single"/>
        </w:rPr>
      </w:pPr>
      <w:r>
        <w:rPr>
          <w:rFonts w:hint="default"/>
          <w:sz w:val="28"/>
          <w:szCs w:val="28"/>
        </w:rPr>
        <w:t>甲方：</w:t>
      </w:r>
      <w:r>
        <w:rPr>
          <w:rFonts w:hint="default"/>
          <w:sz w:val="28"/>
          <w:szCs w:val="28"/>
          <w:u w:val="single"/>
        </w:rPr>
        <w:t xml:space="preserve">                               </w:t>
      </w:r>
    </w:p>
    <w:p w14:paraId="0030A97D">
      <w:pPr>
        <w:spacing w:beforeLines="0" w:afterLines="0" w:line="360" w:lineRule="auto"/>
        <w:ind w:firstLine="1680" w:firstLineChars="600"/>
        <w:rPr>
          <w:rFonts w:hint="default" w:ascii="Times New Roman"/>
          <w:sz w:val="28"/>
          <w:szCs w:val="28"/>
        </w:rPr>
      </w:pPr>
    </w:p>
    <w:p w14:paraId="53E581DC">
      <w:pPr>
        <w:spacing w:beforeLines="0" w:afterLines="0" w:line="360" w:lineRule="auto"/>
        <w:ind w:firstLine="1680" w:firstLineChars="600"/>
        <w:rPr>
          <w:rFonts w:hint="default" w:ascii="Times New Roman"/>
          <w:sz w:val="28"/>
          <w:szCs w:val="28"/>
        </w:rPr>
      </w:pPr>
      <w:r>
        <w:rPr>
          <w:rFonts w:hint="default"/>
          <w:sz w:val="28"/>
          <w:szCs w:val="28"/>
        </w:rPr>
        <w:t>乙方：</w:t>
      </w:r>
      <w:r>
        <w:rPr>
          <w:rFonts w:hint="default" w:ascii="Times New Roman"/>
          <w:color w:val="000000"/>
          <w:sz w:val="28"/>
          <w:szCs w:val="28"/>
        </w:rPr>
        <w:t xml:space="preserve"> </w:t>
      </w:r>
      <w:r>
        <w:rPr>
          <w:rFonts w:hint="default" w:ascii="Times New Roman"/>
          <w:color w:val="000000"/>
          <w:sz w:val="28"/>
          <w:szCs w:val="28"/>
          <w:u w:val="single"/>
        </w:rPr>
        <w:t xml:space="preserve">     </w:t>
      </w:r>
      <w:r>
        <w:rPr>
          <w:rFonts w:hint="default"/>
          <w:color w:val="000000"/>
          <w:sz w:val="28"/>
          <w:szCs w:val="28"/>
          <w:u w:val="single"/>
        </w:rPr>
        <w:t xml:space="preserve">                         </w:t>
      </w:r>
      <w:r>
        <w:rPr>
          <w:rFonts w:hint="default" w:ascii="Times New Roman"/>
          <w:color w:val="000000"/>
          <w:sz w:val="28"/>
          <w:szCs w:val="28"/>
          <w:u w:val="single"/>
        </w:rPr>
        <w:t xml:space="preserve"> </w:t>
      </w:r>
    </w:p>
    <w:p w14:paraId="59750550">
      <w:pPr>
        <w:spacing w:beforeLines="0" w:afterLines="0" w:line="360" w:lineRule="auto"/>
        <w:rPr>
          <w:rFonts w:hint="default" w:ascii="Times New Roman"/>
          <w:sz w:val="28"/>
          <w:szCs w:val="28"/>
          <w:u w:val="single"/>
        </w:rPr>
      </w:pPr>
    </w:p>
    <w:p w14:paraId="0604B140">
      <w:pPr>
        <w:spacing w:beforeLines="0" w:afterLines="0" w:line="360" w:lineRule="auto"/>
        <w:ind w:firstLine="1680" w:firstLineChars="600"/>
        <w:rPr>
          <w:rFonts w:hint="default" w:hAnsi="宋体" w:cs="宋体"/>
          <w:sz w:val="28"/>
          <w:szCs w:val="28"/>
        </w:rPr>
      </w:pPr>
      <w:r>
        <w:rPr>
          <w:rFonts w:hint="default"/>
          <w:sz w:val="28"/>
          <w:szCs w:val="28"/>
        </w:rPr>
        <w:t>签订日期：</w:t>
      </w:r>
      <w:r>
        <w:rPr>
          <w:rFonts w:hint="default" w:ascii="Times New Roman"/>
          <w:sz w:val="28"/>
          <w:szCs w:val="28"/>
        </w:rPr>
        <w:t xml:space="preserve"> </w:t>
      </w:r>
      <w:r>
        <w:rPr>
          <w:rFonts w:hint="default" w:ascii="Times New Roman"/>
          <w:sz w:val="28"/>
          <w:szCs w:val="28"/>
        </w:rPr>
        <w:br w:type="page"/>
      </w:r>
      <w:r>
        <w:rPr>
          <w:rFonts w:hint="default" w:hAnsi="宋体" w:cs="宋体"/>
          <w:b/>
          <w:sz w:val="28"/>
          <w:szCs w:val="28"/>
        </w:rPr>
        <w:t>甲方：</w:t>
      </w:r>
    </w:p>
    <w:p w14:paraId="19BD7F1F">
      <w:pPr>
        <w:spacing w:beforeLines="0" w:afterLines="0" w:line="360" w:lineRule="auto"/>
        <w:rPr>
          <w:rFonts w:hint="default" w:hAnsi="宋体" w:cs="宋体"/>
          <w:color w:val="000000"/>
          <w:sz w:val="28"/>
          <w:szCs w:val="28"/>
        </w:rPr>
      </w:pPr>
      <w:r>
        <w:rPr>
          <w:rFonts w:hint="default" w:hAnsi="宋体" w:cs="宋体"/>
          <w:b/>
          <w:color w:val="000000"/>
          <w:sz w:val="28"/>
          <w:szCs w:val="28"/>
        </w:rPr>
        <w:t>乙方：</w:t>
      </w:r>
    </w:p>
    <w:p w14:paraId="0629BCAB">
      <w:pPr>
        <w:spacing w:beforeLines="0" w:afterLines="0" w:line="360" w:lineRule="auto"/>
        <w:ind w:firstLine="560" w:firstLineChars="200"/>
        <w:rPr>
          <w:rFonts w:hint="default" w:hAnsi="宋体" w:cs="宋体"/>
          <w:sz w:val="28"/>
          <w:szCs w:val="28"/>
        </w:rPr>
      </w:pPr>
      <w:r>
        <w:rPr>
          <w:rFonts w:hint="default" w:hAnsi="宋体" w:cs="宋体"/>
          <w:sz w:val="28"/>
          <w:szCs w:val="28"/>
        </w:rPr>
        <w:t>经甲方询价采购，现确定甲方向乙方采购</w:t>
      </w:r>
      <w:r>
        <w:rPr>
          <w:rFonts w:hint="default" w:hAnsi="宋体" w:cs="宋体"/>
          <w:sz w:val="28"/>
          <w:szCs w:val="28"/>
          <w:u w:val="single"/>
        </w:rPr>
        <w:t>管网运营平台管网清疏检测功能升级建设服务</w:t>
      </w:r>
      <w:r>
        <w:rPr>
          <w:rFonts w:hint="default" w:hAnsi="宋体" w:cs="宋体"/>
          <w:sz w:val="28"/>
          <w:szCs w:val="28"/>
        </w:rPr>
        <w:t>。根据《中华人民共和国民法典》等法律、法规的规定，经双方平等协商，双方就</w:t>
      </w:r>
      <w:r>
        <w:rPr>
          <w:rFonts w:hint="default" w:hAnsi="宋体" w:cs="宋体"/>
          <w:sz w:val="28"/>
          <w:szCs w:val="28"/>
          <w:u w:val="single"/>
        </w:rPr>
        <w:t>管网运营平台管网清疏检测功能升级建设服务</w:t>
      </w:r>
      <w:r>
        <w:rPr>
          <w:rFonts w:hint="default" w:hAnsi="宋体" w:cs="宋体"/>
          <w:sz w:val="28"/>
          <w:szCs w:val="28"/>
        </w:rPr>
        <w:t>（以下称“服务”）采购事宜，签订本合同。</w:t>
      </w:r>
    </w:p>
    <w:p w14:paraId="074A127A">
      <w:pPr>
        <w:spacing w:beforeLines="0" w:afterLines="0" w:line="360" w:lineRule="auto"/>
        <w:ind w:firstLine="560" w:firstLineChars="200"/>
        <w:rPr>
          <w:rFonts w:hint="default" w:hAnsi="宋体" w:cs="宋体"/>
          <w:sz w:val="28"/>
          <w:szCs w:val="28"/>
        </w:rPr>
      </w:pPr>
    </w:p>
    <w:p w14:paraId="2B89FE35">
      <w:pPr>
        <w:pStyle w:val="16"/>
        <w:autoSpaceDE/>
        <w:autoSpaceDN/>
        <w:adjustRightInd/>
        <w:spacing w:beforeLines="0" w:afterLines="0" w:line="360" w:lineRule="auto"/>
        <w:ind w:firstLine="562" w:firstLineChars="200"/>
        <w:jc w:val="both"/>
        <w:rPr>
          <w:rFonts w:hint="default"/>
          <w:b/>
          <w:sz w:val="28"/>
          <w:szCs w:val="28"/>
        </w:rPr>
      </w:pPr>
      <w:bookmarkStart w:id="28" w:name="_Toc27495478"/>
      <w:r>
        <w:rPr>
          <w:rFonts w:hint="default"/>
          <w:b/>
          <w:color w:val="000000"/>
          <w:sz w:val="28"/>
          <w:szCs w:val="28"/>
        </w:rPr>
        <w:t>第一条需求内容</w:t>
      </w:r>
    </w:p>
    <w:p w14:paraId="01217803">
      <w:pPr>
        <w:adjustRightInd/>
        <w:spacing w:beforeLines="0" w:afterLines="0" w:line="360" w:lineRule="auto"/>
        <w:ind w:firstLine="640"/>
        <w:rPr>
          <w:rFonts w:hint="default" w:hAnsi="宋体" w:cs="宋体"/>
          <w:color w:val="29282A"/>
          <w:sz w:val="28"/>
          <w:szCs w:val="28"/>
          <w:lang w:val="zh-TW" w:eastAsia="zh-TW" w:bidi="zh-TW"/>
        </w:rPr>
      </w:pPr>
      <w:bookmarkStart w:id="29" w:name="bookmark9"/>
      <w:r>
        <w:rPr>
          <w:rFonts w:hint="default" w:hAnsi="宋体" w:cs="宋体"/>
          <w:color w:val="29282A"/>
          <w:sz w:val="28"/>
          <w:szCs w:val="28"/>
          <w:lang w:val="zh-TW" w:eastAsia="zh-TW" w:bidi="zh-TW"/>
        </w:rPr>
        <w:t>（一）需求范围及建设周期</w:t>
      </w:r>
    </w:p>
    <w:p w14:paraId="6F4F2130">
      <w:pPr>
        <w:adjustRightInd/>
        <w:spacing w:beforeLines="0" w:afterLines="0" w:line="360" w:lineRule="auto"/>
        <w:ind w:firstLine="640"/>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本技术支持维护服务合同的期限自合同签订之日起</w:t>
      </w:r>
      <w:r>
        <w:rPr>
          <w:rFonts w:hint="default" w:hAnsi="宋体" w:cs="宋体"/>
          <w:color w:val="29282A"/>
          <w:sz w:val="28"/>
          <w:szCs w:val="28"/>
          <w:lang w:bidi="zh-TW"/>
        </w:rPr>
        <w:t>90</w:t>
      </w:r>
      <w:r>
        <w:rPr>
          <w:rFonts w:hint="default" w:hAnsi="宋体" w:cs="宋体"/>
          <w:color w:val="29282A"/>
          <w:sz w:val="28"/>
          <w:szCs w:val="28"/>
          <w:lang w:val="zh-TW" w:eastAsia="zh-TW" w:bidi="zh-TW"/>
        </w:rPr>
        <w:t>个工作日完成项目需求深化调研、软件开发、数据及功能整合、部署上线及培训等工作。</w:t>
      </w:r>
    </w:p>
    <w:tbl>
      <w:tblPr>
        <w:tblStyle w:val="9"/>
        <w:tblW w:w="30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63"/>
        <w:gridCol w:w="2520"/>
      </w:tblGrid>
      <w:tr w14:paraId="19E5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2659"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379CEB6">
            <w:pPr>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内容</w:t>
            </w:r>
          </w:p>
        </w:tc>
        <w:tc>
          <w:tcPr>
            <w:tcW w:w="234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9B332BD">
            <w:pPr>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涵盖范围</w:t>
            </w:r>
          </w:p>
        </w:tc>
      </w:tr>
      <w:tr w14:paraId="4E800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659"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018BE1D">
            <w:pPr>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清疏相关功能</w:t>
            </w:r>
          </w:p>
        </w:tc>
        <w:tc>
          <w:tcPr>
            <w:tcW w:w="234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C0D5FF8">
            <w:pPr>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Web、App、后台</w:t>
            </w:r>
          </w:p>
        </w:tc>
      </w:tr>
      <w:tr w14:paraId="6554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659"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583F718">
            <w:pPr>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检测相关功能</w:t>
            </w:r>
          </w:p>
        </w:tc>
        <w:tc>
          <w:tcPr>
            <w:tcW w:w="234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59FB39C">
            <w:pPr>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Web、App、后台</w:t>
            </w:r>
          </w:p>
        </w:tc>
      </w:tr>
      <w:tr w14:paraId="31CA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659"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B8495B6">
            <w:pPr>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其他功能优化</w:t>
            </w:r>
          </w:p>
        </w:tc>
        <w:tc>
          <w:tcPr>
            <w:tcW w:w="234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80DB17A">
            <w:pPr>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Web、App</w:t>
            </w:r>
          </w:p>
        </w:tc>
      </w:tr>
    </w:tbl>
    <w:p w14:paraId="73272C0B">
      <w:pPr>
        <w:adjustRightInd/>
        <w:spacing w:beforeLines="0" w:afterLines="0" w:line="360" w:lineRule="auto"/>
        <w:ind w:firstLine="640"/>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（二）需求内容</w:t>
      </w:r>
    </w:p>
    <w:p w14:paraId="0F8C0D75">
      <w:pPr>
        <w:adjustRightInd/>
        <w:spacing w:beforeLines="0" w:afterLines="0" w:line="360" w:lineRule="auto"/>
        <w:ind w:firstLine="640"/>
        <w:rPr>
          <w:rFonts w:hint="default" w:hAnsi="宋体" w:cs="宋体"/>
          <w:color w:val="29282A"/>
          <w:sz w:val="28"/>
          <w:szCs w:val="28"/>
          <w:lang w:val="zh-TW" w:eastAsia="zh-TW" w:bidi="zh-TW"/>
        </w:rPr>
        <w:sectPr>
          <w:pgSz w:w="11906" w:h="16838"/>
          <w:pgMar w:top="1474" w:right="1588" w:bottom="1474" w:left="1701" w:header="851" w:footer="992" w:gutter="0"/>
          <w:lnNumType w:countBy="0" w:distance="360"/>
          <w:pgNumType w:fmt="decimal"/>
          <w:cols w:space="720" w:num="1"/>
          <w:docGrid w:type="lines" w:linePitch="435" w:charSpace="0"/>
        </w:sectPr>
      </w:pPr>
    </w:p>
    <w:tbl>
      <w:tblPr>
        <w:tblStyle w:val="9"/>
        <w:tblW w:w="138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4"/>
        <w:gridCol w:w="2020"/>
        <w:gridCol w:w="3946"/>
        <w:gridCol w:w="6827"/>
      </w:tblGrid>
      <w:tr w14:paraId="3F7D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blHeader/>
        </w:trPr>
        <w:tc>
          <w:tcPr>
            <w:tcW w:w="1094" w:type="dxa"/>
            <w:tcBorders>
              <w:top w:val="single" w:color="auto" w:sz="4" w:space="0"/>
              <w:left w:val="single" w:color="auto" w:sz="4" w:space="0"/>
              <w:bottom w:val="single" w:color="auto" w:sz="4" w:space="0"/>
              <w:right w:val="single" w:color="auto" w:sz="4" w:space="0"/>
              <w:tl2br w:val="nil"/>
              <w:tr2bl w:val="nil"/>
            </w:tcBorders>
            <w:noWrap/>
            <w:vAlign w:val="center"/>
          </w:tcPr>
          <w:p w14:paraId="12970D62">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客户端</w:t>
            </w:r>
          </w:p>
        </w:tc>
        <w:tc>
          <w:tcPr>
            <w:tcW w:w="2020" w:type="dxa"/>
            <w:tcBorders>
              <w:top w:val="single" w:color="auto" w:sz="4" w:space="0"/>
              <w:left w:val="nil"/>
              <w:bottom w:val="single" w:color="auto" w:sz="4" w:space="0"/>
              <w:right w:val="single" w:color="auto" w:sz="4" w:space="0"/>
              <w:tl2br w:val="nil"/>
              <w:tr2bl w:val="nil"/>
            </w:tcBorders>
            <w:noWrap w:val="0"/>
            <w:vAlign w:val="center"/>
          </w:tcPr>
          <w:p w14:paraId="7D2AB39B">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功能</w:t>
            </w:r>
          </w:p>
        </w:tc>
        <w:tc>
          <w:tcPr>
            <w:tcW w:w="3946" w:type="dxa"/>
            <w:tcBorders>
              <w:top w:val="single" w:color="auto" w:sz="4" w:space="0"/>
              <w:left w:val="nil"/>
              <w:bottom w:val="single" w:color="auto" w:sz="4" w:space="0"/>
              <w:right w:val="single" w:color="auto" w:sz="4" w:space="0"/>
              <w:tl2br w:val="nil"/>
              <w:tr2bl w:val="nil"/>
            </w:tcBorders>
            <w:noWrap/>
            <w:vAlign w:val="center"/>
          </w:tcPr>
          <w:p w14:paraId="64C5BB43">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简要描述</w:t>
            </w:r>
          </w:p>
        </w:tc>
        <w:tc>
          <w:tcPr>
            <w:tcW w:w="6827" w:type="dxa"/>
            <w:tcBorders>
              <w:top w:val="single" w:color="auto" w:sz="4" w:space="0"/>
              <w:left w:val="nil"/>
              <w:bottom w:val="single" w:color="auto" w:sz="4" w:space="0"/>
              <w:right w:val="single" w:color="auto" w:sz="4" w:space="0"/>
              <w:tl2br w:val="nil"/>
              <w:tr2bl w:val="nil"/>
            </w:tcBorders>
            <w:noWrap/>
            <w:vAlign w:val="center"/>
          </w:tcPr>
          <w:p w14:paraId="10973743">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补充说明</w:t>
            </w:r>
          </w:p>
        </w:tc>
      </w:tr>
      <w:tr w14:paraId="170B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94" w:type="dxa"/>
            <w:vMerge w:val="restart"/>
            <w:tcBorders>
              <w:top w:val="nil"/>
              <w:left w:val="single" w:color="auto" w:sz="4" w:space="0"/>
              <w:bottom w:val="single" w:color="auto" w:sz="4" w:space="0"/>
              <w:right w:val="single" w:color="auto" w:sz="4" w:space="0"/>
              <w:tl2br w:val="nil"/>
              <w:tr2bl w:val="nil"/>
            </w:tcBorders>
            <w:noWrap w:val="0"/>
            <w:vAlign w:val="center"/>
          </w:tcPr>
          <w:p w14:paraId="6B0E73BE">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web端</w:t>
            </w:r>
          </w:p>
        </w:tc>
        <w:tc>
          <w:tcPr>
            <w:tcW w:w="2020" w:type="dxa"/>
            <w:tcBorders>
              <w:top w:val="nil"/>
              <w:left w:val="nil"/>
              <w:bottom w:val="single" w:color="auto" w:sz="4" w:space="0"/>
              <w:right w:val="single" w:color="auto" w:sz="4" w:space="0"/>
              <w:tl2br w:val="nil"/>
              <w:tr2bl w:val="nil"/>
            </w:tcBorders>
            <w:noWrap w:val="0"/>
            <w:vAlign w:val="center"/>
          </w:tcPr>
          <w:p w14:paraId="097D03DC">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清疏一张图</w:t>
            </w:r>
          </w:p>
        </w:tc>
        <w:tc>
          <w:tcPr>
            <w:tcW w:w="3946" w:type="dxa"/>
            <w:tcBorders>
              <w:top w:val="nil"/>
              <w:left w:val="nil"/>
              <w:bottom w:val="single" w:color="auto" w:sz="4" w:space="0"/>
              <w:right w:val="single" w:color="auto" w:sz="4" w:space="0"/>
              <w:tl2br w:val="nil"/>
              <w:tr2bl w:val="nil"/>
            </w:tcBorders>
            <w:noWrap w:val="0"/>
            <w:vAlign w:val="center"/>
          </w:tcPr>
          <w:p w14:paraId="055E44B0">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在地图中对清疏历史清疏管段、管井按照清疏次数进行不同颜色标识，并可根据相关条件进行查询展示。</w:t>
            </w:r>
          </w:p>
        </w:tc>
        <w:tc>
          <w:tcPr>
            <w:tcW w:w="6827" w:type="dxa"/>
            <w:tcBorders>
              <w:top w:val="nil"/>
              <w:left w:val="nil"/>
              <w:bottom w:val="single" w:color="auto" w:sz="4" w:space="0"/>
              <w:right w:val="single" w:color="auto" w:sz="4" w:space="0"/>
              <w:tl2br w:val="nil"/>
              <w:tr2bl w:val="nil"/>
            </w:tcBorders>
            <w:noWrap w:val="0"/>
            <w:vAlign w:val="center"/>
          </w:tcPr>
          <w:p w14:paraId="3F82F6FC">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在GIS地图中对清疏历史清疏管段、管井按照清疏次数进行不同颜色标识；根据需求对地图展示结果的显示定制（如分公司、镇街、时间段等）；设施历史清疏记录概况的列表展示（如设施编号、地址、清疏次数）及历史清疏记录信息导出；某设施历史清疏记录概况列表（如设施编号、清疏日期、地址）及设施历史清疏记录详情；地图点击设施后基础信息及清疏信息展示。</w:t>
            </w:r>
          </w:p>
        </w:tc>
      </w:tr>
      <w:tr w14:paraId="410E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1094" w:type="dxa"/>
            <w:vMerge w:val="continue"/>
            <w:tcBorders>
              <w:top w:val="nil"/>
              <w:left w:val="single" w:color="auto" w:sz="4" w:space="0"/>
              <w:bottom w:val="single" w:color="auto" w:sz="4" w:space="0"/>
              <w:right w:val="single" w:color="auto" w:sz="4" w:space="0"/>
              <w:tl2br w:val="nil"/>
              <w:tr2bl w:val="nil"/>
            </w:tcBorders>
            <w:noWrap w:val="0"/>
            <w:vAlign w:val="center"/>
          </w:tcPr>
          <w:p w14:paraId="709751ED">
            <w:pPr>
              <w:widowControl/>
              <w:adjustRightInd/>
              <w:spacing w:beforeLines="0" w:afterLines="0" w:line="360" w:lineRule="auto"/>
              <w:ind w:firstLine="440"/>
              <w:rPr>
                <w:rFonts w:hint="default" w:hAnsi="宋体" w:cs="宋体"/>
                <w:color w:val="29282A"/>
                <w:sz w:val="28"/>
                <w:szCs w:val="28"/>
                <w:lang w:val="zh-TW" w:eastAsia="zh-TW" w:bidi="zh-TW"/>
              </w:rPr>
            </w:pPr>
          </w:p>
        </w:tc>
        <w:tc>
          <w:tcPr>
            <w:tcW w:w="2020" w:type="dxa"/>
            <w:tcBorders>
              <w:top w:val="nil"/>
              <w:left w:val="nil"/>
              <w:bottom w:val="single" w:color="auto" w:sz="4" w:space="0"/>
              <w:right w:val="single" w:color="auto" w:sz="4" w:space="0"/>
              <w:tl2br w:val="nil"/>
              <w:tr2bl w:val="nil"/>
            </w:tcBorders>
            <w:noWrap w:val="0"/>
            <w:vAlign w:val="center"/>
          </w:tcPr>
          <w:p w14:paraId="6CDB6E11">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清疏计划</w:t>
            </w:r>
          </w:p>
        </w:tc>
        <w:tc>
          <w:tcPr>
            <w:tcW w:w="3946" w:type="dxa"/>
            <w:tcBorders>
              <w:top w:val="nil"/>
              <w:left w:val="nil"/>
              <w:bottom w:val="single" w:color="auto" w:sz="4" w:space="0"/>
              <w:right w:val="single" w:color="auto" w:sz="4" w:space="0"/>
              <w:tl2br w:val="nil"/>
              <w:tr2bl w:val="nil"/>
            </w:tcBorders>
            <w:noWrap w:val="0"/>
            <w:vAlign w:val="center"/>
          </w:tcPr>
          <w:p w14:paraId="7EDD9F8C">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新增删除自主/委外清疏计划，并支持子计划的查看、复制、删除、批量编辑、派发、收回、批量派发。</w:t>
            </w:r>
          </w:p>
        </w:tc>
        <w:tc>
          <w:tcPr>
            <w:tcW w:w="6827" w:type="dxa"/>
            <w:tcBorders>
              <w:top w:val="nil"/>
              <w:left w:val="nil"/>
              <w:bottom w:val="single" w:color="auto" w:sz="4" w:space="0"/>
              <w:right w:val="single" w:color="auto" w:sz="4" w:space="0"/>
              <w:tl2br w:val="nil"/>
              <w:tr2bl w:val="nil"/>
            </w:tcBorders>
            <w:noWrap w:val="0"/>
            <w:vAlign w:val="center"/>
          </w:tcPr>
          <w:p w14:paraId="5EEC663A">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新增项目计划，可在分公司级别进行计划新增；删除未执行的清疏项目计划；（自主清疏）显示项目计划子计划列表；（自主清疏）可按照计划名称检索子计划信息；（自主清疏）可按照计划班组检索子计划信息；（自主清疏）新增子计划；（自主清疏）可删除选定的未派发执行的子计划；（自主清疏）可批量设定子计划预计起止时间和执行班组；（自主清疏）根据子计划设定的执行班组批量派发执行；（自主清疏）查看子计划详细信息，基本情况、涉及的管井管段；（自主清疏）复制子计划信息生成新子计划；（自主清疏）删除子计划；（自主清疏）子计划新增设定完毕，派发执行；（自主清疏）子计划未执行时收回；（自主清疏）可对子计划信息进行编辑调整；（自主清疏）登记子计划基础信息（计划名称、预计起止时间、执行班组、备注），设定计划网格，并可自定义绘制计划区域；（自主清疏）保存子计划基础信息；（自主清疏）返回计划列表；（自主清疏）显示管井总数；（自主清疏）可根据设施类型（污水、雨水、雨污合流）、管井类型（全部、检查井、雨水井、跌水井、水封井、冲洗井……）、项目类属等条件查看计划管井信息；（自主清疏）选定区域后列表展示该区域管井管段设施信息，可根据设施类型（雨水、污水、合流）进行过滤，并将选定的管井管段设施添加至项目计划中；（自主清疏）删除计划列表中的管井；（自主清疏）可根据设施编号进行精准定位搜索；（自主清疏）可通过多选按钮设定必打卡管井；（自主清疏）显示管井信息列表项（管井编号、项目类属、必打卡标识、开井数、管井类型），其中管井编号、项目类属、开井数可设定升降序显示，必打卡可设定管井是否必打卡标识；（自主清疏）可设定计划要求主干管开井比例、主干管开井数量、计划覆盖率要求（%）、非主干管开井比例（%）、非主干管开井数量，当app端提交计划时进行评估，app端可强制提交计划；（自主清疏）显示管段总数；（自主清疏）可根据设施类型（污水、雨水、雨污合流）、项目类属等条件查看计划管段信息；（自主清疏）选定区域后列表展示该区域管井管段设施信息，可根据设施类型（雨水、污水、合流）进行过滤，并将选定的管井管段设施添加至项目计划中；（自主清疏）删除计划列表中的管段；（自主清疏）可根据设施编号进行精准定位搜索；（自主清疏）可通过多选按钮设定必打卡管段；（自主清疏）显示管道信息列表项（管道编号、项目类属、必打卡标识、开井数、管道类型），其中管道编号、项目类属、开井数可设定升降序显示，必打卡可设定管段是否必打卡标识；（自主清疏）点击列表项中的管道编号可在地图进行定位，并标识；（委外清疏）显示项目计划子计划列表；（委外清疏）可按照计划名称检索子计划信息；（委外清疏）可按照计划班组检索子计划信息；（委外清疏）新增子计划；（委外清疏）可删除选定的未派发执行的子计划；（委外清疏）可批量设定子计划预计起止时间和执行班组；（委外清疏）根据子计划设定的执行班组批量派发执行；（委外清疏）查看子计划详细信息，基本情况、涉及的管井管段；（委外清疏）复制子计划信息生成新子计划；（委外清疏）删除子计划；（委外清疏）子计划新增设定完毕，派发执行；（委外清疏）子计划未执行时收回；（委外清疏）可对子计划信息进行编辑调整；（委外清疏）登记子计划基础信息（计划名称、预计起止时间、执行班组、供应商、备注），设定计划网格，并可自定义绘制计划区域；（委外清疏）保存子计划基础信息；（委外清疏）返回计划列表；（委外清疏）显示管井总数及**占比；（委外清疏）可根据设施类型（污水、雨水、雨污合流）、管井类型（全部、检查井、雨水井、跌水井、水封井、冲洗井……）、项目类属等条件查看计划管井信息；（委外清疏）选定区域后列表展示该区域管井管段设施信息，可根据设施类型（雨水、污水、合流）进行过滤，并将选定的管井管段设施添加至项目计划中；（委外清疏）删除计划列表中的管井；（委外清疏）可根据设施编号进行精准定位搜索；（委外清疏）可批量设定管井是否清疏（枚举值是/否）；（委外清疏）可批量设定封堵数量（枚举值0/1/2）；（委外清疏）可批量设定封堵类型；（委外清疏）可设定某设施井是否清疏；（委外清疏）可设定某设施井封堵数量；（委外清疏）可设定某设施井封堵类型；（委外清疏）显示管井信息列表项（管井编号、项目类属、是否清疏、封堵数量、封堵类型、管井类别），其中管井编号、项目类属可设定升降序显示；（委外清疏）点击列表项中的管井可在地图进行定位，并标识；（委外清疏）显示管道总数；（委外清疏）可根据设施类型（污水、雨水、雨污合流）、项目类属等条件查看计划管道信息；（委外清疏）选定区域后列表展示该区域管井管段设施信息，可根据设施类型（雨水、污水、合流）进行过滤，并将选定的管井管段设施添加至项目计划中；（委外清疏）删除计划列表中的管道；（委外清疏）可根据设施编号进行精准定位搜索；（委外清疏）可批量选择导排类型；（委外清疏）可批量选择检测类型；（委外清疏）可设定某设施管道导排类型；（委外清疏）可设定某设施管道检测类型；（委外清疏）显示管道信息列表项（管道编号、项目类属、导排类型、检测类型、管道类别），其中管道编号、项目类属可设定升降序显示；（委外清疏）点击列表项中的管道编号可在地图进行定位，并标识；（委外清疏）显示委外清疏工程量信息（委外项目、单位、计划工程量、实际工程量）；查看计划详细信息，基本情况、涉及的管井管段；复制计划信息生成新计划；删除计划；可批量设定计划预计开始结束时间和执行班组；计划新增设定完毕，派发执行；计划未执行时收回；可进行计划批量派发；复制项目计划信息生成新项目计划。</w:t>
            </w:r>
          </w:p>
        </w:tc>
      </w:tr>
      <w:tr w14:paraId="1ACF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94" w:type="dxa"/>
            <w:vMerge w:val="continue"/>
            <w:tcBorders>
              <w:top w:val="nil"/>
              <w:left w:val="single" w:color="auto" w:sz="4" w:space="0"/>
              <w:bottom w:val="single" w:color="auto" w:sz="4" w:space="0"/>
              <w:right w:val="single" w:color="auto" w:sz="4" w:space="0"/>
              <w:tl2br w:val="nil"/>
              <w:tr2bl w:val="nil"/>
            </w:tcBorders>
            <w:noWrap w:val="0"/>
            <w:vAlign w:val="center"/>
          </w:tcPr>
          <w:p w14:paraId="117F2CF7">
            <w:pPr>
              <w:widowControl/>
              <w:adjustRightInd/>
              <w:spacing w:beforeLines="0" w:afterLines="0" w:line="360" w:lineRule="auto"/>
              <w:ind w:firstLine="440"/>
              <w:rPr>
                <w:rFonts w:hint="default" w:hAnsi="宋体" w:cs="宋体"/>
                <w:color w:val="29282A"/>
                <w:sz w:val="28"/>
                <w:szCs w:val="28"/>
                <w:lang w:val="zh-TW" w:eastAsia="zh-TW" w:bidi="zh-TW"/>
              </w:rPr>
            </w:pPr>
          </w:p>
        </w:tc>
        <w:tc>
          <w:tcPr>
            <w:tcW w:w="2020" w:type="dxa"/>
            <w:tcBorders>
              <w:top w:val="nil"/>
              <w:left w:val="nil"/>
              <w:bottom w:val="single" w:color="auto" w:sz="4" w:space="0"/>
              <w:right w:val="single" w:color="auto" w:sz="4" w:space="0"/>
              <w:tl2br w:val="nil"/>
              <w:tr2bl w:val="nil"/>
            </w:tcBorders>
            <w:noWrap w:val="0"/>
            <w:vAlign w:val="center"/>
          </w:tcPr>
          <w:p w14:paraId="04188321">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清疏计划台账导出对比</w:t>
            </w:r>
          </w:p>
        </w:tc>
        <w:tc>
          <w:tcPr>
            <w:tcW w:w="3946" w:type="dxa"/>
            <w:tcBorders>
              <w:top w:val="nil"/>
              <w:left w:val="nil"/>
              <w:bottom w:val="single" w:color="auto" w:sz="4" w:space="0"/>
              <w:right w:val="single" w:color="auto" w:sz="4" w:space="0"/>
              <w:tl2br w:val="nil"/>
              <w:tr2bl w:val="nil"/>
            </w:tcBorders>
            <w:noWrap w:val="0"/>
            <w:vAlign w:val="center"/>
          </w:tcPr>
          <w:p w14:paraId="5862B27C">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制定计划之后，可以看到计划中计划清疏的管井管段之前的清疏情况信息（时间、方式等等）。</w:t>
            </w:r>
          </w:p>
        </w:tc>
        <w:tc>
          <w:tcPr>
            <w:tcW w:w="6827" w:type="dxa"/>
            <w:tcBorders>
              <w:top w:val="nil"/>
              <w:left w:val="nil"/>
              <w:bottom w:val="single" w:color="auto" w:sz="4" w:space="0"/>
              <w:right w:val="single" w:color="auto" w:sz="4" w:space="0"/>
              <w:tl2br w:val="nil"/>
              <w:tr2bl w:val="nil"/>
            </w:tcBorders>
            <w:noWrap w:val="0"/>
            <w:vAlign w:val="center"/>
          </w:tcPr>
          <w:p w14:paraId="57DFE1D7">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制定计划之后，可以看到计划中计划清疏的管井管段之前的清疏情况信息（时间、方式等等），用以更好的工作计划安排。</w:t>
            </w:r>
          </w:p>
        </w:tc>
      </w:tr>
      <w:tr w14:paraId="2793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94" w:type="dxa"/>
            <w:vMerge w:val="continue"/>
            <w:tcBorders>
              <w:top w:val="nil"/>
              <w:left w:val="single" w:color="auto" w:sz="4" w:space="0"/>
              <w:bottom w:val="single" w:color="auto" w:sz="4" w:space="0"/>
              <w:right w:val="single" w:color="auto" w:sz="4" w:space="0"/>
              <w:tl2br w:val="nil"/>
              <w:tr2bl w:val="nil"/>
            </w:tcBorders>
            <w:noWrap w:val="0"/>
            <w:vAlign w:val="center"/>
          </w:tcPr>
          <w:p w14:paraId="6084B7F9">
            <w:pPr>
              <w:widowControl/>
              <w:adjustRightInd/>
              <w:spacing w:beforeLines="0" w:afterLines="0" w:line="360" w:lineRule="auto"/>
              <w:ind w:firstLine="440"/>
              <w:rPr>
                <w:rFonts w:hint="default" w:hAnsi="宋体" w:cs="宋体"/>
                <w:color w:val="29282A"/>
                <w:sz w:val="28"/>
                <w:szCs w:val="28"/>
                <w:lang w:val="zh-TW" w:eastAsia="zh-TW" w:bidi="zh-TW"/>
              </w:rPr>
            </w:pPr>
          </w:p>
        </w:tc>
        <w:tc>
          <w:tcPr>
            <w:tcW w:w="2020" w:type="dxa"/>
            <w:tcBorders>
              <w:top w:val="nil"/>
              <w:left w:val="nil"/>
              <w:bottom w:val="single" w:color="auto" w:sz="4" w:space="0"/>
              <w:right w:val="single" w:color="auto" w:sz="4" w:space="0"/>
              <w:tl2br w:val="nil"/>
              <w:tr2bl w:val="nil"/>
            </w:tcBorders>
            <w:noWrap w:val="0"/>
            <w:vAlign w:val="center"/>
          </w:tcPr>
          <w:p w14:paraId="43615EE2">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清疏计划台账</w:t>
            </w:r>
          </w:p>
        </w:tc>
        <w:tc>
          <w:tcPr>
            <w:tcW w:w="3946" w:type="dxa"/>
            <w:tcBorders>
              <w:top w:val="nil"/>
              <w:left w:val="nil"/>
              <w:bottom w:val="single" w:color="auto" w:sz="4" w:space="0"/>
              <w:right w:val="single" w:color="auto" w:sz="4" w:space="0"/>
              <w:tl2br w:val="nil"/>
              <w:tr2bl w:val="nil"/>
            </w:tcBorders>
            <w:noWrap w:val="0"/>
            <w:vAlign w:val="center"/>
          </w:tcPr>
          <w:p w14:paraId="1AF7B461">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计划制定后可导出计划信息，并生成管井管段封堵点图片。</w:t>
            </w:r>
          </w:p>
        </w:tc>
        <w:tc>
          <w:tcPr>
            <w:tcW w:w="6827" w:type="dxa"/>
            <w:tcBorders>
              <w:top w:val="nil"/>
              <w:left w:val="nil"/>
              <w:bottom w:val="single" w:color="auto" w:sz="4" w:space="0"/>
              <w:right w:val="single" w:color="auto" w:sz="4" w:space="0"/>
              <w:tl2br w:val="nil"/>
              <w:tr2bl w:val="nil"/>
            </w:tcBorders>
            <w:noWrap w:val="0"/>
            <w:vAlign w:val="center"/>
          </w:tcPr>
          <w:p w14:paraId="579906D4">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计划制定后可导出计划信息，并生成地图中管井管段封堵点图片。</w:t>
            </w:r>
          </w:p>
        </w:tc>
      </w:tr>
      <w:tr w14:paraId="6657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94" w:type="dxa"/>
            <w:vMerge w:val="continue"/>
            <w:tcBorders>
              <w:top w:val="nil"/>
              <w:left w:val="single" w:color="auto" w:sz="4" w:space="0"/>
              <w:bottom w:val="single" w:color="auto" w:sz="4" w:space="0"/>
              <w:right w:val="single" w:color="auto" w:sz="4" w:space="0"/>
              <w:tl2br w:val="nil"/>
              <w:tr2bl w:val="nil"/>
            </w:tcBorders>
            <w:noWrap w:val="0"/>
            <w:vAlign w:val="center"/>
          </w:tcPr>
          <w:p w14:paraId="04283FCF">
            <w:pPr>
              <w:widowControl/>
              <w:adjustRightInd/>
              <w:spacing w:beforeLines="0" w:afterLines="0" w:line="360" w:lineRule="auto"/>
              <w:ind w:firstLine="440"/>
              <w:rPr>
                <w:rFonts w:hint="default" w:hAnsi="宋体" w:cs="宋体"/>
                <w:color w:val="29282A"/>
                <w:sz w:val="28"/>
                <w:szCs w:val="28"/>
                <w:lang w:val="zh-TW" w:eastAsia="zh-TW" w:bidi="zh-TW"/>
              </w:rPr>
            </w:pPr>
          </w:p>
        </w:tc>
        <w:tc>
          <w:tcPr>
            <w:tcW w:w="2020" w:type="dxa"/>
            <w:tcBorders>
              <w:top w:val="nil"/>
              <w:left w:val="nil"/>
              <w:bottom w:val="single" w:color="auto" w:sz="4" w:space="0"/>
              <w:right w:val="single" w:color="auto" w:sz="4" w:space="0"/>
              <w:tl2br w:val="nil"/>
              <w:tr2bl w:val="nil"/>
            </w:tcBorders>
            <w:noWrap w:val="0"/>
            <w:vAlign w:val="center"/>
          </w:tcPr>
          <w:p w14:paraId="04CEA8DD">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检测一张图</w:t>
            </w:r>
          </w:p>
        </w:tc>
        <w:tc>
          <w:tcPr>
            <w:tcW w:w="3946" w:type="dxa"/>
            <w:tcBorders>
              <w:top w:val="nil"/>
              <w:left w:val="nil"/>
              <w:bottom w:val="single" w:color="auto" w:sz="4" w:space="0"/>
              <w:right w:val="single" w:color="auto" w:sz="4" w:space="0"/>
              <w:tl2br w:val="nil"/>
              <w:tr2bl w:val="nil"/>
            </w:tcBorders>
            <w:noWrap w:val="0"/>
            <w:vAlign w:val="center"/>
          </w:tcPr>
          <w:p w14:paraId="74CDFEE2">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在地图中对检测历史检测管段、管井按照检测次数进行不同颜色标识，并可根据相关条件进行查询展示。</w:t>
            </w:r>
          </w:p>
        </w:tc>
        <w:tc>
          <w:tcPr>
            <w:tcW w:w="6827" w:type="dxa"/>
            <w:tcBorders>
              <w:top w:val="nil"/>
              <w:left w:val="nil"/>
              <w:bottom w:val="single" w:color="auto" w:sz="4" w:space="0"/>
              <w:right w:val="single" w:color="auto" w:sz="4" w:space="0"/>
              <w:tl2br w:val="nil"/>
              <w:tr2bl w:val="nil"/>
            </w:tcBorders>
            <w:noWrap w:val="0"/>
            <w:vAlign w:val="center"/>
          </w:tcPr>
          <w:p w14:paraId="258FC27A">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在GIS在地图中对检测历史检测管段、管井按照检测次数进行不同颜色标识;根据需求对地图展示结果的显示定制（如分公司、镇街、时间段等）；设施历史检测记录概况的列表展示（如设施编号、地址、检测次数）及历史检测记录信息导出；某设施历史检测记录概况列表（如设施编号、检测日期、地址）及设施历史检测记录详情；地图点击设施后检测信息展示。</w:t>
            </w:r>
          </w:p>
        </w:tc>
      </w:tr>
      <w:tr w14:paraId="4B72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1094" w:type="dxa"/>
            <w:vMerge w:val="continue"/>
            <w:tcBorders>
              <w:top w:val="nil"/>
              <w:left w:val="single" w:color="auto" w:sz="4" w:space="0"/>
              <w:bottom w:val="single" w:color="auto" w:sz="4" w:space="0"/>
              <w:right w:val="single" w:color="auto" w:sz="4" w:space="0"/>
              <w:tl2br w:val="nil"/>
              <w:tr2bl w:val="nil"/>
            </w:tcBorders>
            <w:noWrap w:val="0"/>
            <w:vAlign w:val="center"/>
          </w:tcPr>
          <w:p w14:paraId="6214D50D">
            <w:pPr>
              <w:widowControl/>
              <w:adjustRightInd/>
              <w:spacing w:beforeLines="0" w:afterLines="0" w:line="360" w:lineRule="auto"/>
              <w:ind w:firstLine="440"/>
              <w:rPr>
                <w:rFonts w:hint="default" w:hAnsi="宋体" w:cs="宋体"/>
                <w:color w:val="29282A"/>
                <w:sz w:val="28"/>
                <w:szCs w:val="28"/>
                <w:lang w:val="zh-TW" w:eastAsia="zh-TW" w:bidi="zh-TW"/>
              </w:rPr>
            </w:pPr>
          </w:p>
        </w:tc>
        <w:tc>
          <w:tcPr>
            <w:tcW w:w="2020" w:type="dxa"/>
            <w:tcBorders>
              <w:top w:val="nil"/>
              <w:left w:val="nil"/>
              <w:bottom w:val="single" w:color="auto" w:sz="4" w:space="0"/>
              <w:right w:val="single" w:color="auto" w:sz="4" w:space="0"/>
              <w:tl2br w:val="nil"/>
              <w:tr2bl w:val="nil"/>
            </w:tcBorders>
            <w:noWrap w:val="0"/>
            <w:vAlign w:val="center"/>
          </w:tcPr>
          <w:p w14:paraId="34A968A2">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检测计划</w:t>
            </w:r>
          </w:p>
        </w:tc>
        <w:tc>
          <w:tcPr>
            <w:tcW w:w="3946" w:type="dxa"/>
            <w:tcBorders>
              <w:top w:val="nil"/>
              <w:left w:val="nil"/>
              <w:bottom w:val="single" w:color="auto" w:sz="4" w:space="0"/>
              <w:right w:val="single" w:color="auto" w:sz="4" w:space="0"/>
              <w:tl2br w:val="nil"/>
              <w:tr2bl w:val="nil"/>
            </w:tcBorders>
            <w:noWrap w:val="0"/>
            <w:vAlign w:val="center"/>
          </w:tcPr>
          <w:p w14:paraId="1A422F92">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新增删除自主/委外检测计划，并支持子计划的查看、复制、删除、批量编辑、派发、收回、批量派发。</w:t>
            </w:r>
          </w:p>
        </w:tc>
        <w:tc>
          <w:tcPr>
            <w:tcW w:w="6827" w:type="dxa"/>
            <w:tcBorders>
              <w:top w:val="nil"/>
              <w:left w:val="nil"/>
              <w:bottom w:val="single" w:color="auto" w:sz="4" w:space="0"/>
              <w:right w:val="single" w:color="auto" w:sz="4" w:space="0"/>
              <w:tl2br w:val="nil"/>
              <w:tr2bl w:val="nil"/>
            </w:tcBorders>
            <w:noWrap w:val="0"/>
            <w:vAlign w:val="center"/>
          </w:tcPr>
          <w:p w14:paraId="278306B2">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新增项目计划，可在分公司级别进行计划新增；删除未执行的检测项目计划；（自主检测）显示项目计划子计划列表；（自主检测）可按照计划名称检索子计划信息；（自主检测）可按照计划班组检索子计划信息；（自主检测）新增子计划；（自主检测）可删除选定的未派发执行的子计划；（自主检测）可批量设定子计划预计起止时间和执行班组；（自主检测）根据子计划设定的执行班组批量派发执行；（自主检测）查看子计划详细信息，基本情况、涉及的管井管段；（自主检测）复制子计划信息生成新子计划；（自主检测）删除子计划；（自主检测）子计划新增设定完毕，派发执行；（自主检测）子计划未执行时收回；（自主检测）可对子计划信息进行编辑调整；（自主检测）登记子计划基础信息（计划名称、预计起止时间、执行班组、备注），设定计划网格，并可自定义绘制计划区域；（自主检测）保存子计划基础信息；（自主检测）返回计划列表；（自主检测）显示管段总数；（自主检测）可根据设施类型（污水、雨水、雨污合流）、项目类属等条件查看计划管段信息；（自主检测）选定区域后列表展示该区域管井管段设施信息，可根据设施类型（雨水、污水、合流）进行过滤，并将选定的管井管段设施添加至项目计划中；（自主检测）删除计划列表中的管段；（自主检测）可根据设施编号进行精准定位搜索；（自主检测）可通过多选按钮设定必打卡管段；（自主检测）显示管道信息列表项（管道编号、项目类属、必打卡标识、开井数、管道类型），其中管道编号、项目类属、开井数可设定升降序显示，必打卡可设定管井是否必打卡标识；（自主检测）点击列表项中的管道编号可在地图进行定位，并标识；（委外检测）显示项目计划子计划列表；（委外检测）可按照计划名称检索子计划信息；（委外检测）可按照计划班组检索子计划信息；（委外检测）新增子计划；（委外检测）可删除选定的未派发执行的子计划；（委外检测）可批量设定子计划预计起止时间和执行班组；（委外检测）根据子计划设定的执行班组批量派发执行；（委外检测）查看子计划详细信息，基本情况、涉及的管井管段；（委外检测）复制子计划信息生成新子计划；（委外检测）删除子计划；（委外检测）子计划新增设定完毕，派发执行；（委外检测）子计划未执行时收回；（委外检测）可对子计划信息进行编辑调整；（委外检测）登记子计划基础信息（计划名称、预计起止时间、执行班组、供应商、备注），设定计划网格，并可自定义绘制计划区域；（委外检测）保存子计划基础信息；（委外检测）返回计划列表；（委外检测）显示管段总数；（委外检测）可根据设施类型（污水、雨水、雨污合流）、项目类属等条件查看计划管井信息；（委外检测）选定区域后列表展示该区域管井管段设施信息，可根据设施类型（雨水、污水、合流）进行过滤，并将选定的管井管段设施添加至项目计划中；（委外检测）删除计划列表中的管段；（委外检测）可根据设施编号进行精准定位搜索；（委外检测）显示管道信息列表项（管道编号、项目类属、导排类型、检测类型、管道类别），其中管道编号、项目类属可设定升降序显示；（委外检测）点击列表项中的管道编号可在地图进行定位，并标识；查看计划详细信息，基本情况、涉及的管井管段；复制计划信息生成新计划；删除计划；可批量设定计划预计开始结束时间和执行班组；计划新增设定完毕，派发执行；计划未执行时收回；可进行计划批量派发；复制项目计划信息生成新项目计划。</w:t>
            </w:r>
          </w:p>
        </w:tc>
      </w:tr>
      <w:tr w14:paraId="0A40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94" w:type="dxa"/>
            <w:vMerge w:val="continue"/>
            <w:tcBorders>
              <w:top w:val="nil"/>
              <w:left w:val="single" w:color="auto" w:sz="4" w:space="0"/>
              <w:bottom w:val="single" w:color="auto" w:sz="4" w:space="0"/>
              <w:right w:val="single" w:color="auto" w:sz="4" w:space="0"/>
              <w:tl2br w:val="nil"/>
              <w:tr2bl w:val="nil"/>
            </w:tcBorders>
            <w:noWrap w:val="0"/>
            <w:vAlign w:val="center"/>
          </w:tcPr>
          <w:p w14:paraId="412E210B">
            <w:pPr>
              <w:widowControl/>
              <w:adjustRightInd/>
              <w:spacing w:beforeLines="0" w:afterLines="0" w:line="360" w:lineRule="auto"/>
              <w:ind w:firstLine="440"/>
              <w:rPr>
                <w:rFonts w:hint="default" w:hAnsi="宋体" w:cs="宋体"/>
                <w:color w:val="29282A"/>
                <w:sz w:val="28"/>
                <w:szCs w:val="28"/>
                <w:lang w:val="zh-TW" w:eastAsia="zh-TW" w:bidi="zh-TW"/>
              </w:rPr>
            </w:pPr>
          </w:p>
        </w:tc>
        <w:tc>
          <w:tcPr>
            <w:tcW w:w="2020" w:type="dxa"/>
            <w:tcBorders>
              <w:top w:val="nil"/>
              <w:left w:val="nil"/>
              <w:bottom w:val="single" w:color="auto" w:sz="4" w:space="0"/>
              <w:right w:val="single" w:color="auto" w:sz="4" w:space="0"/>
              <w:tl2br w:val="nil"/>
              <w:tr2bl w:val="nil"/>
            </w:tcBorders>
            <w:noWrap w:val="0"/>
            <w:vAlign w:val="center"/>
          </w:tcPr>
          <w:p w14:paraId="040CEE61">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检测计划台账导出对比</w:t>
            </w:r>
          </w:p>
        </w:tc>
        <w:tc>
          <w:tcPr>
            <w:tcW w:w="3946" w:type="dxa"/>
            <w:tcBorders>
              <w:top w:val="nil"/>
              <w:left w:val="nil"/>
              <w:bottom w:val="single" w:color="auto" w:sz="4" w:space="0"/>
              <w:right w:val="single" w:color="auto" w:sz="4" w:space="0"/>
              <w:tl2br w:val="nil"/>
              <w:tr2bl w:val="nil"/>
            </w:tcBorders>
            <w:noWrap w:val="0"/>
            <w:vAlign w:val="center"/>
          </w:tcPr>
          <w:p w14:paraId="4A365DEF">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制定计划之后，可以看到计划中计划检测的管井管段之前的检测情况信息（时间、方式等等）。</w:t>
            </w:r>
          </w:p>
        </w:tc>
        <w:tc>
          <w:tcPr>
            <w:tcW w:w="6827" w:type="dxa"/>
            <w:tcBorders>
              <w:top w:val="nil"/>
              <w:left w:val="nil"/>
              <w:bottom w:val="single" w:color="auto" w:sz="4" w:space="0"/>
              <w:right w:val="single" w:color="auto" w:sz="4" w:space="0"/>
              <w:tl2br w:val="nil"/>
              <w:tr2bl w:val="nil"/>
            </w:tcBorders>
            <w:noWrap w:val="0"/>
            <w:vAlign w:val="center"/>
          </w:tcPr>
          <w:p w14:paraId="36E51C73">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制定计划之后，可以看到计划中计划检测的管井管段之前的检测情况信息（时间、方式等等），用于更好的检测计划工作安排。</w:t>
            </w:r>
          </w:p>
        </w:tc>
      </w:tr>
      <w:tr w14:paraId="7EC1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94" w:type="dxa"/>
            <w:vMerge w:val="continue"/>
            <w:tcBorders>
              <w:top w:val="nil"/>
              <w:left w:val="single" w:color="auto" w:sz="4" w:space="0"/>
              <w:bottom w:val="single" w:color="auto" w:sz="4" w:space="0"/>
              <w:right w:val="single" w:color="auto" w:sz="4" w:space="0"/>
              <w:tl2br w:val="nil"/>
              <w:tr2bl w:val="nil"/>
            </w:tcBorders>
            <w:noWrap w:val="0"/>
            <w:vAlign w:val="center"/>
          </w:tcPr>
          <w:p w14:paraId="346EF58B">
            <w:pPr>
              <w:widowControl/>
              <w:adjustRightInd/>
              <w:spacing w:beforeLines="0" w:afterLines="0" w:line="360" w:lineRule="auto"/>
              <w:ind w:firstLine="440"/>
              <w:rPr>
                <w:rFonts w:hint="default" w:hAnsi="宋体" w:cs="宋体"/>
                <w:color w:val="29282A"/>
                <w:sz w:val="28"/>
                <w:szCs w:val="28"/>
                <w:lang w:val="zh-TW" w:eastAsia="zh-TW" w:bidi="zh-TW"/>
              </w:rPr>
            </w:pPr>
          </w:p>
        </w:tc>
        <w:tc>
          <w:tcPr>
            <w:tcW w:w="2020" w:type="dxa"/>
            <w:tcBorders>
              <w:top w:val="nil"/>
              <w:left w:val="nil"/>
              <w:bottom w:val="single" w:color="auto" w:sz="4" w:space="0"/>
              <w:right w:val="single" w:color="auto" w:sz="4" w:space="0"/>
              <w:tl2br w:val="nil"/>
              <w:tr2bl w:val="nil"/>
            </w:tcBorders>
            <w:noWrap w:val="0"/>
            <w:vAlign w:val="center"/>
          </w:tcPr>
          <w:p w14:paraId="4C912ED7">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GIS地图设施查询</w:t>
            </w:r>
          </w:p>
        </w:tc>
        <w:tc>
          <w:tcPr>
            <w:tcW w:w="3946" w:type="dxa"/>
            <w:tcBorders>
              <w:top w:val="nil"/>
              <w:left w:val="nil"/>
              <w:bottom w:val="single" w:color="auto" w:sz="4" w:space="0"/>
              <w:right w:val="single" w:color="auto" w:sz="4" w:space="0"/>
              <w:tl2br w:val="nil"/>
              <w:tr2bl w:val="nil"/>
            </w:tcBorders>
            <w:noWrap w:val="0"/>
            <w:vAlign w:val="center"/>
          </w:tcPr>
          <w:p w14:paraId="6FF5FB6F">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展示设施历史清疏、检测、维修、巡查信息。</w:t>
            </w:r>
          </w:p>
        </w:tc>
        <w:tc>
          <w:tcPr>
            <w:tcW w:w="6827" w:type="dxa"/>
            <w:tcBorders>
              <w:top w:val="nil"/>
              <w:left w:val="nil"/>
              <w:bottom w:val="single" w:color="auto" w:sz="4" w:space="0"/>
              <w:right w:val="single" w:color="auto" w:sz="4" w:space="0"/>
              <w:tl2br w:val="nil"/>
              <w:tr2bl w:val="nil"/>
            </w:tcBorders>
            <w:noWrap w:val="0"/>
            <w:vAlign w:val="center"/>
          </w:tcPr>
          <w:p w14:paraId="798A7798">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展示信息设计展示设施的历史清疏、检测、维修、巡查、问题上报、外部施工等所有历史工作信息。</w:t>
            </w:r>
          </w:p>
        </w:tc>
      </w:tr>
      <w:tr w14:paraId="4DC6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94" w:type="dxa"/>
            <w:vMerge w:val="continue"/>
            <w:tcBorders>
              <w:top w:val="nil"/>
              <w:left w:val="single" w:color="auto" w:sz="4" w:space="0"/>
              <w:bottom w:val="single" w:color="auto" w:sz="4" w:space="0"/>
              <w:right w:val="single" w:color="auto" w:sz="4" w:space="0"/>
              <w:tl2br w:val="nil"/>
              <w:tr2bl w:val="nil"/>
            </w:tcBorders>
            <w:noWrap w:val="0"/>
            <w:vAlign w:val="center"/>
          </w:tcPr>
          <w:p w14:paraId="382A29D6">
            <w:pPr>
              <w:widowControl/>
              <w:adjustRightInd/>
              <w:spacing w:beforeLines="0" w:afterLines="0" w:line="360" w:lineRule="auto"/>
              <w:ind w:firstLine="440"/>
              <w:rPr>
                <w:rFonts w:hint="default" w:hAnsi="宋体" w:cs="宋体"/>
                <w:color w:val="29282A"/>
                <w:sz w:val="28"/>
                <w:szCs w:val="28"/>
                <w:lang w:val="zh-TW" w:eastAsia="zh-TW" w:bidi="zh-TW"/>
              </w:rPr>
            </w:pPr>
          </w:p>
        </w:tc>
        <w:tc>
          <w:tcPr>
            <w:tcW w:w="2020" w:type="dxa"/>
            <w:tcBorders>
              <w:top w:val="nil"/>
              <w:left w:val="nil"/>
              <w:bottom w:val="single" w:color="auto" w:sz="4" w:space="0"/>
              <w:right w:val="single" w:color="auto" w:sz="4" w:space="0"/>
              <w:tl2br w:val="nil"/>
              <w:tr2bl w:val="nil"/>
            </w:tcBorders>
            <w:noWrap w:val="0"/>
            <w:vAlign w:val="center"/>
          </w:tcPr>
          <w:p w14:paraId="448B93D4">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泵站管理</w:t>
            </w:r>
          </w:p>
        </w:tc>
        <w:tc>
          <w:tcPr>
            <w:tcW w:w="3946" w:type="dxa"/>
            <w:tcBorders>
              <w:top w:val="nil"/>
              <w:left w:val="nil"/>
              <w:bottom w:val="single" w:color="auto" w:sz="4" w:space="0"/>
              <w:right w:val="single" w:color="auto" w:sz="4" w:space="0"/>
              <w:tl2br w:val="nil"/>
              <w:tr2bl w:val="nil"/>
            </w:tcBorders>
            <w:noWrap w:val="0"/>
            <w:vAlign w:val="center"/>
          </w:tcPr>
          <w:p w14:paraId="311E2663">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泵站巡检记录，泵站养护计划增加编辑功能。</w:t>
            </w:r>
          </w:p>
        </w:tc>
        <w:tc>
          <w:tcPr>
            <w:tcW w:w="6827" w:type="dxa"/>
            <w:tcBorders>
              <w:top w:val="nil"/>
              <w:left w:val="nil"/>
              <w:bottom w:val="single" w:color="auto" w:sz="4" w:space="0"/>
              <w:right w:val="single" w:color="auto" w:sz="4" w:space="0"/>
              <w:tl2br w:val="nil"/>
              <w:tr2bl w:val="nil"/>
            </w:tcBorders>
            <w:noWrap w:val="0"/>
            <w:vAlign w:val="center"/>
          </w:tcPr>
          <w:p w14:paraId="1FBFDC3D">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支持记录泵站巡检情况，并在发现问题时跳转至问题上报及养护；已制定的泵站养护计划目前无编辑调整功能，新增编辑调整功能，方便计划内容的准确有效设置，同时网页及导出的泵站养护计划能清晰标注出养护计划调整内容及备注。</w:t>
            </w:r>
          </w:p>
        </w:tc>
      </w:tr>
      <w:tr w14:paraId="486F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094" w:type="dxa"/>
            <w:vMerge w:val="continue"/>
            <w:tcBorders>
              <w:top w:val="nil"/>
              <w:left w:val="single" w:color="auto" w:sz="4" w:space="0"/>
              <w:bottom w:val="single" w:color="auto" w:sz="4" w:space="0"/>
              <w:right w:val="single" w:color="auto" w:sz="4" w:space="0"/>
              <w:tl2br w:val="nil"/>
              <w:tr2bl w:val="nil"/>
            </w:tcBorders>
            <w:noWrap w:val="0"/>
            <w:vAlign w:val="center"/>
          </w:tcPr>
          <w:p w14:paraId="3145D60F">
            <w:pPr>
              <w:widowControl/>
              <w:adjustRightInd/>
              <w:spacing w:beforeLines="0" w:afterLines="0" w:line="360" w:lineRule="auto"/>
              <w:ind w:firstLine="440"/>
              <w:rPr>
                <w:rFonts w:hint="default" w:hAnsi="宋体" w:cs="宋体"/>
                <w:color w:val="29282A"/>
                <w:sz w:val="28"/>
                <w:szCs w:val="28"/>
                <w:lang w:val="zh-TW" w:eastAsia="zh-TW" w:bidi="zh-TW"/>
              </w:rPr>
            </w:pPr>
          </w:p>
        </w:tc>
        <w:tc>
          <w:tcPr>
            <w:tcW w:w="2020" w:type="dxa"/>
            <w:tcBorders>
              <w:top w:val="nil"/>
              <w:left w:val="nil"/>
              <w:bottom w:val="single" w:color="auto" w:sz="4" w:space="0"/>
              <w:right w:val="single" w:color="auto" w:sz="4" w:space="0"/>
              <w:tl2br w:val="nil"/>
              <w:tr2bl w:val="nil"/>
            </w:tcBorders>
            <w:noWrap w:val="0"/>
            <w:vAlign w:val="center"/>
          </w:tcPr>
          <w:p w14:paraId="326F4A46">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台账管理</w:t>
            </w:r>
          </w:p>
        </w:tc>
        <w:tc>
          <w:tcPr>
            <w:tcW w:w="3946" w:type="dxa"/>
            <w:tcBorders>
              <w:top w:val="nil"/>
              <w:left w:val="nil"/>
              <w:bottom w:val="single" w:color="auto" w:sz="4" w:space="0"/>
              <w:right w:val="single" w:color="auto" w:sz="4" w:space="0"/>
              <w:tl2br w:val="nil"/>
              <w:tr2bl w:val="nil"/>
            </w:tcBorders>
            <w:noWrap w:val="0"/>
            <w:vAlign w:val="center"/>
          </w:tcPr>
          <w:p w14:paraId="1BDDE6C9">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截流井：在网格化模块中单列一个截流井模块，可在web端内直接看到具体台账以及截流井具体信息并进行截流井状态的更新；异常轨迹台账：根据镇街分公司检索异常轨迹人员并展示人员异常轨迹台账（人员、镇街分公司、停留起始时间、结束时间、停留时长）。</w:t>
            </w:r>
          </w:p>
        </w:tc>
        <w:tc>
          <w:tcPr>
            <w:tcW w:w="6827" w:type="dxa"/>
            <w:tcBorders>
              <w:top w:val="nil"/>
              <w:left w:val="nil"/>
              <w:bottom w:val="single" w:color="auto" w:sz="4" w:space="0"/>
              <w:right w:val="single" w:color="auto" w:sz="4" w:space="0"/>
              <w:tl2br w:val="nil"/>
              <w:tr2bl w:val="nil"/>
            </w:tcBorders>
            <w:noWrap w:val="0"/>
            <w:vAlign w:val="center"/>
          </w:tcPr>
          <w:p w14:paraId="12425185">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截流井：单列一个截流井模块，可在web端内根据分公司、镇街、项目类属、截流井状态等筛选条件看到具体台账以及截流井具体基础信息、截流井清疏次数同时可进行截流井状态的更新；异常轨迹台账：根据镇街分公司检索异常轨迹人员并展示人员异常轨迹台账（人员、镇街分公司、停留起始时间、结束时间、停留时长）。</w:t>
            </w:r>
          </w:p>
        </w:tc>
      </w:tr>
      <w:tr w14:paraId="7AAD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94" w:type="dxa"/>
            <w:vMerge w:val="continue"/>
            <w:tcBorders>
              <w:top w:val="nil"/>
              <w:left w:val="single" w:color="auto" w:sz="4" w:space="0"/>
              <w:bottom w:val="single" w:color="auto" w:sz="4" w:space="0"/>
              <w:right w:val="single" w:color="auto" w:sz="4" w:space="0"/>
              <w:tl2br w:val="nil"/>
              <w:tr2bl w:val="nil"/>
            </w:tcBorders>
            <w:shd w:val="clear" w:color="auto" w:fill="auto"/>
            <w:noWrap w:val="0"/>
            <w:vAlign w:val="center"/>
          </w:tcPr>
          <w:p w14:paraId="7D86B955">
            <w:pPr>
              <w:widowControl/>
              <w:adjustRightInd/>
              <w:spacing w:beforeLines="0" w:afterLines="0" w:line="360" w:lineRule="auto"/>
              <w:ind w:firstLine="440"/>
              <w:rPr>
                <w:rFonts w:hint="default" w:hAnsi="宋体" w:cs="宋体"/>
                <w:color w:val="29282A"/>
                <w:sz w:val="28"/>
                <w:szCs w:val="28"/>
                <w:lang w:val="zh-TW" w:eastAsia="zh-TW" w:bidi="zh-TW"/>
              </w:rPr>
            </w:pPr>
          </w:p>
        </w:tc>
        <w:tc>
          <w:tcPr>
            <w:tcW w:w="2020" w:type="dxa"/>
            <w:tcBorders>
              <w:top w:val="nil"/>
              <w:left w:val="nil"/>
              <w:bottom w:val="single" w:color="auto" w:sz="4" w:space="0"/>
              <w:right w:val="single" w:color="auto" w:sz="4" w:space="0"/>
              <w:tl2br w:val="nil"/>
              <w:tr2bl w:val="nil"/>
            </w:tcBorders>
            <w:shd w:val="clear" w:color="000000" w:fill="FFFFFF"/>
            <w:noWrap w:val="0"/>
            <w:vAlign w:val="center"/>
          </w:tcPr>
          <w:p w14:paraId="74BEE98B">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其他功能</w:t>
            </w:r>
          </w:p>
        </w:tc>
        <w:tc>
          <w:tcPr>
            <w:tcW w:w="3946" w:type="dxa"/>
            <w:tcBorders>
              <w:top w:val="nil"/>
              <w:left w:val="nil"/>
              <w:bottom w:val="single" w:color="auto" w:sz="4" w:space="0"/>
              <w:right w:val="single" w:color="auto" w:sz="4" w:space="0"/>
              <w:tl2br w:val="nil"/>
              <w:tr2bl w:val="nil"/>
            </w:tcBorders>
            <w:shd w:val="clear" w:color="000000" w:fill="FFFFFF"/>
            <w:noWrap w:val="0"/>
            <w:vAlign w:val="center"/>
          </w:tcPr>
          <w:p w14:paraId="0638415E">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其他日常工作可对水质检测指标值进行上报及后续编辑。</w:t>
            </w:r>
          </w:p>
        </w:tc>
        <w:tc>
          <w:tcPr>
            <w:tcW w:w="6827" w:type="dxa"/>
            <w:tcBorders>
              <w:top w:val="nil"/>
              <w:left w:val="nil"/>
              <w:bottom w:val="single" w:color="auto" w:sz="4" w:space="0"/>
              <w:right w:val="single" w:color="auto" w:sz="4" w:space="0"/>
              <w:tl2br w:val="nil"/>
              <w:tr2bl w:val="nil"/>
            </w:tcBorders>
            <w:shd w:val="clear" w:color="000000" w:fill="FFFFFF"/>
            <w:noWrap w:val="0"/>
            <w:vAlign w:val="center"/>
          </w:tcPr>
          <w:p w14:paraId="4363D50D">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增加对水质检测指标值编辑功能，以便对水质检测指标进行上报及后续变更调整。</w:t>
            </w:r>
          </w:p>
        </w:tc>
      </w:tr>
      <w:tr w14:paraId="561EE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94" w:type="dxa"/>
            <w:vMerge w:val="restart"/>
            <w:tcBorders>
              <w:top w:val="nil"/>
              <w:left w:val="single" w:color="auto" w:sz="4" w:space="0"/>
              <w:bottom w:val="single" w:color="auto" w:sz="4" w:space="0"/>
              <w:right w:val="single" w:color="auto" w:sz="4" w:space="0"/>
              <w:tl2br w:val="nil"/>
              <w:tr2bl w:val="nil"/>
            </w:tcBorders>
            <w:shd w:val="clear" w:color="auto" w:fill="auto"/>
            <w:noWrap w:val="0"/>
            <w:vAlign w:val="center"/>
          </w:tcPr>
          <w:p w14:paraId="35907306">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app端</w:t>
            </w:r>
          </w:p>
        </w:tc>
        <w:tc>
          <w:tcPr>
            <w:tcW w:w="2020" w:type="dxa"/>
            <w:tcBorders>
              <w:top w:val="nil"/>
              <w:left w:val="nil"/>
              <w:bottom w:val="single" w:color="auto" w:sz="4" w:space="0"/>
              <w:right w:val="single" w:color="auto" w:sz="4" w:space="0"/>
              <w:tl2br w:val="nil"/>
              <w:tr2bl w:val="nil"/>
            </w:tcBorders>
            <w:shd w:val="clear" w:color="auto" w:fill="auto"/>
            <w:noWrap w:val="0"/>
            <w:vAlign w:val="center"/>
          </w:tcPr>
          <w:p w14:paraId="6C76961A">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设施历史工作记录</w:t>
            </w:r>
          </w:p>
        </w:tc>
        <w:tc>
          <w:tcPr>
            <w:tcW w:w="3946" w:type="dxa"/>
            <w:tcBorders>
              <w:top w:val="nil"/>
              <w:left w:val="nil"/>
              <w:bottom w:val="single" w:color="auto" w:sz="4" w:space="0"/>
              <w:right w:val="single" w:color="auto" w:sz="4" w:space="0"/>
              <w:tl2br w:val="nil"/>
              <w:tr2bl w:val="nil"/>
            </w:tcBorders>
            <w:shd w:val="clear" w:color="auto" w:fill="auto"/>
            <w:noWrap w:val="0"/>
            <w:vAlign w:val="center"/>
          </w:tcPr>
          <w:p w14:paraId="7A4A5C55">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查看设施详情时，可展示设施历史工作记录。</w:t>
            </w:r>
          </w:p>
        </w:tc>
        <w:tc>
          <w:tcPr>
            <w:tcW w:w="6827" w:type="dxa"/>
            <w:tcBorders>
              <w:top w:val="nil"/>
              <w:left w:val="nil"/>
              <w:bottom w:val="single" w:color="auto" w:sz="4" w:space="0"/>
              <w:right w:val="single" w:color="auto" w:sz="4" w:space="0"/>
              <w:tl2br w:val="nil"/>
              <w:tr2bl w:val="nil"/>
            </w:tcBorders>
            <w:shd w:val="clear" w:color="000000" w:fill="FFFFFF"/>
            <w:noWrap w:val="0"/>
            <w:vAlign w:val="center"/>
          </w:tcPr>
          <w:p w14:paraId="15054891">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优化现有设施历史维修、清疏、检测工单记录样式，补充是否委外、处理人等字段，同时补充关联巡查、开井、问题上报、外部施工等历史记录，支持筛选。</w:t>
            </w:r>
          </w:p>
        </w:tc>
      </w:tr>
      <w:tr w14:paraId="60F3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94" w:type="dxa"/>
            <w:vMerge w:val="continue"/>
            <w:tcBorders>
              <w:top w:val="nil"/>
              <w:left w:val="single" w:color="auto" w:sz="4" w:space="0"/>
              <w:bottom w:val="single" w:color="auto" w:sz="4" w:space="0"/>
              <w:right w:val="single" w:color="auto" w:sz="4" w:space="0"/>
              <w:tl2br w:val="nil"/>
              <w:tr2bl w:val="nil"/>
            </w:tcBorders>
            <w:noWrap w:val="0"/>
            <w:vAlign w:val="center"/>
          </w:tcPr>
          <w:p w14:paraId="66685322">
            <w:pPr>
              <w:widowControl/>
              <w:adjustRightInd/>
              <w:spacing w:beforeLines="0" w:afterLines="0" w:line="360" w:lineRule="auto"/>
              <w:ind w:firstLine="440"/>
              <w:rPr>
                <w:rFonts w:hint="default" w:hAnsi="宋体" w:cs="宋体"/>
                <w:color w:val="29282A"/>
                <w:sz w:val="28"/>
                <w:szCs w:val="28"/>
                <w:lang w:val="zh-TW" w:eastAsia="zh-TW" w:bidi="zh-TW"/>
              </w:rPr>
            </w:pPr>
          </w:p>
        </w:tc>
        <w:tc>
          <w:tcPr>
            <w:tcW w:w="2020" w:type="dxa"/>
            <w:tcBorders>
              <w:top w:val="nil"/>
              <w:left w:val="nil"/>
              <w:bottom w:val="single" w:color="auto" w:sz="4" w:space="0"/>
              <w:right w:val="single" w:color="auto" w:sz="4" w:space="0"/>
              <w:tl2br w:val="nil"/>
              <w:tr2bl w:val="nil"/>
            </w:tcBorders>
            <w:noWrap w:val="0"/>
            <w:vAlign w:val="center"/>
          </w:tcPr>
          <w:p w14:paraId="57A20314">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计划执行</w:t>
            </w:r>
          </w:p>
        </w:tc>
        <w:tc>
          <w:tcPr>
            <w:tcW w:w="3946" w:type="dxa"/>
            <w:tcBorders>
              <w:top w:val="nil"/>
              <w:left w:val="nil"/>
              <w:bottom w:val="single" w:color="auto" w:sz="4" w:space="0"/>
              <w:right w:val="single" w:color="auto" w:sz="4" w:space="0"/>
              <w:tl2br w:val="nil"/>
              <w:tr2bl w:val="nil"/>
            </w:tcBorders>
            <w:noWrap w:val="0"/>
            <w:vAlign w:val="center"/>
          </w:tcPr>
          <w:p w14:paraId="5156743D">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支持检测、清疏等计划执行。</w:t>
            </w:r>
          </w:p>
        </w:tc>
        <w:tc>
          <w:tcPr>
            <w:tcW w:w="6827" w:type="dxa"/>
            <w:tcBorders>
              <w:top w:val="nil"/>
              <w:left w:val="nil"/>
              <w:bottom w:val="single" w:color="auto" w:sz="4" w:space="0"/>
              <w:right w:val="single" w:color="auto" w:sz="4" w:space="0"/>
              <w:tl2br w:val="nil"/>
              <w:tr2bl w:val="nil"/>
            </w:tcBorders>
            <w:noWrap w:val="0"/>
            <w:vAlign w:val="center"/>
          </w:tcPr>
          <w:p w14:paraId="66446A99">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支持计划性检测、专项检测等检测计划、清疏计划的执行。</w:t>
            </w:r>
          </w:p>
        </w:tc>
      </w:tr>
      <w:tr w14:paraId="0B8C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trPr>
        <w:tc>
          <w:tcPr>
            <w:tcW w:w="1094" w:type="dxa"/>
            <w:vMerge w:val="continue"/>
            <w:tcBorders>
              <w:top w:val="nil"/>
              <w:left w:val="single" w:color="auto" w:sz="4" w:space="0"/>
              <w:bottom w:val="single" w:color="auto" w:sz="4" w:space="0"/>
              <w:right w:val="single" w:color="auto" w:sz="4" w:space="0"/>
              <w:tl2br w:val="nil"/>
              <w:tr2bl w:val="nil"/>
            </w:tcBorders>
            <w:shd w:val="clear" w:color="auto" w:fill="auto"/>
            <w:noWrap w:val="0"/>
            <w:vAlign w:val="center"/>
          </w:tcPr>
          <w:p w14:paraId="6DA7CF52">
            <w:pPr>
              <w:widowControl/>
              <w:adjustRightInd/>
              <w:spacing w:beforeLines="0" w:afterLines="0" w:line="360" w:lineRule="auto"/>
              <w:ind w:firstLine="440"/>
              <w:rPr>
                <w:rFonts w:hint="default" w:hAnsi="宋体" w:cs="宋体"/>
                <w:color w:val="29282A"/>
                <w:sz w:val="28"/>
                <w:szCs w:val="28"/>
                <w:lang w:val="zh-TW" w:eastAsia="zh-TW" w:bidi="zh-TW"/>
              </w:rPr>
            </w:pPr>
          </w:p>
        </w:tc>
        <w:tc>
          <w:tcPr>
            <w:tcW w:w="2020" w:type="dxa"/>
            <w:tcBorders>
              <w:top w:val="nil"/>
              <w:left w:val="nil"/>
              <w:bottom w:val="single" w:color="auto" w:sz="4" w:space="0"/>
              <w:right w:val="single" w:color="auto" w:sz="4" w:space="0"/>
              <w:tl2br w:val="nil"/>
              <w:tr2bl w:val="nil"/>
            </w:tcBorders>
            <w:shd w:val="clear" w:color="000000" w:fill="FFFFFF"/>
            <w:noWrap w:val="0"/>
            <w:vAlign w:val="center"/>
          </w:tcPr>
          <w:p w14:paraId="48FD6458">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待办计划</w:t>
            </w:r>
          </w:p>
        </w:tc>
        <w:tc>
          <w:tcPr>
            <w:tcW w:w="3946" w:type="dxa"/>
            <w:tcBorders>
              <w:top w:val="nil"/>
              <w:left w:val="nil"/>
              <w:bottom w:val="single" w:color="auto" w:sz="4" w:space="0"/>
              <w:right w:val="single" w:color="auto" w:sz="4" w:space="0"/>
              <w:tl2br w:val="nil"/>
              <w:tr2bl w:val="nil"/>
            </w:tcBorders>
            <w:shd w:val="clear" w:color="000000" w:fill="FFFFFF"/>
            <w:noWrap w:val="0"/>
            <w:vAlign w:val="center"/>
          </w:tcPr>
          <w:p w14:paraId="085DD737">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新增井号信息可在当月巡检计划中使用开井巡查功能及路面巡查功能，问题上报台账保存待办；APP巡检计划开井记录覆盖逻辑调整，若同一计划中同一井重复打卡，询问新增打卡记录或覆盖修改原记录；水质检测：可填报COD、BOD、氨氮、预估水量、备注等水质指标。</w:t>
            </w:r>
          </w:p>
        </w:tc>
        <w:tc>
          <w:tcPr>
            <w:tcW w:w="6827" w:type="dxa"/>
            <w:tcBorders>
              <w:top w:val="nil"/>
              <w:left w:val="nil"/>
              <w:bottom w:val="single" w:color="auto" w:sz="4" w:space="0"/>
              <w:right w:val="single" w:color="auto" w:sz="4" w:space="0"/>
              <w:tl2br w:val="nil"/>
              <w:tr2bl w:val="nil"/>
            </w:tcBorders>
            <w:shd w:val="clear" w:color="000000" w:fill="FFFFFF"/>
            <w:noWrap w:val="0"/>
            <w:vAlign w:val="center"/>
          </w:tcPr>
          <w:p w14:paraId="07466324">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新增井号信息可在当月巡检计划中使用开井巡查功能及路面巡查功能，问题上报台账保存待办；APP巡检计划开井记录覆盖逻辑调整，若同一计划中同一井重复打卡，询问新增打卡记录或覆盖修改原记录；水质检测：可填报COD、BOD、氨氮、预估水量、备注等水质指标。</w:t>
            </w:r>
          </w:p>
        </w:tc>
      </w:tr>
      <w:tr w14:paraId="7152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1094" w:type="dxa"/>
            <w:vMerge w:val="restart"/>
            <w:tcBorders>
              <w:top w:val="nil"/>
              <w:left w:val="single" w:color="auto" w:sz="4" w:space="0"/>
              <w:bottom w:val="single" w:color="auto" w:sz="4" w:space="0"/>
              <w:right w:val="single" w:color="auto" w:sz="4" w:space="0"/>
              <w:tl2br w:val="nil"/>
              <w:tr2bl w:val="nil"/>
            </w:tcBorders>
            <w:noWrap w:val="0"/>
            <w:vAlign w:val="center"/>
          </w:tcPr>
          <w:p w14:paraId="628E2FD9">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后台代码、数据库迁移及调整</w:t>
            </w:r>
          </w:p>
        </w:tc>
        <w:tc>
          <w:tcPr>
            <w:tcW w:w="2020" w:type="dxa"/>
            <w:tcBorders>
              <w:top w:val="nil"/>
              <w:left w:val="nil"/>
              <w:bottom w:val="single" w:color="auto" w:sz="4" w:space="0"/>
              <w:right w:val="single" w:color="auto" w:sz="4" w:space="0"/>
              <w:tl2br w:val="nil"/>
              <w:tr2bl w:val="nil"/>
            </w:tcBorders>
            <w:noWrap w:val="0"/>
            <w:vAlign w:val="center"/>
          </w:tcPr>
          <w:p w14:paraId="0368DB34">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检测计划迁移检测相关表和记录，从psgs数据库到gwxj数据库</w:t>
            </w:r>
          </w:p>
        </w:tc>
        <w:tc>
          <w:tcPr>
            <w:tcW w:w="3946" w:type="dxa"/>
            <w:tcBorders>
              <w:top w:val="nil"/>
              <w:left w:val="nil"/>
              <w:bottom w:val="single" w:color="auto" w:sz="4" w:space="0"/>
              <w:right w:val="single" w:color="auto" w:sz="4" w:space="0"/>
              <w:tl2br w:val="nil"/>
              <w:tr2bl w:val="nil"/>
            </w:tcBorders>
            <w:noWrap w:val="0"/>
            <w:vAlign w:val="center"/>
          </w:tcPr>
          <w:p w14:paraId="5861FD62">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数据库迁移，为较理想实现功能效果避免出现速度慢及其他相关问题，需将检测计划涉及的相关表和记录进行迁移。</w:t>
            </w:r>
          </w:p>
        </w:tc>
        <w:tc>
          <w:tcPr>
            <w:tcW w:w="6827" w:type="dxa"/>
            <w:tcBorders>
              <w:top w:val="nil"/>
              <w:left w:val="nil"/>
              <w:bottom w:val="single" w:color="auto" w:sz="4" w:space="0"/>
              <w:right w:val="single" w:color="auto" w:sz="4" w:space="0"/>
              <w:tl2br w:val="nil"/>
              <w:tr2bl w:val="nil"/>
            </w:tcBorders>
            <w:noWrap w:val="0"/>
            <w:vAlign w:val="center"/>
          </w:tcPr>
          <w:p w14:paraId="7C147887">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数据库迁移，为较理想实现功能效果避免出现速度慢及其他相关问题，需将检测计划涉及的相关表和记录进行迁移。</w:t>
            </w:r>
          </w:p>
        </w:tc>
      </w:tr>
      <w:tr w14:paraId="402F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094" w:type="dxa"/>
            <w:vMerge w:val="continue"/>
            <w:tcBorders>
              <w:top w:val="nil"/>
              <w:left w:val="single" w:color="auto" w:sz="4" w:space="0"/>
              <w:bottom w:val="single" w:color="auto" w:sz="4" w:space="0"/>
              <w:right w:val="single" w:color="auto" w:sz="4" w:space="0"/>
              <w:tl2br w:val="nil"/>
              <w:tr2bl w:val="nil"/>
            </w:tcBorders>
            <w:noWrap w:val="0"/>
            <w:vAlign w:val="center"/>
          </w:tcPr>
          <w:p w14:paraId="011D055F">
            <w:pPr>
              <w:widowControl/>
              <w:adjustRightInd/>
              <w:spacing w:beforeLines="0" w:afterLines="0" w:line="360" w:lineRule="auto"/>
              <w:ind w:firstLine="440"/>
              <w:rPr>
                <w:rFonts w:hint="default" w:hAnsi="宋体" w:cs="宋体"/>
                <w:color w:val="29282A"/>
                <w:sz w:val="28"/>
                <w:szCs w:val="28"/>
                <w:lang w:val="zh-TW" w:eastAsia="zh-TW" w:bidi="zh-TW"/>
              </w:rPr>
            </w:pPr>
          </w:p>
        </w:tc>
        <w:tc>
          <w:tcPr>
            <w:tcW w:w="2020" w:type="dxa"/>
            <w:tcBorders>
              <w:top w:val="nil"/>
              <w:left w:val="nil"/>
              <w:bottom w:val="single" w:color="auto" w:sz="4" w:space="0"/>
              <w:right w:val="single" w:color="auto" w:sz="4" w:space="0"/>
              <w:tl2br w:val="nil"/>
              <w:tr2bl w:val="nil"/>
            </w:tcBorders>
            <w:noWrap w:val="0"/>
            <w:vAlign w:val="center"/>
          </w:tcPr>
          <w:p w14:paraId="74BCCF23">
            <w:pPr>
              <w:widowControl/>
              <w:adjustRightInd/>
              <w:spacing w:beforeLines="0" w:afterLines="0" w:line="360" w:lineRule="auto"/>
              <w:jc w:val="center"/>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迁移检测模块相关代码从psgs到gwxj</w:t>
            </w:r>
          </w:p>
        </w:tc>
        <w:tc>
          <w:tcPr>
            <w:tcW w:w="3946" w:type="dxa"/>
            <w:tcBorders>
              <w:top w:val="nil"/>
              <w:left w:val="nil"/>
              <w:bottom w:val="single" w:color="auto" w:sz="4" w:space="0"/>
              <w:right w:val="single" w:color="auto" w:sz="4" w:space="0"/>
              <w:tl2br w:val="nil"/>
              <w:tr2bl w:val="nil"/>
            </w:tcBorders>
            <w:noWrap w:val="0"/>
            <w:vAlign w:val="center"/>
          </w:tcPr>
          <w:p w14:paraId="75005EDB">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 xml:space="preserve">代码迁移，为较理想实现功能效果，需将检测计划中需要的班组、网格等相关代码信息进行迁移。 </w:t>
            </w:r>
          </w:p>
        </w:tc>
        <w:tc>
          <w:tcPr>
            <w:tcW w:w="6827" w:type="dxa"/>
            <w:tcBorders>
              <w:top w:val="nil"/>
              <w:left w:val="nil"/>
              <w:bottom w:val="single" w:color="auto" w:sz="4" w:space="0"/>
              <w:right w:val="single" w:color="auto" w:sz="4" w:space="0"/>
              <w:tl2br w:val="nil"/>
              <w:tr2bl w:val="nil"/>
            </w:tcBorders>
            <w:noWrap w:val="0"/>
            <w:vAlign w:val="center"/>
          </w:tcPr>
          <w:p w14:paraId="4FD35240">
            <w:pPr>
              <w:widowControl/>
              <w:adjustRightInd/>
              <w:spacing w:beforeLines="0" w:afterLines="0" w:line="360" w:lineRule="auto"/>
              <w:rPr>
                <w:rFonts w:hint="default" w:hAnsi="宋体" w:cs="宋体"/>
                <w:color w:val="29282A"/>
                <w:sz w:val="28"/>
                <w:szCs w:val="28"/>
                <w:lang w:val="zh-TW" w:eastAsia="zh-TW" w:bidi="zh-TW"/>
              </w:rPr>
            </w:pPr>
            <w:r>
              <w:rPr>
                <w:rFonts w:hint="default" w:hAnsi="宋体" w:cs="宋体"/>
                <w:color w:val="29282A"/>
                <w:sz w:val="28"/>
                <w:szCs w:val="28"/>
                <w:lang w:val="zh-TW" w:eastAsia="zh-TW" w:bidi="zh-TW"/>
              </w:rPr>
              <w:t xml:space="preserve">代码迁移，为较理想实现功能效果，需将检测计划中需要的班组、网格等相关代码信息进行迁移。 </w:t>
            </w:r>
          </w:p>
        </w:tc>
      </w:tr>
    </w:tbl>
    <w:p w14:paraId="0F8A1DA6">
      <w:pPr>
        <w:adjustRightInd/>
        <w:spacing w:beforeLines="0" w:afterLines="0" w:line="360" w:lineRule="auto"/>
        <w:ind w:firstLine="643"/>
        <w:rPr>
          <w:rFonts w:hint="default" w:hAnsi="宋体" w:cs="宋体"/>
          <w:b/>
          <w:sz w:val="28"/>
          <w:szCs w:val="28"/>
        </w:rPr>
        <w:sectPr>
          <w:pgSz w:w="16838" w:h="11906" w:orient="landscape"/>
          <w:pgMar w:top="1701" w:right="1474" w:bottom="1588" w:left="1474" w:header="851" w:footer="992" w:gutter="0"/>
          <w:lnNumType w:countBy="0" w:distance="360"/>
          <w:pgNumType w:fmt="decimal"/>
          <w:cols w:space="720" w:num="1"/>
          <w:docGrid w:type="lines" w:linePitch="435" w:charSpace="0"/>
        </w:sectPr>
      </w:pPr>
      <w:r>
        <w:rPr>
          <w:rFonts w:hint="default" w:hAnsi="宋体" w:cs="宋体"/>
          <w:b/>
          <w:color w:val="29282A"/>
          <w:sz w:val="28"/>
          <w:szCs w:val="28"/>
          <w:lang w:val="zh-TW" w:eastAsia="zh-TW" w:bidi="zh-TW"/>
        </w:rPr>
        <w:t>具体需求内容详附件</w:t>
      </w:r>
      <w:r>
        <w:rPr>
          <w:rFonts w:hint="default" w:hAnsi="宋体" w:cs="宋体"/>
          <w:b/>
          <w:color w:val="29282A"/>
          <w:sz w:val="28"/>
          <w:szCs w:val="28"/>
          <w:lang w:bidi="zh-TW"/>
        </w:rPr>
        <w:t>二</w:t>
      </w:r>
      <w:r>
        <w:rPr>
          <w:rFonts w:hint="default" w:hAnsi="宋体" w:cs="宋体"/>
          <w:b/>
          <w:color w:val="29282A"/>
          <w:sz w:val="28"/>
          <w:szCs w:val="28"/>
          <w:lang w:val="zh-TW" w:eastAsia="zh-TW" w:bidi="zh-TW"/>
        </w:rPr>
        <w:t>：用户需求书。</w:t>
      </w:r>
    </w:p>
    <w:bookmarkEnd w:id="29"/>
    <w:p w14:paraId="2ADE1369">
      <w:pPr>
        <w:pStyle w:val="16"/>
        <w:spacing w:beforeLines="0" w:afterLines="0" w:line="360" w:lineRule="auto"/>
        <w:ind w:firstLine="420"/>
        <w:jc w:val="both"/>
        <w:rPr>
          <w:rFonts w:hint="default"/>
          <w:b/>
          <w:color w:val="000000"/>
          <w:sz w:val="28"/>
          <w:szCs w:val="28"/>
        </w:rPr>
      </w:pPr>
      <w:r>
        <w:rPr>
          <w:rFonts w:hint="default"/>
          <w:b/>
          <w:color w:val="000000"/>
          <w:sz w:val="28"/>
          <w:szCs w:val="28"/>
        </w:rPr>
        <w:t>第二条</w:t>
      </w:r>
      <w:r>
        <w:rPr>
          <w:rFonts w:hint="default"/>
          <w:b/>
          <w:color w:val="000000"/>
          <w:sz w:val="28"/>
          <w:szCs w:val="28"/>
          <w:lang w:val="en-US" w:eastAsia="zh-CN"/>
        </w:rPr>
        <w:t xml:space="preserve"> </w:t>
      </w:r>
      <w:r>
        <w:rPr>
          <w:rFonts w:hint="default"/>
          <w:b/>
          <w:color w:val="000000"/>
          <w:sz w:val="28"/>
          <w:szCs w:val="28"/>
        </w:rPr>
        <w:t>验收要求</w:t>
      </w:r>
    </w:p>
    <w:p w14:paraId="10FCF8BF">
      <w:pPr>
        <w:numPr>
          <w:ilvl w:val="0"/>
          <w:numId w:val="0"/>
        </w:numPr>
        <w:tabs>
          <w:tab w:val="left" w:pos="420"/>
        </w:tabs>
        <w:snapToGrid w:val="0"/>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（一）初验</w:t>
      </w:r>
    </w:p>
    <w:p w14:paraId="4B3F7BDC">
      <w:pPr>
        <w:numPr>
          <w:ilvl w:val="0"/>
          <w:numId w:val="0"/>
        </w:numPr>
        <w:tabs>
          <w:tab w:val="left" w:pos="420"/>
        </w:tabs>
        <w:snapToGrid w:val="0"/>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项目完成开发后，甲方组织开展初步验收。甲方组织相关验收的人员（含委托的第三方）根据采购文件、合同约定的服务要求和质量，对乙方项目实施情况或成果进行验收，提出修改意见。通过验收后参与验收的人员进行签字确认，待乙方完成相关需求修改后形成初步验收报告，进入试运行期。</w:t>
      </w:r>
    </w:p>
    <w:p w14:paraId="11B777C4">
      <w:pPr>
        <w:numPr>
          <w:ilvl w:val="0"/>
          <w:numId w:val="0"/>
        </w:numPr>
        <w:tabs>
          <w:tab w:val="left" w:pos="420"/>
        </w:tabs>
        <w:snapToGrid w:val="0"/>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（二）终验</w:t>
      </w:r>
    </w:p>
    <w:p w14:paraId="03C65E84">
      <w:pPr>
        <w:numPr>
          <w:ilvl w:val="0"/>
          <w:numId w:val="0"/>
        </w:numPr>
        <w:tabs>
          <w:tab w:val="left" w:pos="420"/>
        </w:tabs>
        <w:snapToGrid w:val="0"/>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项目在试运行期间稳定运行3个月后，甲方组织开展最终验收。由甲方组织相关验收的人员开展最终验收工作，并提出试运行期间的修改意见。通过验收后参与验收的人员进行签字确认，待乙方完成相关需求修改后形成最终验收报告，进入售后服务期。</w:t>
      </w:r>
    </w:p>
    <w:bookmarkEnd w:id="28"/>
    <w:p w14:paraId="77A18AA0">
      <w:pPr>
        <w:pStyle w:val="16"/>
        <w:spacing w:beforeLines="0" w:afterLines="0" w:line="360" w:lineRule="auto"/>
        <w:ind w:firstLine="420"/>
        <w:jc w:val="both"/>
        <w:rPr>
          <w:rFonts w:hint="default"/>
          <w:b/>
          <w:color w:val="000000"/>
          <w:sz w:val="28"/>
          <w:szCs w:val="28"/>
        </w:rPr>
      </w:pPr>
      <w:r>
        <w:rPr>
          <w:rFonts w:hint="default"/>
          <w:b/>
          <w:color w:val="000000"/>
          <w:sz w:val="28"/>
          <w:szCs w:val="28"/>
        </w:rPr>
        <w:t>第</w:t>
      </w:r>
      <w:r>
        <w:rPr>
          <w:rFonts w:hint="default"/>
          <w:b/>
          <w:color w:val="000000"/>
          <w:sz w:val="28"/>
          <w:szCs w:val="28"/>
          <w:lang w:val="en-US" w:eastAsia="zh-CN"/>
        </w:rPr>
        <w:t>三</w:t>
      </w:r>
      <w:r>
        <w:rPr>
          <w:rFonts w:hint="default"/>
          <w:b/>
          <w:color w:val="000000"/>
          <w:sz w:val="28"/>
          <w:szCs w:val="28"/>
        </w:rPr>
        <w:t>条</w:t>
      </w:r>
      <w:r>
        <w:rPr>
          <w:rFonts w:hint="default"/>
          <w:b/>
          <w:color w:val="000000"/>
          <w:sz w:val="28"/>
          <w:szCs w:val="28"/>
          <w:lang w:val="en-US" w:eastAsia="zh-CN"/>
        </w:rPr>
        <w:t xml:space="preserve"> </w:t>
      </w:r>
      <w:r>
        <w:rPr>
          <w:rFonts w:hint="default"/>
          <w:b/>
          <w:color w:val="000000"/>
          <w:sz w:val="28"/>
          <w:szCs w:val="28"/>
        </w:rPr>
        <w:t>培训服务</w:t>
      </w:r>
    </w:p>
    <w:p w14:paraId="28B3BF80">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一）乙方应提供完整的用户手册（包含对内软件的使用手册和对外网上系统的帮助文档）及视频教学，同时应为甲方相关人员提供免费的培训服务。乙方应视其软件开发的相关进度及操作的难易程度制定相应的培训方案，培训至甲方人员熟练操作、配置和使用应用系统。</w:t>
      </w:r>
    </w:p>
    <w:p w14:paraId="4C573B64">
      <w:pPr>
        <w:widowControl/>
        <w:numPr>
          <w:ilvl w:val="0"/>
          <w:numId w:val="0"/>
        </w:numPr>
        <w:autoSpaceDE/>
        <w:autoSpaceDN/>
        <w:adjustRightInd/>
        <w:spacing w:beforeLines="0" w:afterLines="0" w:line="360" w:lineRule="auto"/>
        <w:ind w:firstLine="560" w:firstLineChars="200"/>
        <w:rPr>
          <w:rFonts w:hint="default" w:hAnsi="宋体" w:cs="宋体"/>
          <w:sz w:val="28"/>
          <w:szCs w:val="28"/>
          <w:lang w:bidi="ar"/>
        </w:rPr>
      </w:pPr>
      <w:r>
        <w:rPr>
          <w:rFonts w:hint="default" w:hAnsi="宋体" w:cs="宋体"/>
          <w:kern w:val="2"/>
          <w:sz w:val="28"/>
          <w:szCs w:val="28"/>
        </w:rPr>
        <w:t>（二）培训效果标准：①对业务用户的培训应达到的要求：能够熟练使用供应商所开发的软件；②对部门信息系统管理员的培训应达到的要求：可以维护日常应用方面出现的问题。</w:t>
      </w:r>
    </w:p>
    <w:p w14:paraId="080ECC62">
      <w:pPr>
        <w:pStyle w:val="16"/>
        <w:spacing w:beforeLines="0" w:afterLines="0" w:line="360" w:lineRule="auto"/>
        <w:ind w:firstLine="420"/>
        <w:jc w:val="both"/>
        <w:rPr>
          <w:rFonts w:hint="default"/>
          <w:b/>
          <w:color w:val="000000"/>
          <w:sz w:val="28"/>
          <w:szCs w:val="28"/>
        </w:rPr>
      </w:pPr>
      <w:bookmarkStart w:id="30" w:name="_Toc18464"/>
      <w:bookmarkStart w:id="31" w:name="_Toc16239"/>
      <w:bookmarkStart w:id="32" w:name="_Toc1693"/>
      <w:bookmarkStart w:id="33" w:name="_Toc15930"/>
      <w:bookmarkStart w:id="34" w:name="_Toc24420"/>
      <w:r>
        <w:rPr>
          <w:rFonts w:hint="default"/>
          <w:b/>
          <w:color w:val="000000"/>
          <w:sz w:val="28"/>
          <w:szCs w:val="28"/>
        </w:rPr>
        <w:t>第</w:t>
      </w:r>
      <w:r>
        <w:rPr>
          <w:rFonts w:hint="default"/>
          <w:b/>
          <w:color w:val="000000"/>
          <w:sz w:val="28"/>
          <w:szCs w:val="28"/>
          <w:lang w:val="en-US" w:eastAsia="zh-CN"/>
        </w:rPr>
        <w:t>四</w:t>
      </w:r>
      <w:r>
        <w:rPr>
          <w:rFonts w:hint="default"/>
          <w:b/>
          <w:color w:val="000000"/>
          <w:sz w:val="28"/>
          <w:szCs w:val="28"/>
        </w:rPr>
        <w:t>条</w:t>
      </w:r>
      <w:r>
        <w:rPr>
          <w:rFonts w:hint="default"/>
          <w:b/>
          <w:color w:val="000000"/>
          <w:sz w:val="28"/>
          <w:szCs w:val="28"/>
          <w:lang w:val="en-US" w:eastAsia="zh-CN"/>
        </w:rPr>
        <w:t xml:space="preserve"> 售后</w:t>
      </w:r>
      <w:r>
        <w:rPr>
          <w:rFonts w:hint="default"/>
          <w:b/>
          <w:color w:val="000000"/>
          <w:sz w:val="28"/>
          <w:szCs w:val="28"/>
        </w:rPr>
        <w:t>服务</w:t>
      </w:r>
    </w:p>
    <w:p w14:paraId="0A895CF3">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（一）售后服务内容</w:t>
      </w:r>
    </w:p>
    <w:p w14:paraId="1681E86C">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自最终验收合格之日起，乙方需为本项目的软件系统提供为期6个月的售后服务，售后服务将采用评分机制，各季度售后服务评分将与最后一笔售后服务款挂钩。</w:t>
      </w:r>
    </w:p>
    <w:p w14:paraId="5E352C5D">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售后服务包括但不限于与本合同需求内容相关的以下内容：</w:t>
      </w:r>
    </w:p>
    <w:p w14:paraId="0788C197">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（1）系统BUG修复，系统优化（含Web端及App端，下同）；</w:t>
      </w:r>
    </w:p>
    <w:p w14:paraId="4DD43A0F">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（2）系统台账、表单、报表等功能优化完善；</w:t>
      </w:r>
    </w:p>
    <w:p w14:paraId="6D8162FD">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（3）系统使用培训及日常运维技术支持培训；</w:t>
      </w:r>
    </w:p>
    <w:p w14:paraId="22A17805">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（4）外部系统及数据对接；</w:t>
      </w:r>
    </w:p>
    <w:p w14:paraId="3F83DE01">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（5）系统售后服务期结束后再次提供项目最终版本源代码；</w:t>
      </w:r>
    </w:p>
    <w:p w14:paraId="2763329D">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（6）售后服务期结束后系统若再次委托运维，每年运维服务费用应不超合同总金额的10%。</w:t>
      </w:r>
    </w:p>
    <w:p w14:paraId="08FBD484">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（二）服务响应要求：乙方须向甲方提供7×24小时电话支持、远程服务，并按要求确保在2小时内响应，8小时内到达现场。</w:t>
      </w:r>
    </w:p>
    <w:p w14:paraId="5069FB15">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（三）售后服务评分及费用</w:t>
      </w:r>
    </w:p>
    <w:p w14:paraId="0F8966BE">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 xml:space="preserve">自最终验收合格之日起，乙方需为本项目的软件系统提供为期六个月的售后服务，售后服务将采用评分机制，各季度度售后服务评分将与最后一笔售后服务款挂钩，售后服务期结束后，统一支付各季度售后服务款。评分结果甲方及时告知乙方，如乙方收到评分结果后有异议的，应在3日内书面向甲方提出申诉并提供佐证资料。    </w:t>
      </w:r>
    </w:p>
    <w:p w14:paraId="0A457B07">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具体如下：</w:t>
      </w:r>
    </w:p>
    <w:p w14:paraId="07E2C2E6">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（1）当季度评分90分以上，获得该季度全额售后服务款；</w:t>
      </w:r>
    </w:p>
    <w:p w14:paraId="6838FBAC">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（2）当季度评分80到90分之间（包括80分），该季度费用最终按照80%支付；</w:t>
      </w:r>
    </w:p>
    <w:p w14:paraId="0B91A3DD">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（3）当季度评分70到80分之间（包括70分），该季度费用最终按照70%支付；</w:t>
      </w:r>
    </w:p>
    <w:p w14:paraId="6AE691A0">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（4）当季度评分60到70分之间（包括60分），该季度费用最终按照60%支付；</w:t>
      </w:r>
    </w:p>
    <w:p w14:paraId="40E8E9C7">
      <w:pPr>
        <w:spacing w:beforeLines="0" w:afterLines="0" w:line="360" w:lineRule="auto"/>
        <w:ind w:firstLine="560" w:firstLineChars="200"/>
        <w:rPr>
          <w:rFonts w:hint="default" w:hAnsi="宋体" w:cs="宋体"/>
          <w:b/>
          <w:sz w:val="28"/>
          <w:szCs w:val="28"/>
        </w:rPr>
      </w:pPr>
      <w:r>
        <w:rPr>
          <w:rFonts w:hint="default" w:hAnsi="宋体" w:cs="宋体"/>
          <w:kern w:val="2"/>
          <w:sz w:val="28"/>
          <w:szCs w:val="28"/>
        </w:rPr>
        <w:t>（5）当季度评分60分以下，该季度全额售后服务款按50%支付；连续2个季度60分以下，第二个季度售后服务款不支付。</w:t>
      </w:r>
    </w:p>
    <w:bookmarkEnd w:id="30"/>
    <w:bookmarkEnd w:id="31"/>
    <w:bookmarkEnd w:id="32"/>
    <w:bookmarkEnd w:id="33"/>
    <w:bookmarkEnd w:id="34"/>
    <w:p w14:paraId="5CD2D0CF">
      <w:pPr>
        <w:pStyle w:val="17"/>
        <w:spacing w:beforeLines="0" w:afterLines="0" w:line="360" w:lineRule="auto"/>
        <w:ind w:firstLine="480"/>
        <w:rPr>
          <w:rFonts w:hint="default" w:hAnsi="宋体" w:cs="宋体"/>
          <w:b/>
          <w:color w:val="000000"/>
          <w:sz w:val="28"/>
          <w:szCs w:val="28"/>
        </w:rPr>
      </w:pPr>
      <w:r>
        <w:rPr>
          <w:rFonts w:hint="default" w:hAnsi="宋体" w:cs="宋体"/>
          <w:b/>
          <w:color w:val="000000"/>
          <w:sz w:val="28"/>
          <w:szCs w:val="28"/>
        </w:rPr>
        <w:t>第五条 项目费用及支付进度</w:t>
      </w:r>
    </w:p>
    <w:p w14:paraId="36742B9C">
      <w:pPr>
        <w:pStyle w:val="17"/>
        <w:spacing w:beforeLines="0" w:afterLines="0" w:line="360" w:lineRule="auto"/>
        <w:ind w:firstLine="480"/>
        <w:rPr>
          <w:rFonts w:hint="default" w:hAnsi="宋体" w:cs="宋体"/>
          <w:kern w:val="2"/>
          <w:sz w:val="28"/>
          <w:szCs w:val="28"/>
        </w:rPr>
      </w:pPr>
      <w:r>
        <w:rPr>
          <w:rFonts w:hint="default" w:hAnsi="宋体" w:cs="宋体"/>
          <w:kern w:val="2"/>
          <w:sz w:val="28"/>
          <w:szCs w:val="28"/>
        </w:rPr>
        <w:t>1、本合同价（即销售额，不含乙方销项税额）为¥</w:t>
      </w:r>
      <w:r>
        <w:rPr>
          <w:rFonts w:hint="default" w:hAnsi="宋体" w:cs="宋体"/>
          <w:kern w:val="2"/>
          <w:sz w:val="28"/>
          <w:szCs w:val="28"/>
          <w:u w:val="single"/>
        </w:rPr>
        <w:t xml:space="preserve">         </w:t>
      </w:r>
      <w:r>
        <w:rPr>
          <w:rFonts w:hint="default" w:hAnsi="宋体" w:cs="宋体"/>
          <w:kern w:val="2"/>
          <w:sz w:val="28"/>
          <w:szCs w:val="28"/>
        </w:rPr>
        <w:t>元（大写人民币</w:t>
      </w:r>
      <w:r>
        <w:rPr>
          <w:rFonts w:hint="default" w:hAnsi="宋体" w:cs="宋体"/>
          <w:kern w:val="2"/>
          <w:sz w:val="28"/>
          <w:szCs w:val="28"/>
          <w:u w:val="single"/>
        </w:rPr>
        <w:t xml:space="preserve">           </w:t>
      </w:r>
      <w:r>
        <w:rPr>
          <w:rFonts w:hint="default" w:hAnsi="宋体" w:cs="宋体"/>
          <w:kern w:val="2"/>
          <w:sz w:val="28"/>
          <w:szCs w:val="28"/>
        </w:rPr>
        <w:t>）。以上合同价（即销售额，不含乙方销项税额）包括但不限于合理利润、开发费、安装调试费、系统集成费、第三方商业软件费、培训费、电子设备费、人工费、管理费、现场服务费、资料费、交通费、通讯费、加班费以及乙方销项税额以外的税费等服务范围内所有应预见和不可预见费用及完成本合同项下义务所产生的所有费用的全部费用。乙方须了解项目情况、各类费用以及风险情况，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14:paraId="5ED789BF">
      <w:pPr>
        <w:pStyle w:val="17"/>
        <w:spacing w:beforeLines="0" w:afterLines="0" w:line="360" w:lineRule="auto"/>
        <w:ind w:firstLine="480"/>
        <w:rPr>
          <w:rFonts w:hint="default" w:hAnsi="宋体" w:cs="宋体"/>
          <w:kern w:val="2"/>
          <w:sz w:val="28"/>
          <w:szCs w:val="28"/>
        </w:rPr>
      </w:pPr>
      <w:r>
        <w:rPr>
          <w:rFonts w:hint="default" w:hAnsi="宋体" w:cs="宋体"/>
          <w:kern w:val="2"/>
          <w:sz w:val="28"/>
          <w:szCs w:val="28"/>
        </w:rPr>
        <w:t>2、依法计得并根据本合同约定确定的销项税额由甲方承担。根据《中华人民共和国增值税暂行条例》（国务院令第691号修订版）及当前税务部门的相关规定，本合同项目的增值税税率为</w:t>
      </w:r>
      <w:r>
        <w:rPr>
          <w:rFonts w:hint="default" w:hAnsi="宋体" w:cs="宋体"/>
          <w:kern w:val="2"/>
          <w:sz w:val="28"/>
          <w:szCs w:val="28"/>
          <w:u w:val="single"/>
        </w:rPr>
        <w:t xml:space="preserve">     </w:t>
      </w:r>
      <w:r>
        <w:rPr>
          <w:rFonts w:hint="default" w:hAnsi="宋体" w:cs="宋体"/>
          <w:kern w:val="2"/>
          <w:sz w:val="28"/>
          <w:szCs w:val="28"/>
        </w:rPr>
        <w:t>% ，对应的销项税额为¥</w:t>
      </w:r>
      <w:r>
        <w:rPr>
          <w:rFonts w:hint="default" w:hAnsi="宋体" w:cs="宋体"/>
          <w:kern w:val="2"/>
          <w:sz w:val="28"/>
          <w:szCs w:val="28"/>
          <w:u w:val="single"/>
        </w:rPr>
        <w:t xml:space="preserve">       </w:t>
      </w:r>
      <w:r>
        <w:rPr>
          <w:rFonts w:hint="default" w:hAnsi="宋体" w:cs="宋体"/>
          <w:kern w:val="2"/>
          <w:sz w:val="28"/>
          <w:szCs w:val="28"/>
        </w:rPr>
        <w:t>元（大写人民币</w:t>
      </w:r>
      <w:r>
        <w:rPr>
          <w:rFonts w:hint="default" w:hAnsi="宋体" w:cs="宋体"/>
          <w:kern w:val="2"/>
          <w:sz w:val="28"/>
          <w:szCs w:val="28"/>
          <w:u w:val="single"/>
        </w:rPr>
        <w:t xml:space="preserve">             </w:t>
      </w:r>
      <w:r>
        <w:rPr>
          <w:rFonts w:hint="default" w:hAnsi="宋体" w:cs="宋体"/>
          <w:kern w:val="2"/>
          <w:sz w:val="28"/>
          <w:szCs w:val="28"/>
        </w:rPr>
        <w:t>）。在本合同履行过程中，税收政策变动导致增值税税率调整，依法应调整销项税额的，依法调整；但因乙方未按合同约定提供服务，未根据合同约定提供合法、完整的请款资料，服务验收不合格导致的返工，项目验收合格前的非正常损耗等原因导致销项税额增加的，相应损失由乙方承担。</w:t>
      </w:r>
    </w:p>
    <w:p w14:paraId="02728C3B">
      <w:pPr>
        <w:pStyle w:val="17"/>
        <w:spacing w:beforeLines="0" w:afterLines="0" w:line="360" w:lineRule="auto"/>
        <w:ind w:firstLine="480"/>
        <w:rPr>
          <w:rFonts w:hint="default" w:hAnsi="宋体" w:cs="宋体"/>
          <w:kern w:val="2"/>
          <w:sz w:val="28"/>
          <w:szCs w:val="28"/>
        </w:rPr>
      </w:pPr>
      <w:r>
        <w:rPr>
          <w:rFonts w:hint="default" w:hAnsi="宋体" w:cs="宋体"/>
          <w:kern w:val="2"/>
          <w:sz w:val="28"/>
          <w:szCs w:val="28"/>
        </w:rPr>
        <w:t>因乙方未按法定税率计算税额或未根据本合同约定出具对应税额的增值税专用发票等原因导致甲方多支付税额的，乙方必须退还甲方，给甲方造成损失的，乙方须向甲方赔偿相应损失。</w:t>
      </w:r>
    </w:p>
    <w:p w14:paraId="7FDBC6E6">
      <w:pPr>
        <w:pStyle w:val="17"/>
        <w:spacing w:beforeLines="0" w:afterLines="0" w:line="360" w:lineRule="auto"/>
        <w:ind w:firstLine="480"/>
        <w:rPr>
          <w:rFonts w:hint="default" w:hAnsi="宋体" w:cs="宋体"/>
          <w:kern w:val="2"/>
          <w:sz w:val="28"/>
          <w:szCs w:val="28"/>
        </w:rPr>
      </w:pPr>
      <w:r>
        <w:rPr>
          <w:rFonts w:hint="default" w:hAnsi="宋体" w:cs="宋体"/>
          <w:kern w:val="2"/>
          <w:sz w:val="28"/>
          <w:szCs w:val="28"/>
        </w:rPr>
        <w:t>3、合同价税合计为¥</w:t>
      </w:r>
      <w:r>
        <w:rPr>
          <w:rFonts w:hint="default" w:hAnsi="宋体" w:cs="宋体"/>
          <w:kern w:val="2"/>
          <w:sz w:val="28"/>
          <w:szCs w:val="28"/>
          <w:u w:val="single"/>
        </w:rPr>
        <w:t xml:space="preserve">          </w:t>
      </w:r>
      <w:r>
        <w:rPr>
          <w:rFonts w:hint="default" w:hAnsi="宋体" w:cs="宋体"/>
          <w:kern w:val="2"/>
          <w:sz w:val="28"/>
          <w:szCs w:val="28"/>
        </w:rPr>
        <w:t>元（大写人民币</w:t>
      </w:r>
      <w:r>
        <w:rPr>
          <w:rFonts w:hint="default" w:hAnsi="宋体" w:cs="宋体"/>
          <w:kern w:val="2"/>
          <w:sz w:val="28"/>
          <w:szCs w:val="28"/>
          <w:u w:val="single"/>
        </w:rPr>
        <w:t xml:space="preserve">             </w:t>
      </w:r>
      <w:r>
        <w:rPr>
          <w:rFonts w:hint="default" w:hAnsi="宋体" w:cs="宋体"/>
          <w:kern w:val="2"/>
          <w:sz w:val="28"/>
          <w:szCs w:val="28"/>
        </w:rPr>
        <w:t>），合同履行期间根据本条第2项规定调整销项税额的，结算合同总价款（含税）对应调整。</w:t>
      </w:r>
    </w:p>
    <w:p w14:paraId="1E358097">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4、支付进度：</w:t>
      </w:r>
    </w:p>
    <w:p w14:paraId="363D0219">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（1）签订合同后，乙方提交支付申请经审批确认后30个工作日内，甲方向乙方支付合同价的20%；</w:t>
      </w:r>
    </w:p>
    <w:p w14:paraId="3DD7B555">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（2）软件模块上线后15个工作日并通过项目初验合格后，乙方提交支付申请经审批确认后30个工作日内，甲方向乙方支付合同价的40%作为项目进度款；</w:t>
      </w:r>
    </w:p>
    <w:p w14:paraId="3F8B1456">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（3）项目试运行期3个月结束后并经最终验收合格后，乙方提交支付申请经审批确认后30个工作日内，甲方向乙方支付至最终结算价的90%作为项目验收款；</w:t>
      </w:r>
    </w:p>
    <w:p w14:paraId="320468B3">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4）完成项目并通过甲方终验并通过6个月运维期后的30工作日内，乙方提交售后服务款（各季度售后服务款之和）支付申请，经甲方确认后按售后服务评分规则支付乙方剩余合同款（即售后服务款，最高为合同款10%）。</w:t>
      </w:r>
    </w:p>
    <w:p w14:paraId="17C00D55">
      <w:pPr>
        <w:spacing w:beforeLines="0" w:afterLines="0" w:line="360" w:lineRule="auto"/>
        <w:ind w:firstLine="562" w:firstLineChars="200"/>
        <w:rPr>
          <w:rFonts w:hint="default" w:hAnsi="宋体" w:cs="宋体"/>
          <w:b/>
          <w:kern w:val="2"/>
          <w:sz w:val="28"/>
          <w:szCs w:val="28"/>
        </w:rPr>
      </w:pPr>
      <w:r>
        <w:rPr>
          <w:rFonts w:hint="default" w:hAnsi="宋体" w:cs="宋体"/>
          <w:b/>
          <w:kern w:val="2"/>
          <w:sz w:val="28"/>
          <w:szCs w:val="28"/>
        </w:rPr>
        <w:t>若因乙方或客观因素导致乙方未能完全按用户需求建设且甲方和乙方无法商榷出合理的解决方案，经甲方同意，乙方在承担其违约责任的基础上（客观因素导致不能完全按用户需求建设除外），甲方可按实际验收合格的系统建设模块（或功能）报价所占总报价的比例予以按实结算及支付，最终支付实际金额为实际验收通过的功能点报价费用，已支付金额超出最终需支付金额的，在结算完成后，由乙方在7个工作日内退回至甲方账户。</w:t>
      </w:r>
    </w:p>
    <w:p w14:paraId="04AB2105">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5、乙方指定收款银行账户信息如下：</w:t>
      </w:r>
    </w:p>
    <w:p w14:paraId="1C765403">
      <w:pPr>
        <w:adjustRightInd/>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 xml:space="preserve">公司名称：                                     </w:t>
      </w:r>
    </w:p>
    <w:p w14:paraId="2003D69B">
      <w:pPr>
        <w:adjustRightInd/>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 xml:space="preserve">开户银行：                                     </w:t>
      </w:r>
    </w:p>
    <w:p w14:paraId="56E10B5C">
      <w:pPr>
        <w:adjustRightInd/>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 xml:space="preserve">账    号：                                        </w:t>
      </w:r>
    </w:p>
    <w:p w14:paraId="404E2DA5">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 xml:space="preserve">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w:t>
      </w:r>
      <w:r>
        <w:rPr>
          <w:rFonts w:hint="default" w:hAnsi="宋体" w:cs="宋体"/>
          <w:kern w:val="2"/>
          <w:sz w:val="28"/>
          <w:szCs w:val="28"/>
          <w:u w:val="single"/>
        </w:rPr>
        <w:t xml:space="preserve">  </w:t>
      </w:r>
      <w:r>
        <w:rPr>
          <w:rFonts w:hint="default" w:hAnsi="宋体" w:cs="宋体"/>
          <w:kern w:val="2"/>
          <w:sz w:val="28"/>
          <w:szCs w:val="28"/>
        </w:rPr>
        <w:t>%）”，对于多出的税款金额，乙方自愿放弃。</w:t>
      </w:r>
    </w:p>
    <w:p w14:paraId="0955AC98">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6、每次付款前乙方应向甲方提交请款申请及请款所需的材料和等额合格增值税专用发票（服务款由甲方内部各方按照其内部约定的服务款比例承担，乙方对此知悉并明确表示同意且无任何异议。乙方需按甲方内部各方约定的服务款承担比例向甲方各方分别开具相应金额的增值税专用发票），乙方逾期提交请款资料或提交的资料不完整、不符合甲方要求的，甲方有权顺延支付相关款项，并不承担逾期付款的违约责任，乙方不得以此为由而不履行本合同约定的义务。由于乙方提供的发票不符合税法规定，给甲方造成的损失由乙方承担赔偿责任。</w:t>
      </w:r>
    </w:p>
    <w:p w14:paraId="1F62E177">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7、乙方的收款账户信息有变更的，乙方应在变更之日起3天内以书面形式告知甲方，若乙方已经开具了发票，应按变更后的收款账户信息重新开具发票。乙方因重新开具发票所产生的费用由乙方自行承担，乙方不得以此为由向甲方追偿。</w:t>
      </w:r>
    </w:p>
    <w:p w14:paraId="03A3B5CE">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8、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14:paraId="6409919A">
      <w:pPr>
        <w:spacing w:beforeLines="0" w:afterLines="0" w:line="360" w:lineRule="auto"/>
        <w:ind w:firstLine="560" w:firstLineChars="200"/>
        <w:rPr>
          <w:rFonts w:hint="default" w:hAnsi="宋体" w:cs="宋体"/>
          <w:kern w:val="2"/>
          <w:sz w:val="28"/>
          <w:szCs w:val="28"/>
        </w:rPr>
      </w:pPr>
      <w:r>
        <w:rPr>
          <w:rFonts w:hint="default" w:hAnsi="宋体" w:cs="宋体"/>
          <w:kern w:val="2"/>
          <w:sz w:val="28"/>
          <w:szCs w:val="28"/>
        </w:rPr>
        <w:t>9、乙方根据本合同约定向甲方支付违约金、赔偿金、或其他应付费用等款项，由乙方支付给对应合同主体（如果本合同存在多个甲方，则对应支付给相应甲方）。</w:t>
      </w:r>
    </w:p>
    <w:p w14:paraId="17100115">
      <w:pPr>
        <w:tabs>
          <w:tab w:val="left" w:pos="425"/>
        </w:tabs>
        <w:autoSpaceDE/>
        <w:autoSpaceDN/>
        <w:snapToGrid w:val="0"/>
        <w:spacing w:beforeLines="0" w:afterLines="0" w:line="360" w:lineRule="auto"/>
        <w:ind w:firstLine="562" w:firstLineChars="200"/>
        <w:outlineLvl w:val="0"/>
        <w:rPr>
          <w:rFonts w:hint="default" w:hAnsi="宋体" w:cs="宋体"/>
          <w:b/>
          <w:color w:val="000000"/>
          <w:kern w:val="44"/>
          <w:sz w:val="28"/>
          <w:szCs w:val="28"/>
        </w:rPr>
      </w:pPr>
      <w:bookmarkStart w:id="35" w:name="_Toc22893_WPSOffice_Level1"/>
      <w:bookmarkStart w:id="36" w:name="_Toc5897_WPSOffice_Level1"/>
      <w:bookmarkStart w:id="37" w:name="_Toc22503"/>
      <w:bookmarkStart w:id="38" w:name="_Toc6052"/>
      <w:bookmarkStart w:id="39" w:name="_Toc4625"/>
      <w:r>
        <w:rPr>
          <w:rFonts w:hint="default" w:hAnsi="宋体" w:cs="宋体"/>
          <w:b/>
          <w:color w:val="000000"/>
          <w:kern w:val="44"/>
          <w:sz w:val="28"/>
          <w:szCs w:val="28"/>
        </w:rPr>
        <w:t>第六条 甲方的权利和义</w:t>
      </w:r>
      <w:bookmarkEnd w:id="35"/>
      <w:bookmarkEnd w:id="36"/>
      <w:r>
        <w:rPr>
          <w:rFonts w:hint="default" w:hAnsi="宋体" w:cs="宋体"/>
          <w:b/>
          <w:color w:val="000000"/>
          <w:kern w:val="44"/>
          <w:sz w:val="28"/>
          <w:szCs w:val="28"/>
        </w:rPr>
        <w:t>务</w:t>
      </w:r>
      <w:bookmarkEnd w:id="37"/>
      <w:bookmarkEnd w:id="38"/>
      <w:bookmarkEnd w:id="39"/>
    </w:p>
    <w:p w14:paraId="54FF1FB8">
      <w:pPr>
        <w:spacing w:beforeLines="0" w:afterLines="0" w:line="360" w:lineRule="auto"/>
        <w:ind w:firstLine="560" w:firstLineChars="200"/>
        <w:rPr>
          <w:rFonts w:hint="default" w:hAnsi="宋体" w:cs="宋体"/>
          <w:color w:val="000000"/>
          <w:sz w:val="28"/>
          <w:szCs w:val="28"/>
        </w:rPr>
      </w:pPr>
      <w:r>
        <w:rPr>
          <w:rFonts w:hint="default" w:hAnsi="宋体" w:cs="宋体"/>
          <w:color w:val="000000"/>
          <w:sz w:val="28"/>
          <w:szCs w:val="28"/>
          <w:lang w:bidi="ar"/>
        </w:rPr>
        <w:t>1、甲方应按本合同的约定向乙方支付合同价款。</w:t>
      </w:r>
    </w:p>
    <w:p w14:paraId="0133E8C1">
      <w:pPr>
        <w:spacing w:beforeLines="0" w:afterLines="0" w:line="360" w:lineRule="auto"/>
        <w:ind w:firstLine="560" w:firstLineChars="200"/>
        <w:rPr>
          <w:rFonts w:hint="default" w:hAnsi="宋体" w:cs="宋体"/>
          <w:color w:val="000000"/>
          <w:sz w:val="28"/>
          <w:szCs w:val="28"/>
        </w:rPr>
      </w:pPr>
      <w:r>
        <w:rPr>
          <w:rFonts w:hint="default" w:hAnsi="宋体" w:cs="宋体"/>
          <w:color w:val="000000"/>
          <w:sz w:val="28"/>
          <w:szCs w:val="28"/>
        </w:rPr>
        <w:t>2、甲方在合同签订后及时向乙方提供与项目有关的基础资料，并保证资料的真实性；向乙方提供工作方便及必要的工作条件，以便乙方顺利开展相关工作。</w:t>
      </w:r>
    </w:p>
    <w:p w14:paraId="00DA0DF8">
      <w:pPr>
        <w:spacing w:beforeLines="0" w:afterLines="0" w:line="360" w:lineRule="auto"/>
        <w:ind w:firstLine="560" w:firstLineChars="200"/>
        <w:rPr>
          <w:rFonts w:hint="default" w:hAnsi="宋体" w:cs="宋体"/>
          <w:color w:val="000000"/>
          <w:sz w:val="28"/>
          <w:szCs w:val="28"/>
        </w:rPr>
      </w:pPr>
      <w:r>
        <w:rPr>
          <w:rFonts w:hint="default" w:hAnsi="宋体" w:cs="宋体"/>
          <w:color w:val="000000"/>
          <w:sz w:val="28"/>
          <w:szCs w:val="28"/>
        </w:rPr>
        <w:t>3、甲方有权对乙方进行监督和检查，并要求其提供相关信息和资料。对乙方违反本合同约定的行为有权要求改正。</w:t>
      </w:r>
    </w:p>
    <w:p w14:paraId="18A6B597">
      <w:pPr>
        <w:spacing w:beforeLines="0" w:afterLines="0" w:line="360" w:lineRule="auto"/>
        <w:ind w:firstLine="560" w:firstLineChars="200"/>
        <w:rPr>
          <w:rFonts w:hint="default" w:hAnsi="宋体" w:cs="宋体"/>
          <w:color w:val="000000"/>
          <w:sz w:val="28"/>
          <w:szCs w:val="28"/>
        </w:rPr>
      </w:pPr>
      <w:r>
        <w:rPr>
          <w:rFonts w:hint="default" w:hAnsi="宋体" w:cs="宋体"/>
          <w:color w:val="000000"/>
          <w:sz w:val="28"/>
          <w:szCs w:val="28"/>
        </w:rPr>
        <w:t>4、甲方有权对乙方服务人员、设备投入等进行监督、检查。如发现不符合用户需求书、本合同约定的，有权要求补充、更换及追究乙方其他违约责任。</w:t>
      </w:r>
    </w:p>
    <w:p w14:paraId="22493DC3">
      <w:pPr>
        <w:spacing w:beforeLines="0" w:afterLines="0" w:line="360" w:lineRule="auto"/>
        <w:ind w:firstLine="560" w:firstLineChars="200"/>
        <w:rPr>
          <w:rFonts w:hint="default" w:hAnsi="宋体" w:cs="宋体"/>
          <w:color w:val="000000"/>
          <w:sz w:val="28"/>
          <w:szCs w:val="28"/>
        </w:rPr>
      </w:pPr>
      <w:r>
        <w:rPr>
          <w:rFonts w:hint="default" w:hAnsi="宋体" w:cs="宋体"/>
          <w:color w:val="000000"/>
          <w:sz w:val="28"/>
          <w:szCs w:val="28"/>
        </w:rPr>
        <w:t>5、对发现乙方违反本合同、用户需求书的有关规定或承诺，甲方有权追究乙方的违约责任，且甲方有权单方解除合同。</w:t>
      </w:r>
    </w:p>
    <w:p w14:paraId="58F249DE">
      <w:pPr>
        <w:pStyle w:val="5"/>
        <w:spacing w:beforeLines="0" w:afterLines="0" w:line="360" w:lineRule="auto"/>
        <w:ind w:firstLine="560" w:firstLineChars="200"/>
        <w:rPr>
          <w:rFonts w:hint="default" w:hAnsi="宋体" w:cs="宋体"/>
          <w:color w:val="000000"/>
          <w:sz w:val="28"/>
          <w:szCs w:val="28"/>
        </w:rPr>
      </w:pPr>
      <w:r>
        <w:rPr>
          <w:rFonts w:hint="default" w:hAnsi="宋体" w:cs="宋体"/>
          <w:color w:val="000000"/>
          <w:sz w:val="28"/>
          <w:szCs w:val="28"/>
        </w:rPr>
        <w:t>6、在合同履行期间，甲方有权要求终止或单方解除合同，乙方未开始工作的，双方互不追究对方责；已开始工作的，</w:t>
      </w:r>
      <w:r>
        <w:rPr>
          <w:rFonts w:hint="default" w:hAnsi="宋体" w:cs="宋体"/>
          <w:color w:val="000000"/>
          <w:kern w:val="2"/>
          <w:sz w:val="28"/>
          <w:szCs w:val="28"/>
        </w:rPr>
        <w:t>甲方根据乙方已进行的实际工作且经甲方书面认可的工作内容</w:t>
      </w:r>
      <w:r>
        <w:rPr>
          <w:rFonts w:hint="default" w:hAnsi="宋体" w:cs="宋体"/>
          <w:color w:val="000000"/>
          <w:sz w:val="28"/>
          <w:szCs w:val="28"/>
        </w:rPr>
        <w:t>据实结算相关费</w:t>
      </w:r>
      <w:bookmarkStart w:id="40" w:name="_Toc27157"/>
      <w:bookmarkStart w:id="41" w:name="_Toc17055"/>
      <w:bookmarkStart w:id="42" w:name="_Toc14299"/>
      <w:bookmarkStart w:id="43" w:name="_Toc848_WPSOffice_Level1"/>
      <w:bookmarkStart w:id="44" w:name="_Toc19401_WPSOffice_Level1"/>
      <w:r>
        <w:rPr>
          <w:rFonts w:hint="default" w:hAnsi="宋体" w:cs="宋体"/>
          <w:color w:val="000000"/>
          <w:sz w:val="28"/>
          <w:szCs w:val="28"/>
        </w:rPr>
        <w:t>用。</w:t>
      </w:r>
    </w:p>
    <w:p w14:paraId="6C275EB5">
      <w:pPr>
        <w:pStyle w:val="5"/>
        <w:spacing w:beforeLines="0" w:afterLines="0" w:line="360" w:lineRule="auto"/>
        <w:ind w:firstLine="562" w:firstLineChars="200"/>
        <w:rPr>
          <w:rFonts w:hint="default" w:hAnsi="宋体" w:cs="宋体"/>
          <w:b/>
          <w:color w:val="000000"/>
          <w:kern w:val="44"/>
          <w:sz w:val="28"/>
          <w:szCs w:val="28"/>
        </w:rPr>
      </w:pPr>
      <w:r>
        <w:rPr>
          <w:rFonts w:hint="default" w:hAnsi="宋体" w:cs="宋体"/>
          <w:b/>
          <w:color w:val="000000"/>
          <w:kern w:val="44"/>
          <w:sz w:val="28"/>
          <w:szCs w:val="28"/>
        </w:rPr>
        <w:t>第七条 乙方的权利和义务</w:t>
      </w:r>
      <w:bookmarkEnd w:id="40"/>
      <w:bookmarkEnd w:id="41"/>
      <w:bookmarkEnd w:id="42"/>
      <w:bookmarkEnd w:id="43"/>
      <w:bookmarkEnd w:id="44"/>
    </w:p>
    <w:p w14:paraId="4D7C4604">
      <w:pPr>
        <w:spacing w:beforeLines="0" w:afterLines="0" w:line="360" w:lineRule="auto"/>
        <w:ind w:firstLine="560" w:firstLineChars="200"/>
        <w:rPr>
          <w:rFonts w:hint="default" w:hAnsi="宋体" w:cs="宋体"/>
          <w:color w:val="000000"/>
          <w:sz w:val="28"/>
          <w:szCs w:val="28"/>
          <w:lang w:bidi="ar"/>
        </w:rPr>
      </w:pPr>
      <w:r>
        <w:rPr>
          <w:rFonts w:hint="default" w:hAnsi="宋体" w:cs="宋体"/>
          <w:color w:val="000000"/>
          <w:sz w:val="28"/>
          <w:szCs w:val="28"/>
          <w:lang w:bidi="ar"/>
        </w:rPr>
        <w:t xml:space="preserve">1、乙方有权依据本合同约定获取相应的合同价款。  </w:t>
      </w:r>
    </w:p>
    <w:p w14:paraId="4E75A9B6">
      <w:pPr>
        <w:spacing w:beforeLines="0" w:afterLines="0" w:line="360" w:lineRule="auto"/>
        <w:ind w:firstLine="560" w:firstLineChars="200"/>
        <w:rPr>
          <w:rFonts w:hint="default" w:hAnsi="宋体" w:cs="宋体"/>
          <w:color w:val="000000"/>
          <w:sz w:val="28"/>
          <w:szCs w:val="28"/>
          <w:lang w:bidi="ar"/>
        </w:rPr>
      </w:pPr>
      <w:r>
        <w:rPr>
          <w:rFonts w:hint="default" w:hAnsi="宋体" w:cs="宋体"/>
          <w:color w:val="000000"/>
          <w:sz w:val="28"/>
          <w:szCs w:val="28"/>
          <w:lang w:bidi="ar"/>
        </w:rPr>
        <w:t xml:space="preserve">2、乙方应按照本合同约定完成本项目所要求的工作内容，工作成果应符合《用户需求书》及甲方的要求。  </w:t>
      </w:r>
    </w:p>
    <w:p w14:paraId="19CAE5A4">
      <w:pPr>
        <w:spacing w:beforeLines="0" w:afterLines="0" w:line="360" w:lineRule="auto"/>
        <w:ind w:firstLine="560" w:firstLineChars="200"/>
        <w:rPr>
          <w:rFonts w:hint="default" w:hAnsi="宋体" w:cs="宋体"/>
          <w:color w:val="000000"/>
          <w:sz w:val="28"/>
          <w:szCs w:val="28"/>
          <w:lang w:bidi="ar"/>
        </w:rPr>
      </w:pPr>
      <w:r>
        <w:rPr>
          <w:rFonts w:hint="default" w:hAnsi="宋体" w:cs="宋体"/>
          <w:color w:val="000000"/>
          <w:sz w:val="28"/>
          <w:szCs w:val="28"/>
          <w:lang w:bidi="ar"/>
        </w:rPr>
        <w:t xml:space="preserve">3、履行本合同期间，乙方应提供需求确认书、用户使用手册、培训教材、验收报告等文件资料，文件格式可为电子文档如Word文档或PDF文档或其他可视化文件，并提供全方位的专业技术支持服务。     </w:t>
      </w:r>
    </w:p>
    <w:p w14:paraId="2B3E6646">
      <w:pPr>
        <w:spacing w:beforeLines="0" w:afterLines="0" w:line="360" w:lineRule="auto"/>
        <w:ind w:firstLine="560" w:firstLineChars="200"/>
        <w:rPr>
          <w:rFonts w:hint="default" w:hAnsi="宋体" w:cs="宋体"/>
          <w:color w:val="000000"/>
          <w:sz w:val="28"/>
          <w:szCs w:val="28"/>
          <w:lang w:bidi="ar"/>
        </w:rPr>
      </w:pPr>
      <w:r>
        <w:rPr>
          <w:rFonts w:hint="default" w:hAnsi="宋体" w:cs="宋体"/>
          <w:color w:val="000000"/>
          <w:sz w:val="28"/>
          <w:szCs w:val="28"/>
          <w:lang w:bidi="ar"/>
        </w:rPr>
        <w:t xml:space="preserve">4、甲方定期检查和监督乙方的工作进度和质量，并对乙方未能达到本合同约定要求的行为提出限期改正的，乙方应予以配合并保证在甲方限期内改正完毕，逾期未整改、改正的，甲方有权单方解除合同。  </w:t>
      </w:r>
    </w:p>
    <w:p w14:paraId="0DAF4AF9">
      <w:pPr>
        <w:spacing w:beforeLines="0" w:afterLines="0" w:line="360" w:lineRule="auto"/>
        <w:ind w:firstLine="560" w:firstLineChars="200"/>
        <w:rPr>
          <w:rFonts w:hint="default" w:hAnsi="宋体" w:cs="宋体"/>
          <w:color w:val="000000"/>
          <w:sz w:val="28"/>
          <w:szCs w:val="28"/>
          <w:lang w:bidi="ar"/>
        </w:rPr>
      </w:pPr>
      <w:r>
        <w:rPr>
          <w:rFonts w:hint="default" w:hAnsi="宋体" w:cs="宋体"/>
          <w:color w:val="000000"/>
          <w:sz w:val="28"/>
          <w:szCs w:val="28"/>
          <w:lang w:bidi="ar"/>
        </w:rPr>
        <w:t>5、乙方在提供服务过程中，可向甲方提出为执行本项目需要的必要协助，甲方应予以支持和解决。</w:t>
      </w:r>
    </w:p>
    <w:p w14:paraId="2C2482FC">
      <w:pPr>
        <w:spacing w:beforeLines="0" w:afterLines="0" w:line="360" w:lineRule="auto"/>
        <w:ind w:firstLine="560" w:firstLineChars="200"/>
        <w:rPr>
          <w:rFonts w:hint="default" w:hAnsi="宋体" w:cs="宋体"/>
          <w:color w:val="000000"/>
          <w:sz w:val="28"/>
          <w:szCs w:val="28"/>
          <w:lang w:bidi="ar"/>
        </w:rPr>
      </w:pPr>
      <w:r>
        <w:rPr>
          <w:rFonts w:hint="default" w:hAnsi="宋体" w:cs="宋体"/>
          <w:color w:val="000000"/>
          <w:sz w:val="28"/>
          <w:szCs w:val="28"/>
          <w:lang w:bidi="ar"/>
        </w:rPr>
        <w:t xml:space="preserve">6、乙方应承担保密方面的义务，除甲方书面同意将保密信息披露给第三方或应有权司法机关要求外，乙方保证不向除甲方以外的任何单位或个人泄露甲方的相关信息，否则，甲方有权单方解除合同。  </w:t>
      </w:r>
    </w:p>
    <w:p w14:paraId="09E14CF0">
      <w:pPr>
        <w:spacing w:beforeLines="0" w:afterLines="0" w:line="360" w:lineRule="auto"/>
        <w:ind w:firstLine="560" w:firstLineChars="200"/>
        <w:rPr>
          <w:rFonts w:hint="default" w:hAnsi="宋体" w:cs="宋体"/>
          <w:color w:val="000000"/>
          <w:sz w:val="28"/>
          <w:szCs w:val="28"/>
          <w:lang w:bidi="ar"/>
        </w:rPr>
      </w:pPr>
      <w:r>
        <w:rPr>
          <w:rFonts w:hint="default" w:hAnsi="宋体" w:cs="宋体"/>
          <w:color w:val="000000"/>
          <w:sz w:val="28"/>
          <w:szCs w:val="28"/>
          <w:lang w:bidi="ar"/>
        </w:rPr>
        <w:t>7、如因不可抗力因素，导致乙方未能按时完成项目，乙方应及时通知甲方，并尽可能采取有效补救措施。对于因乙方自身原因导致服务中的任何缺陷，乙方应重新履行服务。如乙方不能按上述约定重新履行服务，甲方有权收回已付给乙方的该项缺陷的服务费用并解除合同。</w:t>
      </w:r>
    </w:p>
    <w:p w14:paraId="310956D5">
      <w:pPr>
        <w:autoSpaceDE/>
        <w:autoSpaceDN/>
        <w:spacing w:beforeLines="0" w:afterLines="0" w:line="360" w:lineRule="auto"/>
        <w:ind w:firstLine="560" w:firstLineChars="200"/>
        <w:rPr>
          <w:rFonts w:hint="default" w:hAnsi="宋体" w:cs="宋体"/>
          <w:b/>
          <w:color w:val="000000"/>
          <w:kern w:val="44"/>
          <w:sz w:val="28"/>
          <w:szCs w:val="28"/>
        </w:rPr>
      </w:pPr>
      <w:r>
        <w:rPr>
          <w:rFonts w:hint="default" w:hAnsi="宋体" w:cs="宋体"/>
          <w:color w:val="000000"/>
          <w:sz w:val="28"/>
          <w:szCs w:val="28"/>
          <w:lang w:bidi="ar"/>
        </w:rPr>
        <w:t>8、乙方按甲方要求派出的人员应具备相应的专业知识及技术水平，具备一定的沟通协调能力，服从工作安排，有足够能力完成本项目的系统建设服务工作。</w:t>
      </w:r>
    </w:p>
    <w:p w14:paraId="39B035A2">
      <w:pPr>
        <w:autoSpaceDE/>
        <w:autoSpaceDN/>
        <w:adjustRightInd/>
        <w:spacing w:beforeLines="0" w:afterLines="0" w:line="360" w:lineRule="auto"/>
        <w:ind w:firstLine="562" w:firstLineChars="200"/>
        <w:jc w:val="both"/>
        <w:outlineLvl w:val="1"/>
        <w:rPr>
          <w:rFonts w:hint="default" w:hAnsi="宋体" w:cs="宋体"/>
          <w:b/>
          <w:sz w:val="28"/>
          <w:szCs w:val="28"/>
        </w:rPr>
      </w:pPr>
      <w:bookmarkStart w:id="45" w:name="_Toc27495485"/>
      <w:r>
        <w:rPr>
          <w:rFonts w:hint="default" w:hAnsi="宋体" w:cs="宋体"/>
          <w:b/>
          <w:sz w:val="28"/>
          <w:szCs w:val="28"/>
        </w:rPr>
        <w:t>第八条 违约责任</w:t>
      </w:r>
      <w:bookmarkEnd w:id="45"/>
    </w:p>
    <w:p w14:paraId="74F70FBE">
      <w:pPr>
        <w:spacing w:beforeLines="0" w:afterLines="0" w:line="360" w:lineRule="auto"/>
        <w:ind w:firstLine="560" w:firstLineChars="200"/>
        <w:rPr>
          <w:rFonts w:hint="default" w:hAnsi="宋体" w:cs="宋体"/>
          <w:sz w:val="28"/>
          <w:szCs w:val="28"/>
        </w:rPr>
      </w:pPr>
      <w:r>
        <w:rPr>
          <w:rFonts w:hint="default" w:hAnsi="宋体" w:cs="宋体"/>
          <w:sz w:val="28"/>
          <w:szCs w:val="28"/>
        </w:rPr>
        <w:t xml:space="preserve">1、在项目建设期间，若非甲方、不可抗力、双方同意延期的其中原因之一，乙方未能在甲方规定工期内完成约定的工作内容的，每逾期一日，乙方按1000元/天承担违约金（最高不超过含税合同价的20%）。逾期超过【20】个日历天的，甲方有权解除合同，乙方应向甲方支付含税合同价【20%】的违约金；自甲方发出解除合同通知之日起【10】日内，乙方应撤离服务现场，如逾期未撤离服务现场，应视为侵权，应按10000元/天承担违约金。造成甲方损失的，乙方应当承担全部责任及损失赔偿，甲方有权在未付款项中直接抵扣。  </w:t>
      </w:r>
    </w:p>
    <w:p w14:paraId="4EB26D8D">
      <w:pPr>
        <w:spacing w:beforeLines="0" w:afterLines="0" w:line="360" w:lineRule="auto"/>
        <w:ind w:firstLine="560" w:firstLineChars="200"/>
        <w:rPr>
          <w:rFonts w:hint="default" w:hAnsi="宋体" w:cs="宋体"/>
          <w:sz w:val="28"/>
          <w:szCs w:val="28"/>
        </w:rPr>
      </w:pPr>
      <w:r>
        <w:rPr>
          <w:rFonts w:hint="default" w:hAnsi="宋体" w:cs="宋体"/>
          <w:sz w:val="28"/>
          <w:szCs w:val="28"/>
        </w:rPr>
        <w:t>2、乙方未经甲方书面同意，擅自将本合同项下服务内容全部或部分转让给第三方的，甲方有权单方解除合同，并要求乙方按含税合同价的20%承担违约金，违约金不足以弥补甲方损失的，甲方有权继续向乙方追索。</w:t>
      </w:r>
    </w:p>
    <w:p w14:paraId="786368E3">
      <w:pPr>
        <w:spacing w:beforeLines="0" w:afterLines="0" w:line="360" w:lineRule="auto"/>
        <w:ind w:firstLine="560" w:firstLineChars="200"/>
        <w:rPr>
          <w:rFonts w:hint="default" w:hAnsi="宋体" w:cs="宋体"/>
          <w:sz w:val="28"/>
          <w:szCs w:val="28"/>
        </w:rPr>
      </w:pPr>
      <w:r>
        <w:rPr>
          <w:rFonts w:hint="default" w:hAnsi="宋体" w:cs="宋体"/>
          <w:sz w:val="28"/>
          <w:szCs w:val="28"/>
        </w:rPr>
        <w:t>3、乙方保证具有履行本合同的资质条件，并承诺在合同履行期限保证资质有效。同时加强对从业人员的执业管理，保证具有履行本合同的资质能力。如因资质丧失（包括但不限于注销、撤销、降低等）、人员缺乏导致无法继续履行的，甲方有权单方解除本合同，要求乙方向甲方支付含税合同价的20%作为违约金，并另行委托有资质的第三方继续进行（乙方应无条件配合移交相关工作），由此造成的损失由乙方承担。</w:t>
      </w:r>
    </w:p>
    <w:p w14:paraId="4B9937D4">
      <w:pPr>
        <w:spacing w:beforeLines="0" w:afterLines="0" w:line="360" w:lineRule="auto"/>
        <w:ind w:firstLine="560" w:firstLineChars="200"/>
        <w:rPr>
          <w:rFonts w:hint="default" w:hAnsi="宋体" w:cs="宋体"/>
          <w:sz w:val="28"/>
          <w:szCs w:val="28"/>
        </w:rPr>
      </w:pPr>
      <w:r>
        <w:rPr>
          <w:rFonts w:hint="default" w:hAnsi="宋体" w:cs="宋体"/>
          <w:sz w:val="28"/>
          <w:szCs w:val="28"/>
        </w:rPr>
        <w:t xml:space="preserve">4、乙方应承担保密方面的义务，除甲方书面同意将保密信息披露给第三方或应法律要求外，乙方保证不向除甲方以外的任何单位或个人泄露甲方的检测结果、及其他相关信息，否则，甲方有权解除本合同，同时甲方有权要求乙方按合同总价款的20%向甲方支付违约金。  </w:t>
      </w:r>
    </w:p>
    <w:p w14:paraId="42FA5C66">
      <w:pPr>
        <w:spacing w:beforeLines="0" w:afterLines="0" w:line="360" w:lineRule="auto"/>
        <w:ind w:firstLine="560" w:firstLineChars="200"/>
        <w:rPr>
          <w:rFonts w:hint="default" w:hAnsi="宋体" w:cs="宋体"/>
          <w:sz w:val="28"/>
          <w:szCs w:val="28"/>
        </w:rPr>
      </w:pPr>
      <w:r>
        <w:rPr>
          <w:rFonts w:hint="default" w:hAnsi="宋体" w:cs="宋体"/>
          <w:sz w:val="28"/>
          <w:szCs w:val="28"/>
        </w:rPr>
        <w:t>5、因乙方原因发生安全事故或引起其他损失、造成不良后果的，乙方应承担全部责任及损失赔偿。</w:t>
      </w:r>
    </w:p>
    <w:p w14:paraId="3AD246AC">
      <w:pPr>
        <w:spacing w:beforeLines="0" w:afterLines="0" w:line="360" w:lineRule="auto"/>
        <w:ind w:firstLine="560" w:firstLineChars="200"/>
        <w:rPr>
          <w:rFonts w:hint="default" w:hAnsi="宋体" w:cs="宋体"/>
          <w:sz w:val="28"/>
          <w:szCs w:val="28"/>
        </w:rPr>
      </w:pPr>
      <w:r>
        <w:rPr>
          <w:rFonts w:hint="default" w:hAnsi="宋体" w:cs="宋体"/>
          <w:sz w:val="28"/>
          <w:szCs w:val="28"/>
        </w:rPr>
        <w:t>6、在本合同履行过程中，乙方消极怠工或拒不履行合同义务（包括但不限于功能升级建设、配合验收、售后服务等）的，甲方有权就违约事宜提出改正，如乙方仍拒不改正或改正结果不符合甲方要求的，乙方除应按本合同相关约定承担责任外，甲方还有权选择单方解除合同，且乙方应按合同总价款的 20% 的标准向甲方承担违约金。</w:t>
      </w:r>
    </w:p>
    <w:p w14:paraId="2936E66E">
      <w:pPr>
        <w:spacing w:beforeLines="0" w:afterLines="0" w:line="360" w:lineRule="auto"/>
        <w:ind w:firstLine="560" w:firstLineChars="200"/>
        <w:rPr>
          <w:rFonts w:hint="default" w:hAnsi="宋体" w:cs="宋体"/>
          <w:sz w:val="28"/>
          <w:szCs w:val="28"/>
        </w:rPr>
      </w:pPr>
      <w:r>
        <w:rPr>
          <w:rFonts w:hint="default" w:hAnsi="宋体" w:cs="宋体"/>
          <w:sz w:val="28"/>
          <w:szCs w:val="28"/>
        </w:rPr>
        <w:t>7、乙方在服务过程中应按进度情况及时整理资料，完成服务内容并经甲方验收合格确认后 15  个工作日内将相关验收及结算等资料移交给甲方，并在结算经双方确认后 15  个工作日内提交完整的结算款请款资料，否则每逾期一日，甲方有权要求乙方按1,000.00元/天支付违约金（最高不超过合同总价款的20%）。</w:t>
      </w:r>
    </w:p>
    <w:p w14:paraId="51904A2E">
      <w:pPr>
        <w:spacing w:beforeLines="0" w:afterLines="0" w:line="360" w:lineRule="auto"/>
        <w:ind w:firstLine="560" w:firstLineChars="200"/>
        <w:rPr>
          <w:rFonts w:hint="default" w:hAnsi="宋体" w:cs="宋体"/>
          <w:sz w:val="28"/>
          <w:szCs w:val="28"/>
        </w:rPr>
      </w:pPr>
      <w:r>
        <w:rPr>
          <w:rFonts w:hint="default" w:hAnsi="宋体" w:cs="宋体"/>
          <w:sz w:val="28"/>
          <w:szCs w:val="28"/>
        </w:rPr>
        <w:t>8、服务过程中乙方违反甲方的安全生产管理制度或相关规范规定的，经甲方发现，甲方有权要求乙方按500-10000元/次支付违约金（最高不超过合同总价款的20%）；对于多次出现违规，或造成严重后果的，或可能发生重大伤亡潜在因素的，甲方有权提前终止合同而无需承担由此引起的任何责任。</w:t>
      </w:r>
    </w:p>
    <w:p w14:paraId="67B9A540">
      <w:pPr>
        <w:spacing w:beforeLines="0" w:afterLines="0" w:line="360" w:lineRule="auto"/>
        <w:ind w:firstLine="560" w:firstLineChars="200"/>
        <w:rPr>
          <w:rFonts w:hint="default" w:hAnsi="宋体" w:cs="宋体"/>
          <w:sz w:val="28"/>
          <w:szCs w:val="28"/>
        </w:rPr>
      </w:pPr>
      <w:r>
        <w:rPr>
          <w:rFonts w:hint="default" w:hAnsi="宋体" w:cs="宋体"/>
          <w:sz w:val="28"/>
          <w:szCs w:val="28"/>
        </w:rPr>
        <w:t xml:space="preserve">9、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甲方要求的时限内整改，若整改达不到甲方要求的，甲方有权解除合同，同时甲方有权要求乙方按合同总价款的20%向甲方支付违约金。 </w:t>
      </w:r>
    </w:p>
    <w:p w14:paraId="0EED6277">
      <w:pPr>
        <w:spacing w:beforeLines="0" w:afterLines="0" w:line="360" w:lineRule="auto"/>
        <w:ind w:firstLine="560" w:firstLineChars="200"/>
        <w:rPr>
          <w:rFonts w:hint="default" w:hAnsi="宋体" w:cs="宋体"/>
          <w:sz w:val="28"/>
          <w:szCs w:val="28"/>
        </w:rPr>
      </w:pPr>
      <w:r>
        <w:rPr>
          <w:rFonts w:hint="default" w:hAnsi="宋体" w:cs="宋体"/>
          <w:sz w:val="28"/>
          <w:szCs w:val="28"/>
        </w:rPr>
        <w:t>10、本合同履行期间，乙方违约产生的违约金、赔偿或其他应付费用等款项，甲方有权直接从未付款项中直接扣除予以支付。</w:t>
      </w:r>
    </w:p>
    <w:p w14:paraId="72CEBCD0">
      <w:pPr>
        <w:spacing w:beforeLines="0" w:afterLines="0" w:line="360" w:lineRule="auto"/>
        <w:ind w:firstLine="560" w:firstLineChars="200"/>
        <w:rPr>
          <w:rFonts w:hint="default" w:hAnsi="宋体" w:cs="宋体"/>
          <w:sz w:val="28"/>
          <w:szCs w:val="28"/>
        </w:rPr>
      </w:pPr>
      <w:r>
        <w:rPr>
          <w:rFonts w:hint="default" w:hAnsi="宋体" w:cs="宋体"/>
          <w:sz w:val="28"/>
          <w:szCs w:val="28"/>
        </w:rPr>
        <w:t>11、如乙方存在违约行为的，甲方为实现本合同民事权利而产生的诉讼费用、申请财产保全的担保费（保险费）、</w:t>
      </w:r>
      <w:r>
        <w:rPr>
          <w:rFonts w:hint="eastAsia" w:hAnsi="宋体" w:cs="宋体"/>
          <w:sz w:val="28"/>
          <w:szCs w:val="28"/>
          <w:lang w:val="en-US" w:eastAsia="zh-CN"/>
        </w:rPr>
        <w:t>执行费、</w:t>
      </w:r>
      <w:r>
        <w:rPr>
          <w:rFonts w:hint="default" w:hAnsi="宋体" w:cs="宋体"/>
          <w:sz w:val="28"/>
          <w:szCs w:val="28"/>
        </w:rPr>
        <w:t>律师费、差旅费等合理费用，均由乙方承担。</w:t>
      </w:r>
    </w:p>
    <w:p w14:paraId="5FFCF5C2">
      <w:pPr>
        <w:spacing w:beforeLines="0" w:afterLines="0" w:line="360" w:lineRule="auto"/>
        <w:ind w:firstLine="560" w:firstLineChars="200"/>
        <w:rPr>
          <w:rFonts w:hint="default" w:hAnsi="宋体" w:cs="宋体"/>
          <w:sz w:val="28"/>
          <w:szCs w:val="28"/>
        </w:rPr>
      </w:pPr>
      <w:r>
        <w:rPr>
          <w:rFonts w:hint="default" w:hAnsi="宋体" w:cs="宋体"/>
          <w:sz w:val="28"/>
          <w:szCs w:val="28"/>
        </w:rPr>
        <w:t>12、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75EFDF2D">
      <w:pPr>
        <w:numPr>
          <w:ilvl w:val="0"/>
          <w:numId w:val="0"/>
        </w:numPr>
        <w:tabs>
          <w:tab w:val="left" w:pos="0"/>
        </w:tabs>
        <w:spacing w:beforeLines="0" w:afterLines="0" w:line="360" w:lineRule="auto"/>
        <w:ind w:left="425"/>
        <w:rPr>
          <w:rFonts w:hint="default" w:hAnsi="宋体" w:cs="宋体"/>
          <w:b/>
          <w:sz w:val="28"/>
          <w:szCs w:val="28"/>
        </w:rPr>
      </w:pPr>
      <w:r>
        <w:rPr>
          <w:rFonts w:hint="default" w:hAnsi="宋体" w:cs="宋体"/>
          <w:b/>
          <w:sz w:val="28"/>
          <w:szCs w:val="28"/>
        </w:rPr>
        <w:t>第九条 知识产权</w:t>
      </w:r>
    </w:p>
    <w:p w14:paraId="5A736CBC">
      <w:pPr>
        <w:numPr>
          <w:ilvl w:val="0"/>
          <w:numId w:val="0"/>
        </w:numPr>
        <w:tabs>
          <w:tab w:val="left" w:pos="0"/>
        </w:tabs>
        <w:spacing w:beforeLines="0" w:afterLines="0" w:line="360" w:lineRule="auto"/>
        <w:ind w:firstLine="560" w:firstLineChars="200"/>
        <w:rPr>
          <w:rFonts w:hint="default" w:hAnsi="宋体" w:cs="宋体"/>
          <w:sz w:val="28"/>
          <w:szCs w:val="28"/>
        </w:rPr>
      </w:pPr>
      <w:r>
        <w:rPr>
          <w:rFonts w:hint="default" w:hAnsi="宋体" w:cs="宋体"/>
          <w:sz w:val="28"/>
          <w:szCs w:val="28"/>
        </w:rPr>
        <w:t>1、本合同下产生的所有技术成果归甲方所有，未经甲方书面同意，乙方不得将本技术成果泄露或转让给任何第三方。</w:t>
      </w:r>
    </w:p>
    <w:p w14:paraId="079422D4">
      <w:pPr>
        <w:spacing w:beforeLines="0" w:afterLines="0" w:line="360" w:lineRule="auto"/>
        <w:ind w:firstLine="560" w:firstLineChars="200"/>
        <w:rPr>
          <w:rFonts w:hint="default" w:hAnsi="宋体" w:cs="宋体"/>
          <w:b/>
          <w:sz w:val="28"/>
          <w:szCs w:val="28"/>
        </w:rPr>
      </w:pPr>
      <w:r>
        <w:rPr>
          <w:rFonts w:hint="default" w:hAnsi="宋体" w:cs="宋体"/>
          <w:sz w:val="28"/>
          <w:szCs w:val="28"/>
        </w:rPr>
        <w:t>2、乙方应保证，甲方在中华人民共和国使用本项目工作成果的任何一部分时，甲方免受第三方提出侵其专利权、著作权权或其它知识产权的起诉。否则由此造成甲方任何损失或支出的，均由乙方予以承担；如乙方所提供的服务存在侵权情形而甲方需继续使用他人享有的专利权、著作权等知识产权的，由此产生的使用费等全部费用及责任由乙方予以承担，保证甲方不承担任何费用及责任。如因此影响甲方声誉和利益的，甲方有权不予支付合同价款，且乙方应当赔偿甲方由此遭受的全部损失，赔偿金额上限不得超过合同总额。</w:t>
      </w:r>
    </w:p>
    <w:p w14:paraId="05876CC1">
      <w:pPr>
        <w:spacing w:beforeLines="0" w:afterLines="0" w:line="360" w:lineRule="auto"/>
        <w:ind w:firstLine="562" w:firstLineChars="200"/>
        <w:rPr>
          <w:rFonts w:hint="default" w:hAnsi="宋体" w:cs="宋体"/>
          <w:sz w:val="28"/>
          <w:szCs w:val="28"/>
        </w:rPr>
      </w:pPr>
      <w:r>
        <w:rPr>
          <w:rFonts w:hint="default" w:hAnsi="宋体" w:cs="宋体"/>
          <w:b/>
          <w:sz w:val="28"/>
          <w:szCs w:val="28"/>
        </w:rPr>
        <w:t>第十条 保密条款</w:t>
      </w:r>
    </w:p>
    <w:p w14:paraId="334627DD">
      <w:pPr>
        <w:spacing w:beforeLines="0" w:afterLines="0" w:line="360" w:lineRule="auto"/>
        <w:ind w:firstLine="560" w:firstLineChars="200"/>
        <w:rPr>
          <w:rFonts w:hint="default" w:hAnsi="宋体" w:cs="宋体"/>
          <w:sz w:val="28"/>
          <w:szCs w:val="28"/>
        </w:rPr>
      </w:pPr>
      <w:r>
        <w:rPr>
          <w:rFonts w:hint="default" w:hAnsi="宋体" w:cs="宋体"/>
          <w:sz w:val="28"/>
          <w:szCs w:val="28"/>
        </w:rPr>
        <w:t>1、乙方承诺对本项目涉及的所有信息（信息包括本合同及其所有附件和补充文件、基础数据、报告及其复印件等）承担保密义务，在未征得甲方书面同意的情况下，不得向任意第三方披露或许可第三方使用，否则，视为乙方违约，乙方应承担因此产生的一切后果及全部赔偿责任。</w:t>
      </w:r>
    </w:p>
    <w:p w14:paraId="04CD1C1B">
      <w:pPr>
        <w:spacing w:beforeLines="0" w:afterLines="0" w:line="360" w:lineRule="auto"/>
        <w:ind w:firstLine="560" w:firstLineChars="200"/>
        <w:rPr>
          <w:rFonts w:hint="default" w:hAnsi="宋体" w:cs="宋体"/>
          <w:sz w:val="28"/>
          <w:szCs w:val="28"/>
        </w:rPr>
      </w:pPr>
      <w:r>
        <w:rPr>
          <w:rFonts w:hint="default" w:hAnsi="宋体" w:cs="宋体"/>
          <w:sz w:val="28"/>
          <w:szCs w:val="28"/>
        </w:rPr>
        <w:t>2、甲乙双方承诺严格要求参与项目的相关工作人员遵守本合同保密条款，并要求其不得将相关资料泄露给第三方。</w:t>
      </w:r>
    </w:p>
    <w:p w14:paraId="465997D8">
      <w:pPr>
        <w:spacing w:beforeLines="0" w:afterLines="0" w:line="360" w:lineRule="auto"/>
        <w:ind w:firstLine="560" w:firstLineChars="200"/>
        <w:rPr>
          <w:rFonts w:hint="default" w:hAnsi="宋体" w:cs="宋体"/>
          <w:sz w:val="28"/>
          <w:szCs w:val="28"/>
        </w:rPr>
      </w:pPr>
      <w:r>
        <w:rPr>
          <w:rFonts w:hint="default" w:hAnsi="宋体" w:cs="宋体"/>
          <w:sz w:val="28"/>
          <w:szCs w:val="28"/>
        </w:rPr>
        <w:t>3、若出现泄密情况，守约方有权追究泄密方相关经济赔偿责任及其他法律责任。</w:t>
      </w:r>
    </w:p>
    <w:p w14:paraId="1DD31BC9">
      <w:pPr>
        <w:spacing w:beforeLines="0" w:afterLines="0" w:line="360" w:lineRule="auto"/>
        <w:ind w:firstLine="560" w:firstLineChars="200"/>
        <w:rPr>
          <w:rFonts w:hint="default" w:hAnsi="宋体" w:cs="宋体"/>
          <w:sz w:val="28"/>
          <w:szCs w:val="28"/>
        </w:rPr>
      </w:pPr>
      <w:r>
        <w:rPr>
          <w:rFonts w:hint="default" w:hAnsi="宋体" w:cs="宋体"/>
          <w:sz w:val="28"/>
          <w:szCs w:val="28"/>
        </w:rPr>
        <w:t>4、本合同保密条款不因合同变更、修改或终止而终止失效，直至相关保密信息被合法公开之日起止。</w:t>
      </w:r>
    </w:p>
    <w:p w14:paraId="2F8E3525">
      <w:pPr>
        <w:spacing w:beforeLines="0" w:afterLines="0" w:line="360" w:lineRule="auto"/>
        <w:ind w:firstLine="562" w:firstLineChars="200"/>
        <w:rPr>
          <w:rFonts w:hint="default" w:hAnsi="宋体" w:cs="宋体"/>
          <w:b/>
          <w:sz w:val="28"/>
          <w:szCs w:val="28"/>
        </w:rPr>
      </w:pPr>
      <w:r>
        <w:rPr>
          <w:rFonts w:hint="default" w:hAnsi="宋体" w:cs="宋体"/>
          <w:b/>
          <w:sz w:val="28"/>
          <w:szCs w:val="28"/>
        </w:rPr>
        <w:t>第十一条 不可抗力</w:t>
      </w:r>
    </w:p>
    <w:p w14:paraId="35EEE1A8">
      <w:pPr>
        <w:spacing w:beforeLines="0" w:afterLines="0" w:line="360" w:lineRule="auto"/>
        <w:ind w:firstLine="560" w:firstLineChars="200"/>
        <w:rPr>
          <w:rFonts w:hint="default" w:hAnsi="宋体" w:cs="宋体"/>
          <w:sz w:val="28"/>
          <w:szCs w:val="28"/>
        </w:rPr>
      </w:pPr>
      <w:r>
        <w:rPr>
          <w:rFonts w:hint="default" w:hAnsi="宋体" w:cs="宋体"/>
          <w:sz w:val="28"/>
          <w:szCs w:val="28"/>
        </w:rPr>
        <w:t>1、本合同所称的“不可抗力”是指受影响一方无法预料、不可避免且无法克服，并于本合同签订日之后出现的，使一方对本合同全部或部分的履行在客观上成为不可能或不实际的事件。</w:t>
      </w:r>
    </w:p>
    <w:p w14:paraId="4B96FEDE">
      <w:pPr>
        <w:spacing w:beforeLines="0" w:afterLines="0" w:line="360" w:lineRule="auto"/>
        <w:ind w:firstLine="560" w:firstLineChars="200"/>
        <w:rPr>
          <w:rFonts w:hint="default" w:hAnsi="宋体" w:cs="宋体"/>
          <w:color w:val="0000FF"/>
          <w:sz w:val="28"/>
          <w:szCs w:val="28"/>
        </w:rPr>
      </w:pPr>
      <w:r>
        <w:rPr>
          <w:rFonts w:hint="default" w:hAnsi="宋体" w:cs="宋体"/>
          <w:sz w:val="28"/>
          <w:szCs w:val="28"/>
        </w:rPr>
        <w:t>2、由于不可抗力造成任何一方不能及时履行或不能及时完全履行本协议规定的责任和义务的，甲乙双方互不承担责任。但遭受不可抗力的一方应在不可抗力发生之日起1日内书面通知另一方，并在不可抗力发生之日起30日内，提供不可抗力、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w:t>
      </w:r>
    </w:p>
    <w:p w14:paraId="7F53C706">
      <w:pPr>
        <w:spacing w:beforeLines="0" w:afterLines="0" w:line="360" w:lineRule="auto"/>
        <w:ind w:firstLine="562" w:firstLineChars="200"/>
        <w:rPr>
          <w:rFonts w:hint="default" w:hAnsi="宋体" w:cs="宋体"/>
          <w:b/>
          <w:sz w:val="28"/>
          <w:szCs w:val="28"/>
        </w:rPr>
      </w:pPr>
      <w:r>
        <w:rPr>
          <w:rFonts w:hint="default" w:hAnsi="宋体" w:cs="宋体"/>
          <w:b/>
          <w:sz w:val="28"/>
          <w:szCs w:val="28"/>
        </w:rPr>
        <w:t>第十二条 争端解决</w:t>
      </w:r>
    </w:p>
    <w:p w14:paraId="602CF129">
      <w:pPr>
        <w:spacing w:beforeLines="0" w:afterLines="0" w:line="360" w:lineRule="auto"/>
        <w:ind w:firstLine="560" w:firstLineChars="200"/>
        <w:rPr>
          <w:rFonts w:hint="default" w:hAnsi="宋体" w:cs="宋体"/>
          <w:sz w:val="28"/>
          <w:szCs w:val="28"/>
        </w:rPr>
      </w:pPr>
      <w:r>
        <w:rPr>
          <w:rFonts w:hint="default" w:hAnsi="宋体" w:cs="宋体"/>
          <w:sz w:val="28"/>
          <w:szCs w:val="28"/>
        </w:rPr>
        <w:t>双方在履行本合同时发生争议的，应先通过友好协商解决。若经协商仍不能解决，任何一方均有权向甲方所在地有管辖权的人民法院提起诉讼。在诉讼期间，双方应继续履行本合同中除争议条款之外的其它条款。</w:t>
      </w:r>
    </w:p>
    <w:p w14:paraId="4DB836B0">
      <w:pPr>
        <w:spacing w:beforeLines="0" w:afterLines="0" w:line="360" w:lineRule="auto"/>
        <w:ind w:firstLine="562" w:firstLineChars="200"/>
        <w:rPr>
          <w:rFonts w:hint="default" w:hAnsi="宋体" w:cs="宋体"/>
          <w:b/>
          <w:sz w:val="28"/>
          <w:szCs w:val="28"/>
        </w:rPr>
      </w:pPr>
      <w:r>
        <w:rPr>
          <w:rFonts w:hint="default" w:hAnsi="宋体" w:cs="宋体"/>
          <w:b/>
          <w:sz w:val="28"/>
          <w:szCs w:val="28"/>
        </w:rPr>
        <w:t>第十三条 送达</w:t>
      </w:r>
    </w:p>
    <w:p w14:paraId="3E7BEB6E">
      <w:pPr>
        <w:spacing w:beforeLines="0" w:afterLines="0" w:line="360" w:lineRule="auto"/>
        <w:ind w:firstLine="560" w:firstLineChars="200"/>
        <w:rPr>
          <w:rFonts w:hint="default" w:hAnsi="宋体" w:cs="宋体"/>
          <w:sz w:val="28"/>
          <w:szCs w:val="28"/>
        </w:rPr>
      </w:pPr>
      <w:r>
        <w:rPr>
          <w:rFonts w:hint="default" w:hAnsi="宋体" w:cs="宋体"/>
          <w:sz w:val="28"/>
          <w:szCs w:val="28"/>
        </w:rPr>
        <w:t xml:space="preserve">1.甲乙双方就本合同中涉及各类通知、协议等文件以及就合同发生纠纷时相关文件和法律文书送达时的送达地址及法律后果作如下约定： </w:t>
      </w:r>
    </w:p>
    <w:p w14:paraId="1ECB6134">
      <w:pPr>
        <w:spacing w:beforeLines="0" w:afterLines="0" w:line="360" w:lineRule="auto"/>
        <w:ind w:firstLine="560" w:firstLineChars="200"/>
        <w:rPr>
          <w:rFonts w:hint="default" w:hAnsi="宋体" w:cs="宋体"/>
          <w:sz w:val="28"/>
          <w:szCs w:val="28"/>
        </w:rPr>
      </w:pPr>
      <w:r>
        <w:rPr>
          <w:rFonts w:hint="default" w:hAnsi="宋体" w:cs="宋体"/>
          <w:sz w:val="28"/>
          <w:szCs w:val="28"/>
        </w:rPr>
        <w:t xml:space="preserve">甲方确认其有效的送达地址为【 】；联系人：【 】；联系电话【 】；电子邮箱【 】。 </w:t>
      </w:r>
    </w:p>
    <w:p w14:paraId="5D387BDA">
      <w:pPr>
        <w:spacing w:beforeLines="0" w:afterLines="0" w:line="360" w:lineRule="auto"/>
        <w:ind w:firstLine="560" w:firstLineChars="200"/>
        <w:rPr>
          <w:rFonts w:hint="default" w:hAnsi="宋体" w:cs="宋体"/>
          <w:sz w:val="28"/>
          <w:szCs w:val="28"/>
        </w:rPr>
      </w:pPr>
      <w:r>
        <w:rPr>
          <w:rFonts w:hint="default" w:hAnsi="宋体" w:cs="宋体"/>
          <w:sz w:val="28"/>
          <w:szCs w:val="28"/>
        </w:rPr>
        <w:t>乙方确认其有效的送达地址为【 】；联系人：【 】；联系电话【 】；电子邮箱【 】。</w:t>
      </w:r>
    </w:p>
    <w:p w14:paraId="6BA58A5B">
      <w:pPr>
        <w:spacing w:beforeLines="0" w:afterLines="0" w:line="360" w:lineRule="auto"/>
        <w:ind w:firstLine="560" w:firstLineChars="200"/>
        <w:rPr>
          <w:rFonts w:hint="default" w:hAnsi="宋体" w:cs="宋体"/>
          <w:sz w:val="28"/>
          <w:szCs w:val="28"/>
        </w:rPr>
      </w:pPr>
      <w:r>
        <w:rPr>
          <w:rFonts w:hint="default" w:hAnsi="宋体" w:cs="宋体"/>
          <w:sz w:val="28"/>
          <w:szCs w:val="28"/>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2BC716B9">
      <w:pPr>
        <w:spacing w:beforeLines="0" w:afterLines="0" w:line="360" w:lineRule="auto"/>
        <w:ind w:firstLine="560" w:firstLineChars="200"/>
        <w:rPr>
          <w:rFonts w:hint="default" w:hAnsi="宋体" w:cs="宋体"/>
          <w:sz w:val="28"/>
          <w:szCs w:val="28"/>
        </w:rPr>
      </w:pPr>
      <w:r>
        <w:rPr>
          <w:rFonts w:hint="default" w:hAnsi="宋体" w:cs="宋体"/>
          <w:sz w:val="28"/>
          <w:szCs w:val="28"/>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5B85E5AC">
      <w:pPr>
        <w:spacing w:beforeLines="0" w:afterLines="0" w:line="360" w:lineRule="auto"/>
        <w:ind w:firstLine="560" w:firstLineChars="200"/>
        <w:rPr>
          <w:rFonts w:hint="default" w:hAnsi="宋体" w:cs="宋体"/>
          <w:sz w:val="28"/>
          <w:szCs w:val="28"/>
        </w:rPr>
      </w:pPr>
      <w:r>
        <w:rPr>
          <w:rFonts w:hint="default" w:hAnsi="宋体" w:cs="宋体"/>
          <w:sz w:val="28"/>
          <w:szCs w:val="28"/>
        </w:rPr>
        <w:t>3.甲方的送达地址需要变更时应当履行及时通知的义务，应提前【五】个工作日通过【书面或电子】 的方式向乙方进行通知；乙方的送达地址需要变更时应当履行及时通知的义务，应提前【五】个工作日通过【书面】的方式向甲方进行通知。</w:t>
      </w:r>
    </w:p>
    <w:p w14:paraId="7E8EFF37">
      <w:pPr>
        <w:spacing w:beforeLines="0" w:afterLines="0" w:line="360" w:lineRule="auto"/>
        <w:ind w:firstLine="560" w:firstLineChars="200"/>
        <w:rPr>
          <w:rFonts w:hint="default" w:hAnsi="宋体" w:cs="宋体"/>
          <w:sz w:val="28"/>
          <w:szCs w:val="28"/>
        </w:rPr>
      </w:pPr>
      <w:r>
        <w:rPr>
          <w:rFonts w:hint="default" w:hAnsi="宋体" w:cs="宋体"/>
          <w:sz w:val="28"/>
          <w:szCs w:val="28"/>
        </w:rPr>
        <w:t>4.本条款具有独立法律效力，不因合同其他条款的无效而无效。</w:t>
      </w:r>
    </w:p>
    <w:p w14:paraId="75B5742B">
      <w:pPr>
        <w:spacing w:beforeLines="0" w:afterLines="0" w:line="360" w:lineRule="auto"/>
        <w:ind w:firstLine="562" w:firstLineChars="200"/>
        <w:rPr>
          <w:rFonts w:hint="default" w:hAnsi="宋体" w:cs="宋体"/>
          <w:sz w:val="28"/>
          <w:szCs w:val="28"/>
        </w:rPr>
      </w:pPr>
      <w:r>
        <w:rPr>
          <w:rFonts w:hint="default" w:hAnsi="宋体" w:cs="宋体"/>
          <w:b/>
          <w:sz w:val="28"/>
          <w:szCs w:val="28"/>
        </w:rPr>
        <w:t>第十四条  其他</w:t>
      </w:r>
    </w:p>
    <w:p w14:paraId="1FCFE134">
      <w:pPr>
        <w:spacing w:beforeLines="0" w:afterLines="0" w:line="360" w:lineRule="auto"/>
        <w:ind w:firstLine="560" w:firstLineChars="200"/>
        <w:rPr>
          <w:rFonts w:hint="default" w:hAnsi="宋体" w:cs="宋体"/>
          <w:sz w:val="28"/>
          <w:szCs w:val="28"/>
        </w:rPr>
      </w:pPr>
      <w:r>
        <w:rPr>
          <w:rFonts w:hint="default" w:hAnsi="宋体" w:cs="宋体"/>
          <w:sz w:val="28"/>
          <w:szCs w:val="28"/>
        </w:rPr>
        <w:t>1.在执行本合同的过程中，对具体服务内容需要变更或补充的，不违反法律法规的前提下，经双方协商，可共同签署补充协议，补充协议与本协议具有同等的法律效力。</w:t>
      </w:r>
    </w:p>
    <w:p w14:paraId="20D918D3">
      <w:pPr>
        <w:spacing w:beforeLines="0" w:afterLines="0" w:line="360" w:lineRule="auto"/>
        <w:ind w:firstLine="560" w:firstLineChars="200"/>
        <w:rPr>
          <w:rFonts w:hint="default" w:hAnsi="宋体" w:cs="宋体"/>
          <w:sz w:val="28"/>
          <w:szCs w:val="28"/>
        </w:rPr>
      </w:pPr>
      <w:r>
        <w:rPr>
          <w:rFonts w:hint="default" w:hAnsi="宋体" w:cs="宋体"/>
          <w:sz w:val="28"/>
          <w:szCs w:val="28"/>
        </w:rPr>
        <w:t xml:space="preserve">2.本合同一式 </w:t>
      </w:r>
      <w:r>
        <w:rPr>
          <w:rFonts w:hint="default" w:hAnsi="宋体" w:cs="宋体"/>
          <w:sz w:val="28"/>
          <w:szCs w:val="28"/>
          <w:u w:val="single"/>
        </w:rPr>
        <w:t xml:space="preserve">   </w:t>
      </w:r>
      <w:r>
        <w:rPr>
          <w:rFonts w:hint="default" w:hAnsi="宋体" w:cs="宋体"/>
          <w:sz w:val="28"/>
          <w:szCs w:val="28"/>
        </w:rPr>
        <w:t xml:space="preserve">份，甲方 </w:t>
      </w:r>
      <w:r>
        <w:rPr>
          <w:rFonts w:hint="default" w:hAnsi="宋体" w:cs="宋体"/>
          <w:sz w:val="28"/>
          <w:szCs w:val="28"/>
          <w:u w:val="single"/>
        </w:rPr>
        <w:t xml:space="preserve">   </w:t>
      </w:r>
      <w:r>
        <w:rPr>
          <w:rFonts w:hint="default" w:hAnsi="宋体" w:cs="宋体"/>
          <w:sz w:val="28"/>
          <w:szCs w:val="28"/>
        </w:rPr>
        <w:t xml:space="preserve">份，乙方 </w:t>
      </w:r>
      <w:r>
        <w:rPr>
          <w:rFonts w:hint="default" w:hAnsi="宋体" w:cs="宋体"/>
          <w:sz w:val="28"/>
          <w:szCs w:val="28"/>
          <w:u w:val="single"/>
        </w:rPr>
        <w:t xml:space="preserve">   </w:t>
      </w:r>
      <w:r>
        <w:rPr>
          <w:rFonts w:hint="default" w:hAnsi="宋体" w:cs="宋体"/>
          <w:sz w:val="28"/>
          <w:szCs w:val="28"/>
        </w:rPr>
        <w:t>份，每份均具有同等法律效力，自双方法定代表人或授权代表签字并盖章之日起生效。本合同附件是本合同不可分割内容，与本合同同时生效，同具法律效力。当附件内容与本合同不一致时，以利于甲方的约定为准。</w:t>
      </w:r>
    </w:p>
    <w:p w14:paraId="7322C2A1">
      <w:pPr>
        <w:spacing w:beforeLines="0" w:afterLines="0" w:line="360" w:lineRule="auto"/>
        <w:ind w:firstLine="560" w:firstLineChars="200"/>
        <w:rPr>
          <w:rFonts w:hint="default" w:hAnsi="宋体" w:cs="宋体"/>
          <w:sz w:val="28"/>
          <w:szCs w:val="28"/>
        </w:rPr>
      </w:pPr>
      <w:r>
        <w:rPr>
          <w:rFonts w:hint="default" w:hAnsi="宋体" w:cs="宋体"/>
          <w:sz w:val="28"/>
          <w:szCs w:val="28"/>
        </w:rPr>
        <w:t>附件一：报价文件</w:t>
      </w:r>
    </w:p>
    <w:p w14:paraId="154FACD3">
      <w:pPr>
        <w:spacing w:beforeLines="0" w:afterLines="0" w:line="360" w:lineRule="auto"/>
        <w:ind w:firstLine="560" w:firstLineChars="200"/>
        <w:rPr>
          <w:rFonts w:hint="default" w:hAnsi="宋体" w:cs="宋体"/>
          <w:sz w:val="28"/>
          <w:szCs w:val="28"/>
        </w:rPr>
      </w:pPr>
      <w:r>
        <w:rPr>
          <w:rFonts w:hint="default" w:hAnsi="宋体" w:cs="宋体"/>
          <w:sz w:val="28"/>
          <w:szCs w:val="28"/>
        </w:rPr>
        <w:t>附件二：用户需求书</w:t>
      </w:r>
    </w:p>
    <w:p w14:paraId="1D77D578">
      <w:pPr>
        <w:spacing w:beforeLines="0" w:afterLines="0" w:line="360" w:lineRule="auto"/>
        <w:ind w:firstLine="560" w:firstLineChars="200"/>
        <w:rPr>
          <w:rFonts w:hint="default" w:hAnsi="宋体" w:cs="宋体"/>
          <w:sz w:val="28"/>
          <w:szCs w:val="28"/>
        </w:rPr>
      </w:pPr>
      <w:r>
        <w:rPr>
          <w:rFonts w:hint="default" w:hAnsi="宋体" w:cs="宋体"/>
          <w:sz w:val="28"/>
          <w:szCs w:val="28"/>
        </w:rPr>
        <w:t>附件三：承诺书</w:t>
      </w:r>
    </w:p>
    <w:p w14:paraId="15340CF1">
      <w:pPr>
        <w:spacing w:beforeLines="0" w:afterLines="0" w:line="360" w:lineRule="auto"/>
        <w:ind w:firstLine="560" w:firstLineChars="200"/>
        <w:rPr>
          <w:rFonts w:hint="default" w:hAnsi="宋体" w:cs="宋体"/>
          <w:sz w:val="28"/>
          <w:szCs w:val="28"/>
        </w:rPr>
      </w:pPr>
      <w:r>
        <w:rPr>
          <w:rFonts w:hint="default" w:hAnsi="宋体" w:cs="宋体"/>
          <w:sz w:val="28"/>
          <w:szCs w:val="28"/>
        </w:rPr>
        <w:t>附件四：廉洁协议书</w:t>
      </w:r>
    </w:p>
    <w:p w14:paraId="171482D9">
      <w:pPr>
        <w:spacing w:beforeLines="0" w:afterLines="0" w:line="360" w:lineRule="auto"/>
        <w:ind w:firstLine="560" w:firstLineChars="200"/>
        <w:rPr>
          <w:rFonts w:hint="default" w:hAnsi="宋体" w:cs="宋体"/>
          <w:sz w:val="28"/>
          <w:szCs w:val="28"/>
        </w:rPr>
      </w:pPr>
      <w:r>
        <w:rPr>
          <w:rFonts w:hint="default" w:hAnsi="宋体" w:cs="宋体"/>
          <w:sz w:val="28"/>
          <w:szCs w:val="28"/>
        </w:rPr>
        <w:t>附件五、服务验收单</w:t>
      </w:r>
    </w:p>
    <w:p w14:paraId="429F9AA9">
      <w:pPr>
        <w:spacing w:beforeLines="0" w:afterLines="0" w:line="360" w:lineRule="auto"/>
        <w:ind w:firstLine="562" w:firstLineChars="200"/>
        <w:rPr>
          <w:rFonts w:hint="default" w:hAnsi="宋体" w:cs="宋体"/>
          <w:b/>
          <w:sz w:val="28"/>
          <w:szCs w:val="28"/>
        </w:rPr>
      </w:pPr>
      <w:r>
        <w:rPr>
          <w:rFonts w:hint="default" w:hAnsi="宋体" w:cs="宋体"/>
          <w:b/>
          <w:sz w:val="28"/>
          <w:szCs w:val="28"/>
        </w:rPr>
        <w:t>（以下无正文，为签署页）</w:t>
      </w:r>
    </w:p>
    <w:p w14:paraId="71E113E2">
      <w:pPr>
        <w:spacing w:beforeLines="0" w:afterLines="0" w:line="360" w:lineRule="auto"/>
        <w:ind w:firstLine="560" w:firstLineChars="200"/>
        <w:rPr>
          <w:rFonts w:hint="default" w:hAnsi="宋体" w:cs="宋体"/>
          <w:sz w:val="28"/>
          <w:szCs w:val="28"/>
        </w:rPr>
      </w:pPr>
    </w:p>
    <w:p w14:paraId="24CB665C">
      <w:pPr>
        <w:spacing w:beforeLines="0" w:afterLines="0" w:line="360" w:lineRule="auto"/>
        <w:ind w:firstLine="560" w:firstLineChars="200"/>
        <w:rPr>
          <w:rFonts w:hint="default" w:hAnsi="宋体" w:cs="宋体"/>
          <w:sz w:val="28"/>
          <w:szCs w:val="28"/>
        </w:rPr>
      </w:pPr>
    </w:p>
    <w:p w14:paraId="269F829A">
      <w:pPr>
        <w:spacing w:line="360" w:lineRule="auto"/>
        <w:rPr>
          <w:rFonts w:hint="default" w:hAnsi="宋体" w:cs="宋体"/>
          <w:sz w:val="28"/>
          <w:szCs w:val="28"/>
        </w:rPr>
      </w:pPr>
      <w:r>
        <w:rPr>
          <w:rFonts w:hint="default" w:hAnsi="宋体" w:cs="宋体"/>
          <w:sz w:val="28"/>
          <w:szCs w:val="28"/>
        </w:rPr>
        <w:t xml:space="preserve">甲方（签章）：                   乙方（签章）： </w:t>
      </w:r>
    </w:p>
    <w:p w14:paraId="568E0C6E">
      <w:pPr>
        <w:spacing w:line="360" w:lineRule="auto"/>
        <w:ind w:firstLine="560" w:firstLineChars="200"/>
        <w:rPr>
          <w:rFonts w:hint="default" w:hAnsi="宋体" w:cs="宋体"/>
          <w:sz w:val="28"/>
          <w:szCs w:val="28"/>
        </w:rPr>
      </w:pPr>
      <w:r>
        <w:rPr>
          <w:rFonts w:hint="default" w:hAnsi="宋体" w:cs="宋体"/>
          <w:sz w:val="28"/>
          <w:szCs w:val="28"/>
        </w:rPr>
        <w:t xml:space="preserve">  </w:t>
      </w:r>
    </w:p>
    <w:p w14:paraId="089FA08D">
      <w:pPr>
        <w:spacing w:line="360" w:lineRule="auto"/>
        <w:rPr>
          <w:rFonts w:hint="default" w:hAnsi="宋体" w:cs="宋体"/>
          <w:sz w:val="28"/>
          <w:szCs w:val="28"/>
        </w:rPr>
      </w:pPr>
      <w:r>
        <w:rPr>
          <w:rFonts w:hint="default" w:hAnsi="宋体" w:cs="宋体"/>
          <w:sz w:val="28"/>
          <w:szCs w:val="28"/>
        </w:rPr>
        <w:t>法定代表人/授权代表（签名）：      法定代表人/授权代表（签名）：</w:t>
      </w:r>
    </w:p>
    <w:p w14:paraId="1BB15FC9">
      <w:pPr>
        <w:spacing w:line="360" w:lineRule="auto"/>
        <w:ind w:firstLine="560" w:firstLineChars="200"/>
        <w:rPr>
          <w:rFonts w:hint="default" w:hAnsi="宋体" w:cs="宋体"/>
          <w:sz w:val="28"/>
          <w:szCs w:val="28"/>
        </w:rPr>
      </w:pPr>
      <w:r>
        <w:rPr>
          <w:rFonts w:hint="default" w:hAnsi="宋体" w:cs="宋体"/>
          <w:sz w:val="28"/>
          <w:szCs w:val="28"/>
        </w:rPr>
        <w:t xml:space="preserve"> </w:t>
      </w:r>
    </w:p>
    <w:p w14:paraId="1B0E5A3D">
      <w:pPr>
        <w:spacing w:line="360" w:lineRule="auto"/>
        <w:rPr>
          <w:rFonts w:hint="default" w:hAnsi="宋体" w:cs="宋体"/>
          <w:sz w:val="28"/>
          <w:szCs w:val="28"/>
        </w:rPr>
      </w:pPr>
      <w:r>
        <w:rPr>
          <w:rFonts w:hint="default" w:hAnsi="宋体" w:cs="宋体"/>
          <w:sz w:val="28"/>
          <w:szCs w:val="28"/>
        </w:rPr>
        <w:t xml:space="preserve">地址：                           地址：                         </w:t>
      </w:r>
    </w:p>
    <w:p w14:paraId="05C9797F">
      <w:pPr>
        <w:spacing w:beforeLines="0" w:afterLines="0" w:line="360" w:lineRule="auto"/>
        <w:ind w:firstLine="560" w:firstLineChars="200"/>
        <w:rPr>
          <w:rFonts w:hint="default" w:hAnsi="宋体" w:cs="宋体"/>
          <w:sz w:val="28"/>
          <w:szCs w:val="28"/>
        </w:rPr>
      </w:pPr>
    </w:p>
    <w:p w14:paraId="51D65DF0">
      <w:pPr>
        <w:spacing w:beforeLines="0" w:afterLines="0" w:line="360" w:lineRule="auto"/>
        <w:rPr>
          <w:rFonts w:hint="default" w:hAnsi="宋体" w:cs="宋体"/>
          <w:sz w:val="28"/>
          <w:szCs w:val="28"/>
        </w:rPr>
      </w:pPr>
      <w:r>
        <w:rPr>
          <w:rFonts w:hint="default" w:hAnsi="宋体" w:cs="宋体"/>
          <w:sz w:val="28"/>
          <w:szCs w:val="28"/>
        </w:rPr>
        <w:t>签订地址：东莞市</w:t>
      </w:r>
    </w:p>
    <w:p w14:paraId="45CB381C">
      <w:pPr>
        <w:spacing w:beforeLines="0" w:afterLines="0" w:line="360" w:lineRule="auto"/>
        <w:rPr>
          <w:rFonts w:hint="default" w:hAnsi="宋体" w:cs="宋体"/>
          <w:sz w:val="28"/>
          <w:szCs w:val="28"/>
        </w:rPr>
      </w:pPr>
      <w:r>
        <w:rPr>
          <w:rFonts w:hint="default" w:hAnsi="宋体" w:cs="宋体"/>
          <w:sz w:val="28"/>
          <w:szCs w:val="28"/>
        </w:rPr>
        <w:t xml:space="preserve">日期：     年    月    日                 </w:t>
      </w:r>
    </w:p>
    <w:p w14:paraId="61A5B623">
      <w:pPr>
        <w:spacing w:beforeLines="0" w:afterLines="0"/>
        <w:rPr>
          <w:rFonts w:hint="default" w:hAnsi="宋体" w:cs="宋体"/>
          <w:sz w:val="28"/>
          <w:szCs w:val="28"/>
        </w:rPr>
      </w:pPr>
      <w:r>
        <w:rPr>
          <w:rFonts w:hint="default" w:hAnsi="宋体" w:cs="宋体"/>
          <w:sz w:val="28"/>
          <w:szCs w:val="28"/>
        </w:rPr>
        <w:br w:type="page"/>
      </w:r>
    </w:p>
    <w:p w14:paraId="54530FE2">
      <w:pPr>
        <w:widowControl/>
        <w:spacing w:beforeLines="0" w:afterLines="0"/>
        <w:rPr>
          <w:rFonts w:hint="default" w:hAnsi="宋体" w:cs="宋体"/>
          <w:sz w:val="28"/>
          <w:szCs w:val="28"/>
        </w:rPr>
      </w:pPr>
      <w:r>
        <w:rPr>
          <w:rFonts w:hint="default" w:hAnsi="宋体" w:cs="宋体"/>
          <w:sz w:val="28"/>
          <w:szCs w:val="28"/>
        </w:rPr>
        <w:t>附件一：报价文件</w:t>
      </w:r>
    </w:p>
    <w:p w14:paraId="32AF9538">
      <w:pPr>
        <w:spacing w:beforeLines="0" w:afterLines="0"/>
        <w:rPr>
          <w:rFonts w:hint="default" w:hAnsi="宋体" w:cs="宋体"/>
          <w:sz w:val="28"/>
          <w:szCs w:val="28"/>
        </w:rPr>
      </w:pPr>
    </w:p>
    <w:p w14:paraId="5223C169">
      <w:pPr>
        <w:widowControl/>
        <w:spacing w:beforeLines="0" w:afterLines="0"/>
        <w:rPr>
          <w:rFonts w:hint="default" w:hAnsi="宋体" w:cs="宋体"/>
          <w:sz w:val="28"/>
          <w:szCs w:val="28"/>
        </w:rPr>
      </w:pPr>
      <w:r>
        <w:rPr>
          <w:rFonts w:hint="default" w:hAnsi="宋体" w:cs="宋体"/>
          <w:sz w:val="28"/>
          <w:szCs w:val="28"/>
        </w:rPr>
        <w:br w:type="page"/>
      </w:r>
    </w:p>
    <w:p w14:paraId="3DDFFE16">
      <w:pPr>
        <w:spacing w:beforeLines="0" w:afterLines="0"/>
        <w:rPr>
          <w:rFonts w:hint="default" w:hAnsi="宋体" w:cs="宋体"/>
          <w:sz w:val="28"/>
          <w:szCs w:val="28"/>
        </w:rPr>
      </w:pPr>
      <w:r>
        <w:rPr>
          <w:rFonts w:hint="default" w:hAnsi="宋体" w:cs="宋体"/>
          <w:sz w:val="28"/>
          <w:szCs w:val="28"/>
        </w:rPr>
        <w:t>附件二：用户需求书</w:t>
      </w:r>
    </w:p>
    <w:p w14:paraId="586A68D3">
      <w:pPr>
        <w:spacing w:beforeLines="0" w:afterLines="0"/>
        <w:rPr>
          <w:rFonts w:hint="default" w:hAnsi="宋体" w:cs="宋体"/>
          <w:sz w:val="28"/>
          <w:szCs w:val="28"/>
        </w:rPr>
      </w:pPr>
    </w:p>
    <w:p w14:paraId="58A36D62">
      <w:pPr>
        <w:widowControl/>
        <w:spacing w:beforeLines="0" w:afterLines="0"/>
        <w:rPr>
          <w:rFonts w:hint="default" w:hAnsi="宋体" w:cs="宋体"/>
          <w:sz w:val="28"/>
          <w:szCs w:val="28"/>
        </w:rPr>
      </w:pPr>
      <w:r>
        <w:rPr>
          <w:rFonts w:hint="default" w:hAnsi="宋体" w:cs="宋体"/>
          <w:sz w:val="28"/>
          <w:szCs w:val="28"/>
        </w:rPr>
        <w:br w:type="page"/>
      </w:r>
    </w:p>
    <w:p w14:paraId="1211C3AF">
      <w:pPr>
        <w:spacing w:beforeLines="0" w:afterLines="0"/>
        <w:rPr>
          <w:rFonts w:hint="default" w:hAnsi="宋体" w:cs="宋体"/>
          <w:sz w:val="28"/>
          <w:szCs w:val="28"/>
        </w:rPr>
      </w:pPr>
      <w:r>
        <w:rPr>
          <w:rFonts w:hint="default" w:hAnsi="宋体" w:cs="宋体"/>
          <w:sz w:val="28"/>
          <w:szCs w:val="28"/>
        </w:rPr>
        <w:t>附件三：承诺书</w:t>
      </w:r>
    </w:p>
    <w:p w14:paraId="4A5438AC">
      <w:pPr>
        <w:spacing w:beforeLines="0" w:afterLines="0" w:line="360" w:lineRule="auto"/>
        <w:jc w:val="center"/>
        <w:rPr>
          <w:rFonts w:hint="default" w:hAnsi="宋体" w:cs="宋体"/>
          <w:sz w:val="28"/>
          <w:szCs w:val="28"/>
        </w:rPr>
      </w:pPr>
      <w:r>
        <w:rPr>
          <w:rFonts w:hint="default" w:hAnsi="宋体" w:cs="宋体"/>
          <w:sz w:val="28"/>
          <w:szCs w:val="28"/>
        </w:rPr>
        <w:t>承诺书</w:t>
      </w:r>
    </w:p>
    <w:p w14:paraId="74257E34">
      <w:pPr>
        <w:spacing w:beforeLines="0" w:afterLines="0" w:line="360" w:lineRule="auto"/>
        <w:rPr>
          <w:rFonts w:hint="default" w:hAnsi="宋体" w:cs="宋体"/>
          <w:sz w:val="28"/>
          <w:szCs w:val="28"/>
          <w:u w:val="single"/>
        </w:rPr>
      </w:pPr>
    </w:p>
    <w:p w14:paraId="7271E1E2">
      <w:pPr>
        <w:spacing w:beforeLines="0" w:afterLines="0" w:line="360" w:lineRule="auto"/>
        <w:rPr>
          <w:rFonts w:hint="default" w:hAnsi="宋体" w:cs="宋体"/>
          <w:sz w:val="28"/>
          <w:szCs w:val="28"/>
          <w:u w:val="single"/>
        </w:rPr>
      </w:pPr>
      <w:r>
        <w:rPr>
          <w:rFonts w:hint="default" w:hAnsi="宋体" w:cs="宋体"/>
          <w:sz w:val="28"/>
          <w:szCs w:val="28"/>
          <w:u w:val="single"/>
        </w:rPr>
        <w:t xml:space="preserve">               （甲方主体）： </w:t>
      </w:r>
    </w:p>
    <w:p w14:paraId="374DF71E">
      <w:pPr>
        <w:spacing w:beforeLines="0" w:afterLines="0" w:line="360" w:lineRule="auto"/>
        <w:ind w:firstLine="560" w:firstLineChars="200"/>
        <w:rPr>
          <w:rFonts w:hint="default" w:hAnsi="宋体" w:cs="宋体"/>
          <w:sz w:val="28"/>
          <w:szCs w:val="28"/>
        </w:rPr>
      </w:pPr>
      <w:r>
        <w:rPr>
          <w:rFonts w:hint="default" w:hAnsi="宋体" w:cs="宋体"/>
          <w:sz w:val="28"/>
          <w:szCs w:val="28"/>
        </w:rPr>
        <w:t>我司根据《</w:t>
      </w:r>
      <w:r>
        <w:rPr>
          <w:rFonts w:hint="default" w:hAnsi="宋体" w:cs="宋体"/>
          <w:sz w:val="28"/>
          <w:szCs w:val="28"/>
          <w:u w:val="single"/>
        </w:rPr>
        <w:t xml:space="preserve">              </w:t>
      </w:r>
      <w:r>
        <w:rPr>
          <w:rFonts w:hint="default" w:hAnsi="宋体" w:cs="宋体"/>
          <w:sz w:val="28"/>
          <w:szCs w:val="28"/>
        </w:rPr>
        <w:t>项目合同》相关条款全力配合贵公司工作，并自愿做出如下承诺：</w:t>
      </w:r>
    </w:p>
    <w:p w14:paraId="201CE58A">
      <w:pPr>
        <w:spacing w:beforeLines="0" w:afterLines="0" w:line="360" w:lineRule="auto"/>
        <w:ind w:firstLine="560" w:firstLineChars="200"/>
        <w:rPr>
          <w:rFonts w:hint="default" w:hAnsi="宋体" w:cs="宋体"/>
          <w:sz w:val="28"/>
          <w:szCs w:val="28"/>
        </w:rPr>
      </w:pPr>
      <w:r>
        <w:rPr>
          <w:rFonts w:hint="default" w:hAnsi="宋体" w:cs="宋体"/>
          <w:sz w:val="28"/>
          <w:szCs w:val="28"/>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2B313CF2">
      <w:pPr>
        <w:spacing w:beforeLines="0" w:afterLines="0" w:line="360" w:lineRule="auto"/>
        <w:ind w:firstLine="560" w:firstLineChars="200"/>
        <w:rPr>
          <w:rFonts w:hint="default" w:hAnsi="宋体" w:cs="宋体"/>
          <w:sz w:val="28"/>
          <w:szCs w:val="28"/>
        </w:rPr>
      </w:pPr>
      <w:r>
        <w:rPr>
          <w:rFonts w:hint="default" w:hAnsi="宋体" w:cs="宋体"/>
          <w:sz w:val="28"/>
          <w:szCs w:val="28"/>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74161640">
      <w:pPr>
        <w:spacing w:beforeLines="0" w:afterLines="0" w:line="360" w:lineRule="auto"/>
        <w:ind w:firstLine="560" w:firstLineChars="200"/>
        <w:rPr>
          <w:rFonts w:hint="default" w:hAnsi="宋体" w:cs="宋体"/>
          <w:sz w:val="28"/>
          <w:szCs w:val="28"/>
        </w:rPr>
      </w:pPr>
      <w:r>
        <w:rPr>
          <w:rFonts w:hint="default" w:hAnsi="宋体" w:cs="宋体"/>
          <w:sz w:val="28"/>
          <w:szCs w:val="28"/>
        </w:rPr>
        <w:t>（三）如我司有违反本项目管理及合同约定等行为，我司将同意并接受贵公司根据相关约定对我司进行处罚；</w:t>
      </w:r>
    </w:p>
    <w:p w14:paraId="2E4E5268">
      <w:pPr>
        <w:spacing w:beforeLines="0" w:afterLines="0" w:line="360" w:lineRule="auto"/>
        <w:ind w:firstLine="560" w:firstLineChars="200"/>
        <w:rPr>
          <w:rFonts w:hint="default" w:hAnsi="宋体" w:cs="宋体"/>
          <w:sz w:val="28"/>
          <w:szCs w:val="28"/>
        </w:rPr>
      </w:pPr>
      <w:r>
        <w:rPr>
          <w:rFonts w:hint="default" w:hAnsi="宋体" w:cs="宋体"/>
          <w:sz w:val="28"/>
          <w:szCs w:val="28"/>
        </w:rPr>
        <w:t>（四）如我司有违反本项目管理及合同约定等行为，贵公司有权将我司列入贵公司母公司东莞市水务集团有限公司“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5FA59905">
      <w:pPr>
        <w:spacing w:beforeLines="0" w:afterLines="0" w:line="360" w:lineRule="auto"/>
        <w:ind w:firstLine="560" w:firstLineChars="200"/>
        <w:rPr>
          <w:rFonts w:hint="default" w:hAnsi="宋体" w:cs="宋体"/>
          <w:sz w:val="28"/>
          <w:szCs w:val="28"/>
        </w:rPr>
      </w:pPr>
    </w:p>
    <w:p w14:paraId="19B45D19">
      <w:pPr>
        <w:spacing w:beforeLines="0" w:afterLines="0" w:line="360" w:lineRule="auto"/>
        <w:ind w:right="1004" w:firstLine="3528" w:firstLineChars="1200"/>
        <w:rPr>
          <w:rFonts w:hint="default" w:hAnsi="宋体" w:cs="宋体"/>
          <w:w w:val="105"/>
          <w:sz w:val="28"/>
          <w:szCs w:val="28"/>
        </w:rPr>
      </w:pPr>
      <w:r>
        <w:rPr>
          <w:rFonts w:hint="default" w:hAnsi="宋体" w:cs="宋体"/>
          <w:w w:val="105"/>
          <w:sz w:val="28"/>
          <w:szCs w:val="28"/>
        </w:rPr>
        <w:t xml:space="preserve"> 承诺单位（盖章）：</w:t>
      </w:r>
    </w:p>
    <w:p w14:paraId="5A647AFC">
      <w:pPr>
        <w:spacing w:beforeLines="0" w:afterLines="0" w:line="360" w:lineRule="auto"/>
        <w:ind w:right="960"/>
        <w:rPr>
          <w:rFonts w:hint="default" w:hAnsi="宋体" w:cs="宋体"/>
          <w:sz w:val="28"/>
          <w:szCs w:val="28"/>
        </w:rPr>
      </w:pPr>
      <w:r>
        <w:rPr>
          <w:rFonts w:hint="default" w:hAnsi="宋体" w:cs="宋体"/>
          <w:sz w:val="28"/>
          <w:szCs w:val="28"/>
        </w:rPr>
        <w:t xml:space="preserve">               法人代表人（授权代理人）签名（或盖私章）：</w:t>
      </w:r>
    </w:p>
    <w:p w14:paraId="54600C91">
      <w:pPr>
        <w:spacing w:beforeLines="0" w:afterLines="0" w:line="360" w:lineRule="auto"/>
        <w:ind w:left="4480" w:right="960" w:hanging="4480" w:hangingChars="1600"/>
        <w:rPr>
          <w:rFonts w:hint="default" w:hAnsi="宋体" w:cs="宋体"/>
          <w:sz w:val="28"/>
          <w:szCs w:val="28"/>
        </w:rPr>
      </w:pPr>
      <w:r>
        <w:rPr>
          <w:rFonts w:hint="default" w:hAnsi="宋体" w:cs="宋体"/>
          <w:sz w:val="28"/>
          <w:szCs w:val="28"/>
        </w:rPr>
        <w:t xml:space="preserve">                                                   年    月    日</w:t>
      </w:r>
    </w:p>
    <w:p w14:paraId="0D2AB3FB">
      <w:pPr>
        <w:pStyle w:val="6"/>
        <w:spacing w:beforeLines="0" w:afterLines="0" w:line="480" w:lineRule="auto"/>
        <w:ind w:firstLine="0" w:firstLineChars="0"/>
        <w:rPr>
          <w:rFonts w:hint="default" w:cs="宋体"/>
          <w:sz w:val="28"/>
          <w:szCs w:val="28"/>
        </w:rPr>
      </w:pPr>
    </w:p>
    <w:p w14:paraId="138D7783">
      <w:pPr>
        <w:pStyle w:val="6"/>
        <w:spacing w:beforeLines="0" w:afterLines="0" w:line="480" w:lineRule="auto"/>
        <w:ind w:firstLine="0" w:firstLineChars="0"/>
        <w:rPr>
          <w:rFonts w:hint="default" w:cs="宋体"/>
          <w:sz w:val="28"/>
          <w:szCs w:val="28"/>
        </w:rPr>
      </w:pPr>
    </w:p>
    <w:p w14:paraId="6C33D527">
      <w:pPr>
        <w:pStyle w:val="6"/>
        <w:spacing w:beforeLines="0" w:afterLines="0" w:line="480" w:lineRule="auto"/>
        <w:ind w:firstLine="0" w:firstLineChars="0"/>
        <w:rPr>
          <w:rFonts w:hint="default" w:cs="宋体"/>
          <w:sz w:val="28"/>
          <w:szCs w:val="28"/>
        </w:rPr>
      </w:pPr>
    </w:p>
    <w:p w14:paraId="13222E13">
      <w:pPr>
        <w:pStyle w:val="6"/>
        <w:spacing w:beforeLines="0" w:afterLines="0" w:line="480" w:lineRule="auto"/>
        <w:ind w:firstLine="0" w:firstLineChars="0"/>
        <w:rPr>
          <w:rFonts w:hint="default" w:cs="宋体"/>
          <w:sz w:val="28"/>
          <w:szCs w:val="28"/>
        </w:rPr>
      </w:pPr>
    </w:p>
    <w:p w14:paraId="0E6E0794">
      <w:pPr>
        <w:pStyle w:val="6"/>
        <w:spacing w:beforeLines="0" w:afterLines="0" w:line="480" w:lineRule="auto"/>
        <w:ind w:firstLine="0" w:firstLineChars="0"/>
        <w:rPr>
          <w:rFonts w:hint="default" w:cs="宋体"/>
          <w:sz w:val="28"/>
          <w:szCs w:val="28"/>
        </w:rPr>
      </w:pPr>
    </w:p>
    <w:p w14:paraId="1CA26889">
      <w:pPr>
        <w:pStyle w:val="6"/>
        <w:spacing w:beforeLines="0" w:afterLines="0" w:line="480" w:lineRule="auto"/>
        <w:ind w:firstLine="0" w:firstLineChars="0"/>
        <w:rPr>
          <w:rFonts w:hint="default" w:cs="宋体"/>
          <w:sz w:val="28"/>
          <w:szCs w:val="28"/>
        </w:rPr>
      </w:pPr>
    </w:p>
    <w:p w14:paraId="4B0843D4">
      <w:pPr>
        <w:spacing w:beforeLines="0" w:afterLines="0"/>
        <w:rPr>
          <w:rFonts w:hint="default" w:hAnsi="宋体" w:cs="宋体"/>
          <w:sz w:val="28"/>
          <w:szCs w:val="28"/>
        </w:rPr>
      </w:pPr>
      <w:r>
        <w:rPr>
          <w:rFonts w:hint="default" w:hAnsi="宋体" w:cs="宋体"/>
          <w:sz w:val="28"/>
          <w:szCs w:val="28"/>
        </w:rPr>
        <w:br w:type="page"/>
      </w:r>
    </w:p>
    <w:p w14:paraId="767114A0">
      <w:pPr>
        <w:spacing w:beforeLines="0" w:afterLines="0"/>
        <w:rPr>
          <w:rFonts w:hint="default" w:hAnsi="宋体" w:cs="宋体"/>
          <w:sz w:val="28"/>
          <w:szCs w:val="28"/>
        </w:rPr>
      </w:pPr>
      <w:r>
        <w:rPr>
          <w:rFonts w:hint="default" w:hAnsi="宋体" w:cs="宋体"/>
          <w:sz w:val="28"/>
          <w:szCs w:val="28"/>
        </w:rPr>
        <w:t>附件四：廉洁协议书</w:t>
      </w:r>
    </w:p>
    <w:p w14:paraId="4AB42909">
      <w:pPr>
        <w:spacing w:beforeLines="0" w:afterLines="0" w:line="600" w:lineRule="exact"/>
        <w:ind w:right="36" w:rightChars="1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廉洁协议书</w:t>
      </w:r>
    </w:p>
    <w:p w14:paraId="4D72FDA2">
      <w:pPr>
        <w:spacing w:beforeLines="0" w:afterLines="0" w:line="600" w:lineRule="exact"/>
        <w:ind w:right="36" w:rightChars="15"/>
        <w:jc w:val="center"/>
        <w:rPr>
          <w:rFonts w:hint="default" w:hAnsi="宋体"/>
          <w:b/>
          <w:sz w:val="44"/>
          <w:szCs w:val="44"/>
        </w:rPr>
      </w:pPr>
    </w:p>
    <w:p w14:paraId="526AE8C9">
      <w:pPr>
        <w:spacing w:beforeLines="0" w:afterLines="0" w:line="560" w:lineRule="exact"/>
        <w:rPr>
          <w:rFonts w:hint="default" w:ascii="Times New Roman" w:eastAsia="仿宋_GB2312"/>
          <w:sz w:val="32"/>
          <w:szCs w:val="32"/>
        </w:rPr>
      </w:pPr>
      <w:r>
        <w:rPr>
          <w:rFonts w:hint="eastAsia" w:ascii="Times New Roman" w:eastAsia="仿宋_GB2312"/>
          <w:b/>
          <w:sz w:val="32"/>
          <w:szCs w:val="32"/>
        </w:rPr>
        <w:t>项目名称：</w:t>
      </w:r>
      <w:r>
        <w:rPr>
          <w:rFonts w:hint="eastAsia" w:ascii="Times New Roman" w:eastAsia="仿宋_GB2312"/>
          <w:sz w:val="32"/>
          <w:szCs w:val="32"/>
        </w:rPr>
        <w:t xml:space="preserve">                 （采购编号：</w:t>
      </w:r>
      <w:r>
        <w:rPr>
          <w:rFonts w:hint="eastAsia" w:ascii="Times New Roman" w:eastAsia="仿宋_GB2312"/>
          <w:sz w:val="32"/>
          <w:szCs w:val="32"/>
          <w:u w:val="single"/>
        </w:rPr>
        <w:t xml:space="preserve">            </w:t>
      </w:r>
      <w:r>
        <w:rPr>
          <w:rFonts w:hint="eastAsia" w:ascii="Times New Roman" w:eastAsia="仿宋_GB2312"/>
          <w:sz w:val="32"/>
          <w:szCs w:val="32"/>
        </w:rPr>
        <w:t>）</w:t>
      </w:r>
    </w:p>
    <w:p w14:paraId="594107BE">
      <w:pPr>
        <w:spacing w:beforeLines="0" w:afterLines="0" w:line="560" w:lineRule="exact"/>
        <w:rPr>
          <w:rFonts w:hint="default" w:ascii="Times New Roman" w:eastAsia="仿宋_GB2312"/>
          <w:b/>
          <w:sz w:val="32"/>
          <w:szCs w:val="32"/>
        </w:rPr>
      </w:pPr>
      <w:r>
        <w:rPr>
          <w:rFonts w:hint="eastAsia" w:ascii="Times New Roman" w:eastAsia="仿宋_GB2312"/>
          <w:b/>
          <w:sz w:val="32"/>
          <w:szCs w:val="32"/>
        </w:rPr>
        <w:t>甲方（业主单位）：</w:t>
      </w:r>
    </w:p>
    <w:p w14:paraId="12783102">
      <w:pPr>
        <w:spacing w:beforeLines="0" w:afterLines="0" w:line="560" w:lineRule="exact"/>
        <w:rPr>
          <w:rFonts w:hint="default" w:ascii="Times New Roman" w:eastAsia="仿宋_GB2312"/>
          <w:b/>
          <w:sz w:val="32"/>
          <w:szCs w:val="32"/>
        </w:rPr>
      </w:pPr>
      <w:r>
        <w:rPr>
          <w:rFonts w:hint="eastAsia" w:ascii="Times New Roman" w:eastAsia="仿宋_GB2312"/>
          <w:b/>
          <w:sz w:val="32"/>
          <w:szCs w:val="32"/>
        </w:rPr>
        <w:t>乙方：</w:t>
      </w:r>
    </w:p>
    <w:p w14:paraId="5BE0D4B2">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7564C7FC">
      <w:pPr>
        <w:spacing w:line="560" w:lineRule="exact"/>
        <w:ind w:firstLine="643" w:firstLineChars="200"/>
        <w:rPr>
          <w:rFonts w:hint="default" w:ascii="Times New Roman" w:eastAsia="仿宋_GB2312"/>
          <w:b/>
          <w:sz w:val="32"/>
          <w:szCs w:val="32"/>
        </w:rPr>
      </w:pPr>
      <w:r>
        <w:rPr>
          <w:rFonts w:hint="eastAsia" w:ascii="Times New Roman" w:eastAsia="仿宋_GB2312"/>
          <w:b/>
          <w:sz w:val="32"/>
          <w:szCs w:val="32"/>
        </w:rPr>
        <w:t>第一条  甲乙双方的权利和义务</w:t>
      </w:r>
    </w:p>
    <w:p w14:paraId="56CB678C">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（一）严格遵守党和国家有关法律法规等有关廉洁从业规定。</w:t>
      </w:r>
    </w:p>
    <w:p w14:paraId="1867D896">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（二）严格执行本项目的合同文件，自觉按合同办事。</w:t>
      </w:r>
    </w:p>
    <w:p w14:paraId="3ABEDDA4">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（三）双方的业务活动坚持公开、公正、诚信、透明的原则（除法律认定的商业秘密和合同文件另有规定之外）不得损害国家和集体利益，违反工程建设管理及其他法律法规规章制度。</w:t>
      </w:r>
    </w:p>
    <w:p w14:paraId="41108327">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（四）建立健全廉洁制度，开展廉洁教育，设立廉洁监督公示牌，公布举报电话，监督并认真查处违法违纪行为。</w:t>
      </w:r>
    </w:p>
    <w:p w14:paraId="42625AA8">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（五）发现对方在业务活动中有违反廉洁规定的行为，有及时提醒对方纠正的权利和义务。</w:t>
      </w:r>
    </w:p>
    <w:p w14:paraId="202706B1">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（六）发现对方严重违反本协议义务条款的行为，有向其上级有关部门举报、建议给予处理并要求告知处理结果的权利。</w:t>
      </w:r>
    </w:p>
    <w:p w14:paraId="3DC71077">
      <w:pPr>
        <w:spacing w:line="560" w:lineRule="exact"/>
        <w:ind w:firstLine="643" w:firstLineChars="200"/>
        <w:rPr>
          <w:rFonts w:hint="default" w:ascii="Times New Roman" w:eastAsia="仿宋_GB2312"/>
          <w:b/>
          <w:sz w:val="32"/>
          <w:szCs w:val="32"/>
        </w:rPr>
      </w:pPr>
      <w:r>
        <w:rPr>
          <w:rFonts w:hint="eastAsia" w:ascii="Times New Roman" w:eastAsia="仿宋_GB2312"/>
          <w:b/>
          <w:sz w:val="32"/>
          <w:szCs w:val="32"/>
        </w:rPr>
        <w:t>第二条  甲方的义务</w:t>
      </w:r>
    </w:p>
    <w:p w14:paraId="63991023">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（一）甲方及其工作人员不得索要或接受乙方的礼金、有价证券和贵重物品，不得在乙方报销任何应由甲方或个人支付的费用。</w:t>
      </w:r>
    </w:p>
    <w:p w14:paraId="49F54364">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（二）甲方工作人员不得参加乙方安排的高消费宴请和娱乐活动；不得接受乙方提供的通讯工具、交通工具和高档办公用品。</w:t>
      </w:r>
    </w:p>
    <w:p w14:paraId="0B8D3F6E">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（三）甲方及其工作人员不得要求或者接受乙方为其住房装修、婚丧嫁娶活动、家属或亲友的工作安排以及出国出境、旅游等提供方便。</w:t>
      </w:r>
    </w:p>
    <w:p w14:paraId="2E2BF580">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（四）甲方工作人员不得向乙方介绍其家属或者亲友（包括家属或亲友开办的公司企业）从事于本项目涉及的经济业务活动。</w:t>
      </w:r>
    </w:p>
    <w:p w14:paraId="0B0A7849">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（五）甲方及其工作人员不得以任何理由向乙方推荐分包单位，不得要求乙方购买合同规定外的材料和设备。</w:t>
      </w:r>
    </w:p>
    <w:p w14:paraId="5B1EA965">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（六）甲方及其工作人员不得进行违反廉洁规定的其他活动。</w:t>
      </w:r>
    </w:p>
    <w:p w14:paraId="23786A32">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（七）甲方应对甲方工作人员进行廉洁监督管理，如甲方工作人员违反本协议第一、第二条，甲方应依据有关法律法规、党纪规定对其进行处理；涉嫌犯罪的，甲方应将其移交司法机关追究刑事责任。</w:t>
      </w:r>
    </w:p>
    <w:p w14:paraId="32C6805D">
      <w:pPr>
        <w:spacing w:line="560" w:lineRule="exact"/>
        <w:ind w:firstLine="643" w:firstLineChars="200"/>
        <w:rPr>
          <w:rFonts w:hint="default" w:ascii="Times New Roman" w:eastAsia="仿宋_GB2312"/>
          <w:b/>
          <w:sz w:val="32"/>
          <w:szCs w:val="32"/>
        </w:rPr>
      </w:pPr>
      <w:r>
        <w:rPr>
          <w:rFonts w:hint="eastAsia" w:ascii="Times New Roman" w:eastAsia="仿宋_GB2312"/>
          <w:b/>
          <w:sz w:val="32"/>
          <w:szCs w:val="32"/>
        </w:rPr>
        <w:t>第三条  乙方义务</w:t>
      </w:r>
    </w:p>
    <w:p w14:paraId="7665E097">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（一）乙方不得以任何理由向甲方及其工作人员馈赠礼金、有价证券、贵重礼品，或报销应由甲方单位或个人支付的任何费用。</w:t>
      </w:r>
    </w:p>
    <w:p w14:paraId="544F5F17">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（二）乙方及其工作人员不得以考察、参观、洽谈业务、签订合同等的借口邀请甲方及其工作人员参加高消费的宴请、娱乐和健身等活动。</w:t>
      </w:r>
    </w:p>
    <w:p w14:paraId="368888EF">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（三）乙方不得为甲方单位和个人购置或提供通讯工具、交通工具和高档办公用品等。</w:t>
      </w:r>
    </w:p>
    <w:p w14:paraId="772C9695">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（四）乙方及其工作人员不得为甲方工作人员购买、装修、维修私人住房、汽车等。</w:t>
      </w:r>
    </w:p>
    <w:p w14:paraId="62C49EE9">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（五）乙方及其工作人员不得为甲方工作人员的婚丧嫁娶、家属或亲友的工作安排，及出国出境提供方便以及报销任何私人消费的费用。</w:t>
      </w:r>
    </w:p>
    <w:p w14:paraId="54853491">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（六）乙方及其工作人员不得进行影响甲方及其工作人员公正执行合同和履行职务的其他活动。</w:t>
      </w:r>
    </w:p>
    <w:p w14:paraId="24FEDA4B">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3DEA34E">
      <w:pPr>
        <w:spacing w:line="560" w:lineRule="exact"/>
        <w:ind w:firstLine="643" w:firstLineChars="200"/>
        <w:rPr>
          <w:rFonts w:hint="default" w:ascii="Times New Roman" w:eastAsia="仿宋_GB2312"/>
          <w:b/>
          <w:sz w:val="32"/>
          <w:szCs w:val="32"/>
        </w:rPr>
      </w:pPr>
      <w:r>
        <w:rPr>
          <w:rFonts w:hint="eastAsia" w:ascii="Times New Roman" w:eastAsia="仿宋_GB2312"/>
          <w:b/>
          <w:sz w:val="32"/>
          <w:szCs w:val="32"/>
        </w:rPr>
        <w:t>第四条  违约责任</w:t>
      </w:r>
    </w:p>
    <w:p w14:paraId="05D8D256">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（一）甲方违反本协议第一、第二条给乙方单位造成经济损失的，应予以赔偿。</w:t>
      </w:r>
    </w:p>
    <w:p w14:paraId="4B782E5D">
      <w:pPr>
        <w:spacing w:line="560" w:lineRule="exact"/>
        <w:ind w:firstLine="640" w:firstLineChars="200"/>
        <w:rPr>
          <w:rFonts w:hint="default" w:ascii="Times New Roman" w:eastAsia="仿宋_GB2312"/>
          <w:color w:val="FF0000"/>
          <w:sz w:val="32"/>
          <w:szCs w:val="32"/>
        </w:rPr>
      </w:pPr>
      <w:r>
        <w:rPr>
          <w:rFonts w:hint="eastAsia" w:ascii="Times New Roman" w:eastAsia="仿宋_GB2312"/>
          <w:sz w:val="32"/>
          <w:szCs w:val="32"/>
        </w:rPr>
        <w:t>（二）乙方违反本协议第一、第三条给甲方单位造成经济损失的，应予以赔偿。</w:t>
      </w:r>
    </w:p>
    <w:p w14:paraId="1EDB7F46">
      <w:pPr>
        <w:spacing w:line="560" w:lineRule="exact"/>
        <w:ind w:firstLine="643" w:firstLineChars="200"/>
        <w:rPr>
          <w:rFonts w:hint="default" w:ascii="Times New Roman" w:eastAsia="仿宋_GB2312"/>
          <w:b/>
          <w:sz w:val="32"/>
          <w:szCs w:val="32"/>
        </w:rPr>
      </w:pPr>
      <w:r>
        <w:rPr>
          <w:rFonts w:hint="eastAsia" w:ascii="Times New Roman" w:eastAsia="仿宋_GB2312"/>
          <w:b/>
          <w:sz w:val="32"/>
          <w:szCs w:val="32"/>
        </w:rPr>
        <w:t xml:space="preserve">第五条 </w:t>
      </w:r>
      <w:r>
        <w:rPr>
          <w:rFonts w:hint="default" w:ascii="Times New Roman" w:eastAsia="仿宋_GB2312"/>
          <w:b/>
          <w:sz w:val="32"/>
          <w:szCs w:val="32"/>
        </w:rPr>
        <w:t xml:space="preserve"> </w:t>
      </w:r>
      <w:r>
        <w:rPr>
          <w:rFonts w:hint="eastAsia" w:ascii="Times New Roman" w:eastAsia="仿宋_GB2312"/>
          <w:b/>
          <w:sz w:val="32"/>
          <w:szCs w:val="32"/>
        </w:rPr>
        <w:t>监督检查</w:t>
      </w:r>
    </w:p>
    <w:p w14:paraId="34B5930D">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甲乙双方的廉洁从业行为由双方或双方上级单位的纪检、监察部门负责监督，对本协议履行情况进行检查。</w:t>
      </w:r>
    </w:p>
    <w:p w14:paraId="0ACEF045">
      <w:pPr>
        <w:numPr>
          <w:ilvl w:val="0"/>
          <w:numId w:val="0"/>
        </w:numPr>
        <w:spacing w:line="560" w:lineRule="exact"/>
        <w:ind w:firstLine="643" w:firstLineChars="200"/>
        <w:rPr>
          <w:rFonts w:hint="default" w:ascii="Times New Roman" w:eastAsia="仿宋_GB2312"/>
          <w:b/>
          <w:sz w:val="32"/>
          <w:szCs w:val="32"/>
        </w:rPr>
      </w:pPr>
      <w:r>
        <w:rPr>
          <w:rFonts w:hint="eastAsia" w:ascii="Times New Roman" w:eastAsia="仿宋_GB2312"/>
          <w:b/>
          <w:sz w:val="32"/>
          <w:szCs w:val="32"/>
        </w:rPr>
        <w:t>第六条 举报信访受理</w:t>
      </w:r>
    </w:p>
    <w:p w14:paraId="634A7F9A">
      <w:pPr>
        <w:numPr>
          <w:ilvl w:val="0"/>
          <w:numId w:val="0"/>
        </w:numPr>
        <w:spacing w:line="560" w:lineRule="exact"/>
        <w:ind w:firstLine="560"/>
        <w:rPr>
          <w:rFonts w:hint="default" w:ascii="Times New Roman" w:eastAsia="仿宋_GB2312"/>
          <w:sz w:val="32"/>
          <w:szCs w:val="32"/>
        </w:rPr>
      </w:pPr>
      <w:r>
        <w:rPr>
          <w:rFonts w:hint="eastAsia" w:ascii="Times New Roman" w:eastAsia="仿宋_GB2312"/>
          <w:sz w:val="32"/>
          <w:szCs w:val="32"/>
        </w:rPr>
        <w:t>（一）举报受理部门：东莞市水务集团有限公司纪检监察部。</w:t>
      </w:r>
    </w:p>
    <w:p w14:paraId="4256F971">
      <w:pPr>
        <w:numPr>
          <w:ilvl w:val="0"/>
          <w:numId w:val="0"/>
        </w:numPr>
        <w:spacing w:line="560" w:lineRule="exact"/>
        <w:ind w:firstLine="560"/>
        <w:rPr>
          <w:rFonts w:hint="default" w:ascii="Times New Roman" w:eastAsia="仿宋_GB2312"/>
          <w:sz w:val="32"/>
          <w:szCs w:val="32"/>
        </w:rPr>
      </w:pPr>
      <w:r>
        <w:rPr>
          <w:rFonts w:hint="eastAsia" w:ascii="Times New Roman" w:eastAsia="仿宋_GB2312"/>
          <w:sz w:val="32"/>
          <w:szCs w:val="32"/>
        </w:rPr>
        <w:t>（二）举报电话：（0769）23076092。</w:t>
      </w:r>
    </w:p>
    <w:p w14:paraId="3F828B6A">
      <w:pPr>
        <w:numPr>
          <w:ilvl w:val="0"/>
          <w:numId w:val="0"/>
        </w:numPr>
        <w:spacing w:line="560" w:lineRule="exact"/>
        <w:ind w:firstLine="560"/>
        <w:rPr>
          <w:rFonts w:hint="default" w:ascii="Times New Roman" w:eastAsia="仿宋_GB2312"/>
          <w:sz w:val="32"/>
          <w:szCs w:val="32"/>
        </w:rPr>
      </w:pPr>
      <w:r>
        <w:rPr>
          <w:rFonts w:hint="eastAsia" w:ascii="Times New Roman" w:eastAsia="仿宋_GB2312"/>
          <w:sz w:val="32"/>
          <w:szCs w:val="32"/>
        </w:rPr>
        <w:t>（三）举报邮箱：</w:t>
      </w:r>
      <w:r>
        <w:rPr>
          <w:rFonts w:hint="default" w:ascii="Times New Roman" w:eastAsia="仿宋_GB2312"/>
          <w:sz w:val="32"/>
          <w:szCs w:val="32"/>
        </w:rPr>
        <w:fldChar w:fldCharType="begin"/>
      </w:r>
      <w:r>
        <w:rPr>
          <w:rFonts w:hint="default" w:ascii="Times New Roman" w:eastAsia="仿宋_GB2312"/>
          <w:sz w:val="32"/>
          <w:szCs w:val="32"/>
        </w:rPr>
        <w:instrText xml:space="preserve"> HYPERLINK "mailto:jcsj@dgswjt.cn</w:instrText>
      </w:r>
      <w:r>
        <w:rPr>
          <w:rFonts w:hint="eastAsia" w:ascii="Times New Roman" w:eastAsia="仿宋_GB2312"/>
          <w:sz w:val="32"/>
          <w:szCs w:val="32"/>
        </w:rPr>
        <w:instrText xml:space="preserve">。" </w:instrText>
      </w:r>
      <w:r>
        <w:rPr>
          <w:rFonts w:hint="eastAsia" w:ascii="Times New Roman" w:eastAsia="仿宋_GB2312"/>
          <w:sz w:val="32"/>
          <w:szCs w:val="32"/>
        </w:rPr>
        <w:fldChar w:fldCharType="separate"/>
      </w:r>
      <w:r>
        <w:rPr>
          <w:rStyle w:val="11"/>
          <w:rFonts w:hint="default" w:ascii="Times New Roman" w:eastAsia="仿宋_GB2312"/>
          <w:sz w:val="32"/>
          <w:szCs w:val="32"/>
        </w:rPr>
        <w:t>jcsj@dgswjt.cn</w:t>
      </w:r>
      <w:r>
        <w:rPr>
          <w:rStyle w:val="11"/>
          <w:rFonts w:hint="eastAsia" w:ascii="Times New Roman" w:eastAsia="仿宋_GB2312"/>
          <w:sz w:val="32"/>
          <w:szCs w:val="32"/>
        </w:rPr>
        <w:t>。</w:t>
      </w:r>
      <w:r>
        <w:rPr>
          <w:rStyle w:val="11"/>
          <w:rFonts w:hint="eastAsia" w:ascii="Times New Roman" w:eastAsia="仿宋_GB2312"/>
          <w:sz w:val="32"/>
          <w:szCs w:val="32"/>
        </w:rPr>
        <w:fldChar w:fldCharType="end"/>
      </w:r>
    </w:p>
    <w:p w14:paraId="2ABAE9FE">
      <w:pPr>
        <w:numPr>
          <w:ilvl w:val="0"/>
          <w:numId w:val="0"/>
        </w:numPr>
        <w:spacing w:line="560" w:lineRule="exact"/>
        <w:ind w:firstLine="560"/>
        <w:rPr>
          <w:rFonts w:hint="default" w:ascii="Times New Roman" w:eastAsia="仿宋_GB2312"/>
          <w:sz w:val="32"/>
          <w:szCs w:val="32"/>
        </w:rPr>
      </w:pPr>
      <w:r>
        <w:rPr>
          <w:rFonts w:hint="eastAsia" w:ascii="Times New Roman" w:eastAsia="仿宋_GB2312"/>
          <w:sz w:val="32"/>
          <w:szCs w:val="32"/>
        </w:rPr>
        <w:t>（四）信访地址：广东省东莞市东城街道育华路1号。</w:t>
      </w:r>
    </w:p>
    <w:p w14:paraId="4326E15C">
      <w:pPr>
        <w:numPr>
          <w:ilvl w:val="0"/>
          <w:numId w:val="0"/>
        </w:numPr>
        <w:spacing w:line="560" w:lineRule="exact"/>
        <w:ind w:firstLine="643" w:firstLineChars="200"/>
        <w:rPr>
          <w:rFonts w:hint="default" w:ascii="Times New Roman" w:eastAsia="仿宋_GB2312"/>
          <w:b/>
          <w:sz w:val="32"/>
          <w:szCs w:val="32"/>
        </w:rPr>
      </w:pPr>
      <w:r>
        <w:rPr>
          <w:rFonts w:hint="eastAsia" w:ascii="Times New Roman" w:eastAsia="仿宋_GB2312"/>
          <w:b/>
          <w:sz w:val="32"/>
          <w:szCs w:val="32"/>
        </w:rPr>
        <w:t>第七条</w:t>
      </w:r>
      <w:r>
        <w:rPr>
          <w:rFonts w:hint="default" w:ascii="Times New Roman" w:eastAsia="仿宋_GB2312"/>
          <w:b/>
          <w:sz w:val="32"/>
          <w:szCs w:val="32"/>
        </w:rPr>
        <w:t xml:space="preserve"> </w:t>
      </w:r>
      <w:r>
        <w:rPr>
          <w:rFonts w:hint="eastAsia" w:ascii="Times New Roman" w:eastAsia="仿宋_GB2312"/>
          <w:b/>
          <w:sz w:val="32"/>
          <w:szCs w:val="32"/>
        </w:rPr>
        <w:t>其他</w:t>
      </w:r>
    </w:p>
    <w:p w14:paraId="5B86BA5C">
      <w:pPr>
        <w:spacing w:line="560" w:lineRule="exact"/>
        <w:ind w:firstLine="640" w:firstLineChars="200"/>
        <w:rPr>
          <w:rFonts w:hint="default" w:ascii="Times New Roman" w:eastAsia="仿宋_GB2312"/>
          <w:sz w:val="32"/>
          <w:szCs w:val="32"/>
        </w:rPr>
      </w:pPr>
      <w:r>
        <w:rPr>
          <w:rFonts w:hint="eastAsia" w:ascii="Times New Roman" w:eastAsia="仿宋_GB2312"/>
          <w:sz w:val="32"/>
          <w:szCs w:val="32"/>
        </w:rPr>
        <w:t>本协议有效期为甲乙双方签字并加盖公章之日起至该工程/采购项目竣工验收完毕，质保期/服务期满后止。本协议一式</w:t>
      </w:r>
      <w:r>
        <w:rPr>
          <w:rFonts w:hint="default" w:ascii="Times New Roman" w:eastAsia="仿宋_GB2312"/>
          <w:sz w:val="32"/>
          <w:szCs w:val="32"/>
          <w:u w:val="single"/>
        </w:rPr>
        <w:t xml:space="preserve">   </w:t>
      </w:r>
      <w:r>
        <w:rPr>
          <w:rFonts w:hint="eastAsia" w:ascii="Times New Roman" w:eastAsia="仿宋_GB2312"/>
          <w:sz w:val="32"/>
          <w:szCs w:val="32"/>
        </w:rPr>
        <w:t>份，甲、乙双方各执</w:t>
      </w:r>
      <w:r>
        <w:rPr>
          <w:rFonts w:hint="default" w:ascii="Times New Roman" w:eastAsia="仿宋_GB2312"/>
          <w:sz w:val="32"/>
          <w:szCs w:val="32"/>
          <w:u w:val="single"/>
        </w:rPr>
        <w:t xml:space="preserve">   </w:t>
      </w:r>
      <w:r>
        <w:rPr>
          <w:rFonts w:hint="eastAsia" w:ascii="Times New Roman" w:eastAsia="仿宋_GB2312"/>
          <w:sz w:val="32"/>
          <w:szCs w:val="32"/>
        </w:rPr>
        <w:t>份，甲、乙双方上级主管部门各执</w:t>
      </w:r>
      <w:r>
        <w:rPr>
          <w:rFonts w:hint="default" w:ascii="Times New Roman" w:eastAsia="仿宋_GB2312"/>
          <w:sz w:val="32"/>
          <w:szCs w:val="32"/>
          <w:u w:val="single"/>
        </w:rPr>
        <w:t xml:space="preserve">   </w:t>
      </w:r>
      <w:r>
        <w:rPr>
          <w:rFonts w:hint="eastAsia" w:ascii="Times New Roman" w:eastAsia="仿宋_GB2312"/>
          <w:sz w:val="32"/>
          <w:szCs w:val="32"/>
        </w:rPr>
        <w:t>份。</w:t>
      </w:r>
    </w:p>
    <w:p w14:paraId="6AA787C9">
      <w:pPr>
        <w:spacing w:beforeLines="0" w:afterLines="0" w:line="560" w:lineRule="exact"/>
        <w:ind w:firstLine="640" w:firstLineChars="200"/>
        <w:rPr>
          <w:rFonts w:hint="default" w:ascii="Times New Roman" w:eastAsia="仿宋_GB2312"/>
          <w:sz w:val="32"/>
          <w:szCs w:val="32"/>
        </w:rPr>
      </w:pPr>
    </w:p>
    <w:p w14:paraId="6B1C6C3A">
      <w:pPr>
        <w:spacing w:beforeLines="0" w:afterLines="0" w:line="560" w:lineRule="exact"/>
        <w:rPr>
          <w:rFonts w:hint="default" w:ascii="Times New Roman" w:eastAsia="仿宋_GB2312"/>
          <w:sz w:val="32"/>
          <w:szCs w:val="32"/>
        </w:rPr>
      </w:pPr>
    </w:p>
    <w:p w14:paraId="0CCF6543">
      <w:pPr>
        <w:spacing w:beforeLines="0" w:afterLines="0" w:line="560" w:lineRule="exact"/>
        <w:ind w:firstLine="640" w:firstLineChars="200"/>
        <w:rPr>
          <w:rFonts w:hint="default" w:ascii="Times New Roman" w:eastAsia="仿宋_GB2312"/>
          <w:sz w:val="32"/>
          <w:szCs w:val="32"/>
        </w:rPr>
      </w:pPr>
      <w:r>
        <w:rPr>
          <w:rFonts w:hint="eastAsia" w:ascii="Times New Roman" w:eastAsia="仿宋_GB2312"/>
          <w:sz w:val="32"/>
          <w:szCs w:val="32"/>
        </w:rPr>
        <w:t xml:space="preserve">甲方（盖章）：                乙方（盖章）： </w:t>
      </w:r>
    </w:p>
    <w:p w14:paraId="458F0667">
      <w:pPr>
        <w:spacing w:beforeLines="0" w:afterLines="0" w:line="560" w:lineRule="exact"/>
        <w:ind w:firstLine="640" w:firstLineChars="200"/>
        <w:rPr>
          <w:rFonts w:hint="default" w:ascii="Times New Roman" w:eastAsia="仿宋_GB2312"/>
          <w:sz w:val="32"/>
          <w:szCs w:val="32"/>
        </w:rPr>
      </w:pPr>
    </w:p>
    <w:p w14:paraId="30D7A8C6">
      <w:pPr>
        <w:spacing w:beforeLines="0" w:afterLines="0" w:line="560" w:lineRule="exact"/>
        <w:ind w:firstLine="640" w:firstLineChars="200"/>
        <w:rPr>
          <w:rFonts w:hint="default" w:ascii="Times New Roman" w:eastAsia="仿宋_GB2312"/>
          <w:sz w:val="32"/>
          <w:szCs w:val="32"/>
        </w:rPr>
      </w:pPr>
      <w:r>
        <w:rPr>
          <w:rFonts w:hint="eastAsia" w:ascii="Times New Roman" w:eastAsia="仿宋_GB2312"/>
          <w:sz w:val="32"/>
          <w:szCs w:val="32"/>
        </w:rPr>
        <w:t>法定代表人：                 法定代表人：</w:t>
      </w:r>
    </w:p>
    <w:p w14:paraId="27B1804A">
      <w:pPr>
        <w:spacing w:beforeLines="0" w:afterLines="0" w:line="560" w:lineRule="exact"/>
        <w:ind w:firstLine="640" w:firstLineChars="200"/>
        <w:rPr>
          <w:rFonts w:hint="default" w:ascii="Times New Roman" w:eastAsia="仿宋_GB2312"/>
          <w:sz w:val="32"/>
          <w:szCs w:val="32"/>
        </w:rPr>
      </w:pPr>
      <w:r>
        <w:rPr>
          <w:rFonts w:hint="eastAsia" w:ascii="Times New Roman" w:eastAsia="仿宋_GB2312"/>
          <w:sz w:val="32"/>
          <w:szCs w:val="32"/>
        </w:rPr>
        <w:t>甲方代表：                   乙方代表：</w:t>
      </w:r>
    </w:p>
    <w:p w14:paraId="06007602">
      <w:pPr>
        <w:spacing w:beforeLines="0" w:afterLines="0" w:line="560" w:lineRule="exact"/>
        <w:rPr>
          <w:rFonts w:hint="default" w:ascii="Times New Roman" w:eastAsia="仿宋_GB2312"/>
          <w:sz w:val="32"/>
          <w:szCs w:val="32"/>
        </w:rPr>
      </w:pPr>
    </w:p>
    <w:p w14:paraId="6BE72A09">
      <w:pPr>
        <w:spacing w:beforeLines="0" w:afterLines="0" w:line="560" w:lineRule="exact"/>
        <w:ind w:firstLine="640" w:firstLineChars="200"/>
        <w:rPr>
          <w:rFonts w:hint="default" w:ascii="Times New Roman" w:eastAsia="仿宋_GB2312"/>
          <w:sz w:val="32"/>
          <w:szCs w:val="32"/>
        </w:rPr>
      </w:pPr>
      <w:r>
        <w:rPr>
          <w:rFonts w:hint="eastAsia" w:ascii="Times New Roman" w:eastAsia="仿宋_GB2312"/>
          <w:sz w:val="32"/>
          <w:szCs w:val="32"/>
        </w:rPr>
        <w:t>签订日期：</w:t>
      </w:r>
      <w:r>
        <w:rPr>
          <w:rFonts w:hint="default" w:ascii="Times New Roman" w:eastAsia="仿宋_GB2312"/>
          <w:sz w:val="32"/>
          <w:szCs w:val="32"/>
        </w:rPr>
        <w:t xml:space="preserve">    </w:t>
      </w:r>
      <w:r>
        <w:rPr>
          <w:rFonts w:hint="eastAsia" w:ascii="Times New Roman" w:eastAsia="仿宋_GB2312"/>
          <w:sz w:val="32"/>
          <w:szCs w:val="32"/>
        </w:rPr>
        <w:t xml:space="preserve">年  月  日      </w:t>
      </w:r>
      <w:r>
        <w:rPr>
          <w:rFonts w:hint="default" w:ascii="Times New Roman" w:eastAsia="仿宋_GB2312"/>
          <w:sz w:val="32"/>
          <w:szCs w:val="32"/>
        </w:rPr>
        <w:t xml:space="preserve">   </w:t>
      </w:r>
      <w:r>
        <w:rPr>
          <w:rFonts w:hint="eastAsia" w:ascii="Times New Roman" w:eastAsia="仿宋_GB2312"/>
          <w:sz w:val="32"/>
          <w:szCs w:val="32"/>
        </w:rPr>
        <w:t>年  月  日</w:t>
      </w:r>
    </w:p>
    <w:p w14:paraId="2484BCB2">
      <w:pPr>
        <w:spacing w:beforeLines="0" w:afterLines="0"/>
        <w:rPr>
          <w:rFonts w:hint="default" w:ascii="Times New Roman" w:eastAsia="仿宋_GB2312"/>
          <w:sz w:val="32"/>
          <w:szCs w:val="32"/>
        </w:rPr>
      </w:pPr>
      <w:r>
        <w:rPr>
          <w:rFonts w:hint="default" w:ascii="Times New Roman" w:eastAsia="仿宋_GB2312"/>
          <w:sz w:val="32"/>
          <w:szCs w:val="32"/>
        </w:rPr>
        <w:br w:type="page"/>
      </w:r>
    </w:p>
    <w:p w14:paraId="1CB35A72">
      <w:pPr>
        <w:spacing w:beforeLines="0" w:afterLines="0" w:line="360" w:lineRule="auto"/>
        <w:outlineLvl w:val="0"/>
        <w:rPr>
          <w:rFonts w:hint="default" w:hAnsi="宋体" w:cs="宋体"/>
          <w:b/>
          <w:sz w:val="24"/>
          <w:szCs w:val="24"/>
        </w:rPr>
      </w:pPr>
      <w:bookmarkStart w:id="46" w:name="_Toc25336"/>
      <w:bookmarkStart w:id="47" w:name="_Toc2819"/>
      <w:r>
        <w:rPr>
          <w:rFonts w:hint="default" w:hAnsi="宋体" w:cs="宋体"/>
          <w:b/>
          <w:sz w:val="24"/>
          <w:szCs w:val="24"/>
        </w:rPr>
        <w:t>附件五、服务验收单</w:t>
      </w:r>
      <w:bookmarkEnd w:id="46"/>
      <w:bookmarkEnd w:id="47"/>
    </w:p>
    <w:p w14:paraId="19275A15">
      <w:pPr>
        <w:pStyle w:val="3"/>
        <w:widowControl/>
        <w:spacing w:beforeLines="0" w:afterLines="0" w:line="600" w:lineRule="exact"/>
        <w:jc w:val="both"/>
        <w:rPr>
          <w:rFonts w:hint="default" w:ascii="Times New Roman" w:eastAsia="方正小标宋简体"/>
          <w:b w:val="0"/>
          <w:color w:val="000000"/>
          <w:spacing w:val="-10"/>
          <w:sz w:val="44"/>
          <w:szCs w:val="44"/>
        </w:rPr>
      </w:pPr>
    </w:p>
    <w:p w14:paraId="117227A8">
      <w:pPr>
        <w:pStyle w:val="3"/>
        <w:widowControl/>
        <w:spacing w:beforeLines="0" w:afterLines="0" w:line="600" w:lineRule="exact"/>
        <w:rPr>
          <w:rFonts w:hint="default" w:ascii="Times New Roman" w:eastAsia="方正小标宋简体"/>
          <w:color w:val="000000"/>
          <w:spacing w:val="-10"/>
          <w:sz w:val="44"/>
          <w:szCs w:val="44"/>
        </w:rPr>
      </w:pPr>
      <w:r>
        <w:rPr>
          <w:rFonts w:hint="eastAsia" w:ascii="Times New Roman" w:eastAsia="方正小标宋简体"/>
          <w:b w:val="0"/>
          <w:color w:val="000000"/>
          <w:spacing w:val="-10"/>
          <w:sz w:val="44"/>
          <w:szCs w:val="44"/>
        </w:rPr>
        <w:t>服务验收</w:t>
      </w:r>
      <w:r>
        <w:rPr>
          <w:rFonts w:hint="eastAsia" w:ascii="Times New Roman" w:eastAsia="方正小标宋简体"/>
          <w:b w:val="0"/>
          <w:color w:val="000000"/>
          <w:spacing w:val="-10"/>
          <w:sz w:val="44"/>
          <w:szCs w:val="44"/>
          <w:lang w:val="en-US"/>
        </w:rPr>
        <w:t>单</w:t>
      </w:r>
    </w:p>
    <w:p w14:paraId="14E9EBD1">
      <w:pPr>
        <w:pStyle w:val="3"/>
        <w:spacing w:beforeLines="0" w:afterLines="0"/>
        <w:rPr>
          <w:rFonts w:hint="default" w:ascii="Times New Roman"/>
          <w:color w:val="000000"/>
          <w:sz w:val="22"/>
          <w:szCs w:val="22"/>
        </w:rPr>
      </w:pPr>
    </w:p>
    <w:p w14:paraId="616AA2F7">
      <w:pPr>
        <w:pStyle w:val="3"/>
        <w:spacing w:beforeLines="0" w:afterLines="0"/>
        <w:rPr>
          <w:rFonts w:hint="default" w:ascii="Times New Roman" w:eastAsia="仿宋_GB2312"/>
          <w:sz w:val="84"/>
          <w:szCs w:val="84"/>
        </w:rPr>
      </w:pPr>
      <w:r>
        <w:rPr>
          <w:rFonts w:hint="eastAsia" w:ascii="Times New Roman" w:eastAsia="仿宋_GB2312"/>
          <w:b w:val="0"/>
          <w:color w:val="000000"/>
          <w:sz w:val="22"/>
          <w:szCs w:val="22"/>
        </w:rPr>
        <w:t xml:space="preserve">编号：              </w:t>
      </w:r>
    </w:p>
    <w:tbl>
      <w:tblPr>
        <w:tblStyle w:val="9"/>
        <w:tblW w:w="9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872"/>
        <w:gridCol w:w="1487"/>
        <w:gridCol w:w="1652"/>
        <w:gridCol w:w="157"/>
        <w:gridCol w:w="359"/>
        <w:gridCol w:w="1081"/>
        <w:gridCol w:w="683"/>
        <w:gridCol w:w="1292"/>
        <w:gridCol w:w="907"/>
      </w:tblGrid>
      <w:tr w14:paraId="19BC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1" w:hRule="atLeast"/>
          <w:jc w:val="center"/>
        </w:trPr>
        <w:tc>
          <w:tcPr>
            <w:tcW w:w="146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A42B3A2">
            <w:pPr>
              <w:widowControl/>
              <w:spacing w:beforeLines="0" w:afterLines="0"/>
              <w:jc w:val="center"/>
              <w:rPr>
                <w:rFonts w:hint="default" w:ascii="Times New Roman" w:eastAsia="仿宋_GB2312"/>
                <w:color w:val="000000"/>
                <w:sz w:val="22"/>
                <w:szCs w:val="22"/>
              </w:rPr>
            </w:pPr>
            <w:r>
              <w:rPr>
                <w:rFonts w:hint="eastAsia" w:ascii="Times New Roman" w:eastAsia="仿宋_GB2312"/>
                <w:color w:val="000000"/>
                <w:sz w:val="22"/>
                <w:szCs w:val="22"/>
              </w:rPr>
              <w:t>合同名称</w:t>
            </w:r>
          </w:p>
        </w:tc>
        <w:tc>
          <w:tcPr>
            <w:tcW w:w="7618" w:type="dxa"/>
            <w:gridSpan w:val="8"/>
            <w:tcBorders>
              <w:top w:val="single" w:color="auto" w:sz="4" w:space="0"/>
              <w:left w:val="single" w:color="auto" w:sz="4" w:space="0"/>
              <w:bottom w:val="single" w:color="auto" w:sz="4" w:space="0"/>
              <w:right w:val="single" w:color="auto" w:sz="4" w:space="0"/>
              <w:tl2br w:val="nil"/>
              <w:tr2bl w:val="nil"/>
            </w:tcBorders>
            <w:noWrap/>
            <w:vAlign w:val="center"/>
          </w:tcPr>
          <w:p w14:paraId="7F0077C3">
            <w:pPr>
              <w:widowControl/>
              <w:spacing w:beforeLines="0" w:afterLines="0"/>
              <w:rPr>
                <w:rFonts w:hint="default" w:ascii="Times New Roman" w:eastAsia="仿宋_GB2312"/>
                <w:color w:val="000000"/>
                <w:sz w:val="22"/>
                <w:szCs w:val="22"/>
              </w:rPr>
            </w:pPr>
          </w:p>
        </w:tc>
      </w:tr>
      <w:tr w14:paraId="5B17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FEE9DC2">
            <w:pPr>
              <w:widowControl/>
              <w:spacing w:beforeLines="0" w:afterLines="0"/>
              <w:jc w:val="center"/>
              <w:rPr>
                <w:rFonts w:hint="default" w:ascii="Times New Roman" w:eastAsia="仿宋_GB2312"/>
                <w:color w:val="000000"/>
                <w:sz w:val="22"/>
                <w:szCs w:val="22"/>
              </w:rPr>
            </w:pPr>
            <w:r>
              <w:rPr>
                <w:rFonts w:hint="eastAsia" w:ascii="Times New Roman" w:eastAsia="仿宋_GB2312"/>
                <w:color w:val="000000"/>
                <w:sz w:val="22"/>
                <w:szCs w:val="22"/>
              </w:rPr>
              <w:t>服务单位</w:t>
            </w:r>
          </w:p>
        </w:tc>
        <w:tc>
          <w:tcPr>
            <w:tcW w:w="313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43F4ED3">
            <w:pPr>
              <w:widowControl/>
              <w:spacing w:beforeLines="0" w:afterLines="0"/>
              <w:rPr>
                <w:rFonts w:hint="default" w:ascii="Times New Roman" w:eastAsia="仿宋_GB2312"/>
                <w:color w:val="000000"/>
                <w:sz w:val="22"/>
                <w:szCs w:val="22"/>
              </w:rPr>
            </w:pPr>
          </w:p>
        </w:tc>
        <w:tc>
          <w:tcPr>
            <w:tcW w:w="1597"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BE91E3C">
            <w:pPr>
              <w:widowControl/>
              <w:spacing w:beforeLines="0" w:afterLines="0"/>
              <w:jc w:val="center"/>
              <w:rPr>
                <w:rFonts w:hint="default" w:ascii="Times New Roman" w:eastAsia="仿宋_GB2312"/>
                <w:color w:val="000000"/>
                <w:sz w:val="22"/>
                <w:szCs w:val="22"/>
              </w:rPr>
            </w:pPr>
            <w:r>
              <w:rPr>
                <w:rFonts w:hint="eastAsia" w:ascii="Times New Roman" w:eastAsia="仿宋_GB2312"/>
                <w:color w:val="000000"/>
                <w:sz w:val="22"/>
                <w:szCs w:val="22"/>
              </w:rPr>
              <w:t>服务方式</w:t>
            </w:r>
          </w:p>
        </w:tc>
        <w:tc>
          <w:tcPr>
            <w:tcW w:w="288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A06850F">
            <w:pPr>
              <w:widowControl/>
              <w:spacing w:beforeLines="0" w:afterLines="0"/>
              <w:rPr>
                <w:rFonts w:hint="default" w:ascii="Times New Roman" w:eastAsia="仿宋_GB2312"/>
                <w:color w:val="000000"/>
                <w:sz w:val="22"/>
                <w:szCs w:val="22"/>
              </w:rPr>
            </w:pPr>
            <w:r>
              <w:rPr>
                <w:rFonts w:hint="default" w:ascii="Times New Roman" w:eastAsia="仿宋_GB2312"/>
                <w:sz w:val="23"/>
                <w:szCs w:val="23"/>
              </w:rPr>
              <w:t>□</w:t>
            </w:r>
            <w:r>
              <w:rPr>
                <w:rFonts w:hint="eastAsia" w:ascii="Times New Roman" w:eastAsia="仿宋_GB2312"/>
                <w:sz w:val="23"/>
                <w:szCs w:val="23"/>
              </w:rPr>
              <w:t>驻场服务   □常规服务</w:t>
            </w:r>
          </w:p>
        </w:tc>
      </w:tr>
      <w:tr w14:paraId="7893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2D2532B">
            <w:pPr>
              <w:widowControl/>
              <w:spacing w:beforeLines="0" w:afterLines="0"/>
              <w:jc w:val="center"/>
              <w:rPr>
                <w:rFonts w:hint="default" w:ascii="Times New Roman" w:eastAsia="仿宋_GB2312"/>
                <w:color w:val="000000"/>
                <w:sz w:val="22"/>
                <w:szCs w:val="22"/>
              </w:rPr>
            </w:pPr>
            <w:r>
              <w:rPr>
                <w:rFonts w:hint="eastAsia" w:ascii="Times New Roman" w:eastAsia="仿宋_GB2312"/>
                <w:color w:val="000000"/>
                <w:sz w:val="22"/>
                <w:szCs w:val="22"/>
              </w:rPr>
              <w:t>采购单位</w:t>
            </w:r>
          </w:p>
        </w:tc>
        <w:tc>
          <w:tcPr>
            <w:tcW w:w="313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DBDF5B0">
            <w:pPr>
              <w:widowControl/>
              <w:spacing w:beforeLines="0" w:afterLines="0"/>
              <w:rPr>
                <w:rFonts w:hint="default" w:ascii="Times New Roman" w:eastAsia="仿宋_GB2312"/>
                <w:color w:val="000000"/>
                <w:sz w:val="22"/>
                <w:szCs w:val="22"/>
              </w:rPr>
            </w:pPr>
          </w:p>
        </w:tc>
        <w:tc>
          <w:tcPr>
            <w:tcW w:w="1597"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62BE79E">
            <w:pPr>
              <w:widowControl/>
              <w:spacing w:beforeLines="0" w:afterLines="0"/>
              <w:rPr>
                <w:rFonts w:hint="default" w:ascii="Times New Roman" w:eastAsia="仿宋_GB2312"/>
                <w:color w:val="000000"/>
                <w:sz w:val="22"/>
                <w:szCs w:val="22"/>
              </w:rPr>
            </w:pPr>
            <w:r>
              <w:rPr>
                <w:rFonts w:hint="eastAsia" w:ascii="Times New Roman" w:eastAsia="仿宋_GB2312"/>
                <w:color w:val="000000"/>
                <w:sz w:val="22"/>
                <w:szCs w:val="22"/>
              </w:rPr>
              <w:t>服务验收时间</w:t>
            </w:r>
          </w:p>
        </w:tc>
        <w:tc>
          <w:tcPr>
            <w:tcW w:w="288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555D819">
            <w:pPr>
              <w:widowControl/>
              <w:spacing w:beforeLines="0" w:afterLines="0"/>
              <w:rPr>
                <w:rFonts w:hint="default" w:ascii="Times New Roman" w:eastAsia="仿宋_GB2312"/>
                <w:color w:val="000000"/>
                <w:sz w:val="22"/>
                <w:szCs w:val="22"/>
              </w:rPr>
            </w:pPr>
            <w:r>
              <w:rPr>
                <w:rFonts w:hint="default" w:ascii="Times New Roman" w:eastAsia="仿宋_GB2312"/>
                <w:color w:val="000000"/>
                <w:sz w:val="22"/>
                <w:szCs w:val="22"/>
              </w:rPr>
              <w:t xml:space="preserve">        </w:t>
            </w:r>
            <w:r>
              <w:rPr>
                <w:rFonts w:hint="eastAsia" w:ascii="Times New Roman" w:eastAsia="仿宋_GB2312"/>
                <w:color w:val="000000"/>
                <w:sz w:val="22"/>
                <w:szCs w:val="22"/>
              </w:rPr>
              <w:t>年    月    日</w:t>
            </w:r>
          </w:p>
        </w:tc>
      </w:tr>
      <w:tr w14:paraId="2AE0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62E2BA7E">
            <w:pPr>
              <w:widowControl/>
              <w:spacing w:beforeLines="0" w:afterLines="0"/>
              <w:rPr>
                <w:rFonts w:hint="default" w:ascii="Times New Roman" w:eastAsia="仿宋_GB2312"/>
                <w:color w:val="000000"/>
                <w:sz w:val="22"/>
                <w:szCs w:val="22"/>
              </w:rPr>
            </w:pPr>
            <w:r>
              <w:rPr>
                <w:rFonts w:hint="eastAsia" w:ascii="Times New Roman" w:eastAsia="仿宋_GB2312"/>
                <w:color w:val="000000"/>
                <w:sz w:val="22"/>
                <w:szCs w:val="22"/>
              </w:rPr>
              <w:t>一、服务项目评价</w:t>
            </w:r>
          </w:p>
        </w:tc>
      </w:tr>
      <w:tr w14:paraId="3D92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373786B2">
            <w:pPr>
              <w:widowControl/>
              <w:spacing w:beforeLines="0" w:afterLines="0"/>
              <w:rPr>
                <w:rFonts w:hint="default" w:ascii="Times New Roman" w:eastAsia="仿宋_GB2312"/>
                <w:color w:val="000000"/>
                <w:sz w:val="22"/>
                <w:szCs w:val="22"/>
              </w:rPr>
            </w:pPr>
            <w:r>
              <w:rPr>
                <w:rFonts w:hint="default" w:ascii="Times New Roman" w:eastAsia="仿宋_GB2312"/>
                <w:color w:val="000000"/>
                <w:sz w:val="22"/>
                <w:szCs w:val="22"/>
              </w:rPr>
              <w:t>1 XXXX</w:t>
            </w:r>
            <w:r>
              <w:rPr>
                <w:rFonts w:hint="eastAsia" w:ascii="Times New Roman" w:eastAsia="仿宋_GB2312"/>
                <w:color w:val="000000"/>
                <w:sz w:val="22"/>
                <w:szCs w:val="22"/>
              </w:rPr>
              <w:t>服务</w:t>
            </w:r>
          </w:p>
        </w:tc>
      </w:tr>
      <w:tr w14:paraId="518F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588" w:type="dxa"/>
            <w:tcBorders>
              <w:top w:val="single" w:color="auto" w:sz="4" w:space="0"/>
              <w:left w:val="single" w:color="auto" w:sz="4" w:space="0"/>
              <w:bottom w:val="single" w:color="auto" w:sz="4" w:space="0"/>
              <w:right w:val="single" w:color="auto" w:sz="4" w:space="0"/>
              <w:tl2br w:val="nil"/>
              <w:tr2bl w:val="nil"/>
            </w:tcBorders>
            <w:noWrap/>
            <w:vAlign w:val="center"/>
          </w:tcPr>
          <w:p w14:paraId="394576DF">
            <w:pPr>
              <w:widowControl/>
              <w:spacing w:beforeLines="0" w:afterLines="0"/>
              <w:ind w:left="-120" w:leftChars="-50" w:right="-120" w:rightChars="-50"/>
              <w:jc w:val="center"/>
              <w:rPr>
                <w:rFonts w:hint="default" w:ascii="Times New Roman" w:eastAsia="仿宋_GB2312"/>
                <w:color w:val="000000"/>
                <w:sz w:val="22"/>
                <w:szCs w:val="22"/>
              </w:rPr>
            </w:pPr>
            <w:r>
              <w:rPr>
                <w:rFonts w:hint="eastAsia" w:ascii="Times New Roman" w:eastAsia="仿宋_GB2312"/>
                <w:color w:val="000000"/>
                <w:sz w:val="22"/>
                <w:szCs w:val="22"/>
              </w:rPr>
              <w:t>序号</w:t>
            </w:r>
          </w:p>
        </w:tc>
        <w:tc>
          <w:tcPr>
            <w:tcW w:w="23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AC21868">
            <w:pPr>
              <w:widowControl/>
              <w:spacing w:beforeLines="0" w:afterLines="0"/>
              <w:jc w:val="center"/>
              <w:rPr>
                <w:rFonts w:hint="default" w:ascii="Times New Roman" w:eastAsia="仿宋_GB2312"/>
                <w:color w:val="000000"/>
                <w:sz w:val="22"/>
                <w:szCs w:val="22"/>
              </w:rPr>
            </w:pPr>
            <w:r>
              <w:rPr>
                <w:rFonts w:hint="eastAsia" w:ascii="Times New Roman" w:eastAsia="仿宋_GB2312"/>
                <w:color w:val="000000"/>
                <w:sz w:val="22"/>
                <w:szCs w:val="22"/>
              </w:rPr>
              <w:t>服务项目名称</w:t>
            </w:r>
          </w:p>
        </w:tc>
        <w:tc>
          <w:tcPr>
            <w:tcW w:w="216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9C234F5">
            <w:pPr>
              <w:widowControl/>
              <w:spacing w:beforeLines="0" w:afterLines="0"/>
              <w:jc w:val="center"/>
              <w:rPr>
                <w:rFonts w:hint="default" w:ascii="Times New Roman" w:eastAsia="仿宋_GB2312"/>
                <w:color w:val="000000"/>
                <w:sz w:val="22"/>
                <w:szCs w:val="22"/>
              </w:rPr>
            </w:pPr>
            <w:r>
              <w:rPr>
                <w:rFonts w:hint="eastAsia" w:ascii="Times New Roman" w:eastAsia="仿宋_GB2312"/>
                <w:color w:val="000000"/>
                <w:sz w:val="22"/>
                <w:szCs w:val="22"/>
              </w:rPr>
              <w:t>服务内容</w:t>
            </w:r>
          </w:p>
        </w:tc>
        <w:tc>
          <w:tcPr>
            <w:tcW w:w="176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B4ED1F">
            <w:pPr>
              <w:widowControl/>
              <w:spacing w:beforeLines="0" w:afterLines="0"/>
              <w:jc w:val="center"/>
              <w:rPr>
                <w:rFonts w:hint="default" w:ascii="Times New Roman" w:eastAsia="仿宋_GB2312"/>
                <w:color w:val="000000"/>
                <w:sz w:val="22"/>
                <w:szCs w:val="22"/>
              </w:rPr>
            </w:pPr>
            <w:r>
              <w:rPr>
                <w:rFonts w:hint="eastAsia" w:ascii="Times New Roman" w:eastAsia="仿宋_GB2312"/>
                <w:color w:val="000000"/>
                <w:sz w:val="22"/>
                <w:szCs w:val="22"/>
              </w:rPr>
              <w:t>评分标准</w:t>
            </w:r>
          </w:p>
        </w:tc>
        <w:tc>
          <w:tcPr>
            <w:tcW w:w="12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D4D85">
            <w:pPr>
              <w:widowControl/>
              <w:spacing w:beforeLines="0" w:afterLines="0"/>
              <w:jc w:val="center"/>
              <w:rPr>
                <w:rFonts w:hint="default" w:ascii="Times New Roman" w:eastAsia="仿宋_GB2312"/>
                <w:color w:val="000000"/>
                <w:sz w:val="22"/>
                <w:szCs w:val="22"/>
              </w:rPr>
            </w:pPr>
            <w:r>
              <w:rPr>
                <w:rFonts w:hint="eastAsia" w:ascii="Times New Roman" w:eastAsia="仿宋_GB2312"/>
                <w:color w:val="000000"/>
                <w:sz w:val="22"/>
                <w:szCs w:val="22"/>
              </w:rPr>
              <w:t>服务得分</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E297D4">
            <w:pPr>
              <w:widowControl/>
              <w:spacing w:beforeLines="0" w:afterLines="0"/>
              <w:jc w:val="center"/>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2407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l2br w:val="nil"/>
              <w:tr2bl w:val="nil"/>
            </w:tcBorders>
            <w:noWrap/>
            <w:vAlign w:val="center"/>
          </w:tcPr>
          <w:p w14:paraId="0B99A481">
            <w:pPr>
              <w:widowControl/>
              <w:spacing w:beforeLines="0" w:afterLines="0"/>
              <w:ind w:left="-120" w:leftChars="-50" w:right="-120" w:rightChars="-50"/>
              <w:jc w:val="center"/>
              <w:rPr>
                <w:rFonts w:hint="default" w:ascii="Times New Roman" w:eastAsia="仿宋_GB2312"/>
                <w:color w:val="000000"/>
                <w:sz w:val="22"/>
                <w:szCs w:val="22"/>
              </w:rPr>
            </w:pPr>
            <w:r>
              <w:rPr>
                <w:rFonts w:hint="default" w:ascii="Times New Roman" w:eastAsia="仿宋_GB2312"/>
                <w:color w:val="000000"/>
                <w:sz w:val="22"/>
                <w:szCs w:val="22"/>
              </w:rPr>
              <w:t>1</w:t>
            </w:r>
          </w:p>
        </w:tc>
        <w:tc>
          <w:tcPr>
            <w:tcW w:w="23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CB94D13">
            <w:pPr>
              <w:widowControl/>
              <w:spacing w:beforeLines="0" w:afterLines="0"/>
              <w:jc w:val="center"/>
              <w:rPr>
                <w:rFonts w:hint="default" w:ascii="Times New Roman" w:eastAsia="仿宋_GB2312"/>
                <w:color w:val="000000"/>
                <w:sz w:val="22"/>
                <w:szCs w:val="22"/>
              </w:rPr>
            </w:pPr>
          </w:p>
        </w:tc>
        <w:tc>
          <w:tcPr>
            <w:tcW w:w="216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97592DC">
            <w:pPr>
              <w:widowControl/>
              <w:spacing w:beforeLines="0" w:afterLines="0"/>
              <w:jc w:val="center"/>
              <w:rPr>
                <w:rFonts w:hint="default" w:ascii="Times New Roman" w:eastAsia="仿宋_GB2312"/>
                <w:color w:val="000000"/>
                <w:sz w:val="22"/>
                <w:szCs w:val="22"/>
              </w:rPr>
            </w:pPr>
          </w:p>
        </w:tc>
        <w:tc>
          <w:tcPr>
            <w:tcW w:w="176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D7FBE6">
            <w:pPr>
              <w:widowControl/>
              <w:spacing w:beforeLines="0" w:afterLines="0"/>
              <w:jc w:val="center"/>
              <w:rPr>
                <w:rFonts w:hint="default" w:ascii="Times New Roman" w:eastAsia="仿宋_GB2312"/>
                <w:color w:val="000000"/>
                <w:sz w:val="22"/>
                <w:szCs w:val="22"/>
              </w:rPr>
            </w:pPr>
          </w:p>
        </w:tc>
        <w:tc>
          <w:tcPr>
            <w:tcW w:w="12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AF1A25">
            <w:pPr>
              <w:widowControl/>
              <w:spacing w:beforeLines="0" w:afterLines="0"/>
              <w:jc w:val="center"/>
              <w:rPr>
                <w:rFonts w:hint="default" w:ascii="Times New Roman" w:eastAsia="仿宋_GB2312"/>
                <w:color w:val="000000"/>
                <w:sz w:val="22"/>
                <w:szCs w:val="22"/>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7C2CA3">
            <w:pPr>
              <w:spacing w:beforeLines="0" w:afterLines="0"/>
              <w:jc w:val="center"/>
              <w:rPr>
                <w:rFonts w:hint="default" w:ascii="Times New Roman" w:eastAsia="仿宋_GB2312"/>
                <w:color w:val="000000"/>
                <w:sz w:val="22"/>
                <w:szCs w:val="22"/>
              </w:rPr>
            </w:pPr>
          </w:p>
        </w:tc>
      </w:tr>
      <w:tr w14:paraId="2BD0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l2br w:val="nil"/>
              <w:tr2bl w:val="nil"/>
            </w:tcBorders>
            <w:noWrap/>
            <w:vAlign w:val="center"/>
          </w:tcPr>
          <w:p w14:paraId="64A06877">
            <w:pPr>
              <w:widowControl/>
              <w:spacing w:beforeLines="0" w:afterLines="0"/>
              <w:ind w:left="-120" w:leftChars="-50" w:right="-120" w:rightChars="-50"/>
              <w:jc w:val="center"/>
              <w:rPr>
                <w:rFonts w:hint="default" w:ascii="Times New Roman" w:eastAsia="仿宋_GB2312"/>
                <w:color w:val="000000"/>
                <w:sz w:val="22"/>
                <w:szCs w:val="22"/>
              </w:rPr>
            </w:pPr>
            <w:r>
              <w:rPr>
                <w:rFonts w:hint="default" w:ascii="Times New Roman" w:eastAsia="仿宋_GB2312"/>
                <w:color w:val="000000"/>
                <w:sz w:val="22"/>
                <w:szCs w:val="22"/>
              </w:rPr>
              <w:t>2</w:t>
            </w:r>
          </w:p>
        </w:tc>
        <w:tc>
          <w:tcPr>
            <w:tcW w:w="23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31C92A0">
            <w:pPr>
              <w:widowControl/>
              <w:spacing w:beforeLines="0" w:afterLines="0"/>
              <w:jc w:val="center"/>
              <w:rPr>
                <w:rFonts w:hint="default" w:ascii="Times New Roman" w:eastAsia="仿宋_GB2312"/>
                <w:color w:val="000000"/>
                <w:sz w:val="22"/>
                <w:szCs w:val="22"/>
              </w:rPr>
            </w:pPr>
          </w:p>
        </w:tc>
        <w:tc>
          <w:tcPr>
            <w:tcW w:w="216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87BB632">
            <w:pPr>
              <w:widowControl/>
              <w:spacing w:beforeLines="0" w:afterLines="0"/>
              <w:jc w:val="center"/>
              <w:rPr>
                <w:rFonts w:hint="default" w:ascii="Times New Roman" w:eastAsia="仿宋_GB2312"/>
                <w:color w:val="000000"/>
                <w:sz w:val="22"/>
                <w:szCs w:val="22"/>
              </w:rPr>
            </w:pPr>
          </w:p>
        </w:tc>
        <w:tc>
          <w:tcPr>
            <w:tcW w:w="176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6BF8E6B">
            <w:pPr>
              <w:widowControl/>
              <w:spacing w:beforeLines="0" w:afterLines="0"/>
              <w:jc w:val="center"/>
              <w:rPr>
                <w:rFonts w:hint="default" w:ascii="Times New Roman" w:eastAsia="仿宋_GB2312"/>
                <w:color w:val="000000"/>
                <w:sz w:val="22"/>
                <w:szCs w:val="22"/>
              </w:rPr>
            </w:pPr>
          </w:p>
        </w:tc>
        <w:tc>
          <w:tcPr>
            <w:tcW w:w="12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000CED">
            <w:pPr>
              <w:widowControl/>
              <w:spacing w:beforeLines="0" w:afterLines="0"/>
              <w:jc w:val="center"/>
              <w:rPr>
                <w:rFonts w:hint="default" w:ascii="Times New Roman" w:eastAsia="仿宋_GB2312"/>
                <w:color w:val="000000"/>
                <w:sz w:val="22"/>
                <w:szCs w:val="22"/>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56BA7">
            <w:pPr>
              <w:spacing w:beforeLines="0" w:afterLines="0"/>
              <w:jc w:val="center"/>
              <w:rPr>
                <w:rFonts w:hint="default" w:ascii="Times New Roman" w:eastAsia="仿宋_GB2312"/>
                <w:color w:val="000000"/>
                <w:sz w:val="22"/>
                <w:szCs w:val="22"/>
              </w:rPr>
            </w:pPr>
          </w:p>
        </w:tc>
      </w:tr>
      <w:tr w14:paraId="5134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l2br w:val="nil"/>
              <w:tr2bl w:val="nil"/>
            </w:tcBorders>
            <w:noWrap/>
            <w:vAlign w:val="center"/>
          </w:tcPr>
          <w:p w14:paraId="249D6BF1">
            <w:pPr>
              <w:widowControl/>
              <w:spacing w:beforeLines="0" w:afterLines="0"/>
              <w:ind w:left="-120" w:leftChars="-50" w:right="-120" w:rightChars="-50"/>
              <w:jc w:val="center"/>
              <w:rPr>
                <w:rFonts w:hint="default" w:ascii="Times New Roman" w:eastAsia="仿宋_GB2312"/>
                <w:color w:val="000000"/>
                <w:sz w:val="22"/>
                <w:szCs w:val="22"/>
              </w:rPr>
            </w:pPr>
            <w:r>
              <w:rPr>
                <w:rFonts w:hint="default" w:ascii="Times New Roman" w:eastAsia="仿宋_GB2312"/>
                <w:color w:val="000000"/>
                <w:sz w:val="22"/>
                <w:szCs w:val="22"/>
              </w:rPr>
              <w:t>3</w:t>
            </w:r>
          </w:p>
        </w:tc>
        <w:tc>
          <w:tcPr>
            <w:tcW w:w="23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EAA16FD">
            <w:pPr>
              <w:widowControl/>
              <w:spacing w:beforeLines="0" w:afterLines="0"/>
              <w:jc w:val="center"/>
              <w:rPr>
                <w:rFonts w:hint="default" w:ascii="Times New Roman" w:eastAsia="仿宋_GB2312"/>
                <w:color w:val="000000"/>
                <w:sz w:val="22"/>
                <w:szCs w:val="22"/>
              </w:rPr>
            </w:pPr>
          </w:p>
        </w:tc>
        <w:tc>
          <w:tcPr>
            <w:tcW w:w="216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2769CD5">
            <w:pPr>
              <w:widowControl/>
              <w:spacing w:beforeLines="0" w:afterLines="0"/>
              <w:jc w:val="center"/>
              <w:rPr>
                <w:rFonts w:hint="default" w:ascii="Times New Roman" w:eastAsia="仿宋_GB2312"/>
                <w:color w:val="000000"/>
                <w:sz w:val="22"/>
                <w:szCs w:val="22"/>
              </w:rPr>
            </w:pPr>
          </w:p>
        </w:tc>
        <w:tc>
          <w:tcPr>
            <w:tcW w:w="176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5532D85">
            <w:pPr>
              <w:widowControl/>
              <w:spacing w:beforeLines="0" w:afterLines="0"/>
              <w:jc w:val="center"/>
              <w:rPr>
                <w:rFonts w:hint="default" w:ascii="Times New Roman" w:eastAsia="仿宋_GB2312"/>
                <w:color w:val="000000"/>
                <w:sz w:val="22"/>
                <w:szCs w:val="22"/>
              </w:rPr>
            </w:pPr>
          </w:p>
        </w:tc>
        <w:tc>
          <w:tcPr>
            <w:tcW w:w="12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09552">
            <w:pPr>
              <w:widowControl/>
              <w:spacing w:beforeLines="0" w:afterLines="0"/>
              <w:jc w:val="center"/>
              <w:rPr>
                <w:rFonts w:hint="default" w:ascii="Times New Roman" w:eastAsia="仿宋_GB2312"/>
                <w:color w:val="000000"/>
                <w:sz w:val="22"/>
                <w:szCs w:val="22"/>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2EB896">
            <w:pPr>
              <w:spacing w:beforeLines="0" w:afterLines="0"/>
              <w:jc w:val="center"/>
              <w:rPr>
                <w:rFonts w:hint="default" w:ascii="Times New Roman" w:eastAsia="仿宋_GB2312"/>
                <w:color w:val="000000"/>
                <w:sz w:val="22"/>
                <w:szCs w:val="22"/>
              </w:rPr>
            </w:pPr>
          </w:p>
        </w:tc>
      </w:tr>
      <w:tr w14:paraId="1C28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l2br w:val="nil"/>
              <w:tr2bl w:val="nil"/>
            </w:tcBorders>
            <w:noWrap/>
            <w:vAlign w:val="center"/>
          </w:tcPr>
          <w:p w14:paraId="255405B2">
            <w:pPr>
              <w:widowControl/>
              <w:spacing w:beforeLines="0" w:afterLines="0"/>
              <w:ind w:left="-120" w:leftChars="-50" w:right="-120" w:rightChars="-50"/>
              <w:jc w:val="center"/>
              <w:rPr>
                <w:rFonts w:hint="default" w:ascii="Times New Roman" w:eastAsia="仿宋_GB2312"/>
                <w:color w:val="000000"/>
                <w:sz w:val="22"/>
                <w:szCs w:val="22"/>
              </w:rPr>
            </w:pPr>
            <w:r>
              <w:rPr>
                <w:rFonts w:hint="default" w:ascii="Times New Roman" w:eastAsia="仿宋_GB2312"/>
                <w:color w:val="000000"/>
                <w:sz w:val="22"/>
                <w:szCs w:val="22"/>
              </w:rPr>
              <w:t>4</w:t>
            </w:r>
          </w:p>
        </w:tc>
        <w:tc>
          <w:tcPr>
            <w:tcW w:w="23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45875A">
            <w:pPr>
              <w:widowControl/>
              <w:spacing w:beforeLines="0" w:afterLines="0"/>
              <w:jc w:val="center"/>
              <w:rPr>
                <w:rFonts w:hint="default" w:ascii="Times New Roman" w:eastAsia="仿宋_GB2312"/>
                <w:color w:val="000000"/>
                <w:sz w:val="22"/>
                <w:szCs w:val="22"/>
              </w:rPr>
            </w:pPr>
          </w:p>
        </w:tc>
        <w:tc>
          <w:tcPr>
            <w:tcW w:w="216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3BB85D5">
            <w:pPr>
              <w:widowControl/>
              <w:spacing w:beforeLines="0" w:afterLines="0"/>
              <w:jc w:val="center"/>
              <w:rPr>
                <w:rFonts w:hint="default" w:ascii="Times New Roman" w:eastAsia="仿宋_GB2312"/>
                <w:color w:val="000000"/>
                <w:sz w:val="22"/>
                <w:szCs w:val="22"/>
              </w:rPr>
            </w:pPr>
          </w:p>
        </w:tc>
        <w:tc>
          <w:tcPr>
            <w:tcW w:w="176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FBF1424">
            <w:pPr>
              <w:widowControl/>
              <w:spacing w:beforeLines="0" w:afterLines="0"/>
              <w:jc w:val="center"/>
              <w:rPr>
                <w:rFonts w:hint="default" w:ascii="Times New Roman" w:eastAsia="仿宋_GB2312"/>
                <w:color w:val="000000"/>
                <w:sz w:val="22"/>
                <w:szCs w:val="22"/>
              </w:rPr>
            </w:pPr>
          </w:p>
        </w:tc>
        <w:tc>
          <w:tcPr>
            <w:tcW w:w="12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20BCA4">
            <w:pPr>
              <w:widowControl/>
              <w:spacing w:beforeLines="0" w:afterLines="0"/>
              <w:jc w:val="center"/>
              <w:rPr>
                <w:rFonts w:hint="default" w:ascii="Times New Roman" w:eastAsia="仿宋_GB2312"/>
                <w:color w:val="000000"/>
                <w:sz w:val="22"/>
                <w:szCs w:val="22"/>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6E0CD3">
            <w:pPr>
              <w:spacing w:beforeLines="0" w:afterLines="0"/>
              <w:jc w:val="center"/>
              <w:rPr>
                <w:rFonts w:hint="default" w:ascii="Times New Roman" w:eastAsia="仿宋_GB2312"/>
                <w:color w:val="000000"/>
                <w:sz w:val="22"/>
                <w:szCs w:val="22"/>
              </w:rPr>
            </w:pPr>
          </w:p>
        </w:tc>
      </w:tr>
      <w:tr w14:paraId="56B1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2947"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D9C3AF7">
            <w:pPr>
              <w:widowControl/>
              <w:spacing w:beforeLines="0" w:afterLines="0"/>
              <w:jc w:val="center"/>
              <w:rPr>
                <w:rFonts w:hint="default" w:ascii="Times New Roman" w:eastAsia="仿宋_GB2312"/>
                <w:color w:val="000000"/>
                <w:sz w:val="22"/>
                <w:szCs w:val="22"/>
              </w:rPr>
            </w:pPr>
            <w:r>
              <w:rPr>
                <w:rFonts w:hint="eastAsia" w:ascii="Times New Roman" w:eastAsia="仿宋_GB2312"/>
                <w:color w:val="000000"/>
                <w:sz w:val="22"/>
                <w:szCs w:val="22"/>
              </w:rPr>
              <w:t>服务评价</w:t>
            </w:r>
          </w:p>
        </w:tc>
        <w:tc>
          <w:tcPr>
            <w:tcW w:w="613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13E4DAD2">
            <w:pPr>
              <w:spacing w:beforeLines="0" w:afterLines="0"/>
              <w:rPr>
                <w:rFonts w:hint="default" w:ascii="Times New Roman" w:eastAsia="仿宋_GB2312"/>
                <w:color w:val="000000"/>
                <w:sz w:val="22"/>
                <w:szCs w:val="22"/>
              </w:rPr>
            </w:pPr>
            <w:r>
              <w:rPr>
                <w:rFonts w:hint="default" w:ascii="Times New Roman" w:eastAsia="仿宋_GB2312"/>
                <w:color w:val="000000"/>
                <w:sz w:val="22"/>
                <w:szCs w:val="22"/>
              </w:rPr>
              <w:t>□</w:t>
            </w:r>
            <w:r>
              <w:rPr>
                <w:rFonts w:hint="eastAsia" w:ascii="Times New Roman" w:eastAsia="仿宋_GB2312"/>
                <w:color w:val="000000"/>
                <w:sz w:val="22"/>
                <w:szCs w:val="22"/>
              </w:rPr>
              <w:t>合计得分不低于**分，服务评价：优秀</w:t>
            </w:r>
          </w:p>
          <w:p w14:paraId="797B9A38">
            <w:pPr>
              <w:spacing w:beforeLines="0" w:afterLines="0"/>
              <w:rPr>
                <w:rFonts w:hint="default" w:ascii="Times New Roman" w:eastAsia="仿宋_GB2312"/>
                <w:color w:val="000000"/>
                <w:sz w:val="22"/>
                <w:szCs w:val="22"/>
              </w:rPr>
            </w:pPr>
            <w:r>
              <w:rPr>
                <w:rFonts w:hint="default" w:ascii="Times New Roman" w:eastAsia="仿宋_GB2312"/>
                <w:color w:val="000000"/>
                <w:sz w:val="22"/>
                <w:szCs w:val="22"/>
              </w:rPr>
              <w:t>□</w:t>
            </w:r>
            <w:r>
              <w:rPr>
                <w:rFonts w:hint="eastAsia" w:ascii="Times New Roman" w:eastAsia="仿宋_GB2312"/>
                <w:color w:val="000000"/>
                <w:sz w:val="22"/>
                <w:szCs w:val="22"/>
              </w:rPr>
              <w:t>合计得分低于**分，达到**分的，服务评价：良好</w:t>
            </w:r>
          </w:p>
          <w:p w14:paraId="65891818">
            <w:pPr>
              <w:spacing w:beforeLines="0" w:afterLines="0"/>
              <w:rPr>
                <w:rFonts w:hint="default" w:ascii="Times New Roman" w:eastAsia="仿宋_GB2312"/>
                <w:color w:val="000000"/>
                <w:sz w:val="22"/>
                <w:szCs w:val="22"/>
              </w:rPr>
            </w:pPr>
            <w:r>
              <w:rPr>
                <w:rFonts w:hint="default" w:ascii="Times New Roman" w:eastAsia="仿宋_GB2312"/>
                <w:color w:val="000000"/>
                <w:sz w:val="22"/>
                <w:szCs w:val="22"/>
              </w:rPr>
              <w:t>□</w:t>
            </w:r>
            <w:r>
              <w:rPr>
                <w:rFonts w:hint="eastAsia" w:ascii="Times New Roman" w:eastAsia="仿宋_GB2312"/>
                <w:color w:val="000000"/>
                <w:sz w:val="22"/>
                <w:szCs w:val="22"/>
              </w:rPr>
              <w:t>合计得分低于**分，达到**分的，服务评价：及格</w:t>
            </w:r>
          </w:p>
          <w:p w14:paraId="0351F2BC">
            <w:pPr>
              <w:spacing w:beforeLines="0" w:afterLines="0"/>
              <w:rPr>
                <w:rFonts w:hint="default" w:ascii="Times New Roman" w:eastAsia="仿宋_GB2312"/>
                <w:color w:val="000000"/>
                <w:sz w:val="22"/>
                <w:szCs w:val="22"/>
              </w:rPr>
            </w:pPr>
            <w:r>
              <w:rPr>
                <w:rFonts w:hint="default" w:ascii="Times New Roman" w:eastAsia="仿宋_GB2312"/>
                <w:color w:val="000000"/>
                <w:sz w:val="22"/>
                <w:szCs w:val="22"/>
              </w:rPr>
              <w:t>□</w:t>
            </w:r>
            <w:r>
              <w:rPr>
                <w:rFonts w:hint="eastAsia" w:ascii="Times New Roman" w:eastAsia="仿宋_GB2312"/>
                <w:color w:val="000000"/>
                <w:sz w:val="22"/>
                <w:szCs w:val="22"/>
              </w:rPr>
              <w:t>合计得分低于**分，服务评价：不及格</w:t>
            </w:r>
          </w:p>
          <w:p w14:paraId="2D268317">
            <w:pPr>
              <w:spacing w:beforeLines="0" w:afterLines="0"/>
              <w:rPr>
                <w:rFonts w:hint="default" w:ascii="Times New Roman" w:eastAsia="仿宋_GB2312"/>
                <w:color w:val="000000"/>
                <w:sz w:val="22"/>
                <w:szCs w:val="22"/>
              </w:rPr>
            </w:pPr>
            <w:r>
              <w:rPr>
                <w:rFonts w:hint="eastAsia" w:ascii="Times New Roman" w:eastAsia="仿宋_GB2312"/>
                <w:color w:val="000000"/>
                <w:sz w:val="22"/>
                <w:szCs w:val="22"/>
              </w:rPr>
              <w:t xml:space="preserve">补充说明：                                    </w:t>
            </w:r>
          </w:p>
        </w:tc>
      </w:tr>
      <w:tr w14:paraId="1F59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078" w:type="dxa"/>
            <w:gridSpan w:val="10"/>
            <w:tcBorders>
              <w:top w:val="single" w:color="auto" w:sz="4" w:space="0"/>
              <w:left w:val="single" w:color="auto" w:sz="4" w:space="0"/>
              <w:bottom w:val="single" w:color="auto" w:sz="4" w:space="0"/>
              <w:right w:val="single" w:color="auto" w:sz="4" w:space="0"/>
              <w:tl2br w:val="nil"/>
              <w:tr2bl w:val="nil"/>
            </w:tcBorders>
            <w:noWrap w:val="0"/>
            <w:vAlign w:val="top"/>
          </w:tcPr>
          <w:p w14:paraId="05B48AFA">
            <w:pPr>
              <w:spacing w:beforeLines="0" w:afterLines="0" w:line="360" w:lineRule="auto"/>
              <w:rPr>
                <w:rFonts w:hint="default" w:ascii="Times New Roman" w:eastAsia="仿宋_GB2312"/>
                <w:color w:val="0000FF"/>
                <w:sz w:val="22"/>
                <w:szCs w:val="22"/>
              </w:rPr>
            </w:pPr>
            <w:r>
              <w:rPr>
                <w:rFonts w:hint="eastAsia" w:ascii="Times New Roman" w:eastAsia="仿宋_GB2312"/>
                <w:sz w:val="24"/>
                <w:szCs w:val="24"/>
              </w:rPr>
              <w:t>二、服务资料</w:t>
            </w:r>
          </w:p>
          <w:p w14:paraId="2F56E11F">
            <w:pPr>
              <w:spacing w:beforeLines="0" w:afterLines="0" w:line="360" w:lineRule="auto"/>
              <w:jc w:val="center"/>
              <w:rPr>
                <w:rFonts w:hint="default" w:ascii="Times New Roman" w:eastAsia="仿宋_GB2312"/>
                <w:sz w:val="22"/>
                <w:szCs w:val="22"/>
              </w:rPr>
            </w:pPr>
            <w:r>
              <w:rPr>
                <w:rFonts w:hint="eastAsia" w:ascii="Times New Roman" w:eastAsia="仿宋_GB2312"/>
                <w:sz w:val="22"/>
                <w:szCs w:val="22"/>
              </w:rPr>
              <w:t>（填写服务过程、服务完成移交资料）</w:t>
            </w:r>
          </w:p>
          <w:p w14:paraId="3EA307B7">
            <w:pPr>
              <w:spacing w:beforeLines="0" w:afterLines="0" w:line="360" w:lineRule="auto"/>
              <w:rPr>
                <w:rFonts w:hint="default" w:ascii="Times New Roman" w:eastAsia="仿宋_GB2312"/>
                <w:sz w:val="22"/>
                <w:szCs w:val="22"/>
              </w:rPr>
            </w:pPr>
          </w:p>
          <w:p w14:paraId="6E6D8003">
            <w:pPr>
              <w:spacing w:beforeLines="0" w:afterLines="0" w:line="360" w:lineRule="auto"/>
              <w:rPr>
                <w:rFonts w:hint="default" w:ascii="Times New Roman" w:eastAsia="仿宋_GB2312"/>
                <w:sz w:val="22"/>
                <w:szCs w:val="22"/>
              </w:rPr>
            </w:pPr>
          </w:p>
          <w:p w14:paraId="5D4E6DB8">
            <w:pPr>
              <w:spacing w:beforeLines="0" w:afterLines="0"/>
              <w:rPr>
                <w:rFonts w:hint="default" w:ascii="Times New Roman" w:eastAsia="仿宋_GB2312"/>
                <w:sz w:val="22"/>
                <w:szCs w:val="22"/>
              </w:rPr>
            </w:pPr>
            <w:r>
              <w:rPr>
                <w:rFonts w:hint="eastAsia" w:ascii="Times New Roman" w:eastAsia="仿宋_GB2312"/>
                <w:sz w:val="22"/>
                <w:szCs w:val="22"/>
              </w:rPr>
              <w:t>移交人：                         清点人：</w:t>
            </w:r>
          </w:p>
        </w:tc>
      </w:tr>
      <w:tr w14:paraId="67A8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9078" w:type="dxa"/>
            <w:gridSpan w:val="10"/>
            <w:tcBorders>
              <w:top w:val="single" w:color="auto" w:sz="4" w:space="0"/>
              <w:left w:val="single" w:color="auto" w:sz="4" w:space="0"/>
              <w:bottom w:val="single" w:color="auto" w:sz="4" w:space="0"/>
              <w:right w:val="single" w:color="auto" w:sz="4" w:space="0"/>
              <w:tl2br w:val="nil"/>
              <w:tr2bl w:val="nil"/>
            </w:tcBorders>
            <w:noWrap w:val="0"/>
            <w:vAlign w:val="top"/>
          </w:tcPr>
          <w:p w14:paraId="7DC01951">
            <w:pPr>
              <w:spacing w:beforeLines="0" w:afterLines="0" w:line="360" w:lineRule="auto"/>
              <w:rPr>
                <w:rFonts w:hint="default" w:ascii="Times New Roman" w:eastAsia="仿宋_GB2312"/>
                <w:color w:val="auto"/>
                <w:sz w:val="24"/>
                <w:szCs w:val="24"/>
              </w:rPr>
            </w:pPr>
            <w:r>
              <w:rPr>
                <w:rFonts w:hint="eastAsia" w:ascii="Times New Roman" w:eastAsia="仿宋_GB2312"/>
                <w:color w:val="auto"/>
                <w:sz w:val="24"/>
                <w:szCs w:val="24"/>
              </w:rPr>
              <w:t>三、存在问题</w:t>
            </w:r>
          </w:p>
          <w:p w14:paraId="2989D9B0">
            <w:pPr>
              <w:spacing w:beforeLines="0" w:afterLines="0" w:line="240" w:lineRule="exact"/>
              <w:ind w:firstLine="462" w:firstLineChars="210"/>
              <w:rPr>
                <w:rFonts w:hint="default" w:ascii="Times New Roman" w:eastAsia="仿宋_GB2312"/>
                <w:color w:val="auto"/>
                <w:sz w:val="22"/>
                <w:szCs w:val="24"/>
              </w:rPr>
            </w:pPr>
          </w:p>
          <w:p w14:paraId="2F18EC3B">
            <w:pPr>
              <w:spacing w:beforeLines="0" w:afterLines="0"/>
              <w:ind w:right="-29" w:rightChars="-12"/>
              <w:rPr>
                <w:rFonts w:hint="default" w:ascii="Times New Roman" w:eastAsia="仿宋_GB2312"/>
                <w:color w:val="auto"/>
                <w:sz w:val="31"/>
                <w:szCs w:val="24"/>
              </w:rPr>
            </w:pPr>
          </w:p>
          <w:p w14:paraId="43B4A2BF">
            <w:pPr>
              <w:spacing w:beforeLines="0" w:afterLines="0" w:line="360" w:lineRule="auto"/>
              <w:jc w:val="center"/>
              <w:rPr>
                <w:rFonts w:hint="default" w:ascii="Times New Roman" w:eastAsia="仿宋_GB2312"/>
                <w:color w:val="auto"/>
                <w:sz w:val="22"/>
                <w:szCs w:val="24"/>
              </w:rPr>
            </w:pPr>
            <w:r>
              <w:rPr>
                <w:rFonts w:hint="eastAsia" w:ascii="Times New Roman" w:eastAsia="仿宋_GB2312"/>
                <w:color w:val="auto"/>
                <w:sz w:val="22"/>
                <w:szCs w:val="24"/>
              </w:rPr>
              <w:t>（填写服务过程中存在问题，包括服务质量、服务态度、响应情况等。）</w:t>
            </w:r>
          </w:p>
          <w:p w14:paraId="7C11316A">
            <w:pPr>
              <w:spacing w:beforeLines="0" w:afterLines="0" w:line="360" w:lineRule="auto"/>
              <w:ind w:firstLine="462" w:firstLineChars="210"/>
              <w:rPr>
                <w:rFonts w:hint="default" w:ascii="Times New Roman" w:eastAsia="仿宋_GB2312"/>
                <w:color w:val="auto"/>
                <w:sz w:val="22"/>
                <w:szCs w:val="22"/>
              </w:rPr>
            </w:pPr>
          </w:p>
        </w:tc>
      </w:tr>
      <w:tr w14:paraId="32FE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078" w:type="dxa"/>
            <w:gridSpan w:val="10"/>
            <w:tcBorders>
              <w:top w:val="single" w:color="auto" w:sz="4" w:space="0"/>
              <w:left w:val="single" w:color="auto" w:sz="4" w:space="0"/>
              <w:bottom w:val="single" w:color="auto" w:sz="4" w:space="0"/>
              <w:right w:val="single" w:color="auto" w:sz="4" w:space="0"/>
              <w:tl2br w:val="nil"/>
              <w:tr2bl w:val="nil"/>
            </w:tcBorders>
            <w:noWrap w:val="0"/>
            <w:vAlign w:val="top"/>
          </w:tcPr>
          <w:p w14:paraId="5004A5DB">
            <w:pPr>
              <w:numPr>
                <w:ilvl w:val="0"/>
                <w:numId w:val="0"/>
              </w:numPr>
              <w:spacing w:beforeLines="0" w:afterLines="0" w:line="360" w:lineRule="auto"/>
              <w:rPr>
                <w:rFonts w:hint="default" w:ascii="Times New Roman" w:eastAsia="仿宋_GB2312"/>
                <w:color w:val="auto"/>
                <w:sz w:val="24"/>
                <w:szCs w:val="24"/>
              </w:rPr>
            </w:pPr>
            <w:r>
              <w:rPr>
                <w:rFonts w:hint="eastAsia" w:ascii="Times New Roman" w:eastAsia="仿宋_GB2312"/>
                <w:color w:val="auto"/>
                <w:sz w:val="24"/>
                <w:szCs w:val="24"/>
              </w:rPr>
              <w:t>四、问题整改情况</w:t>
            </w:r>
          </w:p>
          <w:p w14:paraId="1A677603">
            <w:pPr>
              <w:spacing w:beforeLines="0" w:afterLines="0"/>
              <w:ind w:right="-29" w:rightChars="-12"/>
              <w:rPr>
                <w:rFonts w:hint="default" w:ascii="Times New Roman" w:eastAsia="仿宋_GB2312"/>
                <w:color w:val="auto"/>
                <w:sz w:val="31"/>
                <w:szCs w:val="24"/>
              </w:rPr>
            </w:pPr>
          </w:p>
          <w:p w14:paraId="3C73A1CA">
            <w:pPr>
              <w:spacing w:beforeLines="0" w:afterLines="0" w:line="360" w:lineRule="auto"/>
              <w:jc w:val="center"/>
              <w:rPr>
                <w:rFonts w:hint="default" w:ascii="Times New Roman" w:eastAsia="仿宋_GB2312"/>
                <w:color w:val="auto"/>
                <w:sz w:val="22"/>
                <w:szCs w:val="24"/>
              </w:rPr>
            </w:pPr>
            <w:r>
              <w:rPr>
                <w:rFonts w:hint="eastAsia" w:ascii="Times New Roman" w:eastAsia="仿宋_GB2312"/>
                <w:color w:val="auto"/>
                <w:sz w:val="22"/>
                <w:szCs w:val="24"/>
              </w:rPr>
              <w:t>（填写服务问题的整改情况。）</w:t>
            </w:r>
          </w:p>
          <w:p w14:paraId="7510E3BC">
            <w:pPr>
              <w:spacing w:beforeLines="0" w:afterLines="0" w:line="360" w:lineRule="auto"/>
              <w:rPr>
                <w:rFonts w:hint="default" w:ascii="Times New Roman" w:eastAsia="仿宋_GB2312"/>
                <w:color w:val="auto"/>
                <w:sz w:val="22"/>
                <w:szCs w:val="22"/>
              </w:rPr>
            </w:pPr>
          </w:p>
        </w:tc>
      </w:tr>
      <w:tr w14:paraId="4E74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9078" w:type="dxa"/>
            <w:gridSpan w:val="10"/>
            <w:tcBorders>
              <w:top w:val="single" w:color="auto" w:sz="4" w:space="0"/>
              <w:left w:val="single" w:color="auto" w:sz="4" w:space="0"/>
              <w:bottom w:val="single" w:color="auto" w:sz="4" w:space="0"/>
              <w:right w:val="single" w:color="auto" w:sz="4" w:space="0"/>
              <w:tl2br w:val="nil"/>
              <w:tr2bl w:val="nil"/>
            </w:tcBorders>
            <w:noWrap w:val="0"/>
            <w:vAlign w:val="top"/>
          </w:tcPr>
          <w:p w14:paraId="14281D4E">
            <w:pPr>
              <w:spacing w:beforeLines="0" w:afterLines="0"/>
              <w:rPr>
                <w:rFonts w:hint="default" w:ascii="Times New Roman" w:eastAsia="仿宋_GB2312"/>
                <w:color w:val="auto"/>
                <w:sz w:val="22"/>
                <w:szCs w:val="22"/>
              </w:rPr>
            </w:pPr>
            <w:r>
              <w:rPr>
                <w:rFonts w:hint="eastAsia" w:ascii="Times New Roman" w:eastAsia="仿宋_GB2312"/>
                <w:color w:val="auto"/>
                <w:sz w:val="24"/>
                <w:szCs w:val="24"/>
              </w:rPr>
              <w:t>五、服务验收意见</w:t>
            </w:r>
          </w:p>
        </w:tc>
      </w:tr>
      <w:tr w14:paraId="24983E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3" w:hRule="atLeast"/>
          <w:jc w:val="center"/>
        </w:trPr>
        <w:tc>
          <w:tcPr>
            <w:tcW w:w="9078" w:type="dxa"/>
            <w:gridSpan w:val="10"/>
            <w:tcBorders>
              <w:top w:val="single" w:color="auto" w:sz="6" w:space="0"/>
              <w:left w:val="single" w:color="auto" w:sz="6" w:space="0"/>
              <w:bottom w:val="single" w:color="auto" w:sz="6" w:space="0"/>
              <w:right w:val="single" w:color="auto" w:sz="6" w:space="0"/>
              <w:tl2br w:val="nil"/>
              <w:tr2bl w:val="nil"/>
            </w:tcBorders>
            <w:noWrap/>
            <w:vAlign w:val="center"/>
          </w:tcPr>
          <w:p w14:paraId="2756B9E2">
            <w:pPr>
              <w:spacing w:beforeLines="0" w:afterLines="0" w:line="360" w:lineRule="auto"/>
              <w:rPr>
                <w:rFonts w:hint="default" w:ascii="Times New Roman" w:eastAsia="仿宋_GB2312"/>
                <w:color w:val="000000"/>
                <w:sz w:val="22"/>
                <w:szCs w:val="22"/>
              </w:rPr>
            </w:pPr>
            <w:r>
              <w:rPr>
                <w:rFonts w:hint="eastAsia" w:ascii="Times New Roman" w:eastAsia="仿宋_GB2312"/>
                <w:sz w:val="22"/>
                <w:szCs w:val="22"/>
              </w:rPr>
              <w:t>参 加 服 务 验 收 的 单 位 和 代 表 （签 字）</w:t>
            </w:r>
          </w:p>
        </w:tc>
      </w:tr>
      <w:tr w14:paraId="613380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41" w:hRule="atLeast"/>
          <w:jc w:val="center"/>
        </w:trPr>
        <w:tc>
          <w:tcPr>
            <w:tcW w:w="4756" w:type="dxa"/>
            <w:gridSpan w:val="5"/>
            <w:tcBorders>
              <w:top w:val="single" w:color="auto" w:sz="6" w:space="0"/>
              <w:left w:val="single" w:color="auto" w:sz="6" w:space="0"/>
              <w:bottom w:val="single" w:color="auto" w:sz="6" w:space="0"/>
              <w:right w:val="single" w:color="auto" w:sz="6" w:space="0"/>
              <w:tl2br w:val="nil"/>
              <w:tr2bl w:val="nil"/>
            </w:tcBorders>
            <w:noWrap/>
            <w:vAlign w:val="top"/>
          </w:tcPr>
          <w:p w14:paraId="697C71A2">
            <w:pPr>
              <w:spacing w:beforeLines="0" w:afterLines="0"/>
              <w:rPr>
                <w:rFonts w:hint="default" w:ascii="Times New Roman" w:eastAsia="仿宋_GB2312"/>
                <w:color w:val="000000"/>
                <w:sz w:val="22"/>
                <w:szCs w:val="22"/>
              </w:rPr>
            </w:pPr>
            <w:r>
              <w:rPr>
                <w:rFonts w:hint="eastAsia" w:ascii="Times New Roman" w:eastAsia="仿宋_GB2312"/>
                <w:color w:val="000000"/>
                <w:sz w:val="22"/>
                <w:szCs w:val="22"/>
              </w:rPr>
              <w:t>服务单位</w:t>
            </w:r>
          </w:p>
        </w:tc>
        <w:tc>
          <w:tcPr>
            <w:tcW w:w="4322"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14:paraId="48231C38">
            <w:pPr>
              <w:spacing w:beforeLines="0" w:afterLines="0"/>
              <w:rPr>
                <w:rFonts w:hint="default" w:ascii="Times New Roman" w:eastAsia="仿宋_GB2312"/>
                <w:color w:val="000000"/>
                <w:sz w:val="22"/>
                <w:szCs w:val="22"/>
              </w:rPr>
            </w:pPr>
            <w:r>
              <w:rPr>
                <w:rFonts w:hint="eastAsia" w:ascii="Times New Roman" w:eastAsia="仿宋_GB2312"/>
                <w:color w:val="000000"/>
                <w:sz w:val="22"/>
                <w:szCs w:val="22"/>
              </w:rPr>
              <w:t>采购单位</w:t>
            </w:r>
          </w:p>
        </w:tc>
      </w:tr>
    </w:tbl>
    <w:p w14:paraId="4FAC7788">
      <w:pPr>
        <w:widowControl/>
        <w:spacing w:beforeLines="0" w:afterLines="0"/>
        <w:rPr>
          <w:rFonts w:hint="default" w:ascii="Times New Roman" w:eastAsia="仿宋_GB2312"/>
          <w:color w:val="000000"/>
          <w:sz w:val="22"/>
          <w:szCs w:val="22"/>
        </w:rPr>
      </w:pPr>
      <w:r>
        <w:rPr>
          <w:rFonts w:hint="eastAsia" w:ascii="Times New Roman" w:eastAsia="仿宋_GB2312"/>
          <w:color w:val="000000"/>
          <w:sz w:val="22"/>
          <w:szCs w:val="22"/>
        </w:rPr>
        <w:t>此表一式两份，服务单位、采购单位各存一份。</w:t>
      </w:r>
    </w:p>
    <w:p w14:paraId="52200DFA">
      <w:pPr>
        <w:rPr>
          <w:rFonts w:hint="default" w:hAnsi="宋体" w:eastAsia="宋体" w:cs="宋体"/>
          <w:color w:val="auto"/>
          <w:sz w:val="24"/>
          <w:szCs w:val="24"/>
          <w:lang w:val="en-US" w:eastAsia="zh-CN"/>
        </w:rPr>
      </w:pPr>
    </w:p>
    <w:p w14:paraId="2E88EC72">
      <w:pPr>
        <w:rPr>
          <w:rFonts w:hint="default" w:hAnsi="宋体" w:cs="宋体"/>
          <w:color w:val="auto"/>
          <w:sz w:val="24"/>
          <w:szCs w:val="24"/>
          <w:lang w:val="en-US"/>
        </w:rPr>
      </w:pPr>
    </w:p>
    <w:p w14:paraId="5548E69E">
      <w:pPr>
        <w:rPr>
          <w:rFonts w:hint="default" w:hAnsi="宋体" w:cs="宋体"/>
          <w:color w:val="auto"/>
          <w:sz w:val="24"/>
          <w:szCs w:val="24"/>
          <w:lang w:val="en-US"/>
        </w:rPr>
      </w:pPr>
    </w:p>
    <w:p w14:paraId="10687E43">
      <w:pPr>
        <w:rPr>
          <w:rFonts w:hint="default" w:hAnsi="宋体" w:cs="宋体"/>
          <w:color w:val="auto"/>
          <w:sz w:val="24"/>
          <w:szCs w:val="24"/>
          <w:lang w:val="en-US"/>
        </w:rPr>
      </w:pPr>
    </w:p>
    <w:p w14:paraId="53EC7E4C">
      <w:pPr>
        <w:rPr>
          <w:rFonts w:hint="default" w:hAnsi="宋体" w:cs="宋体"/>
          <w:color w:val="auto"/>
          <w:sz w:val="24"/>
          <w:szCs w:val="24"/>
          <w:lang w:val="en-US"/>
        </w:rPr>
      </w:pPr>
    </w:p>
    <w:p w14:paraId="5720522D">
      <w:pPr>
        <w:rPr>
          <w:rFonts w:hint="default" w:hAnsi="宋体" w:cs="宋体"/>
          <w:color w:val="auto"/>
          <w:sz w:val="24"/>
          <w:szCs w:val="24"/>
          <w:lang w:val="en-US"/>
        </w:rPr>
      </w:pPr>
    </w:p>
    <w:p w14:paraId="76274218">
      <w:pPr>
        <w:rPr>
          <w:rFonts w:hint="default" w:hAnsi="宋体" w:cs="宋体"/>
          <w:color w:val="auto"/>
          <w:sz w:val="24"/>
          <w:szCs w:val="24"/>
          <w:lang w:val="en-US"/>
        </w:rPr>
      </w:pPr>
    </w:p>
    <w:p w14:paraId="0E3D2F63">
      <w:pPr>
        <w:rPr>
          <w:rFonts w:hint="default" w:hAnsi="宋体" w:cs="宋体"/>
          <w:color w:val="auto"/>
          <w:sz w:val="24"/>
          <w:szCs w:val="24"/>
          <w:lang w:val="en-US"/>
        </w:rPr>
      </w:pPr>
    </w:p>
    <w:p w14:paraId="4459DD6F">
      <w:pPr>
        <w:rPr>
          <w:rFonts w:hint="default" w:hAnsi="宋体" w:cs="宋体"/>
          <w:color w:val="auto"/>
          <w:sz w:val="24"/>
          <w:szCs w:val="24"/>
          <w:lang w:val="en-US"/>
        </w:rPr>
      </w:pPr>
    </w:p>
    <w:p w14:paraId="6EB260A6">
      <w:pPr>
        <w:rPr>
          <w:rFonts w:hint="default" w:hAnsi="宋体" w:cs="宋体"/>
          <w:color w:val="auto"/>
          <w:sz w:val="24"/>
          <w:szCs w:val="24"/>
          <w:lang w:val="en-US"/>
        </w:rPr>
      </w:pPr>
    </w:p>
    <w:p w14:paraId="2786B72C">
      <w:pPr>
        <w:rPr>
          <w:rFonts w:hint="default" w:hAnsi="宋体" w:cs="宋体"/>
          <w:color w:val="auto"/>
          <w:sz w:val="24"/>
          <w:szCs w:val="24"/>
          <w:lang w:val="en-US"/>
        </w:rPr>
      </w:pPr>
    </w:p>
    <w:p w14:paraId="4505A1D2">
      <w:pPr>
        <w:spacing w:beforeLines="0" w:afterLines="0"/>
        <w:rPr>
          <w:rFonts w:hint="default" w:hAnsi="宋体"/>
          <w:b/>
          <w:sz w:val="24"/>
          <w:szCs w:val="32"/>
        </w:rPr>
      </w:pPr>
      <w:bookmarkStart w:id="48" w:name="_Toc30018"/>
    </w:p>
    <w:p w14:paraId="16849FC5">
      <w:pPr>
        <w:spacing w:beforeLines="0" w:afterLines="0"/>
        <w:rPr>
          <w:rFonts w:hint="default" w:hAnsi="宋体"/>
          <w:b/>
          <w:sz w:val="24"/>
          <w:szCs w:val="32"/>
        </w:rPr>
      </w:pPr>
    </w:p>
    <w:p w14:paraId="36E1EEE6">
      <w:pPr>
        <w:pStyle w:val="4"/>
        <w:numPr>
          <w:ilvl w:val="0"/>
          <w:numId w:val="2"/>
        </w:numPr>
        <w:snapToGrid w:val="0"/>
        <w:spacing w:before="0" w:beforeLines="0" w:after="0" w:afterLines="0"/>
        <w:jc w:val="center"/>
        <w:rPr>
          <w:rFonts w:hint="default"/>
        </w:rPr>
      </w:pPr>
      <w:bookmarkStart w:id="49" w:name="_Toc17293"/>
      <w:r>
        <w:rPr>
          <w:rFonts w:hint="default" w:hAnsi="宋体"/>
          <w:sz w:val="32"/>
          <w:szCs w:val="32"/>
        </w:rPr>
        <w:t>报价须知</w:t>
      </w:r>
      <w:bookmarkEnd w:id="48"/>
      <w:bookmarkEnd w:id="49"/>
    </w:p>
    <w:p w14:paraId="56B653B2">
      <w:pPr>
        <w:numPr>
          <w:ilvl w:val="0"/>
          <w:numId w:val="0"/>
        </w:numPr>
        <w:spacing w:beforeLines="0" w:afterLines="0"/>
        <w:rPr>
          <w:rFonts w:hint="default"/>
          <w:sz w:val="24"/>
          <w:szCs w:val="24"/>
        </w:rPr>
      </w:pPr>
    </w:p>
    <w:p w14:paraId="17C7E69A">
      <w:pPr>
        <w:snapToGrid w:val="0"/>
        <w:spacing w:beforeLines="0" w:afterLines="0" w:line="360" w:lineRule="auto"/>
        <w:outlineLvl w:val="1"/>
        <w:rPr>
          <w:rFonts w:hint="default" w:hAnsi="宋体"/>
          <w:b/>
          <w:sz w:val="24"/>
          <w:szCs w:val="24"/>
        </w:rPr>
      </w:pPr>
      <w:bookmarkStart w:id="50" w:name="_Toc27442"/>
      <w:r>
        <w:rPr>
          <w:rFonts w:hint="default" w:hAnsi="宋体"/>
          <w:b/>
          <w:sz w:val="24"/>
          <w:szCs w:val="24"/>
        </w:rPr>
        <w:t>一、项目费用说明</w:t>
      </w:r>
      <w:bookmarkEnd w:id="50"/>
    </w:p>
    <w:p w14:paraId="2E2EA44D">
      <w:pPr>
        <w:snapToGrid w:val="0"/>
        <w:spacing w:beforeLines="0" w:afterLines="0" w:line="360" w:lineRule="auto"/>
        <w:ind w:firstLine="424" w:firstLineChars="177"/>
        <w:rPr>
          <w:rFonts w:hint="default" w:hAnsi="宋体"/>
          <w:sz w:val="24"/>
          <w:szCs w:val="24"/>
        </w:rPr>
      </w:pPr>
      <w:r>
        <w:rPr>
          <w:rFonts w:hint="default" w:hAnsi="宋体"/>
          <w:sz w:val="24"/>
          <w:szCs w:val="24"/>
        </w:rPr>
        <w:t>报价人应按询价文件要求及企业的自身情况进行报价。所报的价格包含完成询价文件规定的工作所需的全部费用，并承担所有相应项目风险。</w:t>
      </w:r>
    </w:p>
    <w:p w14:paraId="66082DFE">
      <w:pPr>
        <w:snapToGrid w:val="0"/>
        <w:spacing w:beforeLines="0" w:afterLines="0" w:line="360" w:lineRule="auto"/>
        <w:rPr>
          <w:rFonts w:hint="default" w:hAnsi="宋体"/>
          <w:b/>
          <w:sz w:val="24"/>
          <w:szCs w:val="24"/>
        </w:rPr>
      </w:pPr>
    </w:p>
    <w:p w14:paraId="516193F9">
      <w:pPr>
        <w:snapToGrid w:val="0"/>
        <w:spacing w:beforeLines="0" w:afterLines="0" w:line="360" w:lineRule="auto"/>
        <w:outlineLvl w:val="1"/>
        <w:rPr>
          <w:rFonts w:hint="default" w:hAnsi="宋体"/>
          <w:b/>
          <w:sz w:val="24"/>
          <w:szCs w:val="24"/>
        </w:rPr>
      </w:pPr>
      <w:bookmarkStart w:id="51" w:name="_Toc2697"/>
      <w:r>
        <w:rPr>
          <w:rFonts w:hint="default" w:hAnsi="宋体"/>
          <w:b/>
          <w:sz w:val="24"/>
          <w:szCs w:val="24"/>
        </w:rPr>
        <w:t>二、报价文件的组成</w:t>
      </w:r>
      <w:bookmarkEnd w:id="51"/>
    </w:p>
    <w:p w14:paraId="6AC650EA">
      <w:pPr>
        <w:snapToGrid w:val="0"/>
        <w:spacing w:beforeLines="0" w:afterLines="0" w:line="360" w:lineRule="auto"/>
        <w:ind w:firstLine="424" w:firstLineChars="177"/>
        <w:rPr>
          <w:rFonts w:hint="default" w:hAnsi="宋体"/>
          <w:color w:val="000000"/>
          <w:sz w:val="24"/>
          <w:szCs w:val="24"/>
        </w:rPr>
      </w:pPr>
      <w:r>
        <w:rPr>
          <w:rFonts w:hint="default" w:hAnsi="宋体"/>
          <w:color w:val="000000"/>
          <w:sz w:val="24"/>
          <w:szCs w:val="24"/>
        </w:rPr>
        <w:t>1.报价表；</w:t>
      </w:r>
    </w:p>
    <w:p w14:paraId="141883D3">
      <w:pPr>
        <w:snapToGrid w:val="0"/>
        <w:spacing w:beforeLines="0" w:afterLines="0" w:line="360" w:lineRule="auto"/>
        <w:ind w:firstLine="424" w:firstLineChars="177"/>
        <w:rPr>
          <w:rFonts w:hint="default" w:hAnsi="宋体"/>
          <w:color w:val="000000"/>
          <w:sz w:val="24"/>
          <w:szCs w:val="24"/>
        </w:rPr>
      </w:pPr>
      <w:r>
        <w:rPr>
          <w:rFonts w:hint="eastAsia" w:hAnsi="宋体"/>
          <w:color w:val="000000"/>
          <w:sz w:val="24"/>
          <w:szCs w:val="24"/>
          <w:lang w:val="en-US" w:eastAsia="zh-CN"/>
        </w:rPr>
        <w:t>2</w:t>
      </w:r>
      <w:r>
        <w:rPr>
          <w:rFonts w:hint="default" w:hAnsi="宋体"/>
          <w:color w:val="000000"/>
          <w:sz w:val="24"/>
          <w:szCs w:val="24"/>
        </w:rPr>
        <w:t>.报价承诺书；</w:t>
      </w:r>
    </w:p>
    <w:p w14:paraId="326C88A8">
      <w:pPr>
        <w:snapToGrid w:val="0"/>
        <w:spacing w:beforeLines="0" w:afterLines="0" w:line="360" w:lineRule="auto"/>
        <w:ind w:firstLine="424" w:firstLineChars="177"/>
        <w:rPr>
          <w:rFonts w:hint="eastAsia" w:hAnsi="宋体"/>
          <w:color w:val="000000"/>
          <w:sz w:val="24"/>
          <w:szCs w:val="24"/>
          <w:lang w:eastAsia="zh-CN"/>
        </w:rPr>
      </w:pPr>
      <w:r>
        <w:rPr>
          <w:rFonts w:hint="eastAsia" w:hAnsi="宋体"/>
          <w:color w:val="000000"/>
          <w:sz w:val="24"/>
          <w:szCs w:val="24"/>
          <w:lang w:val="en-US" w:eastAsia="zh-CN"/>
        </w:rPr>
        <w:t>3</w:t>
      </w:r>
      <w:r>
        <w:rPr>
          <w:rFonts w:hint="default" w:hAnsi="宋体"/>
          <w:color w:val="000000"/>
          <w:sz w:val="24"/>
          <w:szCs w:val="24"/>
        </w:rPr>
        <w:t>.营业执照</w:t>
      </w:r>
      <w:r>
        <w:rPr>
          <w:rFonts w:hint="eastAsia" w:hAnsi="宋体"/>
          <w:color w:val="000000"/>
          <w:sz w:val="24"/>
          <w:szCs w:val="24"/>
          <w:lang w:eastAsia="zh-CN"/>
        </w:rPr>
        <w:t>；</w:t>
      </w:r>
    </w:p>
    <w:p w14:paraId="79DBFEFA">
      <w:pPr>
        <w:pStyle w:val="2"/>
        <w:rPr>
          <w:rFonts w:hint="eastAsia" w:hAnsi="宋体"/>
          <w:color w:val="000000"/>
          <w:sz w:val="24"/>
          <w:szCs w:val="24"/>
          <w:lang w:val="en-US" w:eastAsia="zh-CN"/>
        </w:rPr>
      </w:pPr>
      <w:r>
        <w:rPr>
          <w:rFonts w:hint="eastAsia" w:hAnsi="宋体"/>
          <w:color w:val="000000"/>
          <w:sz w:val="24"/>
          <w:szCs w:val="24"/>
          <w:lang w:val="en-US" w:eastAsia="zh-CN"/>
        </w:rPr>
        <w:t xml:space="preserve">  4.信息化升级建设项目业绩；</w:t>
      </w:r>
    </w:p>
    <w:p w14:paraId="05041A93">
      <w:pPr>
        <w:pStyle w:val="2"/>
        <w:rPr>
          <w:rFonts w:hint="default" w:hAnsi="宋体"/>
          <w:color w:val="000000"/>
          <w:sz w:val="24"/>
          <w:szCs w:val="24"/>
          <w:lang w:val="en-US" w:eastAsia="zh-CN"/>
        </w:rPr>
      </w:pPr>
      <w:r>
        <w:rPr>
          <w:rFonts w:hint="eastAsia" w:hAnsi="宋体"/>
          <w:color w:val="000000"/>
          <w:sz w:val="24"/>
          <w:szCs w:val="24"/>
          <w:lang w:val="en-US" w:eastAsia="zh-CN"/>
        </w:rPr>
        <w:t xml:space="preserve">  5.信用中国网站截图。</w:t>
      </w:r>
    </w:p>
    <w:p w14:paraId="793E280C">
      <w:pPr>
        <w:pStyle w:val="2"/>
        <w:spacing w:beforeLines="0" w:afterLines="0"/>
        <w:rPr>
          <w:rFonts w:hint="default" w:hAnsi="宋体"/>
          <w:color w:val="000000"/>
          <w:sz w:val="24"/>
          <w:szCs w:val="24"/>
        </w:rPr>
      </w:pPr>
    </w:p>
    <w:p w14:paraId="46F798B0">
      <w:pPr>
        <w:snapToGrid w:val="0"/>
        <w:spacing w:beforeLines="0" w:afterLines="0" w:line="360" w:lineRule="auto"/>
        <w:outlineLvl w:val="1"/>
        <w:rPr>
          <w:rFonts w:hint="default" w:hAnsi="宋体"/>
          <w:b/>
          <w:sz w:val="24"/>
          <w:szCs w:val="24"/>
        </w:rPr>
      </w:pPr>
      <w:bookmarkStart w:id="52" w:name="_Toc11475"/>
      <w:r>
        <w:rPr>
          <w:rFonts w:hint="default" w:hAnsi="宋体"/>
          <w:b/>
          <w:sz w:val="24"/>
          <w:szCs w:val="24"/>
        </w:rPr>
        <w:t>三、报价文件的封装和递交</w:t>
      </w:r>
      <w:bookmarkEnd w:id="52"/>
    </w:p>
    <w:p w14:paraId="5B49B5FC">
      <w:pPr>
        <w:snapToGrid w:val="0"/>
        <w:spacing w:beforeLines="0" w:afterLines="0" w:line="360" w:lineRule="auto"/>
        <w:ind w:firstLine="424" w:firstLineChars="177"/>
        <w:rPr>
          <w:rFonts w:hint="default" w:hAnsi="宋体"/>
          <w:sz w:val="24"/>
          <w:szCs w:val="24"/>
        </w:rPr>
      </w:pPr>
      <w:r>
        <w:rPr>
          <w:rFonts w:hint="default" w:hAnsi="宋体"/>
          <w:sz w:val="24"/>
          <w:szCs w:val="24"/>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15A0551D">
      <w:pPr>
        <w:snapToGrid w:val="0"/>
        <w:spacing w:beforeLines="0" w:afterLines="0" w:line="360" w:lineRule="auto"/>
        <w:ind w:firstLine="424" w:firstLineChars="177"/>
        <w:rPr>
          <w:rFonts w:hint="default" w:hAnsi="宋体"/>
          <w:sz w:val="24"/>
          <w:szCs w:val="24"/>
        </w:rPr>
      </w:pPr>
      <w:r>
        <w:rPr>
          <w:rFonts w:hint="default" w:hAnsi="宋体"/>
          <w:sz w:val="24"/>
          <w:szCs w:val="24"/>
        </w:rPr>
        <w:t>2.密封好的报价文件，应于询价邀请函中规定的截止时间前递交到采购人指定的递交地点。</w:t>
      </w:r>
    </w:p>
    <w:p w14:paraId="625958F7">
      <w:pPr>
        <w:pStyle w:val="2"/>
        <w:rPr>
          <w:rFonts w:hint="default" w:hAnsi="宋体"/>
          <w:sz w:val="24"/>
          <w:szCs w:val="24"/>
        </w:rPr>
      </w:pPr>
    </w:p>
    <w:p w14:paraId="01267C71">
      <w:pPr>
        <w:snapToGrid w:val="0"/>
        <w:spacing w:line="360" w:lineRule="auto"/>
        <w:outlineLvl w:val="1"/>
        <w:rPr>
          <w:rFonts w:hint="default" w:ascii="宋体" w:hAnsi="宋体" w:eastAsia="宋体" w:cs="Times New Roman"/>
          <w:b/>
          <w:bCs w:val="0"/>
          <w:sz w:val="24"/>
          <w:szCs w:val="24"/>
        </w:rPr>
      </w:pPr>
      <w:r>
        <w:rPr>
          <w:rFonts w:hint="eastAsia" w:ascii="宋体" w:hAnsi="宋体" w:eastAsia="宋体" w:cs="Times New Roman"/>
          <w:b/>
          <w:bCs w:val="0"/>
          <w:sz w:val="24"/>
          <w:szCs w:val="24"/>
          <w:lang w:val="en-US" w:eastAsia="zh-CN"/>
        </w:rPr>
        <w:t>四</w:t>
      </w:r>
      <w:r>
        <w:rPr>
          <w:rFonts w:hint="default" w:ascii="宋体" w:hAnsi="宋体" w:eastAsia="宋体" w:cs="Times New Roman"/>
          <w:b/>
          <w:bCs w:val="0"/>
          <w:sz w:val="24"/>
          <w:szCs w:val="24"/>
        </w:rPr>
        <w:t>、</w:t>
      </w:r>
      <w:r>
        <w:rPr>
          <w:rFonts w:hint="eastAsia" w:ascii="宋体" w:hAnsi="宋体" w:eastAsia="宋体" w:cs="Times New Roman"/>
          <w:b/>
          <w:bCs w:val="0"/>
          <w:sz w:val="24"/>
          <w:szCs w:val="24"/>
          <w:lang w:val="en-US" w:eastAsia="zh-CN"/>
        </w:rPr>
        <w:t>其他要求</w:t>
      </w:r>
    </w:p>
    <w:p w14:paraId="1E51155D">
      <w:pPr>
        <w:pStyle w:val="2"/>
        <w:autoSpaceDE/>
        <w:autoSpaceDN/>
        <w:spacing w:line="360" w:lineRule="auto"/>
        <w:ind w:firstLine="422" w:firstLineChars="176"/>
        <w:rPr>
          <w:rFonts w:hint="eastAsia" w:hAnsi="宋体" w:cs="宋体"/>
          <w:b w:val="0"/>
          <w:bCs w:val="0"/>
        </w:rPr>
      </w:pPr>
      <w:r>
        <w:rPr>
          <w:rFonts w:hint="eastAsia" w:hAnsi="宋体" w:cs="宋体"/>
          <w:b w:val="0"/>
          <w:bCs w:val="0"/>
          <w:sz w:val="24"/>
          <w:szCs w:val="24"/>
        </w:rPr>
        <w:t>1.</w:t>
      </w:r>
      <w:r>
        <w:rPr>
          <w:rFonts w:hint="eastAsia" w:hAnsi="宋体" w:cs="宋体"/>
          <w:b w:val="0"/>
          <w:bCs w:val="0"/>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w:t>
      </w:r>
    </w:p>
    <w:p w14:paraId="28709459">
      <w:pPr>
        <w:pStyle w:val="2"/>
        <w:autoSpaceDE/>
        <w:autoSpaceDN/>
        <w:spacing w:line="360" w:lineRule="auto"/>
        <w:ind w:firstLine="422" w:firstLineChars="176"/>
        <w:rPr>
          <w:rFonts w:hint="default" w:hAnsi="宋体"/>
          <w:sz w:val="24"/>
          <w:szCs w:val="24"/>
        </w:rPr>
      </w:pPr>
      <w:r>
        <w:rPr>
          <w:rFonts w:hint="eastAsia" w:hAnsi="宋体" w:cs="宋体"/>
          <w:b w:val="0"/>
          <w:bCs w:val="0"/>
        </w:rPr>
        <w:t>2.当最低价供应商放弃成交资格时，采购人有权确定实质性满足采购需求的第二低价供应商作为成交供应商，或重新进行采购。</w:t>
      </w:r>
    </w:p>
    <w:p w14:paraId="2FCA5C69">
      <w:pPr>
        <w:snapToGrid w:val="0"/>
        <w:spacing w:line="360" w:lineRule="auto"/>
        <w:rPr>
          <w:rFonts w:hint="default" w:ascii="宋体" w:hAnsi="Times New Roman" w:eastAsia="宋体" w:cs="Times New Roman"/>
          <w:sz w:val="24"/>
          <w:szCs w:val="24"/>
          <w:lang w:val="en-US" w:eastAsia="zh-CN" w:bidi="ar-SA"/>
        </w:rPr>
      </w:pPr>
      <w:r>
        <w:rPr>
          <w:rFonts w:hint="default" w:hAnsi="宋体"/>
          <w:sz w:val="24"/>
          <w:szCs w:val="24"/>
        </w:rPr>
        <w:br w:type="page"/>
      </w:r>
    </w:p>
    <w:p w14:paraId="023DC5E8">
      <w:pPr>
        <w:pStyle w:val="4"/>
        <w:snapToGrid w:val="0"/>
        <w:spacing w:before="0" w:beforeLines="0" w:after="0" w:afterLines="0"/>
        <w:jc w:val="center"/>
        <w:rPr>
          <w:rFonts w:hint="default" w:hAnsi="宋体"/>
          <w:sz w:val="32"/>
          <w:szCs w:val="32"/>
        </w:rPr>
      </w:pPr>
      <w:bookmarkStart w:id="53" w:name="_Toc30920"/>
      <w:bookmarkStart w:id="54" w:name="_Toc13624"/>
      <w:r>
        <w:rPr>
          <w:rFonts w:hint="default" w:hAnsi="宋体"/>
          <w:sz w:val="32"/>
          <w:szCs w:val="32"/>
        </w:rPr>
        <w:t>第</w:t>
      </w:r>
      <w:r>
        <w:rPr>
          <w:rFonts w:hint="eastAsia" w:hAnsi="宋体"/>
          <w:sz w:val="32"/>
          <w:szCs w:val="32"/>
          <w:lang w:val="en-US" w:eastAsia="zh-CN"/>
        </w:rPr>
        <w:t>五</w:t>
      </w:r>
      <w:r>
        <w:rPr>
          <w:rFonts w:hint="default" w:hAnsi="宋体"/>
          <w:sz w:val="32"/>
          <w:szCs w:val="32"/>
        </w:rPr>
        <w:t>章 报价文件（格式）</w:t>
      </w:r>
      <w:bookmarkEnd w:id="53"/>
      <w:bookmarkEnd w:id="54"/>
    </w:p>
    <w:p w14:paraId="74E900FF">
      <w:pPr>
        <w:snapToGrid w:val="0"/>
        <w:spacing w:beforeLines="0" w:afterLines="0" w:line="360" w:lineRule="auto"/>
        <w:outlineLvl w:val="1"/>
        <w:rPr>
          <w:rFonts w:hint="default" w:hAnsi="宋体"/>
          <w:b/>
          <w:color w:val="000000"/>
          <w:sz w:val="28"/>
          <w:szCs w:val="28"/>
        </w:rPr>
      </w:pPr>
      <w:bookmarkStart w:id="55" w:name="_Toc9653"/>
      <w:r>
        <w:rPr>
          <w:rFonts w:hint="default" w:hAnsi="宋体"/>
          <w:b/>
          <w:color w:val="000000"/>
          <w:sz w:val="28"/>
          <w:szCs w:val="28"/>
        </w:rPr>
        <w:t>1、报价表</w:t>
      </w:r>
      <w:bookmarkEnd w:id="55"/>
    </w:p>
    <w:tbl>
      <w:tblPr>
        <w:tblStyle w:val="9"/>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487"/>
      </w:tblGrid>
      <w:tr w14:paraId="2D2C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A2EEC7">
            <w:pPr>
              <w:pStyle w:val="7"/>
              <w:adjustRightInd w:val="0"/>
              <w:snapToGrid w:val="0"/>
              <w:spacing w:beforeLines="0" w:afterLines="0" w:line="360" w:lineRule="auto"/>
              <w:jc w:val="center"/>
              <w:rPr>
                <w:rFonts w:hint="default" w:hAnsi="宋体"/>
                <w:color w:val="000000"/>
                <w:sz w:val="24"/>
                <w:szCs w:val="28"/>
              </w:rPr>
            </w:pPr>
            <w:bookmarkStart w:id="56" w:name="_Hlk33287059"/>
            <w:r>
              <w:rPr>
                <w:rFonts w:hint="default" w:hAnsi="宋体"/>
                <w:color w:val="000000"/>
                <w:sz w:val="24"/>
                <w:szCs w:val="28"/>
              </w:rPr>
              <w:t>项目名称</w:t>
            </w:r>
          </w:p>
        </w:tc>
        <w:tc>
          <w:tcPr>
            <w:tcW w:w="6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F4147C">
            <w:pPr>
              <w:snapToGrid w:val="0"/>
              <w:spacing w:beforeLines="0" w:afterLines="0" w:line="360" w:lineRule="auto"/>
              <w:ind w:left="662" w:leftChars="276" w:firstLine="237" w:firstLineChars="99"/>
              <w:rPr>
                <w:rFonts w:hint="default" w:hAnsi="宋体"/>
                <w:color w:val="000000"/>
                <w:sz w:val="24"/>
                <w:szCs w:val="28"/>
              </w:rPr>
            </w:pPr>
            <w:r>
              <w:rPr>
                <w:rFonts w:hint="default" w:hAnsi="宋体"/>
                <w:color w:val="000000"/>
                <w:sz w:val="24"/>
                <w:szCs w:val="24"/>
              </w:rPr>
              <w:t>管网运营平台管网清疏检测功能升级建设项目</w:t>
            </w:r>
          </w:p>
        </w:tc>
      </w:tr>
      <w:bookmarkEnd w:id="56"/>
      <w:tr w14:paraId="01D1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2C0111">
            <w:pPr>
              <w:pStyle w:val="7"/>
              <w:adjustRightInd w:val="0"/>
              <w:snapToGrid w:val="0"/>
              <w:spacing w:beforeLines="0" w:afterLines="0" w:line="360" w:lineRule="auto"/>
              <w:jc w:val="center"/>
              <w:rPr>
                <w:rFonts w:hint="default" w:hAnsi="宋体"/>
                <w:color w:val="000000"/>
                <w:sz w:val="24"/>
                <w:szCs w:val="28"/>
              </w:rPr>
            </w:pPr>
          </w:p>
          <w:p w14:paraId="641A5D03">
            <w:pPr>
              <w:pStyle w:val="7"/>
              <w:adjustRightInd w:val="0"/>
              <w:snapToGrid w:val="0"/>
              <w:spacing w:beforeLines="0" w:afterLines="0" w:line="360" w:lineRule="auto"/>
              <w:ind w:firstLine="480" w:firstLineChars="200"/>
              <w:rPr>
                <w:rFonts w:hint="default" w:hAnsi="宋体"/>
                <w:color w:val="000000"/>
                <w:sz w:val="24"/>
                <w:szCs w:val="28"/>
              </w:rPr>
            </w:pPr>
            <w:r>
              <w:rPr>
                <w:rFonts w:hint="default" w:hAnsi="宋体"/>
                <w:color w:val="000000"/>
                <w:sz w:val="24"/>
                <w:szCs w:val="28"/>
              </w:rPr>
              <w:t>不含税总价</w:t>
            </w:r>
          </w:p>
          <w:p w14:paraId="07B7B05E">
            <w:pPr>
              <w:pStyle w:val="7"/>
              <w:adjustRightInd w:val="0"/>
              <w:snapToGrid w:val="0"/>
              <w:spacing w:beforeLines="0" w:afterLines="0" w:line="360" w:lineRule="auto"/>
              <w:jc w:val="center"/>
              <w:rPr>
                <w:rFonts w:hint="default" w:hAnsi="宋体"/>
                <w:color w:val="000000"/>
                <w:sz w:val="24"/>
                <w:szCs w:val="28"/>
              </w:rPr>
            </w:pPr>
          </w:p>
        </w:tc>
        <w:tc>
          <w:tcPr>
            <w:tcW w:w="6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DA464">
            <w:pPr>
              <w:pStyle w:val="7"/>
              <w:adjustRightInd w:val="0"/>
              <w:snapToGrid w:val="0"/>
              <w:spacing w:beforeLines="0" w:afterLines="0" w:line="360" w:lineRule="auto"/>
              <w:ind w:firstLine="1200" w:firstLineChars="500"/>
              <w:rPr>
                <w:rFonts w:hint="default" w:hAnsi="宋体"/>
                <w:sz w:val="24"/>
                <w:szCs w:val="24"/>
              </w:rPr>
            </w:pPr>
          </w:p>
          <w:p w14:paraId="642E4E00">
            <w:pPr>
              <w:pStyle w:val="7"/>
              <w:adjustRightInd w:val="0"/>
              <w:snapToGrid w:val="0"/>
              <w:spacing w:beforeLines="0" w:afterLines="0" w:line="360" w:lineRule="auto"/>
              <w:ind w:firstLine="1200" w:firstLineChars="500"/>
              <w:rPr>
                <w:rFonts w:hint="default" w:hAnsi="宋体"/>
                <w:sz w:val="24"/>
                <w:szCs w:val="24"/>
              </w:rPr>
            </w:pPr>
            <w:r>
              <w:rPr>
                <w:rFonts w:hint="default" w:hAnsi="宋体"/>
                <w:sz w:val="24"/>
                <w:szCs w:val="24"/>
              </w:rPr>
              <w:t>大写：</w:t>
            </w:r>
          </w:p>
          <w:p w14:paraId="01941CCF">
            <w:pPr>
              <w:pStyle w:val="7"/>
              <w:adjustRightInd w:val="0"/>
              <w:snapToGrid w:val="0"/>
              <w:spacing w:beforeLines="0" w:afterLines="0" w:line="360" w:lineRule="auto"/>
              <w:ind w:firstLine="1200" w:firstLineChars="500"/>
              <w:rPr>
                <w:rFonts w:hint="default" w:hAnsi="宋体"/>
                <w:sz w:val="24"/>
                <w:szCs w:val="24"/>
                <w:u w:val="single"/>
              </w:rPr>
            </w:pPr>
            <w:r>
              <w:rPr>
                <w:rFonts w:hint="default" w:hAnsi="宋体"/>
                <w:sz w:val="24"/>
                <w:szCs w:val="24"/>
              </w:rPr>
              <w:t>小写：</w:t>
            </w:r>
          </w:p>
          <w:p w14:paraId="7F6C2497">
            <w:pPr>
              <w:snapToGrid w:val="0"/>
              <w:spacing w:beforeLines="0" w:afterLines="0"/>
              <w:ind w:firstLine="1680" w:firstLineChars="700"/>
              <w:rPr>
                <w:rFonts w:hint="default" w:hAnsi="宋体"/>
                <w:sz w:val="24"/>
                <w:szCs w:val="24"/>
              </w:rPr>
            </w:pPr>
          </w:p>
        </w:tc>
      </w:tr>
      <w:tr w14:paraId="7120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9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9C0791">
            <w:pPr>
              <w:pStyle w:val="7"/>
              <w:adjustRightInd w:val="0"/>
              <w:snapToGrid w:val="0"/>
              <w:spacing w:beforeLines="0" w:afterLines="0" w:line="360" w:lineRule="auto"/>
              <w:jc w:val="center"/>
              <w:rPr>
                <w:rFonts w:hint="default" w:hAnsi="宋体"/>
                <w:color w:val="000000"/>
                <w:sz w:val="24"/>
                <w:szCs w:val="28"/>
                <w:u w:val="single"/>
              </w:rPr>
            </w:pPr>
            <w:r>
              <w:rPr>
                <w:rFonts w:hint="default" w:hAnsi="宋体"/>
                <w:color w:val="000000"/>
                <w:sz w:val="24"/>
                <w:szCs w:val="28"/>
              </w:rPr>
              <w:t>完成时间</w:t>
            </w:r>
          </w:p>
        </w:tc>
        <w:tc>
          <w:tcPr>
            <w:tcW w:w="6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7D7565">
            <w:pPr>
              <w:autoSpaceDE/>
              <w:autoSpaceDN/>
              <w:adjustRightInd/>
              <w:spacing w:line="560" w:lineRule="exact"/>
              <w:jc w:val="center"/>
              <w:rPr>
                <w:rFonts w:hint="default" w:hAnsi="宋体"/>
                <w:color w:val="000000"/>
                <w:sz w:val="24"/>
                <w:szCs w:val="24"/>
              </w:rPr>
            </w:pPr>
            <w:r>
              <w:rPr>
                <w:rFonts w:hint="default" w:hAnsi="宋体"/>
                <w:color w:val="000000"/>
                <w:sz w:val="24"/>
                <w:szCs w:val="24"/>
              </w:rPr>
              <w:t>详见用户需求书</w:t>
            </w:r>
          </w:p>
        </w:tc>
      </w:tr>
      <w:tr w14:paraId="1172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FCA5A">
            <w:pPr>
              <w:pStyle w:val="7"/>
              <w:adjustRightInd w:val="0"/>
              <w:snapToGrid w:val="0"/>
              <w:spacing w:beforeLines="0" w:afterLines="0" w:line="360" w:lineRule="auto"/>
              <w:jc w:val="center"/>
              <w:rPr>
                <w:rFonts w:hint="default" w:hAnsi="宋体"/>
                <w:color w:val="000000"/>
                <w:sz w:val="24"/>
                <w:szCs w:val="28"/>
              </w:rPr>
            </w:pPr>
            <w:r>
              <w:rPr>
                <w:rFonts w:hint="default" w:hAnsi="宋体"/>
                <w:color w:val="000000"/>
                <w:sz w:val="24"/>
                <w:szCs w:val="28"/>
              </w:rPr>
              <w:t>备注</w:t>
            </w:r>
          </w:p>
        </w:tc>
        <w:tc>
          <w:tcPr>
            <w:tcW w:w="6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B7D733">
            <w:pPr>
              <w:numPr>
                <w:ilvl w:val="0"/>
                <w:numId w:val="3"/>
              </w:numPr>
              <w:autoSpaceDE/>
              <w:autoSpaceDN/>
              <w:snapToGrid w:val="0"/>
              <w:spacing w:beforeLines="0" w:afterLines="0" w:line="360" w:lineRule="auto"/>
              <w:jc w:val="both"/>
              <w:rPr>
                <w:rFonts w:hint="default" w:hAnsi="宋体"/>
                <w:sz w:val="21"/>
                <w:szCs w:val="21"/>
              </w:rPr>
            </w:pPr>
            <w:r>
              <w:rPr>
                <w:rFonts w:hint="default" w:hAnsi="宋体"/>
                <w:sz w:val="21"/>
                <w:szCs w:val="21"/>
              </w:rPr>
              <w:t>本项目报价为不含税报价，报价人所报价格不得超过限价。报价均包括但不限于完成本项目所需的全部费用，从实质性满足采购需求的供应商中，按不含税报价最低成交原则确定成交供应商。</w:t>
            </w:r>
          </w:p>
          <w:p w14:paraId="654304FF">
            <w:pPr>
              <w:numPr>
                <w:ilvl w:val="0"/>
                <w:numId w:val="3"/>
              </w:numPr>
              <w:autoSpaceDE/>
              <w:autoSpaceDN/>
              <w:snapToGrid w:val="0"/>
              <w:spacing w:beforeLines="0" w:afterLines="0" w:line="360" w:lineRule="auto"/>
              <w:jc w:val="both"/>
              <w:rPr>
                <w:rFonts w:hint="default" w:hAnsi="宋体"/>
                <w:sz w:val="21"/>
                <w:szCs w:val="21"/>
              </w:rPr>
            </w:pPr>
            <w:r>
              <w:rPr>
                <w:rFonts w:hint="default" w:hAnsi="宋体"/>
                <w:sz w:val="21"/>
                <w:szCs w:val="21"/>
              </w:rPr>
              <w:t>已详细审查全部询价文件要求，并响应询价文件全部要求。</w:t>
            </w:r>
          </w:p>
          <w:p w14:paraId="0E26326C">
            <w:pPr>
              <w:numPr>
                <w:ilvl w:val="0"/>
                <w:numId w:val="3"/>
              </w:numPr>
              <w:autoSpaceDE/>
              <w:autoSpaceDN/>
              <w:snapToGrid w:val="0"/>
              <w:spacing w:beforeLines="0" w:afterLines="0" w:line="360" w:lineRule="auto"/>
              <w:jc w:val="both"/>
              <w:rPr>
                <w:rFonts w:hint="default" w:hAnsi="宋体"/>
                <w:sz w:val="21"/>
                <w:szCs w:val="21"/>
              </w:rPr>
            </w:pPr>
            <w:r>
              <w:rPr>
                <w:rFonts w:hint="default" w:hAnsi="宋体"/>
                <w:sz w:val="21"/>
                <w:szCs w:val="21"/>
              </w:rPr>
              <w:t>上述报价数值保留小数点后2位，从小数点后第3位四舍五入。</w:t>
            </w:r>
          </w:p>
          <w:p w14:paraId="717EA181">
            <w:pPr>
              <w:numPr>
                <w:ilvl w:val="0"/>
                <w:numId w:val="3"/>
              </w:numPr>
              <w:autoSpaceDE/>
              <w:autoSpaceDN/>
              <w:snapToGrid w:val="0"/>
              <w:spacing w:beforeLines="0" w:afterLines="0" w:line="360" w:lineRule="auto"/>
              <w:jc w:val="both"/>
              <w:rPr>
                <w:rFonts w:hint="default" w:hAnsi="宋体"/>
                <w:color w:val="000000"/>
                <w:sz w:val="24"/>
                <w:szCs w:val="28"/>
              </w:rPr>
            </w:pPr>
            <w:r>
              <w:rPr>
                <w:rFonts w:hint="default" w:hAnsi="宋体"/>
                <w:sz w:val="21"/>
                <w:szCs w:val="21"/>
              </w:rPr>
              <w:t>本报价表不允许调整，擅自修改，将视为无效报价。</w:t>
            </w:r>
          </w:p>
        </w:tc>
      </w:tr>
    </w:tbl>
    <w:p w14:paraId="0FF511B4">
      <w:pPr>
        <w:pStyle w:val="7"/>
        <w:adjustRightInd w:val="0"/>
        <w:snapToGrid w:val="0"/>
        <w:spacing w:beforeLines="0" w:afterLines="0" w:line="360" w:lineRule="auto"/>
        <w:rPr>
          <w:rFonts w:hint="default" w:hAnsi="宋体"/>
          <w:color w:val="000000"/>
          <w:sz w:val="24"/>
          <w:szCs w:val="28"/>
        </w:rPr>
      </w:pPr>
    </w:p>
    <w:p w14:paraId="7BD4345D">
      <w:pPr>
        <w:pStyle w:val="7"/>
        <w:adjustRightInd w:val="0"/>
        <w:snapToGrid w:val="0"/>
        <w:spacing w:beforeLines="0" w:afterLines="0" w:line="360" w:lineRule="auto"/>
        <w:ind w:firstLine="240" w:firstLineChars="100"/>
        <w:rPr>
          <w:rFonts w:hint="default" w:hAnsi="宋体"/>
          <w:color w:val="000000"/>
          <w:sz w:val="24"/>
          <w:szCs w:val="28"/>
        </w:rPr>
      </w:pPr>
      <w:r>
        <w:rPr>
          <w:rFonts w:hint="default" w:hAnsi="宋体"/>
          <w:color w:val="000000"/>
          <w:sz w:val="24"/>
          <w:szCs w:val="28"/>
        </w:rPr>
        <w:t xml:space="preserve">联系人：                         </w:t>
      </w:r>
      <w:r>
        <w:rPr>
          <w:rFonts w:hint="eastAsia" w:hAnsi="宋体"/>
          <w:color w:val="000000"/>
          <w:sz w:val="24"/>
          <w:szCs w:val="28"/>
          <w:lang w:val="en-US" w:eastAsia="zh-CN"/>
        </w:rPr>
        <w:t xml:space="preserve">   </w:t>
      </w:r>
      <w:r>
        <w:rPr>
          <w:rFonts w:hint="default" w:hAnsi="宋体"/>
          <w:color w:val="000000"/>
          <w:sz w:val="24"/>
          <w:szCs w:val="28"/>
        </w:rPr>
        <w:t xml:space="preserve"> 联系电话：</w:t>
      </w:r>
    </w:p>
    <w:p w14:paraId="06271830">
      <w:pPr>
        <w:pStyle w:val="7"/>
        <w:adjustRightInd w:val="0"/>
        <w:snapToGrid w:val="0"/>
        <w:spacing w:beforeLines="0" w:afterLines="0" w:line="360" w:lineRule="auto"/>
        <w:ind w:firstLine="240" w:firstLineChars="100"/>
        <w:rPr>
          <w:rFonts w:hint="default" w:hAnsi="宋体"/>
          <w:color w:val="000000"/>
          <w:sz w:val="24"/>
          <w:szCs w:val="28"/>
        </w:rPr>
      </w:pPr>
      <w:r>
        <w:rPr>
          <w:rFonts w:hint="default" w:hAnsi="宋体"/>
          <w:color w:val="000000"/>
          <w:sz w:val="24"/>
          <w:szCs w:val="28"/>
        </w:rPr>
        <w:t xml:space="preserve">联系地址：                        </w:t>
      </w:r>
      <w:r>
        <w:rPr>
          <w:rFonts w:hint="eastAsia" w:hAnsi="宋体"/>
          <w:color w:val="000000"/>
          <w:sz w:val="24"/>
          <w:szCs w:val="28"/>
          <w:lang w:val="en-US" w:eastAsia="zh-CN"/>
        </w:rPr>
        <w:t xml:space="preserve">   </w:t>
      </w:r>
      <w:r>
        <w:rPr>
          <w:rFonts w:hint="default" w:hAnsi="宋体"/>
          <w:color w:val="000000"/>
          <w:sz w:val="24"/>
          <w:szCs w:val="28"/>
          <w:lang w:val="zh-CN"/>
        </w:rPr>
        <w:t>报价人：（公章）</w:t>
      </w:r>
    </w:p>
    <w:p w14:paraId="1C047400">
      <w:pPr>
        <w:snapToGrid w:val="0"/>
        <w:spacing w:beforeLines="0" w:afterLines="0" w:line="360" w:lineRule="auto"/>
        <w:jc w:val="center"/>
        <w:rPr>
          <w:rFonts w:hint="default" w:hAnsi="宋体"/>
          <w:color w:val="000000"/>
          <w:sz w:val="32"/>
          <w:szCs w:val="32"/>
        </w:rPr>
      </w:pPr>
      <w:r>
        <w:rPr>
          <w:rFonts w:hint="default" w:hAnsi="宋体"/>
          <w:color w:val="000000"/>
          <w:kern w:val="2"/>
          <w:sz w:val="24"/>
          <w:szCs w:val="28"/>
          <w:lang w:val="zh-CN"/>
        </w:rPr>
        <w:t xml:space="preserve">                      </w:t>
      </w:r>
      <w:r>
        <w:rPr>
          <w:rFonts w:hint="eastAsia" w:hAnsi="宋体"/>
          <w:color w:val="000000"/>
          <w:kern w:val="2"/>
          <w:sz w:val="24"/>
          <w:szCs w:val="28"/>
          <w:lang w:val="en-US" w:eastAsia="zh-CN"/>
        </w:rPr>
        <w:t xml:space="preserve">    </w:t>
      </w:r>
      <w:r>
        <w:rPr>
          <w:rFonts w:hint="default" w:hAnsi="宋体"/>
          <w:color w:val="000000"/>
          <w:kern w:val="2"/>
          <w:sz w:val="24"/>
          <w:szCs w:val="28"/>
          <w:lang w:val="zh-CN"/>
        </w:rPr>
        <w:t xml:space="preserve">日期：   年    月   </w:t>
      </w:r>
      <w:r>
        <w:rPr>
          <w:rFonts w:hint="default" w:hAnsi="宋体"/>
          <w:color w:val="000000"/>
          <w:kern w:val="2"/>
          <w:sz w:val="24"/>
          <w:szCs w:val="28"/>
        </w:rPr>
        <w:t>日</w:t>
      </w:r>
      <w:bookmarkStart w:id="57" w:name="_Toc27491776"/>
      <w:bookmarkStart w:id="58" w:name="_Toc27551756"/>
      <w:bookmarkStart w:id="59" w:name="_Toc27562528"/>
      <w:bookmarkStart w:id="60" w:name="_Toc25268"/>
    </w:p>
    <w:p w14:paraId="181CE462">
      <w:pPr>
        <w:pStyle w:val="4"/>
        <w:snapToGrid w:val="0"/>
        <w:spacing w:before="0" w:beforeLines="0" w:after="0" w:afterLines="0"/>
        <w:jc w:val="center"/>
        <w:outlineLvl w:val="9"/>
        <w:rPr>
          <w:rFonts w:hint="default" w:hAnsi="宋体"/>
          <w:color w:val="000000"/>
          <w:sz w:val="32"/>
          <w:szCs w:val="32"/>
        </w:rPr>
      </w:pPr>
    </w:p>
    <w:p w14:paraId="0FAFD1EE">
      <w:pPr>
        <w:pStyle w:val="4"/>
        <w:snapToGrid w:val="0"/>
        <w:spacing w:before="0" w:beforeLines="0" w:after="0" w:afterLines="0"/>
        <w:jc w:val="center"/>
        <w:outlineLvl w:val="9"/>
        <w:rPr>
          <w:rFonts w:hint="default" w:hAnsi="宋体"/>
          <w:color w:val="000000"/>
          <w:sz w:val="32"/>
          <w:szCs w:val="32"/>
        </w:rPr>
      </w:pPr>
    </w:p>
    <w:p w14:paraId="260222F5">
      <w:pPr>
        <w:rPr>
          <w:rFonts w:hint="default" w:hAnsi="宋体"/>
          <w:color w:val="000000"/>
          <w:sz w:val="32"/>
          <w:szCs w:val="32"/>
        </w:rPr>
      </w:pPr>
    </w:p>
    <w:p w14:paraId="0949843A">
      <w:pPr>
        <w:rPr>
          <w:rFonts w:hint="default" w:hAnsi="宋体"/>
          <w:color w:val="000000"/>
          <w:sz w:val="32"/>
          <w:szCs w:val="32"/>
        </w:rPr>
      </w:pPr>
    </w:p>
    <w:p w14:paraId="6973064F">
      <w:pPr>
        <w:rPr>
          <w:rFonts w:hint="default"/>
        </w:rPr>
      </w:pPr>
    </w:p>
    <w:bookmarkEnd w:id="57"/>
    <w:bookmarkEnd w:id="58"/>
    <w:bookmarkEnd w:id="59"/>
    <w:bookmarkEnd w:id="60"/>
    <w:p w14:paraId="445E365B">
      <w:pPr>
        <w:pStyle w:val="4"/>
        <w:snapToGrid w:val="0"/>
        <w:spacing w:before="0" w:beforeLines="0" w:after="0" w:afterLines="0"/>
        <w:jc w:val="left"/>
        <w:rPr>
          <w:rFonts w:hint="default" w:hAnsi="宋体"/>
          <w:color w:val="000000"/>
          <w:sz w:val="32"/>
          <w:szCs w:val="32"/>
          <w:lang w:val="zh-CN"/>
        </w:rPr>
      </w:pPr>
      <w:bookmarkStart w:id="61" w:name="_Toc15088"/>
      <w:bookmarkStart w:id="62" w:name="_Toc4843"/>
      <w:r>
        <w:rPr>
          <w:rFonts w:hint="eastAsia" w:hAnsi="宋体"/>
          <w:bCs/>
          <w:color w:val="000000"/>
          <w:sz w:val="28"/>
          <w:szCs w:val="28"/>
          <w:lang w:val="en-US" w:eastAsia="zh-CN"/>
        </w:rPr>
        <w:t>2、</w:t>
      </w:r>
      <w:r>
        <w:rPr>
          <w:rFonts w:hint="default" w:hAnsi="宋体"/>
          <w:bCs/>
          <w:color w:val="000000"/>
          <w:sz w:val="28"/>
          <w:szCs w:val="28"/>
        </w:rPr>
        <w:t>报价承诺书（格式）</w:t>
      </w:r>
      <w:bookmarkEnd w:id="61"/>
      <w:bookmarkEnd w:id="62"/>
    </w:p>
    <w:p w14:paraId="32823338">
      <w:pPr>
        <w:snapToGrid w:val="0"/>
        <w:spacing w:beforeLines="0" w:afterLines="0" w:line="360" w:lineRule="auto"/>
        <w:jc w:val="center"/>
        <w:rPr>
          <w:rFonts w:hint="default"/>
          <w:sz w:val="24"/>
          <w:szCs w:val="24"/>
          <w:lang w:val="zh-CN"/>
        </w:rPr>
      </w:pPr>
      <w:r>
        <w:rPr>
          <w:rFonts w:hint="default" w:hAnsi="宋体"/>
          <w:b/>
          <w:sz w:val="44"/>
          <w:szCs w:val="44"/>
          <w:lang w:val="zh-CN"/>
        </w:rPr>
        <w:t>承诺书</w:t>
      </w:r>
      <w:r>
        <w:rPr>
          <w:rFonts w:hint="default" w:hAnsi="宋体"/>
          <w:b/>
          <w:sz w:val="52"/>
          <w:szCs w:val="52"/>
          <w:lang w:val="zh-CN"/>
        </w:rPr>
        <w:br w:type="textWrapping"/>
      </w:r>
    </w:p>
    <w:p w14:paraId="582C541C">
      <w:pPr>
        <w:spacing w:beforeLines="0" w:afterLines="0" w:line="360" w:lineRule="auto"/>
        <w:jc w:val="both"/>
        <w:outlineLvl w:val="0"/>
        <w:rPr>
          <w:rFonts w:hint="default" w:hAnsi="宋体" w:cs="宋体"/>
          <w:color w:val="auto"/>
          <w:kern w:val="2"/>
          <w:sz w:val="24"/>
          <w:szCs w:val="24"/>
          <w:u w:val="single"/>
        </w:rPr>
      </w:pPr>
      <w:bookmarkStart w:id="63" w:name="_Toc11078"/>
      <w:bookmarkStart w:id="64" w:name="_Toc9440"/>
      <w:bookmarkStart w:id="65" w:name="_Toc30927"/>
      <w:bookmarkStart w:id="66" w:name="_Toc5634"/>
      <w:r>
        <w:rPr>
          <w:rFonts w:hint="default" w:hAnsi="宋体" w:cs="宋体"/>
          <w:color w:val="auto"/>
          <w:kern w:val="2"/>
          <w:sz w:val="24"/>
          <w:szCs w:val="24"/>
          <w:lang w:val="zh-CN"/>
        </w:rPr>
        <w:t>致：</w:t>
      </w:r>
      <w:r>
        <w:rPr>
          <w:rFonts w:hint="default" w:hAnsi="宋体" w:cs="宋体"/>
          <w:color w:val="auto"/>
          <w:kern w:val="2"/>
          <w:sz w:val="24"/>
          <w:szCs w:val="24"/>
          <w:u w:val="single"/>
        </w:rPr>
        <w:t>东莞市水务集团管网有限公司</w:t>
      </w:r>
      <w:bookmarkEnd w:id="63"/>
      <w:bookmarkEnd w:id="64"/>
      <w:bookmarkEnd w:id="65"/>
      <w:bookmarkEnd w:id="66"/>
    </w:p>
    <w:p w14:paraId="379BA245">
      <w:pPr>
        <w:spacing w:beforeLines="0" w:afterLines="0" w:line="360" w:lineRule="auto"/>
        <w:ind w:firstLine="420"/>
        <w:jc w:val="both"/>
        <w:rPr>
          <w:rFonts w:hint="default" w:hAnsi="宋体" w:cs="宋体"/>
          <w:color w:val="auto"/>
          <w:kern w:val="2"/>
          <w:sz w:val="24"/>
          <w:szCs w:val="24"/>
          <w:lang w:val="zh-CN"/>
        </w:rPr>
      </w:pPr>
      <w:r>
        <w:rPr>
          <w:rFonts w:hint="default" w:hAnsi="宋体" w:cs="宋体"/>
          <w:color w:val="auto"/>
          <w:kern w:val="2"/>
          <w:sz w:val="24"/>
          <w:szCs w:val="24"/>
        </w:rPr>
        <w:t>我司已收到</w:t>
      </w:r>
      <w:r>
        <w:rPr>
          <w:rFonts w:hint="default" w:hAnsi="宋体" w:cs="宋体"/>
          <w:color w:val="000000"/>
          <w:kern w:val="2"/>
          <w:sz w:val="24"/>
          <w:szCs w:val="24"/>
        </w:rPr>
        <w:t>管网运营平台管网清疏检测功能升级建设项目</w:t>
      </w:r>
      <w:r>
        <w:rPr>
          <w:rFonts w:hint="default" w:hAnsi="宋体" w:cs="宋体"/>
          <w:color w:val="auto"/>
          <w:kern w:val="2"/>
          <w:sz w:val="24"/>
          <w:szCs w:val="24"/>
        </w:rPr>
        <w:t>采购文件</w:t>
      </w:r>
      <w:r>
        <w:rPr>
          <w:rFonts w:hint="default" w:hAnsi="宋体" w:cs="宋体"/>
          <w:color w:val="auto"/>
          <w:kern w:val="2"/>
          <w:sz w:val="24"/>
          <w:szCs w:val="24"/>
          <w:lang w:val="zh-CN"/>
        </w:rPr>
        <w:t>，</w:t>
      </w:r>
      <w:r>
        <w:rPr>
          <w:rFonts w:hint="default" w:hAnsi="宋体" w:cs="宋体"/>
          <w:color w:val="auto"/>
          <w:kern w:val="2"/>
          <w:sz w:val="24"/>
          <w:szCs w:val="24"/>
        </w:rPr>
        <w:t>并</w:t>
      </w:r>
      <w:r>
        <w:rPr>
          <w:rFonts w:hint="default" w:hAnsi="宋体" w:cs="宋体"/>
          <w:color w:val="auto"/>
          <w:kern w:val="2"/>
          <w:sz w:val="24"/>
          <w:szCs w:val="24"/>
          <w:lang w:val="zh-CN"/>
        </w:rPr>
        <w:t>完全</w:t>
      </w:r>
      <w:r>
        <w:rPr>
          <w:rFonts w:hint="default" w:hAnsi="宋体" w:cs="宋体"/>
          <w:color w:val="auto"/>
          <w:kern w:val="2"/>
          <w:sz w:val="24"/>
          <w:szCs w:val="24"/>
        </w:rPr>
        <w:t>清楚了解采购</w:t>
      </w:r>
      <w:r>
        <w:rPr>
          <w:rFonts w:hint="default" w:hAnsi="宋体" w:cs="宋体"/>
          <w:color w:val="auto"/>
          <w:kern w:val="2"/>
          <w:sz w:val="24"/>
          <w:szCs w:val="24"/>
          <w:lang w:val="zh-CN"/>
        </w:rPr>
        <w:t>文件的所有条款要求，</w:t>
      </w:r>
      <w:r>
        <w:rPr>
          <w:rFonts w:hint="default" w:hAnsi="宋体" w:cs="宋体"/>
          <w:color w:val="auto"/>
          <w:kern w:val="2"/>
          <w:sz w:val="24"/>
          <w:szCs w:val="24"/>
        </w:rPr>
        <w:t>现</w:t>
      </w:r>
      <w:r>
        <w:rPr>
          <w:rFonts w:hint="default" w:hAnsi="宋体" w:cs="宋体"/>
          <w:color w:val="auto"/>
          <w:kern w:val="2"/>
          <w:sz w:val="24"/>
          <w:szCs w:val="24"/>
          <w:lang w:val="zh-CN"/>
        </w:rPr>
        <w:t>重申如下：</w:t>
      </w:r>
    </w:p>
    <w:p w14:paraId="6343117A">
      <w:pPr>
        <w:spacing w:beforeLines="0" w:afterLines="0" w:line="360" w:lineRule="auto"/>
        <w:ind w:firstLine="420"/>
        <w:jc w:val="both"/>
        <w:rPr>
          <w:rFonts w:hint="default" w:hAnsi="宋体" w:cs="宋体"/>
          <w:color w:val="auto"/>
          <w:kern w:val="2"/>
          <w:sz w:val="24"/>
          <w:szCs w:val="24"/>
          <w:lang w:val="zh-CN"/>
        </w:rPr>
      </w:pPr>
      <w:bookmarkStart w:id="67" w:name="_Hlk82789349"/>
      <w:r>
        <w:rPr>
          <w:rFonts w:hint="default" w:hAnsi="宋体" w:cs="宋体"/>
          <w:color w:val="auto"/>
          <w:kern w:val="2"/>
          <w:sz w:val="24"/>
          <w:szCs w:val="24"/>
          <w:lang w:val="zh-CN"/>
        </w:rPr>
        <w:t>如我司</w:t>
      </w:r>
      <w:r>
        <w:rPr>
          <w:rFonts w:hint="default" w:hAnsi="宋体"/>
          <w:color w:val="auto"/>
          <w:kern w:val="2"/>
          <w:sz w:val="24"/>
          <w:szCs w:val="24"/>
          <w:lang w:val="zh-CN"/>
        </w:rPr>
        <w:t>存在</w:t>
      </w:r>
      <w:r>
        <w:rPr>
          <w:rFonts w:hint="default" w:hAnsi="宋体"/>
          <w:color w:val="auto"/>
          <w:kern w:val="2"/>
          <w:sz w:val="24"/>
          <w:szCs w:val="24"/>
        </w:rPr>
        <w:t>成交后放弃</w:t>
      </w:r>
      <w:r>
        <w:rPr>
          <w:rFonts w:hint="default" w:hAnsi="宋体"/>
          <w:color w:val="auto"/>
          <w:kern w:val="2"/>
          <w:sz w:val="24"/>
          <w:szCs w:val="24"/>
          <w:lang w:val="zh-CN"/>
        </w:rPr>
        <w:t>或</w:t>
      </w:r>
      <w:r>
        <w:rPr>
          <w:rFonts w:hint="default" w:hAnsi="宋体" w:cs="宋体"/>
          <w:color w:val="auto"/>
          <w:kern w:val="2"/>
          <w:sz w:val="24"/>
          <w:szCs w:val="24"/>
          <w:lang w:val="zh-CN"/>
        </w:rPr>
        <w:t>提供虚假证明文件、虚假响应文件或存在</w:t>
      </w:r>
      <w:r>
        <w:rPr>
          <w:rFonts w:hint="default" w:hAnsi="宋体"/>
          <w:color w:val="auto"/>
          <w:sz w:val="24"/>
          <w:szCs w:val="24"/>
        </w:rPr>
        <w:t>实际供货技术参数、质量低于响应文件承诺的标准</w:t>
      </w:r>
      <w:r>
        <w:rPr>
          <w:rFonts w:hint="default" w:hAnsi="宋体" w:cs="宋体"/>
          <w:color w:val="auto"/>
          <w:kern w:val="2"/>
          <w:sz w:val="24"/>
          <w:szCs w:val="24"/>
          <w:lang w:val="zh-CN"/>
        </w:rPr>
        <w:t>等</w:t>
      </w:r>
      <w:r>
        <w:rPr>
          <w:rFonts w:hint="default" w:hAnsi="宋体" w:cs="宋体"/>
          <w:color w:val="auto"/>
          <w:kern w:val="2"/>
          <w:sz w:val="24"/>
          <w:szCs w:val="24"/>
        </w:rPr>
        <w:t>情况的</w:t>
      </w:r>
      <w:r>
        <w:rPr>
          <w:rFonts w:hint="default" w:hAnsi="宋体" w:cs="宋体"/>
          <w:color w:val="auto"/>
          <w:kern w:val="2"/>
          <w:sz w:val="24"/>
          <w:szCs w:val="24"/>
          <w:lang w:val="zh-CN"/>
        </w:rPr>
        <w:t>，我司将同意并接受贵司</w:t>
      </w:r>
      <w:r>
        <w:rPr>
          <w:rFonts w:hint="default" w:hAnsi="宋体" w:cs="宋体"/>
          <w:color w:val="auto"/>
          <w:kern w:val="2"/>
          <w:sz w:val="24"/>
          <w:szCs w:val="24"/>
        </w:rPr>
        <w:t>按照采购文件追究责任，并</w:t>
      </w:r>
      <w:r>
        <w:rPr>
          <w:rFonts w:hint="default" w:hAnsi="宋体" w:cs="宋体"/>
          <w:color w:val="auto"/>
          <w:kern w:val="2"/>
          <w:sz w:val="24"/>
          <w:szCs w:val="24"/>
          <w:lang w:val="zh-CN"/>
        </w:rPr>
        <w:t>采取包括但不限于以下措施：</w:t>
      </w:r>
    </w:p>
    <w:p w14:paraId="505300D2">
      <w:pPr>
        <w:spacing w:beforeLines="0" w:afterLines="0" w:line="360" w:lineRule="auto"/>
        <w:ind w:firstLine="420"/>
        <w:jc w:val="both"/>
        <w:rPr>
          <w:rFonts w:hint="default" w:hAnsi="宋体" w:cs="宋体"/>
          <w:color w:val="auto"/>
          <w:kern w:val="2"/>
          <w:sz w:val="24"/>
          <w:szCs w:val="24"/>
          <w:lang w:val="zh-CN"/>
        </w:rPr>
      </w:pPr>
      <w:r>
        <w:rPr>
          <w:rFonts w:hint="default" w:hAnsi="宋体" w:cs="宋体"/>
          <w:color w:val="auto"/>
          <w:kern w:val="2"/>
          <w:sz w:val="24"/>
          <w:szCs w:val="24"/>
          <w:lang w:val="zh-CN"/>
        </w:rPr>
        <w:t>1、在东莞市水务集团有限公司官网、东莞阳光网、东莞日报等媒体公开我司失信行为，并在贵司以后的招标采购项目评标时充分考虑我司的不良行为和履约问题；</w:t>
      </w:r>
    </w:p>
    <w:p w14:paraId="4D557137">
      <w:pPr>
        <w:spacing w:beforeLines="0" w:afterLines="0" w:line="360" w:lineRule="auto"/>
        <w:ind w:firstLine="420"/>
        <w:jc w:val="both"/>
        <w:rPr>
          <w:rFonts w:hint="default" w:hAnsi="宋体" w:cs="宋体"/>
          <w:color w:val="auto"/>
          <w:kern w:val="2"/>
          <w:sz w:val="24"/>
          <w:szCs w:val="24"/>
          <w:lang w:val="zh-CN"/>
        </w:rPr>
      </w:pPr>
      <w:r>
        <w:rPr>
          <w:rFonts w:hint="default" w:hAnsi="宋体" w:cs="宋体"/>
          <w:color w:val="auto"/>
          <w:kern w:val="2"/>
          <w:sz w:val="24"/>
          <w:szCs w:val="24"/>
        </w:rPr>
        <w:t>2</w:t>
      </w:r>
      <w:r>
        <w:rPr>
          <w:rFonts w:hint="default" w:hAnsi="宋体" w:cs="宋体"/>
          <w:color w:val="auto"/>
          <w:kern w:val="2"/>
          <w:sz w:val="24"/>
          <w:szCs w:val="24"/>
          <w:lang w:val="zh-CN"/>
        </w:rPr>
        <w:t>、上报</w:t>
      </w:r>
      <w:bookmarkStart w:id="68" w:name="_Hlk82789221"/>
      <w:r>
        <w:rPr>
          <w:rFonts w:hint="default" w:hAnsi="宋体" w:cs="宋体"/>
          <w:color w:val="auto"/>
          <w:kern w:val="2"/>
          <w:sz w:val="24"/>
          <w:szCs w:val="24"/>
          <w:lang w:val="zh-CN"/>
        </w:rPr>
        <w:t>东莞市市场监督管理局</w:t>
      </w:r>
      <w:bookmarkEnd w:id="68"/>
      <w:r>
        <w:rPr>
          <w:rFonts w:hint="default" w:hAnsi="宋体" w:cs="宋体"/>
          <w:color w:val="auto"/>
          <w:kern w:val="2"/>
          <w:sz w:val="24"/>
          <w:szCs w:val="24"/>
          <w:lang w:val="zh-CN"/>
        </w:rPr>
        <w:t>等</w:t>
      </w:r>
      <w:r>
        <w:rPr>
          <w:rFonts w:hint="default" w:hAnsi="宋体" w:cs="宋体"/>
          <w:color w:val="auto"/>
          <w:kern w:val="2"/>
          <w:sz w:val="24"/>
          <w:szCs w:val="24"/>
        </w:rPr>
        <w:t>相关</w:t>
      </w:r>
      <w:r>
        <w:rPr>
          <w:rFonts w:hint="default" w:hAnsi="宋体" w:cs="宋体"/>
          <w:color w:val="auto"/>
          <w:kern w:val="2"/>
          <w:sz w:val="24"/>
          <w:szCs w:val="24"/>
          <w:lang w:val="zh-CN"/>
        </w:rPr>
        <w:t>部门，要求将我司列入重点监管名单，</w:t>
      </w:r>
      <w:r>
        <w:rPr>
          <w:rFonts w:hint="default" w:hAnsi="宋体" w:cs="宋体"/>
          <w:color w:val="auto"/>
          <w:kern w:val="2"/>
          <w:sz w:val="24"/>
          <w:szCs w:val="24"/>
        </w:rPr>
        <w:t>并向</w:t>
      </w:r>
      <w:r>
        <w:rPr>
          <w:rFonts w:hint="default" w:hAnsi="宋体" w:cs="宋体"/>
          <w:color w:val="auto"/>
          <w:kern w:val="2"/>
          <w:sz w:val="24"/>
          <w:szCs w:val="24"/>
          <w:lang w:val="zh-CN"/>
        </w:rPr>
        <w:t>广东省国资委进行通报，按相关规定</w:t>
      </w:r>
      <w:r>
        <w:rPr>
          <w:rFonts w:hint="default" w:hAnsi="宋体" w:cs="宋体"/>
          <w:color w:val="auto"/>
          <w:kern w:val="2"/>
          <w:sz w:val="24"/>
          <w:szCs w:val="24"/>
        </w:rPr>
        <w:t>进行</w:t>
      </w:r>
      <w:r>
        <w:rPr>
          <w:rFonts w:hint="default" w:hAnsi="宋体" w:cs="宋体"/>
          <w:color w:val="auto"/>
          <w:kern w:val="2"/>
          <w:sz w:val="24"/>
          <w:szCs w:val="24"/>
          <w:lang w:val="zh-CN"/>
        </w:rPr>
        <w:t>处理。</w:t>
      </w:r>
    </w:p>
    <w:p w14:paraId="3C4E2589">
      <w:pPr>
        <w:spacing w:beforeLines="0" w:afterLines="0" w:line="360" w:lineRule="auto"/>
        <w:ind w:firstLine="420"/>
        <w:jc w:val="both"/>
        <w:rPr>
          <w:rFonts w:hint="default" w:hAnsi="宋体" w:cs="宋体"/>
          <w:color w:val="auto"/>
          <w:kern w:val="2"/>
          <w:sz w:val="24"/>
          <w:szCs w:val="24"/>
          <w:lang w:val="zh-CN"/>
        </w:rPr>
      </w:pPr>
      <w:r>
        <w:rPr>
          <w:rFonts w:hint="default" w:hAnsi="宋体" w:cs="宋体"/>
          <w:color w:val="auto"/>
          <w:kern w:val="2"/>
          <w:sz w:val="24"/>
          <w:szCs w:val="24"/>
          <w:lang w:val="zh-CN"/>
        </w:rPr>
        <w:t>由此产生的</w:t>
      </w:r>
      <w:r>
        <w:rPr>
          <w:rFonts w:hint="default" w:hAnsi="宋体" w:cs="宋体"/>
          <w:color w:val="auto"/>
          <w:kern w:val="2"/>
          <w:sz w:val="24"/>
          <w:szCs w:val="24"/>
        </w:rPr>
        <w:t>不利</w:t>
      </w:r>
      <w:r>
        <w:rPr>
          <w:rFonts w:hint="default" w:hAnsi="宋体" w:cs="宋体"/>
          <w:color w:val="auto"/>
          <w:kern w:val="2"/>
          <w:sz w:val="24"/>
          <w:szCs w:val="24"/>
          <w:lang w:val="zh-CN"/>
        </w:rPr>
        <w:t>影响</w:t>
      </w:r>
      <w:r>
        <w:rPr>
          <w:rFonts w:hint="default" w:hAnsi="宋体" w:cs="宋体"/>
          <w:color w:val="auto"/>
          <w:kern w:val="2"/>
          <w:sz w:val="24"/>
          <w:szCs w:val="24"/>
        </w:rPr>
        <w:t>与经济损失均</w:t>
      </w:r>
      <w:r>
        <w:rPr>
          <w:rFonts w:hint="default" w:hAnsi="宋体" w:cs="宋体"/>
          <w:color w:val="auto"/>
          <w:kern w:val="2"/>
          <w:sz w:val="24"/>
          <w:szCs w:val="24"/>
          <w:lang w:val="zh-CN"/>
        </w:rPr>
        <w:t>由我司</w:t>
      </w:r>
      <w:r>
        <w:rPr>
          <w:rFonts w:hint="default" w:hAnsi="宋体" w:cs="宋体"/>
          <w:color w:val="auto"/>
          <w:kern w:val="2"/>
          <w:sz w:val="24"/>
          <w:szCs w:val="24"/>
        </w:rPr>
        <w:t>自行</w:t>
      </w:r>
      <w:r>
        <w:rPr>
          <w:rFonts w:hint="default" w:hAnsi="宋体" w:cs="宋体"/>
          <w:color w:val="auto"/>
          <w:kern w:val="2"/>
          <w:sz w:val="24"/>
          <w:szCs w:val="24"/>
          <w:lang w:val="zh-CN"/>
        </w:rPr>
        <w:t>承担，</w:t>
      </w:r>
      <w:r>
        <w:rPr>
          <w:rFonts w:hint="default" w:hAnsi="宋体" w:cs="宋体"/>
          <w:color w:val="auto"/>
          <w:kern w:val="2"/>
          <w:sz w:val="24"/>
          <w:szCs w:val="24"/>
        </w:rPr>
        <w:t>与贵司无关</w:t>
      </w:r>
      <w:r>
        <w:rPr>
          <w:rFonts w:hint="default" w:hAnsi="宋体" w:cs="宋体"/>
          <w:color w:val="auto"/>
          <w:kern w:val="2"/>
          <w:sz w:val="24"/>
          <w:szCs w:val="24"/>
          <w:lang w:val="zh-CN"/>
        </w:rPr>
        <w:t>。</w:t>
      </w:r>
    </w:p>
    <w:bookmarkEnd w:id="67"/>
    <w:p w14:paraId="14ED8041">
      <w:pPr>
        <w:spacing w:beforeLines="0" w:afterLines="0" w:line="360" w:lineRule="auto"/>
        <w:rPr>
          <w:rFonts w:hint="default" w:hAnsi="宋体" w:cs="宋体"/>
          <w:color w:val="auto"/>
          <w:sz w:val="24"/>
          <w:szCs w:val="24"/>
        </w:rPr>
      </w:pPr>
    </w:p>
    <w:p w14:paraId="1347B00E">
      <w:pPr>
        <w:spacing w:beforeLines="0" w:afterLines="0" w:line="360" w:lineRule="auto"/>
        <w:rPr>
          <w:rFonts w:hint="default" w:hAnsi="宋体" w:cs="宋体"/>
          <w:color w:val="auto"/>
          <w:sz w:val="24"/>
          <w:szCs w:val="24"/>
        </w:rPr>
      </w:pPr>
    </w:p>
    <w:p w14:paraId="7DCA1EA5">
      <w:pPr>
        <w:spacing w:beforeLines="0" w:afterLines="0" w:line="360" w:lineRule="auto"/>
        <w:ind w:firstLine="5040"/>
        <w:jc w:val="both"/>
        <w:rPr>
          <w:rFonts w:hint="default" w:hAnsi="宋体" w:cs="宋体"/>
          <w:color w:val="auto"/>
          <w:kern w:val="2"/>
          <w:sz w:val="24"/>
          <w:szCs w:val="24"/>
        </w:rPr>
      </w:pPr>
      <w:r>
        <w:rPr>
          <w:rFonts w:hint="default" w:hAnsi="宋体" w:cs="宋体"/>
          <w:color w:val="auto"/>
          <w:kern w:val="2"/>
          <w:sz w:val="24"/>
          <w:szCs w:val="24"/>
        </w:rPr>
        <w:t>供应商</w:t>
      </w:r>
      <w:r>
        <w:rPr>
          <w:rFonts w:hint="default" w:hAnsi="宋体" w:cs="宋体"/>
          <w:color w:val="auto"/>
          <w:kern w:val="2"/>
          <w:sz w:val="24"/>
          <w:szCs w:val="24"/>
          <w:lang w:val="zh-CN"/>
        </w:rPr>
        <w:t>：（盖公章）</w:t>
      </w:r>
    </w:p>
    <w:p w14:paraId="01A68153">
      <w:pPr>
        <w:spacing w:beforeLines="0" w:afterLines="0" w:line="360" w:lineRule="auto"/>
        <w:ind w:firstLine="5040"/>
        <w:jc w:val="both"/>
        <w:rPr>
          <w:rFonts w:hint="default" w:hAnsi="宋体" w:cs="宋体"/>
          <w:color w:val="auto"/>
          <w:kern w:val="2"/>
          <w:sz w:val="24"/>
          <w:szCs w:val="24"/>
          <w:lang w:val="zh-CN"/>
        </w:rPr>
      </w:pPr>
      <w:r>
        <w:rPr>
          <w:rFonts w:hint="default" w:hAnsi="宋体" w:cs="宋体"/>
          <w:color w:val="auto"/>
          <w:kern w:val="2"/>
          <w:sz w:val="24"/>
          <w:szCs w:val="24"/>
          <w:lang w:val="zh-CN"/>
        </w:rPr>
        <w:t>日期：   年   月   日</w:t>
      </w:r>
    </w:p>
    <w:p w14:paraId="7EF05D84">
      <w:pPr>
        <w:widowControl/>
        <w:autoSpaceDE/>
        <w:autoSpaceDN/>
        <w:adjustRightInd/>
        <w:spacing w:beforeLines="0" w:afterLines="0"/>
        <w:rPr>
          <w:rFonts w:hint="default"/>
          <w:color w:val="auto"/>
          <w:sz w:val="24"/>
          <w:szCs w:val="24"/>
        </w:rPr>
      </w:pPr>
    </w:p>
    <w:p w14:paraId="4772136A">
      <w:pPr>
        <w:spacing w:beforeLines="0" w:afterLines="0"/>
        <w:rPr>
          <w:rFonts w:hint="default"/>
          <w:sz w:val="24"/>
          <w:szCs w:val="24"/>
        </w:rPr>
      </w:pPr>
    </w:p>
    <w:p w14:paraId="28020376">
      <w:pPr>
        <w:widowControl/>
        <w:autoSpaceDE/>
        <w:autoSpaceDN/>
        <w:adjustRightInd/>
        <w:spacing w:beforeLines="0" w:afterLines="0"/>
        <w:rPr>
          <w:rFonts w:hint="default" w:hAnsi="宋体"/>
          <w:sz w:val="24"/>
          <w:szCs w:val="24"/>
        </w:rPr>
      </w:pPr>
    </w:p>
    <w:p w14:paraId="2CCD4C04">
      <w:pPr>
        <w:spacing w:beforeLines="0" w:afterLines="0"/>
        <w:rPr>
          <w:rFonts w:hint="default"/>
          <w:sz w:val="24"/>
          <w:szCs w:val="24"/>
        </w:rPr>
      </w:pPr>
    </w:p>
    <w:p w14:paraId="0A333D45">
      <w:pPr>
        <w:pStyle w:val="2"/>
        <w:spacing w:beforeLines="0" w:afterLines="0"/>
        <w:rPr>
          <w:rFonts w:hint="default"/>
          <w:sz w:val="24"/>
          <w:szCs w:val="24"/>
        </w:rPr>
      </w:pPr>
    </w:p>
    <w:p w14:paraId="6AFFA412">
      <w:pPr>
        <w:pStyle w:val="2"/>
        <w:spacing w:beforeLines="0" w:afterLines="0"/>
        <w:rPr>
          <w:rFonts w:hint="default"/>
          <w:sz w:val="24"/>
          <w:szCs w:val="24"/>
        </w:rPr>
      </w:pPr>
    </w:p>
    <w:p w14:paraId="4E982155">
      <w:pPr>
        <w:pStyle w:val="2"/>
        <w:spacing w:beforeLines="0" w:afterLines="0"/>
        <w:rPr>
          <w:rFonts w:hint="default"/>
          <w:sz w:val="24"/>
          <w:szCs w:val="24"/>
        </w:rPr>
      </w:pPr>
    </w:p>
    <w:p w14:paraId="7A90522D">
      <w:pPr>
        <w:pStyle w:val="2"/>
        <w:spacing w:beforeLines="0" w:afterLines="0"/>
        <w:rPr>
          <w:rFonts w:hint="default"/>
          <w:sz w:val="24"/>
          <w:szCs w:val="24"/>
        </w:rPr>
      </w:pPr>
    </w:p>
    <w:p w14:paraId="520AAC2D">
      <w:pPr>
        <w:pStyle w:val="2"/>
        <w:spacing w:beforeLines="0" w:afterLines="0"/>
        <w:rPr>
          <w:rFonts w:hint="default"/>
          <w:sz w:val="24"/>
          <w:szCs w:val="24"/>
        </w:rPr>
      </w:pPr>
    </w:p>
    <w:p w14:paraId="0BFAF320">
      <w:pPr>
        <w:pStyle w:val="2"/>
        <w:spacing w:beforeLines="0" w:afterLines="0"/>
        <w:ind w:firstLine="0" w:firstLineChars="0"/>
        <w:rPr>
          <w:rFonts w:hint="default" w:eastAsia="宋体"/>
          <w:sz w:val="24"/>
          <w:szCs w:val="24"/>
          <w:lang w:val="en-US" w:eastAsia="zh-CN"/>
        </w:rPr>
      </w:pPr>
    </w:p>
    <w:p w14:paraId="2B63AC35">
      <w:pPr>
        <w:pStyle w:val="2"/>
        <w:numPr>
          <w:ilvl w:val="0"/>
          <w:numId w:val="4"/>
        </w:numPr>
        <w:spacing w:beforeLines="0" w:afterLines="0"/>
        <w:ind w:firstLine="0" w:firstLineChars="0"/>
        <w:rPr>
          <w:rFonts w:hint="eastAsia"/>
          <w:b/>
          <w:bCs/>
          <w:sz w:val="28"/>
          <w:szCs w:val="28"/>
          <w:lang w:val="en-US" w:eastAsia="zh-CN"/>
        </w:rPr>
      </w:pPr>
      <w:r>
        <w:rPr>
          <w:rFonts w:hint="eastAsia"/>
          <w:b/>
          <w:bCs/>
          <w:sz w:val="28"/>
          <w:szCs w:val="28"/>
          <w:lang w:val="en-US" w:eastAsia="zh-CN"/>
        </w:rPr>
        <w:t>营业执照</w:t>
      </w:r>
    </w:p>
    <w:p w14:paraId="14113216">
      <w:pPr>
        <w:pStyle w:val="2"/>
        <w:numPr>
          <w:ilvl w:val="0"/>
          <w:numId w:val="0"/>
        </w:numPr>
        <w:spacing w:beforeLines="0" w:afterLines="0"/>
        <w:rPr>
          <w:rFonts w:hint="default"/>
          <w:sz w:val="24"/>
          <w:szCs w:val="24"/>
          <w:lang w:val="en-US" w:eastAsia="zh-CN"/>
        </w:rPr>
      </w:pPr>
    </w:p>
    <w:p w14:paraId="104280D6">
      <w:pPr>
        <w:pStyle w:val="2"/>
        <w:numPr>
          <w:ilvl w:val="0"/>
          <w:numId w:val="0"/>
        </w:numPr>
        <w:spacing w:beforeLines="0" w:afterLines="0"/>
        <w:rPr>
          <w:rFonts w:hint="default"/>
          <w:sz w:val="24"/>
          <w:szCs w:val="24"/>
          <w:lang w:val="en-US" w:eastAsia="zh-CN"/>
        </w:rPr>
      </w:pPr>
    </w:p>
    <w:p w14:paraId="54BD2715">
      <w:pPr>
        <w:pStyle w:val="2"/>
        <w:numPr>
          <w:ilvl w:val="0"/>
          <w:numId w:val="0"/>
        </w:numPr>
        <w:spacing w:beforeLines="0" w:afterLines="0"/>
        <w:rPr>
          <w:rFonts w:hint="default"/>
          <w:sz w:val="24"/>
          <w:szCs w:val="24"/>
          <w:lang w:val="en-US" w:eastAsia="zh-CN"/>
        </w:rPr>
      </w:pPr>
    </w:p>
    <w:p w14:paraId="2ACD8347">
      <w:pPr>
        <w:pStyle w:val="2"/>
        <w:numPr>
          <w:ilvl w:val="0"/>
          <w:numId w:val="0"/>
        </w:numPr>
        <w:spacing w:beforeLines="0" w:afterLines="0"/>
        <w:rPr>
          <w:rFonts w:hint="default"/>
          <w:sz w:val="24"/>
          <w:szCs w:val="24"/>
          <w:lang w:val="en-US" w:eastAsia="zh-CN"/>
        </w:rPr>
      </w:pPr>
    </w:p>
    <w:p w14:paraId="67CC16BA">
      <w:pPr>
        <w:pStyle w:val="2"/>
        <w:numPr>
          <w:ilvl w:val="0"/>
          <w:numId w:val="0"/>
        </w:numPr>
        <w:spacing w:beforeLines="0" w:afterLines="0"/>
        <w:rPr>
          <w:rFonts w:hint="default"/>
          <w:sz w:val="24"/>
          <w:szCs w:val="24"/>
          <w:lang w:val="en-US" w:eastAsia="zh-CN"/>
        </w:rPr>
      </w:pPr>
    </w:p>
    <w:p w14:paraId="366E3FD2">
      <w:pPr>
        <w:pStyle w:val="2"/>
        <w:numPr>
          <w:ilvl w:val="0"/>
          <w:numId w:val="0"/>
        </w:numPr>
        <w:spacing w:beforeLines="0" w:afterLines="0"/>
        <w:rPr>
          <w:rFonts w:hint="default"/>
          <w:sz w:val="24"/>
          <w:szCs w:val="24"/>
          <w:lang w:val="en-US" w:eastAsia="zh-CN"/>
        </w:rPr>
      </w:pPr>
    </w:p>
    <w:p w14:paraId="72AE391A">
      <w:pPr>
        <w:pStyle w:val="2"/>
        <w:numPr>
          <w:ilvl w:val="0"/>
          <w:numId w:val="0"/>
        </w:numPr>
        <w:spacing w:beforeLines="0" w:afterLines="0"/>
        <w:rPr>
          <w:rFonts w:hint="default"/>
          <w:sz w:val="24"/>
          <w:szCs w:val="24"/>
          <w:lang w:val="en-US" w:eastAsia="zh-CN"/>
        </w:rPr>
      </w:pPr>
    </w:p>
    <w:p w14:paraId="047A5E80">
      <w:pPr>
        <w:pStyle w:val="2"/>
        <w:numPr>
          <w:ilvl w:val="0"/>
          <w:numId w:val="0"/>
        </w:numPr>
        <w:spacing w:beforeLines="0" w:afterLines="0"/>
        <w:rPr>
          <w:rFonts w:hint="default"/>
          <w:sz w:val="24"/>
          <w:szCs w:val="24"/>
          <w:lang w:val="en-US" w:eastAsia="zh-CN"/>
        </w:rPr>
      </w:pPr>
    </w:p>
    <w:p w14:paraId="0C792DDF">
      <w:pPr>
        <w:pStyle w:val="2"/>
        <w:numPr>
          <w:ilvl w:val="0"/>
          <w:numId w:val="0"/>
        </w:numPr>
        <w:spacing w:beforeLines="0" w:afterLines="0"/>
        <w:rPr>
          <w:rFonts w:hint="default"/>
          <w:sz w:val="24"/>
          <w:szCs w:val="24"/>
          <w:lang w:val="en-US" w:eastAsia="zh-CN"/>
        </w:rPr>
      </w:pPr>
    </w:p>
    <w:p w14:paraId="735D1B20">
      <w:pPr>
        <w:pStyle w:val="2"/>
        <w:numPr>
          <w:ilvl w:val="0"/>
          <w:numId w:val="0"/>
        </w:numPr>
        <w:spacing w:beforeLines="0" w:afterLines="0"/>
        <w:rPr>
          <w:rFonts w:hint="default"/>
          <w:sz w:val="24"/>
          <w:szCs w:val="24"/>
          <w:lang w:val="en-US" w:eastAsia="zh-CN"/>
        </w:rPr>
      </w:pPr>
    </w:p>
    <w:p w14:paraId="7307EC06">
      <w:pPr>
        <w:pStyle w:val="2"/>
        <w:numPr>
          <w:ilvl w:val="0"/>
          <w:numId w:val="0"/>
        </w:numPr>
        <w:spacing w:beforeLines="0" w:afterLines="0"/>
        <w:rPr>
          <w:rFonts w:hint="default"/>
          <w:sz w:val="24"/>
          <w:szCs w:val="24"/>
          <w:lang w:val="en-US" w:eastAsia="zh-CN"/>
        </w:rPr>
      </w:pPr>
    </w:p>
    <w:p w14:paraId="5CFC3B06">
      <w:pPr>
        <w:pStyle w:val="2"/>
        <w:numPr>
          <w:ilvl w:val="0"/>
          <w:numId w:val="0"/>
        </w:numPr>
        <w:spacing w:beforeLines="0" w:afterLines="0"/>
        <w:rPr>
          <w:rFonts w:hint="default"/>
          <w:sz w:val="24"/>
          <w:szCs w:val="24"/>
          <w:lang w:val="en-US" w:eastAsia="zh-CN"/>
        </w:rPr>
      </w:pPr>
    </w:p>
    <w:p w14:paraId="2A4D5C84">
      <w:pPr>
        <w:pStyle w:val="2"/>
        <w:numPr>
          <w:ilvl w:val="0"/>
          <w:numId w:val="0"/>
        </w:numPr>
        <w:spacing w:beforeLines="0" w:afterLines="0"/>
        <w:rPr>
          <w:rFonts w:hint="default"/>
          <w:sz w:val="24"/>
          <w:szCs w:val="24"/>
          <w:lang w:val="en-US" w:eastAsia="zh-CN"/>
        </w:rPr>
      </w:pPr>
    </w:p>
    <w:p w14:paraId="6043851F">
      <w:pPr>
        <w:pStyle w:val="2"/>
        <w:numPr>
          <w:ilvl w:val="0"/>
          <w:numId w:val="0"/>
        </w:numPr>
        <w:spacing w:beforeLines="0" w:afterLines="0"/>
        <w:rPr>
          <w:rFonts w:hint="default"/>
          <w:sz w:val="24"/>
          <w:szCs w:val="24"/>
          <w:lang w:val="en-US" w:eastAsia="zh-CN"/>
        </w:rPr>
      </w:pPr>
    </w:p>
    <w:p w14:paraId="6BF56223">
      <w:pPr>
        <w:pStyle w:val="2"/>
        <w:numPr>
          <w:ilvl w:val="0"/>
          <w:numId w:val="0"/>
        </w:numPr>
        <w:spacing w:beforeLines="0" w:afterLines="0"/>
        <w:rPr>
          <w:rFonts w:hint="default"/>
          <w:sz w:val="24"/>
          <w:szCs w:val="24"/>
          <w:lang w:val="en-US" w:eastAsia="zh-CN"/>
        </w:rPr>
      </w:pPr>
    </w:p>
    <w:p w14:paraId="6A4F5155">
      <w:pPr>
        <w:pStyle w:val="2"/>
        <w:numPr>
          <w:ilvl w:val="0"/>
          <w:numId w:val="0"/>
        </w:numPr>
        <w:spacing w:beforeLines="0" w:afterLines="0"/>
        <w:rPr>
          <w:rFonts w:hint="default"/>
          <w:sz w:val="24"/>
          <w:szCs w:val="24"/>
          <w:lang w:val="en-US" w:eastAsia="zh-CN"/>
        </w:rPr>
      </w:pPr>
    </w:p>
    <w:p w14:paraId="23C2CAB6">
      <w:pPr>
        <w:pStyle w:val="2"/>
        <w:numPr>
          <w:ilvl w:val="0"/>
          <w:numId w:val="0"/>
        </w:numPr>
        <w:spacing w:beforeLines="0" w:afterLines="0"/>
        <w:rPr>
          <w:rFonts w:hint="default"/>
          <w:sz w:val="24"/>
          <w:szCs w:val="24"/>
          <w:lang w:val="en-US" w:eastAsia="zh-CN"/>
        </w:rPr>
      </w:pPr>
    </w:p>
    <w:p w14:paraId="28C2C361">
      <w:pPr>
        <w:pStyle w:val="2"/>
        <w:numPr>
          <w:ilvl w:val="0"/>
          <w:numId w:val="0"/>
        </w:numPr>
        <w:spacing w:beforeLines="0" w:afterLines="0"/>
        <w:rPr>
          <w:rFonts w:hint="default"/>
          <w:sz w:val="24"/>
          <w:szCs w:val="24"/>
          <w:lang w:val="en-US" w:eastAsia="zh-CN"/>
        </w:rPr>
      </w:pPr>
    </w:p>
    <w:p w14:paraId="14D949C8">
      <w:pPr>
        <w:pStyle w:val="2"/>
        <w:numPr>
          <w:ilvl w:val="0"/>
          <w:numId w:val="0"/>
        </w:numPr>
        <w:spacing w:beforeLines="0" w:afterLines="0"/>
        <w:rPr>
          <w:rFonts w:hint="default"/>
          <w:sz w:val="24"/>
          <w:szCs w:val="24"/>
          <w:lang w:val="en-US" w:eastAsia="zh-CN"/>
        </w:rPr>
      </w:pPr>
    </w:p>
    <w:p w14:paraId="743BF24A">
      <w:pPr>
        <w:pStyle w:val="2"/>
        <w:numPr>
          <w:ilvl w:val="0"/>
          <w:numId w:val="0"/>
        </w:numPr>
        <w:spacing w:beforeLines="0" w:afterLines="0"/>
        <w:rPr>
          <w:rFonts w:hint="default"/>
          <w:sz w:val="24"/>
          <w:szCs w:val="24"/>
          <w:lang w:val="en-US" w:eastAsia="zh-CN"/>
        </w:rPr>
      </w:pPr>
    </w:p>
    <w:p w14:paraId="7BE83B54">
      <w:pPr>
        <w:pStyle w:val="2"/>
        <w:numPr>
          <w:ilvl w:val="0"/>
          <w:numId w:val="0"/>
        </w:numPr>
        <w:spacing w:beforeLines="0" w:afterLines="0"/>
        <w:rPr>
          <w:rFonts w:hint="default"/>
          <w:sz w:val="24"/>
          <w:szCs w:val="24"/>
          <w:lang w:val="en-US" w:eastAsia="zh-CN"/>
        </w:rPr>
      </w:pPr>
    </w:p>
    <w:p w14:paraId="0B540C22">
      <w:pPr>
        <w:pStyle w:val="2"/>
        <w:numPr>
          <w:ilvl w:val="0"/>
          <w:numId w:val="0"/>
        </w:numPr>
        <w:spacing w:beforeLines="0" w:afterLines="0"/>
        <w:rPr>
          <w:rFonts w:hint="default"/>
          <w:sz w:val="24"/>
          <w:szCs w:val="24"/>
          <w:lang w:val="en-US" w:eastAsia="zh-CN"/>
        </w:rPr>
      </w:pPr>
    </w:p>
    <w:p w14:paraId="5B4CDD23">
      <w:pPr>
        <w:pStyle w:val="2"/>
        <w:numPr>
          <w:ilvl w:val="0"/>
          <w:numId w:val="0"/>
        </w:numPr>
        <w:spacing w:beforeLines="0" w:afterLines="0"/>
        <w:rPr>
          <w:rFonts w:hint="default"/>
          <w:sz w:val="24"/>
          <w:szCs w:val="24"/>
          <w:lang w:val="en-US" w:eastAsia="zh-CN"/>
        </w:rPr>
      </w:pPr>
    </w:p>
    <w:p w14:paraId="4F0A7EA1">
      <w:pPr>
        <w:pStyle w:val="2"/>
        <w:numPr>
          <w:ilvl w:val="0"/>
          <w:numId w:val="0"/>
        </w:numPr>
        <w:spacing w:beforeLines="0" w:afterLines="0"/>
        <w:rPr>
          <w:rFonts w:hint="default"/>
          <w:sz w:val="24"/>
          <w:szCs w:val="24"/>
          <w:lang w:val="en-US" w:eastAsia="zh-CN"/>
        </w:rPr>
      </w:pPr>
    </w:p>
    <w:p w14:paraId="54DF8107">
      <w:pPr>
        <w:pStyle w:val="2"/>
        <w:numPr>
          <w:ilvl w:val="0"/>
          <w:numId w:val="0"/>
        </w:numPr>
        <w:spacing w:beforeLines="0" w:afterLines="0"/>
        <w:rPr>
          <w:rFonts w:hint="default"/>
          <w:sz w:val="24"/>
          <w:szCs w:val="24"/>
          <w:lang w:val="en-US" w:eastAsia="zh-CN"/>
        </w:rPr>
      </w:pPr>
    </w:p>
    <w:p w14:paraId="19205622">
      <w:pPr>
        <w:pStyle w:val="2"/>
        <w:numPr>
          <w:ilvl w:val="0"/>
          <w:numId w:val="0"/>
        </w:numPr>
        <w:spacing w:beforeLines="0" w:afterLines="0"/>
        <w:rPr>
          <w:rFonts w:hint="default"/>
          <w:sz w:val="24"/>
          <w:szCs w:val="24"/>
          <w:lang w:val="en-US" w:eastAsia="zh-CN"/>
        </w:rPr>
      </w:pPr>
    </w:p>
    <w:p w14:paraId="3773C57C">
      <w:pPr>
        <w:pStyle w:val="2"/>
        <w:numPr>
          <w:ilvl w:val="0"/>
          <w:numId w:val="0"/>
        </w:numPr>
        <w:spacing w:beforeLines="0" w:afterLines="0"/>
        <w:rPr>
          <w:rFonts w:hint="default"/>
          <w:sz w:val="24"/>
          <w:szCs w:val="24"/>
          <w:lang w:val="en-US" w:eastAsia="zh-CN"/>
        </w:rPr>
      </w:pPr>
    </w:p>
    <w:p w14:paraId="03195491">
      <w:pPr>
        <w:pStyle w:val="2"/>
        <w:numPr>
          <w:ilvl w:val="0"/>
          <w:numId w:val="0"/>
        </w:numPr>
        <w:spacing w:beforeLines="0" w:afterLines="0"/>
        <w:rPr>
          <w:rFonts w:hint="default"/>
          <w:sz w:val="24"/>
          <w:szCs w:val="24"/>
          <w:lang w:val="en-US" w:eastAsia="zh-CN"/>
        </w:rPr>
      </w:pPr>
    </w:p>
    <w:p w14:paraId="3BE331EE">
      <w:pPr>
        <w:pStyle w:val="2"/>
        <w:numPr>
          <w:ilvl w:val="0"/>
          <w:numId w:val="4"/>
        </w:numPr>
        <w:spacing w:beforeLines="0" w:afterLines="0"/>
        <w:ind w:firstLine="0" w:firstLineChars="0"/>
        <w:rPr>
          <w:rFonts w:hint="eastAsia"/>
          <w:b/>
          <w:bCs/>
          <w:sz w:val="28"/>
          <w:szCs w:val="28"/>
          <w:lang w:val="en-US" w:eastAsia="zh-CN"/>
        </w:rPr>
      </w:pPr>
      <w:r>
        <w:rPr>
          <w:rFonts w:hint="eastAsia"/>
          <w:b/>
          <w:bCs/>
          <w:sz w:val="28"/>
          <w:szCs w:val="28"/>
          <w:lang w:val="en-US" w:eastAsia="zh-CN"/>
        </w:rPr>
        <w:t>信息化升级建设项目业绩</w:t>
      </w:r>
    </w:p>
    <w:p w14:paraId="4FE1269B">
      <w:pPr>
        <w:pStyle w:val="2"/>
        <w:numPr>
          <w:ilvl w:val="0"/>
          <w:numId w:val="0"/>
        </w:numPr>
        <w:spacing w:beforeLines="0" w:afterLines="0"/>
        <w:rPr>
          <w:rFonts w:hint="default"/>
          <w:sz w:val="24"/>
          <w:szCs w:val="24"/>
          <w:lang w:val="en-US" w:eastAsia="zh-CN"/>
        </w:rPr>
      </w:pPr>
    </w:p>
    <w:p w14:paraId="2D126D49">
      <w:pPr>
        <w:pStyle w:val="2"/>
        <w:numPr>
          <w:ilvl w:val="0"/>
          <w:numId w:val="0"/>
        </w:numPr>
        <w:spacing w:beforeLines="0" w:afterLines="0"/>
        <w:rPr>
          <w:rFonts w:hint="default"/>
          <w:sz w:val="24"/>
          <w:szCs w:val="24"/>
          <w:lang w:val="en-US" w:eastAsia="zh-CN"/>
        </w:rPr>
      </w:pPr>
    </w:p>
    <w:p w14:paraId="616162B6">
      <w:pPr>
        <w:pStyle w:val="2"/>
        <w:numPr>
          <w:ilvl w:val="0"/>
          <w:numId w:val="0"/>
        </w:numPr>
        <w:spacing w:beforeLines="0" w:afterLines="0"/>
        <w:rPr>
          <w:rFonts w:hint="default"/>
          <w:sz w:val="24"/>
          <w:szCs w:val="24"/>
          <w:lang w:val="en-US" w:eastAsia="zh-CN"/>
        </w:rPr>
      </w:pPr>
    </w:p>
    <w:p w14:paraId="3DB4B2B4">
      <w:pPr>
        <w:pStyle w:val="2"/>
        <w:numPr>
          <w:ilvl w:val="0"/>
          <w:numId w:val="0"/>
        </w:numPr>
        <w:spacing w:beforeLines="0" w:afterLines="0"/>
        <w:rPr>
          <w:rFonts w:hint="default"/>
          <w:sz w:val="24"/>
          <w:szCs w:val="24"/>
          <w:lang w:val="en-US" w:eastAsia="zh-CN"/>
        </w:rPr>
      </w:pPr>
    </w:p>
    <w:p w14:paraId="2785D266">
      <w:pPr>
        <w:pStyle w:val="2"/>
        <w:numPr>
          <w:ilvl w:val="0"/>
          <w:numId w:val="0"/>
        </w:numPr>
        <w:spacing w:beforeLines="0" w:afterLines="0"/>
        <w:rPr>
          <w:rFonts w:hint="default"/>
          <w:sz w:val="24"/>
          <w:szCs w:val="24"/>
          <w:lang w:val="en-US" w:eastAsia="zh-CN"/>
        </w:rPr>
      </w:pPr>
    </w:p>
    <w:p w14:paraId="7B132386">
      <w:pPr>
        <w:pStyle w:val="2"/>
        <w:numPr>
          <w:ilvl w:val="0"/>
          <w:numId w:val="0"/>
        </w:numPr>
        <w:spacing w:beforeLines="0" w:afterLines="0"/>
        <w:rPr>
          <w:rFonts w:hint="default"/>
          <w:sz w:val="24"/>
          <w:szCs w:val="24"/>
          <w:lang w:val="en-US" w:eastAsia="zh-CN"/>
        </w:rPr>
      </w:pPr>
    </w:p>
    <w:p w14:paraId="3A67838A">
      <w:pPr>
        <w:pStyle w:val="2"/>
        <w:numPr>
          <w:ilvl w:val="0"/>
          <w:numId w:val="0"/>
        </w:numPr>
        <w:spacing w:beforeLines="0" w:afterLines="0"/>
        <w:rPr>
          <w:rFonts w:hint="default"/>
          <w:sz w:val="24"/>
          <w:szCs w:val="24"/>
          <w:lang w:val="en-US" w:eastAsia="zh-CN"/>
        </w:rPr>
      </w:pPr>
    </w:p>
    <w:p w14:paraId="0D94CF7A">
      <w:pPr>
        <w:pStyle w:val="2"/>
        <w:numPr>
          <w:ilvl w:val="0"/>
          <w:numId w:val="0"/>
        </w:numPr>
        <w:spacing w:beforeLines="0" w:afterLines="0"/>
        <w:rPr>
          <w:rFonts w:hint="default"/>
          <w:sz w:val="24"/>
          <w:szCs w:val="24"/>
          <w:lang w:val="en-US" w:eastAsia="zh-CN"/>
        </w:rPr>
      </w:pPr>
    </w:p>
    <w:p w14:paraId="7976EEEC">
      <w:pPr>
        <w:pStyle w:val="2"/>
        <w:numPr>
          <w:ilvl w:val="0"/>
          <w:numId w:val="0"/>
        </w:numPr>
        <w:spacing w:beforeLines="0" w:afterLines="0"/>
        <w:rPr>
          <w:rFonts w:hint="default"/>
          <w:sz w:val="24"/>
          <w:szCs w:val="24"/>
          <w:lang w:val="en-US" w:eastAsia="zh-CN"/>
        </w:rPr>
      </w:pPr>
    </w:p>
    <w:p w14:paraId="2527144E">
      <w:pPr>
        <w:pStyle w:val="2"/>
        <w:numPr>
          <w:ilvl w:val="0"/>
          <w:numId w:val="0"/>
        </w:numPr>
        <w:spacing w:beforeLines="0" w:afterLines="0"/>
        <w:rPr>
          <w:rFonts w:hint="default"/>
          <w:sz w:val="24"/>
          <w:szCs w:val="24"/>
          <w:lang w:val="en-US" w:eastAsia="zh-CN"/>
        </w:rPr>
      </w:pPr>
    </w:p>
    <w:p w14:paraId="55616335">
      <w:pPr>
        <w:pStyle w:val="2"/>
        <w:numPr>
          <w:ilvl w:val="0"/>
          <w:numId w:val="0"/>
        </w:numPr>
        <w:spacing w:beforeLines="0" w:afterLines="0"/>
        <w:rPr>
          <w:rFonts w:hint="default"/>
          <w:sz w:val="24"/>
          <w:szCs w:val="24"/>
          <w:lang w:val="en-US" w:eastAsia="zh-CN"/>
        </w:rPr>
      </w:pPr>
    </w:p>
    <w:p w14:paraId="34598F4F">
      <w:pPr>
        <w:pStyle w:val="2"/>
        <w:numPr>
          <w:ilvl w:val="0"/>
          <w:numId w:val="0"/>
        </w:numPr>
        <w:spacing w:beforeLines="0" w:afterLines="0"/>
        <w:rPr>
          <w:rFonts w:hint="default"/>
          <w:sz w:val="24"/>
          <w:szCs w:val="24"/>
          <w:lang w:val="en-US" w:eastAsia="zh-CN"/>
        </w:rPr>
      </w:pPr>
    </w:p>
    <w:p w14:paraId="7A139621">
      <w:pPr>
        <w:pStyle w:val="2"/>
        <w:numPr>
          <w:ilvl w:val="0"/>
          <w:numId w:val="0"/>
        </w:numPr>
        <w:spacing w:beforeLines="0" w:afterLines="0"/>
        <w:rPr>
          <w:rFonts w:hint="default"/>
          <w:sz w:val="24"/>
          <w:szCs w:val="24"/>
          <w:lang w:val="en-US" w:eastAsia="zh-CN"/>
        </w:rPr>
      </w:pPr>
    </w:p>
    <w:p w14:paraId="08B67E62">
      <w:pPr>
        <w:pStyle w:val="2"/>
        <w:numPr>
          <w:ilvl w:val="0"/>
          <w:numId w:val="0"/>
        </w:numPr>
        <w:spacing w:beforeLines="0" w:afterLines="0"/>
        <w:rPr>
          <w:rFonts w:hint="default"/>
          <w:sz w:val="24"/>
          <w:szCs w:val="24"/>
          <w:lang w:val="en-US" w:eastAsia="zh-CN"/>
        </w:rPr>
      </w:pPr>
    </w:p>
    <w:p w14:paraId="78CA9DB3">
      <w:pPr>
        <w:pStyle w:val="2"/>
        <w:numPr>
          <w:ilvl w:val="0"/>
          <w:numId w:val="0"/>
        </w:numPr>
        <w:spacing w:beforeLines="0" w:afterLines="0"/>
        <w:rPr>
          <w:rFonts w:hint="default"/>
          <w:sz w:val="24"/>
          <w:szCs w:val="24"/>
          <w:lang w:val="en-US" w:eastAsia="zh-CN"/>
        </w:rPr>
      </w:pPr>
    </w:p>
    <w:p w14:paraId="2E6EF633">
      <w:pPr>
        <w:pStyle w:val="2"/>
        <w:numPr>
          <w:ilvl w:val="0"/>
          <w:numId w:val="0"/>
        </w:numPr>
        <w:spacing w:beforeLines="0" w:afterLines="0"/>
        <w:rPr>
          <w:rFonts w:hint="default"/>
          <w:sz w:val="24"/>
          <w:szCs w:val="24"/>
          <w:lang w:val="en-US" w:eastAsia="zh-CN"/>
        </w:rPr>
      </w:pPr>
    </w:p>
    <w:p w14:paraId="4CB5A10E">
      <w:pPr>
        <w:pStyle w:val="2"/>
        <w:numPr>
          <w:ilvl w:val="0"/>
          <w:numId w:val="0"/>
        </w:numPr>
        <w:spacing w:beforeLines="0" w:afterLines="0"/>
        <w:rPr>
          <w:rFonts w:hint="default"/>
          <w:sz w:val="24"/>
          <w:szCs w:val="24"/>
          <w:lang w:val="en-US" w:eastAsia="zh-CN"/>
        </w:rPr>
      </w:pPr>
    </w:p>
    <w:p w14:paraId="0174309C">
      <w:pPr>
        <w:pStyle w:val="2"/>
        <w:numPr>
          <w:ilvl w:val="0"/>
          <w:numId w:val="0"/>
        </w:numPr>
        <w:spacing w:beforeLines="0" w:afterLines="0"/>
        <w:rPr>
          <w:rFonts w:hint="default"/>
          <w:sz w:val="24"/>
          <w:szCs w:val="24"/>
          <w:lang w:val="en-US" w:eastAsia="zh-CN"/>
        </w:rPr>
      </w:pPr>
    </w:p>
    <w:p w14:paraId="5043FFE7">
      <w:pPr>
        <w:pStyle w:val="2"/>
        <w:numPr>
          <w:ilvl w:val="0"/>
          <w:numId w:val="0"/>
        </w:numPr>
        <w:spacing w:beforeLines="0" w:afterLines="0"/>
        <w:rPr>
          <w:rFonts w:hint="default"/>
          <w:sz w:val="24"/>
          <w:szCs w:val="24"/>
          <w:lang w:val="en-US" w:eastAsia="zh-CN"/>
        </w:rPr>
      </w:pPr>
    </w:p>
    <w:p w14:paraId="6A6748B8">
      <w:pPr>
        <w:pStyle w:val="2"/>
        <w:numPr>
          <w:ilvl w:val="0"/>
          <w:numId w:val="0"/>
        </w:numPr>
        <w:spacing w:beforeLines="0" w:afterLines="0"/>
        <w:rPr>
          <w:rFonts w:hint="default"/>
          <w:sz w:val="24"/>
          <w:szCs w:val="24"/>
          <w:lang w:val="en-US" w:eastAsia="zh-CN"/>
        </w:rPr>
      </w:pPr>
    </w:p>
    <w:p w14:paraId="5D1F19F0">
      <w:pPr>
        <w:pStyle w:val="2"/>
        <w:numPr>
          <w:ilvl w:val="0"/>
          <w:numId w:val="0"/>
        </w:numPr>
        <w:spacing w:beforeLines="0" w:afterLines="0"/>
        <w:rPr>
          <w:rFonts w:hint="default"/>
          <w:sz w:val="24"/>
          <w:szCs w:val="24"/>
          <w:lang w:val="en-US" w:eastAsia="zh-CN"/>
        </w:rPr>
      </w:pPr>
    </w:p>
    <w:p w14:paraId="04BD0AEE">
      <w:pPr>
        <w:pStyle w:val="2"/>
        <w:numPr>
          <w:ilvl w:val="0"/>
          <w:numId w:val="0"/>
        </w:numPr>
        <w:spacing w:beforeLines="0" w:afterLines="0"/>
        <w:rPr>
          <w:rFonts w:hint="default"/>
          <w:sz w:val="24"/>
          <w:szCs w:val="24"/>
          <w:lang w:val="en-US" w:eastAsia="zh-CN"/>
        </w:rPr>
      </w:pPr>
    </w:p>
    <w:p w14:paraId="4C9CE2BB">
      <w:pPr>
        <w:pStyle w:val="2"/>
        <w:numPr>
          <w:ilvl w:val="0"/>
          <w:numId w:val="0"/>
        </w:numPr>
        <w:spacing w:beforeLines="0" w:afterLines="0"/>
        <w:rPr>
          <w:rFonts w:hint="default"/>
          <w:sz w:val="24"/>
          <w:szCs w:val="24"/>
          <w:lang w:val="en-US" w:eastAsia="zh-CN"/>
        </w:rPr>
      </w:pPr>
    </w:p>
    <w:p w14:paraId="11D30521">
      <w:pPr>
        <w:pStyle w:val="2"/>
        <w:numPr>
          <w:ilvl w:val="0"/>
          <w:numId w:val="0"/>
        </w:numPr>
        <w:spacing w:beforeLines="0" w:afterLines="0"/>
        <w:rPr>
          <w:rFonts w:hint="default"/>
          <w:sz w:val="24"/>
          <w:szCs w:val="24"/>
          <w:lang w:val="en-US" w:eastAsia="zh-CN"/>
        </w:rPr>
      </w:pPr>
    </w:p>
    <w:p w14:paraId="7B7FA03F">
      <w:pPr>
        <w:pStyle w:val="2"/>
        <w:numPr>
          <w:ilvl w:val="0"/>
          <w:numId w:val="0"/>
        </w:numPr>
        <w:spacing w:beforeLines="0" w:afterLines="0"/>
        <w:rPr>
          <w:rFonts w:hint="default"/>
          <w:sz w:val="24"/>
          <w:szCs w:val="24"/>
          <w:lang w:val="en-US" w:eastAsia="zh-CN"/>
        </w:rPr>
      </w:pPr>
    </w:p>
    <w:p w14:paraId="416F7467">
      <w:pPr>
        <w:pStyle w:val="2"/>
        <w:numPr>
          <w:ilvl w:val="0"/>
          <w:numId w:val="0"/>
        </w:numPr>
        <w:spacing w:beforeLines="0" w:afterLines="0"/>
        <w:rPr>
          <w:rFonts w:hint="default"/>
          <w:sz w:val="24"/>
          <w:szCs w:val="24"/>
          <w:lang w:val="en-US" w:eastAsia="zh-CN"/>
        </w:rPr>
      </w:pPr>
    </w:p>
    <w:p w14:paraId="118D83C3">
      <w:pPr>
        <w:pStyle w:val="2"/>
        <w:numPr>
          <w:ilvl w:val="0"/>
          <w:numId w:val="0"/>
        </w:numPr>
        <w:spacing w:beforeLines="0" w:afterLines="0"/>
        <w:rPr>
          <w:rFonts w:hint="default"/>
          <w:sz w:val="24"/>
          <w:szCs w:val="24"/>
          <w:lang w:val="en-US" w:eastAsia="zh-CN"/>
        </w:rPr>
      </w:pPr>
    </w:p>
    <w:p w14:paraId="39E6B4DB">
      <w:pPr>
        <w:pStyle w:val="2"/>
        <w:numPr>
          <w:ilvl w:val="0"/>
          <w:numId w:val="0"/>
        </w:numPr>
        <w:spacing w:beforeLines="0" w:afterLines="0"/>
        <w:rPr>
          <w:rFonts w:hint="default"/>
          <w:sz w:val="24"/>
          <w:szCs w:val="24"/>
          <w:lang w:val="en-US" w:eastAsia="zh-CN"/>
        </w:rPr>
      </w:pPr>
    </w:p>
    <w:p w14:paraId="3C5042C9">
      <w:pPr>
        <w:pStyle w:val="2"/>
        <w:numPr>
          <w:ilvl w:val="0"/>
          <w:numId w:val="0"/>
        </w:numPr>
        <w:spacing w:beforeLines="0" w:afterLines="0"/>
        <w:rPr>
          <w:rFonts w:hint="default"/>
          <w:b/>
          <w:bCs/>
          <w:sz w:val="28"/>
          <w:szCs w:val="28"/>
          <w:lang w:val="en-US" w:eastAsia="zh-CN"/>
        </w:rPr>
      </w:pPr>
      <w:r>
        <w:rPr>
          <w:rFonts w:hint="eastAsia"/>
          <w:b/>
          <w:bCs/>
          <w:sz w:val="28"/>
          <w:szCs w:val="28"/>
          <w:lang w:val="en-US" w:eastAsia="zh-CN"/>
        </w:rPr>
        <w:t>5.信用中国网站截图</w:t>
      </w:r>
    </w:p>
    <w:p w14:paraId="0E535833">
      <w:pPr>
        <w:pStyle w:val="2"/>
        <w:spacing w:beforeLines="0" w:afterLines="0"/>
        <w:rPr>
          <w:rFonts w:hint="default"/>
          <w:sz w:val="24"/>
          <w:szCs w:val="24"/>
        </w:rPr>
      </w:pPr>
    </w:p>
    <w:p w14:paraId="26C00C6A">
      <w:pPr>
        <w:pStyle w:val="2"/>
        <w:spacing w:beforeLines="0" w:afterLines="0"/>
        <w:rPr>
          <w:rFonts w:hint="default"/>
          <w:sz w:val="24"/>
          <w:szCs w:val="24"/>
        </w:rPr>
      </w:pPr>
    </w:p>
    <w:p w14:paraId="4BC02A5C">
      <w:pPr>
        <w:pStyle w:val="2"/>
        <w:spacing w:beforeLines="0" w:afterLines="0"/>
        <w:rPr>
          <w:rFonts w:hint="default"/>
          <w:sz w:val="24"/>
          <w:szCs w:val="24"/>
        </w:rPr>
      </w:pPr>
    </w:p>
    <w:p w14:paraId="13810596"/>
    <w:sectPr>
      <w:pgSz w:w="11906" w:h="16838"/>
      <w:pgMar w:top="2098" w:right="1474" w:bottom="1984" w:left="1587" w:header="851" w:footer="992"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E3F8">
    <w:pPr>
      <w:pStyle w:val="8"/>
      <w:spacing w:beforeLines="0" w:afterLines="0"/>
      <w:jc w:val="center"/>
      <w:rPr>
        <w:rFonts w:hint="eastAsia"/>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53A5B27">
                          <w:pPr>
                            <w:pStyle w:val="8"/>
                            <w:spacing w:beforeLines="0" w:afterLines="0"/>
                            <w:jc w:val="center"/>
                            <w:rPr>
                              <w:rFonts w:hint="eastAsia"/>
                              <w:sz w:val="18"/>
                              <w:szCs w:val="18"/>
                            </w:rPr>
                          </w:pPr>
                          <w:r>
                            <w:rPr>
                              <w:rFonts w:hint="eastAsia"/>
                              <w:sz w:val="18"/>
                              <w:szCs w:val="18"/>
                            </w:rPr>
                            <w:fldChar w:fldCharType="begin"/>
                          </w:r>
                          <w:r>
                            <w:rPr>
                              <w:rFonts w:hint="eastAsia"/>
                              <w:sz w:val="18"/>
                              <w:szCs w:val="18"/>
                            </w:rPr>
                            <w:instrText xml:space="preserve">PAGE   \* MERGEFORMAT</w:instrText>
                          </w:r>
                          <w:r>
                            <w:rPr>
                              <w:rFonts w:hint="eastAsia"/>
                              <w:sz w:val="18"/>
                              <w:szCs w:val="18"/>
                            </w:rPr>
                            <w:fldChar w:fldCharType="separate"/>
                          </w:r>
                          <w:r>
                            <w:rPr>
                              <w:rFonts w:hint="eastAsia"/>
                              <w:sz w:val="18"/>
                              <w:szCs w:val="18"/>
                              <w:lang w:val="zh-CN"/>
                            </w:rPr>
                            <w:t>2</w:t>
                          </w:r>
                          <w:r>
                            <w:rPr>
                              <w:rFonts w:hint="eastAsia"/>
                              <w:sz w:val="18"/>
                              <w:szCs w:val="18"/>
                              <w:lang w:val="zh-CN"/>
                            </w:rPr>
                            <w:fldChar w:fldCharType="end"/>
                          </w:r>
                        </w:p>
                        <w:p w14:paraId="2EF6C50A">
                          <w:pPr>
                            <w:pStyle w:val="3"/>
                            <w:spacing w:beforeLines="0" w:afterLines="0"/>
                            <w:rPr>
                              <w:rFonts w:hint="default"/>
                              <w:sz w:val="84"/>
                              <w:szCs w:val="84"/>
                            </w:rPr>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AWODn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R7jzPFTwN/tII2cmaYyx&#10;9zQd3W/WYtrFtED/nnPWw/tb3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IBY4OcBAADH&#10;AwAADgAAAAAAAAABACAAAAAfAQAAZHJzL2Uyb0RvYy54bWxQSwUGAAAAAAYABgBZAQAAeAUAAAAA&#10;">
              <v:fill on="f" focussize="0,0"/>
              <v:stroke on="f" weight="0.5pt"/>
              <v:imagedata o:title=""/>
              <o:lock v:ext="edit" aspectratio="f"/>
              <v:textbox inset="0mm,0mm,0mm,0mm" style="mso-fit-shape-to-text:t;">
                <w:txbxContent>
                  <w:p w14:paraId="353A5B27">
                    <w:pPr>
                      <w:pStyle w:val="8"/>
                      <w:spacing w:beforeLines="0" w:afterLines="0"/>
                      <w:jc w:val="center"/>
                      <w:rPr>
                        <w:rFonts w:hint="eastAsia"/>
                        <w:sz w:val="18"/>
                        <w:szCs w:val="18"/>
                      </w:rPr>
                    </w:pPr>
                    <w:r>
                      <w:rPr>
                        <w:rFonts w:hint="eastAsia"/>
                        <w:sz w:val="18"/>
                        <w:szCs w:val="18"/>
                      </w:rPr>
                      <w:fldChar w:fldCharType="begin"/>
                    </w:r>
                    <w:r>
                      <w:rPr>
                        <w:rFonts w:hint="eastAsia"/>
                        <w:sz w:val="18"/>
                        <w:szCs w:val="18"/>
                      </w:rPr>
                      <w:instrText xml:space="preserve">PAGE   \* MERGEFORMAT</w:instrText>
                    </w:r>
                    <w:r>
                      <w:rPr>
                        <w:rFonts w:hint="eastAsia"/>
                        <w:sz w:val="18"/>
                        <w:szCs w:val="18"/>
                      </w:rPr>
                      <w:fldChar w:fldCharType="separate"/>
                    </w:r>
                    <w:r>
                      <w:rPr>
                        <w:rFonts w:hint="eastAsia"/>
                        <w:sz w:val="18"/>
                        <w:szCs w:val="18"/>
                        <w:lang w:val="zh-CN"/>
                      </w:rPr>
                      <w:t>2</w:t>
                    </w:r>
                    <w:r>
                      <w:rPr>
                        <w:rFonts w:hint="eastAsia"/>
                        <w:sz w:val="18"/>
                        <w:szCs w:val="18"/>
                        <w:lang w:val="zh-CN"/>
                      </w:rPr>
                      <w:fldChar w:fldCharType="end"/>
                    </w:r>
                  </w:p>
                  <w:p w14:paraId="2EF6C50A">
                    <w:pPr>
                      <w:pStyle w:val="3"/>
                      <w:spacing w:beforeLines="0" w:afterLines="0"/>
                      <w:rPr>
                        <w:rFonts w:hint="default"/>
                        <w:sz w:val="84"/>
                        <w:szCs w:val="84"/>
                      </w:rPr>
                    </w:pPr>
                  </w:p>
                </w:txbxContent>
              </v:textbox>
            </v:shape>
          </w:pict>
        </mc:Fallback>
      </mc:AlternateContent>
    </w:r>
  </w:p>
  <w:p w14:paraId="22A65165">
    <w:pPr>
      <w:pStyle w:val="8"/>
      <w:spacing w:beforeLines="0" w:afterLines="0"/>
      <w:rPr>
        <w:rFonts w:hint="eastAsi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9A6F8"/>
    <w:multiLevelType w:val="singleLevel"/>
    <w:tmpl w:val="B4A9A6F8"/>
    <w:lvl w:ilvl="0" w:tentative="0">
      <w:start w:val="3"/>
      <w:numFmt w:val="decimal"/>
      <w:lvlText w:val="%1."/>
      <w:lvlJc w:val="left"/>
      <w:pPr>
        <w:tabs>
          <w:tab w:val="left" w:pos="312"/>
        </w:tabs>
      </w:pPr>
    </w:lvl>
  </w:abstractNum>
  <w:abstractNum w:abstractNumId="1">
    <w:nsid w:val="D84B93BB"/>
    <w:multiLevelType w:val="multilevel"/>
    <w:tmpl w:val="D84B93BB"/>
    <w:lvl w:ilvl="0" w:tentative="0">
      <w:start w:val="2"/>
      <w:numFmt w:val="chineseCounting"/>
      <w:suff w:val="space"/>
      <w:lvlText w:val="第%1章"/>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FEEA96E8"/>
    <w:multiLevelType w:val="multilevel"/>
    <w:tmpl w:val="FEEA96E8"/>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3AAF625F"/>
    <w:multiLevelType w:val="singleLevel"/>
    <w:tmpl w:val="3AAF625F"/>
    <w:lvl w:ilvl="0" w:tentative="0">
      <w:start w:val="1"/>
      <w:numFmt w:val="chineseCounting"/>
      <w:suff w:val="space"/>
      <w:lvlText w:val="第%1章"/>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MmZkZmJiMjIyNzY1MDhmYjU3MjY1NmIwMGM3ZDQifQ=="/>
  </w:docVars>
  <w:rsids>
    <w:rsidRoot w:val="00172A27"/>
    <w:rsid w:val="06AF3A24"/>
    <w:rsid w:val="11AF2004"/>
    <w:rsid w:val="135D4BEE"/>
    <w:rsid w:val="17A447D0"/>
    <w:rsid w:val="25F54CF7"/>
    <w:rsid w:val="2C71344D"/>
    <w:rsid w:val="2DE81100"/>
    <w:rsid w:val="3F6841F0"/>
    <w:rsid w:val="413D04EE"/>
    <w:rsid w:val="494C3BAA"/>
    <w:rsid w:val="4FC11EE5"/>
    <w:rsid w:val="58022636"/>
    <w:rsid w:val="58BE087D"/>
    <w:rsid w:val="645E3F5E"/>
    <w:rsid w:val="6A6C4B08"/>
    <w:rsid w:val="705679BB"/>
    <w:rsid w:val="71A26264"/>
    <w:rsid w:val="72BF04DB"/>
    <w:rsid w:val="7A9A30C2"/>
    <w:rsid w:val="7CD11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E w:val="0"/>
      <w:autoSpaceDN w:val="0"/>
      <w:adjustRightInd w:val="0"/>
      <w:spacing w:beforeLines="0" w:afterLines="0"/>
    </w:pPr>
    <w:rPr>
      <w:rFonts w:hint="default" w:ascii="宋体" w:hAnsi="Times New Roman" w:eastAsia="宋体" w:cs="Times New Roman"/>
      <w:sz w:val="24"/>
      <w:szCs w:val="24"/>
      <w:lang w:val="en-US" w:eastAsia="zh-CN" w:bidi="ar-SA"/>
    </w:rPr>
  </w:style>
  <w:style w:type="paragraph" w:styleId="4">
    <w:name w:val="heading 1"/>
    <w:basedOn w:val="1"/>
    <w:next w:val="1"/>
    <w:unhideWhenUsed/>
    <w:qFormat/>
    <w:uiPriority w:val="9"/>
    <w:pPr>
      <w:keepNext/>
      <w:keepLines/>
      <w:spacing w:before="340" w:beforeLines="0" w:after="330" w:afterLines="0" w:line="360" w:lineRule="auto"/>
      <w:outlineLvl w:val="0"/>
    </w:pPr>
    <w:rPr>
      <w:rFonts w:hint="default"/>
      <w:b/>
      <w:kern w:val="44"/>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beforeLines="0" w:after="120" w:afterLines="0"/>
      <w:ind w:right="0" w:firstLine="420" w:firstLineChars="100"/>
      <w:jc w:val="left"/>
    </w:pPr>
    <w:rPr>
      <w:rFonts w:hint="default"/>
      <w:b w:val="0"/>
      <w:sz w:val="24"/>
      <w:szCs w:val="24"/>
      <w:lang w:val="en-US"/>
    </w:rPr>
  </w:style>
  <w:style w:type="paragraph" w:styleId="3">
    <w:name w:val="Body Text"/>
    <w:basedOn w:val="1"/>
    <w:next w:val="1"/>
    <w:unhideWhenUsed/>
    <w:qFormat/>
    <w:uiPriority w:val="99"/>
    <w:pPr>
      <w:spacing w:beforeLines="0" w:afterLines="0"/>
      <w:ind w:right="-26"/>
      <w:jc w:val="center"/>
    </w:pPr>
    <w:rPr>
      <w:rFonts w:hint="default"/>
      <w:b/>
      <w:sz w:val="84"/>
      <w:szCs w:val="84"/>
      <w:lang w:val="zh-CN"/>
    </w:rPr>
  </w:style>
  <w:style w:type="paragraph" w:styleId="5">
    <w:name w:val="annotation text"/>
    <w:basedOn w:val="1"/>
    <w:unhideWhenUsed/>
    <w:qFormat/>
    <w:uiPriority w:val="99"/>
    <w:pPr>
      <w:spacing w:beforeLines="0" w:afterLines="0"/>
    </w:pPr>
    <w:rPr>
      <w:rFonts w:hint="default"/>
      <w:sz w:val="24"/>
      <w:szCs w:val="24"/>
    </w:rPr>
  </w:style>
  <w:style w:type="paragraph" w:styleId="6">
    <w:name w:val="Body Text Indent"/>
    <w:basedOn w:val="1"/>
    <w:unhideWhenUsed/>
    <w:qFormat/>
    <w:uiPriority w:val="0"/>
    <w:pPr>
      <w:spacing w:beforeLines="0" w:afterLines="0" w:line="400" w:lineRule="exact"/>
      <w:ind w:firstLine="420" w:firstLineChars="200"/>
    </w:pPr>
    <w:rPr>
      <w:rFonts w:hint="default" w:hAnsi="宋体"/>
      <w:color w:val="000000"/>
      <w:sz w:val="24"/>
      <w:szCs w:val="24"/>
    </w:rPr>
  </w:style>
  <w:style w:type="paragraph" w:styleId="7">
    <w:name w:val="Plain Text"/>
    <w:basedOn w:val="1"/>
    <w:unhideWhenUsed/>
    <w:qFormat/>
    <w:uiPriority w:val="99"/>
    <w:pPr>
      <w:autoSpaceDE/>
      <w:autoSpaceDN/>
      <w:adjustRightInd/>
      <w:spacing w:beforeLines="0" w:afterLines="0"/>
      <w:jc w:val="both"/>
    </w:pPr>
    <w:rPr>
      <w:rFonts w:hint="default" w:hAnsi="Courier New"/>
      <w:kern w:val="2"/>
      <w:sz w:val="21"/>
      <w:szCs w:val="20"/>
    </w:rPr>
  </w:style>
  <w:style w:type="paragraph" w:styleId="8">
    <w:name w:val="footer"/>
    <w:basedOn w:val="1"/>
    <w:unhideWhenUsed/>
    <w:qFormat/>
    <w:uiPriority w:val="99"/>
    <w:pPr>
      <w:tabs>
        <w:tab w:val="center" w:pos="4153"/>
        <w:tab w:val="right" w:pos="8306"/>
      </w:tabs>
      <w:autoSpaceDE/>
      <w:autoSpaceDN/>
      <w:adjustRightInd/>
      <w:snapToGrid w:val="0"/>
      <w:spacing w:beforeLines="0" w:afterLines="0"/>
    </w:pPr>
    <w:rPr>
      <w:rFonts w:hint="eastAsia" w:ascii="等线" w:hAnsi="等线" w:eastAsia="等线"/>
      <w:kern w:val="2"/>
      <w:sz w:val="18"/>
      <w:szCs w:val="18"/>
    </w:rPr>
  </w:style>
  <w:style w:type="character" w:styleId="11">
    <w:name w:val="Hyperlink"/>
    <w:basedOn w:val="10"/>
    <w:unhideWhenUsed/>
    <w:qFormat/>
    <w:uiPriority w:val="0"/>
    <w:rPr>
      <w:rFonts w:hint="default"/>
      <w:color w:val="0000FF"/>
      <w:sz w:val="24"/>
      <w:szCs w:val="24"/>
      <w:u w:val="single"/>
    </w:rPr>
  </w:style>
  <w:style w:type="paragraph" w:customStyle="1" w:styleId="12">
    <w:name w:val="WPSOffice手动目录 1"/>
    <w:unhideWhenUsed/>
    <w:qFormat/>
    <w:uiPriority w:val="0"/>
    <w:pPr>
      <w:spacing w:beforeLines="0" w:afterLines="0"/>
    </w:pPr>
    <w:rPr>
      <w:rFonts w:hint="eastAsia" w:ascii="Times New Roman" w:hAnsi="Times New Roman" w:eastAsia="Times New Roman" w:cs="Times New Roman"/>
      <w:sz w:val="20"/>
      <w:szCs w:val="20"/>
    </w:rPr>
  </w:style>
  <w:style w:type="paragraph" w:customStyle="1" w:styleId="13">
    <w:name w:val="Table Text"/>
    <w:basedOn w:val="1"/>
    <w:unhideWhenUsed/>
    <w:qFormat/>
    <w:uiPriority w:val="0"/>
    <w:pPr>
      <w:spacing w:beforeLines="0" w:afterLines="0"/>
    </w:pPr>
    <w:rPr>
      <w:rFonts w:hint="default" w:hAnsi="宋体" w:cs="宋体"/>
      <w:sz w:val="27"/>
      <w:szCs w:val="27"/>
      <w:lang w:eastAsia="en-US"/>
    </w:rPr>
  </w:style>
  <w:style w:type="character" w:customStyle="1" w:styleId="14">
    <w:name w:val="font11"/>
    <w:basedOn w:val="10"/>
    <w:unhideWhenUsed/>
    <w:qFormat/>
    <w:uiPriority w:val="0"/>
    <w:rPr>
      <w:rFonts w:hint="default" w:ascii="宋体" w:hAnsi="宋体" w:eastAsia="宋体" w:cs="宋体"/>
      <w:color w:val="000000"/>
      <w:sz w:val="30"/>
      <w:szCs w:val="30"/>
    </w:rPr>
  </w:style>
  <w:style w:type="character" w:customStyle="1" w:styleId="15">
    <w:name w:val="font21"/>
    <w:basedOn w:val="10"/>
    <w:unhideWhenUsed/>
    <w:qFormat/>
    <w:uiPriority w:val="0"/>
    <w:rPr>
      <w:rFonts w:hint="eastAsia" w:ascii="Times New Roman" w:hAnsi="Times New Roman" w:eastAsia="Times New Roman" w:cs="Times New Roman"/>
      <w:color w:val="000000"/>
      <w:sz w:val="30"/>
      <w:szCs w:val="30"/>
    </w:rPr>
  </w:style>
  <w:style w:type="paragraph" w:customStyle="1" w:styleId="16">
    <w:name w:val="Body text|1"/>
    <w:basedOn w:val="1"/>
    <w:unhideWhenUsed/>
    <w:qFormat/>
    <w:uiPriority w:val="0"/>
    <w:pPr>
      <w:spacing w:beforeLines="0" w:afterLines="0" w:line="437" w:lineRule="auto"/>
      <w:ind w:firstLine="400"/>
    </w:pPr>
    <w:rPr>
      <w:rFonts w:hint="default" w:hAnsi="宋体" w:cs="宋体"/>
      <w:color w:val="29282A"/>
      <w:sz w:val="20"/>
      <w:szCs w:val="20"/>
      <w:lang w:val="zh-TW" w:eastAsia="zh-TW" w:bidi="zh-TW"/>
    </w:rPr>
  </w:style>
  <w:style w:type="paragraph" w:customStyle="1" w:styleId="17">
    <w:name w:val="彩色列表 - 强调文字颜色 11"/>
    <w:basedOn w:val="1"/>
    <w:unhideWhenUsed/>
    <w:qFormat/>
    <w:uiPriority w:val="34"/>
    <w:pPr>
      <w:spacing w:beforeLines="0" w:afterLines="0"/>
      <w:ind w:firstLine="420" w:firstLineChars="200"/>
    </w:pPr>
    <w:rPr>
      <w:rFonts w:hint="default"/>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26860</Words>
  <Characters>27396</Characters>
  <Lines>0</Lines>
  <Paragraphs>0</Paragraphs>
  <TotalTime>22</TotalTime>
  <ScaleCrop>false</ScaleCrop>
  <LinksUpToDate>false</LinksUpToDate>
  <CharactersWithSpaces>28360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2024-11-08T00:59:00Z</dcterms:created>
  <dc:creator>Administrator</dc:creator>
  <cp:lastModifiedBy>刘靖芹</cp:lastModifiedBy>
  <dcterms:modified xsi:type="dcterms:W3CDTF">2024-12-10T01:49:47Z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AA6ABB313AFD4F228517B61AD490B335_12</vt:lpwstr>
  </property>
</Properties>
</file>