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028B4">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14F29041">
      <w:pPr>
        <w:pStyle w:val="2"/>
        <w:rPr>
          <w:color w:val="auto"/>
          <w:lang w:val="zh-CN"/>
        </w:rPr>
      </w:pPr>
    </w:p>
    <w:p w14:paraId="44267EA2">
      <w:pPr>
        <w:autoSpaceDE w:val="0"/>
        <w:autoSpaceDN w:val="0"/>
        <w:adjustRightInd w:val="0"/>
        <w:spacing w:line="276" w:lineRule="auto"/>
        <w:ind w:left="357" w:leftChars="170" w:right="-23" w:rightChars="-11"/>
        <w:jc w:val="center"/>
        <w:outlineLvl w:val="9"/>
        <w:rPr>
          <w:rFonts w:ascii="宋体" w:hAnsi="宋体" w:eastAsia="宋体" w:cs="宋体"/>
          <w:b/>
          <w:bCs/>
          <w:color w:val="auto"/>
          <w:kern w:val="0"/>
          <w:sz w:val="60"/>
          <w:szCs w:val="60"/>
          <w:highlight w:val="none"/>
          <w:lang w:val="zh-CN"/>
        </w:rPr>
      </w:pPr>
      <w:bookmarkStart w:id="0" w:name="_Toc26971"/>
      <w:bookmarkStart w:id="1" w:name="_Toc14187"/>
      <w:r>
        <w:rPr>
          <w:rFonts w:hint="eastAsia" w:ascii="宋体" w:hAnsi="宋体" w:eastAsia="宋体" w:cs="宋体"/>
          <w:b/>
          <w:bCs/>
          <w:color w:val="auto"/>
          <w:kern w:val="0"/>
          <w:sz w:val="60"/>
          <w:szCs w:val="60"/>
          <w:highlight w:val="none"/>
          <w:lang w:val="zh-CN"/>
        </w:rPr>
        <w:t>东莞市水务集团净水有限公司2025年生产药剂液体复合碳源采购项目</w:t>
      </w:r>
      <w:bookmarkEnd w:id="0"/>
      <w:bookmarkEnd w:id="1"/>
    </w:p>
    <w:p w14:paraId="6C66EDFA">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6FDA4504">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DC772A0">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72BC1181">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354F59CA">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21FB3F18">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12319A05">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14BC5387">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0D238F4F">
      <w:pPr>
        <w:autoSpaceDE w:val="0"/>
        <w:autoSpaceDN w:val="0"/>
        <w:adjustRightInd w:val="0"/>
        <w:spacing w:line="480" w:lineRule="auto"/>
        <w:ind w:left="1842" w:leftChars="877" w:firstLine="19" w:firstLineChars="6"/>
        <w:jc w:val="left"/>
        <w:outlineLvl w:val="9"/>
        <w:rPr>
          <w:rFonts w:ascii="宋体" w:hAnsi="宋体" w:eastAsia="宋体" w:cs="Times New Roman"/>
          <w:b/>
          <w:bCs/>
          <w:color w:val="auto"/>
          <w:sz w:val="32"/>
          <w:szCs w:val="32"/>
          <w:highlight w:val="none"/>
          <w:lang w:val="zh-CN"/>
        </w:rPr>
      </w:pPr>
      <w:bookmarkStart w:id="2" w:name="_Toc26272"/>
      <w:bookmarkStart w:id="3" w:name="_Toc5195"/>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号：WTZB2024DG0048</w:t>
      </w:r>
      <w:bookmarkEnd w:id="2"/>
      <w:bookmarkEnd w:id="3"/>
    </w:p>
    <w:p w14:paraId="6DC69FF1">
      <w:pPr>
        <w:autoSpaceDE w:val="0"/>
        <w:autoSpaceDN w:val="0"/>
        <w:adjustRightInd w:val="0"/>
        <w:spacing w:line="480" w:lineRule="auto"/>
        <w:ind w:left="1842" w:leftChars="877" w:firstLine="19" w:firstLineChars="6"/>
        <w:jc w:val="left"/>
        <w:outlineLvl w:val="9"/>
        <w:rPr>
          <w:rFonts w:ascii="宋体" w:hAnsi="宋体" w:eastAsia="宋体" w:cs="Times New Roman"/>
          <w:b/>
          <w:bCs/>
          <w:color w:val="auto"/>
          <w:sz w:val="32"/>
          <w:szCs w:val="32"/>
          <w:highlight w:val="none"/>
          <w:lang w:val="zh-CN"/>
        </w:rPr>
      </w:pPr>
      <w:bookmarkStart w:id="4" w:name="_Toc31939"/>
      <w:bookmarkStart w:id="5" w:name="_Toc2388"/>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人：东莞市水务集团净水有限公司</w:t>
      </w:r>
      <w:bookmarkEnd w:id="4"/>
      <w:bookmarkEnd w:id="5"/>
      <w:bookmarkStart w:id="988" w:name="_GoBack"/>
      <w:bookmarkEnd w:id="988"/>
    </w:p>
    <w:p w14:paraId="728D22A5">
      <w:pPr>
        <w:autoSpaceDE w:val="0"/>
        <w:autoSpaceDN w:val="0"/>
        <w:adjustRightInd w:val="0"/>
        <w:spacing w:line="480" w:lineRule="auto"/>
        <w:ind w:left="1842" w:leftChars="877" w:firstLine="19" w:firstLineChars="6"/>
        <w:jc w:val="left"/>
        <w:outlineLvl w:val="9"/>
        <w:rPr>
          <w:rFonts w:ascii="宋体" w:hAnsi="宋体" w:eastAsia="宋体" w:cs="Times New Roman"/>
          <w:b/>
          <w:bCs/>
          <w:color w:val="auto"/>
          <w:sz w:val="32"/>
          <w:szCs w:val="32"/>
          <w:highlight w:val="none"/>
          <w:lang w:val="zh-CN"/>
        </w:rPr>
      </w:pPr>
      <w:bookmarkStart w:id="6" w:name="_Toc8928"/>
      <w:bookmarkStart w:id="7" w:name="_Toc17648"/>
      <w:r>
        <w:rPr>
          <w:rFonts w:hint="eastAsia" w:ascii="宋体" w:hAnsi="宋体" w:eastAsia="宋体" w:cs="Times New Roman"/>
          <w:b/>
          <w:bCs/>
          <w:color w:val="auto"/>
          <w:sz w:val="32"/>
          <w:szCs w:val="32"/>
          <w:highlight w:val="none"/>
          <w:lang w:val="zh-CN"/>
        </w:rPr>
        <w:t>招标代理机构：广州宏达工程顾问集团有限公司</w:t>
      </w:r>
      <w:bookmarkEnd w:id="6"/>
      <w:bookmarkEnd w:id="7"/>
    </w:p>
    <w:p w14:paraId="78A0B971">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3F1F82DB">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0BEC6D1D">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11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28 </w:t>
      </w:r>
      <w:r>
        <w:rPr>
          <w:rFonts w:hint="eastAsia" w:ascii="宋体" w:hAnsi="宋体" w:eastAsia="宋体" w:cs="宋体"/>
          <w:b/>
          <w:bCs/>
          <w:color w:val="auto"/>
          <w:sz w:val="32"/>
          <w:szCs w:val="32"/>
          <w:highlight w:val="none"/>
          <w:lang w:val="zh-CN"/>
        </w:rPr>
        <w:t>日</w:t>
      </w:r>
    </w:p>
    <w:p w14:paraId="7CEE6DB9">
      <w:pPr>
        <w:rPr>
          <w:color w:val="auto"/>
          <w:highlight w:val="none"/>
        </w:rPr>
      </w:pPr>
      <w:r>
        <w:rPr>
          <w:rFonts w:hint="eastAsia" w:ascii="宋体" w:hAnsi="宋体" w:eastAsia="宋体" w:cs="宋体"/>
          <w:b/>
          <w:bCs/>
          <w:color w:val="auto"/>
          <w:sz w:val="32"/>
          <w:szCs w:val="32"/>
          <w:highlight w:val="none"/>
          <w:lang w:val="zh-CN"/>
        </w:rPr>
        <w:br w:type="page"/>
      </w:r>
    </w:p>
    <w:p w14:paraId="5F5220B8">
      <w:pPr>
        <w:spacing w:before="0" w:beforeLines="0" w:after="0" w:afterLines="0" w:line="240" w:lineRule="auto"/>
        <w:ind w:left="0" w:leftChars="0" w:right="0" w:rightChars="0" w:firstLine="0" w:firstLineChars="0"/>
        <w:jc w:val="center"/>
        <w:rPr>
          <w:b/>
          <w:bCs/>
          <w:color w:val="auto"/>
          <w:sz w:val="28"/>
          <w:szCs w:val="32"/>
          <w:highlight w:val="none"/>
        </w:rPr>
      </w:pPr>
      <w:bookmarkStart w:id="8" w:name="_Toc11608"/>
      <w:r>
        <w:rPr>
          <w:rFonts w:ascii="宋体" w:hAnsi="宋体" w:eastAsia="宋体"/>
          <w:b/>
          <w:bCs/>
          <w:color w:val="auto"/>
          <w:sz w:val="28"/>
          <w:szCs w:val="32"/>
          <w:highlight w:val="none"/>
        </w:rPr>
        <w:t>目</w:t>
      </w:r>
      <w:r>
        <w:rPr>
          <w:rFonts w:hint="eastAsia" w:ascii="宋体" w:hAnsi="宋体" w:eastAsia="宋体"/>
          <w:b/>
          <w:bCs/>
          <w:color w:val="auto"/>
          <w:sz w:val="28"/>
          <w:szCs w:val="32"/>
          <w:highlight w:val="none"/>
          <w:lang w:val="en-US" w:eastAsia="zh-CN"/>
        </w:rPr>
        <w:t xml:space="preserve">    </w:t>
      </w:r>
      <w:r>
        <w:rPr>
          <w:rFonts w:ascii="宋体" w:hAnsi="宋体" w:eastAsia="宋体"/>
          <w:b/>
          <w:bCs/>
          <w:color w:val="auto"/>
          <w:sz w:val="28"/>
          <w:szCs w:val="32"/>
          <w:highlight w:val="none"/>
        </w:rPr>
        <w:t>录</w:t>
      </w:r>
    </w:p>
    <w:p w14:paraId="2BE92832">
      <w:pPr>
        <w:pStyle w:val="28"/>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_Toc28550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第一篇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_Toc28550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B5763E9">
      <w:pPr>
        <w:pStyle w:val="28"/>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_Toc7159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 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_Toc7159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F159A2A">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_Toc5061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C81D27">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_Toc32297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_Toc32297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EACB94">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_Toc11777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_Toc11777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4871C8">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_Toc25626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_Toc25626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162F04">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_Toc30940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_Toc30940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B0F9AED">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_Toc15778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_Toc15778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4440C58">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_Toc11679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_Toc11679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6E3127">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_Toc3181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CC022F">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_Toc26278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_Toc26278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789361B">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_Toc11071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_Toc11071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C3EA69">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_Toc32280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_Toc32280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ADB82B3">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_Toc5200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C5AF88D">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_Toc4944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_Toc4944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19F88A">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_Toc18312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_Toc18312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AD6360">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17B18DC">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_Toc14246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_Toc14246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B1528B">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_Toc22658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CAE9460">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_Toc7576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36B830">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_Toc26569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BF75BE">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FCF5B9">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_Toc27966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_Toc27966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8323F4">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_Toc9587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_Toc9587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39FC9E">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_Toc21308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2148B9B">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_Toc30476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_Toc30476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EC60D1">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_Toc8346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_Toc8346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A2A2E9">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_Toc11106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_Toc11106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5A52D6">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_Toc24928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C855AF">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_Toc13908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23 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EADB46">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_Toc9437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_Toc9437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288553">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_Toc6507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C2A28A9">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_Toc21003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6CAA73">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_Toc18801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74C056">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_Toc15330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F8FEB0">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_Toc25943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28.2 评标严格按照招标文件的要求和条件进行。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_Toc25943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0345C6B">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_Toc1681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29 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972D402">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_Toc10818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zh-CN"/>
        </w:rPr>
        <w:t>30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0613A49">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_Toc18557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31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_Toc18557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78A597B">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_Toc13207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7ECF83">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_Toc15322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32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BE69CE">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_Toc13706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A9BC74">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34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72720D">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35 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BD1550B">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_Toc18125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36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821B3D3">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_Toc30627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37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82E593">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_Toc26276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38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_Toc26276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0BFB24">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_Toc13508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zh-CN"/>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3678F05">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_Toc23017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_Toc23017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15FD2A">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_Toc22810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_Toc22810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552CD5C">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_Toc30747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_Toc30747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8E7D9D9">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_Toc772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_Toc772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393A91A">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_Toc28014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_Toc28014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6F8BB31A">
      <w:pPr>
        <w:pStyle w:val="28"/>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_Toc16833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_Toc16833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100</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5364163">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ind w:left="0" w:leftChars="0" w:firstLine="0" w:firstLineChars="0"/>
        <w:textAlignment w:val="auto"/>
        <w:rPr>
          <w:color w:val="auto"/>
          <w:highlight w:val="none"/>
        </w:rPr>
      </w:pPr>
      <w:r>
        <w:rPr>
          <w:rFonts w:hint="eastAsia" w:ascii="宋体" w:hAnsi="宋体" w:eastAsia="宋体" w:cs="宋体"/>
          <w:color w:val="auto"/>
          <w:highlight w:val="none"/>
        </w:rPr>
        <w:fldChar w:fldCharType="end"/>
      </w:r>
    </w:p>
    <w:p w14:paraId="02A705DB">
      <w:pPr>
        <w:keepNext/>
        <w:keepLines/>
        <w:pageBreakBefore/>
        <w:tabs>
          <w:tab w:val="left" w:pos="1080"/>
        </w:tabs>
        <w:autoSpaceDE w:val="0"/>
        <w:autoSpaceDN w:val="0"/>
        <w:adjustRightInd w:val="0"/>
        <w:spacing w:line="360" w:lineRule="auto"/>
        <w:jc w:val="center"/>
        <w:outlineLvl w:val="0"/>
        <w:rPr>
          <w:rFonts w:ascii="宋体" w:hAnsi="宋体" w:eastAsia="宋体" w:cs="Times New Roman"/>
          <w:b/>
          <w:bCs/>
          <w:color w:val="auto"/>
          <w:kern w:val="44"/>
          <w:sz w:val="44"/>
          <w:szCs w:val="44"/>
          <w:highlight w:val="none"/>
          <w:lang w:val="zh-CN"/>
        </w:rPr>
      </w:pPr>
      <w:bookmarkStart w:id="9" w:name="_Toc28550"/>
      <w:r>
        <w:rPr>
          <w:rFonts w:ascii="宋体" w:hAnsi="宋体" w:eastAsia="宋体" w:cs="Times New Roman"/>
          <w:b/>
          <w:bCs/>
          <w:color w:val="auto"/>
          <w:kern w:val="44"/>
          <w:sz w:val="32"/>
          <w:szCs w:val="32"/>
          <w:highlight w:val="none"/>
          <w:lang w:val="zh-CN"/>
        </w:rPr>
        <w:t>第一篇 招标公告</w:t>
      </w:r>
      <w:bookmarkEnd w:id="8"/>
      <w:bookmarkEnd w:id="9"/>
    </w:p>
    <w:p w14:paraId="0E5CB50E">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rPr>
      </w:pPr>
    </w:p>
    <w:p w14:paraId="5BDD6E1D">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东莞市水务集团净水有限公司</w:t>
      </w:r>
      <w:r>
        <w:rPr>
          <w:rFonts w:ascii="宋体" w:hAnsi="宋体" w:eastAsia="宋体" w:cs="Times New Roman"/>
          <w:color w:val="auto"/>
          <w:szCs w:val="21"/>
          <w:highlight w:val="none"/>
          <w:lang w:val="zh-CN"/>
        </w:rPr>
        <w:t>（以下简称“招标人”）的委托，对</w:t>
      </w:r>
      <w:bookmarkStart w:id="10" w:name="_Hlk41903390"/>
      <w:r>
        <w:rPr>
          <w:rFonts w:hint="eastAsia" w:ascii="宋体" w:hAnsi="宋体" w:eastAsia="宋体" w:cs="Times New Roman"/>
          <w:color w:val="auto"/>
          <w:kern w:val="0"/>
          <w:szCs w:val="21"/>
          <w:highlight w:val="none"/>
          <w:lang w:eastAsia="zh-CN"/>
        </w:rPr>
        <w:t>东莞市水务集团净水有限公司2025年生产药剂液体复合碳源采购项目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WTZB2024DG0048</w:t>
      </w:r>
      <w:r>
        <w:rPr>
          <w:rFonts w:ascii="宋体" w:hAnsi="宋体" w:eastAsia="宋体" w:cs="Times New Roman"/>
          <w:color w:val="auto"/>
          <w:szCs w:val="21"/>
          <w:highlight w:val="none"/>
          <w:lang w:val="zh-CN"/>
        </w:rPr>
        <w:t>)</w:t>
      </w:r>
      <w:bookmarkEnd w:id="10"/>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1ED7D82F">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B9FE730">
      <w:pPr>
        <w:numPr>
          <w:ilvl w:val="0"/>
          <w:numId w:val="1"/>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szCs w:val="21"/>
          <w:highlight w:val="none"/>
          <w:u w:val="single"/>
        </w:rPr>
        <w:t>本次采购东莞市水务集团净水有限公司旗下运营项目所需生产药剂：液体复合碳源。</w:t>
      </w:r>
    </w:p>
    <w:tbl>
      <w:tblPr>
        <w:tblStyle w:val="37"/>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29"/>
        <w:gridCol w:w="1056"/>
        <w:gridCol w:w="1023"/>
        <w:gridCol w:w="2833"/>
        <w:gridCol w:w="1984"/>
        <w:gridCol w:w="1134"/>
        <w:gridCol w:w="1019"/>
      </w:tblGrid>
      <w:tr w14:paraId="7F26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5" w:hRule="atLeast"/>
          <w:jc w:val="center"/>
        </w:trPr>
        <w:tc>
          <w:tcPr>
            <w:tcW w:w="929" w:type="dxa"/>
            <w:noWrap w:val="0"/>
            <w:vAlign w:val="center"/>
          </w:tcPr>
          <w:p w14:paraId="653FF371">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056" w:type="dxa"/>
            <w:noWrap w:val="0"/>
            <w:vAlign w:val="center"/>
          </w:tcPr>
          <w:p w14:paraId="68BEFDBF">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暂定采购数量</w:t>
            </w:r>
          </w:p>
        </w:tc>
        <w:tc>
          <w:tcPr>
            <w:tcW w:w="1023" w:type="dxa"/>
            <w:noWrap w:val="0"/>
            <w:vAlign w:val="center"/>
          </w:tcPr>
          <w:p w14:paraId="331F368B">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预算综合单价</w:t>
            </w:r>
            <w:r>
              <w:rPr>
                <w:rFonts w:hint="eastAsia" w:ascii="宋体" w:hAnsi="宋体" w:eastAsia="宋体" w:cs="宋体"/>
                <w:color w:val="auto"/>
                <w:sz w:val="21"/>
                <w:szCs w:val="21"/>
                <w:highlight w:val="none"/>
              </w:rPr>
              <w:t>（不含税）</w:t>
            </w:r>
          </w:p>
        </w:tc>
        <w:tc>
          <w:tcPr>
            <w:tcW w:w="2833" w:type="dxa"/>
            <w:noWrap w:val="0"/>
            <w:vAlign w:val="center"/>
          </w:tcPr>
          <w:p w14:paraId="37A2C2AE">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w:t>
            </w:r>
          </w:p>
        </w:tc>
        <w:tc>
          <w:tcPr>
            <w:tcW w:w="1984" w:type="dxa"/>
            <w:noWrap w:val="0"/>
            <w:vAlign w:val="center"/>
          </w:tcPr>
          <w:p w14:paraId="6D6D1E75">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1134" w:type="dxa"/>
            <w:noWrap w:val="0"/>
            <w:vAlign w:val="center"/>
          </w:tcPr>
          <w:p w14:paraId="5ADC7CFB">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保质期</w:t>
            </w:r>
          </w:p>
        </w:tc>
        <w:tc>
          <w:tcPr>
            <w:tcW w:w="1019" w:type="dxa"/>
            <w:noWrap w:val="0"/>
            <w:vAlign w:val="center"/>
          </w:tcPr>
          <w:p w14:paraId="74088A35">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r>
      <w:tr w14:paraId="13C3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555" w:hRule="atLeast"/>
          <w:jc w:val="center"/>
        </w:trPr>
        <w:tc>
          <w:tcPr>
            <w:tcW w:w="929" w:type="dxa"/>
            <w:noWrap w:val="0"/>
            <w:vAlign w:val="center"/>
          </w:tcPr>
          <w:p w14:paraId="1475230C">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液体复合碳源</w:t>
            </w:r>
          </w:p>
        </w:tc>
        <w:tc>
          <w:tcPr>
            <w:tcW w:w="1056" w:type="dxa"/>
            <w:noWrap w:val="0"/>
            <w:vAlign w:val="center"/>
          </w:tcPr>
          <w:p w14:paraId="74EB5FF7">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11022.613</w:t>
            </w:r>
            <w:r>
              <w:rPr>
                <w:rFonts w:hint="eastAsia" w:ascii="宋体" w:hAnsi="宋体" w:eastAsia="宋体" w:cs="宋体"/>
                <w:color w:val="auto"/>
                <w:sz w:val="21"/>
                <w:szCs w:val="21"/>
                <w:highlight w:val="none"/>
              </w:rPr>
              <w:t>吨</w:t>
            </w:r>
          </w:p>
        </w:tc>
        <w:tc>
          <w:tcPr>
            <w:tcW w:w="1023" w:type="dxa"/>
            <w:noWrap w:val="0"/>
            <w:vAlign w:val="center"/>
          </w:tcPr>
          <w:p w14:paraId="7D55A15F">
            <w:pPr>
              <w:widowControl/>
              <w:autoSpaceDE/>
              <w:autoSpaceDN/>
              <w:adjustRightInd/>
              <w:snapToGrid w:val="0"/>
              <w:spacing w:line="36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rPr>
              <w:t>740.41</w:t>
            </w:r>
          </w:p>
          <w:p w14:paraId="1CD85083">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元/吨</w:t>
            </w:r>
          </w:p>
        </w:tc>
        <w:tc>
          <w:tcPr>
            <w:tcW w:w="2833" w:type="dxa"/>
            <w:noWrap w:val="0"/>
            <w:vAlign w:val="center"/>
          </w:tcPr>
          <w:p w14:paraId="0FCBBE62">
            <w:pPr>
              <w:widowControl/>
              <w:autoSpaceDE/>
              <w:autoSpaceDN/>
              <w:adjustRightInd/>
              <w:snapToGrid w:val="0"/>
              <w:jc w:val="center"/>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自202</w:t>
            </w:r>
            <w:r>
              <w:rPr>
                <w:rFonts w:hint="eastAsia" w:ascii="宋体" w:hAnsi="宋体" w:eastAsia="宋体" w:cs="宋体"/>
                <w:iCs/>
                <w:color w:val="auto"/>
                <w:sz w:val="21"/>
                <w:szCs w:val="21"/>
                <w:highlight w:val="none"/>
                <w:lang w:val="en-US" w:eastAsia="zh-CN"/>
              </w:rPr>
              <w:t>5</w:t>
            </w:r>
            <w:r>
              <w:rPr>
                <w:rFonts w:hint="eastAsia" w:ascii="宋体" w:hAnsi="宋体" w:eastAsia="宋体" w:cs="宋体"/>
                <w:iCs/>
                <w:color w:val="auto"/>
                <w:sz w:val="21"/>
                <w:szCs w:val="21"/>
                <w:highlight w:val="none"/>
              </w:rPr>
              <w:t>年1月1日起至202</w:t>
            </w:r>
            <w:r>
              <w:rPr>
                <w:rFonts w:hint="eastAsia" w:ascii="宋体" w:hAnsi="宋体" w:eastAsia="宋体" w:cs="宋体"/>
                <w:iCs/>
                <w:color w:val="auto"/>
                <w:sz w:val="21"/>
                <w:szCs w:val="21"/>
                <w:highlight w:val="none"/>
                <w:lang w:val="en-US" w:eastAsia="zh-CN"/>
              </w:rPr>
              <w:t>5</w:t>
            </w:r>
            <w:r>
              <w:rPr>
                <w:rFonts w:hint="eastAsia" w:ascii="宋体" w:hAnsi="宋体" w:eastAsia="宋体" w:cs="宋体"/>
                <w:iCs/>
                <w:color w:val="auto"/>
                <w:sz w:val="21"/>
                <w:szCs w:val="21"/>
                <w:highlight w:val="none"/>
              </w:rPr>
              <w:t>年12月31日止，具体供货起始日期以招标人或招标人权属子公司书面通知为准，投标人收到招标人或招标人权属子公司通知后必须无条件按照招标人的要求开始供货，供货期结束后，按招标人实际生产需要，经双方协商同意后，可签订补充协议延长不超过三个月的供货期。</w:t>
            </w:r>
          </w:p>
        </w:tc>
        <w:tc>
          <w:tcPr>
            <w:tcW w:w="1984" w:type="dxa"/>
            <w:noWrap w:val="0"/>
            <w:vAlign w:val="center"/>
          </w:tcPr>
          <w:p w14:paraId="2B4836CE">
            <w:pPr>
              <w:widowControl/>
              <w:autoSpaceDE/>
              <w:autoSpaceDN/>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为接到供货通知24小时内，加急供货为接到供货通知4小时内，具体交货时间以招标人运营项目供货通知为准。招标人无需因加急供货而额外支付任何费用。</w:t>
            </w:r>
          </w:p>
        </w:tc>
        <w:tc>
          <w:tcPr>
            <w:tcW w:w="1134" w:type="dxa"/>
            <w:noWrap w:val="0"/>
            <w:vAlign w:val="center"/>
          </w:tcPr>
          <w:p w14:paraId="77F12F02">
            <w:pPr>
              <w:widowControl/>
              <w:autoSpaceDE/>
              <w:autoSpaceDN/>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以货到现场之日算起六个月，保质期内产品质量须达到本用户需求书所有技术指标要求。</w:t>
            </w:r>
          </w:p>
        </w:tc>
        <w:tc>
          <w:tcPr>
            <w:tcW w:w="1019" w:type="dxa"/>
            <w:noWrap w:val="0"/>
            <w:vAlign w:val="center"/>
          </w:tcPr>
          <w:p w14:paraId="264CC325">
            <w:pPr>
              <w:widowControl/>
              <w:autoSpaceDE/>
              <w:autoSpaceDN/>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招标人在东莞市范围内的运营项目。</w:t>
            </w:r>
          </w:p>
        </w:tc>
      </w:tr>
    </w:tbl>
    <w:p w14:paraId="39622A3F">
      <w:pPr>
        <w:numPr>
          <w:ilvl w:val="-1"/>
          <w:numId w:val="0"/>
        </w:numPr>
        <w:autoSpaceDE w:val="0"/>
        <w:autoSpaceDN w:val="0"/>
        <w:adjustRightInd w:val="0"/>
        <w:snapToGrid w:val="0"/>
        <w:spacing w:line="360" w:lineRule="auto"/>
        <w:ind w:left="0" w:right="-34" w:firstLine="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14:paraId="44A0D892">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124E3252">
      <w:pPr>
        <w:numPr>
          <w:ilvl w:val="0"/>
          <w:numId w:val="1"/>
        </w:numPr>
        <w:autoSpaceDE w:val="0"/>
        <w:autoSpaceDN w:val="0"/>
        <w:adjustRightInd w:val="0"/>
        <w:snapToGrid w:val="0"/>
        <w:spacing w:line="360" w:lineRule="auto"/>
        <w:ind w:right="-34"/>
        <w:jc w:val="left"/>
        <w:outlineLvl w:val="9"/>
        <w:rPr>
          <w:rFonts w:ascii="宋体" w:hAnsi="宋体" w:eastAsia="宋体" w:cs="Times New Roman"/>
          <w:b/>
          <w:color w:val="auto"/>
          <w:szCs w:val="21"/>
          <w:highlight w:val="none"/>
          <w:lang w:val="zh-CN"/>
        </w:rPr>
      </w:pPr>
      <w:bookmarkStart w:id="11" w:name="_Toc12676"/>
      <w:bookmarkStart w:id="12" w:name="_Toc8260"/>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bookmarkEnd w:id="11"/>
      <w:bookmarkEnd w:id="12"/>
    </w:p>
    <w:p w14:paraId="56D783C5">
      <w:pPr>
        <w:pStyle w:val="159"/>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497EFE83">
      <w:pPr>
        <w:pStyle w:val="159"/>
        <w:spacing w:line="360" w:lineRule="auto"/>
        <w:ind w:right="-29" w:rightChars="-14" w:firstLine="0" w:firstLineChars="0"/>
        <w:jc w:val="both"/>
        <w:rPr>
          <w:rFonts w:hint="eastAsia" w:hAnsi="宋体" w:eastAsia="宋体"/>
          <w:b/>
          <w:color w:val="auto"/>
          <w:sz w:val="21"/>
          <w:szCs w:val="21"/>
          <w:highlight w:val="none"/>
          <w:lang w:val="zh-CN"/>
        </w:rPr>
      </w:pPr>
      <w:bookmarkStart w:id="13" w:name="_Toc25819"/>
      <w:r>
        <w:rPr>
          <w:rFonts w:hint="eastAsia" w:hAnsi="宋体" w:eastAsia="宋体"/>
          <w:b/>
          <w:color w:val="auto"/>
          <w:sz w:val="21"/>
          <w:szCs w:val="21"/>
          <w:highlight w:val="none"/>
          <w:lang w:val="zh-CN"/>
        </w:rPr>
        <w:t>2.2 投标人必须是投标产品的制造商，或取得投标产品制造商就本次投标独家授权的经销商；</w:t>
      </w:r>
    </w:p>
    <w:p w14:paraId="71BB9CAE">
      <w:pPr>
        <w:pStyle w:val="159"/>
        <w:spacing w:line="360" w:lineRule="auto"/>
        <w:ind w:right="-29" w:rightChars="-14" w:firstLine="0" w:firstLineChars="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投标人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w:t>
      </w:r>
      <w:r>
        <w:rPr>
          <w:rFonts w:hint="default" w:hAnsi="宋体" w:eastAsia="宋体"/>
          <w:b/>
          <w:color w:val="auto"/>
          <w:sz w:val="21"/>
          <w:szCs w:val="21"/>
          <w:highlight w:val="none"/>
          <w:lang w:val="en-US"/>
        </w:rPr>
        <w:t>份</w:t>
      </w:r>
      <w:r>
        <w:rPr>
          <w:rFonts w:hint="eastAsia" w:hAnsi="宋体" w:eastAsia="宋体"/>
          <w:b/>
          <w:color w:val="auto"/>
          <w:sz w:val="21"/>
          <w:szCs w:val="21"/>
          <w:highlight w:val="none"/>
          <w:lang w:val="zh-CN"/>
        </w:rPr>
        <w:t>投标品牌的液体复合碳源用于水处理相关工艺的供货业绩（合同签订日期为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09C3F1F9">
      <w:pPr>
        <w:pStyle w:val="159"/>
        <w:spacing w:line="360" w:lineRule="auto"/>
        <w:ind w:right="-29" w:rightChars="-14" w:firstLine="0" w:firstLineChars="0"/>
        <w:jc w:val="both"/>
        <w:outlineLvl w:val="9"/>
        <w:rPr>
          <w:rFonts w:hint="eastAsia" w:hAnsi="宋体" w:eastAsia="宋体"/>
          <w:b/>
          <w:color w:val="auto"/>
          <w:sz w:val="21"/>
          <w:szCs w:val="21"/>
          <w:highlight w:val="none"/>
          <w:lang w:val="zh-CN"/>
        </w:rPr>
      </w:pPr>
      <w:bookmarkStart w:id="14" w:name="_Toc6434"/>
      <w:bookmarkStart w:id="15" w:name="_Toc13895"/>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13"/>
      <w:bookmarkEnd w:id="14"/>
      <w:bookmarkEnd w:id="15"/>
    </w:p>
    <w:p w14:paraId="2E507791">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F09293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7C64BECD">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34F74A3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3836320D">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57218FE8">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lang w:val="zh-CN"/>
        </w:rPr>
      </w:pPr>
      <w:bookmarkStart w:id="16" w:name="_Toc10572"/>
      <w:bookmarkStart w:id="17" w:name="_Toc3673"/>
      <w:r>
        <w:rPr>
          <w:rFonts w:ascii="宋体" w:hAnsi="宋体" w:eastAsia="宋体" w:cs="Times New Roman"/>
          <w:color w:val="auto"/>
          <w:szCs w:val="21"/>
          <w:highlight w:val="none"/>
          <w:lang w:val="zh-CN"/>
        </w:rPr>
        <w:t>投标、开标时间及地点：</w:t>
      </w:r>
      <w:bookmarkEnd w:id="16"/>
      <w:bookmarkEnd w:id="17"/>
    </w:p>
    <w:p w14:paraId="213F6C25">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 xml:space="preserve"> 2024 </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12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20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3B0C9CC7">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 xml:space="preserve"> 2024 </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12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20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6B082C90">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lang w:val="zh-CN"/>
        </w:rPr>
        <w:t>广东省东莞市南城区第一国际汇一城3号楼1508室</w:t>
      </w:r>
      <w:r>
        <w:rPr>
          <w:rFonts w:hint="eastAsia" w:ascii="宋体" w:hAnsi="宋体" w:eastAsia="宋体" w:cs="Times New Roman"/>
          <w:color w:val="auto"/>
          <w:kern w:val="0"/>
          <w:szCs w:val="21"/>
          <w:highlight w:val="none"/>
          <w:u w:val="single"/>
        </w:rPr>
        <w:t>开标室</w:t>
      </w:r>
      <w:r>
        <w:rPr>
          <w:rFonts w:hint="eastAsia" w:ascii="宋体" w:hAnsi="宋体" w:eastAsia="宋体" w:cs="Times New Roman"/>
          <w:color w:val="auto"/>
          <w:kern w:val="0"/>
          <w:szCs w:val="21"/>
          <w:highlight w:val="none"/>
        </w:rPr>
        <w:t>。</w:t>
      </w:r>
    </w:p>
    <w:p w14:paraId="286EA5C1">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4A4993D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2391060B">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37984A0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165FACD5">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5BB2B15C">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rPr>
      </w:pPr>
      <w:bookmarkStart w:id="18" w:name="_Toc21295"/>
      <w:bookmarkStart w:id="19" w:name="_Toc17537"/>
      <w:r>
        <w:rPr>
          <w:rFonts w:ascii="宋体" w:hAnsi="宋体" w:eastAsia="宋体" w:cs="Times New Roman"/>
          <w:bCs/>
          <w:color w:val="auto"/>
          <w:szCs w:val="21"/>
          <w:highlight w:val="none"/>
          <w:lang w:val="zh-CN"/>
        </w:rPr>
        <w:t>招标人联系方式</w:t>
      </w:r>
      <w:bookmarkEnd w:id="18"/>
      <w:bookmarkEnd w:id="19"/>
    </w:p>
    <w:p w14:paraId="3433931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东莞市水务集团净水有限公司</w:t>
      </w:r>
    </w:p>
    <w:p w14:paraId="21D8245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广东省东莞市南城街道滨河路100号</w:t>
      </w:r>
      <w:r>
        <w:rPr>
          <w:rFonts w:hint="eastAsia" w:ascii="宋体" w:hAnsi="宋体" w:eastAsia="宋体" w:cs="Times New Roman"/>
          <w:color w:val="auto"/>
          <w:kern w:val="0"/>
          <w:szCs w:val="21"/>
          <w:highlight w:val="none"/>
          <w:lang w:val="en-US" w:eastAsia="zh-CN"/>
        </w:rPr>
        <w:t>二</w:t>
      </w:r>
      <w:r>
        <w:rPr>
          <w:rFonts w:hint="eastAsia" w:ascii="宋体" w:hAnsi="宋体" w:eastAsia="宋体" w:cs="Times New Roman"/>
          <w:color w:val="auto"/>
          <w:kern w:val="0"/>
          <w:szCs w:val="21"/>
          <w:highlight w:val="none"/>
        </w:rPr>
        <w:t>期1号楼101室</w:t>
      </w:r>
    </w:p>
    <w:p w14:paraId="77780D7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：万淑婷</w:t>
      </w:r>
    </w:p>
    <w:p w14:paraId="07B61DE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0769-23286160</w:t>
      </w:r>
    </w:p>
    <w:p w14:paraId="31E1AC5C">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6700DCFF">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rPr>
      </w:pPr>
      <w:bookmarkStart w:id="20" w:name="_Toc225"/>
      <w:bookmarkStart w:id="21" w:name="_Toc30740"/>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bookmarkEnd w:id="20"/>
      <w:bookmarkEnd w:id="21"/>
    </w:p>
    <w:p w14:paraId="4A186EF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22" w:name="_Toc450662847"/>
      <w:bookmarkStart w:id="23" w:name="_Toc31764_WPSOffice_Level1"/>
      <w:bookmarkStart w:id="24"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广州宏达工程顾问集团有限公司</w:t>
      </w:r>
    </w:p>
    <w:p w14:paraId="7ED486D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广东省东莞市南城区第一国际汇一城3号楼1508室</w:t>
      </w:r>
    </w:p>
    <w:p w14:paraId="39B3161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邓晓欣</w:t>
      </w:r>
    </w:p>
    <w:p w14:paraId="3A7648A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0769-28056866-804</w:t>
      </w:r>
    </w:p>
    <w:p w14:paraId="1CEEC572">
      <w:pPr>
        <w:keepNext/>
        <w:keepLines/>
        <w:pageBreakBefore/>
        <w:tabs>
          <w:tab w:val="left" w:pos="1080"/>
        </w:tabs>
        <w:autoSpaceDE w:val="0"/>
        <w:autoSpaceDN w:val="0"/>
        <w:adjustRightInd w:val="0"/>
        <w:spacing w:line="360" w:lineRule="auto"/>
        <w:jc w:val="center"/>
        <w:outlineLvl w:val="0"/>
        <w:rPr>
          <w:rFonts w:ascii="宋体" w:hAnsi="宋体" w:eastAsia="宋体" w:cs="Times New Roman"/>
          <w:b/>
          <w:bCs/>
          <w:color w:val="auto"/>
          <w:kern w:val="44"/>
          <w:sz w:val="32"/>
          <w:szCs w:val="32"/>
          <w:highlight w:val="none"/>
          <w:lang w:val="zh-CN"/>
        </w:rPr>
      </w:pPr>
      <w:bookmarkStart w:id="25" w:name="_Toc142508311"/>
      <w:bookmarkStart w:id="26" w:name="_Toc12475"/>
      <w:bookmarkStart w:id="27" w:name="_Toc7159"/>
      <w:bookmarkStart w:id="28" w:name="_Toc24735"/>
      <w:bookmarkStart w:id="29" w:name="_Toc8554"/>
      <w:r>
        <w:rPr>
          <w:rFonts w:hint="eastAsia" w:ascii="宋体" w:hAnsi="宋体" w:eastAsia="宋体" w:cs="Times New Roman"/>
          <w:b/>
          <w:bCs/>
          <w:color w:val="auto"/>
          <w:kern w:val="44"/>
          <w:sz w:val="32"/>
          <w:szCs w:val="32"/>
          <w:highlight w:val="none"/>
          <w:lang w:val="zh-CN"/>
        </w:rPr>
        <w:t>第二篇</w:t>
      </w:r>
      <w:r>
        <w:rPr>
          <w:rFonts w:ascii="宋体" w:hAnsi="宋体" w:eastAsia="宋体" w:cs="Times New Roman"/>
          <w:b/>
          <w:bCs/>
          <w:color w:val="auto"/>
          <w:kern w:val="44"/>
          <w:sz w:val="32"/>
          <w:szCs w:val="32"/>
          <w:highlight w:val="none"/>
          <w:lang w:val="zh-CN"/>
        </w:rPr>
        <w:t xml:space="preserve"> </w:t>
      </w:r>
      <w:r>
        <w:rPr>
          <w:rFonts w:hint="eastAsia" w:ascii="宋体" w:hAnsi="宋体" w:eastAsia="宋体" w:cs="Times New Roman"/>
          <w:b/>
          <w:bCs/>
          <w:color w:val="auto"/>
          <w:kern w:val="44"/>
          <w:sz w:val="32"/>
          <w:szCs w:val="32"/>
          <w:highlight w:val="none"/>
          <w:lang w:val="zh-CN"/>
        </w:rPr>
        <w:t>投标人须知</w:t>
      </w:r>
      <w:bookmarkEnd w:id="22"/>
      <w:bookmarkEnd w:id="23"/>
      <w:bookmarkEnd w:id="24"/>
      <w:bookmarkEnd w:id="25"/>
      <w:bookmarkEnd w:id="26"/>
      <w:bookmarkEnd w:id="27"/>
      <w:bookmarkEnd w:id="28"/>
      <w:bookmarkEnd w:id="29"/>
    </w:p>
    <w:p w14:paraId="5E1B9BF5">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30" w:name="_Toc16098"/>
      <w:bookmarkStart w:id="31" w:name="_Toc30360"/>
      <w:bookmarkStart w:id="32" w:name="_Toc10301"/>
      <w:bookmarkStart w:id="33" w:name="_Toc486167662"/>
      <w:bookmarkStart w:id="34" w:name="_Toc450662848"/>
      <w:bookmarkStart w:id="35" w:name="_Toc142508312"/>
      <w:bookmarkStart w:id="36" w:name="_Toc5061"/>
      <w:bookmarkStart w:id="37" w:name="_Toc140596871"/>
      <w:bookmarkStart w:id="38" w:name="_Toc15366_WPSOffice_Level2"/>
      <w:r>
        <w:rPr>
          <w:rFonts w:hint="eastAsia" w:ascii="宋体" w:hAnsi="宋体" w:eastAsia="宋体" w:cs="宋体"/>
          <w:b/>
          <w:bCs/>
          <w:color w:val="auto"/>
          <w:kern w:val="44"/>
          <w:szCs w:val="21"/>
          <w:highlight w:val="none"/>
          <w:lang w:val="zh-CN"/>
        </w:rPr>
        <w:t>一、总则</w:t>
      </w:r>
      <w:bookmarkEnd w:id="30"/>
      <w:bookmarkEnd w:id="31"/>
      <w:bookmarkEnd w:id="32"/>
      <w:bookmarkEnd w:id="33"/>
      <w:bookmarkEnd w:id="34"/>
      <w:bookmarkEnd w:id="35"/>
      <w:bookmarkEnd w:id="36"/>
      <w:bookmarkEnd w:id="37"/>
      <w:bookmarkEnd w:id="38"/>
    </w:p>
    <w:p w14:paraId="14BB545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 w:name="_Toc24111"/>
      <w:bookmarkStart w:id="40" w:name="_Toc486167663"/>
      <w:bookmarkStart w:id="41" w:name="_Toc21710_WPSOffice_Level3"/>
      <w:bookmarkStart w:id="42" w:name="_Toc450662849"/>
      <w:bookmarkStart w:id="43" w:name="_Toc16700"/>
      <w:bookmarkStart w:id="44" w:name="_Toc22130"/>
      <w:bookmarkStart w:id="45" w:name="_Toc32297"/>
      <w:bookmarkStart w:id="46" w:name="_Toc14250831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9"/>
      <w:bookmarkEnd w:id="40"/>
      <w:bookmarkEnd w:id="41"/>
      <w:bookmarkEnd w:id="42"/>
      <w:bookmarkEnd w:id="43"/>
      <w:bookmarkEnd w:id="44"/>
      <w:bookmarkEnd w:id="45"/>
      <w:bookmarkEnd w:id="46"/>
    </w:p>
    <w:p w14:paraId="78899F09">
      <w:pPr>
        <w:autoSpaceDE w:val="0"/>
        <w:autoSpaceDN w:val="0"/>
        <w:adjustRightInd w:val="0"/>
        <w:jc w:val="left"/>
        <w:rPr>
          <w:rFonts w:ascii="宋体" w:hAnsi="宋体" w:eastAsia="宋体" w:cs="宋体"/>
          <w:color w:val="auto"/>
          <w:kern w:val="0"/>
          <w:sz w:val="24"/>
          <w:szCs w:val="24"/>
          <w:highlight w:val="none"/>
        </w:rPr>
      </w:pPr>
    </w:p>
    <w:p w14:paraId="256F6C7F">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7" w:name="_Toc27011"/>
      <w:bookmarkStart w:id="48" w:name="_Toc11777"/>
      <w:bookmarkStart w:id="49" w:name="_Toc486167664"/>
      <w:bookmarkStart w:id="50" w:name="_Toc80_WPSOffice_Level3"/>
      <w:bookmarkStart w:id="51" w:name="_Toc5550"/>
      <w:bookmarkStart w:id="52" w:name="_Toc4623"/>
      <w:bookmarkStart w:id="53" w:name="_Toc450662850"/>
      <w:bookmarkStart w:id="54" w:name="_Toc14250831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7"/>
      <w:bookmarkEnd w:id="48"/>
      <w:bookmarkEnd w:id="49"/>
      <w:bookmarkEnd w:id="50"/>
      <w:bookmarkEnd w:id="51"/>
      <w:bookmarkEnd w:id="52"/>
      <w:bookmarkEnd w:id="53"/>
      <w:bookmarkEnd w:id="54"/>
    </w:p>
    <w:p w14:paraId="0D12B3DC">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436C392B">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2B5FF84F">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1BD7EC41">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0B01F15E">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7B6466CC">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3C0E0B5D">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55" w:name="_Toc8199"/>
      <w:bookmarkStart w:id="56" w:name="_Toc23847_WPSOffice_Level3"/>
      <w:bookmarkStart w:id="57" w:name="_Toc5754"/>
      <w:bookmarkStart w:id="58" w:name="_Toc25626"/>
      <w:bookmarkStart w:id="59" w:name="_Toc4257"/>
      <w:bookmarkStart w:id="60" w:name="_Toc142508315"/>
      <w:bookmarkStart w:id="61" w:name="_Toc486167665"/>
      <w:bookmarkStart w:id="62"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55"/>
      <w:bookmarkEnd w:id="56"/>
      <w:bookmarkEnd w:id="57"/>
      <w:bookmarkEnd w:id="58"/>
      <w:bookmarkEnd w:id="59"/>
      <w:bookmarkEnd w:id="60"/>
    </w:p>
    <w:p w14:paraId="11B7B2F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EDE841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3" w:name="_Toc533708063"/>
      <w:bookmarkStart w:id="64"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63"/>
    <w:bookmarkEnd w:id="64"/>
    <w:p w14:paraId="432BA0A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5" w:name="_Toc533708064"/>
      <w:bookmarkStart w:id="66" w:name="_Toc1977664"/>
      <w:r>
        <w:rPr>
          <w:rFonts w:hint="eastAsia" w:ascii="宋体" w:hAnsi="宋体" w:eastAsia="宋体" w:cs="宋体"/>
          <w:color w:val="auto"/>
          <w:szCs w:val="21"/>
          <w:highlight w:val="none"/>
          <w:lang w:val="zh-CN"/>
        </w:rPr>
        <w:t xml:space="preserve">3.3  </w:t>
      </w:r>
      <w:bookmarkEnd w:id="65"/>
      <w:bookmarkEnd w:id="66"/>
      <w:bookmarkStart w:id="67" w:name="_Toc533708065"/>
      <w:bookmarkStart w:id="68"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67"/>
      <w:bookmarkEnd w:id="68"/>
    </w:p>
    <w:p w14:paraId="5A924D61">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69" w:name="_Toc533708066"/>
      <w:bookmarkStart w:id="70"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69"/>
    <w:bookmarkEnd w:id="70"/>
    <w:p w14:paraId="54449DB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1" w:name="_Toc533708067"/>
      <w:bookmarkStart w:id="72"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71"/>
      <w:bookmarkEnd w:id="72"/>
    </w:p>
    <w:p w14:paraId="7646A45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3" w:name="_Toc533708068"/>
      <w:bookmarkStart w:id="74"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73"/>
      <w:bookmarkEnd w:id="74"/>
    </w:p>
    <w:p w14:paraId="1920CC9B">
      <w:pPr>
        <w:autoSpaceDE w:val="0"/>
        <w:autoSpaceDN w:val="0"/>
        <w:adjustRightInd w:val="0"/>
        <w:spacing w:line="360" w:lineRule="auto"/>
        <w:jc w:val="left"/>
        <w:rPr>
          <w:rFonts w:ascii="宋体" w:hAnsi="宋体" w:eastAsia="宋体" w:cs="宋体"/>
          <w:color w:val="auto"/>
          <w:szCs w:val="21"/>
          <w:highlight w:val="none"/>
          <w:lang w:val="zh-CN"/>
        </w:rPr>
      </w:pPr>
    </w:p>
    <w:p w14:paraId="3731D067">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5" w:name="_Toc30940"/>
      <w:bookmarkStart w:id="76" w:name="_Toc20936"/>
      <w:bookmarkStart w:id="77" w:name="_Toc1412"/>
      <w:bookmarkStart w:id="78" w:name="_Toc23394"/>
      <w:bookmarkStart w:id="79" w:name="_Toc9658_WPSOffice_Level3"/>
      <w:bookmarkStart w:id="80" w:name="_Toc14250831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75"/>
      <w:bookmarkEnd w:id="76"/>
      <w:bookmarkEnd w:id="77"/>
      <w:bookmarkEnd w:id="78"/>
      <w:bookmarkEnd w:id="79"/>
      <w:bookmarkEnd w:id="80"/>
    </w:p>
    <w:p w14:paraId="27D58F83">
      <w:pPr>
        <w:autoSpaceDE w:val="0"/>
        <w:autoSpaceDN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81" w:name="_Toc1977670"/>
      <w:bookmarkStart w:id="82" w:name="_Toc13550"/>
      <w:bookmarkStart w:id="83" w:name="_Toc28213"/>
      <w:bookmarkStart w:id="84" w:name="_Toc533708070"/>
      <w:r>
        <w:rPr>
          <w:rFonts w:hint="eastAsia" w:ascii="宋体" w:hAnsi="宋体" w:eastAsia="宋体" w:cs="宋体"/>
          <w:color w:val="auto"/>
          <w:szCs w:val="21"/>
          <w:highlight w:val="none"/>
          <w:lang w:val="zh-CN"/>
        </w:rPr>
        <w:t>4.1  投标费用</w:t>
      </w:r>
      <w:bookmarkEnd w:id="81"/>
      <w:bookmarkEnd w:id="82"/>
      <w:bookmarkEnd w:id="83"/>
      <w:bookmarkEnd w:id="84"/>
    </w:p>
    <w:p w14:paraId="482E5B68">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85" w:name="_Toc533708072"/>
      <w:bookmarkStart w:id="86"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85"/>
      <w:bookmarkEnd w:id="86"/>
    </w:p>
    <w:p w14:paraId="2CA52E6B">
      <w:pPr>
        <w:autoSpaceDE w:val="0"/>
        <w:autoSpaceDN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87" w:name="_Toc533708073"/>
      <w:bookmarkStart w:id="88" w:name="_Toc1977673"/>
      <w:bookmarkStart w:id="89" w:name="_Toc17752"/>
      <w:bookmarkStart w:id="90" w:name="_Toc21158"/>
      <w:r>
        <w:rPr>
          <w:rFonts w:hint="eastAsia" w:ascii="宋体" w:hAnsi="宋体" w:eastAsia="宋体" w:cs="宋体"/>
          <w:color w:val="auto"/>
          <w:szCs w:val="21"/>
          <w:highlight w:val="none"/>
          <w:lang w:val="zh-CN"/>
        </w:rPr>
        <w:t>4.2  踏勘现场</w:t>
      </w:r>
      <w:bookmarkEnd w:id="87"/>
      <w:bookmarkEnd w:id="88"/>
      <w:bookmarkEnd w:id="89"/>
      <w:bookmarkEnd w:id="90"/>
    </w:p>
    <w:p w14:paraId="6A8052BE">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91" w:name="_Toc1977676"/>
      <w:bookmarkStart w:id="92"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6E5A77DD">
      <w:pPr>
        <w:autoSpaceDE w:val="0"/>
        <w:autoSpaceDN w:val="0"/>
        <w:adjustRightInd w:val="0"/>
        <w:spacing w:line="360" w:lineRule="auto"/>
        <w:ind w:left="300" w:leftChars="-59" w:hanging="424" w:hangingChars="202"/>
        <w:jc w:val="left"/>
        <w:outlineLvl w:val="9"/>
        <w:rPr>
          <w:rFonts w:ascii="宋体" w:hAnsi="宋体" w:eastAsia="宋体" w:cs="Times New Roman"/>
          <w:color w:val="auto"/>
          <w:kern w:val="0"/>
          <w:szCs w:val="21"/>
          <w:highlight w:val="none"/>
        </w:rPr>
      </w:pPr>
      <w:bookmarkStart w:id="93" w:name="_Toc18939"/>
      <w:bookmarkStart w:id="94" w:name="_Toc16852"/>
      <w:r>
        <w:rPr>
          <w:rFonts w:hint="eastAsia" w:ascii="宋体" w:hAnsi="宋体" w:eastAsia="宋体" w:cs="Times New Roman"/>
          <w:color w:val="auto"/>
          <w:kern w:val="0"/>
          <w:szCs w:val="21"/>
          <w:highlight w:val="none"/>
        </w:rPr>
        <w:t>（2）潜在投标人应承担踏勘现场自身所发生的费用。</w:t>
      </w:r>
      <w:bookmarkEnd w:id="93"/>
      <w:bookmarkEnd w:id="94"/>
    </w:p>
    <w:p w14:paraId="2281128D">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45F82238">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099DA124">
      <w:pPr>
        <w:autoSpaceDE w:val="0"/>
        <w:autoSpaceDN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95" w:name="_Toc13681"/>
      <w:bookmarkStart w:id="96" w:name="_Toc12390"/>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61"/>
      <w:bookmarkEnd w:id="62"/>
      <w:bookmarkEnd w:id="91"/>
      <w:bookmarkEnd w:id="92"/>
      <w:bookmarkEnd w:id="95"/>
      <w:bookmarkEnd w:id="96"/>
    </w:p>
    <w:p w14:paraId="2AA494F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78C75E3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157E55C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1C40A8C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68F027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76CF95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1B5D2E87">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5E0B49BA">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97" w:name="_Toc140596876"/>
      <w:bookmarkStart w:id="98" w:name="_Toc15778"/>
      <w:bookmarkStart w:id="99" w:name="_Toc1482"/>
      <w:bookmarkStart w:id="100" w:name="_Toc9339"/>
      <w:bookmarkStart w:id="101" w:name="_Toc30507_WPSOffice_Level2"/>
      <w:bookmarkStart w:id="102" w:name="_Toc450662853"/>
      <w:bookmarkStart w:id="103" w:name="_Toc486167667"/>
      <w:bookmarkStart w:id="104" w:name="_Toc95"/>
      <w:bookmarkStart w:id="105" w:name="_Toc142508317"/>
      <w:r>
        <w:rPr>
          <w:rFonts w:hint="eastAsia" w:ascii="宋体" w:hAnsi="宋体" w:eastAsia="宋体" w:cs="宋体"/>
          <w:b/>
          <w:bCs/>
          <w:color w:val="auto"/>
          <w:kern w:val="44"/>
          <w:szCs w:val="21"/>
          <w:highlight w:val="none"/>
          <w:lang w:val="zh-CN"/>
        </w:rPr>
        <w:t>二、招标文件</w:t>
      </w:r>
      <w:bookmarkEnd w:id="97"/>
      <w:bookmarkEnd w:id="98"/>
      <w:bookmarkEnd w:id="99"/>
      <w:bookmarkEnd w:id="100"/>
      <w:bookmarkEnd w:id="101"/>
      <w:bookmarkEnd w:id="102"/>
      <w:bookmarkEnd w:id="103"/>
      <w:bookmarkEnd w:id="104"/>
      <w:bookmarkEnd w:id="105"/>
    </w:p>
    <w:p w14:paraId="26836B9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6" w:name="_Toc11679"/>
      <w:bookmarkStart w:id="107" w:name="_Toc28179"/>
      <w:bookmarkStart w:id="108" w:name="_Toc31963"/>
      <w:bookmarkStart w:id="109" w:name="_Toc12945"/>
      <w:bookmarkStart w:id="110" w:name="_Toc142508318"/>
      <w:bookmarkStart w:id="111" w:name="_Toc486167668"/>
      <w:bookmarkStart w:id="112" w:name="_Toc450662854"/>
      <w:bookmarkStart w:id="113" w:name="_Toc26635_WPSOffice_Level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06"/>
      <w:bookmarkEnd w:id="107"/>
      <w:bookmarkEnd w:id="108"/>
      <w:bookmarkEnd w:id="109"/>
      <w:bookmarkEnd w:id="110"/>
      <w:bookmarkEnd w:id="111"/>
      <w:bookmarkEnd w:id="112"/>
      <w:bookmarkEnd w:id="113"/>
    </w:p>
    <w:p w14:paraId="6E0A432D">
      <w:pPr>
        <w:tabs>
          <w:tab w:val="left" w:pos="567"/>
        </w:tabs>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bookmarkStart w:id="114" w:name="_Toc29246"/>
      <w:bookmarkStart w:id="115" w:name="_Toc14763"/>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bookmarkEnd w:id="114"/>
      <w:bookmarkEnd w:id="115"/>
    </w:p>
    <w:p w14:paraId="3A3B92A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08F4814E">
      <w:pPr>
        <w:tabs>
          <w:tab w:val="left" w:pos="1890"/>
        </w:tabs>
        <w:autoSpaceDE w:val="0"/>
        <w:autoSpaceDN w:val="0"/>
        <w:adjustRightInd w:val="0"/>
        <w:spacing w:line="360" w:lineRule="auto"/>
        <w:ind w:firstLine="424" w:firstLineChars="202"/>
        <w:outlineLvl w:val="9"/>
        <w:rPr>
          <w:rFonts w:ascii="宋体" w:hAnsi="宋体" w:eastAsia="宋体" w:cs="Times New Roman"/>
          <w:color w:val="auto"/>
          <w:szCs w:val="21"/>
          <w:highlight w:val="none"/>
          <w:lang w:val="zh-CN"/>
        </w:rPr>
      </w:pPr>
      <w:bookmarkStart w:id="116" w:name="_Toc17418"/>
      <w:bookmarkStart w:id="117" w:name="_Toc17121"/>
      <w:r>
        <w:rPr>
          <w:rFonts w:hint="eastAsia" w:ascii="宋体" w:hAnsi="宋体" w:eastAsia="宋体" w:cs="Times New Roman"/>
          <w:color w:val="auto"/>
          <w:szCs w:val="21"/>
          <w:highlight w:val="none"/>
          <w:lang w:val="zh-CN"/>
        </w:rPr>
        <w:t>第二篇 投标人须知</w:t>
      </w:r>
      <w:bookmarkEnd w:id="116"/>
      <w:bookmarkEnd w:id="117"/>
    </w:p>
    <w:p w14:paraId="37E8859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2EB4FC5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13A7BBE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28B3326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0BDB48D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017CC712">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6C6A043E">
      <w:pPr>
        <w:autoSpaceDE w:val="0"/>
        <w:autoSpaceDN w:val="0"/>
        <w:adjustRightInd w:val="0"/>
        <w:spacing w:line="360" w:lineRule="auto"/>
        <w:ind w:left="356" w:leftChars="-99" w:hanging="564" w:hangingChars="269"/>
        <w:outlineLvl w:val="9"/>
        <w:rPr>
          <w:rFonts w:ascii="宋体" w:hAnsi="宋体" w:eastAsia="宋体" w:cs="宋体"/>
          <w:b/>
          <w:bCs/>
          <w:color w:val="auto"/>
          <w:szCs w:val="21"/>
          <w:highlight w:val="none"/>
          <w:u w:val="single"/>
        </w:rPr>
      </w:pPr>
      <w:bookmarkStart w:id="118" w:name="_Toc16108"/>
      <w:bookmarkStart w:id="119" w:name="_Toc10921"/>
      <w:r>
        <w:rPr>
          <w:rFonts w:hint="eastAsia" w:ascii="宋体" w:hAnsi="宋体" w:eastAsia="宋体" w:cs="宋体"/>
          <w:color w:val="auto"/>
          <w:szCs w:val="21"/>
          <w:highlight w:val="none"/>
          <w:lang w:val="zh-CN"/>
        </w:rPr>
        <w:t>5.3  本招标文件使用的词语有如下定义：</w:t>
      </w:r>
      <w:bookmarkEnd w:id="118"/>
      <w:bookmarkEnd w:id="119"/>
    </w:p>
    <w:p w14:paraId="0550191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东莞市水务集团净水有限公司</w:t>
      </w:r>
      <w:r>
        <w:rPr>
          <w:rFonts w:hint="eastAsia" w:ascii="宋体" w:hAnsi="宋体" w:eastAsia="宋体" w:cs="Times New Roman"/>
          <w:color w:val="auto"/>
          <w:kern w:val="0"/>
          <w:szCs w:val="21"/>
          <w:highlight w:val="none"/>
        </w:rPr>
        <w:t>；</w:t>
      </w:r>
    </w:p>
    <w:p w14:paraId="01B6714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7DFB43B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东莞市水务集团净水有限公司2025年生产药剂液体复合碳源采购项目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0F3DF2A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5C68E99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w:t>
      </w:r>
      <w:r>
        <w:rPr>
          <w:rFonts w:hint="eastAsia" w:ascii="宋体" w:hAnsi="宋体" w:eastAsia="宋体" w:cs="Times New Roman"/>
          <w:color w:val="auto"/>
          <w:kern w:val="0"/>
          <w:szCs w:val="21"/>
          <w:highlight w:val="none"/>
          <w:lang w:val="zh-CN"/>
        </w:rPr>
        <w:t>权属子公司</w:t>
      </w:r>
      <w:r>
        <w:rPr>
          <w:rFonts w:hint="eastAsia" w:ascii="宋体" w:hAnsi="宋体" w:eastAsia="宋体" w:cs="Times New Roman"/>
          <w:color w:val="auto"/>
          <w:kern w:val="0"/>
          <w:szCs w:val="21"/>
          <w:highlight w:val="none"/>
        </w:rPr>
        <w:t>签订合同的当事人；</w:t>
      </w:r>
    </w:p>
    <w:p w14:paraId="683C692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宋体"/>
          <w:color w:val="auto"/>
          <w:kern w:val="0"/>
          <w:szCs w:val="21"/>
          <w:highlight w:val="none"/>
          <w:lang w:eastAsia="zh-CN"/>
        </w:rPr>
        <w:t>东莞市石鼓</w:t>
      </w:r>
      <w:r>
        <w:rPr>
          <w:rFonts w:hint="eastAsia" w:ascii="宋体" w:hAnsi="宋体" w:eastAsia="宋体" w:cs="宋体"/>
          <w:color w:val="auto"/>
          <w:kern w:val="0"/>
          <w:szCs w:val="21"/>
          <w:highlight w:val="none"/>
          <w:lang w:val="en-US" w:eastAsia="zh-CN"/>
        </w:rPr>
        <w:t>净水</w:t>
      </w:r>
      <w:r>
        <w:rPr>
          <w:rFonts w:hint="eastAsia" w:ascii="宋体" w:hAnsi="宋体" w:eastAsia="宋体" w:cs="宋体"/>
          <w:color w:val="auto"/>
          <w:kern w:val="0"/>
          <w:szCs w:val="21"/>
          <w:highlight w:val="none"/>
          <w:lang w:eastAsia="zh-CN"/>
        </w:rPr>
        <w:t>有限公司</w:t>
      </w:r>
      <w:r>
        <w:rPr>
          <w:rFonts w:hint="eastAsia" w:ascii="宋体" w:hAnsi="宋体" w:eastAsia="宋体" w:cs="Times New Roman"/>
          <w:color w:val="auto"/>
          <w:kern w:val="0"/>
          <w:szCs w:val="21"/>
          <w:highlight w:val="none"/>
        </w:rPr>
        <w:t>；</w:t>
      </w:r>
    </w:p>
    <w:p w14:paraId="2DD2ECAF">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46EF8CF7">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丙</w:t>
      </w:r>
      <w:r>
        <w:rPr>
          <w:rFonts w:hint="eastAsia" w:ascii="宋体" w:hAnsi="宋体" w:eastAsia="宋体" w:cs="Times New Roman"/>
          <w:color w:val="auto"/>
          <w:kern w:val="0"/>
          <w:szCs w:val="21"/>
          <w:highlight w:val="none"/>
        </w:rPr>
        <w:t>方”指在合同条款中指明的</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新增</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购买货物及有关服务的单位，即</w:t>
      </w:r>
      <w:bookmarkStart w:id="120" w:name="OLE_LINK34"/>
      <w:r>
        <w:rPr>
          <w:rFonts w:hint="eastAsia" w:ascii="宋体" w:hAnsi="宋体" w:eastAsia="宋体" w:cs="宋体"/>
          <w:color w:val="auto"/>
          <w:kern w:val="0"/>
          <w:szCs w:val="21"/>
          <w:highlight w:val="none"/>
          <w:lang w:val="en-US" w:eastAsia="zh-CN"/>
        </w:rPr>
        <w:t>东莞市石鼓净水有限公司关联公司</w:t>
      </w:r>
      <w:bookmarkEnd w:id="120"/>
      <w:r>
        <w:rPr>
          <w:rFonts w:hint="eastAsia" w:ascii="宋体" w:hAnsi="宋体" w:eastAsia="宋体" w:cs="宋体"/>
          <w:color w:val="auto"/>
          <w:kern w:val="0"/>
          <w:szCs w:val="21"/>
          <w:highlight w:val="none"/>
          <w:lang w:val="en-US" w:eastAsia="zh-CN"/>
        </w:rPr>
        <w:t>，包括但不限于东莞市莞水装备科技有限公司、东莞市清源净水科技有限公司以及东莞市樟村水质净化有限公司</w:t>
      </w:r>
      <w:r>
        <w:rPr>
          <w:rFonts w:hint="eastAsia" w:ascii="宋体" w:hAnsi="宋体" w:eastAsia="宋体" w:cs="Times New Roman"/>
          <w:color w:val="auto"/>
          <w:kern w:val="0"/>
          <w:szCs w:val="21"/>
          <w:highlight w:val="none"/>
        </w:rPr>
        <w:t>；</w:t>
      </w:r>
    </w:p>
    <w:p w14:paraId="5BD2703C">
      <w:pPr>
        <w:pStyle w:val="15"/>
        <w:rPr>
          <w:color w:val="auto"/>
          <w:highlight w:val="none"/>
        </w:rPr>
      </w:pPr>
    </w:p>
    <w:p w14:paraId="43923B9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9</w:t>
      </w:r>
      <w:r>
        <w:rPr>
          <w:rFonts w:hint="eastAsia" w:ascii="宋体" w:hAnsi="宋体" w:eastAsia="宋体" w:cs="Times New Roman"/>
          <w:color w:val="auto"/>
          <w:kern w:val="0"/>
          <w:szCs w:val="21"/>
          <w:highlight w:val="none"/>
        </w:rPr>
        <w:t>）“招标文件”指由</w:t>
      </w:r>
      <w:r>
        <w:rPr>
          <w:rFonts w:hint="eastAsia" w:ascii="宋体" w:hAnsi="宋体" w:eastAsia="宋体" w:cs="Times New Roman"/>
          <w:color w:val="auto"/>
          <w:kern w:val="0"/>
          <w:szCs w:val="21"/>
          <w:highlight w:val="none"/>
          <w:lang w:val="en-US" w:eastAsia="zh-CN"/>
        </w:rPr>
        <w:t>招标公告和招标文件及其补充、变更和澄清等一系列文件</w:t>
      </w:r>
      <w:r>
        <w:rPr>
          <w:rFonts w:hint="eastAsia" w:ascii="宋体" w:hAnsi="宋体" w:eastAsia="宋体" w:cs="Times New Roman"/>
          <w:color w:val="auto"/>
          <w:kern w:val="0"/>
          <w:szCs w:val="21"/>
          <w:highlight w:val="none"/>
        </w:rPr>
        <w:t>；</w:t>
      </w:r>
    </w:p>
    <w:p w14:paraId="692921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10</w:t>
      </w:r>
      <w:r>
        <w:rPr>
          <w:rFonts w:hint="eastAsia" w:ascii="宋体" w:hAnsi="宋体" w:eastAsia="宋体" w:cs="Times New Roman"/>
          <w:color w:val="auto"/>
          <w:kern w:val="0"/>
          <w:szCs w:val="21"/>
          <w:highlight w:val="none"/>
        </w:rPr>
        <w:t>）“投标文件”指投标人根据本招标文件向招标代理机构提交的全部文件；</w:t>
      </w:r>
    </w:p>
    <w:p w14:paraId="364155F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）“书面函件”指手写、打字或印刷的函件，包括电传、电报和传真；</w:t>
      </w:r>
    </w:p>
    <w:p w14:paraId="2226717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）“合同”指由本次招标所产生的合同或合约文件；</w:t>
      </w:r>
    </w:p>
    <w:p w14:paraId="172A2B6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）“日期”指公历日，“时间”指北京时间；</w:t>
      </w:r>
    </w:p>
    <w:p w14:paraId="629A3F3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633ED71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14:paraId="06F6FD7C">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57955AF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1" w:name="_Toc3118"/>
      <w:bookmarkStart w:id="122" w:name="_Toc450662855"/>
      <w:bookmarkStart w:id="123" w:name="_Toc3181"/>
      <w:bookmarkStart w:id="124" w:name="_Toc142508319"/>
      <w:bookmarkStart w:id="125" w:name="_Toc2435"/>
      <w:bookmarkStart w:id="126" w:name="_Toc29125_WPSOffice_Level3"/>
      <w:bookmarkStart w:id="127" w:name="_Toc486167669"/>
      <w:bookmarkStart w:id="128" w:name="_Toc18407"/>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21"/>
      <w:bookmarkEnd w:id="122"/>
      <w:bookmarkEnd w:id="123"/>
      <w:bookmarkEnd w:id="124"/>
      <w:bookmarkEnd w:id="125"/>
      <w:bookmarkEnd w:id="126"/>
      <w:bookmarkEnd w:id="127"/>
      <w:bookmarkEnd w:id="128"/>
    </w:p>
    <w:p w14:paraId="1621C185">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8F1E855">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0EA5842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9" w:name="_Toc23483_WPSOffice_Level3"/>
      <w:bookmarkStart w:id="130" w:name="_Toc450662856"/>
      <w:bookmarkStart w:id="131" w:name="_Toc26320"/>
      <w:bookmarkStart w:id="132" w:name="_Toc486167670"/>
      <w:bookmarkStart w:id="133" w:name="_Toc26278"/>
      <w:bookmarkStart w:id="134" w:name="_Toc142508320"/>
      <w:bookmarkStart w:id="135" w:name="_Toc27445"/>
      <w:bookmarkStart w:id="136" w:name="_Toc19618"/>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29"/>
      <w:bookmarkEnd w:id="130"/>
      <w:bookmarkEnd w:id="131"/>
      <w:bookmarkEnd w:id="132"/>
      <w:bookmarkEnd w:id="133"/>
      <w:bookmarkEnd w:id="134"/>
      <w:bookmarkEnd w:id="135"/>
      <w:bookmarkEnd w:id="136"/>
    </w:p>
    <w:p w14:paraId="3AEF62F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676C70B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8EF5F2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4"/>
          <w:rFonts w:ascii="宋体" w:hAnsi="宋体" w:eastAsia="宋体" w:cs="Times New Roman"/>
          <w:color w:val="auto"/>
          <w:sz w:val="21"/>
          <w:szCs w:val="21"/>
          <w:highlight w:val="none"/>
        </w:rPr>
        <w:t>www.dgswjt.cn）</w:t>
      </w:r>
      <w:r>
        <w:rPr>
          <w:rStyle w:val="44"/>
          <w:rFonts w:ascii="宋体" w:hAnsi="宋体" w:eastAsia="宋体" w:cs="Times New Roman"/>
          <w:color w:val="auto"/>
          <w:sz w:val="21"/>
          <w:szCs w:val="21"/>
          <w:highlight w:val="none"/>
          <w:lang w:val="zh-CN"/>
        </w:rPr>
        <w:t>、</w:t>
      </w:r>
      <w:r>
        <w:rPr>
          <w:rStyle w:val="44"/>
          <w:rFonts w:hint="eastAsia" w:ascii="宋体" w:hAnsi="宋体" w:eastAsia="宋体" w:cs="Times New Roman"/>
          <w:bCs/>
          <w:color w:val="auto"/>
          <w:kern w:val="0"/>
          <w:sz w:val="21"/>
          <w:szCs w:val="21"/>
          <w:highlight w:val="none"/>
        </w:rPr>
        <w:t>招标代理</w:t>
      </w:r>
      <w:r>
        <w:rPr>
          <w:rStyle w:val="44"/>
          <w:rFonts w:hint="eastAsia" w:ascii="宋体" w:hAnsi="宋体" w:eastAsia="宋体" w:cs="Times New Roman"/>
          <w:bCs/>
          <w:color w:val="auto"/>
          <w:kern w:val="0"/>
          <w:sz w:val="21"/>
          <w:szCs w:val="21"/>
          <w:highlight w:val="none"/>
          <w:lang w:val="en-US" w:eastAsia="zh-CN"/>
        </w:rPr>
        <w:t>机构</w:t>
      </w:r>
      <w:r>
        <w:rPr>
          <w:rStyle w:val="44"/>
          <w:rFonts w:hint="eastAsia" w:ascii="宋体" w:hAnsi="宋体" w:eastAsia="宋体" w:cs="Times New Roman"/>
          <w:bCs/>
          <w:color w:val="auto"/>
          <w:kern w:val="0"/>
          <w:sz w:val="21"/>
          <w:szCs w:val="21"/>
          <w:highlight w:val="none"/>
        </w:rPr>
        <w:t>网站（www.wangtat.com.cn</w:t>
      </w:r>
      <w:r>
        <w:rPr>
          <w:rStyle w:val="44"/>
          <w:rFonts w:ascii="宋体" w:hAnsi="宋体" w:eastAsia="宋体" w:cs="Times New Roman"/>
          <w:bCs/>
          <w:color w:val="auto"/>
          <w:kern w:val="0"/>
          <w:sz w:val="21"/>
          <w:szCs w:val="21"/>
          <w:highlight w:val="none"/>
        </w:rPr>
        <w:t>）</w:t>
      </w:r>
      <w:r>
        <w:rPr>
          <w:rStyle w:val="44"/>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1F95E9E6">
      <w:pPr>
        <w:autoSpaceDE w:val="0"/>
        <w:autoSpaceDN w:val="0"/>
        <w:adjustRightInd w:val="0"/>
        <w:spacing w:line="360" w:lineRule="auto"/>
        <w:ind w:left="357" w:leftChars="-100" w:hanging="567"/>
        <w:rPr>
          <w:rFonts w:ascii="宋体" w:hAnsi="宋体" w:eastAsia="宋体" w:cs="宋体"/>
          <w:color w:val="auto"/>
          <w:szCs w:val="21"/>
          <w:highlight w:val="none"/>
        </w:rPr>
      </w:pPr>
    </w:p>
    <w:p w14:paraId="62F48797">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137" w:name="_Toc140596880"/>
      <w:bookmarkStart w:id="138" w:name="_Toc6349"/>
      <w:bookmarkStart w:id="139" w:name="_Toc6039"/>
      <w:bookmarkStart w:id="140" w:name="_Toc450662857"/>
      <w:bookmarkStart w:id="141" w:name="_Toc486167671"/>
      <w:bookmarkStart w:id="142" w:name="_Toc2222"/>
      <w:bookmarkStart w:id="143" w:name="_Toc29659_WPSOffice_Level2"/>
      <w:bookmarkStart w:id="144" w:name="_Toc142508321"/>
      <w:bookmarkStart w:id="145" w:name="_Toc11071"/>
      <w:r>
        <w:rPr>
          <w:rFonts w:hint="eastAsia" w:ascii="宋体" w:hAnsi="宋体" w:eastAsia="宋体" w:cs="宋体"/>
          <w:b/>
          <w:bCs/>
          <w:color w:val="auto"/>
          <w:kern w:val="44"/>
          <w:szCs w:val="21"/>
          <w:highlight w:val="none"/>
          <w:lang w:val="zh-CN"/>
        </w:rPr>
        <w:t>三、投标文件的编制</w:t>
      </w:r>
      <w:bookmarkEnd w:id="137"/>
      <w:bookmarkEnd w:id="138"/>
      <w:bookmarkEnd w:id="139"/>
      <w:bookmarkEnd w:id="140"/>
      <w:bookmarkEnd w:id="141"/>
      <w:bookmarkEnd w:id="142"/>
      <w:bookmarkEnd w:id="143"/>
      <w:bookmarkEnd w:id="144"/>
      <w:bookmarkEnd w:id="145"/>
    </w:p>
    <w:p w14:paraId="17314A81">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6" w:name="_Toc28591"/>
      <w:bookmarkStart w:id="147" w:name="_Toc16966"/>
      <w:bookmarkStart w:id="148" w:name="_Toc10015_WPSOffice_Level3"/>
      <w:bookmarkStart w:id="149" w:name="_Toc486167672"/>
      <w:bookmarkStart w:id="150" w:name="_Toc142508322"/>
      <w:bookmarkStart w:id="151" w:name="_Toc25773"/>
      <w:bookmarkStart w:id="152" w:name="_Toc450662858"/>
      <w:bookmarkStart w:id="153" w:name="_Toc32280"/>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46"/>
      <w:bookmarkEnd w:id="147"/>
      <w:bookmarkEnd w:id="148"/>
      <w:bookmarkEnd w:id="149"/>
      <w:bookmarkEnd w:id="150"/>
      <w:bookmarkEnd w:id="151"/>
      <w:bookmarkEnd w:id="152"/>
      <w:bookmarkEnd w:id="153"/>
    </w:p>
    <w:p w14:paraId="6B28B2C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0E500F3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646358E2">
      <w:pPr>
        <w:autoSpaceDE w:val="0"/>
        <w:autoSpaceDN w:val="0"/>
        <w:adjustRightInd w:val="0"/>
        <w:spacing w:line="360" w:lineRule="auto"/>
        <w:rPr>
          <w:rFonts w:ascii="宋体" w:hAnsi="宋体" w:eastAsia="宋体" w:cs="宋体"/>
          <w:color w:val="auto"/>
          <w:szCs w:val="21"/>
          <w:highlight w:val="none"/>
          <w:lang w:val="zh-CN"/>
        </w:rPr>
      </w:pPr>
    </w:p>
    <w:p w14:paraId="7B0474AE">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54" w:name="_Toc450662859"/>
      <w:bookmarkStart w:id="155" w:name="_Toc24916_WPSOffice_Level3"/>
      <w:bookmarkStart w:id="156" w:name="_Toc142508323"/>
      <w:bookmarkStart w:id="157" w:name="_Toc486167673"/>
      <w:bookmarkStart w:id="158" w:name="_Toc4729"/>
      <w:bookmarkStart w:id="159" w:name="_Toc1879"/>
      <w:bookmarkStart w:id="160" w:name="_Toc19703"/>
      <w:bookmarkStart w:id="161" w:name="_Toc5200"/>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54"/>
      <w:bookmarkEnd w:id="155"/>
      <w:bookmarkEnd w:id="156"/>
      <w:bookmarkEnd w:id="157"/>
      <w:bookmarkEnd w:id="158"/>
      <w:bookmarkEnd w:id="159"/>
      <w:bookmarkEnd w:id="160"/>
      <w:bookmarkEnd w:id="161"/>
    </w:p>
    <w:p w14:paraId="171ABFBD">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1775D705">
      <w:pPr>
        <w:autoSpaceDE w:val="0"/>
        <w:autoSpaceDN w:val="0"/>
        <w:adjustRightInd w:val="0"/>
        <w:spacing w:line="360" w:lineRule="auto"/>
        <w:ind w:left="422" w:leftChars="-100" w:hanging="632" w:hangingChars="300"/>
        <w:outlineLvl w:val="9"/>
        <w:rPr>
          <w:rFonts w:ascii="宋体" w:hAnsi="宋体" w:eastAsia="宋体" w:cs="Times New Roman"/>
          <w:b/>
          <w:color w:val="auto"/>
          <w:kern w:val="0"/>
          <w:szCs w:val="21"/>
          <w:highlight w:val="none"/>
        </w:rPr>
      </w:pPr>
      <w:bookmarkStart w:id="162" w:name="_Toc19589"/>
      <w:bookmarkStart w:id="163" w:name="_Toc32586"/>
      <w:r>
        <w:rPr>
          <w:rFonts w:hint="eastAsia" w:ascii="宋体" w:hAnsi="宋体" w:eastAsia="宋体" w:cs="宋体"/>
          <w:b/>
          <w:color w:val="auto"/>
          <w:kern w:val="0"/>
          <w:szCs w:val="24"/>
          <w:highlight w:val="none"/>
        </w:rPr>
        <w:t>9.1.1 商务文件：</w:t>
      </w:r>
      <w:bookmarkEnd w:id="162"/>
      <w:bookmarkEnd w:id="163"/>
    </w:p>
    <w:p w14:paraId="1097D0A8">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6A35C49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04CF13C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7ECDB41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6FDE288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7F89B01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0DD14C2A">
      <w:pPr>
        <w:autoSpaceDE w:val="0"/>
        <w:autoSpaceDN w:val="0"/>
        <w:adjustRightInd w:val="0"/>
        <w:spacing w:line="360" w:lineRule="auto"/>
        <w:ind w:left="283" w:hanging="283" w:hangingChars="135"/>
        <w:outlineLvl w:val="9"/>
        <w:rPr>
          <w:rFonts w:ascii="宋体" w:hAnsi="宋体" w:eastAsia="宋体" w:cs="Times New Roman"/>
          <w:color w:val="auto"/>
          <w:szCs w:val="21"/>
          <w:highlight w:val="none"/>
          <w:lang w:val="zh-CN"/>
        </w:rPr>
      </w:pPr>
      <w:bookmarkStart w:id="164" w:name="_Toc4118"/>
      <w:bookmarkStart w:id="165" w:name="_Toc22149"/>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bookmarkEnd w:id="164"/>
      <w:bookmarkEnd w:id="165"/>
    </w:p>
    <w:p w14:paraId="60C3560C">
      <w:pPr>
        <w:autoSpaceDE w:val="0"/>
        <w:autoSpaceDN w:val="0"/>
        <w:adjustRightInd w:val="0"/>
        <w:spacing w:line="360" w:lineRule="auto"/>
        <w:ind w:left="283" w:hanging="283" w:hangingChars="135"/>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7A62C0F2">
      <w:pPr>
        <w:autoSpaceDE w:val="0"/>
        <w:autoSpaceDN w:val="0"/>
        <w:adjustRightInd w:val="0"/>
        <w:spacing w:line="360" w:lineRule="auto"/>
        <w:ind w:left="283" w:hanging="283" w:hangingChars="135"/>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2D281223">
      <w:pPr>
        <w:tabs>
          <w:tab w:val="left" w:pos="1276"/>
        </w:tabs>
        <w:spacing w:line="360" w:lineRule="auto"/>
        <w:ind w:left="283" w:hanging="283" w:hangingChars="135"/>
        <w:outlineLvl w:val="9"/>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制造商资格声明和独家授权销售及售后服务承诺函（若投标人为制造商，必须提供制造商资格声明原件；若投标人为经销商，必须提供制造商资格声明原件和投标产品制造商出具的《独家授权销售及售后服务承诺函》原件）；</w:t>
      </w:r>
    </w:p>
    <w:p w14:paraId="7A6CB18D">
      <w:pPr>
        <w:tabs>
          <w:tab w:val="left" w:pos="1276"/>
        </w:tabs>
        <w:spacing w:line="360" w:lineRule="auto"/>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val="en-US" w:eastAsia="zh-CN"/>
        </w:rPr>
        <w:t>2021</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color w:val="auto"/>
          <w:szCs w:val="21"/>
          <w:highlight w:val="none"/>
          <w:lang w:val="en-US" w:eastAsia="zh-CN"/>
        </w:rPr>
        <w:t>具有一份投标品牌的液体复合碳源用于水处理相关工艺的供货</w:t>
      </w:r>
      <w:r>
        <w:rPr>
          <w:rFonts w:hint="eastAsia" w:ascii="宋体" w:hAnsi="宋体" w:eastAsia="宋体" w:cs="宋体"/>
          <w:b w:val="0"/>
          <w:bCs/>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2021</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1B1C2F80">
      <w:pPr>
        <w:autoSpaceDE w:val="0"/>
        <w:autoSpaceDN w:val="0"/>
        <w:adjustRightInd w:val="0"/>
        <w:spacing w:line="360" w:lineRule="auto"/>
        <w:ind w:left="913" w:hanging="913" w:hangingChars="435"/>
        <w:outlineLvl w:val="9"/>
        <w:rPr>
          <w:rFonts w:hint="eastAsia" w:ascii="宋体" w:hAnsi="宋体" w:eastAsia="宋体" w:cs="宋体"/>
          <w:color w:val="auto"/>
          <w:szCs w:val="21"/>
          <w:highlight w:val="none"/>
          <w:lang w:val="zh-CN"/>
        </w:rPr>
      </w:pPr>
      <w:bookmarkStart w:id="166" w:name="_Toc11757"/>
      <w:bookmarkStart w:id="167" w:name="_Toc9573"/>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bookmarkEnd w:id="166"/>
      <w:bookmarkEnd w:id="167"/>
    </w:p>
    <w:p w14:paraId="685172D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0C456B1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133B498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5DB539E2">
      <w:pPr>
        <w:tabs>
          <w:tab w:val="left" w:pos="567"/>
        </w:tabs>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4FDB5D1F">
      <w:pPr>
        <w:tabs>
          <w:tab w:val="left" w:pos="567"/>
        </w:tabs>
        <w:spacing w:line="360" w:lineRule="auto"/>
        <w:ind w:left="105" w:leftChars="-100" w:hanging="315" w:hangingChars="150"/>
        <w:rPr>
          <w:color w:val="auto"/>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车辆运输</w:t>
      </w:r>
      <w:r>
        <w:rPr>
          <w:rFonts w:hint="eastAsia" w:ascii="宋体" w:hAnsi="宋体" w:eastAsia="宋体" w:cs="宋体"/>
          <w:color w:val="auto"/>
          <w:szCs w:val="21"/>
          <w:highlight w:val="none"/>
          <w:lang w:val="zh-CN"/>
        </w:rPr>
        <w:t>；</w:t>
      </w:r>
    </w:p>
    <w:p w14:paraId="438C2F2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14:paraId="6B946B0E">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04629410">
      <w:pPr>
        <w:autoSpaceDE w:val="0"/>
        <w:autoSpaceDN w:val="0"/>
        <w:adjustRightInd w:val="0"/>
        <w:spacing w:line="360" w:lineRule="auto"/>
        <w:ind w:left="422" w:leftChars="-100" w:hanging="632" w:hangingChars="300"/>
        <w:outlineLvl w:val="9"/>
        <w:rPr>
          <w:rFonts w:ascii="宋体" w:hAnsi="宋体" w:eastAsia="宋体" w:cs="宋体"/>
          <w:b/>
          <w:color w:val="auto"/>
          <w:kern w:val="0"/>
          <w:szCs w:val="24"/>
          <w:highlight w:val="none"/>
        </w:rPr>
      </w:pPr>
      <w:bookmarkStart w:id="168" w:name="_Toc15390"/>
      <w:bookmarkStart w:id="169" w:name="_Toc4451"/>
      <w:r>
        <w:rPr>
          <w:rFonts w:hint="eastAsia" w:ascii="宋体" w:hAnsi="宋体" w:eastAsia="宋体" w:cs="宋体"/>
          <w:b/>
          <w:color w:val="auto"/>
          <w:kern w:val="0"/>
          <w:szCs w:val="24"/>
          <w:highlight w:val="none"/>
        </w:rPr>
        <w:t>9.1.2 技术文件：</w:t>
      </w:r>
      <w:bookmarkEnd w:id="168"/>
      <w:bookmarkEnd w:id="169"/>
    </w:p>
    <w:p w14:paraId="6152EC2D">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3B788388">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40DB71C4">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（2）投标产品技术指标承诺书；</w:t>
      </w:r>
    </w:p>
    <w:p w14:paraId="2287C11B">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（3）第三方检测机构出具的检验报告复印件（须为202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月1日以后出具的投标产品检验报告）；</w:t>
      </w:r>
    </w:p>
    <w:p w14:paraId="15E6D02A">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（4）产品的主要原材料证明</w:t>
      </w:r>
      <w:r>
        <w:rPr>
          <w:rFonts w:hint="eastAsia" w:ascii="宋体" w:hAnsi="宋体" w:eastAsia="宋体" w:cs="宋体"/>
          <w:color w:val="auto"/>
          <w:kern w:val="0"/>
          <w:szCs w:val="21"/>
          <w:highlight w:val="none"/>
          <w:lang w:eastAsia="zh-CN"/>
        </w:rPr>
        <w:t>；</w:t>
      </w:r>
    </w:p>
    <w:p w14:paraId="30B7CD1B">
      <w:pPr>
        <w:spacing w:line="360" w:lineRule="auto"/>
        <w:ind w:left="105" w:leftChars="-100" w:hanging="315" w:hangingChars="1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生产工艺</w:t>
      </w:r>
      <w:r>
        <w:rPr>
          <w:rFonts w:hint="eastAsia" w:ascii="宋体" w:hAnsi="宋体" w:eastAsia="宋体" w:cs="宋体"/>
          <w:color w:val="auto"/>
          <w:kern w:val="0"/>
          <w:szCs w:val="21"/>
          <w:highlight w:val="none"/>
          <w:lang w:eastAsia="zh-CN"/>
        </w:rPr>
        <w:t>；</w:t>
      </w:r>
    </w:p>
    <w:p w14:paraId="4D096518">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）生产供货保障能力；</w:t>
      </w:r>
    </w:p>
    <w:p w14:paraId="29A0FC1F">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）质量保证体系和措施；</w:t>
      </w:r>
    </w:p>
    <w:p w14:paraId="6A235830">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4BFA2C75">
      <w:pPr>
        <w:autoSpaceDE w:val="0"/>
        <w:autoSpaceDN w:val="0"/>
        <w:adjustRightInd w:val="0"/>
        <w:spacing w:line="360" w:lineRule="auto"/>
        <w:ind w:left="422" w:leftChars="-100" w:hanging="632" w:hangingChars="300"/>
        <w:outlineLvl w:val="9"/>
        <w:rPr>
          <w:rFonts w:ascii="宋体" w:hAnsi="宋体" w:eastAsia="宋体" w:cs="宋体"/>
          <w:color w:val="auto"/>
          <w:kern w:val="0"/>
          <w:szCs w:val="21"/>
          <w:highlight w:val="none"/>
          <w:lang w:val="zh-CN"/>
        </w:rPr>
      </w:pPr>
      <w:bookmarkStart w:id="170" w:name="_Toc4413"/>
      <w:bookmarkStart w:id="171" w:name="_Toc9693"/>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bookmarkEnd w:id="170"/>
      <w:bookmarkEnd w:id="171"/>
    </w:p>
    <w:p w14:paraId="4D70E82D">
      <w:pPr>
        <w:autoSpaceDE w:val="0"/>
        <w:autoSpaceDN w:val="0"/>
        <w:adjustRightInd w:val="0"/>
        <w:spacing w:line="360" w:lineRule="auto"/>
        <w:ind w:left="35" w:leftChars="-118" w:hanging="283" w:hangingChars="135"/>
        <w:outlineLvl w:val="9"/>
        <w:rPr>
          <w:rFonts w:ascii="宋体" w:hAnsi="宋体" w:eastAsia="宋体" w:cs="宋体"/>
          <w:color w:val="auto"/>
          <w:kern w:val="0"/>
          <w:szCs w:val="21"/>
          <w:highlight w:val="none"/>
        </w:rPr>
      </w:pPr>
      <w:bookmarkStart w:id="172" w:name="_Toc2690"/>
      <w:bookmarkStart w:id="173" w:name="_Toc7164"/>
      <w:r>
        <w:rPr>
          <w:rFonts w:hint="eastAsia" w:ascii="宋体" w:hAnsi="宋体" w:eastAsia="宋体" w:cs="宋体"/>
          <w:color w:val="auto"/>
          <w:kern w:val="0"/>
          <w:szCs w:val="21"/>
          <w:highlight w:val="none"/>
        </w:rPr>
        <w:t>（1）签字、盖章后的投标文件扫描版PDF格式电子文件。</w:t>
      </w:r>
      <w:bookmarkEnd w:id="172"/>
      <w:bookmarkEnd w:id="173"/>
    </w:p>
    <w:p w14:paraId="355C7B54">
      <w:pPr>
        <w:autoSpaceDE w:val="0"/>
        <w:autoSpaceDN w:val="0"/>
        <w:adjustRightInd w:val="0"/>
        <w:spacing w:line="360" w:lineRule="auto"/>
        <w:ind w:left="422" w:leftChars="-100" w:hanging="632" w:hangingChars="300"/>
        <w:outlineLvl w:val="9"/>
        <w:rPr>
          <w:rFonts w:ascii="宋体" w:hAnsi="宋体" w:eastAsia="宋体" w:cs="宋体"/>
          <w:b/>
          <w:bCs/>
          <w:color w:val="auto"/>
          <w:szCs w:val="21"/>
          <w:highlight w:val="none"/>
          <w:lang w:val="zh-CN"/>
        </w:rPr>
      </w:pPr>
      <w:bookmarkStart w:id="174" w:name="_Toc13320"/>
      <w:bookmarkStart w:id="175" w:name="_Toc469"/>
      <w:r>
        <w:rPr>
          <w:rFonts w:hint="eastAsia" w:ascii="宋体" w:hAnsi="宋体" w:eastAsia="宋体" w:cs="宋体"/>
          <w:b/>
          <w:bCs/>
          <w:color w:val="auto"/>
          <w:szCs w:val="21"/>
          <w:highlight w:val="none"/>
          <w:lang w:val="zh-CN"/>
        </w:rPr>
        <w:t>9.1.4 唱标信封（单独密封）</w:t>
      </w:r>
      <w:bookmarkEnd w:id="174"/>
      <w:bookmarkEnd w:id="175"/>
    </w:p>
    <w:p w14:paraId="396E3EE1">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0AC6175C">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E8C499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06E8A0A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投标文件中相关证件、证书、合同、第三方检验报告、</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BF57C2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25FB70D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6" w:name="_Toc142508324"/>
      <w:bookmarkStart w:id="177" w:name="_Toc14343"/>
      <w:bookmarkStart w:id="178" w:name="_Toc486167674"/>
      <w:bookmarkStart w:id="179" w:name="_Toc450662860"/>
      <w:bookmarkStart w:id="180" w:name="_Toc18697"/>
      <w:bookmarkStart w:id="181" w:name="_Toc6234"/>
      <w:bookmarkStart w:id="182" w:name="_Toc8675_WPSOffice_Level3"/>
      <w:bookmarkStart w:id="183" w:name="_Toc494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76"/>
      <w:bookmarkEnd w:id="177"/>
      <w:bookmarkEnd w:id="178"/>
      <w:bookmarkEnd w:id="179"/>
      <w:bookmarkEnd w:id="180"/>
      <w:bookmarkEnd w:id="181"/>
      <w:bookmarkEnd w:id="182"/>
      <w:bookmarkEnd w:id="183"/>
    </w:p>
    <w:p w14:paraId="4775B4EC">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BBB49FF">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4185C82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4" w:name="_Toc6905"/>
      <w:bookmarkStart w:id="185" w:name="_Toc450662861"/>
      <w:bookmarkStart w:id="186" w:name="_Toc21894"/>
      <w:bookmarkStart w:id="187" w:name="_Toc28822"/>
      <w:bookmarkStart w:id="188" w:name="_Toc18312"/>
      <w:bookmarkStart w:id="189" w:name="_Toc142508325"/>
      <w:bookmarkStart w:id="190" w:name="_Toc486167675"/>
      <w:bookmarkStart w:id="191" w:name="_Toc4385_WPSOffice_Level3"/>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84"/>
      <w:bookmarkEnd w:id="185"/>
      <w:bookmarkEnd w:id="186"/>
      <w:bookmarkEnd w:id="187"/>
      <w:bookmarkEnd w:id="188"/>
      <w:bookmarkEnd w:id="189"/>
      <w:bookmarkEnd w:id="190"/>
      <w:bookmarkEnd w:id="191"/>
    </w:p>
    <w:p w14:paraId="0659F022">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9FB8E8A">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E4E89E6">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F3CF79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投标人的报价为综合单价(元/吨)乘以采购货物暂定数量的总价。合同履约过程中，在供货期内按投标时的综合单价(元/吨)乘以实际供货数量进行结算。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7F725D0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（1）招标范围内所有货物的研究、采购、制造、检验、配合试验（含小试及中试）、包装、储存、运输（退换货运输）、称重、装卸、安全、保险、培训、验收</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lang w:val="zh-CN"/>
        </w:rPr>
        <w:t>费用；</w:t>
      </w:r>
    </w:p>
    <w:p w14:paraId="32E87AF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14:paraId="106F76A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1B41880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（4）日常技术指导，免费的质保服务，包括但不限于免费对具有质量问题的货物进行处理或更换，按招标人要求小试及中试，并以招标人确认的最优化的产品成分配比向招标人供货；</w:t>
      </w:r>
    </w:p>
    <w:p w14:paraId="27A1971D">
      <w:pPr>
        <w:spacing w:line="360" w:lineRule="auto"/>
        <w:ind w:left="357" w:leftChars="-100" w:hanging="567"/>
        <w:outlineLvl w:val="9"/>
        <w:rPr>
          <w:rFonts w:hint="eastAsia" w:ascii="宋体" w:hAnsi="宋体" w:eastAsia="宋体" w:cs="宋体"/>
          <w:color w:val="auto"/>
          <w:szCs w:val="21"/>
          <w:highlight w:val="none"/>
          <w:lang w:val="zh-CN"/>
        </w:rPr>
      </w:pPr>
      <w:bookmarkStart w:id="192" w:name="_Toc16129"/>
      <w:bookmarkStart w:id="193" w:name="_Toc12620"/>
      <w:r>
        <w:rPr>
          <w:rFonts w:hint="eastAsia" w:ascii="宋体" w:hAnsi="宋体" w:eastAsia="宋体" w:cs="宋体"/>
          <w:color w:val="auto"/>
          <w:szCs w:val="21"/>
          <w:highlight w:val="none"/>
          <w:lang w:val="zh-CN"/>
        </w:rPr>
        <w:t>（5）合理利润、投标人销项税额以外的税费等；</w:t>
      </w:r>
      <w:bookmarkEnd w:id="192"/>
      <w:bookmarkEnd w:id="193"/>
    </w:p>
    <w:p w14:paraId="578378CE">
      <w:pPr>
        <w:spacing w:line="360" w:lineRule="auto"/>
        <w:ind w:left="357" w:leftChars="-100" w:hanging="567"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60D4DEF5">
      <w:pPr>
        <w:spacing w:line="360" w:lineRule="auto"/>
        <w:ind w:left="0" w:leftChars="0" w:firstLine="394" w:firstLineChars="187"/>
        <w:rPr>
          <w:rFonts w:hint="eastAsia" w:ascii="宋体" w:hAnsi="宋体" w:eastAsia="宋体" w:cs="宋体"/>
          <w:b/>
          <w:bCs/>
          <w:color w:val="auto"/>
          <w:szCs w:val="21"/>
          <w:highlight w:val="none"/>
          <w:lang w:val="zh-CN"/>
        </w:rPr>
      </w:pPr>
      <w:r>
        <w:rPr>
          <w:rFonts w:hint="eastAsia" w:ascii="宋体" w:hAnsi="宋体" w:eastAsia="宋体" w:cs="宋体"/>
          <w:b/>
          <w:bCs/>
          <w:color w:val="auto"/>
          <w:kern w:val="2"/>
          <w:sz w:val="21"/>
          <w:szCs w:val="21"/>
          <w:highlight w:val="none"/>
          <w:lang w:val="zh-CN"/>
        </w:rPr>
        <w:t>另外液体复合碳源的供货须按照招标人运营项目的实际供货需求，将会存在不同</w:t>
      </w:r>
      <w:r>
        <w:rPr>
          <w:rFonts w:hint="eastAsia" w:ascii="宋体" w:hAnsi="宋体" w:eastAsia="宋体" w:cs="宋体"/>
          <w:b/>
          <w:bCs/>
          <w:color w:val="auto"/>
          <w:kern w:val="2"/>
          <w:sz w:val="21"/>
          <w:szCs w:val="21"/>
          <w:highlight w:val="none"/>
          <w:lang w:val="en-US" w:eastAsia="zh-CN"/>
        </w:rPr>
        <w:t>项目</w:t>
      </w:r>
      <w:r>
        <w:rPr>
          <w:rFonts w:hint="eastAsia" w:ascii="宋体" w:hAnsi="宋体" w:eastAsia="宋体" w:cs="宋体"/>
          <w:b/>
          <w:bCs/>
          <w:color w:val="auto"/>
          <w:kern w:val="2"/>
          <w:sz w:val="21"/>
          <w:szCs w:val="21"/>
          <w:highlight w:val="none"/>
          <w:lang w:val="zh-CN"/>
        </w:rPr>
        <w:t>、不同</w:t>
      </w:r>
      <w:r>
        <w:rPr>
          <w:rFonts w:hint="eastAsia" w:ascii="宋体" w:hAnsi="宋体" w:eastAsia="宋体" w:cs="宋体"/>
          <w:b/>
          <w:bCs/>
          <w:color w:val="auto"/>
          <w:kern w:val="2"/>
          <w:sz w:val="21"/>
          <w:szCs w:val="21"/>
          <w:highlight w:val="none"/>
          <w:lang w:val="en-US" w:eastAsia="zh-CN"/>
        </w:rPr>
        <w:t>时间分次</w:t>
      </w:r>
      <w:r>
        <w:rPr>
          <w:rFonts w:hint="eastAsia" w:ascii="宋体" w:hAnsi="宋体" w:eastAsia="宋体" w:cs="宋体"/>
          <w:b/>
          <w:bCs/>
          <w:color w:val="auto"/>
          <w:kern w:val="2"/>
          <w:sz w:val="21"/>
          <w:szCs w:val="21"/>
          <w:highlight w:val="none"/>
          <w:lang w:val="zh-CN"/>
        </w:rPr>
        <w:t>供货的情况，投标人应充分考虑上述因素可能导致的增加成本，</w:t>
      </w:r>
      <w:r>
        <w:rPr>
          <w:rFonts w:hint="eastAsia" w:ascii="宋体" w:hAnsi="宋体" w:eastAsia="宋体" w:cs="宋体"/>
          <w:b/>
          <w:bCs/>
          <w:color w:val="auto"/>
          <w:kern w:val="2"/>
          <w:sz w:val="21"/>
          <w:szCs w:val="21"/>
          <w:highlight w:val="none"/>
          <w:lang w:val="en-US" w:eastAsia="zh-CN"/>
        </w:rPr>
        <w:t>并且</w:t>
      </w:r>
      <w:r>
        <w:rPr>
          <w:rFonts w:hint="eastAsia" w:ascii="宋体" w:hAnsi="宋体" w:eastAsia="宋体" w:cs="宋体"/>
          <w:b/>
          <w:bCs/>
          <w:color w:val="auto"/>
          <w:kern w:val="2"/>
          <w:sz w:val="21"/>
          <w:szCs w:val="21"/>
          <w:highlight w:val="none"/>
          <w:lang w:val="zh-CN"/>
        </w:rPr>
        <w:t>该成本已包含在</w:t>
      </w:r>
      <w:r>
        <w:rPr>
          <w:rFonts w:hint="eastAsia" w:ascii="宋体" w:hAnsi="宋体" w:eastAsia="宋体" w:cs="宋体"/>
          <w:b/>
          <w:bCs/>
          <w:color w:val="auto"/>
          <w:kern w:val="2"/>
          <w:sz w:val="21"/>
          <w:szCs w:val="21"/>
          <w:highlight w:val="none"/>
          <w:lang w:val="en-US" w:eastAsia="zh-CN"/>
        </w:rPr>
        <w:t>上述</w:t>
      </w:r>
      <w:r>
        <w:rPr>
          <w:rFonts w:hint="eastAsia" w:ascii="宋体" w:hAnsi="宋体" w:eastAsia="宋体" w:cs="宋体"/>
          <w:b/>
          <w:bCs/>
          <w:color w:val="auto"/>
          <w:kern w:val="2"/>
          <w:sz w:val="21"/>
          <w:szCs w:val="21"/>
          <w:highlight w:val="none"/>
          <w:lang w:val="zh-CN"/>
        </w:rPr>
        <w:t>全部费用内。</w:t>
      </w:r>
    </w:p>
    <w:p w14:paraId="1CB38DE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3C4F3ACC">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50091140">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6402E8D2">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投标人的投标报价或综合单价高于</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eastAsia="zh-CN"/>
        </w:rPr>
        <w:t>最高投标限价</w:t>
      </w:r>
      <w:r>
        <w:rPr>
          <w:rFonts w:hint="eastAsia" w:ascii="宋体" w:hAnsi="宋体" w:eastAsia="宋体" w:cs="Times New Roman"/>
          <w:b/>
          <w:bCs/>
          <w:color w:val="auto"/>
          <w:szCs w:val="21"/>
          <w:highlight w:val="none"/>
          <w:u w:val="single"/>
        </w:rPr>
        <w:t>或</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eastAsia="zh-CN"/>
        </w:rPr>
        <w:t>预算综合单价</w:t>
      </w:r>
      <w:r>
        <w:rPr>
          <w:rFonts w:hint="eastAsia" w:ascii="宋体" w:hAnsi="宋体" w:eastAsia="宋体" w:cs="Times New Roman"/>
          <w:b/>
          <w:bCs/>
          <w:color w:val="auto"/>
          <w:szCs w:val="21"/>
          <w:highlight w:val="none"/>
          <w:u w:val="single"/>
        </w:rPr>
        <w:t>的，该投标人的投标文件将被视为无效投标。本项目暂定采购数量对应的不含税</w:t>
      </w:r>
      <w:r>
        <w:rPr>
          <w:rFonts w:hint="eastAsia" w:ascii="宋体" w:hAnsi="宋体" w:eastAsia="宋体" w:cs="Times New Roman"/>
          <w:b/>
          <w:bCs/>
          <w:color w:val="auto"/>
          <w:szCs w:val="21"/>
          <w:highlight w:val="none"/>
          <w:u w:val="single"/>
          <w:lang w:eastAsia="zh-CN"/>
        </w:rPr>
        <w:t>最高投标限价</w:t>
      </w:r>
      <w:r>
        <w:rPr>
          <w:rFonts w:hint="eastAsia" w:ascii="宋体" w:hAnsi="宋体" w:eastAsia="宋体" w:cs="Times New Roman"/>
          <w:b/>
          <w:bCs/>
          <w:color w:val="auto"/>
          <w:szCs w:val="21"/>
          <w:highlight w:val="none"/>
          <w:u w:val="single"/>
        </w:rPr>
        <w:t>为</w:t>
      </w:r>
      <w:r>
        <w:rPr>
          <w:rFonts w:hint="eastAsia" w:ascii="宋体" w:hAnsi="宋体" w:eastAsia="宋体" w:cs="Times New Roman"/>
          <w:b/>
          <w:bCs/>
          <w:color w:val="auto"/>
          <w:szCs w:val="21"/>
          <w:highlight w:val="none"/>
          <w:u w:val="single"/>
          <w:lang w:val="en-US" w:eastAsia="zh-CN"/>
        </w:rPr>
        <w:t>¥8,161,252.89</w:t>
      </w:r>
      <w:r>
        <w:rPr>
          <w:rFonts w:hint="eastAsia" w:ascii="宋体" w:hAnsi="宋体" w:eastAsia="宋体" w:cs="Times New Roman"/>
          <w:b/>
          <w:bCs/>
          <w:color w:val="auto"/>
          <w:szCs w:val="21"/>
          <w:highlight w:val="none"/>
          <w:u w:val="single"/>
        </w:rPr>
        <w:t>元（大写：</w:t>
      </w:r>
      <w:r>
        <w:rPr>
          <w:rFonts w:hint="eastAsia" w:ascii="宋体" w:hAnsi="宋体" w:eastAsia="宋体" w:cs="Times New Roman"/>
          <w:b/>
          <w:bCs/>
          <w:color w:val="auto"/>
          <w:szCs w:val="21"/>
          <w:highlight w:val="none"/>
          <w:u w:val="single"/>
          <w:lang w:val="en-US" w:eastAsia="zh-CN"/>
        </w:rPr>
        <w:t>人民币捌佰壹拾陆万壹仟贰佰伍拾贰元捌角玖分</w:t>
      </w:r>
      <w:r>
        <w:rPr>
          <w:rFonts w:hint="eastAsia" w:ascii="宋体" w:hAnsi="宋体" w:eastAsia="宋体" w:cs="Times New Roman"/>
          <w:b/>
          <w:bCs/>
          <w:color w:val="auto"/>
          <w:szCs w:val="21"/>
          <w:highlight w:val="none"/>
          <w:u w:val="single"/>
        </w:rPr>
        <w:t>），不含税</w:t>
      </w:r>
      <w:r>
        <w:rPr>
          <w:rFonts w:hint="eastAsia" w:ascii="宋体" w:hAnsi="宋体" w:eastAsia="宋体" w:cs="Times New Roman"/>
          <w:b/>
          <w:bCs/>
          <w:color w:val="auto"/>
          <w:szCs w:val="21"/>
          <w:highlight w:val="none"/>
          <w:u w:val="single"/>
          <w:lang w:eastAsia="zh-CN"/>
        </w:rPr>
        <w:t>预算综合单价</w:t>
      </w:r>
      <w:r>
        <w:rPr>
          <w:rFonts w:hint="eastAsia" w:ascii="宋体" w:hAnsi="宋体" w:eastAsia="宋体" w:cs="Times New Roman"/>
          <w:b/>
          <w:bCs/>
          <w:color w:val="auto"/>
          <w:szCs w:val="21"/>
          <w:highlight w:val="none"/>
          <w:u w:val="single"/>
        </w:rPr>
        <w:t>为¥</w:t>
      </w:r>
      <w:r>
        <w:rPr>
          <w:rFonts w:hint="eastAsia" w:ascii="宋体" w:hAnsi="宋体" w:eastAsia="宋体" w:cs="Times New Roman"/>
          <w:b/>
          <w:bCs/>
          <w:color w:val="auto"/>
          <w:szCs w:val="21"/>
          <w:highlight w:val="none"/>
          <w:u w:val="single"/>
          <w:lang w:val="en-US" w:eastAsia="zh-CN"/>
        </w:rPr>
        <w:t>740.41</w:t>
      </w:r>
      <w:r>
        <w:rPr>
          <w:rFonts w:hint="eastAsia" w:ascii="宋体" w:hAnsi="宋体" w:eastAsia="宋体" w:cs="Times New Roman"/>
          <w:b/>
          <w:bCs/>
          <w:color w:val="auto"/>
          <w:szCs w:val="21"/>
          <w:highlight w:val="none"/>
          <w:u w:val="single"/>
        </w:rPr>
        <w:t>元/吨（大写：</w:t>
      </w:r>
      <w:r>
        <w:rPr>
          <w:rFonts w:hint="eastAsia" w:ascii="宋体" w:hAnsi="宋体" w:eastAsia="宋体" w:cs="Times New Roman"/>
          <w:b/>
          <w:bCs/>
          <w:color w:val="auto"/>
          <w:szCs w:val="21"/>
          <w:highlight w:val="none"/>
          <w:u w:val="single"/>
          <w:lang w:val="en-US" w:eastAsia="zh-CN"/>
        </w:rPr>
        <w:t>人民币</w:t>
      </w:r>
      <w:r>
        <w:rPr>
          <w:rFonts w:hint="eastAsia" w:ascii="宋体" w:hAnsi="宋体" w:eastAsia="宋体" w:cs="Times New Roman"/>
          <w:b/>
          <w:bCs/>
          <w:color w:val="auto"/>
          <w:szCs w:val="21"/>
          <w:highlight w:val="none"/>
          <w:u w:val="single"/>
        </w:rPr>
        <w:t>每吨</w:t>
      </w:r>
      <w:r>
        <w:rPr>
          <w:rFonts w:hint="eastAsia" w:ascii="宋体" w:hAnsi="宋体" w:eastAsia="宋体" w:cs="Times New Roman"/>
          <w:b/>
          <w:bCs/>
          <w:color w:val="auto"/>
          <w:szCs w:val="21"/>
          <w:highlight w:val="none"/>
          <w:u w:val="single"/>
          <w:lang w:val="en-US" w:eastAsia="zh-CN"/>
        </w:rPr>
        <w:t>柒佰肆拾元肆角壹分</w:t>
      </w:r>
      <w:r>
        <w:rPr>
          <w:rFonts w:hint="eastAsia" w:ascii="宋体" w:hAnsi="宋体" w:eastAsia="宋体" w:cs="Times New Roman"/>
          <w:b/>
          <w:bCs/>
          <w:color w:val="auto"/>
          <w:szCs w:val="21"/>
          <w:highlight w:val="none"/>
          <w:u w:val="single"/>
        </w:rPr>
        <w:t>）。</w:t>
      </w:r>
    </w:p>
    <w:p w14:paraId="44FE1CAB">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6672871A">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94" w:name="_Toc29863"/>
      <w:bookmarkStart w:id="195" w:name="_Toc14068"/>
      <w:bookmarkStart w:id="196" w:name="_Toc30042_WPSOffice_Level3"/>
      <w:bookmarkStart w:id="197" w:name="_Toc142508326"/>
      <w:bookmarkStart w:id="198" w:name="_Toc16724"/>
      <w:bookmarkStart w:id="199" w:name="_Toc450662862"/>
      <w:bookmarkStart w:id="200" w:name="_Toc12103"/>
      <w:bookmarkStart w:id="201" w:name="_Toc48616767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94"/>
      <w:bookmarkEnd w:id="195"/>
      <w:bookmarkEnd w:id="196"/>
      <w:bookmarkEnd w:id="197"/>
      <w:bookmarkEnd w:id="198"/>
      <w:bookmarkEnd w:id="199"/>
      <w:bookmarkEnd w:id="200"/>
      <w:bookmarkEnd w:id="201"/>
    </w:p>
    <w:p w14:paraId="1C32E722">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0F40C0A5">
      <w:pPr>
        <w:autoSpaceDE w:val="0"/>
        <w:autoSpaceDN w:val="0"/>
        <w:adjustRightInd w:val="0"/>
        <w:spacing w:line="360" w:lineRule="auto"/>
        <w:ind w:left="265" w:leftChars="119" w:hanging="15"/>
        <w:rPr>
          <w:rFonts w:ascii="宋体" w:hAnsi="宋体" w:eastAsia="宋体" w:cs="宋体"/>
          <w:color w:val="auto"/>
          <w:szCs w:val="21"/>
          <w:highlight w:val="none"/>
        </w:rPr>
      </w:pPr>
    </w:p>
    <w:p w14:paraId="7776AB7A">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2" w:name="_Toc9411_WPSOffice_Level3"/>
      <w:bookmarkStart w:id="203" w:name="_Toc142508327"/>
      <w:bookmarkStart w:id="204" w:name="_Toc486167677"/>
      <w:bookmarkStart w:id="205" w:name="_Toc25596"/>
      <w:bookmarkStart w:id="206" w:name="_Toc14246"/>
      <w:bookmarkStart w:id="207" w:name="_Toc450662863"/>
      <w:bookmarkStart w:id="208" w:name="_Toc21258"/>
      <w:bookmarkStart w:id="209" w:name="_Toc12289"/>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202"/>
      <w:bookmarkEnd w:id="203"/>
      <w:bookmarkEnd w:id="204"/>
      <w:bookmarkEnd w:id="205"/>
      <w:bookmarkEnd w:id="206"/>
      <w:bookmarkEnd w:id="207"/>
      <w:bookmarkEnd w:id="208"/>
      <w:bookmarkEnd w:id="209"/>
    </w:p>
    <w:p w14:paraId="62D5302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0C78B67C">
      <w:pPr>
        <w:autoSpaceDE w:val="0"/>
        <w:autoSpaceDN w:val="0"/>
        <w:adjustRightInd w:val="0"/>
        <w:spacing w:line="360" w:lineRule="auto"/>
        <w:ind w:left="357" w:leftChars="-100" w:hanging="567"/>
        <w:outlineLvl w:val="9"/>
        <w:rPr>
          <w:rFonts w:ascii="宋体" w:hAnsi="宋体" w:eastAsia="宋体" w:cs="宋体"/>
          <w:color w:val="auto"/>
          <w:szCs w:val="21"/>
          <w:highlight w:val="none"/>
          <w:vertAlign w:val="superscript"/>
          <w:lang w:val="zh-CN"/>
        </w:rPr>
      </w:pPr>
      <w:bookmarkStart w:id="210" w:name="_Toc15361"/>
      <w:bookmarkStart w:id="211" w:name="_Toc11580"/>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bookmarkEnd w:id="210"/>
      <w:bookmarkEnd w:id="211"/>
    </w:p>
    <w:p w14:paraId="3902C2BB">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44EE8FA">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299F9A8">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55D04FC3">
      <w:pPr>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472BE692">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1F67173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2" w:name="_Toc6966"/>
      <w:bookmarkStart w:id="213" w:name="_Toc486167678"/>
      <w:bookmarkStart w:id="214" w:name="_Toc30441"/>
      <w:bookmarkStart w:id="215" w:name="_Toc142508328"/>
      <w:bookmarkStart w:id="216" w:name="_Toc27771_WPSOffice_Level3"/>
      <w:bookmarkStart w:id="217" w:name="_Toc26154"/>
      <w:bookmarkStart w:id="218" w:name="_Toc22658"/>
      <w:bookmarkStart w:id="219" w:name="_Toc45066286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212"/>
      <w:bookmarkEnd w:id="213"/>
      <w:bookmarkEnd w:id="214"/>
      <w:bookmarkEnd w:id="215"/>
      <w:bookmarkEnd w:id="216"/>
      <w:bookmarkEnd w:id="217"/>
      <w:bookmarkEnd w:id="218"/>
      <w:bookmarkEnd w:id="219"/>
    </w:p>
    <w:p w14:paraId="42A080E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4D40F0A8">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438B878C">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57D5B7FC">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4D56927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0" w:name="_Toc486167679"/>
      <w:bookmarkStart w:id="221" w:name="_Toc7576"/>
      <w:bookmarkStart w:id="222" w:name="_Toc142508329"/>
      <w:bookmarkStart w:id="223" w:name="_Toc7160"/>
      <w:bookmarkStart w:id="224" w:name="_Toc24774"/>
      <w:bookmarkStart w:id="225" w:name="_Toc4163"/>
      <w:bookmarkStart w:id="226" w:name="_Toc5356_WPSOffice_Level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20"/>
      <w:bookmarkEnd w:id="221"/>
      <w:bookmarkEnd w:id="222"/>
      <w:bookmarkEnd w:id="223"/>
      <w:bookmarkEnd w:id="224"/>
      <w:bookmarkEnd w:id="225"/>
      <w:bookmarkEnd w:id="226"/>
    </w:p>
    <w:p w14:paraId="2ED958A6">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¥163,000.00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壹拾陆万叁仟元整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1D50F9B6">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053A5903">
      <w:pPr>
        <w:tabs>
          <w:tab w:val="left" w:pos="567"/>
        </w:tabs>
        <w:autoSpaceDE w:val="0"/>
        <w:autoSpaceDN w:val="0"/>
        <w:adjustRightInd w:val="0"/>
        <w:spacing w:line="360" w:lineRule="auto"/>
        <w:ind w:left="357" w:leftChars="-100" w:hanging="567"/>
        <w:jc w:val="left"/>
        <w:outlineLvl w:val="9"/>
        <w:rPr>
          <w:rFonts w:ascii="宋体" w:hAnsi="宋体" w:eastAsia="宋体" w:cs="宋体"/>
          <w:bCs/>
          <w:color w:val="auto"/>
          <w:kern w:val="0"/>
          <w:szCs w:val="21"/>
          <w:highlight w:val="none"/>
          <w:lang w:val="zh-CN"/>
        </w:rPr>
      </w:pPr>
      <w:bookmarkStart w:id="227" w:name="_Toc1686"/>
      <w:bookmarkStart w:id="228" w:name="_Toc25746"/>
      <w:r>
        <w:rPr>
          <w:rFonts w:hint="eastAsia" w:ascii="宋体" w:hAnsi="宋体" w:eastAsia="宋体" w:cs="宋体"/>
          <w:bCs/>
          <w:color w:val="auto"/>
          <w:kern w:val="0"/>
          <w:szCs w:val="21"/>
          <w:highlight w:val="none"/>
          <w:lang w:val="zh-CN"/>
        </w:rPr>
        <w:t>15.3 提交保证金时应符合下列规定：</w:t>
      </w:r>
      <w:bookmarkEnd w:id="227"/>
      <w:bookmarkEnd w:id="228"/>
    </w:p>
    <w:p w14:paraId="4C0130F8">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3B477C73">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rPr>
        <w:t>开户名称：东莞市水务集团净水有限公司</w:t>
      </w:r>
    </w:p>
    <w:p w14:paraId="42C4363E">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lang w:val="zh-CN"/>
        </w:rPr>
        <w:t>开户银行：</w:t>
      </w:r>
      <w:r>
        <w:rPr>
          <w:rFonts w:hint="eastAsia" w:ascii="宋体" w:hAnsi="宋体" w:eastAsia="宋体" w:cs="宋体"/>
          <w:b w:val="0"/>
          <w:bCs w:val="0"/>
          <w:color w:val="auto"/>
          <w:kern w:val="0"/>
          <w:szCs w:val="21"/>
          <w:highlight w:val="none"/>
          <w:lang w:val="zh-CN"/>
        </w:rPr>
        <w:t>东莞银行东莞分行</w:t>
      </w:r>
    </w:p>
    <w:p w14:paraId="01AC3192">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w:t>
      </w:r>
      <w:r>
        <w:rPr>
          <w:rFonts w:hint="eastAsia" w:ascii="宋体" w:hAnsi="宋体" w:eastAsia="宋体" w:cs="宋体"/>
          <w:color w:val="auto"/>
          <w:szCs w:val="21"/>
          <w:highlight w:val="none"/>
        </w:rPr>
        <w:t>540008801002628</w:t>
      </w:r>
    </w:p>
    <w:p w14:paraId="63B76976">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4CFD8145">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616FC0C1">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490BEAEF">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val="en-US" w:eastAsia="zh-CN"/>
        </w:rPr>
        <w:t>本项目的书面</w:t>
      </w:r>
      <w:r>
        <w:rPr>
          <w:rFonts w:hint="eastAsia" w:ascii="宋体" w:hAnsi="宋体" w:eastAsia="宋体" w:cs="宋体"/>
          <w:color w:val="auto"/>
          <w:kern w:val="0"/>
          <w:szCs w:val="21"/>
          <w:highlight w:val="none"/>
        </w:rPr>
        <w:t>合同签订后5日内退还。</w:t>
      </w:r>
    </w:p>
    <w:p w14:paraId="1A0F6C76">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bookmarkStart w:id="229" w:name="_Toc22845"/>
      <w:bookmarkStart w:id="230" w:name="_Toc12727"/>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bookmarkEnd w:id="229"/>
      <w:bookmarkEnd w:id="230"/>
    </w:p>
    <w:p w14:paraId="36809D5E">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2FA9E9A6">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6FF662C0">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3B7B55C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0760CD7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B7CF6F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30E962D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0A217A0E">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731E7184">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7418994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1" w:name="_Toc450662865"/>
      <w:bookmarkStart w:id="232" w:name="_Toc26569"/>
      <w:bookmarkStart w:id="233" w:name="_Toc22649_WPSOffice_Level3"/>
      <w:bookmarkStart w:id="234" w:name="_Toc142508330"/>
      <w:bookmarkStart w:id="235" w:name="_Toc486167680"/>
      <w:bookmarkStart w:id="236" w:name="_Toc2942"/>
      <w:bookmarkStart w:id="237" w:name="_Toc24114"/>
      <w:bookmarkStart w:id="238" w:name="_Toc1055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31"/>
      <w:bookmarkEnd w:id="232"/>
      <w:bookmarkEnd w:id="233"/>
      <w:bookmarkEnd w:id="234"/>
      <w:bookmarkEnd w:id="235"/>
      <w:bookmarkEnd w:id="236"/>
      <w:bookmarkEnd w:id="237"/>
      <w:bookmarkEnd w:id="238"/>
    </w:p>
    <w:p w14:paraId="758804BC">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17D14D03">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bookmarkStart w:id="239" w:name="_Toc26457"/>
      <w:bookmarkStart w:id="240" w:name="_Toc31559"/>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bookmarkEnd w:id="239"/>
      <w:bookmarkEnd w:id="240"/>
    </w:p>
    <w:p w14:paraId="750662E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7728D2FD">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531FBED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1" w:name="_Toc19337"/>
      <w:bookmarkStart w:id="242" w:name="_Toc25637_WPSOffice_Level3"/>
      <w:bookmarkStart w:id="243" w:name="_Toc358"/>
      <w:bookmarkStart w:id="244" w:name="_Toc13311"/>
      <w:bookmarkStart w:id="245" w:name="_Toc450662866"/>
      <w:bookmarkStart w:id="246" w:name="_Toc486167681"/>
      <w:bookmarkStart w:id="247" w:name="_Toc142508331"/>
      <w:bookmarkStart w:id="248" w:name="_Toc3074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41"/>
      <w:bookmarkEnd w:id="242"/>
      <w:bookmarkEnd w:id="243"/>
      <w:bookmarkEnd w:id="244"/>
      <w:bookmarkEnd w:id="245"/>
      <w:bookmarkEnd w:id="246"/>
      <w:bookmarkEnd w:id="247"/>
      <w:bookmarkEnd w:id="248"/>
    </w:p>
    <w:p w14:paraId="0866335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2511A96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36B02F8A">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50C29EEF">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03E4CCB9">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0E63CA55">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bookmarkStart w:id="249" w:name="_Toc15775"/>
      <w:bookmarkStart w:id="250" w:name="_Toc2715"/>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bookmarkEnd w:id="249"/>
      <w:bookmarkEnd w:id="250"/>
    </w:p>
    <w:p w14:paraId="68171956">
      <w:pPr>
        <w:autoSpaceDE w:val="0"/>
        <w:autoSpaceDN w:val="0"/>
        <w:adjustRightInd w:val="0"/>
        <w:jc w:val="left"/>
        <w:rPr>
          <w:rFonts w:ascii="宋体" w:hAnsi="宋体" w:eastAsia="宋体" w:cs="宋体"/>
          <w:color w:val="auto"/>
          <w:kern w:val="0"/>
          <w:sz w:val="24"/>
          <w:szCs w:val="24"/>
          <w:highlight w:val="none"/>
        </w:rPr>
      </w:pPr>
      <w:bookmarkStart w:id="251" w:name="_Toc450662867"/>
    </w:p>
    <w:p w14:paraId="35E90934">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52" w:name="_Toc486167682"/>
      <w:bookmarkStart w:id="253" w:name="_Toc22356_WPSOffice_Level2"/>
      <w:bookmarkStart w:id="254" w:name="_Toc11345"/>
      <w:bookmarkStart w:id="255" w:name="_Toc20611"/>
      <w:bookmarkStart w:id="256" w:name="_Toc27966"/>
      <w:bookmarkStart w:id="257" w:name="_Toc140596891"/>
      <w:bookmarkStart w:id="258" w:name="_Toc142508332"/>
      <w:bookmarkStart w:id="259" w:name="_Toc17608"/>
      <w:r>
        <w:rPr>
          <w:rFonts w:hint="eastAsia" w:ascii="宋体" w:hAnsi="宋体" w:eastAsia="宋体" w:cs="宋体"/>
          <w:b/>
          <w:bCs/>
          <w:color w:val="auto"/>
          <w:kern w:val="44"/>
          <w:szCs w:val="21"/>
          <w:highlight w:val="none"/>
          <w:lang w:val="zh-CN"/>
        </w:rPr>
        <w:t>四、投标文件的递交</w:t>
      </w:r>
      <w:bookmarkEnd w:id="251"/>
      <w:bookmarkEnd w:id="252"/>
      <w:bookmarkEnd w:id="253"/>
      <w:bookmarkEnd w:id="254"/>
      <w:bookmarkEnd w:id="255"/>
      <w:bookmarkEnd w:id="256"/>
      <w:bookmarkEnd w:id="257"/>
      <w:bookmarkEnd w:id="258"/>
      <w:bookmarkEnd w:id="259"/>
    </w:p>
    <w:p w14:paraId="2D2D944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0" w:name="_Toc9587"/>
      <w:bookmarkStart w:id="261" w:name="_Toc26416"/>
      <w:bookmarkStart w:id="262" w:name="_Toc31579"/>
      <w:bookmarkStart w:id="263" w:name="_Toc12192_WPSOffice_Level3"/>
      <w:bookmarkStart w:id="264" w:name="_Toc450662868"/>
      <w:bookmarkStart w:id="265" w:name="_Toc486167683"/>
      <w:bookmarkStart w:id="266" w:name="_Toc142508333"/>
      <w:bookmarkStart w:id="267" w:name="_Toc9900"/>
      <w:r>
        <w:rPr>
          <w:rFonts w:hint="eastAsia" w:ascii="宋体" w:hAnsi="宋体" w:eastAsia="宋体" w:cs="宋体"/>
          <w:color w:val="auto"/>
          <w:szCs w:val="21"/>
          <w:highlight w:val="none"/>
          <w:lang w:val="zh-CN"/>
        </w:rPr>
        <w:t>18 投标文件的密封和标记</w:t>
      </w:r>
      <w:bookmarkEnd w:id="260"/>
      <w:bookmarkEnd w:id="261"/>
      <w:bookmarkEnd w:id="262"/>
      <w:bookmarkEnd w:id="263"/>
      <w:bookmarkEnd w:id="264"/>
      <w:bookmarkEnd w:id="265"/>
      <w:bookmarkEnd w:id="266"/>
      <w:bookmarkEnd w:id="267"/>
    </w:p>
    <w:p w14:paraId="6C0E394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42BC3B16">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3A01480F">
      <w:pPr>
        <w:autoSpaceDE w:val="0"/>
        <w:autoSpaceDN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bookmarkStart w:id="268" w:name="_Toc22595"/>
      <w:bookmarkStart w:id="269" w:name="_Toc2064"/>
      <w:bookmarkStart w:id="270" w:name="_Toc3126"/>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bookmarkEnd w:id="268"/>
      <w:bookmarkEnd w:id="269"/>
      <w:bookmarkEnd w:id="270"/>
    </w:p>
    <w:p w14:paraId="46435059">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6F5606D1">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585D9947">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265892B7">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16EEB55B">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44912596">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0AA5FFF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1" w:name="_Toc29665_WPSOffice_Level3"/>
      <w:bookmarkStart w:id="272" w:name="_Toc32205"/>
      <w:bookmarkStart w:id="273" w:name="_Toc21308"/>
      <w:bookmarkStart w:id="274" w:name="_Toc142508334"/>
      <w:bookmarkStart w:id="275" w:name="_Toc450662869"/>
      <w:bookmarkStart w:id="276" w:name="_Toc15846"/>
      <w:bookmarkStart w:id="277" w:name="_Toc486167684"/>
      <w:bookmarkStart w:id="278" w:name="_Toc3384"/>
      <w:r>
        <w:rPr>
          <w:rFonts w:hint="eastAsia" w:ascii="宋体" w:hAnsi="宋体" w:eastAsia="宋体" w:cs="宋体"/>
          <w:color w:val="auto"/>
          <w:szCs w:val="21"/>
          <w:highlight w:val="none"/>
          <w:lang w:val="zh-CN"/>
        </w:rPr>
        <w:t>19 递交投标文件的截止日期</w:t>
      </w:r>
      <w:bookmarkEnd w:id="271"/>
      <w:bookmarkEnd w:id="272"/>
      <w:bookmarkEnd w:id="273"/>
      <w:bookmarkEnd w:id="274"/>
      <w:bookmarkEnd w:id="275"/>
      <w:bookmarkEnd w:id="276"/>
      <w:bookmarkEnd w:id="277"/>
      <w:bookmarkEnd w:id="278"/>
    </w:p>
    <w:p w14:paraId="6AEBD17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6EAE329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7787D99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E4F0D9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9" w:name="_Toc19193"/>
      <w:bookmarkStart w:id="280" w:name="_Toc450662870"/>
      <w:bookmarkStart w:id="281" w:name="_Toc486167685"/>
      <w:bookmarkStart w:id="282" w:name="_Toc22431_WPSOffice_Level3"/>
      <w:bookmarkStart w:id="283" w:name="_Toc30476"/>
      <w:bookmarkStart w:id="284" w:name="_Toc6684"/>
      <w:bookmarkStart w:id="285" w:name="_Toc142508335"/>
      <w:bookmarkStart w:id="286" w:name="_Toc15725"/>
      <w:r>
        <w:rPr>
          <w:rFonts w:hint="eastAsia" w:ascii="宋体" w:hAnsi="宋体" w:eastAsia="宋体" w:cs="宋体"/>
          <w:color w:val="auto"/>
          <w:szCs w:val="21"/>
          <w:highlight w:val="none"/>
          <w:lang w:val="zh-CN"/>
        </w:rPr>
        <w:t>20 迟交的投标文件</w:t>
      </w:r>
      <w:bookmarkEnd w:id="279"/>
      <w:bookmarkEnd w:id="280"/>
      <w:bookmarkEnd w:id="281"/>
      <w:bookmarkEnd w:id="282"/>
      <w:bookmarkEnd w:id="283"/>
      <w:bookmarkEnd w:id="284"/>
      <w:bookmarkEnd w:id="285"/>
      <w:bookmarkEnd w:id="286"/>
    </w:p>
    <w:p w14:paraId="11CEB29A">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7FFF4210">
      <w:pPr>
        <w:autoSpaceDE w:val="0"/>
        <w:autoSpaceDN w:val="0"/>
        <w:adjustRightInd w:val="0"/>
        <w:jc w:val="left"/>
        <w:rPr>
          <w:rFonts w:ascii="宋体" w:hAnsi="宋体" w:eastAsia="宋体" w:cs="宋体"/>
          <w:color w:val="auto"/>
          <w:kern w:val="0"/>
          <w:sz w:val="24"/>
          <w:szCs w:val="24"/>
          <w:highlight w:val="none"/>
        </w:rPr>
      </w:pPr>
    </w:p>
    <w:p w14:paraId="1E99D13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7" w:name="_Toc15452"/>
      <w:bookmarkStart w:id="288" w:name="_Toc486167686"/>
      <w:bookmarkStart w:id="289" w:name="_Toc4883_WPSOffice_Level3"/>
      <w:bookmarkStart w:id="290" w:name="_Toc450662871"/>
      <w:bookmarkStart w:id="291" w:name="_Toc23664"/>
      <w:bookmarkStart w:id="292" w:name="_Toc142508336"/>
      <w:bookmarkStart w:id="293" w:name="_Toc16964"/>
      <w:bookmarkStart w:id="294" w:name="_Toc834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87"/>
      <w:bookmarkEnd w:id="288"/>
      <w:bookmarkEnd w:id="289"/>
      <w:bookmarkEnd w:id="290"/>
      <w:bookmarkEnd w:id="291"/>
      <w:bookmarkEnd w:id="292"/>
      <w:bookmarkEnd w:id="293"/>
      <w:bookmarkEnd w:id="294"/>
    </w:p>
    <w:p w14:paraId="69418DF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B200B7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357371D5">
      <w:pPr>
        <w:autoSpaceDE w:val="0"/>
        <w:autoSpaceDN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bookmarkStart w:id="295" w:name="_Toc25747"/>
      <w:bookmarkStart w:id="296" w:name="_Toc22948"/>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bookmarkEnd w:id="295"/>
      <w:bookmarkEnd w:id="296"/>
    </w:p>
    <w:p w14:paraId="479D4AC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0695430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60E8E65">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97" w:name="_Toc450662872"/>
      <w:bookmarkStart w:id="298" w:name="_Toc11106"/>
      <w:bookmarkStart w:id="299" w:name="_Toc6702"/>
      <w:bookmarkStart w:id="300" w:name="_Toc142508337"/>
      <w:bookmarkStart w:id="301" w:name="_Toc140596896"/>
      <w:bookmarkStart w:id="302" w:name="_Toc1049_WPSOffice_Level2"/>
      <w:bookmarkStart w:id="303" w:name="_Toc27648"/>
      <w:bookmarkStart w:id="304" w:name="_Toc8918"/>
      <w:bookmarkStart w:id="305" w:name="_Toc486167687"/>
      <w:r>
        <w:rPr>
          <w:rFonts w:hint="eastAsia" w:ascii="宋体" w:hAnsi="宋体" w:eastAsia="宋体" w:cs="宋体"/>
          <w:b/>
          <w:bCs/>
          <w:color w:val="auto"/>
          <w:kern w:val="44"/>
          <w:szCs w:val="21"/>
          <w:highlight w:val="none"/>
          <w:lang w:val="zh-CN"/>
        </w:rPr>
        <w:t>五、开标与评标</w:t>
      </w:r>
      <w:bookmarkEnd w:id="297"/>
      <w:bookmarkEnd w:id="298"/>
      <w:bookmarkEnd w:id="299"/>
      <w:bookmarkEnd w:id="300"/>
      <w:bookmarkEnd w:id="301"/>
      <w:bookmarkEnd w:id="302"/>
      <w:bookmarkEnd w:id="303"/>
      <w:bookmarkEnd w:id="304"/>
      <w:bookmarkEnd w:id="305"/>
    </w:p>
    <w:p w14:paraId="6A37A58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6" w:name="_Toc4471"/>
      <w:bookmarkStart w:id="307" w:name="_Toc486167688"/>
      <w:bookmarkStart w:id="308" w:name="_Toc7200"/>
      <w:bookmarkStart w:id="309" w:name="_Toc24928"/>
      <w:bookmarkStart w:id="310" w:name="_Toc142508338"/>
      <w:bookmarkStart w:id="311" w:name="_Toc450662873"/>
      <w:bookmarkStart w:id="312" w:name="_Toc144_WPSOffice_Level3"/>
      <w:bookmarkStart w:id="313" w:name="_Toc29881"/>
      <w:r>
        <w:rPr>
          <w:rFonts w:hint="eastAsia" w:ascii="宋体" w:hAnsi="宋体" w:eastAsia="宋体" w:cs="宋体"/>
          <w:color w:val="auto"/>
          <w:szCs w:val="21"/>
          <w:highlight w:val="none"/>
          <w:lang w:val="zh-CN"/>
        </w:rPr>
        <w:t>22 开标</w:t>
      </w:r>
      <w:bookmarkEnd w:id="306"/>
      <w:bookmarkEnd w:id="307"/>
      <w:bookmarkEnd w:id="308"/>
      <w:bookmarkEnd w:id="309"/>
      <w:bookmarkEnd w:id="310"/>
      <w:bookmarkEnd w:id="311"/>
      <w:bookmarkEnd w:id="312"/>
      <w:bookmarkEnd w:id="313"/>
    </w:p>
    <w:p w14:paraId="3629E0B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7653A3B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0712F3A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17650C7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02A77AF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5D91545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73D85FB7">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28333B3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4" w:name="_Toc13908"/>
      <w:bookmarkStart w:id="315" w:name="_Toc142508339"/>
      <w:bookmarkStart w:id="316" w:name="_Toc486167689"/>
      <w:bookmarkStart w:id="317" w:name="_Toc2038"/>
      <w:bookmarkStart w:id="318" w:name="_Toc450662874"/>
      <w:bookmarkStart w:id="319" w:name="_Toc12165_WPSOffice_Level3"/>
      <w:bookmarkStart w:id="320" w:name="_Toc11072"/>
      <w:bookmarkStart w:id="321" w:name="_Toc262"/>
      <w:r>
        <w:rPr>
          <w:rFonts w:hint="eastAsia" w:ascii="宋体" w:hAnsi="宋体" w:eastAsia="宋体" w:cs="宋体"/>
          <w:color w:val="auto"/>
          <w:szCs w:val="21"/>
          <w:highlight w:val="none"/>
          <w:lang w:val="zh-CN"/>
        </w:rPr>
        <w:t>23 评标过程的保密性</w:t>
      </w:r>
      <w:bookmarkEnd w:id="314"/>
      <w:bookmarkEnd w:id="315"/>
      <w:bookmarkEnd w:id="316"/>
      <w:bookmarkEnd w:id="317"/>
      <w:bookmarkEnd w:id="318"/>
      <w:bookmarkEnd w:id="319"/>
      <w:bookmarkEnd w:id="320"/>
      <w:bookmarkEnd w:id="321"/>
    </w:p>
    <w:p w14:paraId="24D6808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6109301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3EB601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9D422A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22" w:name="_Toc833"/>
      <w:bookmarkStart w:id="323" w:name="_Toc450662875"/>
      <w:bookmarkStart w:id="324" w:name="_Toc6389"/>
      <w:bookmarkStart w:id="325" w:name="_Toc3748"/>
      <w:bookmarkStart w:id="326" w:name="_Toc15565_WPSOffice_Level3"/>
      <w:bookmarkStart w:id="327" w:name="_Toc142508340"/>
      <w:bookmarkStart w:id="328" w:name="_Toc9437"/>
      <w:bookmarkStart w:id="329" w:name="_Toc486167690"/>
      <w:r>
        <w:rPr>
          <w:rFonts w:hint="eastAsia" w:ascii="宋体" w:hAnsi="宋体" w:eastAsia="宋体" w:cs="宋体"/>
          <w:color w:val="auto"/>
          <w:szCs w:val="21"/>
          <w:highlight w:val="none"/>
          <w:lang w:val="zh-CN"/>
        </w:rPr>
        <w:t>24 评标委员会</w:t>
      </w:r>
      <w:bookmarkEnd w:id="322"/>
      <w:bookmarkEnd w:id="323"/>
      <w:bookmarkEnd w:id="324"/>
      <w:bookmarkEnd w:id="325"/>
      <w:bookmarkEnd w:id="326"/>
      <w:bookmarkEnd w:id="327"/>
      <w:bookmarkEnd w:id="328"/>
      <w:bookmarkEnd w:id="329"/>
    </w:p>
    <w:p w14:paraId="73F7BD7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059F6F2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3B0CDDFD">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86F211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szCs w:val="21"/>
          <w:highlight w:val="none"/>
          <w:lang w:val="zh-CN"/>
        </w:rPr>
      </w:pPr>
      <w:bookmarkStart w:id="330" w:name="_Toc28910_WPSOffice_Level3"/>
      <w:bookmarkStart w:id="331" w:name="_Toc4742"/>
      <w:bookmarkStart w:id="332" w:name="_Toc830"/>
      <w:bookmarkStart w:id="333" w:name="_Toc486167691"/>
      <w:bookmarkStart w:id="334" w:name="_Toc450662876"/>
      <w:bookmarkStart w:id="335" w:name="_Toc6507"/>
      <w:bookmarkStart w:id="336" w:name="_Toc31399"/>
      <w:bookmarkStart w:id="337" w:name="_Toc142508341"/>
      <w:r>
        <w:rPr>
          <w:rFonts w:hint="eastAsia" w:ascii="宋体" w:hAnsi="宋体" w:eastAsia="宋体" w:cs="宋体"/>
          <w:b/>
          <w:bCs/>
          <w:color w:val="auto"/>
          <w:szCs w:val="21"/>
          <w:highlight w:val="none"/>
          <w:lang w:val="zh-CN"/>
        </w:rPr>
        <w:t>25 投标文件的初审</w:t>
      </w:r>
      <w:bookmarkEnd w:id="330"/>
      <w:bookmarkEnd w:id="331"/>
      <w:bookmarkEnd w:id="332"/>
      <w:bookmarkEnd w:id="333"/>
      <w:bookmarkEnd w:id="334"/>
      <w:bookmarkEnd w:id="335"/>
      <w:bookmarkEnd w:id="336"/>
      <w:bookmarkEnd w:id="337"/>
    </w:p>
    <w:p w14:paraId="3F8D2102">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10191647">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7E4FE513">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046ECCC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8" w:name="_Toc21003"/>
      <w:bookmarkStart w:id="339" w:name="_Toc450662877"/>
      <w:bookmarkStart w:id="340" w:name="_Toc16938"/>
      <w:bookmarkStart w:id="341" w:name="_Toc9436"/>
      <w:bookmarkStart w:id="342" w:name="_Toc338_WPSOffice_Level3"/>
      <w:bookmarkStart w:id="343" w:name="_Toc10130"/>
      <w:bookmarkStart w:id="344" w:name="_Toc142508342"/>
      <w:bookmarkStart w:id="345" w:name="_Toc486167692"/>
      <w:r>
        <w:rPr>
          <w:rFonts w:hint="eastAsia" w:ascii="宋体" w:hAnsi="宋体" w:eastAsia="宋体" w:cs="宋体"/>
          <w:color w:val="auto"/>
          <w:szCs w:val="21"/>
          <w:highlight w:val="none"/>
          <w:lang w:val="zh-CN"/>
        </w:rPr>
        <w:t>26 投标文件的澄清</w:t>
      </w:r>
      <w:bookmarkEnd w:id="338"/>
      <w:bookmarkEnd w:id="339"/>
      <w:bookmarkEnd w:id="340"/>
      <w:bookmarkEnd w:id="341"/>
      <w:bookmarkEnd w:id="342"/>
      <w:bookmarkEnd w:id="343"/>
      <w:bookmarkEnd w:id="344"/>
      <w:bookmarkEnd w:id="345"/>
    </w:p>
    <w:p w14:paraId="3B2EF56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DFA173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46"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346"/>
    <w:p w14:paraId="02AD1B19">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347" w:name="_Toc522047355"/>
      <w:bookmarkStart w:id="348" w:name="_Toc18368_WPSOffice_Level3"/>
      <w:bookmarkStart w:id="349" w:name="_Toc521918096"/>
      <w:bookmarkStart w:id="350" w:name="_Toc142508343"/>
    </w:p>
    <w:p w14:paraId="697BABD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51" w:name="_Toc15022"/>
      <w:bookmarkStart w:id="352" w:name="_Toc26392"/>
      <w:bookmarkStart w:id="353" w:name="_Toc18801"/>
      <w:bookmarkStart w:id="354" w:name="_Toc31975"/>
      <w:r>
        <w:rPr>
          <w:rFonts w:hint="eastAsia" w:ascii="宋体" w:hAnsi="宋体" w:eastAsia="宋体" w:cs="宋体"/>
          <w:color w:val="auto"/>
          <w:szCs w:val="21"/>
          <w:highlight w:val="none"/>
          <w:lang w:val="zh-CN"/>
        </w:rPr>
        <w:t>27 对投标文件的比较和评价</w:t>
      </w:r>
      <w:bookmarkEnd w:id="347"/>
      <w:bookmarkEnd w:id="348"/>
      <w:bookmarkEnd w:id="349"/>
      <w:bookmarkEnd w:id="350"/>
      <w:bookmarkEnd w:id="351"/>
      <w:bookmarkEnd w:id="352"/>
      <w:bookmarkEnd w:id="353"/>
      <w:bookmarkEnd w:id="354"/>
    </w:p>
    <w:p w14:paraId="320639C2">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41061FE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AA05F9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3517FE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49D3AE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6CD3BA5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3891CC3E">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55" w:name="_Toc521918097"/>
      <w:bookmarkStart w:id="356" w:name="_Toc522047356"/>
    </w:p>
    <w:p w14:paraId="64E0292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57" w:name="_Toc21413"/>
      <w:bookmarkStart w:id="358" w:name="_Toc18255"/>
      <w:bookmarkStart w:id="359" w:name="_Toc142508344"/>
      <w:bookmarkStart w:id="360" w:name="_Toc31279"/>
      <w:bookmarkStart w:id="361" w:name="_Toc15330"/>
      <w:bookmarkStart w:id="362" w:name="_Toc21460_WPSOffice_Level3"/>
      <w:r>
        <w:rPr>
          <w:rFonts w:hint="eastAsia" w:ascii="宋体" w:hAnsi="宋体" w:eastAsia="宋体" w:cs="宋体"/>
          <w:color w:val="auto"/>
          <w:szCs w:val="21"/>
          <w:highlight w:val="none"/>
          <w:lang w:val="zh-CN"/>
        </w:rPr>
        <w:t>28 评标原则及方法</w:t>
      </w:r>
      <w:bookmarkEnd w:id="355"/>
      <w:bookmarkEnd w:id="356"/>
      <w:bookmarkEnd w:id="357"/>
      <w:bookmarkEnd w:id="358"/>
      <w:bookmarkEnd w:id="359"/>
      <w:bookmarkEnd w:id="360"/>
      <w:bookmarkEnd w:id="361"/>
      <w:bookmarkEnd w:id="362"/>
    </w:p>
    <w:p w14:paraId="201A11B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7B0B0661">
      <w:pPr>
        <w:tabs>
          <w:tab w:val="left" w:pos="360"/>
        </w:tabs>
        <w:autoSpaceDE w:val="0"/>
        <w:autoSpaceDN w:val="0"/>
        <w:adjustRightInd w:val="0"/>
        <w:spacing w:line="360" w:lineRule="auto"/>
        <w:ind w:left="330" w:leftChars="-100" w:right="44" w:rightChars="21" w:hanging="540"/>
        <w:outlineLvl w:val="1"/>
        <w:rPr>
          <w:rFonts w:ascii="宋体" w:hAnsi="宋体" w:eastAsia="宋体" w:cs="宋体"/>
          <w:color w:val="auto"/>
          <w:szCs w:val="21"/>
          <w:highlight w:val="none"/>
          <w:lang w:val="zh-CN"/>
        </w:rPr>
      </w:pPr>
      <w:bookmarkStart w:id="363" w:name="_Toc21045"/>
      <w:bookmarkStart w:id="364" w:name="_Toc20150"/>
      <w:bookmarkStart w:id="365" w:name="_Toc25943"/>
      <w:r>
        <w:rPr>
          <w:rFonts w:hint="eastAsia" w:ascii="宋体" w:hAnsi="宋体" w:eastAsia="宋体" w:cs="宋体"/>
          <w:color w:val="auto"/>
          <w:szCs w:val="21"/>
          <w:highlight w:val="none"/>
          <w:lang w:val="zh-CN"/>
        </w:rPr>
        <w:t>28.2 评标严格按照招标文件的要求和条件进行。</w:t>
      </w:r>
      <w:bookmarkEnd w:id="363"/>
      <w:bookmarkEnd w:id="364"/>
      <w:bookmarkEnd w:id="365"/>
    </w:p>
    <w:p w14:paraId="4346A3B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2C2DACB5">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621D822F">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DA219B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66" w:name="_Toc1681"/>
      <w:bookmarkStart w:id="367" w:name="_Toc15841"/>
      <w:bookmarkStart w:id="368" w:name="_Toc486167694"/>
      <w:bookmarkStart w:id="369" w:name="_Toc142508345"/>
      <w:bookmarkStart w:id="370" w:name="_Toc25365"/>
      <w:bookmarkStart w:id="371" w:name="_Toc25047"/>
      <w:bookmarkStart w:id="372" w:name="_Toc465358969"/>
      <w:bookmarkStart w:id="373" w:name="_Toc32498_WPSOffice_Level3"/>
      <w:bookmarkStart w:id="374" w:name="_Toc466882017"/>
      <w:r>
        <w:rPr>
          <w:rFonts w:hint="eastAsia" w:ascii="宋体" w:hAnsi="宋体" w:eastAsia="宋体" w:cs="宋体"/>
          <w:color w:val="auto"/>
          <w:szCs w:val="21"/>
          <w:highlight w:val="none"/>
          <w:lang w:val="zh-CN"/>
        </w:rPr>
        <w:t>29 评标结果公示及异议、投诉</w:t>
      </w:r>
      <w:bookmarkEnd w:id="366"/>
      <w:bookmarkEnd w:id="367"/>
      <w:bookmarkEnd w:id="368"/>
      <w:bookmarkEnd w:id="369"/>
      <w:bookmarkEnd w:id="370"/>
      <w:bookmarkEnd w:id="371"/>
      <w:bookmarkEnd w:id="372"/>
      <w:bookmarkEnd w:id="373"/>
      <w:bookmarkEnd w:id="374"/>
    </w:p>
    <w:p w14:paraId="03E01B7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3EC25FEE">
      <w:pPr>
        <w:autoSpaceDE w:val="0"/>
        <w:autoSpaceDN w:val="0"/>
        <w:adjustRightInd w:val="0"/>
        <w:snapToGrid/>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EB4C603">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5B29105F">
      <w:pPr>
        <w:autoSpaceDE w:val="0"/>
        <w:autoSpaceDN w:val="0"/>
        <w:adjustRightInd w:val="0"/>
        <w:snapToGrid/>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2934A87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50E117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AF23B7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3B0CE92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BC6F71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7DC3E2E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3B074CA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C50F1B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6003ACE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5C6A6FE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1F2E7F16">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2A0D638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szCs w:val="21"/>
          <w:highlight w:val="none"/>
          <w:lang w:val="zh-CN"/>
        </w:rPr>
      </w:pPr>
      <w:bookmarkStart w:id="375" w:name="_Toc1848_WPSOffice_Level3"/>
      <w:bookmarkStart w:id="376" w:name="_Toc142508346"/>
      <w:bookmarkStart w:id="377" w:name="_Toc466882018"/>
      <w:bookmarkStart w:id="378" w:name="_Toc4325"/>
      <w:bookmarkStart w:id="379" w:name="_Toc19188"/>
      <w:bookmarkStart w:id="380" w:name="_Toc486167695"/>
      <w:bookmarkStart w:id="381" w:name="_Toc465358970"/>
      <w:bookmarkStart w:id="382" w:name="_Toc26138"/>
      <w:bookmarkStart w:id="383" w:name="_Toc10818"/>
      <w:r>
        <w:rPr>
          <w:rFonts w:hint="eastAsia" w:ascii="宋体" w:hAnsi="宋体" w:eastAsia="宋体" w:cs="宋体"/>
          <w:b/>
          <w:bCs/>
          <w:color w:val="auto"/>
          <w:szCs w:val="21"/>
          <w:highlight w:val="none"/>
          <w:lang w:val="zh-CN"/>
        </w:rPr>
        <w:t>30 真实性审查</w:t>
      </w:r>
      <w:bookmarkEnd w:id="375"/>
      <w:bookmarkEnd w:id="376"/>
      <w:bookmarkEnd w:id="377"/>
      <w:bookmarkEnd w:id="378"/>
      <w:bookmarkEnd w:id="379"/>
      <w:bookmarkEnd w:id="380"/>
      <w:bookmarkEnd w:id="381"/>
      <w:bookmarkEnd w:id="382"/>
      <w:bookmarkEnd w:id="383"/>
    </w:p>
    <w:p w14:paraId="5CAFC3A1">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58BE3D6">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117071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1DCDEF2A">
      <w:pPr>
        <w:autoSpaceDE w:val="0"/>
        <w:autoSpaceDN w:val="0"/>
        <w:adjustRightInd w:val="0"/>
        <w:snapToGrid w:val="0"/>
        <w:spacing w:line="360" w:lineRule="auto"/>
        <w:jc w:val="left"/>
        <w:rPr>
          <w:rFonts w:ascii="宋体" w:hAnsi="宋体" w:eastAsia="宋体" w:cs="宋体"/>
          <w:color w:val="auto"/>
          <w:szCs w:val="21"/>
          <w:highlight w:val="none"/>
        </w:rPr>
      </w:pPr>
      <w:bookmarkStart w:id="384" w:name="_Toc466882019"/>
      <w:bookmarkStart w:id="385" w:name="_Toc465358971"/>
    </w:p>
    <w:p w14:paraId="20445C6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86" w:name="_Toc10867_WPSOffice_Level3"/>
      <w:bookmarkStart w:id="387" w:name="_Toc18557"/>
      <w:bookmarkStart w:id="388" w:name="_Toc486167696"/>
      <w:bookmarkStart w:id="389" w:name="_Toc142508347"/>
      <w:bookmarkStart w:id="390" w:name="_Toc14140"/>
      <w:bookmarkStart w:id="391" w:name="_Toc26035"/>
      <w:bookmarkStart w:id="392" w:name="_Toc17238"/>
      <w:r>
        <w:rPr>
          <w:rFonts w:hint="eastAsia" w:ascii="宋体" w:hAnsi="宋体" w:eastAsia="宋体" w:cs="宋体"/>
          <w:color w:val="auto"/>
          <w:szCs w:val="21"/>
          <w:highlight w:val="none"/>
          <w:lang w:val="zh-CN"/>
        </w:rPr>
        <w:t>31 评标委员会和招标人接受或拒绝任何投标或所有投标的权利</w:t>
      </w:r>
      <w:bookmarkEnd w:id="384"/>
      <w:bookmarkEnd w:id="385"/>
      <w:bookmarkEnd w:id="386"/>
      <w:bookmarkEnd w:id="387"/>
      <w:bookmarkEnd w:id="388"/>
      <w:bookmarkEnd w:id="389"/>
      <w:bookmarkEnd w:id="390"/>
      <w:bookmarkEnd w:id="391"/>
      <w:bookmarkEnd w:id="392"/>
    </w:p>
    <w:p w14:paraId="17BBE90E">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3101B1D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93" w:name="_Toc450662880"/>
    </w:p>
    <w:p w14:paraId="5D38AE6D">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394" w:name="_Toc11618"/>
      <w:bookmarkStart w:id="395" w:name="_Toc142508348"/>
      <w:bookmarkStart w:id="396" w:name="_Toc23395"/>
      <w:bookmarkStart w:id="397" w:name="_Toc486167697"/>
      <w:bookmarkStart w:id="398" w:name="_Toc13207"/>
      <w:bookmarkStart w:id="399" w:name="_Toc16848_WPSOffice_Level2"/>
      <w:bookmarkStart w:id="400" w:name="_Toc140596907"/>
      <w:bookmarkStart w:id="401" w:name="_Toc18316"/>
      <w:r>
        <w:rPr>
          <w:rFonts w:hint="eastAsia" w:ascii="宋体" w:hAnsi="宋体" w:eastAsia="宋体" w:cs="宋体"/>
          <w:b/>
          <w:bCs/>
          <w:color w:val="auto"/>
          <w:kern w:val="44"/>
          <w:szCs w:val="21"/>
          <w:highlight w:val="none"/>
          <w:lang w:val="zh-CN"/>
        </w:rPr>
        <w:t>六、授予合同</w:t>
      </w:r>
      <w:bookmarkEnd w:id="393"/>
      <w:bookmarkEnd w:id="394"/>
      <w:bookmarkEnd w:id="395"/>
      <w:bookmarkEnd w:id="396"/>
      <w:bookmarkEnd w:id="397"/>
      <w:bookmarkEnd w:id="398"/>
      <w:bookmarkEnd w:id="399"/>
      <w:bookmarkEnd w:id="400"/>
      <w:bookmarkEnd w:id="401"/>
    </w:p>
    <w:p w14:paraId="2F5CF97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02" w:name="_Toc15322"/>
      <w:bookmarkStart w:id="403" w:name="_Toc6401_WPSOffice_Level3"/>
      <w:bookmarkStart w:id="404" w:name="_Toc25540"/>
      <w:bookmarkStart w:id="405" w:name="_Toc21588"/>
      <w:bookmarkStart w:id="406" w:name="_Toc142508349"/>
      <w:bookmarkStart w:id="407" w:name="_Toc486167698"/>
      <w:bookmarkStart w:id="408" w:name="_Toc3092"/>
      <w:bookmarkStart w:id="409" w:name="_Toc450662881"/>
      <w:r>
        <w:rPr>
          <w:rFonts w:hint="eastAsia" w:ascii="宋体" w:hAnsi="宋体" w:eastAsia="宋体" w:cs="宋体"/>
          <w:color w:val="auto"/>
          <w:szCs w:val="21"/>
          <w:highlight w:val="none"/>
          <w:lang w:val="zh-CN"/>
        </w:rPr>
        <w:t>32 授予合同的准则</w:t>
      </w:r>
      <w:bookmarkEnd w:id="402"/>
      <w:bookmarkEnd w:id="403"/>
      <w:bookmarkEnd w:id="404"/>
      <w:bookmarkEnd w:id="405"/>
      <w:bookmarkEnd w:id="406"/>
      <w:bookmarkEnd w:id="407"/>
      <w:bookmarkEnd w:id="408"/>
      <w:bookmarkEnd w:id="409"/>
    </w:p>
    <w:p w14:paraId="30F70282">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5A1ABEEE">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7E68EF33">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4C0794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10" w:name="_Toc450662885"/>
    </w:p>
    <w:p w14:paraId="1A648ED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1" w:name="_Toc142508350"/>
      <w:bookmarkStart w:id="412" w:name="_Toc6726_WPSOffice_Level3"/>
      <w:bookmarkStart w:id="413" w:name="_Toc13706"/>
      <w:bookmarkStart w:id="414" w:name="_Toc24266"/>
      <w:bookmarkStart w:id="415" w:name="_Toc30848"/>
      <w:bookmarkStart w:id="416" w:name="_Toc5673"/>
      <w:bookmarkStart w:id="417" w:name="_Toc486167699"/>
      <w:r>
        <w:rPr>
          <w:rFonts w:hint="eastAsia" w:ascii="宋体" w:hAnsi="宋体" w:eastAsia="宋体" w:cs="宋体"/>
          <w:color w:val="auto"/>
          <w:szCs w:val="21"/>
          <w:highlight w:val="none"/>
          <w:lang w:val="zh-CN"/>
        </w:rPr>
        <w:t>33 中标通知</w:t>
      </w:r>
      <w:bookmarkEnd w:id="410"/>
      <w:bookmarkEnd w:id="411"/>
      <w:bookmarkEnd w:id="412"/>
      <w:bookmarkEnd w:id="413"/>
      <w:bookmarkEnd w:id="414"/>
      <w:bookmarkEnd w:id="415"/>
      <w:bookmarkEnd w:id="416"/>
      <w:bookmarkEnd w:id="417"/>
    </w:p>
    <w:p w14:paraId="7B14F39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18"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76AACEF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36230E2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3CE6A12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9" w:name="_Toc486167700"/>
      <w:bookmarkStart w:id="420" w:name="_Toc24946"/>
      <w:bookmarkStart w:id="421" w:name="_Toc32732"/>
      <w:bookmarkStart w:id="422" w:name="_Toc142508351"/>
      <w:bookmarkStart w:id="423" w:name="_Toc20317"/>
      <w:bookmarkStart w:id="424" w:name="_Toc892"/>
      <w:bookmarkStart w:id="425" w:name="_Toc9694_WPSOffice_Level3"/>
      <w:r>
        <w:rPr>
          <w:rFonts w:hint="eastAsia" w:ascii="宋体" w:hAnsi="宋体" w:eastAsia="宋体" w:cs="宋体"/>
          <w:color w:val="auto"/>
          <w:szCs w:val="21"/>
          <w:highlight w:val="none"/>
          <w:lang w:val="zh-CN"/>
        </w:rPr>
        <w:t>34 签署合同</w:t>
      </w:r>
      <w:bookmarkEnd w:id="418"/>
      <w:bookmarkEnd w:id="419"/>
      <w:bookmarkEnd w:id="420"/>
      <w:bookmarkEnd w:id="421"/>
      <w:bookmarkEnd w:id="422"/>
      <w:bookmarkEnd w:id="423"/>
      <w:bookmarkEnd w:id="424"/>
      <w:bookmarkEnd w:id="425"/>
    </w:p>
    <w:p w14:paraId="2213FAE3">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46E5B9FA">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0BBD697A">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13179DF8">
      <w:pPr>
        <w:tabs>
          <w:tab w:val="left" w:pos="540"/>
        </w:tabs>
        <w:spacing w:line="360" w:lineRule="auto"/>
        <w:ind w:left="329" w:leftChars="-100" w:right="15" w:rightChars="7" w:hanging="53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eastAsia="zh-CN"/>
        </w:rPr>
        <w:t>3</w:t>
      </w:r>
      <w:r>
        <w:rPr>
          <w:rFonts w:hint="eastAsia" w:ascii="宋体" w:hAnsi="宋体" w:eastAsia="宋体" w:cs="宋体"/>
          <w:b/>
          <w:bCs/>
          <w:color w:val="auto"/>
          <w:szCs w:val="21"/>
          <w:highlight w:val="none"/>
          <w:lang w:val="zh-CN"/>
        </w:rPr>
        <w:t xml:space="preserve">4.3 </w:t>
      </w:r>
      <w:r>
        <w:rPr>
          <w:rFonts w:hint="eastAsia" w:ascii="宋体" w:hAnsi="宋体" w:eastAsia="宋体" w:cs="宋体"/>
          <w:b/>
          <w:bCs/>
          <w:snapToGrid/>
          <w:color w:val="auto"/>
          <w:kern w:val="2"/>
          <w:szCs w:val="21"/>
          <w:highlight w:val="none"/>
          <w:lang w:val="zh-CN"/>
        </w:rPr>
        <w:t>本项目中标人与</w:t>
      </w:r>
      <w:bookmarkStart w:id="426" w:name="OLE_LINK36"/>
      <w:r>
        <w:rPr>
          <w:rFonts w:hint="eastAsia" w:ascii="宋体" w:hAnsi="宋体" w:eastAsia="宋体" w:cs="宋体"/>
          <w:b/>
          <w:bCs/>
          <w:snapToGrid/>
          <w:color w:val="auto"/>
          <w:kern w:val="2"/>
          <w:szCs w:val="21"/>
          <w:highlight w:val="none"/>
          <w:lang w:val="zh-CN"/>
        </w:rPr>
        <w:t>招标人</w:t>
      </w:r>
      <w:bookmarkStart w:id="427" w:name="OLE_LINK35"/>
      <w:r>
        <w:rPr>
          <w:rFonts w:hint="eastAsia" w:ascii="宋体" w:hAnsi="宋体" w:eastAsia="宋体" w:cs="宋体"/>
          <w:b/>
          <w:bCs/>
          <w:snapToGrid/>
          <w:color w:val="auto"/>
          <w:kern w:val="2"/>
          <w:szCs w:val="21"/>
          <w:highlight w:val="none"/>
          <w:lang w:val="zh-CN"/>
        </w:rPr>
        <w:t>权属子公司</w:t>
      </w:r>
      <w:bookmarkEnd w:id="426"/>
      <w:bookmarkEnd w:id="427"/>
      <w:r>
        <w:rPr>
          <w:rFonts w:hint="eastAsia" w:ascii="宋体" w:hAnsi="宋体" w:eastAsia="宋体" w:cs="宋体"/>
          <w:b/>
          <w:bCs/>
          <w:snapToGrid/>
          <w:color w:val="auto"/>
          <w:kern w:val="2"/>
          <w:szCs w:val="21"/>
          <w:highlight w:val="none"/>
          <w:lang w:val="zh-CN"/>
        </w:rPr>
        <w:t>(</w:t>
      </w:r>
      <w:bookmarkStart w:id="428" w:name="OLE_LINK4"/>
      <w:r>
        <w:rPr>
          <w:rFonts w:hint="eastAsia" w:ascii="宋体" w:hAnsi="宋体" w:eastAsia="宋体" w:cs="宋体"/>
          <w:b/>
          <w:bCs/>
          <w:snapToGrid/>
          <w:color w:val="auto"/>
          <w:kern w:val="2"/>
          <w:szCs w:val="21"/>
          <w:highlight w:val="none"/>
          <w:lang w:val="zh-CN"/>
        </w:rPr>
        <w:t>东莞市石鼓净水有限公司</w:t>
      </w:r>
      <w:bookmarkEnd w:id="428"/>
      <w:r>
        <w:rPr>
          <w:rFonts w:hint="eastAsia" w:ascii="宋体" w:hAnsi="宋体" w:eastAsia="宋体" w:cs="宋体"/>
          <w:b/>
          <w:bCs/>
          <w:snapToGrid/>
          <w:color w:val="auto"/>
          <w:kern w:val="2"/>
          <w:szCs w:val="21"/>
          <w:highlight w:val="none"/>
          <w:lang w:val="zh-CN"/>
        </w:rPr>
        <w:t>)签署合同，</w:t>
      </w:r>
      <w:r>
        <w:rPr>
          <w:rFonts w:hint="eastAsia" w:ascii="宋体" w:hAnsi="宋体" w:eastAsia="宋体" w:cs="宋体"/>
          <w:b/>
          <w:bCs/>
          <w:snapToGrid/>
          <w:color w:val="auto"/>
          <w:kern w:val="2"/>
          <w:szCs w:val="21"/>
          <w:highlight w:val="none"/>
          <w:lang w:val="en-US" w:eastAsia="zh-CN"/>
        </w:rPr>
        <w:t>合同履行过程中，若</w:t>
      </w:r>
      <w:r>
        <w:rPr>
          <w:rFonts w:hint="eastAsia" w:ascii="宋体" w:hAnsi="宋体" w:eastAsia="宋体" w:cs="宋体"/>
          <w:b/>
          <w:bCs/>
          <w:snapToGrid/>
          <w:color w:val="auto"/>
          <w:kern w:val="2"/>
          <w:szCs w:val="21"/>
          <w:highlight w:val="none"/>
          <w:lang w:val="zh-CN"/>
        </w:rPr>
        <w:t>招标人权属子公司</w:t>
      </w:r>
      <w:r>
        <w:rPr>
          <w:rFonts w:hint="eastAsia" w:ascii="宋体" w:hAnsi="宋体" w:eastAsia="宋体" w:cs="宋体"/>
          <w:b/>
          <w:bCs/>
          <w:snapToGrid/>
          <w:color w:val="auto"/>
          <w:kern w:val="2"/>
          <w:szCs w:val="21"/>
          <w:highlight w:val="none"/>
          <w:lang w:val="en-US" w:eastAsia="zh-CN"/>
        </w:rPr>
        <w:t>关联公司需购买货物的，如东莞市莞水装备科技有限公司、东莞市清源净水科技有限公司以及东莞市樟村水质净化有限公司等，本项目中标人与招标人</w:t>
      </w:r>
      <w:r>
        <w:rPr>
          <w:rFonts w:hint="eastAsia" w:ascii="宋体" w:hAnsi="宋体" w:eastAsia="宋体" w:cs="宋体"/>
          <w:b/>
          <w:bCs/>
          <w:snapToGrid/>
          <w:color w:val="auto"/>
          <w:kern w:val="2"/>
          <w:szCs w:val="21"/>
          <w:highlight w:val="none"/>
          <w:lang w:val="zh-CN"/>
        </w:rPr>
        <w:t>权属子公司（东莞市石鼓净水有限公司）</w:t>
      </w:r>
      <w:r>
        <w:rPr>
          <w:rFonts w:hint="eastAsia" w:ascii="宋体" w:hAnsi="宋体" w:eastAsia="宋体" w:cs="宋体"/>
          <w:b/>
          <w:bCs/>
          <w:snapToGrid/>
          <w:color w:val="auto"/>
          <w:kern w:val="2"/>
          <w:szCs w:val="21"/>
          <w:highlight w:val="none"/>
          <w:lang w:val="en-US" w:eastAsia="zh-CN"/>
        </w:rPr>
        <w:t>及</w:t>
      </w:r>
      <w:r>
        <w:rPr>
          <w:rFonts w:hint="eastAsia" w:ascii="宋体" w:hAnsi="宋体" w:eastAsia="宋体" w:cs="宋体"/>
          <w:b/>
          <w:bCs/>
          <w:snapToGrid/>
          <w:color w:val="auto"/>
          <w:kern w:val="2"/>
          <w:szCs w:val="21"/>
          <w:highlight w:val="none"/>
          <w:lang w:val="zh-CN"/>
        </w:rPr>
        <w:t>招标人权属子公司</w:t>
      </w:r>
      <w:r>
        <w:rPr>
          <w:rFonts w:hint="eastAsia" w:ascii="宋体" w:hAnsi="宋体" w:eastAsia="宋体" w:cs="宋体"/>
          <w:b/>
          <w:bCs/>
          <w:snapToGrid/>
          <w:color w:val="auto"/>
          <w:kern w:val="2"/>
          <w:szCs w:val="21"/>
          <w:highlight w:val="none"/>
          <w:lang w:val="en-US" w:eastAsia="zh-CN"/>
        </w:rPr>
        <w:t>关联公司（</w:t>
      </w:r>
      <w:r>
        <w:rPr>
          <w:rFonts w:hint="eastAsia" w:ascii="宋体" w:hAnsi="宋体" w:eastAsia="宋体" w:cs="宋体"/>
          <w:b/>
          <w:bCs/>
          <w:color w:val="auto"/>
          <w:kern w:val="2"/>
          <w:szCs w:val="21"/>
          <w:highlight w:val="none"/>
          <w:lang w:val="en-US" w:eastAsia="zh-CN"/>
        </w:rPr>
        <w:t>东莞市石鼓净水有限公司关联公司）</w:t>
      </w:r>
      <w:r>
        <w:rPr>
          <w:rFonts w:hint="eastAsia" w:ascii="宋体" w:hAnsi="宋体" w:eastAsia="宋体" w:cs="宋体"/>
          <w:b/>
          <w:bCs/>
          <w:color w:val="auto"/>
          <w:sz w:val="21"/>
          <w:szCs w:val="21"/>
          <w:highlight w:val="none"/>
        </w:rPr>
        <w:t>依据</w:t>
      </w:r>
      <w:r>
        <w:rPr>
          <w:rFonts w:hint="eastAsia" w:ascii="宋体" w:hAnsi="宋体" w:eastAsia="宋体" w:cs="宋体"/>
          <w:b/>
          <w:bCs/>
          <w:color w:val="auto"/>
          <w:sz w:val="21"/>
          <w:szCs w:val="21"/>
          <w:highlight w:val="none"/>
          <w:lang w:val="en-US" w:eastAsia="zh-CN"/>
        </w:rPr>
        <w:t>本项目</w:t>
      </w:r>
      <w:r>
        <w:rPr>
          <w:rFonts w:hint="eastAsia" w:ascii="宋体" w:hAnsi="宋体" w:eastAsia="宋体" w:cs="宋体"/>
          <w:b/>
          <w:bCs/>
          <w:color w:val="auto"/>
          <w:sz w:val="21"/>
          <w:szCs w:val="21"/>
          <w:highlight w:val="none"/>
        </w:rPr>
        <w:t>不含税中标综合单价签订补充协议</w:t>
      </w:r>
      <w:r>
        <w:rPr>
          <w:rFonts w:hint="eastAsia" w:ascii="宋体" w:hAnsi="宋体" w:eastAsia="宋体" w:cs="宋体"/>
          <w:b/>
          <w:bCs/>
          <w:snapToGrid/>
          <w:color w:val="auto"/>
          <w:kern w:val="2"/>
          <w:szCs w:val="21"/>
          <w:highlight w:val="none"/>
          <w:lang w:val="zh-CN"/>
        </w:rPr>
        <w:t>。</w:t>
      </w:r>
    </w:p>
    <w:p w14:paraId="7C542737">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429" w:name="_Toc486167701"/>
      <w:bookmarkStart w:id="430" w:name="_Toc142508352"/>
      <w:bookmarkStart w:id="431" w:name="_Toc10513_WPSOffice_Level3"/>
      <w:bookmarkStart w:id="432" w:name="_Toc450662887"/>
    </w:p>
    <w:p w14:paraId="2975BBF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33" w:name="_Toc8873"/>
      <w:bookmarkStart w:id="434" w:name="_Toc20815"/>
      <w:bookmarkStart w:id="435" w:name="_Toc24297"/>
      <w:bookmarkStart w:id="436" w:name="_Toc32664"/>
      <w:r>
        <w:rPr>
          <w:rFonts w:hint="eastAsia" w:ascii="宋体" w:hAnsi="宋体" w:eastAsia="宋体" w:cs="宋体"/>
          <w:color w:val="auto"/>
          <w:szCs w:val="21"/>
          <w:highlight w:val="none"/>
          <w:lang w:val="zh-CN"/>
        </w:rPr>
        <w:t>35 履约担保</w:t>
      </w:r>
      <w:bookmarkEnd w:id="429"/>
      <w:bookmarkEnd w:id="430"/>
      <w:bookmarkEnd w:id="431"/>
      <w:bookmarkEnd w:id="432"/>
      <w:bookmarkEnd w:id="433"/>
      <w:bookmarkEnd w:id="434"/>
      <w:bookmarkEnd w:id="435"/>
      <w:bookmarkEnd w:id="436"/>
    </w:p>
    <w:p w14:paraId="061AB0EE">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37" w:name="_Toc465358977"/>
      <w:bookmarkStart w:id="438"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其中，采用履约保证金（银行转账形式）的金额为暂定总合同价的5%，采用不可撤销银行履约保函形式的金额为暂定总合同价的8%，采用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形式的金额为暂定总合同价的8%，采用担保公司履约担保书形式的金额为暂定总合同价的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w:t>
      </w:r>
      <w:r>
        <w:rPr>
          <w:rFonts w:hint="eastAsia" w:ascii="宋体" w:hAnsi="宋体" w:eastAsia="宋体" w:cs="Arial"/>
          <w:color w:val="auto"/>
          <w:kern w:val="0"/>
          <w:szCs w:val="24"/>
          <w:highlight w:val="none"/>
          <w:lang w:val="en-US" w:eastAsia="zh-CN"/>
        </w:rPr>
        <w:t>或招标人权属子公司</w:t>
      </w:r>
      <w:r>
        <w:rPr>
          <w:rFonts w:hint="eastAsia" w:ascii="宋体" w:hAnsi="宋体" w:eastAsia="宋体" w:cs="Arial"/>
          <w:color w:val="auto"/>
          <w:kern w:val="0"/>
          <w:szCs w:val="24"/>
          <w:highlight w:val="none"/>
        </w:rPr>
        <w:t>造成的损失超过履约担保数额的，中标人还应当对超过部分予以赔偿，招标人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Arial"/>
          <w:color w:val="auto"/>
          <w:kern w:val="0"/>
          <w:szCs w:val="24"/>
          <w:highlight w:val="none"/>
        </w:rPr>
        <w:t>并依法追究中标人的相应责任。</w:t>
      </w:r>
    </w:p>
    <w:p w14:paraId="3BC4EC8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4DE686A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书面同意将部分权利义务转让给第三方的，招标人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有权没收其履约担保。</w:t>
      </w:r>
    </w:p>
    <w:p w14:paraId="51CBE6C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通知或要求承担违约金后仍拒不改正的，招标人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可依法没收或适当扣除其履约担保。</w:t>
      </w:r>
    </w:p>
    <w:p w14:paraId="758CCDF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14:paraId="4FA34F7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3973007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67AE1F5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55EB81ED">
      <w:pPr>
        <w:tabs>
          <w:tab w:val="left" w:pos="360"/>
          <w:tab w:val="left" w:pos="4725"/>
        </w:tabs>
        <w:autoSpaceDE w:val="0"/>
        <w:autoSpaceDN w:val="0"/>
        <w:adjustRightInd w:val="0"/>
        <w:spacing w:line="360" w:lineRule="auto"/>
        <w:ind w:left="315" w:leftChars="-100" w:hanging="525" w:hangingChars="250"/>
        <w:jc w:val="left"/>
        <w:outlineLvl w:val="9"/>
        <w:rPr>
          <w:rFonts w:ascii="宋体" w:hAnsi="宋体" w:eastAsia="宋体" w:cs="宋体"/>
          <w:color w:val="auto"/>
          <w:kern w:val="0"/>
          <w:szCs w:val="21"/>
          <w:highlight w:val="none"/>
        </w:rPr>
      </w:pPr>
      <w:bookmarkStart w:id="439" w:name="_Toc29906"/>
      <w:bookmarkStart w:id="440" w:name="_Toc3538"/>
      <w:r>
        <w:rPr>
          <w:rFonts w:hint="eastAsia" w:ascii="宋体" w:hAnsi="宋体" w:eastAsia="宋体" w:cs="宋体"/>
          <w:color w:val="auto"/>
          <w:kern w:val="0"/>
          <w:szCs w:val="21"/>
          <w:highlight w:val="none"/>
        </w:rPr>
        <w:t>35.3  履约担保应符合如下规定：</w:t>
      </w:r>
      <w:bookmarkEnd w:id="439"/>
      <w:bookmarkEnd w:id="440"/>
    </w:p>
    <w:p w14:paraId="0B84C8B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56E279F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799723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同意，执行本款时所发生的费用由中标人承担。如招标人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3073749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要求重新提供的，招标人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2DDD3BF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有权按需补足的金额要求中标人承担违约金，并要求限期补足。如中标人仍不补足的，招标人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有权单方解除合同，违约金可直接从未付合同款或履约担保中扣除。</w:t>
      </w:r>
    </w:p>
    <w:p w14:paraId="1DE984F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招标人或招标人权属子公司向中标人支付全部货款（除质保金）后二十八（28）日内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24C0A65E">
      <w:pPr>
        <w:tabs>
          <w:tab w:val="left" w:pos="360"/>
          <w:tab w:val="left" w:pos="4725"/>
        </w:tabs>
        <w:autoSpaceDE w:val="0"/>
        <w:autoSpaceDN w:val="0"/>
        <w:adjustRightInd w:val="0"/>
        <w:spacing w:line="360" w:lineRule="auto"/>
        <w:ind w:left="315" w:leftChars="-100" w:hanging="525" w:hangingChars="250"/>
        <w:jc w:val="left"/>
        <w:outlineLvl w:val="9"/>
        <w:rPr>
          <w:rFonts w:ascii="宋体" w:hAnsi="宋体" w:eastAsia="宋体" w:cs="宋体"/>
          <w:color w:val="auto"/>
          <w:kern w:val="0"/>
          <w:szCs w:val="21"/>
          <w:highlight w:val="none"/>
        </w:rPr>
      </w:pPr>
      <w:bookmarkStart w:id="441" w:name="_Toc12659"/>
      <w:bookmarkStart w:id="442" w:name="_Toc30487"/>
      <w:r>
        <w:rPr>
          <w:rFonts w:hint="eastAsia" w:ascii="宋体" w:hAnsi="宋体" w:eastAsia="宋体" w:cs="宋体"/>
          <w:color w:val="auto"/>
          <w:kern w:val="0"/>
          <w:szCs w:val="21"/>
          <w:highlight w:val="none"/>
        </w:rPr>
        <w:t>35.4  履约保证金应用本合同货币。</w:t>
      </w:r>
      <w:bookmarkEnd w:id="441"/>
      <w:bookmarkEnd w:id="442"/>
    </w:p>
    <w:p w14:paraId="391EBF0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2AC5954C">
      <w:pPr>
        <w:tabs>
          <w:tab w:val="left" w:pos="360"/>
          <w:tab w:val="left" w:pos="4725"/>
        </w:tabs>
        <w:autoSpaceDE w:val="0"/>
        <w:autoSpaceDN w:val="0"/>
        <w:adjustRightInd w:val="0"/>
        <w:spacing w:line="360" w:lineRule="auto"/>
        <w:ind w:firstLine="632" w:firstLineChars="300"/>
        <w:jc w:val="left"/>
        <w:outlineLvl w:val="9"/>
        <w:rPr>
          <w:rFonts w:ascii="宋体" w:hAnsi="宋体" w:eastAsia="宋体" w:cs="宋体"/>
          <w:b/>
          <w:color w:val="auto"/>
          <w:kern w:val="0"/>
          <w:szCs w:val="21"/>
          <w:highlight w:val="none"/>
        </w:rPr>
      </w:pPr>
      <w:bookmarkStart w:id="443" w:name="_Toc21257"/>
      <w:bookmarkStart w:id="444" w:name="_Toc12123"/>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443"/>
      <w:bookmarkEnd w:id="444"/>
    </w:p>
    <w:p w14:paraId="6E918002">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51023C17">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4B5A8E7A">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开户银行：邮政储蓄东莞分行</w:t>
      </w:r>
    </w:p>
    <w:p w14:paraId="5E7ACD8A">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4"/>
          <w:highlight w:val="none"/>
        </w:rPr>
        <w:t>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szCs w:val="21"/>
          <w:highlight w:val="none"/>
          <w:lang w:val="zh-CN"/>
        </w:rPr>
        <w:t>，由招标人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szCs w:val="21"/>
          <w:highlight w:val="none"/>
          <w:lang w:val="zh-CN"/>
        </w:rPr>
        <w:t>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86E69B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eastAsia="zh-CN"/>
        </w:rPr>
        <w:t>在合同期限届满并全部货物经最终验收合格</w:t>
      </w:r>
      <w:r>
        <w:rPr>
          <w:rFonts w:hint="eastAsia" w:ascii="宋体" w:hAnsi="宋体" w:eastAsia="宋体" w:cs="Times New Roman"/>
          <w:color w:val="auto"/>
          <w:kern w:val="0"/>
          <w:szCs w:val="21"/>
          <w:highlight w:val="none"/>
          <w:lang w:val="zh-CN" w:eastAsia="zh-CN"/>
        </w:rPr>
        <w:t>，</w:t>
      </w:r>
      <w:r>
        <w:rPr>
          <w:rFonts w:hint="eastAsia" w:ascii="宋体" w:hAnsi="宋体" w:eastAsia="宋体" w:cs="宋体"/>
          <w:color w:val="auto"/>
          <w:kern w:val="0"/>
          <w:szCs w:val="21"/>
          <w:highlight w:val="none"/>
        </w:rPr>
        <w:t>招标人或招标人权属子公司向中标人支付全部</w:t>
      </w:r>
      <w:r>
        <w:rPr>
          <w:rFonts w:hint="eastAsia" w:ascii="宋体" w:hAnsi="宋体" w:eastAsia="宋体" w:cs="宋体"/>
          <w:color w:val="auto"/>
          <w:kern w:val="0"/>
          <w:szCs w:val="21"/>
          <w:highlight w:val="none"/>
          <w:lang w:val="en-US" w:eastAsia="zh-CN"/>
        </w:rPr>
        <w:t>货款</w:t>
      </w:r>
      <w:r>
        <w:rPr>
          <w:rFonts w:hint="eastAsia" w:ascii="宋体" w:hAnsi="宋体" w:eastAsia="宋体" w:cs="宋体"/>
          <w:color w:val="auto"/>
          <w:kern w:val="0"/>
          <w:szCs w:val="21"/>
          <w:highlight w:val="none"/>
        </w:rPr>
        <w:t>（除质保金）二十八（28）日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0"/>
          <w:szCs w:val="21"/>
          <w:highlight w:val="none"/>
        </w:rPr>
        <w:t>确认，中标人可向招标人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0"/>
          <w:szCs w:val="21"/>
          <w:highlight w:val="none"/>
        </w:rPr>
        <w:t>提交退回履约担保的申请。招标人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0"/>
          <w:szCs w:val="21"/>
          <w:highlight w:val="none"/>
        </w:rPr>
        <w:t>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14:paraId="6C12E3C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216F5A4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45" w:name="_Toc13033"/>
      <w:bookmarkStart w:id="446" w:name="_Toc142508353"/>
      <w:bookmarkStart w:id="447" w:name="_Toc21389"/>
      <w:bookmarkStart w:id="448" w:name="_Toc486167702"/>
      <w:bookmarkStart w:id="449" w:name="_Toc18125"/>
      <w:bookmarkStart w:id="450" w:name="_Toc23174"/>
      <w:r>
        <w:rPr>
          <w:rFonts w:hint="eastAsia" w:ascii="宋体" w:hAnsi="宋体" w:eastAsia="宋体" w:cs="宋体"/>
          <w:color w:val="auto"/>
          <w:szCs w:val="21"/>
          <w:highlight w:val="none"/>
          <w:lang w:val="zh-CN"/>
        </w:rPr>
        <w:t>36 在合同履行中变更采购范围的权利</w:t>
      </w:r>
      <w:bookmarkEnd w:id="437"/>
      <w:bookmarkEnd w:id="438"/>
      <w:bookmarkEnd w:id="445"/>
      <w:bookmarkEnd w:id="446"/>
      <w:bookmarkEnd w:id="447"/>
      <w:bookmarkEnd w:id="448"/>
      <w:bookmarkEnd w:id="449"/>
      <w:bookmarkEnd w:id="450"/>
    </w:p>
    <w:p w14:paraId="2C4B2BDD">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0"/>
          <w:szCs w:val="21"/>
          <w:highlight w:val="none"/>
        </w:rPr>
        <w:t>在合同约定的范围内，招标人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2B8E1EC7">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451" w:name="_Toc450662888"/>
    </w:p>
    <w:p w14:paraId="60A3390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52" w:name="_Toc27021"/>
      <w:bookmarkStart w:id="453" w:name="_Toc30627"/>
      <w:bookmarkStart w:id="454" w:name="_Toc486167703"/>
      <w:bookmarkStart w:id="455" w:name="_Toc11444"/>
      <w:bookmarkStart w:id="456" w:name="_Toc142508354"/>
      <w:bookmarkStart w:id="457" w:name="_Toc28921_WPSOffice_Level3"/>
      <w:bookmarkStart w:id="458" w:name="_Toc14372"/>
      <w:r>
        <w:rPr>
          <w:rFonts w:hint="eastAsia" w:ascii="宋体" w:hAnsi="宋体" w:eastAsia="宋体" w:cs="宋体"/>
          <w:color w:val="auto"/>
          <w:szCs w:val="21"/>
          <w:highlight w:val="none"/>
          <w:lang w:val="zh-CN"/>
        </w:rPr>
        <w:t>37 中标服务费</w:t>
      </w:r>
      <w:bookmarkEnd w:id="451"/>
      <w:bookmarkEnd w:id="452"/>
      <w:bookmarkEnd w:id="453"/>
      <w:bookmarkEnd w:id="454"/>
      <w:bookmarkEnd w:id="455"/>
      <w:bookmarkEnd w:id="456"/>
      <w:bookmarkEnd w:id="457"/>
      <w:bookmarkEnd w:id="458"/>
    </w:p>
    <w:p w14:paraId="65339864">
      <w:pPr>
        <w:autoSpaceDE w:val="0"/>
        <w:autoSpaceDN w:val="0"/>
        <w:adjustRightInd w:val="0"/>
        <w:spacing w:line="360" w:lineRule="auto"/>
        <w:ind w:left="357" w:leftChars="-100" w:hanging="567" w:hangingChars="270"/>
        <w:jc w:val="left"/>
        <w:outlineLvl w:val="9"/>
        <w:rPr>
          <w:rFonts w:ascii="宋体" w:hAnsi="宋体" w:eastAsia="宋体" w:cs="宋体"/>
          <w:color w:val="auto"/>
          <w:kern w:val="0"/>
          <w:szCs w:val="21"/>
          <w:highlight w:val="none"/>
        </w:rPr>
      </w:pPr>
      <w:bookmarkStart w:id="459" w:name="_Toc11195"/>
      <w:bookmarkStart w:id="460" w:name="_Toc9620"/>
      <w:r>
        <w:rPr>
          <w:rFonts w:hint="eastAsia" w:ascii="宋体" w:hAnsi="宋体" w:eastAsia="宋体" w:cs="宋体"/>
          <w:color w:val="auto"/>
          <w:szCs w:val="21"/>
          <w:highlight w:val="none"/>
          <w:lang w:val="zh-CN"/>
        </w:rPr>
        <w:t>37.1 本项目中标服务费由招标人向招标代理机构支付。</w:t>
      </w:r>
      <w:bookmarkEnd w:id="459"/>
      <w:bookmarkEnd w:id="460"/>
    </w:p>
    <w:p w14:paraId="26BBC0F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61" w:name="_Toc450662889"/>
    </w:p>
    <w:p w14:paraId="49AEB64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62" w:name="_Toc26292"/>
      <w:bookmarkStart w:id="463" w:name="_Toc16761"/>
      <w:bookmarkStart w:id="464" w:name="_Toc6764_WPSOffice_Level3"/>
      <w:bookmarkStart w:id="465" w:name="_Toc486167704"/>
      <w:bookmarkStart w:id="466" w:name="_Toc26276"/>
      <w:bookmarkStart w:id="467" w:name="_Toc142508355"/>
      <w:bookmarkStart w:id="468" w:name="_Toc9757"/>
      <w:r>
        <w:rPr>
          <w:rFonts w:hint="eastAsia" w:ascii="宋体" w:hAnsi="宋体" w:eastAsia="宋体" w:cs="宋体"/>
          <w:color w:val="auto"/>
          <w:szCs w:val="21"/>
          <w:highlight w:val="none"/>
          <w:lang w:val="zh-CN"/>
        </w:rPr>
        <w:t>38 发票</w:t>
      </w:r>
      <w:bookmarkEnd w:id="461"/>
      <w:bookmarkEnd w:id="462"/>
      <w:bookmarkEnd w:id="463"/>
      <w:bookmarkEnd w:id="464"/>
      <w:bookmarkEnd w:id="465"/>
      <w:bookmarkEnd w:id="466"/>
      <w:bookmarkEnd w:id="467"/>
      <w:bookmarkEnd w:id="468"/>
    </w:p>
    <w:p w14:paraId="51F0A967">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w:t>
      </w:r>
      <w:r>
        <w:rPr>
          <w:rFonts w:hint="eastAsia" w:ascii="宋体" w:hAnsi="宋体" w:eastAsia="宋体" w:cs="Times New Roman"/>
          <w:color w:val="auto"/>
          <w:szCs w:val="21"/>
          <w:highlight w:val="none"/>
          <w:lang w:val="en-US" w:eastAsia="zh-CN"/>
        </w:rPr>
        <w:t>发票</w:t>
      </w:r>
      <w:r>
        <w:rPr>
          <w:rFonts w:hint="eastAsia" w:ascii="宋体" w:hAnsi="宋体" w:eastAsia="宋体" w:cs="Times New Roman"/>
          <w:color w:val="auto"/>
          <w:szCs w:val="21"/>
          <w:highlight w:val="none"/>
          <w:lang w:val="zh-CN"/>
        </w:rPr>
        <w:t>。</w:t>
      </w:r>
      <w:bookmarkStart w:id="469" w:name="_Toc486167705"/>
      <w:bookmarkStart w:id="470" w:name="_Toc31106_WPSOffice_Level3"/>
    </w:p>
    <w:p w14:paraId="2345C742">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554383E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szCs w:val="21"/>
          <w:highlight w:val="none"/>
          <w:lang w:val="zh-CN"/>
        </w:rPr>
      </w:pPr>
      <w:bookmarkStart w:id="471" w:name="_Toc142508356"/>
      <w:bookmarkStart w:id="472" w:name="_Toc13508"/>
      <w:bookmarkStart w:id="473" w:name="_Toc4658"/>
      <w:bookmarkStart w:id="474" w:name="_Toc16304"/>
      <w:bookmarkStart w:id="475" w:name="_Toc30423"/>
      <w:r>
        <w:rPr>
          <w:rFonts w:hint="eastAsia" w:ascii="宋体" w:hAnsi="宋体" w:eastAsia="宋体" w:cs="宋体"/>
          <w:b/>
          <w:bCs/>
          <w:color w:val="auto"/>
          <w:szCs w:val="21"/>
          <w:highlight w:val="none"/>
          <w:lang w:val="zh-CN"/>
        </w:rPr>
        <w:t>39 招标相关补充约定</w:t>
      </w:r>
      <w:bookmarkEnd w:id="471"/>
      <w:bookmarkEnd w:id="472"/>
      <w:bookmarkEnd w:id="473"/>
      <w:bookmarkEnd w:id="474"/>
      <w:bookmarkEnd w:id="475"/>
    </w:p>
    <w:p w14:paraId="20222C85">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659D405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552D2B17">
      <w:pPr>
        <w:tabs>
          <w:tab w:val="left" w:pos="567"/>
        </w:tabs>
        <w:autoSpaceDE w:val="0"/>
        <w:autoSpaceDN w:val="0"/>
        <w:adjustRightInd w:val="0"/>
        <w:spacing w:line="360" w:lineRule="auto"/>
        <w:ind w:left="357" w:leftChars="-100" w:hanging="567"/>
        <w:jc w:val="left"/>
        <w:outlineLvl w:val="2"/>
        <w:rPr>
          <w:color w:val="auto"/>
          <w:highlight w:val="none"/>
          <w:lang w:val="zh-CN"/>
        </w:rPr>
      </w:pPr>
      <w:bookmarkStart w:id="476" w:name="_Toc142508357"/>
      <w:bookmarkStart w:id="477" w:name="_Toc26725"/>
      <w:bookmarkStart w:id="478" w:name="_Toc32025"/>
      <w:bookmarkStart w:id="479" w:name="_Toc25568"/>
      <w:bookmarkStart w:id="480" w:name="_Toc23017"/>
      <w:r>
        <w:rPr>
          <w:rFonts w:hint="eastAsia" w:ascii="宋体" w:hAnsi="宋体" w:eastAsia="宋体" w:cs="宋体"/>
          <w:color w:val="auto"/>
          <w:szCs w:val="21"/>
          <w:highlight w:val="none"/>
          <w:lang w:val="zh-CN"/>
        </w:rPr>
        <w:t>40 本次招标活动的最终解释权归招标代理机构及招标人所有。</w:t>
      </w:r>
      <w:bookmarkEnd w:id="469"/>
      <w:bookmarkEnd w:id="470"/>
      <w:bookmarkEnd w:id="476"/>
      <w:bookmarkEnd w:id="477"/>
      <w:bookmarkEnd w:id="478"/>
      <w:bookmarkEnd w:id="479"/>
      <w:bookmarkStart w:id="481" w:name="_Toc27939_WPSOffice_Level1"/>
      <w:bookmarkStart w:id="482" w:name="_Toc142508358"/>
      <w:bookmarkStart w:id="483" w:name="_Toc28218"/>
      <w:bookmarkStart w:id="484" w:name="_Toc29361"/>
      <w:bookmarkStart w:id="485" w:name="_Toc4217"/>
      <w:bookmarkStart w:id="486" w:name="_Toc450662891"/>
      <w:bookmarkStart w:id="487" w:name="_Toc486167706"/>
      <w:r>
        <w:rPr>
          <w:rFonts w:hint="eastAsia" w:ascii="宋体" w:hAnsi="宋体" w:eastAsia="宋体" w:cs="宋体"/>
          <w:color w:val="auto"/>
          <w:szCs w:val="21"/>
          <w:highlight w:val="none"/>
          <w:lang w:val="zh-CN"/>
        </w:rPr>
        <w:br w:type="page"/>
      </w:r>
      <w:bookmarkEnd w:id="480"/>
    </w:p>
    <w:p w14:paraId="0E0653D1">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488" w:name="_Toc22810"/>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88"/>
    </w:p>
    <w:p w14:paraId="1B6D42EA">
      <w:pPr>
        <w:numPr>
          <w:ilvl w:val="0"/>
          <w:numId w:val="2"/>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基本招标要求</w:t>
      </w:r>
    </w:p>
    <w:p w14:paraId="0E8CF368">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本次采购东莞市</w:t>
      </w:r>
      <w:r>
        <w:rPr>
          <w:rFonts w:hint="eastAsia" w:ascii="宋体" w:hAnsi="宋体" w:eastAsia="宋体" w:cs="宋体"/>
          <w:color w:val="auto"/>
          <w:sz w:val="21"/>
          <w:szCs w:val="21"/>
          <w:highlight w:val="none"/>
          <w:lang w:val="en-US" w:eastAsia="zh-CN"/>
        </w:rPr>
        <w:t>水务集团净水有限</w:t>
      </w:r>
      <w:r>
        <w:rPr>
          <w:rFonts w:hint="eastAsia" w:ascii="宋体" w:hAnsi="宋体" w:eastAsia="宋体" w:cs="宋体"/>
          <w:color w:val="auto"/>
          <w:sz w:val="21"/>
          <w:szCs w:val="21"/>
          <w:highlight w:val="none"/>
        </w:rPr>
        <w:t>公司旗下运营项目所需生产药剂：液体复合碳源。根据实际运营中药剂使用情况，招标人目前有</w:t>
      </w:r>
      <w:r>
        <w:rPr>
          <w:rFonts w:hint="eastAsia" w:ascii="宋体" w:hAnsi="宋体" w:eastAsia="宋体" w:cs="宋体"/>
          <w:color w:val="auto"/>
          <w:sz w:val="21"/>
          <w:szCs w:val="21"/>
          <w:highlight w:val="none"/>
          <w:lang w:val="en-US" w:eastAsia="zh-CN"/>
        </w:rPr>
        <w:t>塘厦白泥湖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市区厂提标</w:t>
      </w:r>
      <w:r>
        <w:rPr>
          <w:rFonts w:hint="eastAsia" w:ascii="宋体" w:hAnsi="宋体" w:eastAsia="宋体" w:cs="宋体"/>
          <w:color w:val="auto"/>
          <w:sz w:val="21"/>
          <w:szCs w:val="21"/>
          <w:highlight w:val="none"/>
        </w:rPr>
        <w:t>等污水处理厂及污水处理厂提标项目（以下称作“运营项目”）使用液体复合碳源（以下简称“生产药剂”）作为外加碳源。具体供货项目和供货量根据实际运营需求，并结合招标人运营项目使用中标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提供的药剂样品所做的小试、项目实际使用效果确定。</w:t>
      </w:r>
    </w:p>
    <w:p w14:paraId="009B7B46">
      <w:pPr>
        <w:pStyle w:val="129"/>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本次招标人以公开招标方式确定1家供货单位，分别向招标人运营项目供货。</w:t>
      </w:r>
      <w:bookmarkStart w:id="489" w:name="OLE_LINK13"/>
      <w:r>
        <w:rPr>
          <w:rFonts w:hint="eastAsia" w:ascii="宋体" w:hAnsi="宋体" w:eastAsia="宋体" w:cs="宋体"/>
          <w:color w:val="auto"/>
          <w:sz w:val="21"/>
          <w:szCs w:val="21"/>
          <w:highlight w:val="none"/>
          <w:lang w:val="en-US" w:eastAsia="zh-CN"/>
        </w:rPr>
        <w:t>招标人或招标人权属子公司与中标人签订采购合同。</w:t>
      </w:r>
      <w:bookmarkEnd w:id="489"/>
    </w:p>
    <w:p w14:paraId="59FF5CB4">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供货期：自202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年1月1日起至202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年12月31日止，具体供货起始日期以</w:t>
      </w:r>
      <w:bookmarkStart w:id="490" w:name="OLE_LINK2"/>
      <w:r>
        <w:rPr>
          <w:rFonts w:hint="eastAsia" w:ascii="宋体" w:hAnsi="宋体" w:eastAsia="宋体" w:cs="宋体"/>
          <w:color w:val="auto"/>
          <w:sz w:val="21"/>
          <w:szCs w:val="21"/>
          <w:highlight w:val="none"/>
        </w:rPr>
        <w:t>招标人</w:t>
      </w:r>
      <w:bookmarkStart w:id="491" w:name="OLE_LINK14"/>
      <w:r>
        <w:rPr>
          <w:rFonts w:hint="eastAsia" w:ascii="宋体" w:hAnsi="宋体" w:eastAsia="宋体" w:cs="宋体"/>
          <w:color w:val="auto"/>
          <w:sz w:val="21"/>
          <w:szCs w:val="21"/>
          <w:highlight w:val="none"/>
        </w:rPr>
        <w:t>或招标人权属子公司</w:t>
      </w:r>
      <w:bookmarkEnd w:id="490"/>
      <w:bookmarkEnd w:id="491"/>
      <w:r>
        <w:rPr>
          <w:rFonts w:hint="eastAsia" w:ascii="宋体" w:hAnsi="宋体" w:eastAsia="宋体" w:cs="宋体"/>
          <w:color w:val="auto"/>
          <w:sz w:val="21"/>
          <w:szCs w:val="21"/>
          <w:highlight w:val="none"/>
        </w:rPr>
        <w:t>书面通知为准，投标人收到招标人</w:t>
      </w:r>
      <w:bookmarkStart w:id="492" w:name="OLE_LINK22"/>
      <w:r>
        <w:rPr>
          <w:rFonts w:hint="eastAsia" w:ascii="宋体" w:hAnsi="宋体" w:eastAsia="宋体" w:cs="宋体"/>
          <w:color w:val="auto"/>
          <w:sz w:val="21"/>
          <w:szCs w:val="21"/>
          <w:highlight w:val="none"/>
        </w:rPr>
        <w:t>或招标人权属子公司</w:t>
      </w:r>
      <w:bookmarkEnd w:id="492"/>
      <w:r>
        <w:rPr>
          <w:rFonts w:hint="eastAsia" w:ascii="宋体" w:hAnsi="宋体" w:eastAsia="宋体" w:cs="宋体"/>
          <w:color w:val="auto"/>
          <w:sz w:val="21"/>
          <w:szCs w:val="21"/>
          <w:highlight w:val="none"/>
        </w:rPr>
        <w:t>通知后必须无条件按照招标人的要求开始供货，供货期结束后，按招标人实际生产需要，经双方协商同意后，可签订补充协议延长不超过三个月的供货期。</w:t>
      </w:r>
    </w:p>
    <w:p w14:paraId="2DA7D4DE">
      <w:pPr>
        <w:numPr>
          <w:ilvl w:val="0"/>
          <w:numId w:val="2"/>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标的物</w:t>
      </w:r>
    </w:p>
    <w:p w14:paraId="6947DF4C">
      <w:pPr>
        <w:numPr>
          <w:ilvl w:val="0"/>
          <w:numId w:val="3"/>
        </w:num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产品名称：液体复合碳源</w:t>
      </w:r>
    </w:p>
    <w:p w14:paraId="549769F9">
      <w:pPr>
        <w:numPr>
          <w:ilvl w:val="0"/>
          <w:numId w:val="3"/>
        </w:num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暂定采购数量：</w:t>
      </w:r>
      <w:r>
        <w:rPr>
          <w:rFonts w:hint="eastAsia" w:ascii="宋体" w:hAnsi="宋体" w:eastAsia="宋体" w:cs="宋体"/>
          <w:color w:val="auto"/>
          <w:sz w:val="21"/>
          <w:szCs w:val="21"/>
          <w:highlight w:val="none"/>
          <w:lang w:val="en-US" w:eastAsia="zh-CN"/>
        </w:rPr>
        <w:t>11022.613</w:t>
      </w:r>
      <w:r>
        <w:rPr>
          <w:rFonts w:hint="eastAsia" w:ascii="宋体" w:hAnsi="宋体" w:eastAsia="宋体" w:cs="宋体"/>
          <w:color w:val="auto"/>
          <w:sz w:val="21"/>
          <w:szCs w:val="21"/>
          <w:highlight w:val="none"/>
        </w:rPr>
        <w:t>吨</w:t>
      </w:r>
    </w:p>
    <w:p w14:paraId="13DF7A2E">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★3、本次采购涉及招标人运营项目及采购数量为暂定，仅为便于计算暂定总合同价使用，不作为招标人最终采购数量的保证</w:t>
      </w:r>
      <w:bookmarkStart w:id="493" w:name="OLE_LINK40"/>
      <w:bookmarkStart w:id="494" w:name="OLE_LINK24"/>
      <w:r>
        <w:rPr>
          <w:rFonts w:hint="eastAsia" w:ascii="宋体" w:hAnsi="宋体" w:eastAsia="宋体" w:cs="宋体"/>
          <w:b/>
          <w:color w:val="auto"/>
          <w:sz w:val="21"/>
          <w:szCs w:val="21"/>
          <w:highlight w:val="none"/>
        </w:rPr>
        <w:t>，招标人保留根据运营项目及新增运营项目实际情况，对采购数量进行灵活调整的权利。</w:t>
      </w:r>
      <w:bookmarkEnd w:id="493"/>
      <w:bookmarkStart w:id="495" w:name="OLE_LINK38"/>
      <w:r>
        <w:rPr>
          <w:rFonts w:hint="eastAsia" w:ascii="宋体" w:hAnsi="宋体" w:eastAsia="宋体" w:cs="宋体"/>
          <w:b/>
          <w:color w:val="auto"/>
          <w:sz w:val="21"/>
          <w:szCs w:val="21"/>
          <w:highlight w:val="none"/>
        </w:rPr>
        <w:t>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w:t>
      </w:r>
      <w:bookmarkStart w:id="496" w:name="OLE_LINK33"/>
      <w:r>
        <w:rPr>
          <w:rFonts w:hint="eastAsia" w:ascii="宋体" w:hAnsi="宋体" w:eastAsia="宋体" w:cs="宋体"/>
          <w:b/>
          <w:color w:val="auto"/>
          <w:sz w:val="21"/>
          <w:szCs w:val="21"/>
          <w:highlight w:val="none"/>
        </w:rPr>
        <w:t>新增合同主体</w:t>
      </w:r>
      <w:bookmarkEnd w:id="496"/>
      <w:r>
        <w:rPr>
          <w:rFonts w:hint="eastAsia" w:ascii="宋体" w:hAnsi="宋体" w:eastAsia="宋体" w:cs="宋体"/>
          <w:b/>
          <w:color w:val="auto"/>
          <w:sz w:val="21"/>
          <w:szCs w:val="21"/>
          <w:highlight w:val="none"/>
        </w:rPr>
        <w:t>需要额外供货，</w:t>
      </w:r>
      <w:bookmarkStart w:id="497" w:name="OLE_LINK1"/>
      <w:r>
        <w:rPr>
          <w:rFonts w:hint="eastAsia" w:ascii="宋体" w:hAnsi="宋体" w:eastAsia="宋体" w:cs="宋体"/>
          <w:b/>
          <w:color w:val="auto"/>
          <w:sz w:val="21"/>
          <w:szCs w:val="21"/>
          <w:highlight w:val="none"/>
          <w:lang w:val="en-US" w:eastAsia="zh-CN"/>
        </w:rPr>
        <w:t>招标人权属子公司</w:t>
      </w:r>
      <w:bookmarkEnd w:id="497"/>
      <w:r>
        <w:rPr>
          <w:rFonts w:hint="eastAsia" w:ascii="宋体" w:hAnsi="宋体" w:eastAsia="宋体" w:cs="宋体"/>
          <w:b/>
          <w:color w:val="auto"/>
          <w:sz w:val="21"/>
          <w:szCs w:val="21"/>
          <w:highlight w:val="none"/>
          <w:lang w:val="en-US" w:eastAsia="zh-CN"/>
        </w:rPr>
        <w:t>、</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bookmarkEnd w:id="494"/>
      <w:r>
        <w:rPr>
          <w:rFonts w:hint="eastAsia" w:ascii="宋体" w:hAnsi="宋体" w:eastAsia="宋体" w:cs="宋体"/>
          <w:b/>
          <w:color w:val="auto"/>
          <w:sz w:val="21"/>
          <w:szCs w:val="21"/>
          <w:highlight w:val="none"/>
        </w:rPr>
        <w:t>。</w:t>
      </w:r>
      <w:bookmarkEnd w:id="495"/>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小试及项目实际使用效果选用，招标人的实际需求数量以招标人运营项目每次的供货通知为准，在供货期内投标人不得因招标人实际采购数量的减少或增加而要求提供任何形式的补偿或赔偿，或要求招标人按暂定采购数量采购相应货物。</w:t>
      </w:r>
    </w:p>
    <w:p w14:paraId="7D3F43CC">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★4、主要技术指标</w:t>
      </w:r>
    </w:p>
    <w:p w14:paraId="7C491CC9">
      <w:pPr>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（1）液体复合碳源产品外观为无色至微黄色透明液体。</w:t>
      </w:r>
    </w:p>
    <w:p w14:paraId="1D3D178C">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（2）液体复合碳源产品必须符合《废（污）水处理用复合碳源》（HG/T 5960-2021）质量及检测标准，主要技术指标要求如下：</w:t>
      </w:r>
    </w:p>
    <w:p w14:paraId="08B1CF6A">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表1  液体复合碳源主要技术指标</w:t>
      </w:r>
    </w:p>
    <w:tbl>
      <w:tblPr>
        <w:tblStyle w:val="37"/>
        <w:tblW w:w="97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14:paraId="6B25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noWrap w:val="0"/>
            <w:vAlign w:val="center"/>
          </w:tcPr>
          <w:p w14:paraId="37B113DD">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4281" w:type="dxa"/>
            <w:noWrap w:val="0"/>
            <w:vAlign w:val="center"/>
          </w:tcPr>
          <w:p w14:paraId="712DC69F">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14:paraId="3B80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1C47DEC6">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化学需氧量（COD</w:t>
            </w:r>
            <w:r>
              <w:rPr>
                <w:rFonts w:hint="eastAsia" w:ascii="宋体" w:hAnsi="宋体" w:eastAsia="宋体" w:cs="宋体"/>
                <w:b/>
                <w:color w:val="auto"/>
                <w:sz w:val="21"/>
                <w:szCs w:val="21"/>
                <w:highlight w:val="none"/>
                <w:vertAlign w:val="subscript"/>
              </w:rPr>
              <w:t>Cr</w:t>
            </w:r>
            <w:r>
              <w:rPr>
                <w:rFonts w:hint="eastAsia" w:ascii="宋体" w:hAnsi="宋体" w:eastAsia="宋体" w:cs="宋体"/>
                <w:b/>
                <w:color w:val="auto"/>
                <w:sz w:val="21"/>
                <w:szCs w:val="21"/>
                <w:highlight w:val="none"/>
              </w:rPr>
              <w:t>），mg/L</w:t>
            </w:r>
          </w:p>
        </w:tc>
        <w:tc>
          <w:tcPr>
            <w:tcW w:w="4281" w:type="dxa"/>
            <w:noWrap w:val="0"/>
            <w:vAlign w:val="center"/>
          </w:tcPr>
          <w:p w14:paraId="657D9A48">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≥2.5×10</w:t>
            </w:r>
            <w:r>
              <w:rPr>
                <w:rFonts w:hint="eastAsia" w:ascii="宋体" w:hAnsi="宋体" w:eastAsia="宋体" w:cs="宋体"/>
                <w:b/>
                <w:color w:val="auto"/>
                <w:sz w:val="21"/>
                <w:szCs w:val="21"/>
                <w:highlight w:val="none"/>
                <w:vertAlign w:val="superscript"/>
              </w:rPr>
              <w:t>5</w:t>
            </w:r>
          </w:p>
        </w:tc>
      </w:tr>
      <w:tr w14:paraId="0B9A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12090826">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BOD</w:t>
            </w:r>
            <w:r>
              <w:rPr>
                <w:rFonts w:hint="eastAsia" w:ascii="宋体" w:hAnsi="宋体" w:eastAsia="宋体" w:cs="宋体"/>
                <w:b/>
                <w:color w:val="auto"/>
                <w:sz w:val="21"/>
                <w:szCs w:val="21"/>
                <w:highlight w:val="none"/>
                <w:vertAlign w:val="subscript"/>
              </w:rPr>
              <w:t>5</w:t>
            </w:r>
            <w:r>
              <w:rPr>
                <w:rFonts w:hint="eastAsia" w:ascii="宋体" w:hAnsi="宋体" w:eastAsia="宋体" w:cs="宋体"/>
                <w:b/>
                <w:color w:val="auto"/>
                <w:sz w:val="21"/>
                <w:szCs w:val="21"/>
                <w:highlight w:val="none"/>
              </w:rPr>
              <w:t>/COD</w:t>
            </w:r>
            <w:r>
              <w:rPr>
                <w:rFonts w:hint="eastAsia" w:ascii="宋体" w:hAnsi="宋体" w:eastAsia="宋体" w:cs="宋体"/>
                <w:b/>
                <w:color w:val="auto"/>
                <w:sz w:val="21"/>
                <w:szCs w:val="21"/>
                <w:highlight w:val="none"/>
                <w:vertAlign w:val="subscript"/>
              </w:rPr>
              <w:t>Cr</w:t>
            </w:r>
          </w:p>
        </w:tc>
        <w:tc>
          <w:tcPr>
            <w:tcW w:w="4281" w:type="dxa"/>
            <w:noWrap w:val="0"/>
            <w:vAlign w:val="center"/>
          </w:tcPr>
          <w:p w14:paraId="1C5690F2">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≥0.55</w:t>
            </w:r>
          </w:p>
        </w:tc>
      </w:tr>
      <w:tr w14:paraId="1259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5977A48F">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pH值</w:t>
            </w:r>
          </w:p>
        </w:tc>
        <w:tc>
          <w:tcPr>
            <w:tcW w:w="4281" w:type="dxa"/>
            <w:noWrap w:val="0"/>
            <w:vAlign w:val="center"/>
          </w:tcPr>
          <w:p w14:paraId="66A14310">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4.0~9.0</w:t>
            </w:r>
          </w:p>
        </w:tc>
      </w:tr>
      <w:tr w14:paraId="51E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69085EC9">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水不溶物的质量分数，%</w:t>
            </w:r>
          </w:p>
        </w:tc>
        <w:tc>
          <w:tcPr>
            <w:tcW w:w="4281" w:type="dxa"/>
            <w:noWrap w:val="0"/>
            <w:vAlign w:val="center"/>
          </w:tcPr>
          <w:p w14:paraId="6EC9B1C8">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≤0.2</w:t>
            </w:r>
          </w:p>
        </w:tc>
      </w:tr>
      <w:tr w14:paraId="7B23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3E513373">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氯化物（Cl）的质量分数，%</w:t>
            </w:r>
          </w:p>
        </w:tc>
        <w:tc>
          <w:tcPr>
            <w:tcW w:w="4281" w:type="dxa"/>
            <w:noWrap w:val="0"/>
            <w:vAlign w:val="center"/>
          </w:tcPr>
          <w:p w14:paraId="093C8B5E">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≤0.025</w:t>
            </w:r>
          </w:p>
        </w:tc>
      </w:tr>
      <w:tr w14:paraId="3AF4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5FA0B5A7">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硫酸盐（SO</w:t>
            </w:r>
            <w:r>
              <w:rPr>
                <w:rFonts w:hint="eastAsia" w:ascii="宋体" w:hAnsi="宋体" w:eastAsia="宋体" w:cs="宋体"/>
                <w:b/>
                <w:color w:val="auto"/>
                <w:sz w:val="21"/>
                <w:szCs w:val="21"/>
                <w:highlight w:val="none"/>
                <w:vertAlign w:val="subscript"/>
              </w:rPr>
              <w:t>4</w:t>
            </w:r>
            <w:r>
              <w:rPr>
                <w:rFonts w:hint="eastAsia" w:ascii="宋体" w:hAnsi="宋体" w:eastAsia="宋体" w:cs="宋体"/>
                <w:b/>
                <w:color w:val="auto"/>
                <w:sz w:val="21"/>
                <w:szCs w:val="21"/>
                <w:highlight w:val="none"/>
              </w:rPr>
              <w:t>）的质量分数，%</w:t>
            </w:r>
          </w:p>
        </w:tc>
        <w:tc>
          <w:tcPr>
            <w:tcW w:w="4281" w:type="dxa"/>
            <w:noWrap w:val="0"/>
            <w:vAlign w:val="center"/>
          </w:tcPr>
          <w:p w14:paraId="146B1BA8">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≤0.025</w:t>
            </w:r>
          </w:p>
        </w:tc>
      </w:tr>
    </w:tbl>
    <w:p w14:paraId="5533F7E8">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（3）供货期间，如有发布最新的行业标准或国家标准，招标人有权根据招标人运营项目实际情况及有关行业标准或国家标准对合同的主要技术指标进行变更调整，投标人应无条件接受。</w:t>
      </w:r>
    </w:p>
    <w:p w14:paraId="5D2329D8">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）投标人的投标产品必须是无安全风险、稳定、各成分无化学反应的产品。</w:t>
      </w:r>
    </w:p>
    <w:p w14:paraId="4572EB03">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）投标人的投标产品不得对招标人运营项目活性污泥微生物造成有毒有害影响，不得影响招标人运营项目出水总氮、总磷等指标。</w:t>
      </w:r>
    </w:p>
    <w:p w14:paraId="04B48D8D">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）投标人必须提供产品的主要原材料证明，且原材料不得使用工业废料。</w:t>
      </w:r>
    </w:p>
    <w:p w14:paraId="7E662511">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）投标人所供产品的真实质量，必须满足本用户需求书的所有技术指标。</w:t>
      </w:r>
    </w:p>
    <w:p w14:paraId="1789A148">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）投标人须根据招标人运营项目的情况，提供满足各运营项目正常生产运营的投标产品。</w:t>
      </w:r>
    </w:p>
    <w:p w14:paraId="6B7B89BE">
      <w:pPr>
        <w:autoSpaceDE/>
        <w:autoSpaceDN/>
        <w:adjustRightInd/>
        <w:spacing w:line="360" w:lineRule="auto"/>
        <w:ind w:firstLine="422" w:firstLineChars="200"/>
        <w:jc w:val="both"/>
        <w:rPr>
          <w:rFonts w:hint="eastAsia" w:ascii="宋体" w:hAnsi="宋体" w:eastAsia="宋体" w:cs="宋体"/>
          <w:color w:val="auto"/>
          <w:sz w:val="21"/>
          <w:szCs w:val="21"/>
          <w:highlight w:val="none"/>
        </w:rPr>
      </w:pPr>
      <w:bookmarkStart w:id="498" w:name="OLE_LINK25"/>
      <w:r>
        <w:rPr>
          <w:rFonts w:hint="eastAsia" w:ascii="宋体" w:hAnsi="宋体" w:eastAsia="宋体" w:cs="宋体"/>
          <w:b/>
          <w:bCs w:val="0"/>
          <w:color w:val="auto"/>
          <w:sz w:val="21"/>
          <w:szCs w:val="21"/>
          <w:highlight w:val="none"/>
        </w:rPr>
        <w:t>★</w:t>
      </w:r>
      <w:bookmarkEnd w:id="498"/>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投标人投标时须提供投标人</w:t>
      </w:r>
      <w:r>
        <w:rPr>
          <w:rFonts w:hint="eastAsia" w:ascii="宋体" w:hAnsi="宋体" w:eastAsia="宋体" w:cs="宋体"/>
          <w:b/>
          <w:bCs/>
          <w:color w:val="auto"/>
          <w:sz w:val="21"/>
          <w:szCs w:val="21"/>
          <w:highlight w:val="none"/>
          <w:lang w:val="en-US" w:eastAsia="zh-CN"/>
        </w:rPr>
        <w:t>或生产厂家</w:t>
      </w:r>
      <w:r>
        <w:rPr>
          <w:rFonts w:hint="eastAsia" w:ascii="宋体" w:hAnsi="宋体" w:eastAsia="宋体" w:cs="宋体"/>
          <w:b/>
          <w:bCs/>
          <w:color w:val="auto"/>
          <w:sz w:val="21"/>
          <w:szCs w:val="21"/>
          <w:highlight w:val="none"/>
        </w:rPr>
        <w:t>委托的反映报价产品性能参数的具有资质的第三方检测机构出具的</w:t>
      </w:r>
      <w:bookmarkStart w:id="499" w:name="OLE_LINK21"/>
      <w:r>
        <w:rPr>
          <w:rFonts w:hint="eastAsia" w:ascii="宋体" w:hAnsi="宋体" w:eastAsia="宋体" w:cs="宋体"/>
          <w:b/>
          <w:bCs/>
          <w:color w:val="auto"/>
          <w:sz w:val="21"/>
          <w:szCs w:val="21"/>
          <w:highlight w:val="none"/>
          <w:lang w:val="en-US" w:eastAsia="zh-CN"/>
        </w:rPr>
        <w:t>符合</w:t>
      </w:r>
      <w:r>
        <w:rPr>
          <w:rFonts w:hint="eastAsia" w:ascii="宋体" w:hAnsi="宋体" w:eastAsia="宋体" w:cs="宋体"/>
          <w:b/>
          <w:color w:val="auto"/>
          <w:sz w:val="21"/>
          <w:szCs w:val="21"/>
          <w:highlight w:val="none"/>
        </w:rPr>
        <w:t>表1《液体复合碳源主要技术指标》</w:t>
      </w:r>
      <w:r>
        <w:rPr>
          <w:rFonts w:hint="eastAsia" w:ascii="宋体" w:hAnsi="宋体" w:eastAsia="宋体" w:cs="宋体"/>
          <w:b/>
          <w:color w:val="auto"/>
          <w:sz w:val="21"/>
          <w:szCs w:val="21"/>
          <w:highlight w:val="none"/>
          <w:lang w:val="en-US" w:eastAsia="zh-CN"/>
        </w:rPr>
        <w:t>要求的</w:t>
      </w:r>
      <w:bookmarkEnd w:id="499"/>
      <w:r>
        <w:rPr>
          <w:rFonts w:hint="eastAsia" w:ascii="宋体" w:hAnsi="宋体" w:eastAsia="宋体" w:cs="宋体"/>
          <w:b/>
          <w:bCs/>
          <w:color w:val="auto"/>
          <w:sz w:val="21"/>
          <w:szCs w:val="21"/>
          <w:highlight w:val="none"/>
        </w:rPr>
        <w:t>检验报告，检验报告上的标徽应包括但不限于CMA认证标徽，报告日期为202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月1日以后，</w:t>
      </w:r>
      <w:bookmarkStart w:id="500" w:name="OLE_LINK26"/>
      <w:r>
        <w:rPr>
          <w:rFonts w:hint="eastAsia" w:ascii="宋体" w:hAnsi="宋体" w:eastAsia="宋体" w:cs="宋体"/>
          <w:b/>
          <w:bCs/>
          <w:color w:val="auto"/>
          <w:sz w:val="21"/>
          <w:szCs w:val="21"/>
          <w:highlight w:val="none"/>
        </w:rPr>
        <w:t>检验报告中检</w:t>
      </w:r>
      <w:r>
        <w:rPr>
          <w:rFonts w:hint="eastAsia" w:ascii="宋体" w:hAnsi="宋体" w:eastAsia="宋体" w:cs="宋体"/>
          <w:b/>
          <w:bCs/>
          <w:color w:val="auto"/>
          <w:sz w:val="21"/>
          <w:szCs w:val="21"/>
          <w:highlight w:val="none"/>
          <w:lang w:val="en-US" w:eastAsia="zh-CN"/>
        </w:rPr>
        <w:t>验</w:t>
      </w:r>
      <w:r>
        <w:rPr>
          <w:rFonts w:hint="eastAsia" w:ascii="宋体" w:hAnsi="宋体" w:eastAsia="宋体" w:cs="宋体"/>
          <w:b/>
          <w:bCs/>
          <w:color w:val="auto"/>
          <w:sz w:val="21"/>
          <w:szCs w:val="21"/>
          <w:highlight w:val="none"/>
        </w:rPr>
        <w:t>指标</w:t>
      </w:r>
      <w:r>
        <w:rPr>
          <w:rFonts w:hint="eastAsia" w:ascii="宋体" w:hAnsi="宋体" w:eastAsia="宋体" w:cs="宋体"/>
          <w:b/>
          <w:bCs/>
          <w:color w:val="auto"/>
          <w:sz w:val="21"/>
          <w:szCs w:val="21"/>
          <w:highlight w:val="none"/>
          <w:lang w:val="en-US" w:eastAsia="zh-CN"/>
        </w:rPr>
        <w:t>为</w:t>
      </w:r>
      <w:bookmarkEnd w:id="500"/>
      <w:r>
        <w:rPr>
          <w:rFonts w:hint="eastAsia" w:ascii="宋体" w:hAnsi="宋体" w:eastAsia="宋体" w:cs="宋体"/>
          <w:b/>
          <w:bCs/>
          <w:color w:val="auto"/>
          <w:sz w:val="21"/>
          <w:szCs w:val="21"/>
          <w:highlight w:val="none"/>
        </w:rPr>
        <w:t>表1《</w:t>
      </w:r>
      <w:bookmarkStart w:id="501" w:name="OLE_LINK5"/>
      <w:r>
        <w:rPr>
          <w:rFonts w:hint="eastAsia" w:ascii="宋体" w:hAnsi="宋体" w:eastAsia="宋体" w:cs="宋体"/>
          <w:b/>
          <w:bCs/>
          <w:color w:val="auto"/>
          <w:sz w:val="21"/>
          <w:szCs w:val="21"/>
          <w:highlight w:val="none"/>
        </w:rPr>
        <w:t>液体复合碳源主要技术指标</w:t>
      </w:r>
      <w:bookmarkEnd w:id="501"/>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，检验报告使用的检测方法需符合《废（污）水处理用复合碳源》（HG/T 5960-2021）。</w:t>
      </w:r>
    </w:p>
    <w:p w14:paraId="154F84C2">
      <w:pPr>
        <w:pStyle w:val="15"/>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投标人投标时提供的第三方检测机构出具的检验报告需体现委托方、生产厂家、送检样品的产品名称、生产批号或生产日期</w:t>
      </w:r>
      <w:r>
        <w:rPr>
          <w:rFonts w:hint="eastAsia" w:ascii="宋体" w:hAnsi="宋体" w:eastAsia="宋体" w:cs="宋体"/>
          <w:b w:val="0"/>
          <w:bCs w:val="0"/>
          <w:color w:val="auto"/>
          <w:sz w:val="21"/>
          <w:szCs w:val="21"/>
          <w:highlight w:val="none"/>
          <w:lang w:eastAsia="zh-CN"/>
        </w:rPr>
        <w:t>。</w:t>
      </w:r>
    </w:p>
    <w:p w14:paraId="24A29DEA">
      <w:pPr>
        <w:numPr>
          <w:ilvl w:val="0"/>
          <w:numId w:val="2"/>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交货要求</w:t>
      </w:r>
    </w:p>
    <w:p w14:paraId="36255529">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1、交货地点：招标人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p>
    <w:p w14:paraId="1E0BFC49">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为接到供货通知24小时内，加急供货为接到供货通知4小时内，具体交货时间以招标人运营项目供货通知为准。招标人无需因加急供货而额外支付任何费用。</w:t>
      </w:r>
    </w:p>
    <w:p w14:paraId="6860528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投标人自行负责将生产药剂运送至招标人运营项目指定位置（生产药剂储存罐），未经招标人书面同意，投标人不得私自将本合同项下的货物运输义务委托第三方个人或企业。投标人承担相应的运输、装卸等费用，运输人员应配备足够防护器具。如在运输及装卸过程中，生产药剂发生泄漏，应由投标人负责清理收集，避免造成人员伤害或环境污染。</w:t>
      </w:r>
    </w:p>
    <w:p w14:paraId="5D2A7E15">
      <w:pPr>
        <w:autoSpaceDE/>
        <w:autoSpaceDN/>
        <w:adjustRightInd/>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4、每次送货，投标人须提供电子地磅的称重单（含载货时的称重单和卸货后的称重单），相关费用由投标人承担。实际供货数量以招标人运营项目和投标人双方确认的电子地磅的称重单为准。</w:t>
      </w:r>
      <w:r>
        <w:rPr>
          <w:rFonts w:hint="eastAsia" w:ascii="宋体" w:hAnsi="宋体" w:eastAsia="宋体" w:cs="宋体"/>
          <w:color w:val="auto"/>
          <w:kern w:val="2"/>
          <w:sz w:val="21"/>
          <w:szCs w:val="21"/>
          <w:highlight w:val="none"/>
        </w:rPr>
        <w:t>招标人运营项目</w:t>
      </w:r>
      <w:r>
        <w:rPr>
          <w:rFonts w:hint="eastAsia" w:ascii="宋体" w:hAnsi="宋体" w:eastAsia="宋体" w:cs="宋体"/>
          <w:color w:val="auto"/>
          <w:kern w:val="2"/>
          <w:sz w:val="21"/>
          <w:szCs w:val="21"/>
          <w:highlight w:val="none"/>
          <w:lang w:val="en-US" w:eastAsia="zh-CN"/>
        </w:rPr>
        <w:t>有电子地磅的，原则上在招标人运营项目过磅；招标人运营项目无电子地磅或电子地磅因检修等原因不可用的，在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Cs w:val="21"/>
        </w:rPr>
        <w:t>招标人电子地磅的称重服务不含税单价为1.51元/吨，称重服务相关条款由招标人或招标人权属子公司与中标人签订称重服务合同另行约定。</w:t>
      </w:r>
    </w:p>
    <w:p w14:paraId="77EA0EA5">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rPr>
        <w:t>投标人须随货提供生产厂家出具的具有</w:t>
      </w:r>
      <w:r>
        <w:rPr>
          <w:rFonts w:hint="eastAsia" w:ascii="宋体" w:hAnsi="宋体" w:eastAsia="宋体" w:cs="宋体"/>
          <w:b/>
          <w:bCs/>
          <w:color w:val="auto"/>
          <w:kern w:val="2"/>
          <w:sz w:val="21"/>
          <w:szCs w:val="21"/>
          <w:highlight w:val="none"/>
        </w:rPr>
        <w:t>生产厂家、出厂批号、化学需氧量（COD</w:t>
      </w:r>
      <w:r>
        <w:rPr>
          <w:rFonts w:hint="eastAsia" w:ascii="宋体" w:hAnsi="宋体" w:eastAsia="宋体" w:cs="宋体"/>
          <w:b/>
          <w:bCs/>
          <w:color w:val="auto"/>
          <w:kern w:val="2"/>
          <w:sz w:val="21"/>
          <w:szCs w:val="21"/>
          <w:highlight w:val="none"/>
          <w:vertAlign w:val="subscript"/>
        </w:rPr>
        <w:t>Cr</w:t>
      </w:r>
      <w:r>
        <w:rPr>
          <w:rFonts w:hint="eastAsia" w:ascii="宋体" w:hAnsi="宋体" w:eastAsia="宋体" w:cs="宋体"/>
          <w:b/>
          <w:bCs/>
          <w:color w:val="auto"/>
          <w:kern w:val="2"/>
          <w:sz w:val="21"/>
          <w:szCs w:val="21"/>
          <w:highlight w:val="none"/>
        </w:rPr>
        <w:t>）、pH值、水不溶物、氯化物等主要信息</w:t>
      </w:r>
      <w:r>
        <w:rPr>
          <w:rFonts w:hint="eastAsia" w:ascii="宋体" w:hAnsi="宋体" w:eastAsia="宋体" w:cs="宋体"/>
          <w:color w:val="auto"/>
          <w:kern w:val="2"/>
          <w:sz w:val="21"/>
          <w:szCs w:val="21"/>
          <w:highlight w:val="none"/>
        </w:rPr>
        <w:t>的</w:t>
      </w:r>
      <w:r>
        <w:rPr>
          <w:rFonts w:hint="eastAsia" w:ascii="宋体" w:hAnsi="宋体" w:eastAsia="宋体" w:cs="宋体"/>
          <w:color w:val="auto"/>
          <w:szCs w:val="21"/>
          <w:highlight w:val="none"/>
        </w:rPr>
        <w:t>符合表1《液体复合碳源主要技术指标》要求的</w:t>
      </w:r>
      <w:r>
        <w:rPr>
          <w:rFonts w:hint="eastAsia" w:ascii="宋体" w:hAnsi="宋体" w:eastAsia="宋体" w:cs="宋体"/>
          <w:color w:val="auto"/>
          <w:kern w:val="2"/>
          <w:sz w:val="21"/>
          <w:szCs w:val="21"/>
          <w:highlight w:val="none"/>
        </w:rPr>
        <w:t>产品质量检验报告（如出厂检验报告、质量检验报告等）、供货单据等资料</w:t>
      </w:r>
      <w:r>
        <w:rPr>
          <w:rFonts w:hint="eastAsia" w:ascii="宋体" w:hAnsi="宋体" w:eastAsia="宋体" w:cs="宋体"/>
          <w:color w:val="auto"/>
          <w:sz w:val="21"/>
          <w:szCs w:val="21"/>
          <w:highlight w:val="none"/>
        </w:rPr>
        <w:t>，投标人提供的检验报告只作为招标人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14:paraId="073FF0AF">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6、供货期间，在收到招标人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通知前，投标人无需为合同履行做准备工作。招标人运营项目相关信息见附件，仅供投标人报价参考。</w:t>
      </w:r>
    </w:p>
    <w:p w14:paraId="56FE5C76">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7、关于生产药剂的贮存装置、贮存条件等要求，投标人应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14:paraId="21922F41">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生产药剂的运送及输送方式应符合国家或行业规范标准。液体药剂采用聚乙烯塑料桶或专用耐酸碱耐腐蚀贮罐等密闭容器装运,运输过程防止药剂泄漏并避免有毒物品的污染，不得与有腐蚀性及强氧化性的物品混装、混运，且投标人或其委托的运输单位应当具备国家及行业规定的运输资质。</w:t>
      </w:r>
    </w:p>
    <w:p w14:paraId="5D634FBF">
      <w:pPr>
        <w:numPr>
          <w:ilvl w:val="0"/>
          <w:numId w:val="2"/>
        </w:num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验收要求</w:t>
      </w:r>
    </w:p>
    <w:p w14:paraId="252A99F2">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03C58F86">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（1）初步验收：</w:t>
      </w:r>
    </w:p>
    <w:p w14:paraId="17E9F442">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1）货物运抵交货地点，招标人运营项目、投标人共同验货。招标人运营项目按照本项目合同及招标文件，对货物的数量、品种、随车产品质量检验报告、供货单据等进行核对。</w:t>
      </w:r>
    </w:p>
    <w:p w14:paraId="18F96CAE">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2）初步验收合格后，招标人运营项目、投标人双方进行相关签收手续。</w:t>
      </w:r>
    </w:p>
    <w:p w14:paraId="5204741B">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（2）最终验收</w:t>
      </w:r>
    </w:p>
    <w:p w14:paraId="3A3D5B08">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对每次供货货物检验，检验指标由招标人在表1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液体复合碳源主要技术指标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中选择，其中化学需氧量、</w:t>
      </w:r>
      <w:r>
        <w:rPr>
          <w:rFonts w:hint="eastAsia" w:ascii="宋体" w:hAnsi="宋体" w:eastAsia="宋体" w:cs="宋体"/>
          <w:bCs/>
          <w:color w:val="auto"/>
          <w:sz w:val="21"/>
          <w:szCs w:val="21"/>
          <w:highlight w:val="none"/>
        </w:rPr>
        <w:t>BOD</w:t>
      </w:r>
      <w:r>
        <w:rPr>
          <w:rFonts w:hint="eastAsia" w:ascii="宋体" w:hAnsi="宋体" w:eastAsia="宋体" w:cs="宋体"/>
          <w:bCs/>
          <w:color w:val="auto"/>
          <w:sz w:val="21"/>
          <w:szCs w:val="21"/>
          <w:highlight w:val="none"/>
          <w:vertAlign w:val="subscript"/>
        </w:rPr>
        <w:t>5</w:t>
      </w:r>
      <w:r>
        <w:rPr>
          <w:rFonts w:hint="eastAsia" w:ascii="宋体" w:hAnsi="宋体" w:eastAsia="宋体" w:cs="宋体"/>
          <w:bCs/>
          <w:color w:val="auto"/>
          <w:sz w:val="21"/>
          <w:szCs w:val="21"/>
          <w:highlight w:val="none"/>
        </w:rPr>
        <w:t>/COD</w:t>
      </w:r>
      <w:r>
        <w:rPr>
          <w:rFonts w:hint="eastAsia" w:ascii="宋体" w:hAnsi="宋体" w:eastAsia="宋体" w:cs="宋体"/>
          <w:bCs/>
          <w:color w:val="auto"/>
          <w:sz w:val="21"/>
          <w:szCs w:val="21"/>
          <w:highlight w:val="none"/>
          <w:vertAlign w:val="subscript"/>
        </w:rPr>
        <w:t>Cr</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pH为每次供货货物的批检检验指标，其余指标为招标人根据需要抽检的按需检验指标，货物批检检验指标和按需检验指标由招标人根据招标人</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 w:val="21"/>
          <w:szCs w:val="21"/>
          <w:highlight w:val="none"/>
        </w:rPr>
        <w:t>每次货到现场时可由双方共同取样，供货货物合格判定以招标人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实验室检验结果为准。招标人根据需要可委托具有CMA认证资质的第三方检测机构检测，招标人委托的具有CMA认证资质的第三方检测机构的检验结果与招标人运营项目实验室不一致的，该次的供货货物质量判定以招标人委托的具有CMA认证资质的第三方检测机构的检验结果为准。</w:t>
      </w:r>
    </w:p>
    <w:p w14:paraId="79C6C399">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2）货物检验方法按《废（污）水处理用复合碳源》（HG/T 5960-2021）中的检测方法进行。供货期间，如有发布最新的行业标准或国家标准，货物检验方法按发布的最新行业标准或国家标准执行。</w:t>
      </w:r>
    </w:p>
    <w:p w14:paraId="246428F7">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3）如供货货物符合表1《液体复合碳源主要技术指标》要求则最终验收合格。</w:t>
      </w:r>
    </w:p>
    <w:p w14:paraId="0798E352">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2、货物按上述程序验收后，招标人运营项目向投标人出具书面的验收报告，投标人需对验收报告盖章确认。验收报告作为对货物供货数量及主要技术指标验收的证明，不代表对货物使用效果的认可。</w:t>
      </w:r>
    </w:p>
    <w:p w14:paraId="4CF407FF">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3、招标人运营项目根据本条规定对货物所做出的验收，仅作为起算付款及质保期之用，不视为双方对于货物质量的最终认可，投标人仍应在质保期内对产品质量承担保证责任。</w:t>
      </w:r>
    </w:p>
    <w:p w14:paraId="6874066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投标人承担，如因发生前述情形，导致投标人所提供的货物不能通过招标人运营项目验收的，投标人应按招标人运营项目要求无条件予以退换货，给招标人造成损失的投标人须承担全部的赔偿责任。</w:t>
      </w:r>
    </w:p>
    <w:p w14:paraId="63D798EC">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w:t>
      </w:r>
      <w:bookmarkStart w:id="502" w:name="OLE_LINK11"/>
      <w:r>
        <w:rPr>
          <w:rFonts w:hint="eastAsia" w:ascii="宋体" w:hAnsi="宋体" w:eastAsia="宋体" w:cs="宋体"/>
          <w:b/>
          <w:color w:val="auto"/>
          <w:sz w:val="21"/>
          <w:szCs w:val="21"/>
          <w:highlight w:val="none"/>
        </w:rPr>
        <w:t>资料要求</w:t>
      </w:r>
      <w:bookmarkEnd w:id="502"/>
    </w:p>
    <w:p w14:paraId="71C16104">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1、投标人需向招标人运营项目提供但不限于下述技术资料：</w:t>
      </w:r>
    </w:p>
    <w:p w14:paraId="6F37618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14:paraId="554B0AB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14:paraId="0BEF0CE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73D108A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（4）招标人运营项目要求提供的其他技术资料。</w:t>
      </w:r>
    </w:p>
    <w:p w14:paraId="054ACC6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2、投标人需将上述资料（若上述资料为复印件的，则须加盖投标人公章）在交货时交给招标人运营项目，有关资料的收集和整理由投标人负责，招标人运营项目予以配合。</w:t>
      </w:r>
    </w:p>
    <w:p w14:paraId="03B3D86C">
      <w:pPr>
        <w:autoSpaceDE/>
        <w:autoSpaceDN/>
        <w:adjustRightInd/>
        <w:snapToGrid w:val="0"/>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rPr>
        <w:t>供货期内，投标人需每季度委托具有CMA认证资质的第三方检测机构对供货期间所供货物进行检测，并提供第三方检测机构出具的</w:t>
      </w:r>
      <w:bookmarkStart w:id="503" w:name="OLE_LINK29"/>
      <w:r>
        <w:rPr>
          <w:rFonts w:hint="eastAsia" w:ascii="宋体" w:hAnsi="宋体" w:eastAsia="宋体" w:cs="宋体"/>
          <w:color w:val="auto"/>
          <w:szCs w:val="21"/>
          <w:highlight w:val="none"/>
        </w:rPr>
        <w:t>符合表1《液体复合碳源主要技术指标》要求的</w:t>
      </w:r>
      <w:bookmarkEnd w:id="503"/>
      <w:r>
        <w:rPr>
          <w:rFonts w:hint="eastAsia" w:ascii="宋体" w:hAnsi="宋体" w:eastAsia="宋体" w:cs="宋体"/>
          <w:color w:val="auto"/>
          <w:kern w:val="2"/>
          <w:sz w:val="21"/>
          <w:szCs w:val="21"/>
          <w:highlight w:val="none"/>
        </w:rPr>
        <w:t>检验报告，检验报告上的标徽应包括但不限于CMA认证标徽，</w:t>
      </w:r>
      <w:r>
        <w:rPr>
          <w:rFonts w:hint="eastAsia" w:ascii="宋体" w:hAnsi="宋体" w:eastAsia="宋体" w:cs="宋体"/>
          <w:b/>
          <w:bCs/>
          <w:color w:val="auto"/>
          <w:sz w:val="21"/>
          <w:szCs w:val="21"/>
          <w:highlight w:val="none"/>
        </w:rPr>
        <w:t>检验报告需体现委托方、生产厂家、送检样品的产品名称、生产批号或生产日期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液体复合碳源主要技术指标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检测结果，检验报告</w:t>
      </w:r>
      <w:r>
        <w:rPr>
          <w:rFonts w:hint="eastAsia" w:ascii="宋体" w:hAnsi="宋体" w:eastAsia="宋体" w:cs="宋体"/>
          <w:b/>
          <w:bCs/>
          <w:color w:val="auto"/>
          <w:kern w:val="2"/>
          <w:sz w:val="21"/>
          <w:szCs w:val="21"/>
          <w:highlight w:val="none"/>
        </w:rPr>
        <w:t>使用的检测方法需符合《废（污）水处理用复合碳源》（HG/T 5960-2021）</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p>
    <w:p w14:paraId="7E67CEB1">
      <w:pPr>
        <w:autoSpaceDE/>
        <w:autoSpaceDN/>
        <w:adjustRightInd/>
        <w:snapToGrid w:val="0"/>
        <w:spacing w:line="360" w:lineRule="auto"/>
        <w:ind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4、投标人提交的技术资料在出现遗漏或发现错误时，应及时补充或更正后提交招标人运营项目。</w:t>
      </w:r>
    </w:p>
    <w:p w14:paraId="7EB9D1B4">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六、质量保证及售后要求</w:t>
      </w:r>
    </w:p>
    <w:p w14:paraId="5C12CB21">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
          <w:color w:val="auto"/>
          <w:sz w:val="21"/>
          <w:szCs w:val="21"/>
          <w:highlight w:val="none"/>
        </w:rPr>
        <w:t>以货到现场之日算起六个月</w:t>
      </w:r>
      <w:r>
        <w:rPr>
          <w:rFonts w:hint="eastAsia" w:ascii="宋体" w:hAnsi="宋体" w:eastAsia="宋体" w:cs="宋体"/>
          <w:color w:val="auto"/>
          <w:sz w:val="21"/>
          <w:szCs w:val="21"/>
          <w:highlight w:val="none"/>
        </w:rPr>
        <w:t>，保质期内产品质量须达到本用户需求书所有技术指标要求。</w:t>
      </w:r>
    </w:p>
    <w:p w14:paraId="0C644236">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2、投标人应具有相应的技术人员，具备供货及售前售后的服务能力。</w:t>
      </w:r>
    </w:p>
    <w:p w14:paraId="42D33FEE">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3、投标人在接到质量问题通知后 4 小时内自费派工程师到达现场对问题进行处理。</w:t>
      </w:r>
    </w:p>
    <w:p w14:paraId="74A560C3">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4、投标人应根据招标人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需要免费提供培训，相关费用已计入综合单价，招标人无需另行支付任何费用。</w:t>
      </w:r>
    </w:p>
    <w:p w14:paraId="1F11177C">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5、培训地点、规模及时间由招标人运营项目指定，根据培训内容复杂程度，招标人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有权要求投标人提供完整的书面培训计划和方案，列明提供培训的技术人员名单及资质，以及培训完成后招标人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001CDF74">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型号、规格、质量）不符合招标人运营项目要求、或货物使用过程中出现质量问题，导致投标人提供的生产药剂如不能通过招标人运营项目验收的，招标人运营项目可拒绝收货或要求投标人承担退换货责任。原则上投标人应该在不影响招标人运营项目正常生产的情况下，自招标人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4小时内无条件予以退换货，招标人不承担因验收造成的货物损耗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费用且不对货物承担保管责任，因此产生的费用及风险由投标人承担。</w:t>
      </w:r>
    </w:p>
    <w:p w14:paraId="0952B9CF">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通知货物检验不合格或货物使用过程中出现质量问题而要求投标人按照前述条款进行退换货之时起4小时之内投标人未将不合格货物运离招标人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仓库，招标人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可自行或委托第三方对不合格货物进行处置，投标人须承担招标人处置该次不合格货物所需的全部费用，以及给招标人造成的一切损失。</w:t>
      </w:r>
    </w:p>
    <w:p w14:paraId="5E6DB40E">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通知投标人货物检验不合格或货物使用过程中出现质量问题之时起，招标人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有权要求投标人按照加急供货的规定，将等量的合格货物送交招标人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，否则按加急供货的违约规定进行处理。</w:t>
      </w:r>
    </w:p>
    <w:p w14:paraId="47FFA6B6">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七、货物的结算</w:t>
      </w:r>
    </w:p>
    <w:p w14:paraId="4A59AAE2">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双方一致同意，投标人按规定提供了履约担保后，招标人通过以下方式以人民币支付合同款项给投标人：</w:t>
      </w:r>
    </w:p>
    <w:p w14:paraId="1C3D9893">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1、合同的履约过程中，投标人根据本项目合同书约定需向招标人</w:t>
      </w:r>
      <w:bookmarkStart w:id="504" w:name="OLE_LINK27"/>
      <w:r>
        <w:rPr>
          <w:rFonts w:hint="eastAsia" w:ascii="宋体" w:hAnsi="宋体" w:eastAsia="宋体" w:cs="Times New Roman"/>
          <w:b w:val="0"/>
          <w:bCs/>
          <w:color w:val="auto"/>
          <w:szCs w:val="21"/>
          <w:highlight w:val="none"/>
          <w:u w:val="none"/>
          <w:lang w:val="en-US" w:eastAsia="zh-CN"/>
        </w:rPr>
        <w:t>或招标人权属子公司</w:t>
      </w:r>
      <w:bookmarkEnd w:id="504"/>
      <w:r>
        <w:rPr>
          <w:rFonts w:hint="eastAsia" w:ascii="宋体" w:hAnsi="宋体" w:eastAsia="宋体" w:cs="宋体"/>
          <w:color w:val="auto"/>
          <w:sz w:val="21"/>
          <w:szCs w:val="21"/>
          <w:highlight w:val="none"/>
        </w:rPr>
        <w:t>支付违约金、赔偿金、或其他应付费用等款项的，投标人必须向招标人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支付完相关款项后，招标人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才根据合同书约定向投标人支付合同价和税额。若因投标人未能支付前述费用，影响项目实施的，招标人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有权启用履约担保或直接从未付合同款项中直接扣除，且投标人必须按照扣除前述费用前的合同价（销售额）开具增值税专用发票，保证增值税税额符合法律规定。</w:t>
      </w:r>
    </w:p>
    <w:p w14:paraId="7B2E9B51">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2、货物供货的款项按招标人运营项目进行支付、结算。货物供货的款项每月按实结算。招标人运营项目收到货物并最终验收合格后，每月中旬办理支付上月实际供货量的款项。</w:t>
      </w:r>
    </w:p>
    <w:p w14:paraId="715D0705">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3、投标人向招标人运营项目提交请款报告和请款金额等额的合法、有效的增值税专用发票，招标人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在收到前述材料并确认无误后30个工作日内支付结算上月实际供货量的货款和该货款对应的税额给投标人。</w:t>
      </w:r>
    </w:p>
    <w:p w14:paraId="27713B08">
      <w:pPr>
        <w:pStyle w:val="12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4、支付方式：支付方式为银行转账或银行承兑汇票，汇票期限不超过三个月，每期款项支付方式由</w:t>
      </w:r>
      <w:bookmarkStart w:id="505" w:name="OLE_LINK28"/>
      <w:r>
        <w:rPr>
          <w:rFonts w:hint="eastAsia" w:ascii="宋体" w:hAnsi="宋体" w:eastAsia="宋体" w:cs="宋体"/>
          <w:color w:val="auto"/>
          <w:sz w:val="21"/>
          <w:szCs w:val="21"/>
          <w:highlight w:val="none"/>
          <w:lang w:val="en-US" w:eastAsia="zh-CN"/>
        </w:rPr>
        <w:t>招标人</w:t>
      </w:r>
      <w:r>
        <w:rPr>
          <w:rFonts w:hint="eastAsia" w:ascii="宋体" w:hAnsi="宋体" w:eastAsia="宋体" w:cs="Times New Roman"/>
          <w:b w:val="0"/>
          <w:bCs/>
          <w:color w:val="auto"/>
          <w:szCs w:val="21"/>
          <w:highlight w:val="none"/>
          <w:u w:val="none"/>
          <w:lang w:val="en-US" w:eastAsia="zh-CN"/>
        </w:rPr>
        <w:t>或招标人权属子公司</w:t>
      </w:r>
      <w:bookmarkEnd w:id="505"/>
      <w:r>
        <w:rPr>
          <w:rFonts w:hint="eastAsia" w:ascii="宋体" w:hAnsi="宋体" w:eastAsia="宋体" w:cs="宋体"/>
          <w:color w:val="auto"/>
          <w:sz w:val="21"/>
          <w:szCs w:val="21"/>
          <w:highlight w:val="none"/>
          <w:lang w:val="en-US" w:eastAsia="zh-CN"/>
        </w:rPr>
        <w:t>决定。</w:t>
      </w:r>
    </w:p>
    <w:p w14:paraId="7801D768">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、投标人迟延提供发票或提供的请款报告、发票不符合要求的，招标人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的付款时间可相应顺延，且招标人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不因此承担任何责任。因支付产生的相关银行手续费用，根据有关银行规定执行，如不能明确的，由双方各承担50%。由于投标人提供的发票不符合税法规定，给招标人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造成的损失由投标人承担全部的赔偿责任。</w:t>
      </w:r>
    </w:p>
    <w:p w14:paraId="00ED40B4">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八、其它要求</w:t>
      </w:r>
    </w:p>
    <w:p w14:paraId="7808CC9A">
      <w:pPr>
        <w:pStyle w:val="12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1、日常供货（非加急供货）时，投标人</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支付违约金。投标人逾期超过12小时的，招标人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有权单方解除合同，并且没收投标人的部分或全部履约担保，投标人除支付前述逾期违约金外，招标人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有权要求投标人额外按该次货物</w:t>
      </w:r>
      <w:r>
        <w:rPr>
          <w:rFonts w:hint="eastAsia" w:ascii="宋体" w:hAnsi="宋体" w:eastAsia="宋体" w:cs="Times New Roman"/>
          <w:b w:val="0"/>
          <w:bCs/>
          <w:color w:val="auto"/>
          <w:szCs w:val="21"/>
          <w:highlight w:val="none"/>
          <w:u w:val="none"/>
          <w:lang w:val="en-US" w:eastAsia="zh-CN"/>
        </w:rPr>
        <w:t>含税</w:t>
      </w:r>
      <w:r>
        <w:rPr>
          <w:rFonts w:hint="eastAsia" w:ascii="宋体" w:hAnsi="宋体" w:eastAsia="宋体" w:cs="宋体"/>
          <w:color w:val="auto"/>
          <w:sz w:val="21"/>
          <w:szCs w:val="21"/>
          <w:highlight w:val="none"/>
        </w:rPr>
        <w:t>结算货款的5%向招标人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损失的，投标人需另行赔偿。</w:t>
      </w:r>
    </w:p>
    <w:p w14:paraId="04CB22DA">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2、加急供货时，投标人未在约定的时间内完成交货的，或未在规定的时间内承担相应的更换、退货责任的，每逾期1小时，招标人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支付违约金，投标人逾期超过4小时的，招标人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有权单方解除合同，并且没收投标人的部分或全部履约担保，投标人除前述逾期违约金外，招标人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有权要求投标人额外按该次货物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损失的，投标人需另行赔偿。</w:t>
      </w:r>
    </w:p>
    <w:p w14:paraId="5169A2B2">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506" w:name="OLE_LINK6"/>
      <w:r>
        <w:rPr>
          <w:rFonts w:hint="eastAsia" w:ascii="宋体" w:hAnsi="宋体" w:eastAsia="宋体" w:cs="宋体"/>
          <w:color w:val="auto"/>
          <w:sz w:val="21"/>
          <w:szCs w:val="21"/>
          <w:highlight w:val="none"/>
        </w:rPr>
        <w:t>投标人所交货物经招标人运营项目实验室或招标人委托的第三方检测机构检验累计出现3次（含）</w:t>
      </w:r>
      <w:bookmarkEnd w:id="506"/>
      <w:r>
        <w:rPr>
          <w:rFonts w:hint="eastAsia" w:ascii="宋体" w:hAnsi="宋体" w:eastAsia="宋体" w:cs="宋体"/>
          <w:color w:val="auto"/>
          <w:sz w:val="21"/>
          <w:szCs w:val="21"/>
          <w:highlight w:val="none"/>
        </w:rPr>
        <w:t>以上不合格的，招标人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有权单方中止或解除合同，暂停或取消投标人的供货资格，并根据对生产造成影响的严重程度，没收投标人的部分或全部履约担保。</w:t>
      </w:r>
    </w:p>
    <w:p w14:paraId="1199FB42">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4、投标人应根据招标人运营项目工艺以及性质，配合招标人运营项目进行小试、中试，提供符合技术指标的药剂，保证供货的药剂在招标人运营项目良好的使用效果。</w:t>
      </w:r>
    </w:p>
    <w:p w14:paraId="65C03246">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如因药剂问题对招标人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损失的，投标人需另行赔偿，同时根据对招标人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生产、成本造成影响的严重程度，招标人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有权没收投标人的部分或全部履约担保。</w:t>
      </w:r>
    </w:p>
    <w:p w14:paraId="2A0B55D3">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、如投标人提供的药剂严重影响招标人运营项目生产或造成招标人运营项目出水水质指标超标的情况，招标人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有权追究投标人由此造成的损失，并有权单方面中止或解除合同，取消其供货资格，没收全部履约</w:t>
      </w:r>
      <w:r>
        <w:rPr>
          <w:rFonts w:hint="eastAsia" w:ascii="宋体" w:hAnsi="宋体" w:eastAsia="宋体" w:cs="宋体"/>
          <w:color w:val="auto"/>
          <w:sz w:val="21"/>
          <w:szCs w:val="21"/>
          <w:highlight w:val="none"/>
          <w:lang w:val="en-US" w:eastAsia="zh-CN"/>
        </w:rPr>
        <w:t>担保</w:t>
      </w:r>
      <w:r>
        <w:rPr>
          <w:rFonts w:hint="eastAsia" w:ascii="宋体" w:hAnsi="宋体" w:eastAsia="宋体" w:cs="宋体"/>
          <w:color w:val="auto"/>
          <w:sz w:val="21"/>
          <w:szCs w:val="21"/>
          <w:highlight w:val="none"/>
        </w:rPr>
        <w:t>。</w:t>
      </w:r>
    </w:p>
    <w:p w14:paraId="44B133A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、对于货物最终验收不合格且招标人运营项目已经开始使用或者使用完毕无法退换的，货款按照以下方式处理：①若招标人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已支付货款的，则投标人应向招标人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退还已支付的货款；②若招标人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未支付货款的，则招标人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无需支付货款。</w:t>
      </w:r>
    </w:p>
    <w:p w14:paraId="216973CD">
      <w:pPr>
        <w:pStyle w:val="129"/>
        <w:autoSpaceDE/>
        <w:autoSpaceDN/>
        <w:adjustRightInd/>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、若投标人对招标人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验收结果有异议，投标人应自招标人</w:t>
      </w:r>
      <w:r>
        <w:rPr>
          <w:rFonts w:hint="eastAsia" w:ascii="宋体" w:hAnsi="宋体" w:eastAsia="宋体" w:cs="Times New Roman"/>
          <w:b w:val="0"/>
          <w:bCs/>
          <w:color w:val="auto"/>
          <w:szCs w:val="21"/>
          <w:highlight w:val="none"/>
          <w:u w:val="none"/>
          <w:lang w:val="en-US" w:eastAsia="zh-CN"/>
        </w:rPr>
        <w:t>运营项目</w:t>
      </w:r>
      <w:r>
        <w:rPr>
          <w:rFonts w:hint="eastAsia" w:ascii="宋体" w:hAnsi="宋体" w:eastAsia="宋体" w:cs="宋体"/>
          <w:color w:val="auto"/>
          <w:sz w:val="21"/>
          <w:szCs w:val="21"/>
          <w:highlight w:val="none"/>
        </w:rPr>
        <w:t>书面告知投标人检验结果24小时内，书面要求通过投标人和招标人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双方确认的具有检测产品CMA认证资质的第三方单位对留样货物进行检测，最终供货产品质量判定以投标人和招标人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双方确认的具有检测产品CMA认证资质的第三方检测机构检验结果为准；因此产生的检测费、运输费等全部费用均由投标人承担。</w:t>
      </w:r>
    </w:p>
    <w:p w14:paraId="68176815">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、授予合同前或合同履行中，招标人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有权实地核查投标人在投标时提供的分支机构或服务机构的场地、生产/储存/运输设备设施及能力等材料的符合性，若发现虚假将取消中标资格，且招标人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有权终止合同。因此给招标人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造成损失的，全部由投标人承担。</w:t>
      </w:r>
    </w:p>
    <w:p w14:paraId="0770CB4F">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在招标文件</w:t>
      </w:r>
      <w:r>
        <w:rPr>
          <w:rFonts w:hint="eastAsia" w:ascii="宋体" w:hAnsi="宋体" w:eastAsia="宋体" w:cs="宋体"/>
          <w:color w:val="auto"/>
          <w:sz w:val="21"/>
          <w:szCs w:val="21"/>
          <w:highlight w:val="none"/>
          <w:lang w:val="en-US" w:eastAsia="zh-CN"/>
        </w:rPr>
        <w:t>及合同</w:t>
      </w:r>
      <w:r>
        <w:rPr>
          <w:rFonts w:hint="eastAsia" w:ascii="宋体" w:hAnsi="宋体" w:eastAsia="宋体" w:cs="宋体"/>
          <w:color w:val="auto"/>
          <w:sz w:val="21"/>
          <w:szCs w:val="21"/>
          <w:highlight w:val="none"/>
        </w:rPr>
        <w:t>约定的供货期限和采购范围内，招标人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有权根据项目实际情况及有关法律法规、政策的规定进行变更调整。在变更调整后，投标人应遵照执行。</w:t>
      </w:r>
    </w:p>
    <w:p w14:paraId="0DA720BD">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投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投标人自行承担。凡由于货物包装不良、运输方式不当或非法运输造成的事故、损失、行政处罚和由此产生的其他全部费用均由投标人全部承担。</w:t>
      </w:r>
    </w:p>
    <w:p w14:paraId="6F27A8CE">
      <w:pPr>
        <w:pStyle w:val="129"/>
        <w:widowControl/>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12</w:t>
      </w:r>
      <w:r>
        <w:rPr>
          <w:rFonts w:hint="eastAsia" w:ascii="宋体" w:hAnsi="宋体" w:eastAsia="宋体" w:cs="宋体"/>
          <w:color w:val="auto"/>
          <w:sz w:val="21"/>
          <w:szCs w:val="21"/>
          <w:highlight w:val="none"/>
          <w:lang w:bidi="ar"/>
        </w:rPr>
        <w:t>、投标人有义务接受招标人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的监督、评价及考核，且同意招标人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 xml:space="preserve">关于供货资格供应商的管理规则及要求。 </w:t>
      </w:r>
    </w:p>
    <w:p w14:paraId="18CB7E6C">
      <w:pPr>
        <w:pStyle w:val="129"/>
        <w:widowControl/>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13</w:t>
      </w:r>
      <w:r>
        <w:rPr>
          <w:rFonts w:hint="eastAsia" w:ascii="宋体" w:hAnsi="宋体" w:eastAsia="宋体" w:cs="宋体"/>
          <w:color w:val="auto"/>
          <w:sz w:val="21"/>
          <w:szCs w:val="21"/>
          <w:highlight w:val="none"/>
          <w:lang w:bidi="ar"/>
        </w:rPr>
        <w:t>、招标人运营项目每月在付款手续前对投标人的履约情况进行评价，填写《</w:t>
      </w:r>
      <w:bookmarkStart w:id="507" w:name="OLE_LINK15"/>
      <w:r>
        <w:rPr>
          <w:rFonts w:hint="eastAsia" w:ascii="宋体" w:hAnsi="宋体" w:eastAsia="宋体" w:cs="宋体"/>
          <w:color w:val="auto"/>
          <w:sz w:val="21"/>
          <w:szCs w:val="21"/>
          <w:highlight w:val="none"/>
          <w:lang w:bidi="ar"/>
        </w:rPr>
        <w:t>供应商履约评价表</w:t>
      </w:r>
      <w:bookmarkEnd w:id="507"/>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详见第四篇 合同条款格式 附件2</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。考核评分满分为100分，考核评分分数低于80分、达到60分时，投标人应按该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bookmarkStart w:id="508" w:name="OLE_LINK30"/>
      <w:r>
        <w:rPr>
          <w:rFonts w:hint="eastAsia" w:ascii="宋体" w:hAnsi="宋体" w:eastAsia="宋体" w:cs="宋体"/>
          <w:color w:val="auto"/>
          <w:sz w:val="21"/>
          <w:szCs w:val="21"/>
          <w:highlight w:val="none"/>
          <w:lang w:val="en-US" w:eastAsia="zh-CN" w:bidi="ar"/>
        </w:rPr>
        <w:t>含税</w:t>
      </w:r>
      <w:bookmarkEnd w:id="508"/>
      <w:r>
        <w:rPr>
          <w:rFonts w:hint="eastAsia" w:ascii="宋体" w:hAnsi="宋体" w:eastAsia="宋体" w:cs="宋体"/>
          <w:color w:val="auto"/>
          <w:sz w:val="21"/>
          <w:szCs w:val="21"/>
          <w:highlight w:val="none"/>
          <w:lang w:bidi="ar"/>
        </w:rPr>
        <w:t>结算货款的20%向</w:t>
      </w:r>
      <w:bookmarkStart w:id="509" w:name="OLE_LINK10"/>
      <w:r>
        <w:rPr>
          <w:rFonts w:hint="eastAsia" w:ascii="宋体" w:hAnsi="宋体" w:eastAsia="宋体" w:cs="宋体"/>
          <w:color w:val="auto"/>
          <w:sz w:val="21"/>
          <w:szCs w:val="21"/>
          <w:highlight w:val="none"/>
          <w:lang w:bidi="ar"/>
        </w:rPr>
        <w:t>招标人</w:t>
      </w:r>
      <w:r>
        <w:rPr>
          <w:rFonts w:hint="eastAsia" w:ascii="宋体" w:hAnsi="宋体" w:eastAsia="宋体" w:cs="Times New Roman"/>
          <w:b w:val="0"/>
          <w:bCs/>
          <w:color w:val="auto"/>
          <w:szCs w:val="21"/>
          <w:highlight w:val="none"/>
          <w:u w:val="none"/>
          <w:lang w:val="en-US" w:eastAsia="zh-CN"/>
        </w:rPr>
        <w:t>或招标人权属子公司</w:t>
      </w:r>
      <w:bookmarkEnd w:id="509"/>
      <w:r>
        <w:rPr>
          <w:rFonts w:hint="eastAsia" w:ascii="宋体" w:hAnsi="宋体" w:eastAsia="宋体" w:cs="宋体"/>
          <w:color w:val="auto"/>
          <w:sz w:val="21"/>
          <w:szCs w:val="21"/>
          <w:highlight w:val="none"/>
          <w:lang w:bidi="ar"/>
        </w:rPr>
        <w:t>支付违约金；考核评分分数低于60分时，投标人应按该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结算货款的30%向招标人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支付违约金。若供货期内累计出现3次</w:t>
      </w:r>
      <w:r>
        <w:rPr>
          <w:rFonts w:hint="eastAsia" w:ascii="宋体" w:hAnsi="宋体" w:eastAsia="宋体" w:cs="宋体"/>
          <w:color w:val="auto"/>
          <w:kern w:val="2"/>
          <w:sz w:val="21"/>
          <w:szCs w:val="21"/>
          <w:highlight w:val="none"/>
        </w:rPr>
        <w:t>（含）以上</w:t>
      </w:r>
      <w:r>
        <w:rPr>
          <w:rFonts w:hint="eastAsia" w:ascii="宋体" w:hAnsi="宋体" w:eastAsia="宋体" w:cs="宋体"/>
          <w:color w:val="auto"/>
          <w:sz w:val="21"/>
          <w:szCs w:val="21"/>
          <w:highlight w:val="none"/>
          <w:lang w:bidi="ar"/>
        </w:rPr>
        <w:t>评审结论为不合格的，招标人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有权取消投标人的供货资格并单方解除合同、没收投标人部分或全部履约担保。</w:t>
      </w:r>
    </w:p>
    <w:p w14:paraId="39EF4C3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sectPr>
          <w:footerReference r:id="rId3" w:type="default"/>
          <w:pgSz w:w="11906" w:h="16838"/>
          <w:pgMar w:top="1191" w:right="1043" w:bottom="1191" w:left="1043" w:header="851" w:footer="992" w:gutter="0"/>
          <w:cols w:space="720" w:num="1"/>
          <w:docGrid w:type="lines" w:linePitch="312" w:charSpace="0"/>
        </w:sectPr>
      </w:pPr>
      <w:r>
        <w:rPr>
          <w:rFonts w:hint="eastAsia" w:ascii="宋体" w:hAnsi="宋体" w:eastAsia="宋体" w:cs="宋体"/>
          <w:color w:val="auto"/>
          <w:kern w:val="2"/>
          <w:sz w:val="21"/>
          <w:szCs w:val="21"/>
          <w:highlight w:val="none"/>
        </w:rPr>
        <w:t>附件：招标人运营项目相关信息</w:t>
      </w:r>
    </w:p>
    <w:p w14:paraId="719BEC9B">
      <w:pPr>
        <w:pageBreakBefore/>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附件：</w:t>
      </w:r>
      <w:r>
        <w:rPr>
          <w:rFonts w:hint="eastAsia" w:ascii="宋体" w:hAnsi="宋体" w:eastAsia="宋体" w:cs="宋体"/>
          <w:b/>
          <w:color w:val="auto"/>
          <w:sz w:val="21"/>
          <w:szCs w:val="21"/>
          <w:highlight w:val="none"/>
        </w:rPr>
        <w:t>招标人</w:t>
      </w:r>
      <w:r>
        <w:rPr>
          <w:rFonts w:hint="eastAsia" w:ascii="宋体" w:hAnsi="宋体" w:eastAsia="宋体" w:cs="宋体"/>
          <w:b/>
          <w:color w:val="auto"/>
          <w:sz w:val="21"/>
          <w:szCs w:val="21"/>
          <w:highlight w:val="none"/>
          <w:lang w:val="zh-CN"/>
        </w:rPr>
        <w:t>运营项目</w:t>
      </w:r>
      <w:r>
        <w:rPr>
          <w:rFonts w:hint="eastAsia" w:ascii="宋体" w:hAnsi="宋体" w:eastAsia="宋体" w:cs="宋体"/>
          <w:b/>
          <w:color w:val="auto"/>
          <w:sz w:val="21"/>
          <w:szCs w:val="21"/>
          <w:highlight w:val="none"/>
        </w:rPr>
        <w:t>相关信息</w:t>
      </w:r>
    </w:p>
    <w:tbl>
      <w:tblPr>
        <w:tblStyle w:val="37"/>
        <w:tblW w:w="47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1"/>
        <w:gridCol w:w="4141"/>
        <w:gridCol w:w="4917"/>
      </w:tblGrid>
      <w:tr w14:paraId="283C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2B1A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317C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1926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r>
      <w:tr w14:paraId="07D3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E22D5D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r>
      <w:tr w14:paraId="562F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338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C08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市区污水处理厂一二期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F73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r>
      <w:tr w14:paraId="49D0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D18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017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市区厂污水处理厂三期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550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r>
      <w:tr w14:paraId="3168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76F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609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7A3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r>
      <w:tr w14:paraId="4DA3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06B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6C0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万江污水处理厂二期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88A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东莞市万江区流涌尾村大兴工业路3号</w:t>
            </w:r>
          </w:p>
        </w:tc>
      </w:tr>
      <w:tr w14:paraId="2907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CB9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ED0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544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中堂镇东向村滨河东路68号101室</w:t>
            </w:r>
          </w:p>
        </w:tc>
      </w:tr>
      <w:tr w14:paraId="4EA7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AC1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C93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FD7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r>
      <w:tr w14:paraId="5685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08A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BB0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2F5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东莞市高埗镇高埗洲头路13号</w:t>
            </w:r>
          </w:p>
        </w:tc>
      </w:tr>
      <w:tr w14:paraId="5BD0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3CF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5B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2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EB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东莞市长安镇乌沙社区兴发南路尽头</w:t>
            </w:r>
          </w:p>
        </w:tc>
      </w:tr>
      <w:tr w14:paraId="2F38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E90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4B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厚街沙塘污水处理厂二期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635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东莞市厚街镇沙塘村沙隆路39号</w:t>
            </w:r>
          </w:p>
        </w:tc>
      </w:tr>
      <w:tr w14:paraId="1A4D4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E78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355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4E6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r>
      <w:tr w14:paraId="0DED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349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FBF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虎门宁洲污水处理厂三期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0A8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r>
      <w:tr w14:paraId="70D0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990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8EA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东城牛山污水处理厂二期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41E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东莞市东城街道象山路7号2栋101室</w:t>
            </w:r>
          </w:p>
        </w:tc>
      </w:tr>
      <w:tr w14:paraId="3FA2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7D4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266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虎门港立沙岛污水处理厂</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E59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东莞市沙田镇大流村下涌</w:t>
            </w:r>
          </w:p>
        </w:tc>
      </w:tr>
      <w:tr w14:paraId="44D7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51A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85E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沙田福禄沙污水处理厂二期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5B8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东莞市沙田镇洲仔路1号2栋101室</w:t>
            </w:r>
          </w:p>
        </w:tc>
      </w:tr>
      <w:tr w14:paraId="58D4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DA6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25C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大岭山连马污水处理厂二期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F34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东莞市大岭山镇连马路159号102室</w:t>
            </w:r>
          </w:p>
        </w:tc>
      </w:tr>
      <w:tr w14:paraId="1C76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360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FE3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19F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r>
      <w:tr w14:paraId="25CD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E07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78C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75C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r>
      <w:tr w14:paraId="2ED56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473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5FB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894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东莞市黄江镇合路村创业一路一号</w:t>
            </w:r>
          </w:p>
        </w:tc>
      </w:tr>
      <w:tr w14:paraId="0179C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CC5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04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松山湖北部污水处理厂二期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C72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东莞市松山湖高新科技产业园区工业西三路3号</w:t>
            </w:r>
          </w:p>
        </w:tc>
      </w:tr>
      <w:tr w14:paraId="45C0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10C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A9C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2CE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r>
      <w:tr w14:paraId="0EAD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B7C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A54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寮步竹园污水处理厂三期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0DF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r>
      <w:tr w14:paraId="0BB9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25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EDC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9E9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东莞市大朗镇沙步村杨沙路153号十三栋101室</w:t>
            </w:r>
          </w:p>
        </w:tc>
      </w:tr>
      <w:tr w14:paraId="3A70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024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ED5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樟村水质净化厂</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C9A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东莞市东城区运河路5号</w:t>
            </w:r>
          </w:p>
        </w:tc>
      </w:tr>
      <w:tr w14:paraId="7CF8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EBE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DA7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常平东污水处理厂二期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B62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东莞市常平镇沙湖口村污水处理厂二期</w:t>
            </w:r>
          </w:p>
        </w:tc>
      </w:tr>
      <w:tr w14:paraId="3D20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7E0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379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常平西污水处理厂二期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59D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东莞市常平镇常平沿河东一路20号</w:t>
            </w:r>
          </w:p>
        </w:tc>
      </w:tr>
      <w:tr w14:paraId="68B4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9F0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E9E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横沥东坑污水处理厂二期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060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东莞市横沥镇石涌恒富路1号1号楼101室</w:t>
            </w:r>
          </w:p>
        </w:tc>
      </w:tr>
      <w:tr w14:paraId="58A6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F7C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7CE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黄江梅塘污水处理厂</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600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广东省东莞市黄江镇星光村附件</w:t>
            </w:r>
          </w:p>
        </w:tc>
      </w:tr>
      <w:tr w14:paraId="4759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F11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22A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凤岗虾公潭污水处理厂</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317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东莞市凤岗镇油甘埔村同兴路3号101</w:t>
            </w:r>
          </w:p>
        </w:tc>
      </w:tr>
      <w:tr w14:paraId="44F55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18B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7F4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458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东莞市桥头镇东深路桥头段6号2号楼</w:t>
            </w:r>
          </w:p>
        </w:tc>
      </w:tr>
      <w:tr w14:paraId="5E36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33E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1CC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14A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r>
      <w:tr w14:paraId="4AE3D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D0C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C1C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C76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r>
      <w:tr w14:paraId="2C82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FDD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F3F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B30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塘厦镇林村村委会鸡爪桥猪仔沥</w:t>
            </w:r>
          </w:p>
        </w:tc>
      </w:tr>
      <w:tr w14:paraId="6B75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F11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960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42E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樟木头镇柏地社区柏峰路169号</w:t>
            </w:r>
          </w:p>
        </w:tc>
      </w:tr>
      <w:tr w14:paraId="53B5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783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DED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樟木头裕丰</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AAA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东莞市樟木头镇裕丰社区莞樟东路西侧</w:t>
            </w:r>
          </w:p>
        </w:tc>
      </w:tr>
      <w:tr w14:paraId="10B7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983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889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塘厦白泥湖水质净化厂改造工程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A55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东莞市塘厦镇塘厦南一横路21号</w:t>
            </w:r>
          </w:p>
        </w:tc>
      </w:tr>
      <w:tr w14:paraId="3D051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8F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6A9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竹塘污水处理厂三期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D40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r>
      <w:tr w14:paraId="5C4E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A25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9E4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534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东莞市清溪镇江背路33号</w:t>
            </w:r>
          </w:p>
        </w:tc>
      </w:tr>
      <w:tr w14:paraId="6C0C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9DD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29D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052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6003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1B142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二、提标项目</w:t>
            </w:r>
          </w:p>
        </w:tc>
      </w:tr>
      <w:tr w14:paraId="5F31C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06B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F3B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石碣沙腰污水处理厂二期提标</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32D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r>
      <w:tr w14:paraId="7A98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AAB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EAD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望洪污水处理厂一期提标工程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734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东莞市望牛墩镇朱平沙村</w:t>
            </w:r>
          </w:p>
        </w:tc>
      </w:tr>
      <w:tr w14:paraId="3DF5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2DE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152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麻涌污水处理厂一期提标工程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175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r>
      <w:tr w14:paraId="6DFB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4A5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E0B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石碣沙腰污水处理厂一期提标工程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86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r>
      <w:tr w14:paraId="57A1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6DA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552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A32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r>
      <w:tr w14:paraId="1A67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D25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420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虎门海岛污水处理厂一期提标工程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FD4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东莞市虎门镇威远岛武山沙五围</w:t>
            </w:r>
          </w:p>
        </w:tc>
      </w:tr>
      <w:tr w14:paraId="2994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69E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4ED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虎门宁洲污水处理厂一期提标工程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21C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东莞市虎门镇南栅第六工业区民昌路十巷5号</w:t>
            </w:r>
          </w:p>
        </w:tc>
      </w:tr>
      <w:tr w14:paraId="769C7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086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A41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长安锦厦三洲水质净化厂提标工程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C62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东莞市长安镇锦厦三洲路2号</w:t>
            </w:r>
          </w:p>
        </w:tc>
      </w:tr>
      <w:tr w14:paraId="411D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386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711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东城牛山污水处理厂一期提标工程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E71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东莞市东城牛山老围村工业区象山路1号</w:t>
            </w:r>
          </w:p>
        </w:tc>
      </w:tr>
      <w:tr w14:paraId="4D6B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AD4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E89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黄江污水处理厂一期提标工程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E71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东莞市黄江镇合路创业一路1号</w:t>
            </w:r>
          </w:p>
        </w:tc>
      </w:tr>
      <w:tr w14:paraId="6543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B34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CC6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大朗松山湖南部污水处理厂一期提标工程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32B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w:t>
            </w:r>
          </w:p>
        </w:tc>
      </w:tr>
      <w:tr w14:paraId="0E9B0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F52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B14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凤岗竹塘污水处理厂一期提标</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4AC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东莞市凤岗镇竹塘村浸校塘组</w:t>
            </w:r>
          </w:p>
        </w:tc>
      </w:tr>
      <w:tr w14:paraId="4046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792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532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凤岗虾公潭污水处理厂提标工程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54B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东莞市凤岗镇油甘埔村同兴路3号101</w:t>
            </w:r>
          </w:p>
        </w:tc>
      </w:tr>
      <w:tr w14:paraId="6480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362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B84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谢岗污水处理厂一期提标工程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44A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r>
      <w:tr w14:paraId="50F3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393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E79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塘厦林村一期提标</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DD0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塘厦镇林村村委会鸡爪桥猪仔沥</w:t>
            </w:r>
          </w:p>
        </w:tc>
      </w:tr>
      <w:tr w14:paraId="0FB5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8CA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C36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桥头污水处理厂一期提标工程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9ED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东莞市桥头镇东深路8号</w:t>
            </w:r>
          </w:p>
        </w:tc>
      </w:tr>
      <w:tr w14:paraId="6340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6FD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B60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樟木头污水处理厂一二期提标工程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F24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东莞市樟木头镇柏地旗岭村柏峰路169号</w:t>
            </w:r>
          </w:p>
        </w:tc>
      </w:tr>
      <w:tr w14:paraId="1471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608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0E2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清溪厦坭污水处理厂一期提标工程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F05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东莞市清溪镇厦坭村江背路75号</w:t>
            </w:r>
          </w:p>
        </w:tc>
      </w:tr>
      <w:tr w14:paraId="0A3A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550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DE4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塘厦石桥头污水处理厂提标工程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B96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东莞市塘厦镇凤凰岗村环市南路132号</w:t>
            </w:r>
          </w:p>
        </w:tc>
      </w:tr>
      <w:tr w14:paraId="68C0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B05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54F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凤岗雁田污水处理厂提标工程</w:t>
            </w:r>
          </w:p>
        </w:tc>
        <w:tc>
          <w:tcPr>
            <w:tcW w:w="24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574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东莞市凤岗雁田污水处理厂（凤深大道310号）</w:t>
            </w:r>
          </w:p>
        </w:tc>
      </w:tr>
    </w:tbl>
    <w:p w14:paraId="57E5B8FF">
      <w:pPr>
        <w:widowControl/>
        <w:autoSpaceDE/>
        <w:autoSpaceDN/>
        <w:adjustRightInd/>
        <w:spacing w:line="360" w:lineRule="auto"/>
        <w:ind w:left="0" w:leftChars="0" w:firstLine="0" w:firstLineChars="0"/>
        <w:jc w:val="left"/>
        <w:rPr>
          <w:rFonts w:hint="eastAsia" w:ascii="宋体" w:hAnsi="宋体" w:eastAsia="宋体" w:cs="宋体"/>
          <w:color w:val="auto"/>
          <w:kern w:val="2"/>
          <w:sz w:val="21"/>
          <w:szCs w:val="21"/>
          <w:highlight w:val="none"/>
          <w:lang w:val="zh-CN"/>
        </w:rPr>
      </w:pPr>
      <w:r>
        <w:rPr>
          <w:rFonts w:hint="eastAsia" w:ascii="宋体" w:hAnsi="宋体" w:eastAsia="宋体" w:cs="宋体"/>
          <w:b/>
          <w:bCs/>
          <w:color w:val="auto"/>
          <w:sz w:val="21"/>
          <w:szCs w:val="21"/>
          <w:highlight w:val="none"/>
        </w:rPr>
        <w:t>备注：</w:t>
      </w:r>
      <w:r>
        <w:rPr>
          <w:rFonts w:hint="eastAsia" w:ascii="宋体" w:hAnsi="宋体" w:eastAsia="宋体" w:cs="宋体"/>
          <w:b/>
          <w:color w:val="auto"/>
          <w:kern w:val="2"/>
          <w:sz w:val="21"/>
          <w:szCs w:val="21"/>
          <w:highlight w:val="none"/>
        </w:rPr>
        <w:t>以上</w:t>
      </w:r>
      <w:r>
        <w:rPr>
          <w:rFonts w:hint="eastAsia" w:ascii="宋体" w:hAnsi="宋体" w:eastAsia="宋体" w:cs="宋体"/>
          <w:b/>
          <w:color w:val="auto"/>
          <w:kern w:val="2"/>
          <w:sz w:val="21"/>
          <w:szCs w:val="21"/>
          <w:highlight w:val="none"/>
          <w:lang w:val="en-US" w:eastAsia="zh-CN"/>
        </w:rPr>
        <w:t>运营项目为暂定，</w:t>
      </w:r>
      <w:r>
        <w:rPr>
          <w:rFonts w:hint="eastAsia" w:ascii="宋体" w:hAnsi="宋体" w:eastAsia="宋体" w:cs="宋体"/>
          <w:b/>
          <w:bCs/>
          <w:color w:val="auto"/>
          <w:sz w:val="21"/>
          <w:szCs w:val="21"/>
          <w:highlight w:val="none"/>
        </w:rPr>
        <w:t>具体情况以实际为准，如有疑问可实地考察。</w:t>
      </w:r>
    </w:p>
    <w:p w14:paraId="22B6DF4C">
      <w:pPr>
        <w:rPr>
          <w:rFonts w:ascii="宋体" w:hAnsi="宋体" w:eastAsia="宋体" w:cs="Times New Roman"/>
          <w:b/>
          <w:color w:val="auto"/>
          <w:szCs w:val="21"/>
          <w:highlight w:val="none"/>
        </w:rPr>
      </w:pPr>
    </w:p>
    <w:p w14:paraId="3F29F6DD">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510" w:name="_Toc30747"/>
      <w:r>
        <w:rPr>
          <w:rFonts w:hint="eastAsia" w:ascii="宋体" w:hAnsi="宋体" w:eastAsia="宋体" w:cs="宋体"/>
          <w:b/>
          <w:bCs/>
          <w:color w:val="auto"/>
          <w:kern w:val="44"/>
          <w:sz w:val="32"/>
          <w:szCs w:val="32"/>
          <w:highlight w:val="none"/>
          <w:lang w:val="zh-CN"/>
        </w:rPr>
        <w:t>第四篇 合同条款格式</w:t>
      </w:r>
      <w:bookmarkEnd w:id="510"/>
    </w:p>
    <w:p w14:paraId="5B4217A1">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1AB9440">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A501942">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8EA07D9">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东莞市水务集团净水有限公司2025年生产药剂液体复合碳源采购项目</w:t>
      </w:r>
    </w:p>
    <w:p w14:paraId="2E52E3D3">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41569F27">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5E914255">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143D85C2">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96A54CB">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AA7C245">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61BF1A6">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41910B6">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val="en-US" w:eastAsia="zh-CN"/>
        </w:rPr>
        <w:t xml:space="preserve">                        </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0111D352">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09EE53A1">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5E0ECE76">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45D30F47">
      <w:pPr>
        <w:autoSpaceDE w:val="0"/>
        <w:autoSpaceDN w:val="0"/>
        <w:adjustRightInd w:val="0"/>
        <w:jc w:val="left"/>
        <w:rPr>
          <w:rFonts w:ascii="宋体" w:hAnsi="宋体" w:eastAsia="宋体" w:cs="宋体"/>
          <w:b/>
          <w:bCs/>
          <w:color w:val="auto"/>
          <w:kern w:val="0"/>
          <w:sz w:val="28"/>
          <w:szCs w:val="28"/>
          <w:highlight w:val="none"/>
        </w:rPr>
      </w:pPr>
    </w:p>
    <w:p w14:paraId="24881492">
      <w:pPr>
        <w:autoSpaceDE w:val="0"/>
        <w:autoSpaceDN w:val="0"/>
        <w:adjustRightInd w:val="0"/>
        <w:jc w:val="left"/>
        <w:rPr>
          <w:rFonts w:ascii="宋体" w:hAnsi="宋体" w:eastAsia="宋体" w:cs="宋体"/>
          <w:b/>
          <w:bCs/>
          <w:color w:val="auto"/>
          <w:kern w:val="0"/>
          <w:sz w:val="28"/>
          <w:szCs w:val="28"/>
          <w:highlight w:val="none"/>
        </w:rPr>
      </w:pPr>
    </w:p>
    <w:p w14:paraId="03A24B4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6ECCEF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p>
    <w:p w14:paraId="19339E62">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3CC5CC1A">
      <w:pPr>
        <w:snapToGrid w:val="0"/>
        <w:spacing w:line="360" w:lineRule="auto"/>
        <w:rPr>
          <w:rFonts w:hint="eastAsia" w:ascii="宋体" w:hAnsi="宋体" w:eastAsia="宋体" w:cs="宋体"/>
          <w:color w:val="auto"/>
          <w:sz w:val="21"/>
          <w:szCs w:val="21"/>
          <w:highlight w:val="none"/>
        </w:rPr>
      </w:pPr>
    </w:p>
    <w:p w14:paraId="1D78131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）和招标文件的要求，经双方协商一致，签订本合同。</w:t>
      </w:r>
    </w:p>
    <w:p w14:paraId="30A40ADA">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合同项目</w:t>
      </w:r>
    </w:p>
    <w:p w14:paraId="1DE80EF4">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1、合同货物清单如下：</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1386"/>
        <w:gridCol w:w="1386"/>
        <w:gridCol w:w="1386"/>
        <w:gridCol w:w="1389"/>
        <w:gridCol w:w="2107"/>
      </w:tblGrid>
      <w:tr w14:paraId="59F0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noWrap w:val="0"/>
            <w:vAlign w:val="center"/>
          </w:tcPr>
          <w:p w14:paraId="2F292D68">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188D2FD">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C943090">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E30B08D">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1B3F51DF">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暂定数量</w:t>
            </w:r>
          </w:p>
        </w:tc>
        <w:tc>
          <w:tcPr>
            <w:tcW w:w="2107" w:type="dxa"/>
            <w:tcBorders>
              <w:top w:val="single" w:color="auto" w:sz="4" w:space="0"/>
              <w:left w:val="single" w:color="auto" w:sz="4" w:space="0"/>
              <w:bottom w:val="single" w:color="auto" w:sz="4" w:space="0"/>
              <w:right w:val="single" w:color="auto" w:sz="4" w:space="0"/>
            </w:tcBorders>
            <w:noWrap w:val="0"/>
            <w:vAlign w:val="top"/>
          </w:tcPr>
          <w:p w14:paraId="06DD7D7D">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综合单价（元/吨）（不含销项税）</w:t>
            </w:r>
          </w:p>
        </w:tc>
      </w:tr>
      <w:tr w14:paraId="4157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noWrap w:val="0"/>
            <w:vAlign w:val="center"/>
          </w:tcPr>
          <w:p w14:paraId="700427F2">
            <w:pPr>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液体复合碳源</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8F7AF27">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957EBD3">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2786ABB7">
            <w:pPr>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吨</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2AAB8C9E">
            <w:pPr>
              <w:autoSpaceDE/>
              <w:autoSpaceDN/>
              <w:adjustRightInd/>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11022.613</w:t>
            </w:r>
          </w:p>
        </w:tc>
        <w:tc>
          <w:tcPr>
            <w:tcW w:w="2107" w:type="dxa"/>
            <w:tcBorders>
              <w:top w:val="single" w:color="auto" w:sz="4" w:space="0"/>
              <w:left w:val="single" w:color="auto" w:sz="4" w:space="0"/>
              <w:bottom w:val="single" w:color="auto" w:sz="4" w:space="0"/>
              <w:right w:val="single" w:color="auto" w:sz="4" w:space="0"/>
            </w:tcBorders>
            <w:noWrap w:val="0"/>
            <w:vAlign w:val="top"/>
          </w:tcPr>
          <w:p w14:paraId="01EFA069">
            <w:pPr>
              <w:autoSpaceDE/>
              <w:autoSpaceDN/>
              <w:adjustRightInd/>
              <w:snapToGrid w:val="0"/>
              <w:spacing w:line="360" w:lineRule="auto"/>
              <w:jc w:val="center"/>
              <w:rPr>
                <w:rFonts w:hint="eastAsia" w:ascii="宋体" w:hAnsi="宋体" w:eastAsia="宋体" w:cs="宋体"/>
                <w:color w:val="auto"/>
                <w:sz w:val="21"/>
                <w:szCs w:val="21"/>
                <w:highlight w:val="none"/>
              </w:rPr>
            </w:pPr>
          </w:p>
        </w:tc>
      </w:tr>
    </w:tbl>
    <w:p w14:paraId="52D7C6BC">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备注：上述暂定数量仅为便于计算暂定合同总价使用，不作为甲方最终采购数量的保证</w:t>
      </w:r>
      <w:bookmarkStart w:id="511" w:name="OLE_LINK41"/>
      <w:r>
        <w:rPr>
          <w:rFonts w:hint="eastAsia" w:ascii="宋体" w:hAnsi="宋体" w:eastAsia="宋体" w:cs="宋体"/>
          <w:b/>
          <w:color w:val="auto"/>
          <w:sz w:val="21"/>
          <w:szCs w:val="21"/>
          <w:highlight w:val="none"/>
        </w:rPr>
        <w:t>，甲方保留根据运营项目及新增运营项目实际情况，对采购数量进行灵活调整的权利</w:t>
      </w:r>
      <w:bookmarkEnd w:id="511"/>
      <w:r>
        <w:rPr>
          <w:rFonts w:hint="eastAsia" w:ascii="宋体" w:hAnsi="宋体" w:eastAsia="宋体" w:cs="宋体"/>
          <w:b/>
          <w:color w:val="auto"/>
          <w:sz w:val="21"/>
          <w:szCs w:val="21"/>
          <w:highlight w:val="none"/>
        </w:rPr>
        <w:t>。</w:t>
      </w:r>
      <w:bookmarkStart w:id="512" w:name="OLE_LINK39"/>
      <w:r>
        <w:rPr>
          <w:rFonts w:hint="eastAsia" w:ascii="宋体" w:hAnsi="宋体" w:eastAsia="宋体" w:cs="宋体"/>
          <w:b/>
          <w:color w:val="auto"/>
          <w:sz w:val="21"/>
          <w:szCs w:val="21"/>
          <w:highlight w:val="none"/>
        </w:rPr>
        <w:t>合</w:t>
      </w:r>
      <w:bookmarkStart w:id="513" w:name="OLE_LINK37"/>
      <w:r>
        <w:rPr>
          <w:rFonts w:hint="eastAsia" w:ascii="宋体" w:hAnsi="宋体" w:eastAsia="宋体" w:cs="宋体"/>
          <w:b/>
          <w:color w:val="auto"/>
          <w:sz w:val="21"/>
          <w:szCs w:val="21"/>
          <w:highlight w:val="none"/>
        </w:rPr>
        <w:t>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需要额外供货，甲方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甲方关联公司</w:t>
      </w:r>
      <w:r>
        <w:rPr>
          <w:rFonts w:hint="eastAsia" w:ascii="宋体" w:hAnsi="宋体" w:eastAsia="宋体" w:cs="宋体"/>
          <w:b/>
          <w:color w:val="auto"/>
          <w:sz w:val="21"/>
          <w:szCs w:val="21"/>
          <w:highlight w:val="none"/>
        </w:rPr>
        <w:t>有权依据不含税</w:t>
      </w:r>
      <w:r>
        <w:rPr>
          <w:rFonts w:hint="eastAsia" w:ascii="宋体" w:hAnsi="宋体" w:eastAsia="宋体" w:cs="宋体"/>
          <w:b/>
          <w:color w:val="auto"/>
          <w:sz w:val="21"/>
          <w:szCs w:val="21"/>
          <w:highlight w:val="none"/>
          <w:lang w:val="en-US" w:eastAsia="zh-CN"/>
        </w:rPr>
        <w:t>中标</w:t>
      </w:r>
      <w:r>
        <w:rPr>
          <w:rFonts w:hint="eastAsia" w:ascii="宋体" w:hAnsi="宋体" w:eastAsia="宋体" w:cs="宋体"/>
          <w:b/>
          <w:color w:val="auto"/>
          <w:sz w:val="21"/>
          <w:szCs w:val="21"/>
          <w:highlight w:val="none"/>
        </w:rPr>
        <w:t>综合单价与乙方协商并签订补充协议，并确保其作为原合同的有效补充。乙方应充分理解并接受</w:t>
      </w:r>
      <w:r>
        <w:rPr>
          <w:rFonts w:hint="eastAsia" w:ascii="宋体" w:hAnsi="宋体" w:eastAsia="宋体" w:cs="宋体"/>
          <w:b/>
          <w:color w:val="auto"/>
          <w:sz w:val="21"/>
          <w:szCs w:val="21"/>
          <w:highlight w:val="none"/>
          <w:lang w:val="en-US" w:eastAsia="zh-CN"/>
        </w:rPr>
        <w:t>本项目在</w:t>
      </w:r>
      <w:r>
        <w:rPr>
          <w:rFonts w:hint="eastAsia" w:ascii="宋体" w:hAnsi="宋体" w:eastAsia="宋体" w:cs="宋体"/>
          <w:b/>
          <w:color w:val="auto"/>
          <w:sz w:val="21"/>
          <w:szCs w:val="21"/>
          <w:highlight w:val="none"/>
        </w:rPr>
        <w:t>合同履约期间可能新增合同主体的可能性，并承诺在接到甲方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甲方关联公司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bookmarkEnd w:id="512"/>
      <w:bookmarkEnd w:id="513"/>
      <w:r>
        <w:rPr>
          <w:rFonts w:hint="eastAsia" w:ascii="宋体" w:hAnsi="宋体" w:eastAsia="宋体" w:cs="宋体"/>
          <w:b/>
          <w:color w:val="auto"/>
          <w:sz w:val="21"/>
          <w:szCs w:val="21"/>
          <w:highlight w:val="none"/>
        </w:rPr>
        <w:t>实际甲方运营项目根据项目工艺及性质，结合小试及项目实际使用效果选用，甲方的实际需求数量以甲方运营项目每次的供货通知为准，在供货期内乙方不得因甲方实际采购数量的减少或增加而要求提供任何形式的补偿或赔偿，或要求甲方按暂定数量采购相应货物。</w:t>
      </w:r>
    </w:p>
    <w:p w14:paraId="45C08E6E">
      <w:pPr>
        <w:snapToGrid w:val="0"/>
        <w:spacing w:line="360" w:lineRule="auto"/>
        <w:ind w:firstLine="420" w:firstLineChars="200"/>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、本合同的供货期</w:t>
      </w:r>
    </w:p>
    <w:p w14:paraId="4AF74C5D">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自202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年1月1日起至202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12月31日，具体供货起始日期以甲方书面通知为准，乙方收到甲方通知后必须无条件按照甲方的要求开始供货，供货期结束后，按甲方实际生产需要，经双方协商同意后，可签订补充协议延长不超过三个月的供货期。</w:t>
      </w:r>
    </w:p>
    <w:p w14:paraId="797B105E">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合同履行中，甲方在本合同约定的供货期限和采购范围内，甲方有权根据运营项目实际情况及有关法律法规、政策的规定对合同的相应条款进行变更调整，造成乙方已生产的产品过剩、过质保期等，甲方无需承担任何责任和费用。在变更调整后，乙方应按变更后的约定遵照执行。如有违反，甲方有权按本暂定合同</w:t>
      </w:r>
      <w:r>
        <w:rPr>
          <w:rFonts w:hint="eastAsia" w:ascii="宋体" w:hAnsi="宋体" w:eastAsia="宋体" w:cs="宋体"/>
          <w:b/>
          <w:color w:val="auto"/>
          <w:sz w:val="21"/>
          <w:szCs w:val="21"/>
          <w:highlight w:val="none"/>
          <w:lang w:val="en-US" w:eastAsia="zh-CN"/>
        </w:rPr>
        <w:t>含税总</w:t>
      </w:r>
      <w:r>
        <w:rPr>
          <w:rFonts w:hint="eastAsia" w:ascii="宋体" w:hAnsi="宋体" w:eastAsia="宋体" w:cs="宋体"/>
          <w:b/>
          <w:color w:val="auto"/>
          <w:sz w:val="21"/>
          <w:szCs w:val="21"/>
          <w:highlight w:val="none"/>
        </w:rPr>
        <w:t>价的20%要求乙方承担违约金。</w:t>
      </w:r>
    </w:p>
    <w:p w14:paraId="482366EA">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4、乙方应承担完成合同义务的全部费用，包括但不限于：</w:t>
      </w:r>
    </w:p>
    <w:p w14:paraId="5E515D7D">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（1）合同范围内所有货物的研究、采购、制造、检验、配合试验（含小试及中试）、包装、储存、运输（退换货运输）、称重、装卸、安全、保险、培训、验收等费用；</w:t>
      </w:r>
    </w:p>
    <w:p w14:paraId="28064580">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应急供货费用、为满足项目调试需求导致的小批量、多频次分散供货的成本以及货物运输、货物验收合格前发生的安全事故所产生的一切费用；</w:t>
      </w:r>
    </w:p>
    <w:p w14:paraId="15D25344">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）货物及其工艺所有制造方、使用方应支付的对专有技术、商标权、专利权和版权、设计或其他知识产权而需要向其他方支付的版税；</w:t>
      </w:r>
    </w:p>
    <w:p w14:paraId="02A2C75D">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（4）日常技术指导，免费的质保服务，包括但不限于免费对具有质量问题的货物进行处理或更换</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rPr>
        <w:t>按甲方要求小试及中试，并以甲方确认的最优化的产品成分配比向甲方供货</w:t>
      </w:r>
      <w:r>
        <w:rPr>
          <w:rFonts w:hint="eastAsia" w:ascii="宋体" w:hAnsi="宋体" w:eastAsia="宋体" w:cs="宋体"/>
          <w:color w:val="auto"/>
          <w:sz w:val="21"/>
          <w:szCs w:val="21"/>
          <w:highlight w:val="none"/>
          <w:lang w:val="zh-CN"/>
        </w:rPr>
        <w:t>；</w:t>
      </w:r>
    </w:p>
    <w:p w14:paraId="306917DA">
      <w:pPr>
        <w:snapToGrid w:val="0"/>
        <w:spacing w:line="360" w:lineRule="auto"/>
        <w:ind w:left="1018" w:leftChars="235" w:hanging="525" w:hanging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（5）合理利润、</w:t>
      </w:r>
      <w:r>
        <w:rPr>
          <w:rFonts w:hint="eastAsia" w:ascii="宋体" w:hAnsi="宋体" w:eastAsia="宋体" w:cs="宋体"/>
          <w:color w:val="auto"/>
          <w:kern w:val="2"/>
          <w:sz w:val="21"/>
          <w:szCs w:val="21"/>
          <w:highlight w:val="none"/>
          <w:lang w:val="zh-CN"/>
        </w:rPr>
        <w:t>乙方销项税额以外的税费</w:t>
      </w:r>
      <w:r>
        <w:rPr>
          <w:rFonts w:hint="eastAsia" w:ascii="宋体" w:hAnsi="宋体" w:eastAsia="宋体" w:cs="宋体"/>
          <w:color w:val="auto"/>
          <w:sz w:val="21"/>
          <w:szCs w:val="21"/>
          <w:highlight w:val="none"/>
        </w:rPr>
        <w:t>等；</w:t>
      </w:r>
    </w:p>
    <w:p w14:paraId="6902A25F">
      <w:pPr>
        <w:snapToGrid w:val="0"/>
        <w:spacing w:line="360" w:lineRule="auto"/>
        <w:ind w:left="1018" w:leftChars="235"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zh-CN"/>
        </w:rPr>
        <w:t>（6）法律法规、商业公认、招标文件规定由乙方承担的其他直接及间接费用</w:t>
      </w:r>
      <w:r>
        <w:rPr>
          <w:rFonts w:hint="eastAsia" w:ascii="宋体" w:hAnsi="宋体" w:eastAsia="宋体" w:cs="宋体"/>
          <w:color w:val="auto"/>
          <w:kern w:val="2"/>
          <w:sz w:val="21"/>
          <w:szCs w:val="21"/>
          <w:highlight w:val="none"/>
          <w:lang w:val="zh-CN"/>
        </w:rPr>
        <w:t>。</w:t>
      </w:r>
    </w:p>
    <w:p w14:paraId="0FE64DC7">
      <w:pPr>
        <w:autoSpaceDE/>
        <w:autoSpaceDN/>
        <w:adjustRightInd/>
        <w:spacing w:line="360" w:lineRule="auto"/>
        <w:ind w:left="124" w:leftChars="59" w:firstLine="424" w:firstLineChars="201"/>
        <w:jc w:val="both"/>
        <w:rPr>
          <w:rFonts w:hint="eastAsia" w:ascii="宋体" w:hAnsi="宋体" w:eastAsia="宋体" w:cs="宋体"/>
          <w:b/>
          <w:bCs/>
          <w:color w:val="auto"/>
          <w:sz w:val="21"/>
          <w:szCs w:val="21"/>
          <w:highlight w:val="none"/>
        </w:rPr>
      </w:pPr>
      <w:r>
        <w:rPr>
          <w:rFonts w:hint="eastAsia" w:ascii="宋体" w:hAnsi="宋体" w:eastAsia="宋体" w:cs="宋体"/>
          <w:b/>
          <w:color w:val="auto"/>
          <w:kern w:val="2"/>
          <w:sz w:val="21"/>
          <w:szCs w:val="21"/>
          <w:highlight w:val="none"/>
          <w:lang w:val="zh-CN"/>
        </w:rPr>
        <w:t>5、另外液体复合碳源的供货须按照甲方运营项目的实际供货需求，将会存在不同项目、不同时间</w:t>
      </w:r>
      <w:r>
        <w:rPr>
          <w:rFonts w:hint="eastAsia" w:ascii="宋体" w:hAnsi="宋体" w:eastAsia="宋体" w:cs="宋体"/>
          <w:b/>
          <w:color w:val="auto"/>
          <w:kern w:val="2"/>
          <w:sz w:val="21"/>
          <w:szCs w:val="21"/>
          <w:highlight w:val="none"/>
        </w:rPr>
        <w:t>分</w:t>
      </w:r>
      <w:r>
        <w:rPr>
          <w:rFonts w:hint="eastAsia" w:ascii="宋体" w:hAnsi="宋体" w:eastAsia="宋体" w:cs="宋体"/>
          <w:b/>
          <w:color w:val="auto"/>
          <w:kern w:val="2"/>
          <w:sz w:val="21"/>
          <w:szCs w:val="21"/>
          <w:highlight w:val="none"/>
          <w:lang w:val="zh-CN"/>
        </w:rPr>
        <w:t>次供货的情况，乙方应充分考虑上述因素可能导致的增加成本，并且该成本已包含在上述全部费用内。</w:t>
      </w:r>
    </w:p>
    <w:p w14:paraId="14FCC0A6">
      <w:pPr>
        <w:snapToGrid w:val="0"/>
        <w:spacing w:line="360" w:lineRule="auto"/>
        <w:ind w:firstLine="420" w:firstLineChars="200"/>
        <w:rPr>
          <w:rFonts w:hint="eastAsia" w:ascii="宋体" w:hAnsi="宋体" w:eastAsia="宋体" w:cs="宋体"/>
          <w:color w:val="auto"/>
          <w:sz w:val="21"/>
          <w:szCs w:val="21"/>
          <w:highlight w:val="none"/>
        </w:rPr>
      </w:pPr>
    </w:p>
    <w:p w14:paraId="6A120BFD">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合同价款及销项税价</w:t>
      </w:r>
    </w:p>
    <w:p w14:paraId="7457ED5E">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1、本合同综合单价（即销售额，不含乙方销项税额）为¥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在本合同履行过程中，综合单</w:t>
      </w:r>
      <w:r>
        <w:rPr>
          <w:rFonts w:hint="eastAsia" w:ascii="宋体" w:hAnsi="宋体" w:eastAsia="宋体" w:cs="宋体"/>
          <w:color w:val="auto"/>
          <w:sz w:val="21"/>
          <w:szCs w:val="21"/>
          <w:highlight w:val="none"/>
        </w:rPr>
        <w:t>价（即销售额，不含乙方销项税额）</w:t>
      </w:r>
      <w:r>
        <w:rPr>
          <w:rFonts w:hint="eastAsia" w:ascii="宋体" w:hAnsi="宋体" w:eastAsia="宋体" w:cs="宋体"/>
          <w:color w:val="auto"/>
          <w:sz w:val="21"/>
          <w:szCs w:val="21"/>
          <w:highlight w:val="none"/>
          <w:lang w:val="zh-CN"/>
        </w:rPr>
        <w:t>固定不变，不因材料、成分比例调整、劳务成本、运输成本、货物等行业标准或国家标准的变动等其他理由予以变更。</w:t>
      </w:r>
      <w:r>
        <w:rPr>
          <w:rFonts w:hint="eastAsia" w:ascii="宋体" w:hAnsi="宋体" w:eastAsia="宋体" w:cs="宋体"/>
          <w:color w:val="auto"/>
          <w:sz w:val="21"/>
          <w:szCs w:val="21"/>
          <w:highlight w:val="none"/>
        </w:rPr>
        <w:t>未经甲方书面确认，乙方无权增加任何费用。</w:t>
      </w:r>
    </w:p>
    <w:p w14:paraId="476CEE3E">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w:t>
      </w:r>
      <w:r>
        <w:rPr>
          <w:rFonts w:hint="eastAsia" w:ascii="宋体" w:hAnsi="宋体" w:eastAsia="宋体" w:cs="宋体"/>
          <w:color w:val="auto"/>
          <w:kern w:val="2"/>
          <w:sz w:val="21"/>
          <w:szCs w:val="21"/>
          <w:highlight w:val="none"/>
          <w:lang w:val="zh-CN"/>
        </w:rPr>
        <w:t>《中华人民共和国增值税暂行条例》（国务院令第691号修订版）</w:t>
      </w:r>
      <w:r>
        <w:rPr>
          <w:rFonts w:hint="eastAsia" w:ascii="宋体" w:hAnsi="宋体" w:eastAsia="宋体" w:cs="宋体"/>
          <w:color w:val="auto"/>
          <w:kern w:val="2"/>
          <w:sz w:val="21"/>
          <w:szCs w:val="21"/>
          <w:highlight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在本合同履行过程中，税收政策变动导致</w:t>
      </w:r>
      <w:r>
        <w:rPr>
          <w:rFonts w:hint="eastAsia" w:ascii="宋体" w:hAnsi="宋体" w:eastAsia="宋体" w:cs="宋体"/>
          <w:color w:val="auto"/>
          <w:kern w:val="2"/>
          <w:sz w:val="21"/>
          <w:szCs w:val="21"/>
          <w:highlight w:val="none"/>
        </w:rPr>
        <w:t>增值税</w:t>
      </w:r>
      <w:r>
        <w:rPr>
          <w:rFonts w:hint="eastAsia" w:ascii="宋体" w:hAnsi="宋体" w:eastAsia="宋体" w:cs="宋体"/>
          <w:color w:val="auto"/>
          <w:sz w:val="21"/>
          <w:szCs w:val="21"/>
          <w:highlight w:val="none"/>
          <w:lang w:val="zh-CN"/>
        </w:rPr>
        <w:t>税率调整，依法应调整</w:t>
      </w:r>
      <w:r>
        <w:rPr>
          <w:rFonts w:hint="eastAsia" w:ascii="宋体" w:hAnsi="宋体" w:eastAsia="宋体" w:cs="宋体"/>
          <w:color w:val="auto"/>
          <w:sz w:val="21"/>
          <w:szCs w:val="21"/>
          <w:highlight w:val="none"/>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3A6284A8">
      <w:pPr>
        <w:spacing w:line="360" w:lineRule="auto"/>
        <w:ind w:firstLine="476" w:firstLineChars="22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因乙方未按法定税率计算税额或未根据本合同约定出具对应税额的增值税专用发票等乙方原因导致甲方多支付税额的，乙方必须退还甲方，给甲方造成损失的，乙方须向甲方赔偿</w:t>
      </w:r>
      <w:r>
        <w:rPr>
          <w:rFonts w:hint="eastAsia" w:ascii="宋体" w:hAnsi="宋体" w:eastAsia="宋体" w:cs="宋体"/>
          <w:color w:val="auto"/>
          <w:sz w:val="21"/>
          <w:szCs w:val="21"/>
          <w:highlight w:val="none"/>
        </w:rPr>
        <w:t>相应损失。</w:t>
      </w:r>
    </w:p>
    <w:p w14:paraId="4D6E4B7A">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本合同综合单价</w:t>
      </w:r>
      <w:r>
        <w:rPr>
          <w:rFonts w:hint="eastAsia" w:ascii="宋体" w:hAnsi="宋体" w:eastAsia="宋体" w:cs="宋体"/>
          <w:color w:val="auto"/>
          <w:sz w:val="21"/>
          <w:szCs w:val="21"/>
          <w:highlight w:val="none"/>
        </w:rPr>
        <w:t>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14:paraId="1F406ECB">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4、采购合同下暂定采购数量对应的</w:t>
      </w:r>
      <w:bookmarkStart w:id="514" w:name="OLE_LINK18"/>
      <w:r>
        <w:rPr>
          <w:rFonts w:hint="eastAsia" w:ascii="宋体" w:hAnsi="宋体" w:eastAsia="宋体" w:cs="宋体"/>
          <w:color w:val="auto"/>
          <w:sz w:val="21"/>
          <w:szCs w:val="21"/>
          <w:highlight w:val="none"/>
        </w:rPr>
        <w:t>暂定总合同价</w:t>
      </w:r>
      <w:bookmarkEnd w:id="514"/>
      <w:r>
        <w:rPr>
          <w:rFonts w:hint="eastAsia" w:ascii="宋体" w:hAnsi="宋体" w:eastAsia="宋体" w:cs="宋体"/>
          <w:color w:val="auto"/>
          <w:sz w:val="21"/>
          <w:szCs w:val="21"/>
          <w:highlight w:val="none"/>
        </w:rPr>
        <w:t>为</w:t>
      </w:r>
      <w:bookmarkStart w:id="515" w:name="OLE_LINK17"/>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bookmarkEnd w:id="515"/>
      <w:r>
        <w:rPr>
          <w:rFonts w:hint="eastAsia" w:ascii="宋体" w:hAnsi="宋体" w:eastAsia="宋体" w:cs="宋体"/>
          <w:color w:val="auto"/>
          <w:sz w:val="21"/>
          <w:szCs w:val="21"/>
          <w:highlight w:val="none"/>
        </w:rPr>
        <w:t>，不含增值税）</w:t>
      </w:r>
      <w:bookmarkStart w:id="516" w:name="OLE_LINK23"/>
      <w:r>
        <w:rPr>
          <w:rFonts w:hint="eastAsia" w:ascii="宋体" w:hAnsi="宋体" w:eastAsia="宋体" w:cs="宋体"/>
          <w:color w:val="auto"/>
          <w:sz w:val="21"/>
          <w:szCs w:val="21"/>
          <w:highlight w:val="none"/>
          <w:lang w:eastAsia="zh-CN"/>
        </w:rPr>
        <w:t>；</w:t>
      </w:r>
      <w:bookmarkStart w:id="517" w:name="OLE_LINK19"/>
      <w:r>
        <w:rPr>
          <w:rFonts w:hint="eastAsia" w:ascii="宋体" w:hAnsi="宋体" w:eastAsia="宋体" w:cs="宋体"/>
          <w:color w:val="auto"/>
          <w:sz w:val="21"/>
          <w:szCs w:val="21"/>
          <w:highlight w:val="none"/>
        </w:rPr>
        <w:t>暂定采购数量对应的暂定合同含税总价为¥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bookmarkEnd w:id="516"/>
      <w:bookmarkEnd w:id="517"/>
      <w:r>
        <w:rPr>
          <w:rFonts w:hint="eastAsia" w:ascii="宋体" w:hAnsi="宋体" w:eastAsia="宋体" w:cs="宋体"/>
          <w:color w:val="auto"/>
          <w:sz w:val="21"/>
          <w:szCs w:val="21"/>
          <w:highlight w:val="none"/>
        </w:rPr>
        <w:t>。</w:t>
      </w:r>
    </w:p>
    <w:p w14:paraId="6190CA6D">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5、合同履约过程中，在供货期内按综合单价乘以实际供货数量进行结算。</w:t>
      </w:r>
    </w:p>
    <w:p w14:paraId="09B90FAE">
      <w:pPr>
        <w:spacing w:line="360" w:lineRule="auto"/>
        <w:ind w:firstLine="476" w:firstLineChars="227"/>
        <w:rPr>
          <w:rFonts w:hint="eastAsia" w:ascii="宋体" w:hAnsi="宋体" w:eastAsia="宋体" w:cs="宋体"/>
          <w:color w:val="auto"/>
          <w:sz w:val="21"/>
          <w:szCs w:val="21"/>
          <w:highlight w:val="none"/>
        </w:rPr>
      </w:pPr>
    </w:p>
    <w:p w14:paraId="1100307C">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合同组成</w:t>
      </w:r>
    </w:p>
    <w:p w14:paraId="33175E9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38A34DB5">
      <w:pPr>
        <w:snapToGrid w:val="0"/>
        <w:spacing w:line="360" w:lineRule="auto"/>
        <w:ind w:firstLine="422" w:firstLineChars="200"/>
        <w:rPr>
          <w:rFonts w:hint="eastAsia" w:ascii="宋体" w:hAnsi="宋体" w:eastAsia="宋体" w:cs="宋体"/>
          <w:b/>
          <w:color w:val="auto"/>
          <w:sz w:val="21"/>
          <w:szCs w:val="21"/>
          <w:highlight w:val="none"/>
        </w:rPr>
      </w:pPr>
    </w:p>
    <w:p w14:paraId="35BF2E61">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技术要求及质量要求</w:t>
      </w:r>
    </w:p>
    <w:p w14:paraId="1BA754B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14:paraId="38D2960A">
      <w:pPr>
        <w:spacing w:line="360" w:lineRule="auto"/>
        <w:ind w:firstLine="482" w:firstLineChars="23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2、液体复合碳源产品外观为无色至微黄色透明液体。</w:t>
      </w:r>
    </w:p>
    <w:p w14:paraId="1F75640D">
      <w:pPr>
        <w:spacing w:line="360" w:lineRule="auto"/>
        <w:ind w:firstLine="482" w:firstLineChars="2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3、液体复合碳源产品必须符合《废（污）水处理用复合碳源》（HG/T 5960-2021）质量及检测标准，主要技术指标要求如下：</w:t>
      </w:r>
    </w:p>
    <w:p w14:paraId="101165D1">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表1  液体复合碳源主要技术指标</w:t>
      </w:r>
    </w:p>
    <w:tbl>
      <w:tblPr>
        <w:tblStyle w:val="37"/>
        <w:tblW w:w="1013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6"/>
        <w:gridCol w:w="4846"/>
      </w:tblGrid>
      <w:tr w14:paraId="4519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286" w:type="dxa"/>
            <w:noWrap w:val="0"/>
            <w:vAlign w:val="center"/>
          </w:tcPr>
          <w:p w14:paraId="0985E7F9">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4846" w:type="dxa"/>
            <w:noWrap w:val="0"/>
            <w:vAlign w:val="center"/>
          </w:tcPr>
          <w:p w14:paraId="008962B0">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14:paraId="5883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6" w:type="dxa"/>
            <w:noWrap w:val="0"/>
            <w:vAlign w:val="center"/>
          </w:tcPr>
          <w:p w14:paraId="04CE97F5">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化学需氧量（COD</w:t>
            </w:r>
            <w:r>
              <w:rPr>
                <w:rFonts w:hint="eastAsia" w:ascii="宋体" w:hAnsi="宋体" w:eastAsia="宋体" w:cs="宋体"/>
                <w:b/>
                <w:color w:val="auto"/>
                <w:sz w:val="21"/>
                <w:szCs w:val="21"/>
                <w:highlight w:val="none"/>
                <w:vertAlign w:val="subscript"/>
              </w:rPr>
              <w:t>Cr</w:t>
            </w:r>
            <w:r>
              <w:rPr>
                <w:rFonts w:hint="eastAsia" w:ascii="宋体" w:hAnsi="宋体" w:eastAsia="宋体" w:cs="宋体"/>
                <w:b/>
                <w:color w:val="auto"/>
                <w:sz w:val="21"/>
                <w:szCs w:val="21"/>
                <w:highlight w:val="none"/>
              </w:rPr>
              <w:t>），mg/L</w:t>
            </w:r>
          </w:p>
        </w:tc>
        <w:tc>
          <w:tcPr>
            <w:tcW w:w="4846" w:type="dxa"/>
            <w:noWrap w:val="0"/>
            <w:vAlign w:val="center"/>
          </w:tcPr>
          <w:p w14:paraId="42F7603B">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≥2.5×10</w:t>
            </w:r>
            <w:r>
              <w:rPr>
                <w:rFonts w:hint="eastAsia" w:ascii="宋体" w:hAnsi="宋体" w:eastAsia="宋体" w:cs="宋体"/>
                <w:b/>
                <w:color w:val="auto"/>
                <w:sz w:val="21"/>
                <w:szCs w:val="21"/>
                <w:highlight w:val="none"/>
                <w:vertAlign w:val="superscript"/>
              </w:rPr>
              <w:t>5</w:t>
            </w:r>
          </w:p>
        </w:tc>
      </w:tr>
      <w:tr w14:paraId="4128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6" w:type="dxa"/>
            <w:noWrap w:val="0"/>
            <w:vAlign w:val="center"/>
          </w:tcPr>
          <w:p w14:paraId="22195F1F">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BOD</w:t>
            </w:r>
            <w:r>
              <w:rPr>
                <w:rFonts w:hint="eastAsia" w:ascii="宋体" w:hAnsi="宋体" w:eastAsia="宋体" w:cs="宋体"/>
                <w:b/>
                <w:color w:val="auto"/>
                <w:sz w:val="21"/>
                <w:szCs w:val="21"/>
                <w:highlight w:val="none"/>
                <w:vertAlign w:val="subscript"/>
              </w:rPr>
              <w:t>5</w:t>
            </w:r>
            <w:r>
              <w:rPr>
                <w:rFonts w:hint="eastAsia" w:ascii="宋体" w:hAnsi="宋体" w:eastAsia="宋体" w:cs="宋体"/>
                <w:b/>
                <w:color w:val="auto"/>
                <w:sz w:val="21"/>
                <w:szCs w:val="21"/>
                <w:highlight w:val="none"/>
              </w:rPr>
              <w:t>/COD</w:t>
            </w:r>
            <w:r>
              <w:rPr>
                <w:rFonts w:hint="eastAsia" w:ascii="宋体" w:hAnsi="宋体" w:eastAsia="宋体" w:cs="宋体"/>
                <w:b/>
                <w:color w:val="auto"/>
                <w:sz w:val="21"/>
                <w:szCs w:val="21"/>
                <w:highlight w:val="none"/>
                <w:vertAlign w:val="subscript"/>
              </w:rPr>
              <w:t>Cr</w:t>
            </w:r>
          </w:p>
        </w:tc>
        <w:tc>
          <w:tcPr>
            <w:tcW w:w="4846" w:type="dxa"/>
            <w:noWrap w:val="0"/>
            <w:vAlign w:val="center"/>
          </w:tcPr>
          <w:p w14:paraId="58CE8E62">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≥0.55</w:t>
            </w:r>
          </w:p>
        </w:tc>
      </w:tr>
      <w:tr w14:paraId="3D37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6" w:type="dxa"/>
            <w:noWrap w:val="0"/>
            <w:vAlign w:val="center"/>
          </w:tcPr>
          <w:p w14:paraId="4AF63E27">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pH值</w:t>
            </w:r>
          </w:p>
        </w:tc>
        <w:tc>
          <w:tcPr>
            <w:tcW w:w="4846" w:type="dxa"/>
            <w:noWrap w:val="0"/>
            <w:vAlign w:val="center"/>
          </w:tcPr>
          <w:p w14:paraId="0CC9CFEB">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4.0~9.0</w:t>
            </w:r>
          </w:p>
        </w:tc>
      </w:tr>
      <w:tr w14:paraId="7B9D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6" w:type="dxa"/>
            <w:noWrap w:val="0"/>
            <w:vAlign w:val="center"/>
          </w:tcPr>
          <w:p w14:paraId="652A4615">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水不溶物的质量分数，%</w:t>
            </w:r>
          </w:p>
        </w:tc>
        <w:tc>
          <w:tcPr>
            <w:tcW w:w="4846" w:type="dxa"/>
            <w:noWrap w:val="0"/>
            <w:vAlign w:val="center"/>
          </w:tcPr>
          <w:p w14:paraId="1A5E0E20">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≤0.2</w:t>
            </w:r>
          </w:p>
        </w:tc>
      </w:tr>
      <w:tr w14:paraId="7772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6" w:type="dxa"/>
            <w:noWrap w:val="0"/>
            <w:vAlign w:val="center"/>
          </w:tcPr>
          <w:p w14:paraId="2052907D">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氯化物（Cl）的质量分数，%</w:t>
            </w:r>
          </w:p>
        </w:tc>
        <w:tc>
          <w:tcPr>
            <w:tcW w:w="4846" w:type="dxa"/>
            <w:noWrap w:val="0"/>
            <w:vAlign w:val="center"/>
          </w:tcPr>
          <w:p w14:paraId="59A54361">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≤0.025</w:t>
            </w:r>
          </w:p>
        </w:tc>
      </w:tr>
      <w:tr w14:paraId="0E0B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6" w:type="dxa"/>
            <w:noWrap w:val="0"/>
            <w:vAlign w:val="center"/>
          </w:tcPr>
          <w:p w14:paraId="3404D34E">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硫酸盐（SO</w:t>
            </w:r>
            <w:r>
              <w:rPr>
                <w:rFonts w:hint="eastAsia" w:ascii="宋体" w:hAnsi="宋体" w:eastAsia="宋体" w:cs="宋体"/>
                <w:b/>
                <w:color w:val="auto"/>
                <w:sz w:val="21"/>
                <w:szCs w:val="21"/>
                <w:highlight w:val="none"/>
                <w:vertAlign w:val="subscript"/>
              </w:rPr>
              <w:t>4</w:t>
            </w:r>
            <w:r>
              <w:rPr>
                <w:rFonts w:hint="eastAsia" w:ascii="宋体" w:hAnsi="宋体" w:eastAsia="宋体" w:cs="宋体"/>
                <w:b/>
                <w:color w:val="auto"/>
                <w:sz w:val="21"/>
                <w:szCs w:val="21"/>
                <w:highlight w:val="none"/>
              </w:rPr>
              <w:t>）的质量分数，%</w:t>
            </w:r>
          </w:p>
        </w:tc>
        <w:tc>
          <w:tcPr>
            <w:tcW w:w="4846" w:type="dxa"/>
            <w:noWrap w:val="0"/>
            <w:vAlign w:val="center"/>
          </w:tcPr>
          <w:p w14:paraId="3476C274">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≤0.025</w:t>
            </w:r>
          </w:p>
        </w:tc>
      </w:tr>
    </w:tbl>
    <w:p w14:paraId="453D9B8C">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4、供货期间，如有发布最新的行业标准或国家标准，甲方有权根据甲方运营项目实际情况及有关行业标准或国家标准对合同的主要技术指标进行变更调整，乙方应无条件接受。</w:t>
      </w:r>
    </w:p>
    <w:p w14:paraId="1B662A69">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5、乙方的供货产品必须是无安全风险、稳定、各成分无化学反应的产品。</w:t>
      </w:r>
    </w:p>
    <w:p w14:paraId="31153830">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6、乙方的供货产品不得对甲方运营项目活性污泥微生物造成有毒有害影响，不得影响甲方运营项目出水总氮、总磷等指标。</w:t>
      </w:r>
    </w:p>
    <w:p w14:paraId="5AD4A867">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7、乙方必须提供产品的主要原材料证明，且原材料不得使用工业废料。</w:t>
      </w:r>
    </w:p>
    <w:p w14:paraId="0071DF6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8、乙方所供产品的真实质量，必须满足本合同要求的所有技术指标。</w:t>
      </w:r>
    </w:p>
    <w:p w14:paraId="49244217">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9、乙方须根据甲方运营项目的情况，提供满足</w:t>
      </w:r>
      <w:r>
        <w:rPr>
          <w:rFonts w:hint="eastAsia" w:ascii="宋体" w:hAnsi="宋体" w:eastAsia="宋体" w:cs="宋体"/>
          <w:color w:val="auto"/>
          <w:sz w:val="21"/>
          <w:szCs w:val="21"/>
          <w:highlight w:val="none"/>
          <w:lang w:val="en-US" w:eastAsia="zh-CN"/>
        </w:rPr>
        <w:t>各</w:t>
      </w:r>
      <w:r>
        <w:rPr>
          <w:rFonts w:hint="eastAsia" w:ascii="宋体" w:hAnsi="宋体" w:eastAsia="宋体" w:cs="宋体"/>
          <w:color w:val="auto"/>
          <w:sz w:val="21"/>
          <w:szCs w:val="21"/>
          <w:highlight w:val="none"/>
        </w:rPr>
        <w:t>运营项目正常生产运营的</w:t>
      </w: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rPr>
        <w:t xml:space="preserve">产品。 </w:t>
      </w:r>
    </w:p>
    <w:p w14:paraId="0683D47C">
      <w:pPr>
        <w:snapToGrid w:val="0"/>
        <w:spacing w:line="360" w:lineRule="auto"/>
        <w:ind w:firstLine="420" w:firstLineChars="200"/>
        <w:rPr>
          <w:rFonts w:hint="eastAsia" w:ascii="宋体" w:hAnsi="宋体" w:eastAsia="宋体" w:cs="宋体"/>
          <w:color w:val="auto"/>
          <w:sz w:val="21"/>
          <w:szCs w:val="21"/>
          <w:highlight w:val="none"/>
        </w:rPr>
      </w:pPr>
    </w:p>
    <w:p w14:paraId="10CB379F">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交货要求</w:t>
      </w:r>
    </w:p>
    <w:p w14:paraId="35B21D81">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1、交货地点：甲方在东莞市范围内的运营项目。</w:t>
      </w:r>
    </w:p>
    <w:p w14:paraId="3465438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2、交货时间：</w:t>
      </w:r>
      <w:r>
        <w:rPr>
          <w:rFonts w:hint="eastAsia" w:ascii="宋体" w:hAnsi="宋体" w:eastAsia="宋体" w:cs="宋体"/>
          <w:color w:val="auto"/>
          <w:kern w:val="2"/>
          <w:sz w:val="21"/>
          <w:szCs w:val="21"/>
          <w:highlight w:val="none"/>
        </w:rPr>
        <w:t>日常供货（非加急供货)为接到供货通知24小时内，加急供货为接到供货通知4小时内，具体交货时间以甲方运营项目供货通知为准。甲方无需因加急供货而额外支付任何费用</w:t>
      </w:r>
      <w:r>
        <w:rPr>
          <w:rFonts w:hint="eastAsia" w:ascii="宋体" w:hAnsi="宋体" w:eastAsia="宋体" w:cs="宋体"/>
          <w:color w:val="auto"/>
          <w:sz w:val="21"/>
          <w:szCs w:val="21"/>
          <w:highlight w:val="none"/>
        </w:rPr>
        <w:t>。</w:t>
      </w:r>
    </w:p>
    <w:p w14:paraId="0FE70DA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自行负责将生产药剂运送至甲方运营项目指定位置（生产药剂储存罐），未经甲方书面同意，乙方不得私自将本合同项下的货物运输义务委托第三方个人或企业。乙方承担相应的运输、装卸等费用，运输人员应配备足够防护器具。如在运输及装卸过程中，生产药剂发生泄漏，应由乙方负责清理收集，避免造成人员伤害或环境污染。</w:t>
      </w:r>
    </w:p>
    <w:p w14:paraId="44720E16">
      <w:pPr>
        <w:autoSpaceDE/>
        <w:autoSpaceDN/>
        <w:adjustRightInd/>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4、每次送货，乙方须提供电子地磅的称重单（含载货时的称重单和卸货后的称重单），相关费用由乙方承担。实际供货数量以甲方运营项目和乙方双方确认的电子地磅的称重单为准。</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运营项目有电子地磅的，原则上在</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运营项目过磅；</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运营项目无电子地磅或电子地磅因检修等原因不可用的，在交货地点附近的电子地磅过磅。</w:t>
      </w:r>
      <w:r>
        <w:rPr>
          <w:rFonts w:hint="eastAsia" w:ascii="宋体" w:hAnsi="宋体" w:eastAsia="宋体" w:cs="宋体"/>
          <w:color w:val="auto"/>
          <w:szCs w:val="21"/>
        </w:rPr>
        <w:t>甲方</w:t>
      </w:r>
      <w:r>
        <w:rPr>
          <w:rFonts w:hint="eastAsia" w:ascii="宋体" w:hAnsi="宋体" w:eastAsia="宋体" w:cs="宋体"/>
          <w:color w:val="auto"/>
          <w:szCs w:val="21"/>
          <w:lang w:val="en-US" w:eastAsia="zh-CN"/>
        </w:rPr>
        <w:t>及甲方关联公司</w:t>
      </w:r>
      <w:r>
        <w:rPr>
          <w:rFonts w:hint="eastAsia" w:ascii="宋体" w:hAnsi="宋体" w:eastAsia="宋体" w:cs="宋体"/>
          <w:color w:val="auto"/>
          <w:szCs w:val="21"/>
        </w:rPr>
        <w:t>电子地磅的称重服务不含税单价为1.51元/吨，称重服务相关条款由甲方</w:t>
      </w:r>
      <w:r>
        <w:rPr>
          <w:rFonts w:hint="eastAsia" w:ascii="宋体" w:hAnsi="宋体" w:eastAsia="宋体" w:cs="宋体"/>
          <w:color w:val="auto"/>
          <w:szCs w:val="21"/>
          <w:lang w:val="en-US" w:eastAsia="zh-CN"/>
        </w:rPr>
        <w:t>或甲方关联公司</w:t>
      </w:r>
      <w:r>
        <w:rPr>
          <w:rFonts w:hint="eastAsia" w:ascii="宋体" w:hAnsi="宋体" w:eastAsia="宋体" w:cs="宋体"/>
          <w:color w:val="auto"/>
          <w:szCs w:val="21"/>
        </w:rPr>
        <w:t>与</w:t>
      </w:r>
      <w:r>
        <w:rPr>
          <w:rFonts w:hint="eastAsia" w:ascii="宋体" w:hAnsi="宋体" w:eastAsia="宋体" w:cs="宋体"/>
          <w:color w:val="auto"/>
          <w:szCs w:val="21"/>
          <w:lang w:val="en-US" w:eastAsia="zh-CN"/>
        </w:rPr>
        <w:t>乙方</w:t>
      </w:r>
      <w:r>
        <w:rPr>
          <w:rFonts w:hint="eastAsia" w:ascii="宋体" w:hAnsi="宋体" w:eastAsia="宋体" w:cs="宋体"/>
          <w:color w:val="auto"/>
          <w:szCs w:val="21"/>
        </w:rPr>
        <w:t>签订称重服务合同另行约定。</w:t>
      </w:r>
    </w:p>
    <w:p w14:paraId="09567A3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5、每次送货，乙方须随货提供生产厂家出具的具有</w:t>
      </w:r>
      <w:r>
        <w:rPr>
          <w:rFonts w:hint="eastAsia" w:ascii="宋体" w:hAnsi="宋体" w:eastAsia="宋体" w:cs="宋体"/>
          <w:b/>
          <w:bCs/>
          <w:color w:val="auto"/>
          <w:sz w:val="21"/>
          <w:szCs w:val="21"/>
          <w:highlight w:val="none"/>
        </w:rPr>
        <w:t>生产厂家、出厂批号、化学需氧量（COD</w:t>
      </w:r>
      <w:r>
        <w:rPr>
          <w:rFonts w:hint="eastAsia" w:ascii="宋体" w:hAnsi="宋体" w:eastAsia="宋体" w:cs="宋体"/>
          <w:b/>
          <w:bCs/>
          <w:color w:val="auto"/>
          <w:sz w:val="21"/>
          <w:szCs w:val="21"/>
          <w:highlight w:val="none"/>
          <w:vertAlign w:val="subscript"/>
        </w:rPr>
        <w:t>Cr</w:t>
      </w:r>
      <w:r>
        <w:rPr>
          <w:rFonts w:hint="eastAsia" w:ascii="宋体" w:hAnsi="宋体" w:eastAsia="宋体" w:cs="宋体"/>
          <w:b/>
          <w:bCs/>
          <w:color w:val="auto"/>
          <w:sz w:val="21"/>
          <w:szCs w:val="21"/>
          <w:highlight w:val="none"/>
        </w:rPr>
        <w:t>）、pH值、水不溶物、氯化物等主要信息</w:t>
      </w:r>
      <w:r>
        <w:rPr>
          <w:rFonts w:hint="eastAsia" w:ascii="宋体" w:hAnsi="宋体" w:eastAsia="宋体" w:cs="宋体"/>
          <w:color w:val="auto"/>
          <w:sz w:val="21"/>
          <w:szCs w:val="21"/>
          <w:highlight w:val="none"/>
        </w:rPr>
        <w:t>的</w:t>
      </w:r>
      <w:r>
        <w:rPr>
          <w:rFonts w:hint="eastAsia" w:ascii="宋体" w:hAnsi="宋体" w:eastAsia="宋体" w:cs="宋体"/>
          <w:color w:val="auto"/>
          <w:szCs w:val="21"/>
          <w:highlight w:val="none"/>
        </w:rPr>
        <w:t>符合表1《液体复合碳源主要技术指标》要求的</w:t>
      </w:r>
      <w:r>
        <w:rPr>
          <w:rFonts w:hint="eastAsia" w:ascii="宋体" w:hAnsi="宋体" w:eastAsia="宋体" w:cs="宋体"/>
          <w:color w:val="auto"/>
          <w:sz w:val="21"/>
          <w:szCs w:val="21"/>
          <w:highlight w:val="none"/>
        </w:rPr>
        <w:t>产品质量检验报告（如出厂检验报告、质量检验报告等）、供货单据等资料，乙方提供的检验报告只作为甲方运营项目参考。</w:t>
      </w:r>
    </w:p>
    <w:p w14:paraId="45C00DAA">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6、供货期间，在收到甲方运营项目供货通知前，乙方无需为合同履行做准备工作。</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运营项目相关信息见附件</w:t>
      </w:r>
      <w:r>
        <w:rPr>
          <w:rFonts w:hint="eastAsia" w:ascii="宋体" w:hAnsi="宋体" w:eastAsia="宋体" w:cs="宋体"/>
          <w:color w:val="auto"/>
          <w:sz w:val="21"/>
          <w:szCs w:val="21"/>
          <w:highlight w:val="none"/>
          <w:lang w:eastAsia="zh-CN"/>
        </w:rPr>
        <w:t>。</w:t>
      </w:r>
    </w:p>
    <w:p w14:paraId="13C492C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7、关于生产药剂的贮存装置、贮存条件等要求，乙方应以书面形式详细告知甲方运营项目。</w:t>
      </w:r>
    </w:p>
    <w:p w14:paraId="3C26BDC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生产药剂的运送及输送方式应符合国家或行业规范标准。液体药剂采用聚乙烯塑料桶或专用耐酸碱耐腐蚀贮罐等密闭容器装运,运输过程防止药剂泄漏并避免有毒物品的污染，不得与有腐蚀性及强氧化性的物品混装、混运，且乙方或其委托的运输单位应当具备国家及行业规定的运输资质。</w:t>
      </w:r>
    </w:p>
    <w:p w14:paraId="41BAEBF2">
      <w:pPr>
        <w:snapToGrid w:val="0"/>
        <w:spacing w:line="360" w:lineRule="auto"/>
        <w:ind w:firstLine="420" w:firstLineChars="200"/>
        <w:rPr>
          <w:rFonts w:hint="eastAsia" w:ascii="宋体" w:hAnsi="宋体" w:eastAsia="宋体" w:cs="宋体"/>
          <w:color w:val="auto"/>
          <w:sz w:val="21"/>
          <w:szCs w:val="21"/>
          <w:highlight w:val="none"/>
        </w:rPr>
      </w:pPr>
    </w:p>
    <w:p w14:paraId="7099F77B">
      <w:pPr>
        <w:snapToGrid w:val="0"/>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储存</w:t>
      </w:r>
    </w:p>
    <w:p w14:paraId="77A675D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p>
    <w:p w14:paraId="054D059F">
      <w:pPr>
        <w:snapToGrid w:val="0"/>
        <w:spacing w:line="360" w:lineRule="auto"/>
        <w:ind w:firstLine="373" w:firstLineChars="177"/>
        <w:rPr>
          <w:rFonts w:hint="eastAsia" w:ascii="宋体" w:hAnsi="宋体" w:eastAsia="宋体" w:cs="宋体"/>
          <w:b/>
          <w:color w:val="auto"/>
          <w:sz w:val="21"/>
          <w:szCs w:val="21"/>
          <w:highlight w:val="none"/>
        </w:rPr>
      </w:pPr>
    </w:p>
    <w:p w14:paraId="288522AF">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验收要求</w:t>
      </w:r>
    </w:p>
    <w:p w14:paraId="2096954B">
      <w:pPr>
        <w:autoSpaceDE/>
        <w:autoSpaceDN/>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2A8C1867">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（1）初步验收：</w:t>
      </w:r>
    </w:p>
    <w:p w14:paraId="3FD8D1CE">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1）货物运抵交货地点，甲方运营项目、乙方共同验货。甲方运营项目按照本合同及招标文件，对货物的数量、品种、随车产品质量检验报告、供货单据等进行核对。</w:t>
      </w:r>
    </w:p>
    <w:p w14:paraId="6F4C83B7">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2）初步验收合格后，甲方运营项目、乙方双方进行相关签收手续。</w:t>
      </w:r>
    </w:p>
    <w:p w14:paraId="47340A3F">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（2）最终验收</w:t>
      </w:r>
    </w:p>
    <w:p w14:paraId="2C58A75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对每次供货货物检验，检验指标由乙方在</w:t>
      </w:r>
      <w:bookmarkStart w:id="518" w:name="OLE_LINK12"/>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液体复合碳源主要技术指标</w:t>
      </w:r>
      <w:r>
        <w:rPr>
          <w:rFonts w:hint="eastAsia" w:ascii="宋体" w:hAnsi="宋体" w:eastAsia="宋体" w:cs="宋体"/>
          <w:b/>
          <w:bCs/>
          <w:color w:val="auto"/>
          <w:sz w:val="21"/>
          <w:szCs w:val="21"/>
          <w:highlight w:val="none"/>
          <w:lang w:eastAsia="zh-CN"/>
        </w:rPr>
        <w:t>》</w:t>
      </w:r>
      <w:bookmarkEnd w:id="518"/>
      <w:r>
        <w:rPr>
          <w:rFonts w:hint="eastAsia" w:ascii="宋体" w:hAnsi="宋体" w:eastAsia="宋体" w:cs="宋体"/>
          <w:b/>
          <w:bCs/>
          <w:color w:val="auto"/>
          <w:sz w:val="21"/>
          <w:szCs w:val="21"/>
          <w:highlight w:val="none"/>
        </w:rPr>
        <w:t>中选择，</w:t>
      </w:r>
      <w:r>
        <w:rPr>
          <w:rFonts w:hint="eastAsia" w:ascii="宋体" w:hAnsi="宋体" w:eastAsia="宋体" w:cs="宋体"/>
          <w:color w:val="auto"/>
          <w:sz w:val="21"/>
          <w:szCs w:val="21"/>
          <w:highlight w:val="none"/>
        </w:rPr>
        <w:t>其中化学需氧量、</w:t>
      </w:r>
      <w:r>
        <w:rPr>
          <w:rFonts w:hint="eastAsia" w:ascii="宋体" w:hAnsi="宋体" w:eastAsia="宋体" w:cs="宋体"/>
          <w:bCs/>
          <w:color w:val="auto"/>
          <w:sz w:val="21"/>
          <w:szCs w:val="21"/>
          <w:highlight w:val="none"/>
        </w:rPr>
        <w:t>BOD</w:t>
      </w:r>
      <w:r>
        <w:rPr>
          <w:rFonts w:hint="eastAsia" w:ascii="宋体" w:hAnsi="宋体" w:eastAsia="宋体" w:cs="宋体"/>
          <w:bCs/>
          <w:color w:val="auto"/>
          <w:sz w:val="21"/>
          <w:szCs w:val="21"/>
          <w:highlight w:val="none"/>
          <w:vertAlign w:val="subscript"/>
        </w:rPr>
        <w:t>5</w:t>
      </w:r>
      <w:r>
        <w:rPr>
          <w:rFonts w:hint="eastAsia" w:ascii="宋体" w:hAnsi="宋体" w:eastAsia="宋体" w:cs="宋体"/>
          <w:bCs/>
          <w:color w:val="auto"/>
          <w:sz w:val="21"/>
          <w:szCs w:val="21"/>
          <w:highlight w:val="none"/>
        </w:rPr>
        <w:t>/COD</w:t>
      </w:r>
      <w:r>
        <w:rPr>
          <w:rFonts w:hint="eastAsia" w:ascii="宋体" w:hAnsi="宋体" w:eastAsia="宋体" w:cs="宋体"/>
          <w:bCs/>
          <w:color w:val="auto"/>
          <w:sz w:val="21"/>
          <w:szCs w:val="21"/>
          <w:highlight w:val="none"/>
          <w:vertAlign w:val="subscript"/>
        </w:rPr>
        <w:t>Cr</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pH为每次供货货物的批检检验指标，其余指标为甲方根据需要抽检的按需检验指标，货物批检检验指标和按需检验指标由甲方根据甲方</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 w:val="21"/>
          <w:szCs w:val="21"/>
          <w:highlight w:val="none"/>
        </w:rPr>
        <w:t>每次货到现场时可由双方共同取样，供货货物合格判定以甲方</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实验室检验结果为准。甲方根据需要可委托具有CMA认证资质的第三方检测机构检测，甲方委托的具有CMA认证资质的第三方检测机构的检验结果与甲方运营项目实验室不一致的，该次的供货货物质量判定以甲方委托的具有CMA认证资质的第三方检测机构的检验结果为准。</w:t>
      </w:r>
    </w:p>
    <w:p w14:paraId="61877F0F">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货物检验方法按《废（污）水处理用复合碳源》（HG/T 5960-2021）中的检测方法进行</w:t>
      </w:r>
      <w:r>
        <w:rPr>
          <w:rFonts w:hint="eastAsia" w:ascii="宋体" w:hAnsi="宋体" w:eastAsia="宋体" w:cs="宋体"/>
          <w:color w:val="auto"/>
          <w:sz w:val="21"/>
          <w:szCs w:val="21"/>
          <w:highlight w:val="none"/>
        </w:rPr>
        <w:t>。供货期间，如有发布最新的行业标准或国家标准，货物检验方法按发布的最新行业标准或国家标准执行。</w:t>
      </w:r>
    </w:p>
    <w:p w14:paraId="043236F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w:t>
      </w:r>
      <w:bookmarkStart w:id="519" w:name="OLE_LINK20"/>
      <w:r>
        <w:rPr>
          <w:rFonts w:hint="eastAsia" w:ascii="宋体" w:hAnsi="宋体" w:eastAsia="宋体" w:cs="宋体"/>
          <w:b/>
          <w:color w:val="auto"/>
          <w:sz w:val="21"/>
          <w:szCs w:val="21"/>
          <w:highlight w:val="none"/>
        </w:rPr>
        <w:t>表1《液体复合碳源主要技术指标》</w:t>
      </w:r>
      <w:bookmarkEnd w:id="519"/>
      <w:r>
        <w:rPr>
          <w:rFonts w:hint="eastAsia" w:ascii="宋体" w:hAnsi="宋体" w:eastAsia="宋体" w:cs="宋体"/>
          <w:color w:val="auto"/>
          <w:sz w:val="21"/>
          <w:szCs w:val="21"/>
          <w:highlight w:val="none"/>
        </w:rPr>
        <w:t>要求则最终验收合格。</w:t>
      </w:r>
    </w:p>
    <w:p w14:paraId="7F1722B3">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2、货物按上述程序验收后，甲方运营项目向乙方出具书面的验收报告，乙方需对验收报告盖章确认。验收报告作为对货物供货数量及主要技术指标验收的证明，不代表对货物使用效果的认可。</w:t>
      </w:r>
    </w:p>
    <w:p w14:paraId="26403976">
      <w:pPr>
        <w:autoSpaceDE/>
        <w:autoSpaceDN/>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3、甲方运营项目根据本条规定对货物所做出的验收，仅作为起算付款及质保期之用，不视为双方对于货物质量的最终认可，乙方仍应在质保期内对产品质量承担保证责任。</w:t>
      </w:r>
    </w:p>
    <w:p w14:paraId="3581FD38">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乙方承担，如因发生前述情形，导致乙方所提供的货物不能通过甲方运营项目验收的，乙方应按甲方运营项目要求无条件予以退换货，给甲方造成损失的乙方须承担全部的赔偿责任</w:t>
      </w:r>
      <w:r>
        <w:rPr>
          <w:rFonts w:hint="eastAsia" w:ascii="宋体" w:hAnsi="宋体" w:eastAsia="宋体" w:cs="宋体"/>
          <w:color w:val="auto"/>
          <w:sz w:val="21"/>
          <w:szCs w:val="21"/>
          <w:highlight w:val="none"/>
        </w:rPr>
        <w:t>。</w:t>
      </w:r>
    </w:p>
    <w:p w14:paraId="7D1373D7">
      <w:pPr>
        <w:snapToGrid w:val="0"/>
        <w:spacing w:line="360" w:lineRule="auto"/>
        <w:ind w:firstLine="420" w:firstLineChars="200"/>
        <w:outlineLvl w:val="9"/>
        <w:rPr>
          <w:rFonts w:hint="eastAsia" w:ascii="宋体" w:hAnsi="宋体" w:eastAsia="宋体" w:cs="宋体"/>
          <w:color w:val="auto"/>
          <w:sz w:val="21"/>
          <w:szCs w:val="21"/>
          <w:highlight w:val="none"/>
        </w:rPr>
      </w:pPr>
    </w:p>
    <w:p w14:paraId="677CCCAD">
      <w:pPr>
        <w:autoSpaceDE/>
        <w:autoSpaceDN/>
        <w:adjustRightInd/>
        <w:spacing w:line="360" w:lineRule="auto"/>
        <w:ind w:firstLine="422" w:firstLineChars="20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资料要求</w:t>
      </w:r>
    </w:p>
    <w:p w14:paraId="55677A9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1、乙方需向甲方运营项目提供但不限于下述技术资料：</w:t>
      </w:r>
    </w:p>
    <w:p w14:paraId="55E8C60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2"/>
          <w:sz w:val="21"/>
          <w:szCs w:val="21"/>
          <w:highlight w:val="none"/>
        </w:rPr>
        <w:t>符合第五条交货要求第5点要求的产品质量检验报告（如出厂检验报告、质量检验报告等）</w:t>
      </w:r>
      <w:r>
        <w:rPr>
          <w:rFonts w:hint="eastAsia" w:ascii="宋体" w:hAnsi="宋体" w:eastAsia="宋体" w:cs="宋体"/>
          <w:color w:val="auto"/>
          <w:sz w:val="21"/>
          <w:szCs w:val="21"/>
          <w:highlight w:val="none"/>
        </w:rPr>
        <w:t>、供货单据；</w:t>
      </w:r>
    </w:p>
    <w:p w14:paraId="731842B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14:paraId="03555E7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4DE46DE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（4）甲方运营项目要求提供的其他技术资料。</w:t>
      </w:r>
    </w:p>
    <w:p w14:paraId="18D383E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2、乙方需将上述资料（若上述资料为复印件的，则须加盖乙方公章）在交货时交给甲方运营项目，有关资料的收集和整理由乙方负责，甲方运营项目予以配合。</w:t>
      </w:r>
    </w:p>
    <w:p w14:paraId="18C581F8">
      <w:pPr>
        <w:autoSpaceDE/>
        <w:autoSpaceDN/>
        <w:adjustRightInd/>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rPr>
        <w:t>供货期内，</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需每季度委托具有CMA认证资质的第三方检测机构对供货期间所供货物进行检测，并提供第三方检测机构出具的</w:t>
      </w:r>
      <w:r>
        <w:rPr>
          <w:rFonts w:hint="eastAsia" w:ascii="宋体" w:hAnsi="宋体" w:eastAsia="宋体" w:cs="宋体"/>
          <w:color w:val="auto"/>
          <w:szCs w:val="21"/>
          <w:highlight w:val="none"/>
        </w:rPr>
        <w:t>符合表1《液体复合碳源主要技术指标》要求的</w:t>
      </w:r>
      <w:r>
        <w:rPr>
          <w:rFonts w:hint="eastAsia" w:ascii="宋体" w:hAnsi="宋体" w:eastAsia="宋体" w:cs="宋体"/>
          <w:color w:val="auto"/>
          <w:kern w:val="2"/>
          <w:sz w:val="21"/>
          <w:szCs w:val="21"/>
          <w:highlight w:val="none"/>
        </w:rPr>
        <w:t>检验报告，检验报告上的标徽应包括但不限于CMA认证标徽，</w:t>
      </w:r>
      <w:r>
        <w:rPr>
          <w:rFonts w:hint="eastAsia" w:ascii="宋体" w:hAnsi="宋体" w:eastAsia="宋体" w:cs="宋体"/>
          <w:color w:val="auto"/>
          <w:sz w:val="21"/>
          <w:szCs w:val="21"/>
          <w:highlight w:val="none"/>
        </w:rPr>
        <w:t>检验报告需体现委托方、生产厂家、送检样品的产品名称、生产批号或生产日期、表1《液体复合碳源主要技术指标》中各指标</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检测结果，检验报告</w:t>
      </w:r>
      <w:r>
        <w:rPr>
          <w:rFonts w:hint="eastAsia" w:ascii="宋体" w:hAnsi="宋体" w:eastAsia="宋体" w:cs="宋体"/>
          <w:color w:val="auto"/>
          <w:kern w:val="2"/>
          <w:sz w:val="21"/>
          <w:szCs w:val="21"/>
          <w:highlight w:val="none"/>
        </w:rPr>
        <w:t>使用的检测方法需符合《废（污）水处理用复合碳源》（HG/T 5960-2021）</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p>
    <w:p w14:paraId="5AD6A860">
      <w:pPr>
        <w:autoSpaceDE/>
        <w:autoSpaceDN/>
        <w:adjustRightInd/>
        <w:spacing w:line="360" w:lineRule="auto"/>
        <w:ind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提交的技术资料在出现遗漏或发现错误时，应及时补充或更正后提交甲方运营项目。</w:t>
      </w:r>
    </w:p>
    <w:p w14:paraId="5FB8EF1F">
      <w:pPr>
        <w:snapToGrid w:val="0"/>
        <w:spacing w:line="360" w:lineRule="auto"/>
        <w:ind w:firstLine="420" w:firstLineChars="200"/>
        <w:rPr>
          <w:rFonts w:hint="eastAsia" w:ascii="宋体" w:hAnsi="宋体" w:eastAsia="宋体" w:cs="宋体"/>
          <w:color w:val="auto"/>
          <w:sz w:val="21"/>
          <w:szCs w:val="21"/>
          <w:highlight w:val="none"/>
        </w:rPr>
      </w:pPr>
    </w:p>
    <w:p w14:paraId="1E4764F2">
      <w:pPr>
        <w:snapToGrid w:val="0"/>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权利保证</w:t>
      </w:r>
    </w:p>
    <w:p w14:paraId="3ABA8C6C">
      <w:pPr>
        <w:snapToGrid w:val="0"/>
        <w:spacing w:line="360" w:lineRule="auto"/>
        <w:ind w:firstLine="371" w:firstLineChars="177"/>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14:paraId="6F8BF1EA">
      <w:pPr>
        <w:snapToGrid w:val="0"/>
        <w:spacing w:line="360" w:lineRule="auto"/>
        <w:ind w:firstLine="373" w:firstLineChars="177"/>
        <w:rPr>
          <w:rFonts w:hint="eastAsia" w:ascii="宋体" w:hAnsi="宋体" w:eastAsia="宋体" w:cs="宋体"/>
          <w:b/>
          <w:color w:val="auto"/>
          <w:sz w:val="21"/>
          <w:szCs w:val="21"/>
          <w:highlight w:val="none"/>
        </w:rPr>
      </w:pPr>
    </w:p>
    <w:p w14:paraId="5981169D">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质量保证及售后服务</w:t>
      </w:r>
    </w:p>
    <w:p w14:paraId="04ADF2EC">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
          <w:color w:val="auto"/>
          <w:sz w:val="21"/>
          <w:szCs w:val="21"/>
          <w:highlight w:val="none"/>
        </w:rPr>
        <w:t>以货到现场之日算起六个月</w:t>
      </w:r>
      <w:r>
        <w:rPr>
          <w:rFonts w:hint="eastAsia" w:ascii="宋体" w:hAnsi="宋体" w:eastAsia="宋体" w:cs="宋体"/>
          <w:color w:val="auto"/>
          <w:sz w:val="21"/>
          <w:szCs w:val="21"/>
          <w:highlight w:val="none"/>
        </w:rPr>
        <w:t>，保质期内产品质量须达到本合同所有技术指标要求。</w:t>
      </w:r>
    </w:p>
    <w:p w14:paraId="7DFFEBB3">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2、乙方应具有相应的技术人员，具备供货及售前售后的服务能力。</w:t>
      </w:r>
    </w:p>
    <w:p w14:paraId="53C5496F">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3、乙方在接到质量问题通知后 4 小时内自费派工程师到达现场对问题进行处理。</w:t>
      </w:r>
    </w:p>
    <w:p w14:paraId="2A594387">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应根据甲方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需要免费提供培训，相关费用已计入综合单价，甲方无需另行支付任何费用。</w:t>
      </w:r>
    </w:p>
    <w:p w14:paraId="6095E157">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w:t>
      </w:r>
      <w:r>
        <w:rPr>
          <w:rFonts w:hint="eastAsia" w:ascii="宋体" w:hAnsi="宋体" w:eastAsia="宋体" w:cs="宋体"/>
          <w:color w:val="auto"/>
          <w:sz w:val="21"/>
          <w:szCs w:val="21"/>
          <w:highlight w:val="none"/>
        </w:rPr>
        <w:t>甲方运营项目</w:t>
      </w:r>
      <w:r>
        <w:rPr>
          <w:rFonts w:hint="eastAsia" w:ascii="宋体" w:hAnsi="宋体" w:eastAsia="宋体" w:cs="宋体"/>
          <w:color w:val="auto"/>
          <w:kern w:val="2"/>
          <w:sz w:val="21"/>
          <w:szCs w:val="21"/>
          <w:highlight w:val="none"/>
        </w:rPr>
        <w:t>指定，根据培训内容复杂程度，甲方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有权要求乙方提供完整的书面培训计划和方案，列明提供培训的技术人员名单及资质，以及培训完成后甲方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5554B05E">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6、在交货或合同履行过程中，若因所交货物（包括但不限于品种、型号、规格、质量）不符合</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运营项目要求、或货物使用过程中出现质量问题，导致乙方提供的生产药剂如不能通过</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运营项目验收的，</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运营项目可拒绝收货或要求乙方承担退换货责任。原则上乙方应该在不影响</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运营项目正常生产的情况下，自</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费用且不对货物承担保管责任，因此产生的费用及风险由乙方承担。</w:t>
      </w:r>
    </w:p>
    <w:p w14:paraId="6250CCF8">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通知货物检验不合格或货物使用过程中出现质量问题而要求乙方按照前述条款进行退换货之时起4小时之内乙方未将不合格货物运离</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仓库，</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可自行或委托第三方对不合格货物进行处置，乙方须承担</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处置该次不合格货物所需的全部费用，以及给甲方造成的一切损失。</w:t>
      </w:r>
    </w:p>
    <w:p w14:paraId="7ADD60E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通知乙方货物检验不合格或货物使用过程中出现质量问题之时起，</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有权要求乙方按照加急供货的规定，将等量的合格货物送交</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，否则按加急供货的违约规定进行处理。</w:t>
      </w:r>
    </w:p>
    <w:p w14:paraId="4843804E">
      <w:pPr>
        <w:rPr>
          <w:rFonts w:hint="eastAsia" w:ascii="宋体" w:hAnsi="宋体" w:eastAsia="宋体" w:cs="宋体"/>
          <w:color w:val="auto"/>
          <w:highlight w:val="none"/>
        </w:rPr>
      </w:pPr>
    </w:p>
    <w:p w14:paraId="7F8C3701">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履约担保</w:t>
      </w:r>
    </w:p>
    <w:p w14:paraId="345AE89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35F5BF4A">
      <w:pPr>
        <w:snapToGrid w:val="0"/>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履约保证金（银行转账形式）金额为¥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rPr>
        <w:t xml:space="preserve">大写人民币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14:paraId="5D404F0A">
      <w:pPr>
        <w:snapToGrid w:val="0"/>
        <w:spacing w:line="360" w:lineRule="auto"/>
        <w:ind w:firstLine="371" w:firstLineChars="177"/>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lang w:val="zh-CN"/>
        </w:rPr>
        <w:t>大写人民币         ）</w:t>
      </w:r>
      <w:r>
        <w:rPr>
          <w:rFonts w:hint="eastAsia" w:ascii="宋体" w:hAnsi="宋体" w:eastAsia="宋体" w:cs="宋体"/>
          <w:color w:val="auto"/>
          <w:sz w:val="21"/>
          <w:szCs w:val="21"/>
          <w:highlight w:val="none"/>
          <w:lang w:val="zh-CN"/>
        </w:rPr>
        <w:t>；</w:t>
      </w:r>
    </w:p>
    <w:p w14:paraId="6A915303">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履约保证保险金额为¥     元（大写人民币     ）</w:t>
      </w:r>
      <w:r>
        <w:rPr>
          <w:rFonts w:hint="eastAsia" w:ascii="宋体" w:hAnsi="宋体" w:eastAsia="宋体" w:cs="宋体"/>
          <w:color w:val="auto"/>
          <w:szCs w:val="21"/>
          <w:highlight w:val="none"/>
        </w:rPr>
        <w:t>；</w:t>
      </w:r>
    </w:p>
    <w:p w14:paraId="7B37356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担保公司履约担保书金额为¥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rPr>
        <w:t xml:space="preserve">大写人民币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14:paraId="19734DD7">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bCs w:val="0"/>
          <w:color w:val="auto"/>
          <w:kern w:val="2"/>
          <w:szCs w:val="21"/>
          <w:highlight w:val="none"/>
        </w:rPr>
        <w:t>合同履行过程中，</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Cs w:val="21"/>
          <w:highlight w:val="none"/>
        </w:rPr>
        <w:t>给</w:t>
      </w:r>
      <w:r>
        <w:rPr>
          <w:rFonts w:hint="eastAsia" w:ascii="宋体" w:hAnsi="宋体" w:eastAsia="宋体" w:cs="宋体"/>
          <w:color w:val="auto"/>
          <w:kern w:val="2"/>
          <w:sz w:val="21"/>
          <w:szCs w:val="21"/>
          <w:highlight w:val="none"/>
        </w:rPr>
        <w:t>甲方</w:t>
      </w:r>
      <w:r>
        <w:rPr>
          <w:rFonts w:hint="eastAsia" w:ascii="宋体" w:hAnsi="宋体" w:eastAsia="宋体" w:cs="宋体"/>
          <w:color w:val="auto"/>
          <w:kern w:val="2"/>
          <w:szCs w:val="21"/>
          <w:highlight w:val="none"/>
        </w:rPr>
        <w:t>造成的损失超过履约担保数额的，</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Cs w:val="21"/>
          <w:highlight w:val="none"/>
        </w:rPr>
        <w:t>还应当对超过部分予以赔偿，</w:t>
      </w:r>
      <w:r>
        <w:rPr>
          <w:rFonts w:hint="eastAsia" w:ascii="宋体" w:hAnsi="宋体" w:eastAsia="宋体" w:cs="宋体"/>
          <w:color w:val="auto"/>
          <w:kern w:val="2"/>
          <w:sz w:val="21"/>
          <w:szCs w:val="21"/>
          <w:highlight w:val="none"/>
        </w:rPr>
        <w:t>甲方</w:t>
      </w:r>
      <w:r>
        <w:rPr>
          <w:rFonts w:hint="eastAsia" w:ascii="宋体" w:hAnsi="宋体" w:eastAsia="宋体" w:cs="宋体"/>
          <w:color w:val="auto"/>
          <w:kern w:val="2"/>
          <w:szCs w:val="21"/>
          <w:highlight w:val="none"/>
        </w:rPr>
        <w:t>并依法追究</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Cs w:val="21"/>
          <w:highlight w:val="none"/>
        </w:rPr>
        <w:t>的相应责任。</w:t>
      </w:r>
    </w:p>
    <w:p w14:paraId="74041D0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2、履约担保用于补偿甲方因乙方不能完全履行其合同义务而蒙受的损失或其他合同约定的事项，如发生下列任一情况时，甲方有权依合同追究乙方违约责任外，</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有权提取履约担保并进行相应处理：</w:t>
      </w:r>
    </w:p>
    <w:p w14:paraId="6253EE2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（1）乙方将合同项下的</w:t>
      </w:r>
      <w:r>
        <w:rPr>
          <w:rFonts w:hint="eastAsia" w:ascii="宋体" w:hAnsi="宋体" w:eastAsia="宋体" w:cs="宋体"/>
          <w:color w:val="auto"/>
          <w:sz w:val="21"/>
          <w:szCs w:val="21"/>
          <w:highlight w:val="none"/>
          <w:lang w:val="en-US" w:eastAsia="zh-CN"/>
        </w:rPr>
        <w:t>乙方的</w:t>
      </w:r>
      <w:r>
        <w:rPr>
          <w:rFonts w:hint="eastAsia" w:ascii="宋体" w:hAnsi="宋体" w:eastAsia="宋体" w:cs="宋体"/>
          <w:color w:val="auto"/>
          <w:sz w:val="21"/>
          <w:szCs w:val="21"/>
          <w:highlight w:val="none"/>
        </w:rPr>
        <w:t>权利义务全部转让给第三方，或未经甲方书面同意将部分权利义务转让给第三方的，甲方有权没收其履约担保。</w:t>
      </w:r>
    </w:p>
    <w:p w14:paraId="4F0A5C9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（2）在合同履行期间，乙方怠于履行合同义务，经甲方通知或要求承担暂定合同</w:t>
      </w:r>
      <w:r>
        <w:rPr>
          <w:rFonts w:hint="eastAsia" w:ascii="宋体" w:hAnsi="宋体" w:eastAsia="宋体" w:cs="宋体"/>
          <w:color w:val="auto"/>
          <w:sz w:val="21"/>
          <w:szCs w:val="21"/>
          <w:highlight w:val="none"/>
          <w:lang w:val="en-US" w:eastAsia="zh-CN"/>
        </w:rPr>
        <w:t>含税总</w:t>
      </w:r>
      <w:r>
        <w:rPr>
          <w:rFonts w:hint="eastAsia" w:ascii="宋体" w:hAnsi="宋体" w:eastAsia="宋体" w:cs="宋体"/>
          <w:color w:val="auto"/>
          <w:sz w:val="21"/>
          <w:szCs w:val="21"/>
          <w:highlight w:val="none"/>
        </w:rPr>
        <w:t>价20%的违约金后仍拒不改正的，甲方可依法没收或适当扣除其履约担保。</w:t>
      </w:r>
    </w:p>
    <w:p w14:paraId="4C3C93F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4B3E7E7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（4）在合同履行期间，乙方违约产生的违约金、赔偿、罚款或其他应付费用等项，甲方有权直接从未付货款中扣除或</w:t>
      </w:r>
      <w:r>
        <w:rPr>
          <w:rFonts w:hint="eastAsia" w:ascii="宋体" w:hAnsi="宋体" w:eastAsia="宋体" w:cs="宋体"/>
          <w:color w:val="auto"/>
          <w:sz w:val="21"/>
          <w:szCs w:val="21"/>
          <w:highlight w:val="none"/>
          <w:lang w:val="en-US" w:eastAsia="zh-CN"/>
        </w:rPr>
        <w:t>启用</w:t>
      </w:r>
      <w:r>
        <w:rPr>
          <w:rFonts w:hint="eastAsia" w:ascii="宋体" w:hAnsi="宋体" w:eastAsia="宋体" w:cs="宋体"/>
          <w:color w:val="auto"/>
          <w:sz w:val="21"/>
          <w:szCs w:val="21"/>
          <w:highlight w:val="none"/>
        </w:rPr>
        <w:t>履约担保予以支付。</w:t>
      </w:r>
    </w:p>
    <w:p w14:paraId="096B5A9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（5）合同期内，乙方不能及时完成合同某项义务的，甲方有权使用履约担保用于处理该项工作。</w:t>
      </w:r>
    </w:p>
    <w:p w14:paraId="783AAEC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w:t>
      </w:r>
      <w:r>
        <w:rPr>
          <w:rFonts w:hint="eastAsia" w:ascii="宋体" w:hAnsi="宋体" w:eastAsia="宋体" w:cs="宋体"/>
          <w:color w:val="auto"/>
          <w:sz w:val="21"/>
          <w:szCs w:val="21"/>
          <w:highlight w:val="none"/>
          <w:lang w:val="en-US" w:eastAsia="zh-CN"/>
        </w:rPr>
        <w:t>启用</w:t>
      </w:r>
      <w:r>
        <w:rPr>
          <w:rFonts w:hint="eastAsia" w:ascii="宋体" w:hAnsi="宋体" w:eastAsia="宋体" w:cs="宋体"/>
          <w:color w:val="auto"/>
          <w:sz w:val="21"/>
          <w:szCs w:val="21"/>
          <w:highlight w:val="none"/>
        </w:rPr>
        <w:t>履约担保的情形。</w:t>
      </w:r>
    </w:p>
    <w:p w14:paraId="07F6EB8D">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3、乙方以履约保证金（银行转账形式）提供履约担保的，在合同期限届满并全部货物经最终验收合格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甲方向乙方支付全部货款（除质保金）后二十八（28）日后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经甲方确认，乙方可向甲方提交退回履约担保的申请。甲方审核无异议后，办理履约担保退还手续，退回时一律以银行转账的形式无息退回到乙方的账户。</w:t>
      </w:r>
    </w:p>
    <w:p w14:paraId="3B76C8D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4、如乙方提供不可撤销银行履约保函或履约保证保险或担保公司履约担保书作为履约担保的，不可撤销银行履约保函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应从合同签订之日起</w:t>
      </w:r>
      <w:r>
        <w:rPr>
          <w:rFonts w:hint="eastAsia" w:ascii="宋体" w:hAnsi="宋体" w:eastAsia="宋体" w:cs="宋体"/>
          <w:b w:val="0"/>
          <w:bCs/>
          <w:color w:val="auto"/>
          <w:sz w:val="21"/>
          <w:szCs w:val="21"/>
          <w:highlight w:val="none"/>
        </w:rPr>
        <w:t>（或签订合同前）</w:t>
      </w:r>
      <w:r>
        <w:rPr>
          <w:rFonts w:hint="eastAsia" w:ascii="宋体" w:hAnsi="宋体" w:eastAsia="宋体" w:cs="宋体"/>
          <w:color w:val="auto"/>
          <w:sz w:val="21"/>
          <w:szCs w:val="21"/>
          <w:highlight w:val="none"/>
        </w:rPr>
        <w:t>至合同期限届满并全部货物经最终验收合格、甲方向乙方支付全部货款（除质保金）后二十八（28）日内保持有效。如不可撤销银行履约保函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在规定有效期届满而货物尚未全部最终验收合格或甲方未支付完全部货款（除质保金）的，乙方必须在不可撤销银行履约保函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到期15日前无条件办理办妥符合甲方要求的延期手续或重新提供不可撤销银行履约保函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到期前向出具履约担保的机构提取履约担保金。在不可撤销银行履约保函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到期后乙方未按甲方要求重新提供的，甲方有权要求乙方以履约担保金额为限承担违约金，违约金可直接从未付货款中扣除。</w:t>
      </w:r>
    </w:p>
    <w:p w14:paraId="7411477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244F6B0C">
      <w:pPr>
        <w:snapToGrid w:val="0"/>
        <w:spacing w:line="360" w:lineRule="auto"/>
        <w:ind w:firstLine="373" w:firstLineChars="177"/>
        <w:rPr>
          <w:rFonts w:hint="eastAsia" w:ascii="宋体" w:hAnsi="宋体" w:eastAsia="宋体" w:cs="宋体"/>
          <w:b/>
          <w:color w:val="auto"/>
          <w:sz w:val="21"/>
          <w:szCs w:val="21"/>
          <w:highlight w:val="none"/>
        </w:rPr>
      </w:pPr>
    </w:p>
    <w:p w14:paraId="2DC6ED8E">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付款方式</w:t>
      </w:r>
    </w:p>
    <w:p w14:paraId="0BFE928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双方一致同意，乙方按规定提供了履约担保后，甲方通过以下方式以人民币支付合同款项给乙方：</w:t>
      </w:r>
    </w:p>
    <w:p w14:paraId="0640A13F">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乙方根据本项目合同书约定需向甲方支付违约金、赔偿金、或其他应付费用等款项的，乙方必须向甲方支付完相关款项后，甲方才根据本合同书约定向乙方支付合同价和税额。若因乙方未能支付前述费用，影响项目实施的，甲方有权启用履约担保或直接从未付合同款项中直接扣除，且乙方必须按照扣除前述费用前的合同价（销售额）开具增值税专用发票，保证增值税税额符合法律规定。</w:t>
      </w:r>
    </w:p>
    <w:p w14:paraId="360F2A22">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2、货物供货的款项按甲方运营项目进行支付、结算。货物供货的款项每月按实结算。甲方运营项目收到货物并最终验收合格后，每月中旬办理支付上月实际供货量的款项。</w:t>
      </w:r>
    </w:p>
    <w:p w14:paraId="3359AFFE">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3、乙方向甲方运营项目提交请款报告和请款金额等额的合法、有效的增值税专用发票，甲方在收到前述材料并确认无误后30个工作日内支付结算上月实际供货量的货款和该货款对应的税额给乙方。</w:t>
      </w:r>
    </w:p>
    <w:p w14:paraId="1DF23720">
      <w:pPr>
        <w:pStyle w:val="129"/>
        <w:autoSpaceDE/>
        <w:autoSpaceDN/>
        <w:adjustRightInd/>
        <w:spacing w:line="360" w:lineRule="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通过银行转账或</w:t>
      </w:r>
      <w:bookmarkStart w:id="520" w:name="OLE_LINK7"/>
      <w:r>
        <w:rPr>
          <w:rFonts w:hint="eastAsia" w:ascii="宋体" w:hAnsi="宋体" w:eastAsia="宋体" w:cs="宋体"/>
          <w:color w:val="auto"/>
          <w:sz w:val="21"/>
          <w:szCs w:val="21"/>
          <w:highlight w:val="none"/>
          <w:lang w:val="en-US" w:eastAsia="zh-CN"/>
        </w:rPr>
        <w:t>银行承兑汇票</w:t>
      </w:r>
      <w:bookmarkEnd w:id="520"/>
      <w:r>
        <w:rPr>
          <w:rFonts w:hint="eastAsia" w:ascii="宋体" w:hAnsi="宋体" w:eastAsia="宋体" w:cs="宋体"/>
          <w:color w:val="auto"/>
          <w:sz w:val="21"/>
          <w:szCs w:val="21"/>
          <w:highlight w:val="none"/>
          <w:lang w:val="en-US" w:eastAsia="zh-CN"/>
        </w:rPr>
        <w:t>方式支付相应款项至</w:t>
      </w:r>
      <w:r>
        <w:rPr>
          <w:rFonts w:hint="eastAsia"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银行账户中，汇票期限不超过三个月，每期款项支付方式由甲方决定。</w:t>
      </w:r>
    </w:p>
    <w:p w14:paraId="0169535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迟延提供发票或提供的请款报告、发票不符合要求的，甲方的付款时间可相应顺延，且甲方不因此承担任何责任。因支付产生的相关银行手续费用，根据有关银行规定执行，如不能明确的，由双方各承担50%。由于乙方提供的发票不符合税法规定，给甲方造成的损失由乙方承担全部的赔偿责任。</w:t>
      </w:r>
    </w:p>
    <w:p w14:paraId="6DEE61EF">
      <w:pPr>
        <w:rPr>
          <w:rFonts w:hint="eastAsia" w:ascii="宋体" w:hAnsi="宋体" w:eastAsia="宋体" w:cs="宋体"/>
          <w:color w:val="auto"/>
          <w:highlight w:val="none"/>
        </w:rPr>
      </w:pPr>
    </w:p>
    <w:p w14:paraId="596C0492">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不可抗力</w:t>
      </w:r>
    </w:p>
    <w:p w14:paraId="3EC45E8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政府相关部门出具的证明文件。如果不可抗力事件发生后，乙方不能按甲方每次的最迟交货期交货的，则甲方有权单方解除本合同并不承担任何责任。</w:t>
      </w:r>
    </w:p>
    <w:p w14:paraId="11C8A21E">
      <w:pPr>
        <w:snapToGrid w:val="0"/>
        <w:spacing w:line="360" w:lineRule="auto"/>
        <w:ind w:firstLine="371" w:firstLineChars="177"/>
        <w:rPr>
          <w:rFonts w:hint="eastAsia" w:ascii="宋体" w:hAnsi="宋体" w:eastAsia="宋体" w:cs="宋体"/>
          <w:color w:val="auto"/>
          <w:sz w:val="21"/>
          <w:szCs w:val="21"/>
          <w:highlight w:val="none"/>
        </w:rPr>
      </w:pPr>
    </w:p>
    <w:p w14:paraId="7F38AE6B">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索赔</w:t>
      </w:r>
    </w:p>
    <w:p w14:paraId="353154F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2989C7C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2、如果乙方对甲方提出的异议及索赔负有责任，乙方应按照甲方同意的下列一种或多种方式解决索赔事宜：</w:t>
      </w:r>
    </w:p>
    <w:p w14:paraId="3DCD36E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1DCBC01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（2）根据甲方要求予以退回相应合同货物，并返还甲方已支付的相应货款（含合同价款及税费）。如造成甲方其他损失的，由乙方承担赔偿责任。</w:t>
      </w:r>
    </w:p>
    <w:p w14:paraId="2976BAB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（3）甲方可根据货物低劣程度、损坏程度以及甲方所遭受损失的数额，要求乙方承担赔偿责任。</w:t>
      </w:r>
    </w:p>
    <w:p w14:paraId="5FC795C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3、如果在甲方发出索赔通知后7日内，乙方未作答复或未配合现场确认的，视为乙方确认相关违约事实及认可甲方索赔要求。</w:t>
      </w:r>
    </w:p>
    <w:p w14:paraId="00E6C89A">
      <w:pPr>
        <w:snapToGrid w:val="0"/>
        <w:spacing w:line="360" w:lineRule="auto"/>
        <w:ind w:firstLine="373" w:firstLineChars="177"/>
        <w:rPr>
          <w:rFonts w:hint="eastAsia" w:ascii="宋体" w:hAnsi="宋体" w:eastAsia="宋体" w:cs="宋体"/>
          <w:b/>
          <w:color w:val="auto"/>
          <w:sz w:val="21"/>
          <w:szCs w:val="21"/>
          <w:highlight w:val="none"/>
        </w:rPr>
      </w:pPr>
    </w:p>
    <w:p w14:paraId="59A1F81D">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 违约责任</w:t>
      </w:r>
    </w:p>
    <w:p w14:paraId="096B2A1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1、日常供货（非加急供货）时，乙方</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结算货款的1%向甲方支付违约金。乙方逾期超过12小时的，甲方有权单方解除合同，并且没收乙方的部分或全部履约担保，乙方除支付前述逾期违约金外，甲方有权要求乙方额外按该次货物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 5 %向甲方支付违约金，违约金不足以赔偿甲方损失的，乙方需另行赔偿。</w:t>
      </w:r>
    </w:p>
    <w:p w14:paraId="6D75227C">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2、加急供货时，乙方未在约定的时间内完成交货的，或未在规定的时间内承担相应的更换、退货责任的，每逾期1小时，甲方有权要求乙方按该次货物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结算货款的10%向甲方支付违约金，乙方逾期超过4小时的，甲方有权单方解除合同，并且没收乙方的部分或全部履约担保，乙方除前述逾期违约金外，甲方有权要求乙方额外按该次货物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结算货款的20%向甲方支付违约金，违约金不足以赔偿甲方损失的，乙方需另行赔偿。</w:t>
      </w:r>
    </w:p>
    <w:p w14:paraId="15DED90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交货物经甲方运营项目实验室或甲方委托的第三方检测机构检验累计出现3次（含）以上不合格的，甲方有权单方中止或解除合同，暂停或取消乙方的供货资格，并根据对生产造成影响的严重程度，没收乙方的部分或全部履约担保。</w:t>
      </w:r>
    </w:p>
    <w:p w14:paraId="4EA115A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4、乙方应根据甲方运营项目工艺以及性质，配合甲方运营项目进行小试、中试，提供符合技术指标的药剂，保证供货的药剂在甲方运营项目良好的使用效果。</w:t>
      </w:r>
    </w:p>
    <w:p w14:paraId="6ED9CE4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如因药剂问题对甲方生产、成本造成影响，甲方有权要求乙方按该次货物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结算货款的20%向甲方支付违约金，违约金不足以赔偿甲方损失的，乙方需另行赔偿，同时根据对甲方生产、成本造成影响的严重程度，甲方有权没收乙方的部分或全部履约担保。</w:t>
      </w:r>
    </w:p>
    <w:p w14:paraId="2F7A8D0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、如乙方提供的药剂严重影响甲方运营项目生产或造成甲方运营项目出水水质指标超标的情况，甲方有权追究乙方由此造成的损失，并有权单方面中止或解除合同，取消其供货资格，没收全部履约</w:t>
      </w:r>
      <w:r>
        <w:rPr>
          <w:rFonts w:hint="eastAsia" w:ascii="宋体" w:hAnsi="宋体" w:eastAsia="宋体" w:cs="宋体"/>
          <w:color w:val="auto"/>
          <w:sz w:val="21"/>
          <w:szCs w:val="21"/>
          <w:highlight w:val="none"/>
          <w:lang w:val="en-US" w:eastAsia="zh-CN"/>
        </w:rPr>
        <w:t>担保</w:t>
      </w:r>
      <w:r>
        <w:rPr>
          <w:rFonts w:hint="eastAsia" w:ascii="宋体" w:hAnsi="宋体" w:eastAsia="宋体" w:cs="宋体"/>
          <w:color w:val="auto"/>
          <w:sz w:val="21"/>
          <w:szCs w:val="21"/>
          <w:highlight w:val="none"/>
        </w:rPr>
        <w:t>。</w:t>
      </w:r>
    </w:p>
    <w:p w14:paraId="50E7878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63F9A63F">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、若乙方对甲方</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验收结果有异议，乙方应自甲方</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书面告知乙方检验结果24小时内，书面要求通过乙方和甲方双方确认的具有检测产品CMA认证资质的第三方单位对留样货物进行检测，最终供货产品质量判定以乙方和甲方双方确认的具有检测产品CMA认证资质的第三方检测机构检验结果为准；因此产生的检测费、运输费等全部费用均由乙方承担。</w:t>
      </w:r>
    </w:p>
    <w:p w14:paraId="3854701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授予合同前或合同履行中，甲方有权实地核查乙方在投标时提供的分支机构或服务机构的场地、生产/储存/运输设备设施及能力等材料的符合性，若发现虚假将取消中标资格，且甲方有权终止合同。因此给甲方造成损失的，全部由乙方承担。</w:t>
      </w:r>
    </w:p>
    <w:p w14:paraId="00F8899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、甲方在招标文件</w:t>
      </w:r>
      <w:r>
        <w:rPr>
          <w:rFonts w:hint="eastAsia" w:ascii="宋体" w:hAnsi="宋体" w:eastAsia="宋体" w:cs="宋体"/>
          <w:color w:val="auto"/>
          <w:sz w:val="21"/>
          <w:szCs w:val="21"/>
          <w:highlight w:val="none"/>
          <w:lang w:val="en-US" w:eastAsia="zh-CN"/>
        </w:rPr>
        <w:t>及合同</w:t>
      </w:r>
      <w:r>
        <w:rPr>
          <w:rFonts w:hint="eastAsia" w:ascii="宋体" w:hAnsi="宋体" w:eastAsia="宋体" w:cs="宋体"/>
          <w:color w:val="auto"/>
          <w:sz w:val="21"/>
          <w:szCs w:val="21"/>
          <w:highlight w:val="none"/>
        </w:rPr>
        <w:t>约定的供货期限和采购范围内，甲方有权根据项目实际情况及有关法律法规、政策的规定进行变更调整。在变更调整后，乙方应遵照执行。</w:t>
      </w:r>
    </w:p>
    <w:p w14:paraId="4FE1415E">
      <w:pPr>
        <w:snapToGrid w:val="0"/>
        <w:spacing w:line="360" w:lineRule="auto"/>
        <w:ind w:firstLine="371" w:firstLineChars="17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r>
        <w:rPr>
          <w:rFonts w:hint="eastAsia" w:ascii="宋体" w:hAnsi="宋体" w:eastAsia="宋体" w:cs="宋体"/>
          <w:color w:val="auto"/>
          <w:sz w:val="21"/>
          <w:szCs w:val="21"/>
          <w:highlight w:val="none"/>
          <w:lang w:eastAsia="zh-CN"/>
        </w:rPr>
        <w:t>。</w:t>
      </w:r>
    </w:p>
    <w:p w14:paraId="6F3D8088">
      <w:pPr>
        <w:pStyle w:val="129"/>
        <w:widowControl/>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12</w:t>
      </w:r>
      <w:r>
        <w:rPr>
          <w:rFonts w:hint="eastAsia" w:ascii="宋体" w:hAnsi="宋体" w:eastAsia="宋体" w:cs="宋体"/>
          <w:color w:val="auto"/>
          <w:sz w:val="21"/>
          <w:szCs w:val="21"/>
          <w:highlight w:val="none"/>
          <w:lang w:bidi="ar"/>
        </w:rPr>
        <w:t xml:space="preserve">、乙方有义务接受甲方的监督、评价及考核，且同意甲方关于供货资格供应商的管理规则及要求。 </w:t>
      </w:r>
    </w:p>
    <w:p w14:paraId="37B67FF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13</w:t>
      </w:r>
      <w:r>
        <w:rPr>
          <w:rFonts w:hint="eastAsia" w:ascii="宋体" w:hAnsi="宋体" w:eastAsia="宋体" w:cs="宋体"/>
          <w:color w:val="auto"/>
          <w:sz w:val="21"/>
          <w:szCs w:val="21"/>
          <w:highlight w:val="none"/>
          <w:lang w:bidi="ar"/>
        </w:rPr>
        <w:t>、甲方运营项目每月在付款手续前对乙方的履约情况进行评价，填写《供应商履约评价表》。考核评分满分为100分，考核评分分数低于80分、达到60分时，</w:t>
      </w:r>
      <w:bookmarkStart w:id="521" w:name="OLE_LINK8"/>
      <w:r>
        <w:rPr>
          <w:rFonts w:hint="eastAsia" w:ascii="宋体" w:hAnsi="宋体" w:eastAsia="宋体" w:cs="宋体"/>
          <w:color w:val="auto"/>
          <w:sz w:val="21"/>
          <w:szCs w:val="21"/>
          <w:highlight w:val="none"/>
          <w:lang w:bidi="ar"/>
        </w:rPr>
        <w:t>乙方应按该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结算货款的20%向甲方支付违约金；</w:t>
      </w:r>
      <w:bookmarkEnd w:id="521"/>
      <w:r>
        <w:rPr>
          <w:rFonts w:hint="eastAsia" w:ascii="宋体" w:hAnsi="宋体" w:eastAsia="宋体" w:cs="宋体"/>
          <w:color w:val="auto"/>
          <w:sz w:val="21"/>
          <w:szCs w:val="21"/>
          <w:highlight w:val="none"/>
          <w:lang w:bidi="ar"/>
        </w:rPr>
        <w:t>考核评分分数低于60分时，乙方应按该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结算货款的30%向甲方支付违约金。若供货期内累计出现3次</w:t>
      </w:r>
      <w:r>
        <w:rPr>
          <w:rFonts w:hint="eastAsia" w:ascii="宋体" w:hAnsi="宋体" w:eastAsia="宋体" w:cs="宋体"/>
          <w:color w:val="auto"/>
          <w:sz w:val="21"/>
          <w:szCs w:val="21"/>
          <w:highlight w:val="none"/>
        </w:rPr>
        <w:t>（含）以上</w:t>
      </w:r>
      <w:r>
        <w:rPr>
          <w:rFonts w:hint="eastAsia" w:ascii="宋体" w:hAnsi="宋体" w:eastAsia="宋体" w:cs="宋体"/>
          <w:color w:val="auto"/>
          <w:sz w:val="21"/>
          <w:szCs w:val="21"/>
          <w:highlight w:val="none"/>
          <w:lang w:bidi="ar"/>
        </w:rPr>
        <w:t>评审结论为不合格的，甲方有权取消乙方的供货资格并单方解除合同、没收乙方部分或全部履约担保。</w:t>
      </w:r>
    </w:p>
    <w:p w14:paraId="410A0D0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5E9F4DD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或整改后仍不合格的，甲方有权单方解除合同，没收乙方的部分或全部履约担保，并有权依法委托有资质的第三方继续履行本合同义务，由此造成的一切损失（包括但不限于再行采购的费用、委托第三人继续履行时超出本合同费用部分等）由乙方全部承担。</w:t>
      </w:r>
    </w:p>
    <w:p w14:paraId="0201135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、无论是否在质保期内，因货物质量问题发生安全事故或引起其他损失、造成不良后果的，乙方应承担全部责任及损失赔偿，</w:t>
      </w:r>
      <w:r>
        <w:rPr>
          <w:rFonts w:hint="eastAsia" w:ascii="宋体" w:hAnsi="宋体" w:eastAsia="宋体" w:cs="宋体"/>
          <w:color w:val="auto"/>
          <w:sz w:val="21"/>
          <w:szCs w:val="21"/>
          <w:highlight w:val="none"/>
          <w:lang w:eastAsia="zh-Hans"/>
        </w:rPr>
        <w:t>同时甲方有权单方解除本合同及</w:t>
      </w:r>
      <w:r>
        <w:rPr>
          <w:rFonts w:hint="eastAsia" w:ascii="宋体" w:hAnsi="宋体" w:eastAsia="宋体" w:cs="宋体"/>
          <w:color w:val="auto"/>
          <w:sz w:val="21"/>
          <w:szCs w:val="21"/>
          <w:highlight w:val="none"/>
        </w:rPr>
        <w:t>没收履约担保</w:t>
      </w:r>
      <w:r>
        <w:rPr>
          <w:rFonts w:hint="eastAsia" w:ascii="宋体" w:hAnsi="宋体" w:eastAsia="宋体" w:cs="宋体"/>
          <w:color w:val="auto"/>
          <w:sz w:val="21"/>
          <w:szCs w:val="21"/>
          <w:highlight w:val="none"/>
          <w:lang w:eastAsia="zh-Hans"/>
        </w:rPr>
        <w:t>且要求乙方一次性支付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Hans"/>
        </w:rPr>
        <w:t>100000元</w:t>
      </w:r>
      <w:r>
        <w:rPr>
          <w:rFonts w:hint="eastAsia" w:ascii="宋体" w:hAnsi="宋体" w:eastAsia="宋体" w:cs="宋体"/>
          <w:color w:val="auto"/>
          <w:sz w:val="21"/>
          <w:szCs w:val="21"/>
          <w:highlight w:val="none"/>
          <w:u w:val="single"/>
        </w:rPr>
        <w:t>（大写人民币拾万元整）</w:t>
      </w:r>
      <w:r>
        <w:rPr>
          <w:rFonts w:hint="eastAsia" w:ascii="宋体" w:hAnsi="宋体" w:eastAsia="宋体" w:cs="宋体"/>
          <w:color w:val="auto"/>
          <w:sz w:val="21"/>
          <w:szCs w:val="21"/>
          <w:highlight w:val="none"/>
          <w:lang w:eastAsia="zh-Hans"/>
        </w:rPr>
        <w:t>的违约金</w:t>
      </w:r>
      <w:r>
        <w:rPr>
          <w:rFonts w:hint="eastAsia" w:ascii="宋体" w:hAnsi="宋体" w:eastAsia="宋体" w:cs="宋体"/>
          <w:color w:val="auto"/>
          <w:sz w:val="21"/>
          <w:szCs w:val="21"/>
          <w:highlight w:val="none"/>
        </w:rPr>
        <w:t>。</w:t>
      </w:r>
    </w:p>
    <w:p w14:paraId="033C556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14:paraId="2D88B34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18</w:t>
      </w:r>
      <w:r>
        <w:rPr>
          <w:rFonts w:hint="eastAsia" w:ascii="宋体" w:hAnsi="宋体" w:eastAsia="宋体" w:cs="宋体"/>
          <w:bCs/>
          <w:color w:val="auto"/>
          <w:sz w:val="21"/>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w:t>
      </w:r>
      <w:r>
        <w:rPr>
          <w:rFonts w:hint="eastAsia" w:ascii="宋体" w:hAnsi="宋体" w:eastAsia="宋体" w:cs="宋体"/>
          <w:color w:val="auto"/>
          <w:sz w:val="21"/>
          <w:szCs w:val="21"/>
          <w:highlight w:val="none"/>
          <w:u w:val="single"/>
        </w:rPr>
        <w:t>¥10000元（大写人民币壹万元整）</w:t>
      </w:r>
      <w:r>
        <w:rPr>
          <w:rFonts w:hint="eastAsia" w:ascii="宋体" w:hAnsi="宋体" w:eastAsia="宋体" w:cs="宋体"/>
          <w:color w:val="auto"/>
          <w:sz w:val="21"/>
          <w:szCs w:val="21"/>
          <w:highlight w:val="none"/>
        </w:rPr>
        <w:t>的违约金</w:t>
      </w:r>
      <w:r>
        <w:rPr>
          <w:rFonts w:hint="eastAsia" w:ascii="宋体" w:hAnsi="宋体" w:eastAsia="宋体" w:cs="宋体"/>
          <w:bCs/>
          <w:color w:val="auto"/>
          <w:sz w:val="21"/>
          <w:szCs w:val="21"/>
          <w:highlight w:val="none"/>
        </w:rPr>
        <w:t>，且乙方须承担由此给甲方造成的一切损失。乙方及其工作人员的保密义务不因本合同的终止而终止，直至相关保密信息被合法公开时止。</w:t>
      </w:r>
    </w:p>
    <w:p w14:paraId="172CED0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ascii="宋体" w:hAnsi="宋体" w:eastAsia="宋体" w:cs="宋体"/>
          <w:color w:val="auto"/>
          <w:sz w:val="21"/>
          <w:szCs w:val="21"/>
          <w:highlight w:val="none"/>
          <w:u w:val="single"/>
        </w:rPr>
        <w:t>¥10000元（大写人民币壹万元整）</w:t>
      </w:r>
      <w:r>
        <w:rPr>
          <w:rFonts w:hint="eastAsia" w:ascii="宋体" w:hAnsi="宋体" w:eastAsia="宋体" w:cs="宋体"/>
          <w:color w:val="auto"/>
          <w:sz w:val="21"/>
          <w:szCs w:val="21"/>
          <w:highlight w:val="none"/>
        </w:rPr>
        <w:t>的违约金，违约金不够赔偿甲方损失的，乙方需继续赔偿，且甲方有权单方解除合同，并没收乙方部分或全部履约担保。</w:t>
      </w:r>
    </w:p>
    <w:p w14:paraId="7158F043">
      <w:pPr>
        <w:snapToGrid w:val="0"/>
        <w:spacing w:line="360" w:lineRule="auto"/>
        <w:ind w:firstLine="371" w:firstLineChars="177"/>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在合同的履行期间，乙方应当保持相应资质的有效性</w:t>
      </w:r>
      <w:r>
        <w:rPr>
          <w:rFonts w:hint="eastAsia" w:ascii="宋体" w:hAnsi="宋体" w:eastAsia="宋体" w:cs="宋体"/>
          <w:color w:val="auto"/>
          <w:sz w:val="21"/>
          <w:szCs w:val="21"/>
          <w:highlight w:val="none"/>
        </w:rPr>
        <w:t>，并符合国家的相关规定。若乙方在合同期内有关资质不符合招标要求及国家规定的，甲方有权单方解除合同，没收乙方部分或全部履约担保，并有权依法委托有资质的第三方继续履行本合同义务，由此造成的一切损失（包括但不限于重新采购的差价、委托第三方的费用）由乙方全部承担。</w:t>
      </w:r>
    </w:p>
    <w:p w14:paraId="63BA408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、乙方车辆在甲方运营项目行驶时，必须严格遵守厂区道路限行，限速和限重要求，如因乙方未遵守前述要求，对厂区/甲方（含其人员）、乙方人员、第三方造成损失的，乙方须承担赔偿责任。</w:t>
      </w:r>
    </w:p>
    <w:p w14:paraId="51E40F0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乙方人员在甲方运营项目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D390E83">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、在本合同履行期限内，乙方未经甲方书面同意即将本合同约定项下的全部项目或部分项目转包给第三方的，甲方有权单方解除本合同，没收乙方部分或全部履约担保。</w:t>
      </w:r>
    </w:p>
    <w:p w14:paraId="7F45359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、因乙方违反本合同约定导致甲方权益受损的，甲方为维护自身权益所支付的所有费用均由乙方承担，包括但不限于甲方为此支付的诉讼费、律师费、鉴定费、公证费、交通住宿费等全部费用。</w:t>
      </w:r>
    </w:p>
    <w:p w14:paraId="38B0E131">
      <w:pPr>
        <w:snapToGrid w:val="0"/>
        <w:spacing w:line="360" w:lineRule="auto"/>
        <w:ind w:firstLine="371" w:firstLineChars="177"/>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、本合同中因乙方违约产生的违约金、赔偿损失等的费用，甲方有权从未付货款中先予扣除。</w:t>
      </w:r>
    </w:p>
    <w:p w14:paraId="304D797C">
      <w:pPr>
        <w:snapToGrid w:val="0"/>
        <w:spacing w:line="360" w:lineRule="auto"/>
        <w:ind w:firstLine="373" w:firstLineChars="177"/>
        <w:rPr>
          <w:rFonts w:hint="eastAsia" w:ascii="宋体" w:hAnsi="宋体" w:eastAsia="宋体" w:cs="宋体"/>
          <w:b/>
          <w:color w:val="auto"/>
          <w:sz w:val="21"/>
          <w:szCs w:val="21"/>
          <w:highlight w:val="none"/>
        </w:rPr>
      </w:pPr>
    </w:p>
    <w:p w14:paraId="7B4F1465">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第十六条 争议解决</w:t>
      </w:r>
    </w:p>
    <w:p w14:paraId="60B3C13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双方在履约中发生争执和分歧，双方应通过友好协商解决，如不能通过友好协商解决的，任何一方均可向甲方住所地有管辖权的人民法院提起诉讼解决。</w:t>
      </w:r>
    </w:p>
    <w:p w14:paraId="696B29AA">
      <w:pPr>
        <w:snapToGrid w:val="0"/>
        <w:spacing w:line="360" w:lineRule="auto"/>
        <w:ind w:firstLine="371" w:firstLineChars="177"/>
        <w:rPr>
          <w:rFonts w:hint="eastAsia" w:ascii="宋体" w:hAnsi="宋体" w:eastAsia="宋体" w:cs="宋体"/>
          <w:color w:val="auto"/>
          <w:sz w:val="21"/>
          <w:szCs w:val="21"/>
          <w:highlight w:val="none"/>
        </w:rPr>
      </w:pPr>
    </w:p>
    <w:p w14:paraId="27E51192">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 其他</w:t>
      </w:r>
    </w:p>
    <w:p w14:paraId="0A7CEE7B">
      <w:pPr>
        <w:snapToGrid w:val="0"/>
        <w:spacing w:line="360" w:lineRule="auto"/>
        <w:ind w:firstLine="371" w:firstLineChars="17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1、乙方必须清楚理解：</w:t>
      </w:r>
      <w:r>
        <w:rPr>
          <w:rFonts w:hint="eastAsia" w:ascii="宋体" w:hAnsi="宋体" w:eastAsia="宋体" w:cs="宋体"/>
          <w:color w:val="auto"/>
          <w:sz w:val="21"/>
          <w:szCs w:val="21"/>
          <w:highlight w:val="none"/>
        </w:rPr>
        <w:t>本合同不具排他性，甲方对本合同范围内的具体项目享有自主选择的权利。</w:t>
      </w:r>
      <w:r>
        <w:rPr>
          <w:rFonts w:hint="eastAsia" w:ascii="宋体" w:hAnsi="宋体" w:eastAsia="宋体" w:cs="宋体"/>
          <w:bCs/>
          <w:color w:val="auto"/>
          <w:sz w:val="21"/>
          <w:szCs w:val="21"/>
          <w:highlight w:val="none"/>
        </w:rPr>
        <w:t>本合同仅作为乙方在本合同期限内取得向甲方供应</w:t>
      </w:r>
      <w:r>
        <w:rPr>
          <w:rFonts w:hint="eastAsia" w:ascii="宋体" w:hAnsi="宋体" w:eastAsia="宋体" w:cs="宋体"/>
          <w:b/>
          <w:color w:val="auto"/>
          <w:sz w:val="21"/>
          <w:szCs w:val="21"/>
          <w:highlight w:val="none"/>
        </w:rPr>
        <w:t>液体复合碳源</w:t>
      </w:r>
      <w:r>
        <w:rPr>
          <w:rFonts w:hint="eastAsia" w:ascii="宋体" w:hAnsi="宋体" w:eastAsia="宋体" w:cs="宋体"/>
          <w:bCs/>
          <w:color w:val="auto"/>
          <w:sz w:val="21"/>
          <w:szCs w:val="21"/>
          <w:highlight w:val="none"/>
        </w:rPr>
        <w:t>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74B1E285">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2DFBBAA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683C1BB2">
      <w:pPr>
        <w:snapToGrid w:val="0"/>
        <w:spacing w:line="360" w:lineRule="auto"/>
        <w:ind w:firstLine="371" w:firstLineChars="17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4、乙方配合甲方运营项目进行小试及中试，提供小试及中试生产药剂，做好</w:t>
      </w:r>
      <w:r>
        <w:rPr>
          <w:rFonts w:hint="eastAsia" w:ascii="宋体" w:hAnsi="宋体" w:eastAsia="宋体" w:cs="宋体"/>
          <w:color w:val="auto"/>
          <w:sz w:val="21"/>
          <w:szCs w:val="21"/>
          <w:highlight w:val="none"/>
        </w:rPr>
        <w:t>货物</w:t>
      </w:r>
      <w:r>
        <w:rPr>
          <w:rFonts w:hint="eastAsia" w:ascii="宋体" w:hAnsi="宋体" w:eastAsia="宋体" w:cs="宋体"/>
          <w:bCs/>
          <w:color w:val="auto"/>
          <w:sz w:val="21"/>
          <w:szCs w:val="21"/>
          <w:highlight w:val="none"/>
        </w:rPr>
        <w:t>的成分配比等服务，乙方完成本项义务的相关费用已包含在已供货的</w:t>
      </w:r>
      <w:r>
        <w:rPr>
          <w:rFonts w:hint="eastAsia" w:ascii="宋体" w:hAnsi="宋体" w:eastAsia="宋体" w:cs="宋体"/>
          <w:color w:val="auto"/>
          <w:sz w:val="21"/>
          <w:szCs w:val="21"/>
          <w:highlight w:val="none"/>
        </w:rPr>
        <w:t>货物</w:t>
      </w:r>
      <w:r>
        <w:rPr>
          <w:rFonts w:hint="eastAsia" w:ascii="宋体" w:hAnsi="宋体" w:eastAsia="宋体" w:cs="宋体"/>
          <w:bCs/>
          <w:color w:val="auto"/>
          <w:sz w:val="21"/>
          <w:szCs w:val="21"/>
          <w:highlight w:val="none"/>
        </w:rPr>
        <w:t>的综合单价内，甲方无需另行支付其他费用。</w:t>
      </w:r>
    </w:p>
    <w:p w14:paraId="0E968E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5、甲方按本合同约定单方解除合同的，乙方应在收到甲方单方解除合同书面通知之日起30日内与甲方共同确认已完成的供货量及金额，未经甲乙双方共同确认的供货量不得再要求结算。</w:t>
      </w:r>
    </w:p>
    <w:p w14:paraId="6C19B38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6、基于乙方的专业特长，甲方代表（合同签字者）对关于产品质量指标的确认、变更等，仅是程序性行为，并非就是对乙方产品质量责任的免除，乙方仍要对所供的产品承担全部责任。</w:t>
      </w:r>
    </w:p>
    <w:p w14:paraId="3E6839A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7、合同履约过程中，若发现</w:t>
      </w:r>
      <w:r>
        <w:rPr>
          <w:rFonts w:hint="eastAsia" w:ascii="宋体" w:hAnsi="宋体" w:eastAsia="宋体" w:cs="宋体"/>
          <w:color w:val="auto"/>
          <w:kern w:val="2"/>
          <w:sz w:val="21"/>
          <w:szCs w:val="21"/>
          <w:highlight w:val="none"/>
          <w:lang w:val="zh-CN"/>
        </w:rPr>
        <w:t>同一种货物或服务存在有选择性的报价或</w:t>
      </w:r>
      <w:r>
        <w:rPr>
          <w:rFonts w:hint="eastAsia" w:ascii="宋体" w:hAnsi="宋体" w:eastAsia="宋体" w:cs="宋体"/>
          <w:color w:val="auto"/>
          <w:sz w:val="21"/>
          <w:szCs w:val="21"/>
          <w:highlight w:val="none"/>
          <w:lang w:val="zh-CN"/>
        </w:rPr>
        <w:t>不是固定的报价的</w:t>
      </w:r>
      <w:r>
        <w:rPr>
          <w:rFonts w:hint="eastAsia" w:ascii="宋体" w:hAnsi="宋体" w:eastAsia="宋体" w:cs="宋体"/>
          <w:color w:val="auto"/>
          <w:kern w:val="2"/>
          <w:sz w:val="21"/>
          <w:szCs w:val="21"/>
          <w:highlight w:val="none"/>
          <w:lang w:val="zh-CN"/>
        </w:rPr>
        <w:t>，或存在</w:t>
      </w:r>
      <w:r>
        <w:rPr>
          <w:rFonts w:hint="eastAsia" w:ascii="宋体" w:hAnsi="宋体" w:eastAsia="宋体" w:cs="宋体"/>
          <w:color w:val="auto"/>
          <w:sz w:val="21"/>
          <w:szCs w:val="21"/>
          <w:highlight w:val="none"/>
        </w:rPr>
        <w:t>多种理解方式的情况发生时，按最有利甲方的方式解释。</w:t>
      </w:r>
    </w:p>
    <w:p w14:paraId="04C4D81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8、合同所有附件及本项目的招标文件、答疑文件、投标文件、补充通知及相关承诺、协议等均为本合同有效组成部分，与本合同同具法律效力，该等文件与本合同正文约定不一致的，以有利于甲方的约定为准。</w:t>
      </w:r>
    </w:p>
    <w:p w14:paraId="2572991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9、本合同壹式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份，均具有同等法律效力。</w:t>
      </w:r>
    </w:p>
    <w:p w14:paraId="2131A32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10、本合同自甲乙双方法定代表人或负责人签字并盖章之日起生效,有效期至全部合同义务履行完毕时终止。</w:t>
      </w:r>
    </w:p>
    <w:p w14:paraId="22901B3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11、本合同未尽事宜，由双方协商处理。</w:t>
      </w:r>
    </w:p>
    <w:p w14:paraId="06DF56B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12、合同附件：1.用户需求书；2.供应商履约评价表；3.廉洁协议书；4.安全生产管理协议。</w:t>
      </w:r>
    </w:p>
    <w:p w14:paraId="4DD7D19A">
      <w:pPr>
        <w:ind w:firstLine="420" w:firstLineChars="200"/>
        <w:rPr>
          <w:rFonts w:hint="eastAsia" w:ascii="宋体" w:hAnsi="宋体" w:eastAsia="宋体" w:cs="宋体"/>
          <w:color w:val="auto"/>
          <w:sz w:val="21"/>
          <w:szCs w:val="21"/>
          <w:highlight w:val="none"/>
        </w:rPr>
      </w:pPr>
    </w:p>
    <w:p w14:paraId="2561C46E">
      <w:pPr>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以下无正文。</w:t>
      </w:r>
    </w:p>
    <w:p w14:paraId="0AC6515F">
      <w:pPr>
        <w:ind w:firstLine="420" w:firstLineChars="200"/>
        <w:rPr>
          <w:rFonts w:hint="eastAsia" w:ascii="宋体" w:hAnsi="宋体" w:eastAsia="宋体" w:cs="宋体"/>
          <w:color w:val="auto"/>
          <w:sz w:val="21"/>
          <w:szCs w:val="21"/>
          <w:highlight w:val="none"/>
        </w:rPr>
      </w:pPr>
    </w:p>
    <w:p w14:paraId="65023F17">
      <w:pPr>
        <w:ind w:firstLine="420" w:firstLineChars="200"/>
        <w:rPr>
          <w:rFonts w:hint="eastAsia" w:ascii="宋体" w:hAnsi="宋体" w:eastAsia="宋体" w:cs="宋体"/>
          <w:color w:val="auto"/>
          <w:sz w:val="21"/>
          <w:szCs w:val="21"/>
          <w:highlight w:val="none"/>
        </w:rPr>
      </w:pPr>
    </w:p>
    <w:p w14:paraId="24A15347">
      <w:pPr>
        <w:snapToGrid w:val="0"/>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甲方：                                 乙方：</w:t>
      </w:r>
    </w:p>
    <w:p w14:paraId="695F399F">
      <w:pPr>
        <w:snapToGrid w:val="0"/>
        <w:spacing w:line="360" w:lineRule="auto"/>
        <w:ind w:firstLine="424" w:firstLineChars="202"/>
        <w:rPr>
          <w:rFonts w:hint="eastAsia" w:ascii="宋体" w:hAnsi="宋体" w:eastAsia="宋体" w:cs="宋体"/>
          <w:color w:val="auto"/>
          <w:sz w:val="21"/>
          <w:szCs w:val="21"/>
          <w:highlight w:val="none"/>
        </w:rPr>
      </w:pPr>
    </w:p>
    <w:p w14:paraId="551492EF">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法定代表人或负责人：                    法定代表人或负责人：                           </w:t>
      </w:r>
    </w:p>
    <w:p w14:paraId="5FE8800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530F39F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1CFFBE8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                                  传真：</w:t>
      </w:r>
    </w:p>
    <w:p w14:paraId="3E67F0C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签约日期：                              签约日期：  </w:t>
      </w:r>
    </w:p>
    <w:p w14:paraId="545F320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签约地点： </w:t>
      </w:r>
    </w:p>
    <w:p w14:paraId="5B29FBA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14:paraId="7617DD0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                              银行账户：</w:t>
      </w:r>
    </w:p>
    <w:p w14:paraId="3DE54D65">
      <w:pPr>
        <w:snapToGrid w:val="0"/>
        <w:spacing w:line="360" w:lineRule="auto"/>
        <w:ind w:firstLine="386" w:firstLineChars="1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58F8A69A">
      <w:pPr>
        <w:ind w:firstLine="420" w:firstLineChars="200"/>
        <w:rPr>
          <w:rFonts w:hint="eastAsia" w:ascii="宋体" w:hAnsi="宋体" w:eastAsia="宋体" w:cs="宋体"/>
          <w:color w:val="auto"/>
          <w:sz w:val="21"/>
          <w:szCs w:val="21"/>
          <w:highlight w:val="none"/>
        </w:rPr>
      </w:pPr>
    </w:p>
    <w:p w14:paraId="090B7FE5">
      <w:pPr>
        <w:ind w:firstLine="420" w:firstLineChars="200"/>
        <w:rPr>
          <w:rFonts w:hint="eastAsia" w:ascii="宋体" w:hAnsi="宋体" w:eastAsia="宋体" w:cs="宋体"/>
          <w:color w:val="auto"/>
          <w:sz w:val="21"/>
          <w:szCs w:val="21"/>
          <w:highlight w:val="none"/>
        </w:rPr>
      </w:pPr>
    </w:p>
    <w:p w14:paraId="1114BD35">
      <w:pPr>
        <w:ind w:firstLine="420" w:firstLineChars="200"/>
        <w:rPr>
          <w:rFonts w:hint="eastAsia" w:ascii="宋体" w:hAnsi="宋体" w:eastAsia="宋体" w:cs="宋体"/>
          <w:color w:val="auto"/>
          <w:sz w:val="21"/>
          <w:szCs w:val="21"/>
          <w:highlight w:val="none"/>
        </w:rPr>
      </w:pPr>
    </w:p>
    <w:p w14:paraId="51B460EB">
      <w:pPr>
        <w:ind w:firstLine="420" w:firstLineChars="200"/>
        <w:rPr>
          <w:rFonts w:hint="eastAsia" w:ascii="宋体" w:hAnsi="宋体" w:eastAsia="宋体" w:cs="宋体"/>
          <w:color w:val="auto"/>
          <w:sz w:val="21"/>
          <w:szCs w:val="21"/>
          <w:highlight w:val="none"/>
        </w:rPr>
      </w:pPr>
    </w:p>
    <w:p w14:paraId="1C44621D">
      <w:pPr>
        <w:ind w:firstLine="420" w:firstLineChars="200"/>
        <w:rPr>
          <w:rFonts w:hint="eastAsia" w:ascii="宋体" w:hAnsi="宋体" w:eastAsia="宋体" w:cs="宋体"/>
          <w:color w:val="auto"/>
          <w:sz w:val="21"/>
          <w:szCs w:val="21"/>
          <w:highlight w:val="none"/>
        </w:rPr>
      </w:pPr>
    </w:p>
    <w:p w14:paraId="69B9F4E6">
      <w:pPr>
        <w:ind w:firstLine="420" w:firstLineChars="200"/>
        <w:rPr>
          <w:rFonts w:hint="eastAsia" w:ascii="宋体" w:hAnsi="宋体" w:eastAsia="宋体" w:cs="宋体"/>
          <w:color w:val="auto"/>
          <w:sz w:val="21"/>
          <w:szCs w:val="21"/>
          <w:highlight w:val="none"/>
        </w:rPr>
      </w:pPr>
    </w:p>
    <w:p w14:paraId="657E8BD3">
      <w:pPr>
        <w:ind w:firstLine="420" w:firstLineChars="200"/>
        <w:rPr>
          <w:rFonts w:hint="eastAsia" w:ascii="宋体" w:hAnsi="宋体" w:eastAsia="宋体" w:cs="宋体"/>
          <w:color w:val="auto"/>
          <w:sz w:val="21"/>
          <w:szCs w:val="21"/>
          <w:highlight w:val="none"/>
        </w:rPr>
      </w:pPr>
    </w:p>
    <w:p w14:paraId="37F91C1E">
      <w:pPr>
        <w:ind w:firstLine="420" w:firstLineChars="200"/>
        <w:rPr>
          <w:rFonts w:hint="eastAsia" w:ascii="宋体" w:hAnsi="宋体" w:eastAsia="宋体" w:cs="宋体"/>
          <w:color w:val="auto"/>
          <w:sz w:val="21"/>
          <w:szCs w:val="21"/>
          <w:highlight w:val="none"/>
        </w:rPr>
      </w:pPr>
    </w:p>
    <w:p w14:paraId="5C318C02">
      <w:pPr>
        <w:ind w:firstLine="420" w:firstLineChars="200"/>
        <w:rPr>
          <w:rFonts w:hint="eastAsia" w:ascii="宋体" w:hAnsi="宋体" w:eastAsia="宋体" w:cs="宋体"/>
          <w:color w:val="auto"/>
          <w:sz w:val="21"/>
          <w:szCs w:val="21"/>
          <w:highlight w:val="none"/>
        </w:rPr>
      </w:pPr>
    </w:p>
    <w:p w14:paraId="488FCA7E">
      <w:pPr>
        <w:ind w:firstLine="420" w:firstLineChars="200"/>
        <w:rPr>
          <w:rFonts w:hint="eastAsia" w:ascii="宋体" w:hAnsi="宋体" w:eastAsia="宋体" w:cs="宋体"/>
          <w:color w:val="auto"/>
          <w:sz w:val="21"/>
          <w:szCs w:val="21"/>
          <w:highlight w:val="none"/>
        </w:rPr>
      </w:pPr>
    </w:p>
    <w:p w14:paraId="46489BB6">
      <w:pPr>
        <w:ind w:firstLine="420" w:firstLineChars="200"/>
        <w:rPr>
          <w:rFonts w:hint="eastAsia" w:ascii="宋体" w:hAnsi="宋体" w:eastAsia="宋体" w:cs="宋体"/>
          <w:color w:val="auto"/>
          <w:sz w:val="21"/>
          <w:szCs w:val="21"/>
          <w:highlight w:val="none"/>
        </w:rPr>
      </w:pPr>
    </w:p>
    <w:p w14:paraId="49C92B3A">
      <w:pPr>
        <w:ind w:firstLine="420" w:firstLineChars="200"/>
        <w:rPr>
          <w:rFonts w:hint="eastAsia" w:ascii="宋体" w:hAnsi="宋体" w:eastAsia="宋体" w:cs="宋体"/>
          <w:color w:val="auto"/>
          <w:sz w:val="21"/>
          <w:szCs w:val="21"/>
          <w:highlight w:val="none"/>
        </w:rPr>
      </w:pPr>
    </w:p>
    <w:p w14:paraId="2EB6CD21">
      <w:pPr>
        <w:ind w:firstLine="420" w:firstLineChars="200"/>
        <w:rPr>
          <w:rFonts w:hint="eastAsia" w:ascii="宋体" w:hAnsi="宋体" w:eastAsia="宋体" w:cs="宋体"/>
          <w:color w:val="auto"/>
          <w:sz w:val="21"/>
          <w:szCs w:val="21"/>
          <w:highlight w:val="none"/>
        </w:rPr>
      </w:pPr>
    </w:p>
    <w:p w14:paraId="12195FCB">
      <w:pPr>
        <w:ind w:firstLine="420" w:firstLineChars="200"/>
        <w:rPr>
          <w:rFonts w:hint="eastAsia" w:ascii="宋体" w:hAnsi="宋体" w:eastAsia="宋体" w:cs="宋体"/>
          <w:color w:val="auto"/>
          <w:sz w:val="21"/>
          <w:szCs w:val="21"/>
          <w:highlight w:val="none"/>
        </w:rPr>
      </w:pPr>
    </w:p>
    <w:p w14:paraId="5F2449F7">
      <w:pPr>
        <w:ind w:firstLine="420" w:firstLineChars="200"/>
        <w:rPr>
          <w:rFonts w:hint="eastAsia" w:ascii="宋体" w:hAnsi="宋体" w:eastAsia="宋体" w:cs="宋体"/>
          <w:color w:val="auto"/>
          <w:sz w:val="21"/>
          <w:szCs w:val="21"/>
          <w:highlight w:val="none"/>
        </w:rPr>
      </w:pPr>
    </w:p>
    <w:p w14:paraId="36DAD59F">
      <w:pPr>
        <w:ind w:firstLine="420" w:firstLineChars="200"/>
        <w:rPr>
          <w:rFonts w:hint="eastAsia" w:ascii="宋体" w:hAnsi="宋体" w:eastAsia="宋体" w:cs="宋体"/>
          <w:color w:val="auto"/>
          <w:sz w:val="21"/>
          <w:szCs w:val="21"/>
          <w:highlight w:val="none"/>
        </w:rPr>
      </w:pPr>
    </w:p>
    <w:p w14:paraId="57E93BC1">
      <w:pPr>
        <w:rPr>
          <w:rFonts w:hint="eastAsia" w:ascii="宋体" w:hAnsi="宋体" w:eastAsia="宋体" w:cs="宋体"/>
          <w:b/>
          <w:color w:val="auto"/>
          <w:highlight w:val="none"/>
        </w:rPr>
      </w:pPr>
    </w:p>
    <w:p w14:paraId="71F06B98">
      <w:pPr>
        <w:spacing w:line="360" w:lineRule="auto"/>
        <w:outlineLvl w:val="9"/>
        <w:rPr>
          <w:rFonts w:hint="eastAsia" w:ascii="宋体" w:hAnsi="宋体" w:eastAsia="宋体" w:cs="宋体"/>
          <w:b/>
          <w:color w:val="auto"/>
          <w:highlight w:val="none"/>
        </w:rPr>
      </w:pPr>
    </w:p>
    <w:p w14:paraId="45E625F1">
      <w:pPr>
        <w:spacing w:line="360" w:lineRule="auto"/>
        <w:outlineLvl w:val="9"/>
        <w:rPr>
          <w:rFonts w:hint="eastAsia" w:ascii="宋体" w:hAnsi="宋体" w:eastAsia="宋体" w:cs="宋体"/>
          <w:b/>
          <w:color w:val="auto"/>
          <w:highlight w:val="none"/>
        </w:rPr>
      </w:pPr>
    </w:p>
    <w:p w14:paraId="0D4918C8">
      <w:pPr>
        <w:spacing w:line="360" w:lineRule="auto"/>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附件2：供应商履约评价表</w:t>
      </w:r>
    </w:p>
    <w:p w14:paraId="0F36C7C9">
      <w:pPr>
        <w:spacing w:line="360" w:lineRule="auto"/>
        <w:jc w:val="center"/>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3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586"/>
        <w:gridCol w:w="3654"/>
        <w:gridCol w:w="335"/>
        <w:gridCol w:w="1824"/>
        <w:gridCol w:w="733"/>
        <w:gridCol w:w="705"/>
        <w:gridCol w:w="719"/>
        <w:gridCol w:w="6"/>
      </w:tblGrid>
      <w:tr w14:paraId="3289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11" w:type="dxa"/>
            <w:gridSpan w:val="2"/>
            <w:noWrap w:val="0"/>
            <w:vAlign w:val="center"/>
          </w:tcPr>
          <w:p w14:paraId="419F0CA2">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合同名称</w:t>
            </w:r>
          </w:p>
        </w:tc>
        <w:tc>
          <w:tcPr>
            <w:tcW w:w="7970" w:type="dxa"/>
            <w:gridSpan w:val="6"/>
            <w:noWrap w:val="0"/>
            <w:vAlign w:val="center"/>
          </w:tcPr>
          <w:p w14:paraId="08618606">
            <w:pPr>
              <w:widowControl/>
              <w:snapToGrid w:val="0"/>
              <w:rPr>
                <w:rFonts w:hint="eastAsia" w:ascii="宋体" w:hAnsi="宋体" w:eastAsia="宋体" w:cs="宋体"/>
                <w:color w:val="auto"/>
                <w:highlight w:val="none"/>
              </w:rPr>
            </w:pPr>
          </w:p>
        </w:tc>
      </w:tr>
      <w:tr w14:paraId="3A0C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11" w:type="dxa"/>
            <w:gridSpan w:val="2"/>
            <w:noWrap w:val="0"/>
            <w:vAlign w:val="center"/>
          </w:tcPr>
          <w:p w14:paraId="4630BB5E">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合同编号</w:t>
            </w:r>
          </w:p>
        </w:tc>
        <w:tc>
          <w:tcPr>
            <w:tcW w:w="7970" w:type="dxa"/>
            <w:gridSpan w:val="6"/>
            <w:noWrap w:val="0"/>
            <w:vAlign w:val="center"/>
          </w:tcPr>
          <w:p w14:paraId="001B0A2D">
            <w:pPr>
              <w:widowControl/>
              <w:snapToGrid w:val="0"/>
              <w:rPr>
                <w:rFonts w:hint="eastAsia" w:ascii="宋体" w:hAnsi="宋体" w:eastAsia="宋体" w:cs="宋体"/>
                <w:color w:val="auto"/>
                <w:highlight w:val="none"/>
              </w:rPr>
            </w:pPr>
          </w:p>
        </w:tc>
      </w:tr>
      <w:tr w14:paraId="68F6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11" w:type="dxa"/>
            <w:gridSpan w:val="2"/>
            <w:noWrap w:val="0"/>
            <w:vAlign w:val="center"/>
          </w:tcPr>
          <w:p w14:paraId="313E7D8A">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甲方名称</w:t>
            </w:r>
          </w:p>
        </w:tc>
        <w:tc>
          <w:tcPr>
            <w:tcW w:w="7970" w:type="dxa"/>
            <w:gridSpan w:val="6"/>
            <w:noWrap w:val="0"/>
            <w:vAlign w:val="center"/>
          </w:tcPr>
          <w:p w14:paraId="22CD8660">
            <w:pPr>
              <w:widowControl/>
              <w:snapToGrid w:val="0"/>
              <w:rPr>
                <w:rFonts w:hint="eastAsia" w:ascii="宋体" w:hAnsi="宋体" w:eastAsia="宋体" w:cs="宋体"/>
                <w:color w:val="auto"/>
                <w:highlight w:val="none"/>
              </w:rPr>
            </w:pPr>
          </w:p>
        </w:tc>
      </w:tr>
      <w:tr w14:paraId="3901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11" w:type="dxa"/>
            <w:gridSpan w:val="2"/>
            <w:noWrap w:val="0"/>
            <w:vAlign w:val="center"/>
          </w:tcPr>
          <w:p w14:paraId="68CD5CD6">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供应商</w:t>
            </w:r>
            <w:r>
              <w:rPr>
                <w:rFonts w:hint="eastAsia" w:ascii="宋体" w:hAnsi="宋体" w:eastAsia="宋体" w:cs="宋体"/>
                <w:color w:val="auto"/>
                <w:highlight w:val="none"/>
              </w:rPr>
              <w:t>名称</w:t>
            </w:r>
          </w:p>
        </w:tc>
        <w:tc>
          <w:tcPr>
            <w:tcW w:w="7970" w:type="dxa"/>
            <w:gridSpan w:val="6"/>
            <w:noWrap w:val="0"/>
            <w:vAlign w:val="center"/>
          </w:tcPr>
          <w:p w14:paraId="440DCD79">
            <w:pPr>
              <w:widowControl/>
              <w:snapToGrid w:val="0"/>
              <w:rPr>
                <w:rFonts w:hint="eastAsia" w:ascii="宋体" w:hAnsi="宋体" w:eastAsia="宋体" w:cs="宋体"/>
                <w:color w:val="auto"/>
                <w:highlight w:val="none"/>
              </w:rPr>
            </w:pPr>
          </w:p>
        </w:tc>
      </w:tr>
      <w:tr w14:paraId="176E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11" w:type="dxa"/>
            <w:gridSpan w:val="2"/>
            <w:noWrap w:val="0"/>
            <w:vAlign w:val="center"/>
          </w:tcPr>
          <w:p w14:paraId="645E5E19">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供应货物名称</w:t>
            </w:r>
          </w:p>
        </w:tc>
        <w:tc>
          <w:tcPr>
            <w:tcW w:w="7970" w:type="dxa"/>
            <w:gridSpan w:val="6"/>
            <w:noWrap w:val="0"/>
            <w:vAlign w:val="center"/>
          </w:tcPr>
          <w:p w14:paraId="7146C445">
            <w:pPr>
              <w:widowControl/>
              <w:snapToGrid w:val="0"/>
              <w:rPr>
                <w:rFonts w:hint="eastAsia" w:ascii="宋体" w:hAnsi="宋体" w:eastAsia="宋体" w:cs="宋体"/>
                <w:bCs/>
                <w:color w:val="auto"/>
                <w:highlight w:val="none"/>
              </w:rPr>
            </w:pPr>
          </w:p>
        </w:tc>
      </w:tr>
      <w:tr w14:paraId="72D5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76289E2C">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序号</w:t>
            </w:r>
          </w:p>
        </w:tc>
        <w:tc>
          <w:tcPr>
            <w:tcW w:w="1586" w:type="dxa"/>
            <w:noWrap w:val="0"/>
            <w:vAlign w:val="center"/>
          </w:tcPr>
          <w:p w14:paraId="41E1F556">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履约评价项目</w:t>
            </w:r>
          </w:p>
        </w:tc>
        <w:tc>
          <w:tcPr>
            <w:tcW w:w="3654" w:type="dxa"/>
            <w:noWrap w:val="0"/>
            <w:vAlign w:val="center"/>
          </w:tcPr>
          <w:p w14:paraId="4D52CD5C">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评价标准</w:t>
            </w:r>
          </w:p>
        </w:tc>
        <w:tc>
          <w:tcPr>
            <w:tcW w:w="2159" w:type="dxa"/>
            <w:gridSpan w:val="2"/>
            <w:noWrap w:val="0"/>
            <w:vAlign w:val="center"/>
          </w:tcPr>
          <w:p w14:paraId="17AF9CE0">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评分说明</w:t>
            </w:r>
          </w:p>
        </w:tc>
        <w:tc>
          <w:tcPr>
            <w:tcW w:w="733" w:type="dxa"/>
            <w:noWrap w:val="0"/>
            <w:vAlign w:val="center"/>
          </w:tcPr>
          <w:p w14:paraId="109DC60D">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分值</w:t>
            </w:r>
          </w:p>
        </w:tc>
        <w:tc>
          <w:tcPr>
            <w:tcW w:w="705" w:type="dxa"/>
            <w:noWrap w:val="0"/>
            <w:vAlign w:val="center"/>
          </w:tcPr>
          <w:p w14:paraId="632487C3">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实得分</w:t>
            </w:r>
          </w:p>
        </w:tc>
        <w:tc>
          <w:tcPr>
            <w:tcW w:w="719" w:type="dxa"/>
            <w:noWrap w:val="0"/>
            <w:vAlign w:val="center"/>
          </w:tcPr>
          <w:p w14:paraId="7697C43E">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扣分情况说明</w:t>
            </w:r>
          </w:p>
        </w:tc>
      </w:tr>
      <w:tr w14:paraId="4918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3A1485E3">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1586" w:type="dxa"/>
            <w:noWrap w:val="0"/>
            <w:vAlign w:val="center"/>
          </w:tcPr>
          <w:p w14:paraId="74EE5834">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质量</w:t>
            </w:r>
          </w:p>
        </w:tc>
        <w:tc>
          <w:tcPr>
            <w:tcW w:w="3654" w:type="dxa"/>
            <w:noWrap w:val="0"/>
            <w:vAlign w:val="center"/>
          </w:tcPr>
          <w:p w14:paraId="3543DE95">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（1）货物未出现全部拒收或换货等质量问题；</w:t>
            </w:r>
          </w:p>
          <w:p w14:paraId="0ED1D3C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（2）货物主要技术指标符合合同规定；</w:t>
            </w:r>
          </w:p>
          <w:p w14:paraId="08B50CFD">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（3）每次货物质量稳定，投加效果良好，未出现由于每次货物质量参差不齐导致厂区药剂投加量增加或产生出水水质风险等情况。</w:t>
            </w:r>
          </w:p>
        </w:tc>
        <w:tc>
          <w:tcPr>
            <w:tcW w:w="2159" w:type="dxa"/>
            <w:gridSpan w:val="2"/>
            <w:noWrap w:val="0"/>
            <w:vAlign w:val="center"/>
          </w:tcPr>
          <w:p w14:paraId="020E7ADD">
            <w:pPr>
              <w:widowControl/>
              <w:snapToGrid w:val="0"/>
              <w:rPr>
                <w:rFonts w:hint="eastAsia" w:ascii="宋体" w:hAnsi="宋体" w:eastAsia="宋体" w:cs="宋体"/>
                <w:color w:val="auto"/>
                <w:highlight w:val="none"/>
              </w:rPr>
            </w:pPr>
            <w:r>
              <w:rPr>
                <w:rFonts w:hint="eastAsia" w:ascii="宋体" w:hAnsi="宋体" w:eastAsia="宋体" w:cs="宋体"/>
                <w:bCs/>
                <w:color w:val="auto"/>
                <w:highlight w:val="none"/>
              </w:rPr>
              <w:t>达到标准的得满分，每月每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货物有一项未达到标准的扣4分，每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货物最多扣4分。</w:t>
            </w:r>
          </w:p>
        </w:tc>
        <w:tc>
          <w:tcPr>
            <w:tcW w:w="733" w:type="dxa"/>
            <w:noWrap w:val="0"/>
            <w:vAlign w:val="center"/>
          </w:tcPr>
          <w:p w14:paraId="38861D39">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705" w:type="dxa"/>
            <w:noWrap w:val="0"/>
            <w:vAlign w:val="center"/>
          </w:tcPr>
          <w:p w14:paraId="5FE06B55">
            <w:pPr>
              <w:widowControl/>
              <w:snapToGrid w:val="0"/>
              <w:jc w:val="center"/>
              <w:rPr>
                <w:rFonts w:hint="eastAsia" w:ascii="宋体" w:hAnsi="宋体" w:eastAsia="宋体" w:cs="宋体"/>
                <w:bCs/>
                <w:color w:val="auto"/>
                <w:highlight w:val="none"/>
              </w:rPr>
            </w:pPr>
          </w:p>
        </w:tc>
        <w:tc>
          <w:tcPr>
            <w:tcW w:w="719" w:type="dxa"/>
            <w:noWrap w:val="0"/>
            <w:vAlign w:val="center"/>
          </w:tcPr>
          <w:p w14:paraId="632F68C0">
            <w:pPr>
              <w:widowControl/>
              <w:snapToGrid w:val="0"/>
              <w:jc w:val="center"/>
              <w:rPr>
                <w:rFonts w:hint="eastAsia" w:ascii="宋体" w:hAnsi="宋体" w:eastAsia="宋体" w:cs="宋体"/>
                <w:bCs/>
                <w:color w:val="auto"/>
                <w:highlight w:val="none"/>
              </w:rPr>
            </w:pPr>
          </w:p>
        </w:tc>
      </w:tr>
      <w:tr w14:paraId="04A5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578A4FB1">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1586" w:type="dxa"/>
            <w:noWrap w:val="0"/>
            <w:vAlign w:val="center"/>
          </w:tcPr>
          <w:p w14:paraId="1186B171">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包装、运输</w:t>
            </w:r>
          </w:p>
        </w:tc>
        <w:tc>
          <w:tcPr>
            <w:tcW w:w="3654" w:type="dxa"/>
            <w:noWrap w:val="0"/>
            <w:vAlign w:val="center"/>
          </w:tcPr>
          <w:p w14:paraId="11F00E4A">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货物的包装、运输符合合同规定及国家、行业有关标准规范；未出现由于包装、运输方式不当造成以下不良后果：</w:t>
            </w:r>
          </w:p>
          <w:p w14:paraId="75C5FAE2">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（1）影响货物输送或储存质量；</w:t>
            </w:r>
          </w:p>
          <w:p w14:paraId="2C31BB1E">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（2）货物质量下降；</w:t>
            </w:r>
          </w:p>
          <w:p w14:paraId="19F39270">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（3）货物泄漏导致供货量不足；</w:t>
            </w:r>
          </w:p>
          <w:p w14:paraId="614BA015">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（4）造成环境污染。</w:t>
            </w:r>
          </w:p>
        </w:tc>
        <w:tc>
          <w:tcPr>
            <w:tcW w:w="2159" w:type="dxa"/>
            <w:gridSpan w:val="2"/>
            <w:noWrap w:val="0"/>
            <w:vAlign w:val="center"/>
          </w:tcPr>
          <w:p w14:paraId="496390B6">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货物有一项未达到标准的扣3分，每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货物最多扣3分。</w:t>
            </w:r>
          </w:p>
        </w:tc>
        <w:tc>
          <w:tcPr>
            <w:tcW w:w="733" w:type="dxa"/>
            <w:noWrap w:val="0"/>
            <w:vAlign w:val="center"/>
          </w:tcPr>
          <w:p w14:paraId="7368A28C">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705" w:type="dxa"/>
            <w:noWrap w:val="0"/>
            <w:vAlign w:val="center"/>
          </w:tcPr>
          <w:p w14:paraId="6411963B">
            <w:pPr>
              <w:widowControl/>
              <w:snapToGrid w:val="0"/>
              <w:jc w:val="center"/>
              <w:rPr>
                <w:rFonts w:hint="eastAsia" w:ascii="宋体" w:hAnsi="宋体" w:eastAsia="宋体" w:cs="宋体"/>
                <w:bCs/>
                <w:color w:val="auto"/>
                <w:highlight w:val="none"/>
              </w:rPr>
            </w:pPr>
          </w:p>
        </w:tc>
        <w:tc>
          <w:tcPr>
            <w:tcW w:w="719" w:type="dxa"/>
            <w:noWrap w:val="0"/>
            <w:vAlign w:val="center"/>
          </w:tcPr>
          <w:p w14:paraId="48DA960A">
            <w:pPr>
              <w:widowControl/>
              <w:snapToGrid w:val="0"/>
              <w:jc w:val="center"/>
              <w:rPr>
                <w:rFonts w:hint="eastAsia" w:ascii="宋体" w:hAnsi="宋体" w:eastAsia="宋体" w:cs="宋体"/>
                <w:bCs/>
                <w:color w:val="auto"/>
                <w:highlight w:val="none"/>
              </w:rPr>
            </w:pPr>
          </w:p>
        </w:tc>
      </w:tr>
      <w:tr w14:paraId="1220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461DC54A">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1586" w:type="dxa"/>
            <w:noWrap w:val="0"/>
            <w:vAlign w:val="center"/>
          </w:tcPr>
          <w:p w14:paraId="077636FB">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货物交付</w:t>
            </w:r>
          </w:p>
        </w:tc>
        <w:tc>
          <w:tcPr>
            <w:tcW w:w="3654" w:type="dxa"/>
            <w:noWrap w:val="0"/>
            <w:vAlign w:val="center"/>
          </w:tcPr>
          <w:p w14:paraId="0D1E7940">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（1）按合同要求的期限供货（包括加急供货）；</w:t>
            </w:r>
          </w:p>
          <w:p w14:paraId="18CAEA47">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（2）每次供货配合提供电子地磅称重单；</w:t>
            </w:r>
          </w:p>
          <w:p w14:paraId="5BF13275">
            <w:pPr>
              <w:rPr>
                <w:rFonts w:hint="eastAsia" w:ascii="宋体" w:hAnsi="宋体" w:eastAsia="宋体" w:cs="宋体"/>
                <w:bCs/>
                <w:color w:val="auto"/>
                <w:highlight w:val="none"/>
              </w:rPr>
            </w:pPr>
            <w:r>
              <w:rPr>
                <w:rFonts w:hint="eastAsia" w:ascii="宋体" w:hAnsi="宋体" w:eastAsia="宋体" w:cs="宋体"/>
                <w:bCs/>
                <w:color w:val="auto"/>
                <w:highlight w:val="none"/>
              </w:rPr>
              <w:t>（3）每次供货配合提供出厂检验报告或质量合格证等技术资料；</w:t>
            </w:r>
          </w:p>
          <w:p w14:paraId="4C7C3D45">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（4）交付人员专业性强，工作效率高，熟悉交付操作流程；</w:t>
            </w:r>
          </w:p>
          <w:p w14:paraId="1E1F5764">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（5）未出现因库存、运力不足等原因影响供货量的情况。</w:t>
            </w:r>
          </w:p>
        </w:tc>
        <w:tc>
          <w:tcPr>
            <w:tcW w:w="2159" w:type="dxa"/>
            <w:gridSpan w:val="2"/>
            <w:noWrap w:val="0"/>
            <w:vAlign w:val="center"/>
          </w:tcPr>
          <w:p w14:paraId="56E64218">
            <w:pPr>
              <w:widowControl/>
              <w:snapToGrid w:val="0"/>
              <w:rPr>
                <w:rFonts w:hint="eastAsia" w:ascii="宋体" w:hAnsi="宋体" w:eastAsia="宋体" w:cs="宋体"/>
                <w:color w:val="auto"/>
                <w:highlight w:val="none"/>
              </w:rPr>
            </w:pPr>
            <w:r>
              <w:rPr>
                <w:rFonts w:hint="eastAsia" w:ascii="宋体" w:hAnsi="宋体" w:eastAsia="宋体" w:cs="宋体"/>
                <w:bCs/>
                <w:color w:val="auto"/>
                <w:highlight w:val="none"/>
              </w:rPr>
              <w:t>达到标准的得满分，每月每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货物有一项未达到标准的扣3分，每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货物最多扣3分。</w:t>
            </w:r>
          </w:p>
        </w:tc>
        <w:tc>
          <w:tcPr>
            <w:tcW w:w="733" w:type="dxa"/>
            <w:noWrap w:val="0"/>
            <w:vAlign w:val="center"/>
          </w:tcPr>
          <w:p w14:paraId="12C6C459">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705" w:type="dxa"/>
            <w:noWrap w:val="0"/>
            <w:vAlign w:val="center"/>
          </w:tcPr>
          <w:p w14:paraId="5D570993">
            <w:pPr>
              <w:widowControl/>
              <w:snapToGrid w:val="0"/>
              <w:jc w:val="center"/>
              <w:rPr>
                <w:rFonts w:hint="eastAsia" w:ascii="宋体" w:hAnsi="宋体" w:eastAsia="宋体" w:cs="宋体"/>
                <w:bCs/>
                <w:color w:val="auto"/>
                <w:highlight w:val="none"/>
              </w:rPr>
            </w:pPr>
          </w:p>
        </w:tc>
        <w:tc>
          <w:tcPr>
            <w:tcW w:w="719" w:type="dxa"/>
            <w:noWrap w:val="0"/>
            <w:vAlign w:val="center"/>
          </w:tcPr>
          <w:p w14:paraId="1A05E261">
            <w:pPr>
              <w:widowControl/>
              <w:snapToGrid w:val="0"/>
              <w:jc w:val="center"/>
              <w:rPr>
                <w:rFonts w:hint="eastAsia" w:ascii="宋体" w:hAnsi="宋体" w:eastAsia="宋体" w:cs="宋体"/>
                <w:bCs/>
                <w:color w:val="auto"/>
                <w:highlight w:val="none"/>
              </w:rPr>
            </w:pPr>
          </w:p>
        </w:tc>
      </w:tr>
      <w:tr w14:paraId="6BE1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0B51F2FA">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4</w:t>
            </w:r>
          </w:p>
        </w:tc>
        <w:tc>
          <w:tcPr>
            <w:tcW w:w="1586" w:type="dxa"/>
            <w:noWrap w:val="0"/>
            <w:vAlign w:val="center"/>
          </w:tcPr>
          <w:p w14:paraId="323C962B">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验收</w:t>
            </w:r>
          </w:p>
        </w:tc>
        <w:tc>
          <w:tcPr>
            <w:tcW w:w="3654" w:type="dxa"/>
            <w:noWrap w:val="0"/>
            <w:vAlign w:val="center"/>
          </w:tcPr>
          <w:p w14:paraId="2EB487F0">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（1）及时提供货物的各项技术资料，技术资料齐全、规范；</w:t>
            </w:r>
          </w:p>
          <w:p w14:paraId="74C91ECB">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（2）未出现因对检测结果存在异议而影响供货的情况；</w:t>
            </w:r>
          </w:p>
          <w:p w14:paraId="5FBF2A60">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（3）未出现因货物检验不合格，或因货物不合格影响厂区生产效果的情况。</w:t>
            </w:r>
          </w:p>
        </w:tc>
        <w:tc>
          <w:tcPr>
            <w:tcW w:w="2159" w:type="dxa"/>
            <w:gridSpan w:val="2"/>
            <w:noWrap w:val="0"/>
            <w:vAlign w:val="center"/>
          </w:tcPr>
          <w:p w14:paraId="250E569F">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w:t>
            </w:r>
            <w:bookmarkStart w:id="522" w:name="OLE_LINK3"/>
            <w:r>
              <w:rPr>
                <w:rFonts w:hint="eastAsia" w:ascii="宋体" w:hAnsi="宋体" w:eastAsia="宋体" w:cs="宋体"/>
                <w:bCs/>
                <w:color w:val="auto"/>
                <w:highlight w:val="none"/>
                <w:lang w:val="en-US" w:eastAsia="zh-CN"/>
              </w:rPr>
              <w:t>次</w:t>
            </w:r>
            <w:bookmarkEnd w:id="522"/>
            <w:r>
              <w:rPr>
                <w:rFonts w:hint="eastAsia" w:ascii="宋体" w:hAnsi="宋体" w:eastAsia="宋体" w:cs="宋体"/>
                <w:bCs/>
                <w:color w:val="auto"/>
                <w:highlight w:val="none"/>
              </w:rPr>
              <w:t>货物有一项未达到标准的扣4分，每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货物最多扣4分。</w:t>
            </w:r>
          </w:p>
        </w:tc>
        <w:tc>
          <w:tcPr>
            <w:tcW w:w="733" w:type="dxa"/>
            <w:noWrap w:val="0"/>
            <w:vAlign w:val="center"/>
          </w:tcPr>
          <w:p w14:paraId="7D1C6BB6">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705" w:type="dxa"/>
            <w:noWrap w:val="0"/>
            <w:vAlign w:val="center"/>
          </w:tcPr>
          <w:p w14:paraId="6AE0C4EB">
            <w:pPr>
              <w:widowControl/>
              <w:snapToGrid w:val="0"/>
              <w:jc w:val="center"/>
              <w:rPr>
                <w:rFonts w:hint="eastAsia" w:ascii="宋体" w:hAnsi="宋体" w:eastAsia="宋体" w:cs="宋体"/>
                <w:bCs/>
                <w:color w:val="auto"/>
                <w:highlight w:val="none"/>
              </w:rPr>
            </w:pPr>
          </w:p>
        </w:tc>
        <w:tc>
          <w:tcPr>
            <w:tcW w:w="719" w:type="dxa"/>
            <w:noWrap w:val="0"/>
            <w:vAlign w:val="center"/>
          </w:tcPr>
          <w:p w14:paraId="45893321">
            <w:pPr>
              <w:widowControl/>
              <w:snapToGrid w:val="0"/>
              <w:jc w:val="center"/>
              <w:rPr>
                <w:rFonts w:hint="eastAsia" w:ascii="宋体" w:hAnsi="宋体" w:eastAsia="宋体" w:cs="宋体"/>
                <w:bCs/>
                <w:color w:val="auto"/>
                <w:highlight w:val="none"/>
              </w:rPr>
            </w:pPr>
          </w:p>
        </w:tc>
      </w:tr>
      <w:tr w14:paraId="7E5D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2613E681">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5</w:t>
            </w:r>
          </w:p>
        </w:tc>
        <w:tc>
          <w:tcPr>
            <w:tcW w:w="1586" w:type="dxa"/>
            <w:noWrap w:val="0"/>
            <w:vAlign w:val="center"/>
          </w:tcPr>
          <w:p w14:paraId="21864907">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安全</w:t>
            </w:r>
          </w:p>
        </w:tc>
        <w:tc>
          <w:tcPr>
            <w:tcW w:w="3654" w:type="dxa"/>
            <w:noWrap w:val="0"/>
            <w:vAlign w:val="center"/>
          </w:tcPr>
          <w:p w14:paraId="45D24E46">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（1）运输服务商资质、运输人员、运输车辆符合合同规定及国家相关法律法规要求；</w:t>
            </w:r>
          </w:p>
          <w:p w14:paraId="1BD3E05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（2）未出现超载或非法运输等情况；</w:t>
            </w:r>
          </w:p>
          <w:p w14:paraId="2678B91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（3）未出现由于运输服务商资质不符、超载或非法运输、未按厂区指示行驶及停放造成第三方或厂区事故、损失的情况；</w:t>
            </w:r>
          </w:p>
          <w:p w14:paraId="20C290E7">
            <w:pPr>
              <w:outlineLvl w:val="2"/>
              <w:rPr>
                <w:rFonts w:hint="eastAsia" w:ascii="宋体" w:hAnsi="宋体" w:eastAsia="宋体" w:cs="宋体"/>
                <w:color w:val="auto"/>
                <w:highlight w:val="none"/>
              </w:rPr>
            </w:pPr>
            <w:bookmarkStart w:id="523" w:name="_Toc19474"/>
            <w:r>
              <w:rPr>
                <w:rFonts w:hint="eastAsia" w:ascii="宋体" w:hAnsi="宋体" w:eastAsia="宋体" w:cs="宋体"/>
                <w:bCs/>
                <w:color w:val="auto"/>
                <w:highlight w:val="none"/>
              </w:rPr>
              <w:t>（4）未出现卸货安全事故。</w:t>
            </w:r>
            <w:bookmarkEnd w:id="523"/>
          </w:p>
        </w:tc>
        <w:tc>
          <w:tcPr>
            <w:tcW w:w="2159" w:type="dxa"/>
            <w:gridSpan w:val="2"/>
            <w:noWrap w:val="0"/>
            <w:vAlign w:val="center"/>
          </w:tcPr>
          <w:p w14:paraId="23F1D5BB">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货物有一项未达到标准的扣3分，每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货物最多扣3分。</w:t>
            </w:r>
          </w:p>
        </w:tc>
        <w:tc>
          <w:tcPr>
            <w:tcW w:w="733" w:type="dxa"/>
            <w:noWrap w:val="0"/>
            <w:vAlign w:val="center"/>
          </w:tcPr>
          <w:p w14:paraId="11E0B205">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15</w:t>
            </w:r>
          </w:p>
        </w:tc>
        <w:tc>
          <w:tcPr>
            <w:tcW w:w="705" w:type="dxa"/>
            <w:noWrap w:val="0"/>
            <w:vAlign w:val="center"/>
          </w:tcPr>
          <w:p w14:paraId="775036F7">
            <w:pPr>
              <w:widowControl/>
              <w:snapToGrid w:val="0"/>
              <w:jc w:val="center"/>
              <w:rPr>
                <w:rFonts w:hint="eastAsia" w:ascii="宋体" w:hAnsi="宋体" w:eastAsia="宋体" w:cs="宋体"/>
                <w:bCs/>
                <w:color w:val="auto"/>
                <w:highlight w:val="none"/>
              </w:rPr>
            </w:pPr>
          </w:p>
        </w:tc>
        <w:tc>
          <w:tcPr>
            <w:tcW w:w="719" w:type="dxa"/>
            <w:noWrap w:val="0"/>
            <w:vAlign w:val="center"/>
          </w:tcPr>
          <w:p w14:paraId="5CD785A3">
            <w:pPr>
              <w:widowControl/>
              <w:snapToGrid w:val="0"/>
              <w:jc w:val="center"/>
              <w:rPr>
                <w:rFonts w:hint="eastAsia" w:ascii="宋体" w:hAnsi="宋体" w:eastAsia="宋体" w:cs="宋体"/>
                <w:bCs/>
                <w:color w:val="auto"/>
                <w:highlight w:val="none"/>
              </w:rPr>
            </w:pPr>
          </w:p>
        </w:tc>
      </w:tr>
      <w:tr w14:paraId="7F09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699DAED9">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6</w:t>
            </w:r>
          </w:p>
        </w:tc>
        <w:tc>
          <w:tcPr>
            <w:tcW w:w="1586" w:type="dxa"/>
            <w:noWrap w:val="0"/>
            <w:vAlign w:val="center"/>
          </w:tcPr>
          <w:p w14:paraId="7CB6604B">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售后服务</w:t>
            </w:r>
          </w:p>
        </w:tc>
        <w:tc>
          <w:tcPr>
            <w:tcW w:w="3654" w:type="dxa"/>
            <w:noWrap w:val="0"/>
            <w:vAlign w:val="center"/>
          </w:tcPr>
          <w:p w14:paraId="1020981E">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（1）人员：</w:t>
            </w:r>
          </w:p>
          <w:p w14:paraId="78A5537B">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①管理、技术及服务人员均符合申请文件的承诺，服务队伍稳定，人员充足、专业性强，充分配合甲方供货需求；</w:t>
            </w:r>
          </w:p>
          <w:p w14:paraId="31909D00">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②对接人员与甲方沟通良好、理解到位、执行力强，能及时发现、解决问题，并未雨绸缪地因应各厂区实际情况提供合理化的供配货建议；</w:t>
            </w:r>
          </w:p>
          <w:p w14:paraId="286EB3AE">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③未出现推诿，借故不肯签署合同规定的文件或者敷衍了事、置之不理等情况。</w:t>
            </w:r>
          </w:p>
          <w:p w14:paraId="178A7B83">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（2）配合：</w:t>
            </w:r>
          </w:p>
          <w:p w14:paraId="0988CC8D">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①售后服务流程完善，跟踪到位，响应速度快；</w:t>
            </w:r>
          </w:p>
          <w:p w14:paraId="00988F6C">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②就货物储存保质方式、方法提出合理化建议并能提供专业技术指导；</w:t>
            </w:r>
          </w:p>
          <w:p w14:paraId="2575E495">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③积极配合甲方进行试验、积极协助甲方接受政府管理部门的检查工作及提供各类资质证明材料；</w:t>
            </w:r>
          </w:p>
          <w:p w14:paraId="6DF81FB3">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④能根据甲方要求提供专业培训。</w:t>
            </w:r>
          </w:p>
          <w:p w14:paraId="709EAE80">
            <w:pPr>
              <w:outlineLvl w:val="2"/>
              <w:rPr>
                <w:rFonts w:hint="eastAsia" w:ascii="宋体" w:hAnsi="宋体" w:eastAsia="宋体" w:cs="宋体"/>
                <w:color w:val="auto"/>
                <w:highlight w:val="none"/>
              </w:rPr>
            </w:pPr>
            <w:bookmarkStart w:id="524" w:name="_Toc26926"/>
            <w:r>
              <w:rPr>
                <w:rFonts w:hint="eastAsia" w:ascii="宋体" w:hAnsi="宋体" w:eastAsia="宋体" w:cs="宋体"/>
                <w:bCs/>
                <w:color w:val="auto"/>
                <w:highlight w:val="none"/>
              </w:rPr>
              <w:t>⑤高效处理退换货工作、态度良好。</w:t>
            </w:r>
            <w:bookmarkEnd w:id="524"/>
          </w:p>
        </w:tc>
        <w:tc>
          <w:tcPr>
            <w:tcW w:w="2159" w:type="dxa"/>
            <w:gridSpan w:val="2"/>
            <w:noWrap w:val="0"/>
            <w:vAlign w:val="center"/>
          </w:tcPr>
          <w:p w14:paraId="4ACB3AB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货物有一项未达到标准的扣2分，每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货物最多扣2分。</w:t>
            </w:r>
          </w:p>
        </w:tc>
        <w:tc>
          <w:tcPr>
            <w:tcW w:w="733" w:type="dxa"/>
            <w:noWrap w:val="0"/>
            <w:vAlign w:val="center"/>
          </w:tcPr>
          <w:p w14:paraId="6F4B2B0D">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10</w:t>
            </w:r>
          </w:p>
        </w:tc>
        <w:tc>
          <w:tcPr>
            <w:tcW w:w="705" w:type="dxa"/>
            <w:noWrap w:val="0"/>
            <w:vAlign w:val="center"/>
          </w:tcPr>
          <w:p w14:paraId="51623CEB">
            <w:pPr>
              <w:widowControl/>
              <w:snapToGrid w:val="0"/>
              <w:jc w:val="center"/>
              <w:rPr>
                <w:rFonts w:hint="eastAsia" w:ascii="宋体" w:hAnsi="宋体" w:eastAsia="宋体" w:cs="宋体"/>
                <w:bCs/>
                <w:color w:val="auto"/>
                <w:highlight w:val="none"/>
              </w:rPr>
            </w:pPr>
          </w:p>
        </w:tc>
        <w:tc>
          <w:tcPr>
            <w:tcW w:w="719" w:type="dxa"/>
            <w:noWrap w:val="0"/>
            <w:vAlign w:val="center"/>
          </w:tcPr>
          <w:p w14:paraId="7777C8C0">
            <w:pPr>
              <w:widowControl/>
              <w:snapToGrid w:val="0"/>
              <w:jc w:val="center"/>
              <w:rPr>
                <w:rFonts w:hint="eastAsia" w:ascii="宋体" w:hAnsi="宋体" w:eastAsia="宋体" w:cs="宋体"/>
                <w:bCs/>
                <w:color w:val="auto"/>
                <w:highlight w:val="none"/>
              </w:rPr>
            </w:pPr>
          </w:p>
        </w:tc>
      </w:tr>
      <w:tr w14:paraId="707B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824" w:type="dxa"/>
            <w:gridSpan w:val="5"/>
            <w:noWrap w:val="0"/>
            <w:vAlign w:val="center"/>
          </w:tcPr>
          <w:p w14:paraId="34C6A9E1">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合计</w:t>
            </w:r>
          </w:p>
        </w:tc>
        <w:tc>
          <w:tcPr>
            <w:tcW w:w="733" w:type="dxa"/>
            <w:noWrap w:val="0"/>
            <w:vAlign w:val="center"/>
          </w:tcPr>
          <w:p w14:paraId="757FAE67">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100</w:t>
            </w:r>
          </w:p>
        </w:tc>
        <w:tc>
          <w:tcPr>
            <w:tcW w:w="705" w:type="dxa"/>
            <w:noWrap w:val="0"/>
            <w:vAlign w:val="center"/>
          </w:tcPr>
          <w:p w14:paraId="6F2630CB">
            <w:pPr>
              <w:widowControl/>
              <w:snapToGrid w:val="0"/>
              <w:jc w:val="center"/>
              <w:rPr>
                <w:rFonts w:hint="eastAsia" w:ascii="宋体" w:hAnsi="宋体" w:eastAsia="宋体" w:cs="宋体"/>
                <w:bCs/>
                <w:color w:val="auto"/>
                <w:highlight w:val="none"/>
              </w:rPr>
            </w:pPr>
          </w:p>
        </w:tc>
        <w:tc>
          <w:tcPr>
            <w:tcW w:w="719" w:type="dxa"/>
            <w:noWrap w:val="0"/>
            <w:vAlign w:val="center"/>
          </w:tcPr>
          <w:p w14:paraId="25740F24">
            <w:pPr>
              <w:widowControl/>
              <w:snapToGrid w:val="0"/>
              <w:jc w:val="center"/>
              <w:rPr>
                <w:rFonts w:hint="eastAsia" w:ascii="宋体" w:hAnsi="宋体" w:eastAsia="宋体" w:cs="宋体"/>
                <w:bCs/>
                <w:color w:val="auto"/>
                <w:highlight w:val="none"/>
              </w:rPr>
            </w:pPr>
          </w:p>
        </w:tc>
      </w:tr>
      <w:tr w14:paraId="767F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011" w:type="dxa"/>
            <w:gridSpan w:val="2"/>
            <w:noWrap w:val="0"/>
            <w:vAlign w:val="center"/>
          </w:tcPr>
          <w:p w14:paraId="6C381047">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评审结论</w:t>
            </w:r>
          </w:p>
        </w:tc>
        <w:tc>
          <w:tcPr>
            <w:tcW w:w="7970" w:type="dxa"/>
            <w:gridSpan w:val="6"/>
            <w:noWrap w:val="0"/>
            <w:vAlign w:val="top"/>
          </w:tcPr>
          <w:p w14:paraId="783C4B97">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合计分值</w:t>
            </w:r>
            <w:r>
              <w:rPr>
                <w:rFonts w:hint="eastAsia" w:ascii="宋体" w:hAnsi="宋体" w:eastAsia="宋体" w:cs="宋体"/>
                <w:bCs/>
                <w:color w:val="auto"/>
                <w:highlight w:val="none"/>
              </w:rPr>
              <w:t>不低于80的，评审结论合格</w:t>
            </w:r>
            <w:r>
              <w:rPr>
                <w:rFonts w:hint="eastAsia" w:ascii="宋体" w:hAnsi="宋体" w:eastAsia="宋体" w:cs="宋体"/>
                <w:bCs/>
                <w:color w:val="auto"/>
                <w:highlight w:val="none"/>
              </w:rPr>
              <w:br w:type="textWrapping"/>
            </w:r>
            <w:r>
              <w:rPr>
                <w:rFonts w:hint="eastAsia" w:ascii="宋体" w:hAnsi="宋体" w:eastAsia="宋体" w:cs="宋体"/>
                <w:bCs/>
                <w:color w:val="auto"/>
                <w:highlight w:val="none"/>
              </w:rPr>
              <w:t>□评审结论不合格，说明：</w:t>
            </w:r>
            <w:r>
              <w:rPr>
                <w:rFonts w:hint="eastAsia" w:ascii="宋体" w:hAnsi="宋体" w:eastAsia="宋体" w:cs="宋体"/>
                <w:bCs/>
                <w:color w:val="auto"/>
                <w:highlight w:val="none"/>
                <w:u w:val="single"/>
              </w:rPr>
              <w:t xml:space="preserve">              </w:t>
            </w:r>
          </w:p>
        </w:tc>
      </w:tr>
      <w:tr w14:paraId="0176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011" w:type="dxa"/>
            <w:gridSpan w:val="2"/>
            <w:vMerge w:val="restart"/>
            <w:noWrap w:val="0"/>
            <w:vAlign w:val="center"/>
          </w:tcPr>
          <w:p w14:paraId="19582A0D">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履约评审运营项目</w:t>
            </w:r>
            <w:r>
              <w:rPr>
                <w:rFonts w:hint="eastAsia" w:ascii="宋体" w:hAnsi="宋体" w:eastAsia="宋体" w:cs="宋体"/>
                <w:color w:val="auto"/>
                <w:highlight w:val="none"/>
              </w:rPr>
              <w:t>其他</w:t>
            </w:r>
            <w:r>
              <w:rPr>
                <w:rFonts w:hint="eastAsia" w:ascii="宋体" w:hAnsi="宋体" w:eastAsia="宋体" w:cs="宋体"/>
                <w:bCs/>
                <w:color w:val="auto"/>
                <w:highlight w:val="none"/>
              </w:rPr>
              <w:t>意见及签署</w:t>
            </w:r>
          </w:p>
        </w:tc>
        <w:tc>
          <w:tcPr>
            <w:tcW w:w="3989" w:type="dxa"/>
            <w:gridSpan w:val="2"/>
            <w:noWrap w:val="0"/>
            <w:vAlign w:val="center"/>
          </w:tcPr>
          <w:p w14:paraId="0A2D465E">
            <w:pPr>
              <w:widowControl/>
              <w:snapToGrid w:val="0"/>
              <w:rPr>
                <w:rFonts w:hint="eastAsia" w:ascii="宋体" w:hAnsi="宋体" w:eastAsia="宋体" w:cs="宋体"/>
                <w:color w:val="auto"/>
                <w:highlight w:val="none"/>
              </w:rPr>
            </w:pPr>
            <w:r>
              <w:rPr>
                <w:rFonts w:hint="eastAsia" w:ascii="宋体" w:hAnsi="宋体" w:eastAsia="宋体" w:cs="宋体"/>
                <w:bCs/>
                <w:color w:val="auto"/>
                <w:highlight w:val="none"/>
              </w:rPr>
              <w:t>经办人</w:t>
            </w:r>
          </w:p>
        </w:tc>
        <w:tc>
          <w:tcPr>
            <w:tcW w:w="3987" w:type="dxa"/>
            <w:gridSpan w:val="5"/>
            <w:noWrap w:val="0"/>
            <w:vAlign w:val="center"/>
          </w:tcPr>
          <w:p w14:paraId="10B27CBD">
            <w:pPr>
              <w:widowControl/>
              <w:snapToGrid w:val="0"/>
              <w:rPr>
                <w:rFonts w:hint="eastAsia" w:ascii="宋体" w:hAnsi="宋体" w:eastAsia="宋体" w:cs="宋体"/>
                <w:bCs/>
                <w:color w:val="auto"/>
                <w:highlight w:val="none"/>
              </w:rPr>
            </w:pPr>
          </w:p>
        </w:tc>
      </w:tr>
      <w:tr w14:paraId="1120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11" w:type="dxa"/>
            <w:gridSpan w:val="2"/>
            <w:vMerge w:val="continue"/>
            <w:noWrap w:val="0"/>
            <w:vAlign w:val="top"/>
          </w:tcPr>
          <w:p w14:paraId="43C72621">
            <w:pPr>
              <w:widowControl/>
              <w:snapToGrid w:val="0"/>
              <w:rPr>
                <w:rFonts w:hint="eastAsia" w:ascii="宋体" w:hAnsi="宋体" w:eastAsia="宋体" w:cs="宋体"/>
                <w:bCs/>
                <w:color w:val="auto"/>
                <w:highlight w:val="none"/>
              </w:rPr>
            </w:pPr>
          </w:p>
        </w:tc>
        <w:tc>
          <w:tcPr>
            <w:tcW w:w="3989" w:type="dxa"/>
            <w:gridSpan w:val="2"/>
            <w:noWrap w:val="0"/>
            <w:vAlign w:val="center"/>
          </w:tcPr>
          <w:p w14:paraId="63F771A3">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运营项目负责人</w:t>
            </w:r>
          </w:p>
        </w:tc>
        <w:tc>
          <w:tcPr>
            <w:tcW w:w="3987" w:type="dxa"/>
            <w:gridSpan w:val="5"/>
            <w:noWrap w:val="0"/>
            <w:vAlign w:val="center"/>
          </w:tcPr>
          <w:p w14:paraId="601678EF">
            <w:pPr>
              <w:widowControl/>
              <w:snapToGrid w:val="0"/>
              <w:rPr>
                <w:rFonts w:hint="eastAsia" w:ascii="宋体" w:hAnsi="宋体" w:eastAsia="宋体" w:cs="宋体"/>
                <w:bCs/>
                <w:color w:val="auto"/>
                <w:highlight w:val="none"/>
              </w:rPr>
            </w:pPr>
          </w:p>
        </w:tc>
      </w:tr>
    </w:tbl>
    <w:p w14:paraId="469E51A7">
      <w:pPr>
        <w:pStyle w:val="203"/>
        <w:rPr>
          <w:rFonts w:hint="eastAsia" w:ascii="宋体" w:hAnsi="宋体" w:eastAsia="宋体" w:cs="宋体"/>
          <w:color w:val="auto"/>
          <w:highlight w:val="none"/>
        </w:rPr>
      </w:pPr>
    </w:p>
    <w:p w14:paraId="0B526725">
      <w:pPr>
        <w:pageBreakBefore/>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附件3：廉洁协议书</w:t>
      </w:r>
    </w:p>
    <w:p w14:paraId="69280A0D">
      <w:pPr>
        <w:spacing w:line="360" w:lineRule="auto"/>
        <w:jc w:val="center"/>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廉洁协议书</w:t>
      </w:r>
    </w:p>
    <w:p w14:paraId="1F899BC9">
      <w:pPr>
        <w:spacing w:line="360" w:lineRule="auto"/>
        <w:rPr>
          <w:rFonts w:hint="eastAsia" w:ascii="宋体" w:hAnsi="宋体" w:eastAsia="宋体" w:cs="宋体"/>
          <w:color w:val="auto"/>
          <w:sz w:val="21"/>
          <w:szCs w:val="21"/>
          <w:highlight w:val="none"/>
        </w:rPr>
      </w:pPr>
    </w:p>
    <w:p w14:paraId="08B58F78">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项目名称：东莞市水务集团净水有限公司2025年生产药剂液体复合碳源采购项目（招标编号：WTZB2024DG0048）</w:t>
      </w:r>
    </w:p>
    <w:p w14:paraId="19CFEC4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甲方（业主单位）： </w:t>
      </w:r>
    </w:p>
    <w:p w14:paraId="271B91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14:paraId="3D922F54">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45CF836">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14:paraId="322086BA">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36177B61">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48E4E04A">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5FA8CFC0">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10ACB407">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14709EAC">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437AF8B0">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14:paraId="7D20B21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654EC9E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14FD0C94">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070B3569">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5C0A11C6">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019B4995">
      <w:pPr>
        <w:spacing w:line="360" w:lineRule="auto"/>
        <w:ind w:firstLine="478" w:firstLineChars="228"/>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7E5B4D03">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77992C73">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5097A197">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6C6BEBFA">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3AFD91E3">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01190855">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7C3C1E7C">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3588BA4D">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37FE934D">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ADFC8BF">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40B77886">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5C09DD9A">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095F53FB">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58B95FAA">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6AFB0DC3">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第六条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举报信访受理</w:t>
      </w:r>
    </w:p>
    <w:p w14:paraId="2EA74E3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14BB880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475EE32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Style w:val="44"/>
          <w:rFonts w:hint="eastAsia" w:ascii="宋体" w:hAnsi="宋体" w:eastAsia="宋体" w:cs="宋体"/>
          <w:color w:val="auto"/>
          <w:sz w:val="21"/>
          <w:szCs w:val="21"/>
          <w:highlight w:val="none"/>
        </w:rPr>
        <w:t>jcsj@dgswjt.cn。</w:t>
      </w:r>
      <w:r>
        <w:rPr>
          <w:rStyle w:val="44"/>
          <w:rFonts w:hint="eastAsia" w:ascii="宋体" w:hAnsi="宋体" w:eastAsia="宋体" w:cs="宋体"/>
          <w:color w:val="auto"/>
          <w:sz w:val="21"/>
          <w:szCs w:val="21"/>
          <w:highlight w:val="none"/>
        </w:rPr>
        <w:fldChar w:fldCharType="end"/>
      </w:r>
    </w:p>
    <w:p w14:paraId="401763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（四）信访地址：广东省东莞市东城街道育华路1号。</w:t>
      </w:r>
    </w:p>
    <w:p w14:paraId="1159C4E7">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条  其他</w:t>
      </w:r>
    </w:p>
    <w:p w14:paraId="7BCBE057">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本协议有效期为甲乙双方法定代表人或负责人签字并盖章之日起至该工程/采购项目竣工验收完毕，质保期/供货期满后止。本协议一式   份，甲、乙双方各执   份，甲、乙双方上级主管部门各执   份。</w:t>
      </w:r>
    </w:p>
    <w:p w14:paraId="74324123">
      <w:pPr>
        <w:spacing w:line="360" w:lineRule="auto"/>
        <w:ind w:firstLine="478" w:firstLineChars="228"/>
        <w:rPr>
          <w:rFonts w:hint="eastAsia" w:ascii="宋体" w:hAnsi="宋体" w:eastAsia="宋体" w:cs="宋体"/>
          <w:color w:val="auto"/>
          <w:sz w:val="21"/>
          <w:szCs w:val="21"/>
          <w:highlight w:val="none"/>
        </w:rPr>
      </w:pPr>
    </w:p>
    <w:p w14:paraId="08526872">
      <w:pPr>
        <w:spacing w:line="360" w:lineRule="auto"/>
        <w:ind w:firstLine="478" w:firstLineChars="228"/>
        <w:rPr>
          <w:rFonts w:hint="eastAsia" w:ascii="宋体" w:hAnsi="宋体" w:eastAsia="宋体" w:cs="宋体"/>
          <w:color w:val="auto"/>
          <w:sz w:val="21"/>
          <w:szCs w:val="21"/>
          <w:highlight w:val="none"/>
        </w:rPr>
      </w:pPr>
    </w:p>
    <w:p w14:paraId="1F7700AF">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4B023967">
      <w:pPr>
        <w:spacing w:line="360" w:lineRule="auto"/>
        <w:ind w:firstLine="478" w:firstLineChars="228"/>
        <w:rPr>
          <w:rFonts w:hint="eastAsia" w:ascii="宋体" w:hAnsi="宋体" w:eastAsia="宋体" w:cs="宋体"/>
          <w:color w:val="auto"/>
          <w:sz w:val="21"/>
          <w:szCs w:val="21"/>
          <w:highlight w:val="none"/>
        </w:rPr>
      </w:pPr>
    </w:p>
    <w:p w14:paraId="3E3A50D5">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4755982E">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243753DB">
      <w:pPr>
        <w:spacing w:line="360" w:lineRule="auto"/>
        <w:ind w:firstLine="478" w:firstLineChars="228"/>
        <w:rPr>
          <w:rFonts w:hint="eastAsia" w:ascii="宋体" w:hAnsi="宋体" w:eastAsia="宋体" w:cs="宋体"/>
          <w:color w:val="auto"/>
          <w:sz w:val="21"/>
          <w:szCs w:val="21"/>
          <w:highlight w:val="none"/>
        </w:rPr>
      </w:pPr>
    </w:p>
    <w:p w14:paraId="7D03EC49">
      <w:pPr>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16D8CDCD">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附件4：安全生产管理协议</w:t>
      </w:r>
    </w:p>
    <w:p w14:paraId="03649BC4">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32"/>
          <w:szCs w:val="21"/>
          <w:highlight w:val="none"/>
        </w:rPr>
        <w:t>安全生产管理协议</w:t>
      </w:r>
    </w:p>
    <w:p w14:paraId="39EDAD6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w:t>
      </w:r>
    </w:p>
    <w:p w14:paraId="6403101A">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p>
    <w:p w14:paraId="31C042AB">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p w14:paraId="142DB08D">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lang w:eastAsia="zh-CN"/>
        </w:rPr>
        <w:t>：</w:t>
      </w:r>
    </w:p>
    <w:p w14:paraId="02B4F562">
      <w:pPr>
        <w:spacing w:line="360" w:lineRule="auto"/>
        <w:rPr>
          <w:rFonts w:hint="eastAsia" w:ascii="宋体" w:hAnsi="宋体" w:eastAsia="宋体" w:cs="宋体"/>
          <w:color w:val="auto"/>
          <w:sz w:val="21"/>
          <w:szCs w:val="21"/>
          <w:highlight w:val="none"/>
        </w:rPr>
      </w:pPr>
    </w:p>
    <w:p w14:paraId="527FC6C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w:t>
      </w:r>
    </w:p>
    <w:p w14:paraId="7AB60F17">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p>
    <w:p w14:paraId="5AD39A3B">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p w14:paraId="30C56C64">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lang w:eastAsia="zh-CN"/>
        </w:rPr>
        <w:t>：</w:t>
      </w:r>
    </w:p>
    <w:p w14:paraId="21503FF9">
      <w:pPr>
        <w:spacing w:line="360" w:lineRule="auto"/>
        <w:rPr>
          <w:rFonts w:hint="eastAsia" w:ascii="宋体" w:hAnsi="宋体" w:eastAsia="宋体" w:cs="宋体"/>
          <w:color w:val="auto"/>
          <w:sz w:val="21"/>
          <w:szCs w:val="21"/>
          <w:highlight w:val="none"/>
        </w:rPr>
      </w:pPr>
    </w:p>
    <w:p w14:paraId="5781694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775283D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58C1CE2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4F4FBC8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3、乙方使用被派遣劳动者的，应当将被派遣劳动者纳入本单位从业人员统一管理，对被派遣劳动者进行岗位安全操作规程和安全操作技能的教育和培训。</w:t>
      </w:r>
    </w:p>
    <w:p w14:paraId="5DDE8F7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26B24B6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702E897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2340C1A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14:paraId="492CADC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33C58D4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2692B40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7850BC9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4B2E1A7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64B7B1E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14:paraId="7663865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14:paraId="330CFB8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14:paraId="587499F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63ADDEA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5D9AA6C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49005C6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③严禁在厂内道路、消防通道内搭建临时建筑或堆放物资。</w:t>
      </w:r>
    </w:p>
    <w:p w14:paraId="60E5C59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④施工场所的电动工具、电焊机等须有漏电保护器和相应的安全防护装置。</w:t>
      </w:r>
    </w:p>
    <w:p w14:paraId="63FA6C0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14:paraId="2E638F9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14:paraId="6367F2A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⑦施工现场的危险区域，如临边、深坑、土方堆填区等，必须设置围栏和危险标志，夜间要设信号灯。</w:t>
      </w:r>
    </w:p>
    <w:p w14:paraId="5EDC11A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1876D7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56D36DC8">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330798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17、乙方必须接受甲方的检查与监督，并应主动配合，做好安全工作，凡有违反上述协议的即视为乙方违约，甲方有权视情况从工程结算款/服务价款中扣除（1000-2000）元/次作为违约金。</w:t>
      </w:r>
    </w:p>
    <w:p w14:paraId="40AB2A3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含税总</w:t>
      </w:r>
      <w:r>
        <w:rPr>
          <w:rFonts w:hint="eastAsia" w:ascii="宋体" w:hAnsi="宋体" w:eastAsia="宋体" w:cs="宋体"/>
          <w:color w:val="auto"/>
          <w:sz w:val="21"/>
          <w:szCs w:val="21"/>
          <w:highlight w:val="none"/>
        </w:rPr>
        <w:t>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76C470F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19、乙方对施工过程中潜在的安全风险不明确的，不可盲目施工，否则，造成的不良后果由乙方独自承担。</w:t>
      </w:r>
    </w:p>
    <w:p w14:paraId="270AD8FE">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20、本协议自双方法定代表人或负责人签字并盖章后生效。</w:t>
      </w:r>
    </w:p>
    <w:p w14:paraId="09ED1457">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6DEC1D30">
      <w:pPr>
        <w:spacing w:line="360" w:lineRule="auto"/>
        <w:ind w:firstLine="481" w:firstLineChars="2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u w:val="single"/>
        </w:rPr>
        <w:t>东莞市水务集团净水有限公司2025年生产药剂液体复合碳源采购项目</w:t>
      </w:r>
      <w:r>
        <w:rPr>
          <w:rFonts w:hint="eastAsia" w:ascii="宋体" w:hAnsi="宋体" w:eastAsia="宋体" w:cs="宋体"/>
          <w:b/>
          <w:bCs/>
          <w:color w:val="auto"/>
          <w:sz w:val="21"/>
          <w:szCs w:val="21"/>
          <w:highlight w:val="none"/>
        </w:rPr>
        <w:t>的安全管理要求、安全风险充分理解，并自愿承担因违约造成的一切后果。</w:t>
      </w:r>
    </w:p>
    <w:p w14:paraId="0641C182">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70CF9033">
      <w:pPr>
        <w:spacing w:line="360" w:lineRule="auto"/>
        <w:ind w:firstLine="478" w:firstLineChars="228"/>
        <w:rPr>
          <w:rFonts w:hint="eastAsia" w:ascii="宋体" w:hAnsi="宋体" w:eastAsia="宋体" w:cs="宋体"/>
          <w:color w:val="auto"/>
          <w:sz w:val="21"/>
          <w:szCs w:val="21"/>
          <w:highlight w:val="none"/>
        </w:rPr>
      </w:pPr>
    </w:p>
    <w:p w14:paraId="65D7582B">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               法定代表人或负责人：</w:t>
      </w:r>
    </w:p>
    <w:p w14:paraId="3106FEBD">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204BB07">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69BE7D3B">
      <w:pPr>
        <w:spacing w:line="360" w:lineRule="auto"/>
        <w:ind w:firstLine="478" w:firstLineChars="228"/>
        <w:rPr>
          <w:rFonts w:hint="eastAsia" w:ascii="宋体" w:hAnsi="宋体" w:eastAsia="宋体" w:cs="宋体"/>
          <w:color w:val="auto"/>
          <w:kern w:val="2"/>
          <w:sz w:val="21"/>
          <w:highlight w:val="none"/>
          <w:lang w:val="zh-CN"/>
        </w:rPr>
      </w:pPr>
      <w:r>
        <w:rPr>
          <w:rFonts w:hint="eastAsia" w:ascii="宋体" w:hAnsi="宋体" w:eastAsia="宋体" w:cs="宋体"/>
          <w:color w:val="auto"/>
          <w:sz w:val="21"/>
          <w:szCs w:val="21"/>
          <w:highlight w:val="none"/>
        </w:rPr>
        <w:t>签订地点：广东省东莞市</w:t>
      </w:r>
    </w:p>
    <w:p w14:paraId="64AFC643">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69D54559">
      <w:pPr>
        <w:keepNext w:val="0"/>
        <w:keepLines w:val="0"/>
        <w:widowControl/>
        <w:suppressLineNumbers w:val="0"/>
        <w:spacing w:before="0" w:beforeAutospacing="0" w:after="0" w:afterAutospacing="0"/>
        <w:ind w:left="0" w:right="0" w:firstLine="0" w:firstLineChars="0"/>
        <w:jc w:val="left"/>
        <w:rPr>
          <w:rFonts w:hint="default" w:ascii="Times New Roman" w:hAnsi="Times New Roman" w:eastAsia="仿宋_GB2312" w:cs="Times New Roman"/>
          <w:color w:val="auto"/>
          <w:kern w:val="2"/>
          <w:sz w:val="21"/>
          <w:szCs w:val="21"/>
          <w:highlight w:val="none"/>
        </w:rPr>
      </w:pPr>
      <w:r>
        <w:rPr>
          <w:rFonts w:hint="eastAsia" w:ascii="宋体" w:hAnsi="宋体" w:eastAsia="宋体" w:cs="Times New Roman"/>
          <w:b/>
          <w:bCs/>
          <w:color w:val="auto"/>
          <w:sz w:val="32"/>
          <w:szCs w:val="32"/>
          <w:highlight w:val="none"/>
          <w:lang w:val="zh-CN"/>
        </w:rPr>
        <w:br w:type="page"/>
      </w:r>
      <w:r>
        <w:rPr>
          <w:rFonts w:hint="eastAsia" w:ascii="宋体" w:hAnsi="宋体" w:eastAsia="宋体" w:cs="Times New Roman"/>
          <w:b/>
          <w:bCs/>
          <w:color w:val="auto"/>
          <w:sz w:val="32"/>
          <w:szCs w:val="32"/>
          <w:highlight w:val="none"/>
          <w:lang w:val="en-US" w:eastAsia="zh-CN"/>
        </w:rPr>
        <w:t xml:space="preserve">                                       </w:t>
      </w:r>
      <w:r>
        <w:rPr>
          <w:rFonts w:hint="eastAsia" w:ascii="宋体" w:hAnsi="宋体" w:eastAsia="宋体" w:cs="Times New Roman"/>
          <w:b/>
          <w:bCs/>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p>
    <w:p w14:paraId="3797ED2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44"/>
          <w:szCs w:val="44"/>
          <w:highlight w:val="none"/>
        </w:rPr>
      </w:pPr>
      <w:r>
        <w:rPr>
          <w:rFonts w:hint="default" w:ascii="Times New Roman" w:hAnsi="Times New Roman" w:eastAsia="宋体" w:cs="Times New Roman"/>
          <w:b/>
          <w:bCs/>
          <w:color w:val="auto"/>
          <w:kern w:val="2"/>
          <w:sz w:val="44"/>
          <w:szCs w:val="44"/>
          <w:highlight w:val="none"/>
          <w:lang w:val="en-US" w:eastAsia="zh-CN" w:bidi="ar"/>
        </w:rPr>
        <w:t xml:space="preserve"> </w:t>
      </w:r>
    </w:p>
    <w:p w14:paraId="731313DC">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《东莞市水务集团净水有限公司2025年生产药剂液体复合碳源采购项目采购合同》</w:t>
      </w:r>
    </w:p>
    <w:p w14:paraId="5AA33165">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补充协议（    ）</w:t>
      </w:r>
    </w:p>
    <w:p w14:paraId="45B9F4B0">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4F0287A5">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w:t>
      </w:r>
    </w:p>
    <w:p w14:paraId="7DFCE23E">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p>
    <w:p w14:paraId="03FCB90B">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乙方： </w:t>
      </w:r>
    </w:p>
    <w:p w14:paraId="109975F2">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0BD6A960">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丙方：</w:t>
      </w:r>
    </w:p>
    <w:p w14:paraId="2BE954BB">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6C20F988">
      <w:pPr>
        <w:keepNext w:val="0"/>
        <w:keepLines w:val="0"/>
        <w:widowControl w:val="0"/>
        <w:suppressLineNumbers w:val="0"/>
        <w:autoSpaceDE w:val="0"/>
        <w:autoSpaceDN/>
        <w:spacing w:before="0" w:beforeAutospacing="0" w:after="0" w:afterAutospacing="0" w:line="560" w:lineRule="exact"/>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E558B77">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甲乙双方于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日签订了《</w:t>
      </w:r>
      <w:r>
        <w:rPr>
          <w:rFonts w:hint="eastAsia" w:ascii="宋体" w:hAnsi="宋体" w:eastAsia="宋体" w:cs="宋体"/>
          <w:color w:val="auto"/>
          <w:kern w:val="2"/>
          <w:sz w:val="21"/>
          <w:szCs w:val="21"/>
          <w:highlight w:val="none"/>
          <w:u w:val="single"/>
          <w:lang w:val="en-US" w:eastAsia="zh-CN" w:bidi="ar"/>
        </w:rPr>
        <w:t>东莞市水务集团净水有限公司2025年生产药剂液体复合碳源采购项目采购合同</w:t>
      </w: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下称“《原合同》”），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4A469E7C">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一、各方同意新增丙方为《原合同》主体之一，享有与承担的权利与义务同甲方在《原合同》中的权利与义务。</w:t>
      </w:r>
    </w:p>
    <w:p w14:paraId="2C363774">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二、《原合同》交货地点增加丙方各运营项目。</w:t>
      </w:r>
    </w:p>
    <w:p w14:paraId="34C6FC0A">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三、乙方应根据丙方各运营项目实际情况，按丙方要求开具发票（发票抬头为丙方），由丙方按照《原合同》约定支付相应款项给乙方。</w:t>
      </w:r>
    </w:p>
    <w:p w14:paraId="73E27BAE">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四、本补充协议为《原合同》不可分割的组成部分，除本补充协议明确约定外，《原合同》的其他约定继续有效。《原合同》解除或终止的，本补充协议自动解除或终止。</w:t>
      </w:r>
    </w:p>
    <w:p w14:paraId="035F185E">
      <w:pPr>
        <w:keepNext w:val="0"/>
        <w:keepLines w:val="0"/>
        <w:widowControl w:val="0"/>
        <w:suppressLineNumbers w:val="0"/>
        <w:autoSpaceDE w:val="0"/>
        <w:autoSpaceDN/>
        <w:spacing w:before="0" w:beforeAutospacing="0" w:after="0" w:afterAutospacing="0" w:line="560" w:lineRule="exact"/>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五、本补充协议自甲乙丙三方法定代表人或负责人签字并盖章后生效。</w:t>
      </w:r>
    </w:p>
    <w:p w14:paraId="3A14EB41">
      <w:pPr>
        <w:keepNext w:val="0"/>
        <w:keepLines w:val="0"/>
        <w:widowControl w:val="0"/>
        <w:suppressLineNumbers w:val="0"/>
        <w:autoSpaceDE w:val="0"/>
        <w:autoSpaceDN/>
        <w:spacing w:before="0" w:beforeAutospacing="0" w:after="0" w:afterAutospacing="0" w:line="560" w:lineRule="exact"/>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六、本补充协议一式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份，各份均具同等法律效力。</w:t>
      </w:r>
    </w:p>
    <w:p w14:paraId="5843A63E">
      <w:pPr>
        <w:keepNext w:val="0"/>
        <w:keepLines w:val="0"/>
        <w:widowControl w:val="0"/>
        <w:suppressLineNumbers w:val="0"/>
        <w:autoSpaceDE w:val="0"/>
        <w:autoSpaceDN/>
        <w:spacing w:before="157" w:beforeLines="5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（以下无正文，为签署页）</w:t>
      </w:r>
    </w:p>
    <w:p w14:paraId="291900A5">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5FFC5BDD">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                      乙方：</w:t>
      </w:r>
    </w:p>
    <w:p w14:paraId="474E4BB0">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法定代表（或负责）人：      法定代表（或负责）人：</w:t>
      </w:r>
    </w:p>
    <w:p w14:paraId="45F6CFB6">
      <w:pPr>
        <w:keepNext w:val="0"/>
        <w:keepLines w:val="0"/>
        <w:widowControl w:val="0"/>
        <w:suppressLineNumbers w:val="0"/>
        <w:autoSpaceDE w:val="0"/>
        <w:autoSpaceDN/>
        <w:spacing w:before="0" w:beforeAutospacing="0" w:after="0" w:afterAutospacing="0" w:line="560" w:lineRule="exact"/>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03FC426">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丙方：                                </w:t>
      </w:r>
    </w:p>
    <w:p w14:paraId="122E8FB9">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法定代表（或负责）人：</w:t>
      </w:r>
    </w:p>
    <w:p w14:paraId="34B425C9">
      <w:pPr>
        <w:keepNext w:val="0"/>
        <w:keepLines w:val="0"/>
        <w:widowControl w:val="0"/>
        <w:suppressLineNumbers w:val="0"/>
        <w:autoSpaceDE w:val="0"/>
        <w:autoSpaceDN/>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E521FD6">
      <w:pPr>
        <w:keepNext w:val="0"/>
        <w:keepLines w:val="0"/>
        <w:widowControl w:val="0"/>
        <w:suppressLineNumbers w:val="0"/>
        <w:autoSpaceDE w:val="0"/>
        <w:autoSpaceDN/>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签订日期：    年    月     日</w:t>
      </w:r>
    </w:p>
    <w:p w14:paraId="1190131F">
      <w:pPr>
        <w:pageBreakBefore w:val="0"/>
        <w:spacing w:before="0" w:beforeLines="-2147483648" w:after="0" w:afterLines="-2147483648" w:line="240" w:lineRule="auto"/>
        <w:jc w:val="left"/>
        <w:outlineLvl w:val="9"/>
        <w:rPr>
          <w:rFonts w:hint="eastAsia" w:ascii="宋体" w:hAnsi="宋体" w:eastAsia="宋体" w:cs="宋体"/>
          <w:b/>
          <w:bCs/>
          <w:color w:val="auto"/>
          <w:sz w:val="21"/>
          <w:szCs w:val="21"/>
          <w:highlight w:val="none"/>
          <w:lang w:val="zh-CN"/>
        </w:rPr>
      </w:pPr>
    </w:p>
    <w:p w14:paraId="6BE3087A">
      <w:pPr>
        <w:pageBreakBefore/>
        <w:spacing w:before="120" w:beforeLines="50" w:after="120" w:afterLines="50" w:line="360" w:lineRule="auto"/>
        <w:jc w:val="center"/>
        <w:outlineLvl w:val="1"/>
        <w:rPr>
          <w:rFonts w:ascii="宋体" w:hAnsi="宋体" w:eastAsia="宋体" w:cs="Times New Roman"/>
          <w:b/>
          <w:bCs/>
          <w:color w:val="auto"/>
          <w:sz w:val="32"/>
          <w:szCs w:val="32"/>
          <w:highlight w:val="none"/>
          <w:lang w:val="zh-CN"/>
        </w:rPr>
      </w:pPr>
      <w:bookmarkStart w:id="525" w:name="_Toc772"/>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25"/>
    </w:p>
    <w:p w14:paraId="3B17B119">
      <w:pPr>
        <w:autoSpaceDE w:val="0"/>
        <w:autoSpaceDN w:val="0"/>
        <w:adjustRightInd w:val="0"/>
        <w:spacing w:after="120" w:afterLines="50" w:line="360" w:lineRule="auto"/>
        <w:jc w:val="left"/>
        <w:outlineLvl w:val="9"/>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一、不可撤销银行履约保函格式</w:t>
      </w:r>
    </w:p>
    <w:p w14:paraId="600D94CE">
      <w:pPr>
        <w:autoSpaceDE w:val="0"/>
        <w:autoSpaceDN w:val="0"/>
        <w:adjustRightInd w:val="0"/>
        <w:jc w:val="center"/>
        <w:outlineLvl w:val="9"/>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4EC911DF">
      <w:pPr>
        <w:widowControl/>
        <w:autoSpaceDE w:val="0"/>
        <w:autoSpaceDN w:val="0"/>
        <w:adjustRightInd w:val="0"/>
        <w:spacing w:line="360" w:lineRule="auto"/>
        <w:jc w:val="left"/>
        <w:rPr>
          <w:rFonts w:ascii="宋体" w:hAnsi="宋体" w:eastAsia="宋体" w:cs="宋体"/>
          <w:color w:val="auto"/>
          <w:kern w:val="0"/>
          <w:szCs w:val="21"/>
          <w:highlight w:val="none"/>
        </w:rPr>
      </w:pPr>
    </w:p>
    <w:p w14:paraId="410CC6B2">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121C5844">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8A6C5D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11ED64CA">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2752083A">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757B99A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3B0CCEE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60803B6D">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14:paraId="431EB76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03587B15">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69A289E6">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30BFA6DB">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65B3355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34BE614D">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1B6ECC1">
      <w:pPr>
        <w:widowControl/>
        <w:autoSpaceDE w:val="0"/>
        <w:autoSpaceDN w:val="0"/>
        <w:adjustRightInd w:val="0"/>
        <w:spacing w:line="360" w:lineRule="auto"/>
        <w:jc w:val="left"/>
        <w:rPr>
          <w:rFonts w:ascii="宋体" w:hAnsi="宋体" w:eastAsia="宋体" w:cs="宋体"/>
          <w:color w:val="auto"/>
          <w:kern w:val="0"/>
          <w:szCs w:val="21"/>
          <w:highlight w:val="none"/>
        </w:rPr>
      </w:pPr>
    </w:p>
    <w:p w14:paraId="65E93211">
      <w:pPr>
        <w:widowControl/>
        <w:autoSpaceDE w:val="0"/>
        <w:autoSpaceDN w:val="0"/>
        <w:adjustRightInd w:val="0"/>
        <w:spacing w:line="360" w:lineRule="auto"/>
        <w:jc w:val="left"/>
        <w:rPr>
          <w:rFonts w:ascii="宋体" w:hAnsi="宋体" w:eastAsia="宋体" w:cs="宋体"/>
          <w:color w:val="auto"/>
          <w:kern w:val="0"/>
          <w:szCs w:val="21"/>
          <w:highlight w:val="none"/>
        </w:rPr>
      </w:pPr>
    </w:p>
    <w:p w14:paraId="79428AF9">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default"/>
          <w:pgSz w:w="12240" w:h="15840"/>
          <w:pgMar w:top="1191" w:right="1043" w:bottom="1191" w:left="1043" w:header="720" w:footer="720" w:gutter="0"/>
          <w:cols w:space="720" w:num="1"/>
          <w:titlePg/>
          <w:docGrid w:linePitch="326" w:charSpace="0"/>
        </w:sectPr>
      </w:pPr>
    </w:p>
    <w:p w14:paraId="5F398F63">
      <w:pPr>
        <w:autoSpaceDE w:val="0"/>
        <w:autoSpaceDN w:val="0"/>
        <w:adjustRightInd w:val="0"/>
        <w:spacing w:after="120" w:afterLines="50" w:line="360" w:lineRule="auto"/>
        <w:jc w:val="left"/>
        <w:outlineLvl w:val="9"/>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rPr>
        <w:t>二、履约保证保险凭证格式</w:t>
      </w:r>
    </w:p>
    <w:p w14:paraId="61902AD3">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168A960C">
      <w:pPr>
        <w:autoSpaceDE w:val="0"/>
        <w:autoSpaceDN w:val="0"/>
        <w:adjustRightInd w:val="0"/>
        <w:jc w:val="center"/>
        <w:outlineLvl w:val="9"/>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39646D85">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D3DFC28">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7AED77A0">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7306D3F7">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653617B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227231DA">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1730E37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0272832C">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二、保证保险的责任范围 </w:t>
      </w:r>
    </w:p>
    <w:p w14:paraId="173C456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286A7309">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三、代偿的安排 </w:t>
      </w:r>
    </w:p>
    <w:p w14:paraId="4E7120D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73020EC">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四、生效时间 </w:t>
      </w:r>
    </w:p>
    <w:p w14:paraId="355B818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5F7611B6">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五、其他</w:t>
      </w:r>
    </w:p>
    <w:p w14:paraId="32906E3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14:paraId="0101A155">
      <w:pPr>
        <w:numPr>
          <w:ilvl w:val="0"/>
          <w:numId w:val="0"/>
        </w:numPr>
        <w:outlineLvl w:val="9"/>
        <w:rPr>
          <w:rFonts w:hint="default"/>
          <w:color w:val="auto"/>
          <w:highlight w:val="none"/>
          <w:lang w:val="en-US" w:eastAsia="zh-CN"/>
        </w:rPr>
      </w:pPr>
    </w:p>
    <w:p w14:paraId="694A602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7C44EBE2">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0E3A1B4">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3F94CD9C">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66E3D508">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1837044C">
      <w:pPr>
        <w:autoSpaceDE w:val="0"/>
        <w:autoSpaceDN w:val="0"/>
        <w:adjustRightInd w:val="0"/>
        <w:spacing w:after="120" w:afterLines="50" w:line="360" w:lineRule="auto"/>
        <w:jc w:val="left"/>
        <w:outlineLvl w:val="9"/>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796510CF">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4E81B9FB">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A2E0B8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475C9CE9">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1F99AC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0FCD7A4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739AFE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14:paraId="31A7906F">
      <w:pPr>
        <w:autoSpaceDE w:val="0"/>
        <w:autoSpaceDN w:val="0"/>
        <w:adjustRightInd w:val="0"/>
        <w:spacing w:line="360" w:lineRule="auto"/>
        <w:jc w:val="left"/>
        <w:rPr>
          <w:rFonts w:ascii="宋体" w:hAnsi="宋体" w:eastAsia="宋体" w:cs="Times New Roman"/>
          <w:color w:val="auto"/>
          <w:kern w:val="0"/>
          <w:szCs w:val="21"/>
          <w:highlight w:val="none"/>
        </w:rPr>
      </w:pPr>
    </w:p>
    <w:p w14:paraId="0112C4C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14864E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678546B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4BF25C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0B11E82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6CC5DDE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17826538">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1309DBB">
      <w:pPr>
        <w:autoSpaceDE w:val="0"/>
        <w:autoSpaceDN w:val="0"/>
        <w:adjustRightInd w:val="0"/>
        <w:spacing w:line="360" w:lineRule="auto"/>
        <w:jc w:val="left"/>
        <w:rPr>
          <w:rFonts w:ascii="宋体" w:hAnsi="宋体" w:eastAsia="宋体" w:cs="Times New Roman"/>
          <w:color w:val="auto"/>
          <w:kern w:val="0"/>
          <w:szCs w:val="21"/>
          <w:highlight w:val="none"/>
        </w:rPr>
      </w:pPr>
    </w:p>
    <w:p w14:paraId="17A653E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28C114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482230A">
      <w:pPr>
        <w:widowControl/>
        <w:autoSpaceDE w:val="0"/>
        <w:autoSpaceDN w:val="0"/>
        <w:adjustRightInd w:val="0"/>
        <w:spacing w:line="360" w:lineRule="auto"/>
        <w:ind w:left="436" w:leftChars="-59" w:hanging="560" w:hangingChars="267"/>
        <w:jc w:val="left"/>
        <w:rPr>
          <w:rFonts w:ascii="宋体" w:hAnsi="宋体" w:eastAsia="宋体" w:cs="宋体"/>
          <w:color w:val="auto"/>
          <w:szCs w:val="24"/>
          <w:highlight w:val="none"/>
          <w:lang w:val="zh-CN"/>
        </w:rPr>
      </w:pPr>
    </w:p>
    <w:bookmarkEnd w:id="481"/>
    <w:bookmarkEnd w:id="482"/>
    <w:bookmarkEnd w:id="483"/>
    <w:bookmarkEnd w:id="484"/>
    <w:bookmarkEnd w:id="485"/>
    <w:bookmarkEnd w:id="486"/>
    <w:bookmarkEnd w:id="487"/>
    <w:p w14:paraId="7DD758F8">
      <w:pPr>
        <w:pageBreakBefore/>
        <w:spacing w:before="120" w:beforeLines="50" w:after="120" w:afterLines="50" w:line="360" w:lineRule="auto"/>
        <w:jc w:val="center"/>
        <w:outlineLvl w:val="1"/>
        <w:rPr>
          <w:rFonts w:hint="eastAsia" w:ascii="宋体" w:hAnsi="宋体" w:eastAsia="宋体" w:cs="Times New Roman"/>
          <w:b/>
          <w:bCs/>
          <w:color w:val="auto"/>
          <w:sz w:val="32"/>
          <w:szCs w:val="32"/>
          <w:highlight w:val="none"/>
          <w:lang w:val="zh-CN"/>
        </w:rPr>
      </w:pPr>
      <w:bookmarkStart w:id="526" w:name="_Toc32761_WPSOffice_Level1"/>
      <w:bookmarkStart w:id="527" w:name="_Toc450662895"/>
      <w:bookmarkStart w:id="528" w:name="_Toc142508361"/>
      <w:bookmarkStart w:id="529" w:name="_Toc486167708"/>
      <w:bookmarkStart w:id="530" w:name="_Toc12794"/>
      <w:bookmarkStart w:id="531" w:name="_Toc28014"/>
      <w:bookmarkStart w:id="532" w:name="_Toc8165"/>
      <w:bookmarkStart w:id="533" w:name="_Toc10636"/>
      <w:r>
        <w:rPr>
          <w:rFonts w:hint="eastAsia" w:ascii="宋体" w:hAnsi="宋体" w:eastAsia="宋体" w:cs="Times New Roman"/>
          <w:b/>
          <w:bCs/>
          <w:color w:val="auto"/>
          <w:sz w:val="32"/>
          <w:szCs w:val="32"/>
          <w:highlight w:val="none"/>
          <w:lang w:val="zh-CN"/>
        </w:rPr>
        <w:t>第六篇 投标文件格式</w:t>
      </w:r>
      <w:bookmarkEnd w:id="526"/>
      <w:bookmarkEnd w:id="527"/>
      <w:bookmarkEnd w:id="528"/>
      <w:bookmarkEnd w:id="529"/>
      <w:bookmarkEnd w:id="530"/>
      <w:bookmarkEnd w:id="531"/>
      <w:bookmarkEnd w:id="532"/>
      <w:bookmarkEnd w:id="533"/>
    </w:p>
    <w:p w14:paraId="70655F07">
      <w:pPr>
        <w:pStyle w:val="20"/>
        <w:spacing w:line="360" w:lineRule="auto"/>
        <w:jc w:val="center"/>
        <w:rPr>
          <w:rFonts w:hint="eastAsia" w:ascii="宋体" w:hAnsi="宋体" w:eastAsia="宋体" w:cs="宋体"/>
          <w:b/>
          <w:color w:val="auto"/>
          <w:kern w:val="0"/>
          <w:sz w:val="32"/>
          <w:szCs w:val="32"/>
          <w:highlight w:val="none"/>
        </w:rPr>
      </w:pPr>
      <w:bookmarkStart w:id="534" w:name="_Toc533708121"/>
      <w:bookmarkStart w:id="535" w:name="_Toc142508362"/>
      <w:bookmarkStart w:id="536" w:name="_Toc94107202"/>
      <w:bookmarkStart w:id="537" w:name="_Toc486167709"/>
      <w:bookmarkStart w:id="538" w:name="_Toc21133_WPSOffice_Level2"/>
      <w:bookmarkStart w:id="539" w:name="_Toc140596921"/>
      <w:bookmarkStart w:id="540" w:name="_Toc102860411"/>
      <w:bookmarkStart w:id="541" w:name="_Toc102860067"/>
      <w:bookmarkStart w:id="542" w:name="_Toc1977721"/>
      <w:bookmarkStart w:id="543" w:name="_Toc104991868"/>
      <w:r>
        <w:rPr>
          <w:rFonts w:hint="eastAsia" w:ascii="宋体" w:hAnsi="宋体" w:eastAsia="宋体" w:cs="宋体"/>
          <w:b/>
          <w:color w:val="auto"/>
          <w:kern w:val="0"/>
          <w:sz w:val="32"/>
          <w:szCs w:val="32"/>
          <w:highlight w:val="none"/>
        </w:rPr>
        <w:br w:type="page"/>
      </w:r>
    </w:p>
    <w:p w14:paraId="6ECBB153">
      <w:pPr>
        <w:pStyle w:val="20"/>
        <w:spacing w:line="360" w:lineRule="auto"/>
        <w:jc w:val="center"/>
        <w:rPr>
          <w:rFonts w:hint="eastAsia" w:ascii="宋体" w:hAnsi="宋体" w:eastAsia="宋体" w:cs="宋体"/>
          <w:b/>
          <w:color w:val="auto"/>
          <w:kern w:val="0"/>
          <w:sz w:val="32"/>
          <w:szCs w:val="32"/>
          <w:highlight w:val="none"/>
        </w:rPr>
      </w:pPr>
    </w:p>
    <w:p w14:paraId="3FDF8A28">
      <w:pPr>
        <w:pStyle w:val="20"/>
        <w:spacing w:line="360" w:lineRule="auto"/>
        <w:jc w:val="center"/>
        <w:rPr>
          <w:rFonts w:hint="eastAsia" w:ascii="宋体" w:hAnsi="宋体" w:eastAsia="宋体" w:cs="宋体"/>
          <w:b/>
          <w:color w:val="auto"/>
          <w:kern w:val="0"/>
          <w:sz w:val="32"/>
          <w:szCs w:val="32"/>
          <w:highlight w:val="none"/>
        </w:rPr>
      </w:pPr>
    </w:p>
    <w:p w14:paraId="7F5094B1">
      <w:pPr>
        <w:pStyle w:val="20"/>
        <w:spacing w:line="360" w:lineRule="auto"/>
        <w:jc w:val="center"/>
        <w:rPr>
          <w:rFonts w:hint="eastAsia" w:ascii="宋体" w:hAnsi="宋体" w:eastAsia="宋体" w:cs="宋体"/>
          <w:b/>
          <w:color w:val="auto"/>
          <w:kern w:val="0"/>
          <w:sz w:val="32"/>
          <w:szCs w:val="32"/>
          <w:highlight w:val="none"/>
        </w:rPr>
      </w:pPr>
    </w:p>
    <w:p w14:paraId="743DC83A">
      <w:pPr>
        <w:pStyle w:val="20"/>
        <w:spacing w:line="360" w:lineRule="auto"/>
        <w:jc w:val="center"/>
        <w:rPr>
          <w:rFonts w:hint="eastAsia" w:ascii="宋体" w:hAnsi="宋体" w:eastAsia="宋体" w:cs="宋体"/>
          <w:color w:val="auto"/>
          <w:sz w:val="84"/>
          <w:highlight w:val="none"/>
        </w:rPr>
      </w:pPr>
    </w:p>
    <w:p w14:paraId="263903DD">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0435382A">
      <w:pPr>
        <w:pStyle w:val="20"/>
        <w:spacing w:line="360" w:lineRule="auto"/>
        <w:rPr>
          <w:rFonts w:hint="eastAsia" w:ascii="宋体" w:hAnsi="宋体" w:eastAsia="宋体" w:cs="宋体"/>
          <w:color w:val="auto"/>
          <w:highlight w:val="none"/>
        </w:rPr>
      </w:pPr>
    </w:p>
    <w:p w14:paraId="24202462">
      <w:pPr>
        <w:pStyle w:val="20"/>
        <w:spacing w:line="360" w:lineRule="auto"/>
        <w:rPr>
          <w:rFonts w:hint="eastAsia" w:ascii="宋体" w:hAnsi="宋体" w:eastAsia="宋体" w:cs="宋体"/>
          <w:color w:val="auto"/>
          <w:highlight w:val="none"/>
        </w:rPr>
      </w:pPr>
    </w:p>
    <w:p w14:paraId="7CDE8E83">
      <w:pPr>
        <w:pStyle w:val="20"/>
        <w:spacing w:line="360" w:lineRule="auto"/>
        <w:rPr>
          <w:rFonts w:hint="eastAsia" w:ascii="宋体" w:hAnsi="宋体" w:eastAsia="宋体" w:cs="宋体"/>
          <w:color w:val="auto"/>
          <w:highlight w:val="none"/>
        </w:rPr>
      </w:pPr>
    </w:p>
    <w:p w14:paraId="0EA9F7E0">
      <w:pPr>
        <w:pStyle w:val="20"/>
        <w:spacing w:line="360" w:lineRule="auto"/>
        <w:rPr>
          <w:rFonts w:hint="eastAsia" w:ascii="宋体" w:hAnsi="宋体" w:eastAsia="宋体" w:cs="宋体"/>
          <w:color w:val="auto"/>
          <w:highlight w:val="none"/>
        </w:rPr>
      </w:pPr>
    </w:p>
    <w:p w14:paraId="55506CE6">
      <w:pPr>
        <w:pStyle w:val="20"/>
        <w:spacing w:line="360" w:lineRule="auto"/>
        <w:rPr>
          <w:rFonts w:hint="eastAsia" w:ascii="宋体" w:hAnsi="宋体" w:eastAsia="宋体" w:cs="宋体"/>
          <w:color w:val="auto"/>
          <w:highlight w:val="none"/>
        </w:rPr>
      </w:pPr>
    </w:p>
    <w:p w14:paraId="7BA58F7F">
      <w:pPr>
        <w:pStyle w:val="20"/>
        <w:spacing w:line="360" w:lineRule="auto"/>
        <w:rPr>
          <w:rFonts w:hint="eastAsia" w:ascii="宋体" w:hAnsi="宋体" w:eastAsia="宋体" w:cs="宋体"/>
          <w:color w:val="auto"/>
          <w:highlight w:val="none"/>
        </w:rPr>
      </w:pPr>
    </w:p>
    <w:p w14:paraId="385AD81B">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B3DC580">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18BFA4D">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4D875F93">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57B0DEE6">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158E5CA">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EEB5D23">
      <w:pPr>
        <w:pStyle w:val="20"/>
        <w:spacing w:line="360" w:lineRule="auto"/>
        <w:rPr>
          <w:rFonts w:hint="eastAsia" w:ascii="宋体" w:hAnsi="宋体" w:eastAsia="宋体" w:cs="宋体"/>
          <w:color w:val="auto"/>
          <w:highlight w:val="none"/>
        </w:rPr>
      </w:pPr>
    </w:p>
    <w:p w14:paraId="601CD3F4">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2B3E14A">
      <w:pPr>
        <w:pStyle w:val="20"/>
        <w:spacing w:line="360" w:lineRule="auto"/>
        <w:rPr>
          <w:rFonts w:hint="eastAsia" w:ascii="宋体" w:hAnsi="宋体" w:eastAsia="宋体" w:cs="宋体"/>
          <w:color w:val="auto"/>
          <w:highlight w:val="none"/>
        </w:rPr>
      </w:pPr>
    </w:p>
    <w:p w14:paraId="76A30B71">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579F46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1204" w:hRule="atLeast"/>
          <w:jc w:val="center"/>
        </w:trPr>
        <w:tc>
          <w:tcPr>
            <w:tcW w:w="665" w:type="pct"/>
            <w:vAlign w:val="center"/>
          </w:tcPr>
          <w:p w14:paraId="329EF47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4B0B86F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4ABA3C1">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1F30097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59F07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FC881D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8A24AFC">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098CD277">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826DA4F">
            <w:pPr>
              <w:adjustRightInd w:val="0"/>
              <w:snapToGrid w:val="0"/>
              <w:spacing w:line="360" w:lineRule="auto"/>
              <w:rPr>
                <w:rFonts w:hint="eastAsia" w:ascii="宋体" w:hAnsi="宋体" w:eastAsia="宋体" w:cs="宋体"/>
                <w:bCs/>
                <w:color w:val="auto"/>
                <w:szCs w:val="21"/>
                <w:highlight w:val="none"/>
              </w:rPr>
            </w:pPr>
          </w:p>
        </w:tc>
      </w:tr>
      <w:tr w14:paraId="1D7238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0398B0B">
            <w:pPr>
              <w:rPr>
                <w:rFonts w:hint="eastAsia" w:ascii="宋体" w:hAnsi="宋体" w:eastAsia="宋体" w:cs="宋体"/>
                <w:bCs/>
                <w:color w:val="auto"/>
                <w:szCs w:val="21"/>
                <w:highlight w:val="none"/>
              </w:rPr>
            </w:pPr>
          </w:p>
        </w:tc>
        <w:tc>
          <w:tcPr>
            <w:tcW w:w="1337" w:type="pct"/>
            <w:vAlign w:val="center"/>
          </w:tcPr>
          <w:p w14:paraId="41C937D5">
            <w:pPr>
              <w:rPr>
                <w:rFonts w:hint="eastAsia" w:ascii="宋体" w:hAnsi="宋体" w:eastAsia="宋体" w:cs="宋体"/>
                <w:bCs/>
                <w:color w:val="auto"/>
                <w:szCs w:val="21"/>
                <w:highlight w:val="none"/>
              </w:rPr>
            </w:pPr>
          </w:p>
        </w:tc>
        <w:tc>
          <w:tcPr>
            <w:tcW w:w="861" w:type="pct"/>
            <w:vAlign w:val="center"/>
          </w:tcPr>
          <w:p w14:paraId="4DC4A4C8">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831E617">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5C71F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B2DC674">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2918AAB">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16170FA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B90F017">
            <w:pPr>
              <w:spacing w:line="360" w:lineRule="auto"/>
              <w:ind w:firstLine="8" w:firstLineChars="4"/>
              <w:rPr>
                <w:rFonts w:hint="eastAsia" w:ascii="宋体" w:hAnsi="宋体" w:eastAsia="宋体" w:cs="宋体"/>
                <w:bCs/>
                <w:color w:val="auto"/>
                <w:szCs w:val="21"/>
                <w:highlight w:val="none"/>
              </w:rPr>
            </w:pPr>
          </w:p>
        </w:tc>
      </w:tr>
      <w:tr w14:paraId="701B33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E78A8AB">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FC70678">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06C8FE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44DA464D">
            <w:pPr>
              <w:adjustRightInd w:val="0"/>
              <w:snapToGrid w:val="0"/>
              <w:spacing w:line="360" w:lineRule="auto"/>
              <w:rPr>
                <w:rFonts w:hint="eastAsia" w:ascii="宋体" w:hAnsi="宋体" w:eastAsia="宋体" w:cs="宋体"/>
                <w:bCs/>
                <w:color w:val="auto"/>
                <w:szCs w:val="21"/>
                <w:highlight w:val="none"/>
              </w:rPr>
            </w:pPr>
          </w:p>
        </w:tc>
      </w:tr>
      <w:tr w14:paraId="55352A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CC312E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24E7C782">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621C0AEB">
            <w:pPr>
              <w:spacing w:line="360" w:lineRule="auto"/>
              <w:jc w:val="center"/>
              <w:rPr>
                <w:rFonts w:hint="eastAsia" w:ascii="宋体" w:hAnsi="宋体" w:eastAsia="宋体" w:cs="宋体"/>
                <w:bCs/>
                <w:color w:val="auto"/>
                <w:szCs w:val="21"/>
                <w:highlight w:val="none"/>
              </w:rPr>
            </w:pPr>
          </w:p>
        </w:tc>
      </w:tr>
    </w:tbl>
    <w:p w14:paraId="558A081E">
      <w:pPr>
        <w:pStyle w:val="20"/>
        <w:spacing w:line="360" w:lineRule="auto"/>
        <w:rPr>
          <w:rFonts w:hint="eastAsia" w:ascii="宋体" w:hAnsi="宋体" w:eastAsia="宋体" w:cs="宋体"/>
          <w:color w:val="auto"/>
          <w:highlight w:val="none"/>
        </w:rPr>
      </w:pPr>
    </w:p>
    <w:p w14:paraId="669D0B1F">
      <w:pPr>
        <w:pStyle w:val="20"/>
        <w:spacing w:line="360" w:lineRule="auto"/>
        <w:rPr>
          <w:rFonts w:hint="eastAsia" w:ascii="宋体" w:hAnsi="宋体" w:eastAsia="宋体" w:cs="宋体"/>
          <w:color w:val="auto"/>
          <w:highlight w:val="none"/>
        </w:rPr>
      </w:pPr>
    </w:p>
    <w:p w14:paraId="7C93424F">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0FD7225F">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544" w:name="_Toc14201"/>
      <w:bookmarkStart w:id="545" w:name="_Toc6528"/>
      <w:bookmarkStart w:id="546" w:name="_Toc9245"/>
      <w:bookmarkStart w:id="547" w:name="_Toc18706"/>
      <w:bookmarkStart w:id="548" w:name="_Toc13331"/>
      <w:r>
        <w:rPr>
          <w:rFonts w:hint="eastAsia" w:ascii="宋体" w:hAnsi="宋体" w:eastAsia="宋体" w:cs="宋体"/>
          <w:b/>
          <w:color w:val="auto"/>
          <w:kern w:val="0"/>
          <w:sz w:val="32"/>
          <w:szCs w:val="32"/>
          <w:highlight w:val="none"/>
        </w:rPr>
        <w:t>一、投标函格式</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14C96508">
      <w:pPr>
        <w:autoSpaceDE w:val="0"/>
        <w:autoSpaceDN w:val="0"/>
        <w:adjustRightInd w:val="0"/>
        <w:spacing w:line="360" w:lineRule="auto"/>
        <w:jc w:val="center"/>
        <w:rPr>
          <w:rFonts w:ascii="宋体" w:hAnsi="宋体" w:eastAsia="宋体" w:cs="宋体"/>
          <w:b/>
          <w:bCs/>
          <w:color w:val="auto"/>
          <w:sz w:val="30"/>
          <w:szCs w:val="30"/>
          <w:highlight w:val="none"/>
        </w:rPr>
      </w:pPr>
      <w:bookmarkStart w:id="549" w:name="_Toc16695_WPSOffice_Level3"/>
      <w:r>
        <w:rPr>
          <w:rFonts w:hint="eastAsia" w:ascii="宋体" w:hAnsi="宋体" w:eastAsia="宋体" w:cs="宋体"/>
          <w:b/>
          <w:bCs/>
          <w:color w:val="auto"/>
          <w:sz w:val="30"/>
          <w:szCs w:val="30"/>
          <w:highlight w:val="none"/>
          <w:lang w:val="zh-CN"/>
        </w:rPr>
        <w:t>投 标 函</w:t>
      </w:r>
      <w:bookmarkEnd w:id="549"/>
    </w:p>
    <w:p w14:paraId="338AF4E8">
      <w:pPr>
        <w:autoSpaceDE w:val="0"/>
        <w:autoSpaceDN w:val="0"/>
        <w:adjustRightInd w:val="0"/>
        <w:spacing w:line="360" w:lineRule="auto"/>
        <w:rPr>
          <w:rFonts w:ascii="宋体" w:hAnsi="宋体" w:eastAsia="宋体" w:cs="宋体"/>
          <w:color w:val="auto"/>
          <w:szCs w:val="21"/>
          <w:highlight w:val="none"/>
          <w:lang w:val="zh-CN"/>
        </w:rPr>
      </w:pPr>
    </w:p>
    <w:p w14:paraId="15C1F919">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东莞市水务集团净水有限公司</w:t>
      </w:r>
    </w:p>
    <w:p w14:paraId="2236FEB7">
      <w:pPr>
        <w:autoSpaceDE w:val="0"/>
        <w:autoSpaceDN w:val="0"/>
        <w:adjustRightInd w:val="0"/>
        <w:spacing w:line="360" w:lineRule="auto"/>
        <w:rPr>
          <w:rFonts w:ascii="宋体" w:hAnsi="宋体" w:eastAsia="宋体" w:cs="宋体"/>
          <w:color w:val="auto"/>
          <w:szCs w:val="21"/>
          <w:highlight w:val="none"/>
        </w:rPr>
      </w:pPr>
    </w:p>
    <w:p w14:paraId="09CF44EA">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东莞市水务集团净水有限公司2025年生产药剂液体复合碳源采购项目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WTZB2024DG0048</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67CD6376">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2193AA53">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4ADD005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43CEBBB2">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4793FFC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WTZB2024DG0048</w:t>
      </w:r>
      <w:r>
        <w:rPr>
          <w:rFonts w:hint="eastAsia" w:ascii="宋体" w:hAnsi="宋体" w:eastAsia="宋体" w:cs="宋体"/>
          <w:color w:val="auto"/>
          <w:szCs w:val="21"/>
          <w:highlight w:val="none"/>
          <w:lang w:val="zh-CN"/>
        </w:rPr>
        <w:t>的投标；</w:t>
      </w:r>
    </w:p>
    <w:p w14:paraId="0C0C6F4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A600D4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56DDA26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69C0DD49">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7C2E1B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4BE4033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684BAA69">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36191A8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8D56A9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21E1907C">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bookmarkStart w:id="550" w:name="_Toc8808"/>
      <w:bookmarkStart w:id="551" w:name="_Toc23866"/>
      <w:r>
        <w:rPr>
          <w:rFonts w:hint="eastAsia" w:ascii="宋体" w:hAnsi="宋体" w:eastAsia="宋体" w:cs="宋体"/>
          <w:color w:val="auto"/>
          <w:szCs w:val="21"/>
          <w:highlight w:val="none"/>
          <w:lang w:val="zh-CN"/>
        </w:rPr>
        <w:t>（十一）所有与本投标有关的函件请发往下列地址：</w:t>
      </w:r>
      <w:bookmarkEnd w:id="550"/>
      <w:bookmarkEnd w:id="551"/>
    </w:p>
    <w:p w14:paraId="4917A1DE">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61C57590">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2EBE5D5">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69F9C2C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0573DA74">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CD62E0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A0A7396">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E5E926E">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36E227D">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52" w:name="_Toc1339"/>
      <w:bookmarkStart w:id="553" w:name="_Toc28613_WPSOffice_Level2"/>
      <w:bookmarkStart w:id="554" w:name="_Toc94107203"/>
      <w:bookmarkStart w:id="555" w:name="_Toc104991869"/>
      <w:bookmarkStart w:id="556" w:name="_Toc486167710"/>
      <w:bookmarkStart w:id="557" w:name="_Toc5128"/>
      <w:bookmarkStart w:id="558" w:name="_Toc102860068"/>
      <w:bookmarkStart w:id="559" w:name="_Toc8696"/>
      <w:bookmarkStart w:id="560" w:name="_Toc26795"/>
      <w:bookmarkStart w:id="561" w:name="_Toc140596922"/>
      <w:bookmarkStart w:id="562" w:name="_Toc142508363"/>
      <w:bookmarkStart w:id="563" w:name="_Toc102860412"/>
      <w:bookmarkStart w:id="564" w:name="_Toc533708122"/>
      <w:bookmarkStart w:id="565" w:name="_Toc24151"/>
      <w:bookmarkStart w:id="566" w:name="_Toc1977722"/>
      <w:r>
        <w:rPr>
          <w:rFonts w:hint="eastAsia" w:ascii="宋体" w:hAnsi="宋体" w:eastAsia="宋体" w:cs="宋体"/>
          <w:b/>
          <w:color w:val="auto"/>
          <w:kern w:val="0"/>
          <w:sz w:val="32"/>
          <w:szCs w:val="32"/>
          <w:highlight w:val="none"/>
        </w:rPr>
        <w:t>二、投标承诺书格式</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7118C5AF">
      <w:pPr>
        <w:autoSpaceDE w:val="0"/>
        <w:autoSpaceDN w:val="0"/>
        <w:adjustRightInd w:val="0"/>
        <w:spacing w:line="360" w:lineRule="auto"/>
        <w:jc w:val="center"/>
        <w:outlineLvl w:val="9"/>
        <w:rPr>
          <w:rFonts w:ascii="宋体" w:hAnsi="宋体" w:eastAsia="宋体" w:cs="Times New Roman"/>
          <w:b/>
          <w:bCs/>
          <w:color w:val="auto"/>
          <w:sz w:val="30"/>
          <w:szCs w:val="30"/>
          <w:highlight w:val="none"/>
          <w:lang w:val="zh-CN"/>
        </w:rPr>
      </w:pPr>
      <w:bookmarkStart w:id="567" w:name="_Toc801"/>
      <w:bookmarkStart w:id="568" w:name="_Toc17353"/>
      <w:r>
        <w:rPr>
          <w:rFonts w:hint="eastAsia" w:ascii="宋体" w:hAnsi="宋体" w:eastAsia="宋体" w:cs="Times New Roman"/>
          <w:b/>
          <w:bCs/>
          <w:color w:val="auto"/>
          <w:sz w:val="30"/>
          <w:szCs w:val="30"/>
          <w:highlight w:val="none"/>
          <w:lang w:val="zh-CN"/>
        </w:rPr>
        <w:t>投标承诺书</w:t>
      </w:r>
      <w:bookmarkEnd w:id="567"/>
      <w:bookmarkEnd w:id="568"/>
    </w:p>
    <w:p w14:paraId="684520D0">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06B9BB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东莞市水务集团净水有限公司2025年生产药剂液体复合碳源采购项目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WTZB2024DG0048</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06743CE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419C7B1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329AEF3">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0D9C8398">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C29C98B">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2E893DAF">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1C25DFCB">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151E9FBB">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524625AF">
      <w:pPr>
        <w:autoSpaceDE w:val="0"/>
        <w:autoSpaceDN w:val="0"/>
        <w:adjustRightInd w:val="0"/>
        <w:spacing w:line="360" w:lineRule="auto"/>
        <w:jc w:val="left"/>
        <w:rPr>
          <w:rFonts w:ascii="宋体" w:hAnsi="宋体" w:eastAsia="宋体" w:cs="宋体"/>
          <w:color w:val="auto"/>
          <w:kern w:val="0"/>
          <w:sz w:val="24"/>
          <w:szCs w:val="24"/>
          <w:highlight w:val="none"/>
        </w:rPr>
      </w:pPr>
    </w:p>
    <w:p w14:paraId="28B8BA56">
      <w:pPr>
        <w:autoSpaceDE w:val="0"/>
        <w:autoSpaceDN w:val="0"/>
        <w:adjustRightInd w:val="0"/>
        <w:spacing w:line="360" w:lineRule="auto"/>
        <w:jc w:val="left"/>
        <w:rPr>
          <w:rFonts w:ascii="宋体" w:hAnsi="宋体" w:eastAsia="宋体" w:cs="宋体"/>
          <w:color w:val="auto"/>
          <w:kern w:val="0"/>
          <w:sz w:val="24"/>
          <w:szCs w:val="24"/>
          <w:highlight w:val="none"/>
        </w:rPr>
      </w:pPr>
      <w:bookmarkStart w:id="569" w:name="_Toc316896755"/>
      <w:bookmarkStart w:id="570" w:name="_Toc311032584"/>
      <w:bookmarkStart w:id="571" w:name="_Toc326768876"/>
    </w:p>
    <w:p w14:paraId="1E1488F6">
      <w:pPr>
        <w:pageBreakBefore/>
        <w:autoSpaceDE w:val="0"/>
        <w:autoSpaceDN w:val="0"/>
        <w:adjustRightInd w:val="0"/>
        <w:spacing w:line="360" w:lineRule="auto"/>
        <w:jc w:val="left"/>
        <w:outlineLvl w:val="1"/>
        <w:rPr>
          <w:rFonts w:ascii="宋体" w:hAnsi="宋体" w:eastAsia="宋体" w:cs="宋体"/>
          <w:b/>
          <w:color w:val="auto"/>
          <w:kern w:val="44"/>
          <w:sz w:val="32"/>
          <w:szCs w:val="32"/>
          <w:highlight w:val="none"/>
        </w:rPr>
      </w:pPr>
      <w:bookmarkStart w:id="572" w:name="_Toc9778"/>
      <w:bookmarkStart w:id="573" w:name="_Toc6205"/>
      <w:bookmarkStart w:id="574" w:name="_Toc82182546"/>
      <w:bookmarkStart w:id="575" w:name="_Toc104991870"/>
      <w:bookmarkStart w:id="576" w:name="_Toc12325"/>
      <w:bookmarkStart w:id="577" w:name="_Toc94107204"/>
      <w:bookmarkStart w:id="578" w:name="_Toc12590"/>
      <w:bookmarkStart w:id="579" w:name="_Toc102860069"/>
      <w:bookmarkStart w:id="580" w:name="_Toc142508364"/>
      <w:bookmarkStart w:id="581" w:name="_Toc86764083"/>
      <w:bookmarkStart w:id="582" w:name="_Toc23957"/>
      <w:bookmarkStart w:id="583" w:name="_Toc140596923"/>
      <w:bookmarkStart w:id="584" w:name="_Toc102860413"/>
      <w:bookmarkStart w:id="585" w:name="_Toc7024_WPSOffice_Level2"/>
      <w:bookmarkStart w:id="586" w:name="_Toc1977723"/>
      <w:bookmarkStart w:id="587" w:name="_Toc533708123"/>
      <w:bookmarkStart w:id="588" w:name="_Toc486167711"/>
      <w:r>
        <w:rPr>
          <w:rFonts w:hint="eastAsia" w:ascii="宋体" w:hAnsi="宋体" w:eastAsia="宋体" w:cs="宋体"/>
          <w:b/>
          <w:color w:val="auto"/>
          <w:kern w:val="44"/>
          <w:sz w:val="32"/>
          <w:szCs w:val="32"/>
          <w:highlight w:val="none"/>
        </w:rPr>
        <w:t>三、供货及/或提供服务过程承诺函格式</w:t>
      </w:r>
      <w:bookmarkEnd w:id="572"/>
      <w:bookmarkEnd w:id="573"/>
      <w:bookmarkEnd w:id="574"/>
      <w:bookmarkEnd w:id="575"/>
      <w:bookmarkEnd w:id="576"/>
      <w:bookmarkEnd w:id="577"/>
      <w:bookmarkEnd w:id="578"/>
      <w:bookmarkEnd w:id="579"/>
      <w:bookmarkEnd w:id="580"/>
      <w:bookmarkEnd w:id="581"/>
      <w:bookmarkEnd w:id="582"/>
      <w:bookmarkEnd w:id="583"/>
      <w:bookmarkEnd w:id="584"/>
    </w:p>
    <w:p w14:paraId="4D490D7F">
      <w:pPr>
        <w:autoSpaceDE w:val="0"/>
        <w:autoSpaceDN w:val="0"/>
        <w:adjustRightInd w:val="0"/>
        <w:spacing w:line="360" w:lineRule="auto"/>
        <w:jc w:val="center"/>
        <w:outlineLvl w:val="9"/>
        <w:rPr>
          <w:rFonts w:ascii="宋体" w:hAnsi="宋体" w:eastAsia="宋体" w:cs="宋体"/>
          <w:b/>
          <w:color w:val="auto"/>
          <w:kern w:val="44"/>
          <w:sz w:val="30"/>
          <w:szCs w:val="30"/>
          <w:highlight w:val="none"/>
        </w:rPr>
      </w:pPr>
      <w:bookmarkStart w:id="589" w:name="_Toc6880"/>
      <w:bookmarkStart w:id="590" w:name="_Toc7082"/>
      <w:r>
        <w:rPr>
          <w:rFonts w:hint="eastAsia" w:ascii="宋体" w:hAnsi="宋体" w:eastAsia="宋体" w:cs="宋体"/>
          <w:b/>
          <w:color w:val="auto"/>
          <w:kern w:val="44"/>
          <w:sz w:val="30"/>
          <w:szCs w:val="30"/>
          <w:highlight w:val="none"/>
        </w:rPr>
        <w:t>供货及/或提供服务过程承诺函</w:t>
      </w:r>
      <w:bookmarkEnd w:id="589"/>
      <w:bookmarkEnd w:id="590"/>
    </w:p>
    <w:p w14:paraId="08358E0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东莞市水务集团净水有限公司</w:t>
      </w:r>
      <w:r>
        <w:rPr>
          <w:rFonts w:hint="eastAsia" w:ascii="宋体" w:hAnsi="宋体" w:eastAsia="宋体" w:cs="宋体"/>
          <w:color w:val="auto"/>
          <w:kern w:val="0"/>
          <w:szCs w:val="21"/>
          <w:highlight w:val="none"/>
        </w:rPr>
        <w:t>：</w:t>
      </w:r>
    </w:p>
    <w:p w14:paraId="5580F83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东莞市水务集团净水有限公司2025年生产药剂液体复合碳源采购项目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WTZB2024DG0048</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09181FE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50051E1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5F0FCCF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B81E8E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EC2A83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BABB49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E2588C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78DB9B9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7AB4E21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A740A5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A9CE26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23865AF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386282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1FC00A4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493EB54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bookmarkStart w:id="591" w:name="_Toc29501"/>
      <w:bookmarkStart w:id="592" w:name="_Toc20869"/>
      <w:r>
        <w:rPr>
          <w:rFonts w:hint="eastAsia" w:ascii="宋体" w:hAnsi="宋体" w:eastAsia="宋体" w:cs="宋体"/>
          <w:color w:val="auto"/>
          <w:kern w:val="0"/>
          <w:szCs w:val="21"/>
          <w:highlight w:val="none"/>
        </w:rPr>
        <w:t>③我方承诺不在厂内道路、消防通道内搭建临时建筑或堆放物资。</w:t>
      </w:r>
      <w:bookmarkEnd w:id="591"/>
      <w:bookmarkEnd w:id="592"/>
    </w:p>
    <w:p w14:paraId="77F7D83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2D250E1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DC6FF4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bookmarkStart w:id="593" w:name="_Toc9374"/>
      <w:bookmarkStart w:id="594" w:name="_Toc23119"/>
      <w:r>
        <w:rPr>
          <w:rFonts w:hint="eastAsia" w:ascii="宋体" w:hAnsi="宋体" w:eastAsia="宋体" w:cs="宋体"/>
          <w:color w:val="auto"/>
          <w:kern w:val="0"/>
          <w:szCs w:val="21"/>
          <w:highlight w:val="none"/>
        </w:rPr>
        <w:t>⑥我方承诺防雷、防静电设施及用电设施有良好接地。</w:t>
      </w:r>
      <w:bookmarkEnd w:id="593"/>
      <w:bookmarkEnd w:id="594"/>
    </w:p>
    <w:p w14:paraId="4F516B3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4DF79F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550D627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023831FE">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96AF8B7">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6CC736A0">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4CED4E9C">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1C6D1934">
      <w:pPr>
        <w:pageBreakBefore/>
        <w:autoSpaceDE w:val="0"/>
        <w:autoSpaceDN w:val="0"/>
        <w:adjustRightInd w:val="0"/>
        <w:spacing w:line="360" w:lineRule="auto"/>
        <w:jc w:val="left"/>
        <w:outlineLvl w:val="1"/>
        <w:rPr>
          <w:rFonts w:ascii="宋体" w:hAnsi="宋体" w:eastAsia="宋体" w:cs="宋体"/>
          <w:b/>
          <w:color w:val="auto"/>
          <w:kern w:val="0"/>
          <w:sz w:val="32"/>
          <w:szCs w:val="32"/>
          <w:highlight w:val="none"/>
        </w:rPr>
      </w:pPr>
      <w:bookmarkStart w:id="595" w:name="_Toc94107205"/>
      <w:bookmarkStart w:id="596" w:name="_Toc86764084"/>
      <w:bookmarkStart w:id="597" w:name="_Toc140596924"/>
      <w:bookmarkStart w:id="598" w:name="_Toc102860414"/>
      <w:bookmarkStart w:id="599" w:name="_Toc104991871"/>
      <w:bookmarkStart w:id="600" w:name="_Toc102860070"/>
      <w:bookmarkStart w:id="601" w:name="_Toc142508365"/>
      <w:bookmarkStart w:id="602" w:name="_Toc82182547"/>
      <w:bookmarkStart w:id="603" w:name="_Toc28199"/>
      <w:bookmarkStart w:id="604" w:name="_Toc26405"/>
      <w:bookmarkStart w:id="605" w:name="_Toc32728"/>
      <w:bookmarkStart w:id="606" w:name="_Toc6287"/>
      <w:bookmarkStart w:id="607" w:name="_Toc3993"/>
      <w:r>
        <w:rPr>
          <w:rFonts w:hint="eastAsia" w:ascii="宋体" w:hAnsi="宋体" w:eastAsia="宋体" w:cs="宋体"/>
          <w:b/>
          <w:color w:val="auto"/>
          <w:kern w:val="44"/>
          <w:sz w:val="32"/>
          <w:szCs w:val="32"/>
          <w:highlight w:val="none"/>
        </w:rPr>
        <w:t>四</w:t>
      </w:r>
      <w:bookmarkEnd w:id="595"/>
      <w:bookmarkEnd w:id="596"/>
      <w:bookmarkEnd w:id="597"/>
      <w:bookmarkEnd w:id="598"/>
      <w:bookmarkEnd w:id="599"/>
      <w:bookmarkEnd w:id="600"/>
      <w:bookmarkEnd w:id="601"/>
      <w:bookmarkEnd w:id="602"/>
      <w:bookmarkStart w:id="608" w:name="_Toc102860415"/>
      <w:bookmarkStart w:id="609" w:name="_Toc102860071"/>
      <w:bookmarkStart w:id="610" w:name="_Toc104991872"/>
      <w:bookmarkStart w:id="611" w:name="_Toc142508366"/>
      <w:bookmarkStart w:id="612" w:name="_Toc94107206"/>
      <w:bookmarkStart w:id="613" w:name="_Toc140596925"/>
      <w:r>
        <w:rPr>
          <w:rFonts w:hint="eastAsia" w:ascii="宋体" w:hAnsi="宋体" w:eastAsia="宋体" w:cs="宋体"/>
          <w:b/>
          <w:color w:val="auto"/>
          <w:kern w:val="0"/>
          <w:sz w:val="32"/>
          <w:szCs w:val="32"/>
          <w:highlight w:val="none"/>
        </w:rPr>
        <w:t>、投标报价表格式</w:t>
      </w:r>
      <w:bookmarkEnd w:id="585"/>
      <w:bookmarkEnd w:id="586"/>
      <w:bookmarkEnd w:id="587"/>
      <w:bookmarkEnd w:id="588"/>
      <w:bookmarkEnd w:id="603"/>
      <w:bookmarkEnd w:id="604"/>
      <w:bookmarkEnd w:id="605"/>
      <w:bookmarkEnd w:id="606"/>
      <w:bookmarkEnd w:id="607"/>
      <w:bookmarkEnd w:id="608"/>
      <w:bookmarkEnd w:id="609"/>
      <w:bookmarkEnd w:id="610"/>
      <w:bookmarkEnd w:id="611"/>
      <w:bookmarkEnd w:id="612"/>
      <w:bookmarkEnd w:id="613"/>
    </w:p>
    <w:p w14:paraId="4F004913">
      <w:pPr>
        <w:spacing w:line="360" w:lineRule="auto"/>
        <w:jc w:val="center"/>
        <w:outlineLvl w:val="9"/>
        <w:rPr>
          <w:rFonts w:ascii="宋体" w:hAnsi="宋体" w:eastAsia="宋体" w:cs="宋体"/>
          <w:b/>
          <w:bCs/>
          <w:color w:val="auto"/>
          <w:kern w:val="0"/>
          <w:szCs w:val="21"/>
          <w:highlight w:val="none"/>
        </w:rPr>
      </w:pPr>
      <w:bookmarkStart w:id="614" w:name="_Toc6192"/>
      <w:bookmarkStart w:id="615" w:name="_Toc4416"/>
      <w:r>
        <w:rPr>
          <w:rFonts w:hint="eastAsia" w:ascii="宋体" w:hAnsi="宋体" w:eastAsia="宋体" w:cs="宋体"/>
          <w:b/>
          <w:bCs/>
          <w:color w:val="auto"/>
          <w:sz w:val="30"/>
          <w:szCs w:val="30"/>
          <w:highlight w:val="none"/>
          <w:lang w:val="zh-CN"/>
        </w:rPr>
        <w:t>投标报价表</w:t>
      </w:r>
      <w:bookmarkEnd w:id="614"/>
      <w:bookmarkEnd w:id="615"/>
    </w:p>
    <w:p w14:paraId="1A46947B">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东莞市水务集团净水有限公司2025年生产药剂液体复合碳源采购项目</w:t>
      </w:r>
    </w:p>
    <w:p w14:paraId="64D8FEE7">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WTZB2024DG0048</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404"/>
        <w:gridCol w:w="833"/>
        <w:gridCol w:w="1012"/>
        <w:gridCol w:w="758"/>
        <w:gridCol w:w="1422"/>
        <w:gridCol w:w="2373"/>
        <w:gridCol w:w="2398"/>
      </w:tblGrid>
      <w:tr w14:paraId="723C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8" w:hRule="atLeast"/>
          <w:jc w:val="center"/>
        </w:trPr>
        <w:tc>
          <w:tcPr>
            <w:tcW w:w="675" w:type="pct"/>
            <w:tcBorders>
              <w:top w:val="single" w:color="auto" w:sz="4" w:space="0"/>
              <w:left w:val="single" w:color="auto" w:sz="4" w:space="0"/>
              <w:bottom w:val="single" w:color="auto" w:sz="4" w:space="0"/>
              <w:right w:val="single" w:color="auto" w:sz="4" w:space="0"/>
            </w:tcBorders>
            <w:noWrap w:val="0"/>
            <w:vAlign w:val="center"/>
          </w:tcPr>
          <w:p w14:paraId="0AFC40DE">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货物名称</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481F0C2E">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品牌</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4635E30C">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产地</w:t>
            </w:r>
          </w:p>
        </w:tc>
        <w:tc>
          <w:tcPr>
            <w:tcW w:w="364" w:type="pct"/>
            <w:tcBorders>
              <w:top w:val="single" w:color="auto" w:sz="4" w:space="0"/>
              <w:left w:val="single" w:color="auto" w:sz="4" w:space="0"/>
              <w:bottom w:val="single" w:color="auto" w:sz="4" w:space="0"/>
              <w:right w:val="single" w:color="auto" w:sz="4" w:space="0"/>
            </w:tcBorders>
            <w:noWrap w:val="0"/>
            <w:vAlign w:val="center"/>
          </w:tcPr>
          <w:p w14:paraId="130BAC7A">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单位</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58CBAB18">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暂定采购数量</w:t>
            </w:r>
          </w:p>
        </w:tc>
        <w:tc>
          <w:tcPr>
            <w:tcW w:w="1140" w:type="pct"/>
            <w:tcBorders>
              <w:top w:val="single" w:color="auto" w:sz="4" w:space="0"/>
              <w:left w:val="single" w:color="auto" w:sz="4" w:space="0"/>
              <w:bottom w:val="single" w:color="auto" w:sz="4" w:space="0"/>
              <w:right w:val="single" w:color="auto" w:sz="4" w:space="0"/>
            </w:tcBorders>
            <w:noWrap w:val="0"/>
            <w:vAlign w:val="center"/>
          </w:tcPr>
          <w:p w14:paraId="283192BF">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综合单价（元/吨）</w:t>
            </w:r>
          </w:p>
          <w:p w14:paraId="5C524FC3">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 xml:space="preserve">（不含销项税） </w:t>
            </w:r>
          </w:p>
        </w:tc>
        <w:tc>
          <w:tcPr>
            <w:tcW w:w="1152" w:type="pct"/>
            <w:tcBorders>
              <w:top w:val="single" w:color="auto" w:sz="4" w:space="0"/>
              <w:left w:val="single" w:color="auto" w:sz="4" w:space="0"/>
              <w:bottom w:val="single" w:color="auto" w:sz="4" w:space="0"/>
              <w:right w:val="single" w:color="auto" w:sz="4" w:space="0"/>
            </w:tcBorders>
            <w:noWrap w:val="0"/>
            <w:vAlign w:val="center"/>
          </w:tcPr>
          <w:p w14:paraId="7DD2A6E8">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投标报价（元，总价）</w:t>
            </w:r>
          </w:p>
          <w:p w14:paraId="31038A60">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（不含销项税）</w:t>
            </w:r>
          </w:p>
        </w:tc>
      </w:tr>
      <w:tr w14:paraId="6C35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9" w:hRule="atLeast"/>
          <w:jc w:val="center"/>
        </w:trPr>
        <w:tc>
          <w:tcPr>
            <w:tcW w:w="675" w:type="pct"/>
            <w:tcBorders>
              <w:top w:val="single" w:color="auto" w:sz="4" w:space="0"/>
              <w:left w:val="single" w:color="auto" w:sz="4" w:space="0"/>
              <w:bottom w:val="single" w:color="auto" w:sz="4" w:space="0"/>
              <w:right w:val="single" w:color="auto" w:sz="4" w:space="0"/>
            </w:tcBorders>
            <w:noWrap w:val="0"/>
            <w:vAlign w:val="center"/>
          </w:tcPr>
          <w:p w14:paraId="02C4B95D">
            <w:pPr>
              <w:pStyle w:val="22"/>
              <w:snapToGrid w:val="0"/>
              <w:spacing w:line="400" w:lineRule="exact"/>
              <w:jc w:val="center"/>
              <w:rPr>
                <w:rFonts w:hint="eastAsia" w:hAnsi="宋体"/>
                <w:color w:val="auto"/>
                <w:sz w:val="21"/>
                <w:szCs w:val="21"/>
                <w:highlight w:val="none"/>
              </w:rPr>
            </w:pPr>
            <w:r>
              <w:rPr>
                <w:rFonts w:hint="eastAsia" w:ascii="Times New Roman"/>
                <w:color w:val="auto"/>
                <w:sz w:val="21"/>
                <w:szCs w:val="21"/>
                <w:highlight w:val="none"/>
              </w:rPr>
              <w:t>液体</w:t>
            </w:r>
            <w:r>
              <w:rPr>
                <w:rFonts w:ascii="Times New Roman"/>
                <w:color w:val="auto"/>
                <w:sz w:val="21"/>
                <w:szCs w:val="21"/>
                <w:highlight w:val="none"/>
              </w:rPr>
              <w:t>复合碳源</w:t>
            </w:r>
          </w:p>
        </w:tc>
        <w:tc>
          <w:tcPr>
            <w:tcW w:w="400" w:type="pct"/>
            <w:tcBorders>
              <w:top w:val="single" w:color="auto" w:sz="4" w:space="0"/>
              <w:left w:val="single" w:color="auto" w:sz="4" w:space="0"/>
              <w:right w:val="single" w:color="auto" w:sz="4" w:space="0"/>
            </w:tcBorders>
            <w:noWrap w:val="0"/>
            <w:vAlign w:val="center"/>
          </w:tcPr>
          <w:p w14:paraId="30A39C02">
            <w:pPr>
              <w:pStyle w:val="22"/>
              <w:snapToGrid w:val="0"/>
              <w:spacing w:line="400" w:lineRule="exact"/>
              <w:jc w:val="center"/>
              <w:rPr>
                <w:rFonts w:hAnsi="宋体"/>
                <w:color w:val="auto"/>
                <w:sz w:val="21"/>
                <w:szCs w:val="21"/>
                <w:highlight w:val="none"/>
              </w:rPr>
            </w:pPr>
          </w:p>
        </w:tc>
        <w:tc>
          <w:tcPr>
            <w:tcW w:w="486" w:type="pct"/>
            <w:tcBorders>
              <w:top w:val="single" w:color="auto" w:sz="4" w:space="0"/>
              <w:left w:val="single" w:color="auto" w:sz="4" w:space="0"/>
              <w:right w:val="single" w:color="auto" w:sz="4" w:space="0"/>
            </w:tcBorders>
            <w:noWrap w:val="0"/>
            <w:vAlign w:val="center"/>
          </w:tcPr>
          <w:p w14:paraId="101C1C89">
            <w:pPr>
              <w:pStyle w:val="22"/>
              <w:snapToGrid w:val="0"/>
              <w:spacing w:line="400" w:lineRule="exact"/>
              <w:jc w:val="center"/>
              <w:rPr>
                <w:rFonts w:hAnsi="宋体"/>
                <w:color w:val="auto"/>
                <w:sz w:val="21"/>
                <w:szCs w:val="21"/>
                <w:highlight w:val="none"/>
              </w:rPr>
            </w:pPr>
          </w:p>
        </w:tc>
        <w:tc>
          <w:tcPr>
            <w:tcW w:w="364" w:type="pct"/>
            <w:tcBorders>
              <w:top w:val="single" w:color="auto" w:sz="4" w:space="0"/>
              <w:left w:val="single" w:color="auto" w:sz="4" w:space="0"/>
              <w:right w:val="single" w:color="auto" w:sz="4" w:space="0"/>
            </w:tcBorders>
            <w:noWrap w:val="0"/>
            <w:vAlign w:val="center"/>
          </w:tcPr>
          <w:p w14:paraId="688E1CAC">
            <w:pPr>
              <w:pStyle w:val="22"/>
              <w:snapToGrid w:val="0"/>
              <w:spacing w:line="400" w:lineRule="exact"/>
              <w:jc w:val="center"/>
              <w:rPr>
                <w:rFonts w:hint="eastAsia" w:hAnsi="宋体"/>
                <w:color w:val="auto"/>
                <w:sz w:val="21"/>
                <w:szCs w:val="21"/>
                <w:highlight w:val="none"/>
              </w:rPr>
            </w:pPr>
            <w:r>
              <w:rPr>
                <w:rFonts w:hint="eastAsia" w:hAnsi="宋体"/>
                <w:color w:val="auto"/>
                <w:sz w:val="21"/>
                <w:szCs w:val="21"/>
                <w:highlight w:val="none"/>
              </w:rPr>
              <w:t>吨</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63FEE961">
            <w:pPr>
              <w:pStyle w:val="22"/>
              <w:snapToGrid w:val="0"/>
              <w:spacing w:line="400" w:lineRule="exac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11022.613</w:t>
            </w:r>
          </w:p>
        </w:tc>
        <w:tc>
          <w:tcPr>
            <w:tcW w:w="1140" w:type="pct"/>
            <w:tcBorders>
              <w:top w:val="single" w:color="auto" w:sz="4" w:space="0"/>
              <w:left w:val="single" w:color="auto" w:sz="4" w:space="0"/>
              <w:right w:val="single" w:color="auto" w:sz="4" w:space="0"/>
            </w:tcBorders>
            <w:noWrap w:val="0"/>
            <w:vAlign w:val="center"/>
          </w:tcPr>
          <w:p w14:paraId="4E8DA7AD">
            <w:pPr>
              <w:pStyle w:val="22"/>
              <w:snapToGrid w:val="0"/>
              <w:spacing w:line="400" w:lineRule="exact"/>
              <w:jc w:val="center"/>
              <w:rPr>
                <w:rFonts w:hAnsi="宋体"/>
                <w:color w:val="auto"/>
                <w:sz w:val="21"/>
                <w:szCs w:val="21"/>
                <w:highlight w:val="none"/>
              </w:rPr>
            </w:pPr>
          </w:p>
        </w:tc>
        <w:tc>
          <w:tcPr>
            <w:tcW w:w="1152" w:type="pct"/>
            <w:tcBorders>
              <w:top w:val="single" w:color="auto" w:sz="4" w:space="0"/>
              <w:left w:val="single" w:color="auto" w:sz="4" w:space="0"/>
              <w:bottom w:val="single" w:color="auto" w:sz="4" w:space="0"/>
              <w:right w:val="single" w:color="auto" w:sz="4" w:space="0"/>
            </w:tcBorders>
            <w:noWrap w:val="0"/>
            <w:vAlign w:val="center"/>
          </w:tcPr>
          <w:p w14:paraId="048511A0">
            <w:pPr>
              <w:pStyle w:val="22"/>
              <w:snapToGrid w:val="0"/>
              <w:spacing w:line="400" w:lineRule="exact"/>
              <w:jc w:val="center"/>
              <w:rPr>
                <w:rFonts w:hAnsi="宋体"/>
                <w:color w:val="auto"/>
                <w:sz w:val="21"/>
                <w:szCs w:val="21"/>
                <w:highlight w:val="none"/>
              </w:rPr>
            </w:pPr>
          </w:p>
        </w:tc>
      </w:tr>
    </w:tbl>
    <w:p w14:paraId="0A1473EA">
      <w:pPr>
        <w:rPr>
          <w:rFonts w:ascii="宋体" w:hAnsi="宋体" w:eastAsia="宋体" w:cs="宋体"/>
          <w:color w:val="auto"/>
          <w:kern w:val="0"/>
          <w:sz w:val="20"/>
          <w:szCs w:val="21"/>
          <w:highlight w:val="none"/>
        </w:rPr>
      </w:pPr>
    </w:p>
    <w:p w14:paraId="0D02C5FB">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C0AD140">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403A18FC">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w:t>
      </w:r>
      <w:r>
        <w:rPr>
          <w:rFonts w:hint="eastAsia" w:ascii="宋体" w:hAnsi="宋体" w:eastAsia="宋体" w:cs="Times New Roman"/>
          <w:b/>
          <w:bCs/>
          <w:color w:val="auto"/>
          <w:kern w:val="0"/>
          <w:szCs w:val="21"/>
          <w:highlight w:val="none"/>
          <w:lang w:val="en-US" w:eastAsia="zh-CN"/>
        </w:rPr>
        <w:t>或综合单价</w:t>
      </w:r>
      <w:r>
        <w:rPr>
          <w:rFonts w:hint="eastAsia" w:ascii="宋体" w:hAnsi="宋体" w:eastAsia="宋体" w:cs="Times New Roman"/>
          <w:b/>
          <w:bCs/>
          <w:color w:val="auto"/>
          <w:kern w:val="0"/>
          <w:szCs w:val="21"/>
          <w:highlight w:val="none"/>
        </w:rPr>
        <w:t>高于</w:t>
      </w:r>
      <w:r>
        <w:rPr>
          <w:rFonts w:hint="eastAsia" w:ascii="宋体" w:hAnsi="宋体" w:eastAsia="宋体" w:cs="Times New Roman"/>
          <w:b/>
          <w:bCs/>
          <w:color w:val="auto"/>
          <w:kern w:val="0"/>
          <w:szCs w:val="21"/>
          <w:highlight w:val="none"/>
          <w:lang w:val="en-US" w:eastAsia="zh-CN"/>
        </w:rPr>
        <w:t>不含税最高投标限价或不含税预算综合单价</w:t>
      </w:r>
      <w:r>
        <w:rPr>
          <w:rFonts w:hint="eastAsia" w:ascii="宋体" w:hAnsi="宋体" w:eastAsia="宋体" w:cs="Times New Roman"/>
          <w:b/>
          <w:bCs/>
          <w:color w:val="auto"/>
          <w:kern w:val="0"/>
          <w:szCs w:val="21"/>
          <w:highlight w:val="none"/>
        </w:rPr>
        <w:t>的，该投标人的投标文件将被视为无效投标。</w:t>
      </w:r>
    </w:p>
    <w:p w14:paraId="1F5683D3">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rPr>
        <w:t>本表的投标报价为不含税综合单价乘以采购货物暂定数量的总价。</w:t>
      </w:r>
      <w:r>
        <w:rPr>
          <w:rFonts w:hint="eastAsia" w:ascii="宋体" w:hAnsi="宋体" w:eastAsia="宋体" w:cs="Times New Roman"/>
          <w:bCs/>
          <w:color w:val="auto"/>
          <w:kern w:val="0"/>
          <w:szCs w:val="21"/>
        </w:rPr>
        <w:t>本投标报价表内</w:t>
      </w:r>
      <w:r>
        <w:rPr>
          <w:rFonts w:hint="eastAsia" w:ascii="宋体" w:hAnsi="宋体" w:eastAsia="宋体" w:cs="Times New Roman"/>
          <w:b w:val="0"/>
          <w:bCs w:val="0"/>
          <w:color w:val="auto"/>
          <w:kern w:val="0"/>
          <w:szCs w:val="21"/>
          <w:highlight w:val="none"/>
        </w:rPr>
        <w:t>投标报价金额与按</w:t>
      </w:r>
      <w:r>
        <w:rPr>
          <w:rFonts w:hint="eastAsia" w:ascii="宋体" w:hAnsi="宋体" w:eastAsia="宋体" w:cs="Times New Roman"/>
          <w:b w:val="0"/>
          <w:bCs w:val="0"/>
          <w:color w:val="auto"/>
          <w:kern w:val="0"/>
          <w:szCs w:val="21"/>
          <w:highlight w:val="none"/>
          <w:lang w:val="en-US" w:eastAsia="zh-CN"/>
        </w:rPr>
        <w:t>综合</w:t>
      </w:r>
      <w:r>
        <w:rPr>
          <w:rFonts w:hint="eastAsia" w:ascii="宋体" w:hAnsi="宋体" w:eastAsia="宋体" w:cs="Times New Roman"/>
          <w:b w:val="0"/>
          <w:bCs w:val="0"/>
          <w:color w:val="auto"/>
          <w:kern w:val="0"/>
          <w:szCs w:val="21"/>
          <w:highlight w:val="none"/>
        </w:rPr>
        <w:t>单价计算的总金额不一致的，以</w:t>
      </w:r>
      <w:r>
        <w:rPr>
          <w:rFonts w:hint="eastAsia" w:ascii="宋体" w:hAnsi="宋体" w:eastAsia="宋体" w:cs="Times New Roman"/>
          <w:b w:val="0"/>
          <w:bCs w:val="0"/>
          <w:color w:val="auto"/>
          <w:kern w:val="0"/>
          <w:szCs w:val="21"/>
          <w:highlight w:val="none"/>
          <w:lang w:val="en-US" w:eastAsia="zh-CN"/>
        </w:rPr>
        <w:t>综合</w:t>
      </w:r>
      <w:r>
        <w:rPr>
          <w:rFonts w:hint="eastAsia" w:ascii="宋体" w:hAnsi="宋体" w:eastAsia="宋体" w:cs="Times New Roman"/>
          <w:b w:val="0"/>
          <w:bCs w:val="0"/>
          <w:color w:val="auto"/>
          <w:kern w:val="0"/>
          <w:szCs w:val="21"/>
          <w:highlight w:val="none"/>
        </w:rPr>
        <w:t>单价计算结果为准，</w:t>
      </w:r>
      <w:r>
        <w:rPr>
          <w:rFonts w:hint="eastAsia" w:ascii="宋体" w:hAnsi="宋体" w:eastAsia="宋体" w:cs="Times New Roman"/>
          <w:b w:val="0"/>
          <w:bCs w:val="0"/>
          <w:color w:val="auto"/>
          <w:kern w:val="0"/>
          <w:szCs w:val="21"/>
          <w:highlight w:val="none"/>
          <w:lang w:val="en-US" w:eastAsia="zh-CN"/>
        </w:rPr>
        <w:t>综合</w:t>
      </w:r>
      <w:r>
        <w:rPr>
          <w:rFonts w:hint="eastAsia" w:ascii="宋体" w:hAnsi="宋体" w:eastAsia="宋体" w:cs="Times New Roman"/>
          <w:b w:val="0"/>
          <w:bCs w:val="0"/>
          <w:color w:val="auto"/>
          <w:kern w:val="0"/>
          <w:szCs w:val="21"/>
          <w:highlight w:val="none"/>
        </w:rPr>
        <w:t>单价金额小数点有明显错位的，应以总价为准，并修正</w:t>
      </w:r>
      <w:r>
        <w:rPr>
          <w:rFonts w:hint="eastAsia" w:ascii="宋体" w:hAnsi="宋体" w:eastAsia="宋体" w:cs="Times New Roman"/>
          <w:b w:val="0"/>
          <w:bCs w:val="0"/>
          <w:color w:val="auto"/>
          <w:kern w:val="0"/>
          <w:szCs w:val="21"/>
          <w:highlight w:val="none"/>
          <w:lang w:val="en-US" w:eastAsia="zh-CN"/>
        </w:rPr>
        <w:t>综合</w:t>
      </w:r>
      <w:r>
        <w:rPr>
          <w:rFonts w:hint="eastAsia" w:ascii="宋体" w:hAnsi="宋体" w:eastAsia="宋体" w:cs="Times New Roman"/>
          <w:b w:val="0"/>
          <w:bCs w:val="0"/>
          <w:color w:val="auto"/>
          <w:kern w:val="0"/>
          <w:szCs w:val="21"/>
          <w:highlight w:val="none"/>
        </w:rPr>
        <w:t>单价；</w:t>
      </w:r>
      <w:r>
        <w:rPr>
          <w:rFonts w:hint="eastAsia" w:ascii="宋体" w:hAnsi="宋体" w:eastAsia="宋体" w:cs="Times New Roman"/>
          <w:color w:val="auto"/>
          <w:kern w:val="0"/>
          <w:szCs w:val="21"/>
          <w:highlight w:val="none"/>
        </w:rPr>
        <w:t>对不同文字文本投标文件的解释发生异议的，以中文文本为准。</w:t>
      </w:r>
    </w:p>
    <w:p w14:paraId="3F54F918">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）上述暂定采购数量仅为方便合计投标报价使用，不作为招标人最终购买数量的保证，我方承诺不因实际采购数量的减少或增加而要求招标人提供任何形式的补偿或赔偿。</w:t>
      </w:r>
    </w:p>
    <w:p w14:paraId="1A1495AF">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综合单价、投标</w:t>
      </w:r>
      <w:r>
        <w:rPr>
          <w:rFonts w:hint="eastAsia" w:ascii="宋体" w:hAnsi="宋体" w:eastAsia="宋体" w:cs="Times New Roman"/>
          <w:color w:val="auto"/>
          <w:kern w:val="0"/>
          <w:szCs w:val="21"/>
          <w:highlight w:val="none"/>
        </w:rPr>
        <w:t>报价</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总价</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保留小数点后两位</w:t>
      </w:r>
      <w:r>
        <w:rPr>
          <w:rFonts w:hint="eastAsia" w:ascii="宋体" w:hAnsi="宋体" w:eastAsia="宋体" w:cs="Times New Roman"/>
          <w:color w:val="auto"/>
          <w:kern w:val="0"/>
          <w:szCs w:val="21"/>
          <w:highlight w:val="none"/>
          <w:lang w:val="zh-CN"/>
        </w:rPr>
        <w:t>，如小数点后位数不符合上述要求的，评标委员会按去“尾”或补“零”的方式进行修正为保留小数点后两位，投标人须接受被修正后的报价（例：如投标</w:t>
      </w:r>
      <w:r>
        <w:rPr>
          <w:rFonts w:hint="eastAsia" w:ascii="宋体" w:hAnsi="宋体" w:eastAsia="宋体" w:cs="Times New Roman"/>
          <w:color w:val="auto"/>
          <w:kern w:val="0"/>
          <w:szCs w:val="21"/>
          <w:highlight w:val="none"/>
          <w:lang w:val="en-US" w:eastAsia="zh-CN"/>
        </w:rPr>
        <w:t>报价</w:t>
      </w:r>
      <w:r>
        <w:rPr>
          <w:rFonts w:hint="eastAsia" w:ascii="宋体" w:hAnsi="宋体" w:eastAsia="宋体" w:cs="Times New Roman"/>
          <w:color w:val="auto"/>
          <w:kern w:val="0"/>
          <w:szCs w:val="21"/>
          <w:highlight w:val="none"/>
          <w:lang w:val="zh-CN"/>
        </w:rPr>
        <w:t>为0.789，则被修正为0.78；如投标</w:t>
      </w:r>
      <w:r>
        <w:rPr>
          <w:rFonts w:hint="eastAsia" w:ascii="宋体" w:hAnsi="宋体" w:eastAsia="宋体" w:cs="Times New Roman"/>
          <w:color w:val="auto"/>
          <w:kern w:val="0"/>
          <w:szCs w:val="21"/>
          <w:highlight w:val="none"/>
          <w:lang w:val="en-US" w:eastAsia="zh-CN"/>
        </w:rPr>
        <w:t>报价</w:t>
      </w:r>
      <w:r>
        <w:rPr>
          <w:rFonts w:hint="eastAsia" w:ascii="宋体" w:hAnsi="宋体" w:eastAsia="宋体" w:cs="Times New Roman"/>
          <w:color w:val="auto"/>
          <w:kern w:val="0"/>
          <w:szCs w:val="21"/>
          <w:highlight w:val="none"/>
          <w:lang w:val="zh-CN"/>
        </w:rPr>
        <w:t>为0.7，则被修正为0.70）。</w:t>
      </w:r>
    </w:p>
    <w:p w14:paraId="49030441">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u w:val="single"/>
          <w:lang w:val="zh-CN"/>
        </w:rPr>
        <w:t>（</w:t>
      </w:r>
      <w:r>
        <w:rPr>
          <w:rFonts w:hint="eastAsia" w:ascii="宋体" w:hAnsi="宋体" w:eastAsia="宋体" w:cs="Times New Roman"/>
          <w:b/>
          <w:bCs/>
          <w:color w:val="auto"/>
          <w:kern w:val="0"/>
          <w:szCs w:val="21"/>
          <w:highlight w:val="none"/>
          <w:u w:val="single"/>
          <w:lang w:val="en-US" w:eastAsia="zh-CN"/>
        </w:rPr>
        <w:t>6</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322EE70A">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3284C445">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6BEF55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18454D5">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6CA039B">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616" w:name="_Toc18828"/>
      <w:bookmarkStart w:id="617" w:name="_Toc94107209"/>
      <w:bookmarkStart w:id="618" w:name="_Toc26674"/>
      <w:bookmarkStart w:id="619" w:name="_Toc140596928"/>
      <w:bookmarkStart w:id="620" w:name="_Toc31689"/>
      <w:bookmarkStart w:id="621" w:name="_Toc24015"/>
      <w:bookmarkStart w:id="622" w:name="_Toc25556"/>
      <w:bookmarkStart w:id="623" w:name="_Toc1977725"/>
      <w:bookmarkStart w:id="624" w:name="_Toc102860074"/>
      <w:bookmarkStart w:id="625" w:name="_Toc102860418"/>
      <w:bookmarkStart w:id="626" w:name="_Toc104991875"/>
      <w:bookmarkStart w:id="627" w:name="_Toc142508369"/>
      <w:bookmarkStart w:id="628" w:name="_Toc20759_WPSOffice_Level2"/>
      <w:bookmarkStart w:id="629" w:name="_Toc486167712"/>
      <w:bookmarkStart w:id="630"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616"/>
      <w:bookmarkEnd w:id="617"/>
      <w:bookmarkEnd w:id="618"/>
      <w:bookmarkEnd w:id="619"/>
      <w:bookmarkEnd w:id="620"/>
      <w:bookmarkEnd w:id="621"/>
      <w:bookmarkEnd w:id="622"/>
      <w:bookmarkEnd w:id="623"/>
      <w:bookmarkEnd w:id="624"/>
      <w:bookmarkEnd w:id="625"/>
      <w:bookmarkEnd w:id="626"/>
      <w:bookmarkEnd w:id="627"/>
    </w:p>
    <w:p w14:paraId="53F8644B">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31" w:name="_Toc31420"/>
      <w:bookmarkStart w:id="632" w:name="_Toc16154"/>
      <w:bookmarkStart w:id="633" w:name="_Toc102860419"/>
      <w:bookmarkStart w:id="634" w:name="_Toc28382"/>
      <w:bookmarkStart w:id="635" w:name="_Toc6695"/>
      <w:bookmarkStart w:id="636" w:name="_Toc140596929"/>
      <w:bookmarkStart w:id="637" w:name="_Toc104991876"/>
      <w:bookmarkStart w:id="638" w:name="_Toc142508370"/>
      <w:bookmarkStart w:id="639" w:name="_Toc102860075"/>
      <w:bookmarkStart w:id="640" w:name="_Toc29108"/>
      <w:bookmarkStart w:id="641" w:name="_Toc94107210"/>
      <w:bookmarkStart w:id="642"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631"/>
      <w:bookmarkEnd w:id="632"/>
      <w:bookmarkEnd w:id="633"/>
      <w:bookmarkEnd w:id="634"/>
      <w:bookmarkEnd w:id="635"/>
      <w:bookmarkEnd w:id="636"/>
      <w:bookmarkEnd w:id="637"/>
      <w:bookmarkEnd w:id="638"/>
      <w:bookmarkEnd w:id="639"/>
      <w:bookmarkEnd w:id="640"/>
      <w:bookmarkEnd w:id="641"/>
    </w:p>
    <w:p w14:paraId="49FA716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C69327A">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footerReference r:id="rId5" w:type="default"/>
          <w:pgSz w:w="12240" w:h="15840"/>
          <w:pgMar w:top="1191" w:right="1043" w:bottom="1191" w:left="1043" w:header="720" w:footer="720" w:gutter="0"/>
          <w:cols w:space="720" w:num="1"/>
          <w:titlePg/>
          <w:docGrid w:linePitch="326" w:charSpace="0"/>
        </w:sectPr>
      </w:pPr>
    </w:p>
    <w:p w14:paraId="4A2E6F6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43" w:name="_Toc102860076"/>
      <w:bookmarkStart w:id="644" w:name="_Toc94107211"/>
      <w:bookmarkStart w:id="645" w:name="_Toc26345"/>
      <w:bookmarkStart w:id="646" w:name="_Toc104991877"/>
      <w:bookmarkStart w:id="647" w:name="_Toc102860420"/>
      <w:bookmarkStart w:id="648" w:name="_Toc23790"/>
      <w:bookmarkStart w:id="649" w:name="_Toc140596930"/>
      <w:bookmarkStart w:id="650" w:name="_Toc15258"/>
      <w:bookmarkStart w:id="651" w:name="_Toc142508371"/>
      <w:bookmarkStart w:id="652" w:name="_Toc189"/>
      <w:bookmarkStart w:id="653" w:name="_Toc948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43"/>
      <w:bookmarkEnd w:id="644"/>
      <w:bookmarkEnd w:id="645"/>
      <w:bookmarkEnd w:id="646"/>
      <w:bookmarkEnd w:id="647"/>
      <w:bookmarkEnd w:id="648"/>
      <w:bookmarkEnd w:id="649"/>
      <w:bookmarkEnd w:id="650"/>
      <w:bookmarkEnd w:id="651"/>
      <w:bookmarkEnd w:id="652"/>
      <w:bookmarkEnd w:id="653"/>
    </w:p>
    <w:p w14:paraId="3E08D4DA">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54" w:name="_Toc21657"/>
      <w:bookmarkStart w:id="655" w:name="_Toc94107212"/>
      <w:bookmarkStart w:id="656" w:name="_Toc140596931"/>
      <w:bookmarkStart w:id="657" w:name="_Toc104991878"/>
      <w:bookmarkStart w:id="658" w:name="_Toc102860421"/>
      <w:bookmarkStart w:id="659" w:name="_Toc142508372"/>
      <w:bookmarkStart w:id="660" w:name="_Toc17518"/>
      <w:bookmarkStart w:id="661" w:name="_Toc102860077"/>
      <w:bookmarkStart w:id="662" w:name="_Toc21954"/>
      <w:bookmarkStart w:id="663" w:name="_Toc31407"/>
      <w:bookmarkStart w:id="664" w:name="_Toc644"/>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654"/>
      <w:bookmarkEnd w:id="655"/>
      <w:bookmarkEnd w:id="656"/>
      <w:bookmarkEnd w:id="657"/>
      <w:bookmarkEnd w:id="658"/>
      <w:bookmarkEnd w:id="659"/>
      <w:bookmarkEnd w:id="660"/>
      <w:bookmarkEnd w:id="661"/>
      <w:bookmarkEnd w:id="662"/>
      <w:bookmarkEnd w:id="663"/>
      <w:bookmarkEnd w:id="664"/>
    </w:p>
    <w:p w14:paraId="0A181E3A">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28"/>
      <w:bookmarkEnd w:id="629"/>
      <w:bookmarkEnd w:id="630"/>
      <w:bookmarkEnd w:id="642"/>
    </w:p>
    <w:p w14:paraId="6206F79C">
      <w:pPr>
        <w:spacing w:before="120" w:after="120" w:line="360" w:lineRule="auto"/>
        <w:ind w:firstLine="608" w:firstLineChars="202"/>
        <w:jc w:val="center"/>
        <w:rPr>
          <w:rFonts w:ascii="宋体" w:hAnsi="宋体" w:eastAsia="宋体" w:cs="宋体"/>
          <w:b/>
          <w:color w:val="auto"/>
          <w:sz w:val="30"/>
          <w:szCs w:val="30"/>
          <w:highlight w:val="none"/>
        </w:rPr>
      </w:pPr>
    </w:p>
    <w:p w14:paraId="621116D4">
      <w:pPr>
        <w:spacing w:before="120" w:after="120" w:line="360" w:lineRule="auto"/>
        <w:ind w:firstLine="608" w:firstLineChars="202"/>
        <w:jc w:val="center"/>
        <w:rPr>
          <w:rFonts w:ascii="宋体" w:hAnsi="宋体" w:eastAsia="宋体" w:cs="宋体"/>
          <w:b/>
          <w:bCs/>
          <w:color w:val="auto"/>
          <w:sz w:val="30"/>
          <w:szCs w:val="30"/>
          <w:highlight w:val="none"/>
        </w:rPr>
      </w:pPr>
      <w:bookmarkStart w:id="665" w:name="_Toc11033_WPSOffice_Level3"/>
      <w:r>
        <w:rPr>
          <w:rFonts w:hint="eastAsia" w:ascii="宋体" w:hAnsi="宋体" w:eastAsia="宋体" w:cs="宋体"/>
          <w:b/>
          <w:color w:val="auto"/>
          <w:sz w:val="30"/>
          <w:szCs w:val="30"/>
          <w:highlight w:val="none"/>
        </w:rPr>
        <w:t>法定代</w:t>
      </w:r>
      <w:bookmarkStart w:id="666" w:name="_Toc45995270"/>
      <w:bookmarkStart w:id="667" w:name="_Toc36971359"/>
      <w:r>
        <w:rPr>
          <w:rFonts w:hint="eastAsia" w:ascii="宋体" w:hAnsi="宋体" w:eastAsia="宋体" w:cs="宋体"/>
          <w:b/>
          <w:color w:val="auto"/>
          <w:sz w:val="30"/>
          <w:szCs w:val="30"/>
          <w:highlight w:val="none"/>
        </w:rPr>
        <w:t>表人身份证明书</w:t>
      </w:r>
      <w:bookmarkEnd w:id="665"/>
    </w:p>
    <w:bookmarkEnd w:id="666"/>
    <w:bookmarkEnd w:id="667"/>
    <w:p w14:paraId="7366AD2E">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9D0987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7C61DFE6">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72552845">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A316B39">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DB6334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767DD5A3">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4A8E9003">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62F6E717">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5CACF78">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61B7F72"/>
                          <w:p w14:paraId="3456D6EA"/>
                          <w:p w14:paraId="5E78181D"/>
                          <w:p w14:paraId="64D9F097"/>
                          <w:p w14:paraId="68C4801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61B7F72"/>
                    <w:p w14:paraId="3456D6EA"/>
                    <w:p w14:paraId="5E78181D"/>
                    <w:p w14:paraId="64D9F097"/>
                    <w:p w14:paraId="68C4801C">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D8AD0E7"/>
                          <w:p w14:paraId="129CC791"/>
                          <w:p w14:paraId="5A5AAD28"/>
                          <w:p w14:paraId="5534FADF"/>
                          <w:p w14:paraId="0A36E3C5">
                            <w:pPr>
                              <w:jc w:val="center"/>
                              <w:rPr>
                                <w:szCs w:val="21"/>
                              </w:rPr>
                            </w:pPr>
                            <w:r>
                              <w:rPr>
                                <w:rFonts w:hint="eastAsia"/>
                                <w:szCs w:val="21"/>
                              </w:rPr>
                              <w:t>法定代表人身份证反面</w:t>
                            </w:r>
                          </w:p>
                          <w:p w14:paraId="7E896474">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D8AD0E7"/>
                    <w:p w14:paraId="129CC791"/>
                    <w:p w14:paraId="5A5AAD28"/>
                    <w:p w14:paraId="5534FADF"/>
                    <w:p w14:paraId="0A36E3C5">
                      <w:pPr>
                        <w:jc w:val="center"/>
                        <w:rPr>
                          <w:szCs w:val="21"/>
                        </w:rPr>
                      </w:pPr>
                      <w:r>
                        <w:rPr>
                          <w:rFonts w:hint="eastAsia"/>
                          <w:szCs w:val="21"/>
                        </w:rPr>
                        <w:t>法定代表人身份证反面</w:t>
                      </w:r>
                    </w:p>
                    <w:p w14:paraId="7E896474">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BB2B366"/>
                          <w:p w14:paraId="5FAD3B67"/>
                          <w:p w14:paraId="6FEE2349"/>
                          <w:p w14:paraId="52650722"/>
                          <w:p w14:paraId="67C84487">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6BB2B366"/>
                    <w:p w14:paraId="5FAD3B67"/>
                    <w:p w14:paraId="6FEE2349"/>
                    <w:p w14:paraId="52650722"/>
                    <w:p w14:paraId="67C84487">
                      <w:pPr>
                        <w:jc w:val="center"/>
                      </w:pPr>
                      <w:r>
                        <w:rPr>
                          <w:rFonts w:hint="eastAsia"/>
                        </w:rPr>
                        <w:t>身份证正面</w:t>
                      </w:r>
                    </w:p>
                  </w:txbxContent>
                </v:textbox>
              </v:shape>
            </w:pict>
          </mc:Fallback>
        </mc:AlternateContent>
      </w:r>
    </w:p>
    <w:p w14:paraId="76D69F73">
      <w:pPr>
        <w:autoSpaceDE w:val="0"/>
        <w:autoSpaceDN w:val="0"/>
        <w:adjustRightInd w:val="0"/>
        <w:jc w:val="left"/>
        <w:rPr>
          <w:rFonts w:ascii="宋体" w:hAnsi="宋体" w:eastAsia="宋体" w:cs="宋体"/>
          <w:color w:val="auto"/>
          <w:kern w:val="0"/>
          <w:sz w:val="24"/>
          <w:szCs w:val="24"/>
          <w:highlight w:val="none"/>
        </w:rPr>
      </w:pPr>
    </w:p>
    <w:p w14:paraId="5263EB3E">
      <w:pPr>
        <w:autoSpaceDE w:val="0"/>
        <w:autoSpaceDN w:val="0"/>
        <w:adjustRightInd w:val="0"/>
        <w:jc w:val="left"/>
        <w:rPr>
          <w:rFonts w:ascii="宋体" w:hAnsi="宋体" w:eastAsia="宋体" w:cs="宋体"/>
          <w:color w:val="auto"/>
          <w:kern w:val="0"/>
          <w:sz w:val="24"/>
          <w:szCs w:val="24"/>
          <w:highlight w:val="none"/>
        </w:rPr>
      </w:pPr>
    </w:p>
    <w:p w14:paraId="32E45AB9">
      <w:pPr>
        <w:autoSpaceDE w:val="0"/>
        <w:autoSpaceDN w:val="0"/>
        <w:adjustRightInd w:val="0"/>
        <w:jc w:val="left"/>
        <w:rPr>
          <w:rFonts w:ascii="宋体" w:hAnsi="宋体" w:eastAsia="宋体" w:cs="宋体"/>
          <w:color w:val="auto"/>
          <w:kern w:val="0"/>
          <w:sz w:val="24"/>
          <w:szCs w:val="24"/>
          <w:highlight w:val="none"/>
        </w:rPr>
      </w:pPr>
    </w:p>
    <w:p w14:paraId="104C779F">
      <w:pPr>
        <w:autoSpaceDE w:val="0"/>
        <w:autoSpaceDN w:val="0"/>
        <w:adjustRightInd w:val="0"/>
        <w:jc w:val="left"/>
        <w:rPr>
          <w:rFonts w:ascii="宋体" w:hAnsi="宋体" w:eastAsia="宋体" w:cs="宋体"/>
          <w:color w:val="auto"/>
          <w:kern w:val="0"/>
          <w:sz w:val="24"/>
          <w:szCs w:val="24"/>
          <w:highlight w:val="none"/>
        </w:rPr>
      </w:pPr>
    </w:p>
    <w:p w14:paraId="0725185A">
      <w:pPr>
        <w:autoSpaceDE w:val="0"/>
        <w:autoSpaceDN w:val="0"/>
        <w:adjustRightInd w:val="0"/>
        <w:jc w:val="left"/>
        <w:rPr>
          <w:rFonts w:ascii="宋体" w:hAnsi="宋体" w:eastAsia="宋体" w:cs="宋体"/>
          <w:color w:val="auto"/>
          <w:kern w:val="0"/>
          <w:sz w:val="24"/>
          <w:szCs w:val="24"/>
          <w:highlight w:val="none"/>
        </w:rPr>
      </w:pPr>
    </w:p>
    <w:p w14:paraId="7A8530E6">
      <w:pPr>
        <w:autoSpaceDE w:val="0"/>
        <w:autoSpaceDN w:val="0"/>
        <w:adjustRightInd w:val="0"/>
        <w:jc w:val="left"/>
        <w:rPr>
          <w:rFonts w:ascii="宋体" w:hAnsi="宋体" w:eastAsia="宋体" w:cs="宋体"/>
          <w:color w:val="auto"/>
          <w:kern w:val="0"/>
          <w:sz w:val="24"/>
          <w:szCs w:val="24"/>
          <w:highlight w:val="none"/>
        </w:rPr>
      </w:pPr>
    </w:p>
    <w:p w14:paraId="5724F99D">
      <w:pPr>
        <w:autoSpaceDE w:val="0"/>
        <w:autoSpaceDN w:val="0"/>
        <w:adjustRightInd w:val="0"/>
        <w:jc w:val="left"/>
        <w:rPr>
          <w:rFonts w:ascii="宋体" w:hAnsi="宋体" w:eastAsia="宋体" w:cs="宋体"/>
          <w:color w:val="auto"/>
          <w:kern w:val="0"/>
          <w:sz w:val="24"/>
          <w:szCs w:val="24"/>
          <w:highlight w:val="none"/>
        </w:rPr>
      </w:pPr>
    </w:p>
    <w:p w14:paraId="012C65B4">
      <w:pPr>
        <w:autoSpaceDE w:val="0"/>
        <w:autoSpaceDN w:val="0"/>
        <w:adjustRightInd w:val="0"/>
        <w:jc w:val="left"/>
        <w:rPr>
          <w:rFonts w:ascii="宋体" w:hAnsi="宋体" w:eastAsia="宋体" w:cs="宋体"/>
          <w:color w:val="auto"/>
          <w:kern w:val="0"/>
          <w:sz w:val="24"/>
          <w:szCs w:val="24"/>
          <w:highlight w:val="none"/>
        </w:rPr>
      </w:pPr>
    </w:p>
    <w:p w14:paraId="4A28EE28">
      <w:pPr>
        <w:autoSpaceDE w:val="0"/>
        <w:autoSpaceDN w:val="0"/>
        <w:adjustRightInd w:val="0"/>
        <w:jc w:val="left"/>
        <w:rPr>
          <w:rFonts w:ascii="宋体" w:hAnsi="宋体" w:eastAsia="宋体" w:cs="宋体"/>
          <w:color w:val="auto"/>
          <w:kern w:val="0"/>
          <w:sz w:val="24"/>
          <w:szCs w:val="24"/>
          <w:highlight w:val="none"/>
        </w:rPr>
      </w:pPr>
    </w:p>
    <w:p w14:paraId="06F6908D">
      <w:pPr>
        <w:autoSpaceDE w:val="0"/>
        <w:autoSpaceDN w:val="0"/>
        <w:adjustRightInd w:val="0"/>
        <w:jc w:val="left"/>
        <w:rPr>
          <w:rFonts w:ascii="宋体" w:hAnsi="宋体" w:eastAsia="宋体" w:cs="宋体"/>
          <w:b/>
          <w:color w:val="auto"/>
          <w:kern w:val="0"/>
          <w:szCs w:val="21"/>
          <w:highlight w:val="none"/>
        </w:rPr>
      </w:pPr>
    </w:p>
    <w:p w14:paraId="34BEEACC">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2AB77543">
      <w:pPr>
        <w:autoSpaceDE w:val="0"/>
        <w:autoSpaceDN w:val="0"/>
        <w:adjustRightInd w:val="0"/>
        <w:jc w:val="left"/>
        <w:rPr>
          <w:rFonts w:ascii="宋体" w:hAnsi="宋体" w:eastAsia="宋体" w:cs="宋体"/>
          <w:color w:val="auto"/>
          <w:kern w:val="0"/>
          <w:szCs w:val="21"/>
          <w:highlight w:val="none"/>
        </w:rPr>
      </w:pPr>
    </w:p>
    <w:p w14:paraId="1A0450B8">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69"/>
      <w:bookmarkEnd w:id="570"/>
      <w:bookmarkEnd w:id="571"/>
      <w:bookmarkStart w:id="668" w:name="_Toc486167713"/>
      <w:bookmarkStart w:id="669" w:name="_Toc533708125"/>
      <w:bookmarkStart w:id="670" w:name="_Toc1977727"/>
      <w:bookmarkStart w:id="671" w:name="_Toc6240_WPSOffice_Level2"/>
      <w:r>
        <w:rPr>
          <w:rFonts w:hint="eastAsia" w:ascii="宋体" w:hAnsi="宋体" w:eastAsia="宋体" w:cs="宋体"/>
          <w:b/>
          <w:color w:val="auto"/>
          <w:szCs w:val="24"/>
          <w:highlight w:val="none"/>
        </w:rPr>
        <w:t>（2）法定代表人授权书格式</w:t>
      </w:r>
      <w:bookmarkEnd w:id="668"/>
      <w:bookmarkEnd w:id="669"/>
      <w:bookmarkEnd w:id="670"/>
      <w:bookmarkEnd w:id="671"/>
    </w:p>
    <w:p w14:paraId="5BD04249">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1D56679C">
      <w:pPr>
        <w:autoSpaceDE w:val="0"/>
        <w:autoSpaceDN w:val="0"/>
        <w:adjustRightInd w:val="0"/>
        <w:spacing w:line="360" w:lineRule="auto"/>
        <w:jc w:val="center"/>
        <w:outlineLvl w:val="9"/>
        <w:rPr>
          <w:rFonts w:ascii="宋体" w:hAnsi="宋体" w:eastAsia="宋体" w:cs="宋体"/>
          <w:b/>
          <w:bCs/>
          <w:color w:val="auto"/>
          <w:sz w:val="30"/>
          <w:szCs w:val="30"/>
          <w:highlight w:val="none"/>
          <w:lang w:val="zh-CN"/>
        </w:rPr>
      </w:pPr>
      <w:bookmarkStart w:id="672" w:name="_Toc23155"/>
      <w:bookmarkStart w:id="673" w:name="_Toc29146_WPSOffice_Level3"/>
      <w:bookmarkStart w:id="674" w:name="_Toc29468"/>
      <w:r>
        <w:rPr>
          <w:rFonts w:hint="eastAsia" w:ascii="宋体" w:hAnsi="宋体" w:eastAsia="宋体" w:cs="宋体"/>
          <w:b/>
          <w:bCs/>
          <w:color w:val="auto"/>
          <w:sz w:val="30"/>
          <w:szCs w:val="30"/>
          <w:highlight w:val="none"/>
          <w:lang w:val="zh-CN"/>
        </w:rPr>
        <w:t>法定代表人授权书</w:t>
      </w:r>
      <w:bookmarkEnd w:id="672"/>
      <w:bookmarkEnd w:id="673"/>
      <w:bookmarkEnd w:id="674"/>
    </w:p>
    <w:p w14:paraId="48C16BF4">
      <w:pPr>
        <w:autoSpaceDE w:val="0"/>
        <w:autoSpaceDN w:val="0"/>
        <w:adjustRightInd w:val="0"/>
        <w:spacing w:line="360" w:lineRule="auto"/>
        <w:jc w:val="center"/>
        <w:rPr>
          <w:rFonts w:ascii="宋体" w:hAnsi="宋体" w:eastAsia="宋体" w:cs="宋体"/>
          <w:color w:val="auto"/>
          <w:szCs w:val="28"/>
          <w:highlight w:val="none"/>
          <w:lang w:val="zh-CN"/>
        </w:rPr>
      </w:pPr>
    </w:p>
    <w:p w14:paraId="53B49017">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致：东莞市水务集团净水有限公司</w:t>
      </w:r>
    </w:p>
    <w:p w14:paraId="59687EE7">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东莞市水务集团净水有限公司2025年生产药剂液体复合碳源采购项目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WTZB2024DG0048</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5CE85C87">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B30B211">
      <w:pPr>
        <w:spacing w:before="120" w:after="120" w:line="360" w:lineRule="auto"/>
        <w:ind w:left="348" w:leftChars="136" w:hanging="62"/>
        <w:rPr>
          <w:rFonts w:ascii="宋体" w:hAnsi="宋体" w:eastAsia="宋体" w:cs="宋体"/>
          <w:color w:val="auto"/>
          <w:szCs w:val="24"/>
          <w:highlight w:val="none"/>
        </w:rPr>
      </w:pPr>
    </w:p>
    <w:p w14:paraId="7462000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6011191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63EFA2D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34D0B17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5CD4F6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211F79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83D3CF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6F5AFA9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079CCA4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17BB618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D736942"/>
                          <w:p w14:paraId="0D0675B5"/>
                          <w:p w14:paraId="61CD307E"/>
                          <w:p w14:paraId="24929E0E"/>
                          <w:p w14:paraId="1DBE66EC">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D736942"/>
                    <w:p w14:paraId="0D0675B5"/>
                    <w:p w14:paraId="61CD307E"/>
                    <w:p w14:paraId="24929E0E"/>
                    <w:p w14:paraId="1DBE66EC">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3BD8D16"/>
                          <w:p w14:paraId="4FE8BECC"/>
                          <w:p w14:paraId="72D37ABA"/>
                          <w:p w14:paraId="4F8F423C"/>
                          <w:p w14:paraId="5917399B">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13BD8D16"/>
                    <w:p w14:paraId="4FE8BECC"/>
                    <w:p w14:paraId="72D37ABA"/>
                    <w:p w14:paraId="4F8F423C"/>
                    <w:p w14:paraId="5917399B">
                      <w:pPr>
                        <w:jc w:val="center"/>
                        <w:rPr>
                          <w:rFonts w:hAnsi="宋体"/>
                        </w:rPr>
                      </w:pPr>
                      <w:r>
                        <w:rPr>
                          <w:rFonts w:hint="eastAsia" w:hAnsi="宋体"/>
                        </w:rPr>
                        <w:t>法定代表人身份证正面</w:t>
                      </w:r>
                    </w:p>
                  </w:txbxContent>
                </v:textbox>
              </v:shape>
            </w:pict>
          </mc:Fallback>
        </mc:AlternateContent>
      </w:r>
    </w:p>
    <w:p w14:paraId="239A12F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A632C3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8FE290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EDF82D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EAE719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87BB2F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39DCC5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A57954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3DAD4D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74D8301"/>
                          <w:p w14:paraId="3E1FFE58">
                            <w:pPr>
                              <w:jc w:val="center"/>
                              <w:rPr>
                                <w:rFonts w:hAnsi="宋体"/>
                                <w:color w:val="FF0000"/>
                              </w:rPr>
                            </w:pPr>
                          </w:p>
                          <w:p w14:paraId="755CE58E">
                            <w:pPr>
                              <w:jc w:val="center"/>
                              <w:rPr>
                                <w:rFonts w:hAnsi="宋体"/>
                                <w:color w:val="FF0000"/>
                              </w:rPr>
                            </w:pPr>
                          </w:p>
                          <w:p w14:paraId="049CD64E">
                            <w:pPr>
                              <w:jc w:val="center"/>
                              <w:rPr>
                                <w:rFonts w:hAnsi="宋体"/>
                                <w:color w:val="FF0000"/>
                              </w:rPr>
                            </w:pPr>
                          </w:p>
                          <w:p w14:paraId="60B39CCA">
                            <w:pPr>
                              <w:jc w:val="center"/>
                            </w:pPr>
                            <w:r>
                              <w:rPr>
                                <w:rFonts w:hint="eastAsia" w:hAnsi="宋体"/>
                              </w:rPr>
                              <w:t>被授权人身份证反面</w:t>
                            </w:r>
                          </w:p>
                          <w:p w14:paraId="3B6DAAD2"/>
                          <w:p w14:paraId="505E4C2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074D8301"/>
                    <w:p w14:paraId="3E1FFE58">
                      <w:pPr>
                        <w:jc w:val="center"/>
                        <w:rPr>
                          <w:rFonts w:hAnsi="宋体"/>
                          <w:color w:val="FF0000"/>
                        </w:rPr>
                      </w:pPr>
                    </w:p>
                    <w:p w14:paraId="755CE58E">
                      <w:pPr>
                        <w:jc w:val="center"/>
                        <w:rPr>
                          <w:rFonts w:hAnsi="宋体"/>
                          <w:color w:val="FF0000"/>
                        </w:rPr>
                      </w:pPr>
                    </w:p>
                    <w:p w14:paraId="049CD64E">
                      <w:pPr>
                        <w:jc w:val="center"/>
                        <w:rPr>
                          <w:rFonts w:hAnsi="宋体"/>
                          <w:color w:val="FF0000"/>
                        </w:rPr>
                      </w:pPr>
                    </w:p>
                    <w:p w14:paraId="60B39CCA">
                      <w:pPr>
                        <w:jc w:val="center"/>
                      </w:pPr>
                      <w:r>
                        <w:rPr>
                          <w:rFonts w:hint="eastAsia" w:hAnsi="宋体"/>
                        </w:rPr>
                        <w:t>被授权人身份证反面</w:t>
                      </w:r>
                    </w:p>
                    <w:p w14:paraId="3B6DAAD2"/>
                    <w:p w14:paraId="505E4C2F"/>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9A96D75"/>
                          <w:p w14:paraId="386B5847">
                            <w:pPr>
                              <w:jc w:val="center"/>
                              <w:rPr>
                                <w:rFonts w:hAnsi="宋体"/>
                                <w:color w:val="FF0000"/>
                              </w:rPr>
                            </w:pPr>
                          </w:p>
                          <w:p w14:paraId="75A3D4A7">
                            <w:pPr>
                              <w:jc w:val="center"/>
                              <w:rPr>
                                <w:rFonts w:hAnsi="宋体"/>
                                <w:color w:val="FF0000"/>
                              </w:rPr>
                            </w:pPr>
                          </w:p>
                          <w:p w14:paraId="2C3F9948">
                            <w:pPr>
                              <w:jc w:val="center"/>
                              <w:rPr>
                                <w:rFonts w:hAnsi="宋体"/>
                                <w:color w:val="FF0000"/>
                              </w:rPr>
                            </w:pPr>
                          </w:p>
                          <w:p w14:paraId="7256367E">
                            <w:pPr>
                              <w:jc w:val="center"/>
                            </w:pPr>
                            <w:r>
                              <w:rPr>
                                <w:rFonts w:hint="eastAsia" w:hAnsi="宋体"/>
                              </w:rPr>
                              <w:t>被授权人身份证正面</w:t>
                            </w:r>
                          </w:p>
                          <w:p w14:paraId="760C261A"/>
                          <w:p w14:paraId="293348E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9A96D75"/>
                    <w:p w14:paraId="386B5847">
                      <w:pPr>
                        <w:jc w:val="center"/>
                        <w:rPr>
                          <w:rFonts w:hAnsi="宋体"/>
                          <w:color w:val="FF0000"/>
                        </w:rPr>
                      </w:pPr>
                    </w:p>
                    <w:p w14:paraId="75A3D4A7">
                      <w:pPr>
                        <w:jc w:val="center"/>
                        <w:rPr>
                          <w:rFonts w:hAnsi="宋体"/>
                          <w:color w:val="FF0000"/>
                        </w:rPr>
                      </w:pPr>
                    </w:p>
                    <w:p w14:paraId="2C3F9948">
                      <w:pPr>
                        <w:jc w:val="center"/>
                        <w:rPr>
                          <w:rFonts w:hAnsi="宋体"/>
                          <w:color w:val="FF0000"/>
                        </w:rPr>
                      </w:pPr>
                    </w:p>
                    <w:p w14:paraId="7256367E">
                      <w:pPr>
                        <w:jc w:val="center"/>
                      </w:pPr>
                      <w:r>
                        <w:rPr>
                          <w:rFonts w:hint="eastAsia" w:hAnsi="宋体"/>
                        </w:rPr>
                        <w:t>被授权人身份证正面</w:t>
                      </w:r>
                    </w:p>
                    <w:p w14:paraId="760C261A"/>
                    <w:p w14:paraId="293348E8"/>
                  </w:txbxContent>
                </v:textbox>
              </v:shape>
            </w:pict>
          </mc:Fallback>
        </mc:AlternateContent>
      </w:r>
    </w:p>
    <w:p w14:paraId="709C238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2629D9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FB991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234E71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2490F4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ABEC9DA">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headerReference r:id="rId6" w:type="first"/>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1ABB81A">
      <w:pPr>
        <w:pStyle w:val="2"/>
        <w:pageBreakBefore/>
        <w:spacing w:line="360" w:lineRule="auto"/>
        <w:rPr>
          <w:rFonts w:hint="eastAsia" w:ascii="宋体" w:hAnsi="宋体" w:eastAsia="宋体" w:cs="宋体"/>
          <w:b/>
          <w:bCs/>
          <w:color w:val="auto"/>
          <w:kern w:val="2"/>
          <w:sz w:val="32"/>
          <w:szCs w:val="32"/>
          <w:highlight w:val="none"/>
          <w:lang w:val="zh-CN"/>
        </w:rPr>
      </w:pPr>
      <w:bookmarkStart w:id="675" w:name="_Toc5998"/>
      <w:bookmarkStart w:id="676" w:name="_Toc142854322"/>
      <w:bookmarkStart w:id="677" w:name="_Toc29643"/>
      <w:bookmarkStart w:id="678" w:name="_Toc146642418"/>
      <w:bookmarkStart w:id="679" w:name="_Toc6531"/>
      <w:bookmarkStart w:id="680" w:name="_Toc78709782"/>
      <w:bookmarkStart w:id="681" w:name="_Toc30070"/>
      <w:bookmarkStart w:id="682" w:name="_Toc8338"/>
      <w:bookmarkStart w:id="683" w:name="_Toc140596933"/>
      <w:bookmarkStart w:id="684" w:name="_Toc1977730"/>
      <w:bookmarkStart w:id="685" w:name="_Toc104991880"/>
      <w:bookmarkStart w:id="686" w:name="_Toc142508373"/>
      <w:bookmarkStart w:id="687" w:name="_Toc94107214"/>
      <w:r>
        <w:rPr>
          <w:rFonts w:hint="eastAsia" w:ascii="宋体" w:hAnsi="宋体" w:eastAsia="宋体" w:cs="宋体"/>
          <w:b/>
          <w:bCs/>
          <w:color w:val="auto"/>
          <w:kern w:val="2"/>
          <w:sz w:val="32"/>
          <w:szCs w:val="32"/>
          <w:highlight w:val="none"/>
        </w:rPr>
        <w:t>5</w:t>
      </w:r>
      <w:r>
        <w:rPr>
          <w:rFonts w:hint="eastAsia" w:ascii="宋体" w:hAnsi="宋体" w:eastAsia="宋体" w:cs="宋体"/>
          <w:b/>
          <w:bCs/>
          <w:color w:val="auto"/>
          <w:kern w:val="2"/>
          <w:sz w:val="32"/>
          <w:szCs w:val="32"/>
          <w:highlight w:val="none"/>
          <w:lang w:val="en-US" w:eastAsia="zh-CN"/>
        </w:rPr>
        <w:t>.4</w:t>
      </w:r>
      <w:r>
        <w:rPr>
          <w:rFonts w:hint="eastAsia" w:ascii="宋体" w:hAnsi="宋体" w:eastAsia="宋体" w:cs="宋体"/>
          <w:b/>
          <w:bCs/>
          <w:color w:val="auto"/>
          <w:kern w:val="2"/>
          <w:sz w:val="32"/>
          <w:szCs w:val="32"/>
          <w:highlight w:val="none"/>
          <w:lang w:val="zh-CN"/>
        </w:rPr>
        <w:t xml:space="preserve"> 制造商资格声明和独家授权销售及售后服务承诺函（若投标人为制造商，必须提供制造商资格声明原件；若投标人为经销商，必须提供制造商资格声明原件和投标产品制造商出具的《独家授权销售及售后服务承诺函》原件）</w:t>
      </w:r>
      <w:bookmarkEnd w:id="675"/>
      <w:bookmarkEnd w:id="676"/>
      <w:bookmarkEnd w:id="677"/>
      <w:bookmarkEnd w:id="678"/>
      <w:bookmarkEnd w:id="679"/>
      <w:bookmarkEnd w:id="680"/>
    </w:p>
    <w:p w14:paraId="1C485C55">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制造商资格声明</w:t>
      </w:r>
    </w:p>
    <w:p w14:paraId="0F3D953D">
      <w:pPr>
        <w:snapToGrid w:val="0"/>
        <w:spacing w:line="360" w:lineRule="auto"/>
        <w:outlineLvl w:val="9"/>
        <w:rPr>
          <w:rFonts w:hint="eastAsia" w:ascii="宋体" w:hAnsi="宋体" w:eastAsia="宋体" w:cs="宋体"/>
          <w:color w:val="auto"/>
          <w:sz w:val="21"/>
          <w:szCs w:val="21"/>
          <w:highlight w:val="none"/>
        </w:rPr>
      </w:pPr>
      <w:bookmarkStart w:id="688" w:name="_Toc9517"/>
      <w:bookmarkStart w:id="689" w:name="_Toc22921"/>
      <w:r>
        <w:rPr>
          <w:rFonts w:hint="eastAsia" w:ascii="宋体" w:hAnsi="宋体" w:eastAsia="宋体" w:cs="宋体"/>
          <w:color w:val="auto"/>
          <w:sz w:val="21"/>
          <w:szCs w:val="21"/>
          <w:highlight w:val="none"/>
        </w:rPr>
        <w:t>1、名称及概况：</w:t>
      </w:r>
      <w:bookmarkEnd w:id="688"/>
      <w:bookmarkEnd w:id="689"/>
    </w:p>
    <w:p w14:paraId="3D9B0889">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（1）制造商名称：</w:t>
      </w:r>
      <w:r>
        <w:rPr>
          <w:rFonts w:hint="eastAsia" w:ascii="宋体" w:hAnsi="宋体" w:eastAsia="宋体" w:cs="宋体"/>
          <w:color w:val="auto"/>
          <w:sz w:val="21"/>
          <w:szCs w:val="21"/>
          <w:highlight w:val="none"/>
          <w:u w:val="single"/>
        </w:rPr>
        <w:t xml:space="preserve">                                            </w:t>
      </w:r>
    </w:p>
    <w:p w14:paraId="0078CCCA">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856A68D">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14:paraId="57AD2213">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（4）成立和/或注册日期：</w:t>
      </w:r>
      <w:r>
        <w:rPr>
          <w:rFonts w:hint="eastAsia" w:ascii="宋体" w:hAnsi="宋体" w:eastAsia="宋体" w:cs="宋体"/>
          <w:color w:val="auto"/>
          <w:sz w:val="21"/>
          <w:szCs w:val="21"/>
          <w:highlight w:val="none"/>
          <w:u w:val="single"/>
        </w:rPr>
        <w:t xml:space="preserve">                                     </w:t>
      </w:r>
    </w:p>
    <w:p w14:paraId="4B2E31F8">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（5）实收资本：</w:t>
      </w:r>
      <w:r>
        <w:rPr>
          <w:rFonts w:hint="eastAsia" w:ascii="宋体" w:hAnsi="宋体" w:eastAsia="宋体" w:cs="宋体"/>
          <w:color w:val="auto"/>
          <w:sz w:val="21"/>
          <w:szCs w:val="21"/>
          <w:highlight w:val="none"/>
          <w:u w:val="single"/>
        </w:rPr>
        <w:t xml:space="preserve">                                              </w:t>
      </w:r>
    </w:p>
    <w:p w14:paraId="21938DF0">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（6）法定代表人姓名：</w:t>
      </w:r>
      <w:r>
        <w:rPr>
          <w:rFonts w:hint="eastAsia" w:ascii="宋体" w:hAnsi="宋体" w:eastAsia="宋体" w:cs="宋体"/>
          <w:color w:val="auto"/>
          <w:sz w:val="21"/>
          <w:szCs w:val="21"/>
          <w:highlight w:val="none"/>
          <w:u w:val="single"/>
        </w:rPr>
        <w:t xml:space="preserve">                                        </w:t>
      </w:r>
    </w:p>
    <w:p w14:paraId="0DAA72C0">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（7）制造商代表姓名、联系电话和地址：</w:t>
      </w:r>
      <w:r>
        <w:rPr>
          <w:rFonts w:hint="eastAsia" w:ascii="宋体" w:hAnsi="宋体" w:eastAsia="宋体" w:cs="宋体"/>
          <w:color w:val="auto"/>
          <w:sz w:val="21"/>
          <w:szCs w:val="21"/>
          <w:highlight w:val="none"/>
          <w:u w:val="single"/>
        </w:rPr>
        <w:t xml:space="preserve">                        </w:t>
      </w:r>
    </w:p>
    <w:p w14:paraId="12ECB233">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（8）投标产品名称及品牌：</w:t>
      </w:r>
      <w:r>
        <w:rPr>
          <w:rFonts w:hint="eastAsia" w:ascii="宋体" w:hAnsi="宋体" w:eastAsia="宋体" w:cs="宋体"/>
          <w:color w:val="auto"/>
          <w:sz w:val="21"/>
          <w:szCs w:val="21"/>
          <w:highlight w:val="none"/>
          <w:u w:val="single"/>
        </w:rPr>
        <w:t xml:space="preserve">                                    </w:t>
      </w:r>
    </w:p>
    <w:p w14:paraId="28290C19">
      <w:pPr>
        <w:snapToGrid w:val="0"/>
        <w:spacing w:line="360" w:lineRule="auto"/>
        <w:outlineLvl w:val="9"/>
        <w:rPr>
          <w:rFonts w:hint="eastAsia" w:ascii="宋体" w:hAnsi="宋体" w:eastAsia="宋体" w:cs="宋体"/>
          <w:color w:val="auto"/>
          <w:sz w:val="21"/>
          <w:szCs w:val="21"/>
          <w:highlight w:val="none"/>
        </w:rPr>
      </w:pPr>
      <w:bookmarkStart w:id="690" w:name="_Toc766"/>
      <w:bookmarkStart w:id="691" w:name="_Toc16365"/>
      <w:r>
        <w:rPr>
          <w:rFonts w:hint="eastAsia" w:ascii="宋体" w:hAnsi="宋体" w:eastAsia="宋体" w:cs="宋体"/>
          <w:color w:val="auto"/>
          <w:sz w:val="21"/>
          <w:szCs w:val="21"/>
          <w:highlight w:val="none"/>
        </w:rPr>
        <w:t>2、制造投标货物的主要设备、设施及有关情况：</w:t>
      </w:r>
      <w:bookmarkEnd w:id="690"/>
      <w:bookmarkEnd w:id="691"/>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763"/>
        <w:gridCol w:w="2450"/>
        <w:gridCol w:w="1325"/>
        <w:gridCol w:w="1288"/>
        <w:gridCol w:w="1225"/>
      </w:tblGrid>
      <w:tr w14:paraId="3B2B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730" w:type="dxa"/>
            <w:noWrap w:val="0"/>
            <w:vAlign w:val="center"/>
          </w:tcPr>
          <w:p w14:paraId="5200F4E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63" w:type="dxa"/>
            <w:noWrap w:val="0"/>
            <w:vAlign w:val="center"/>
          </w:tcPr>
          <w:p w14:paraId="1326575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2450" w:type="dxa"/>
            <w:noWrap w:val="0"/>
            <w:vAlign w:val="center"/>
          </w:tcPr>
          <w:p w14:paraId="0A67BB9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主要生产（存储、运输）设备设施名称及数量</w:t>
            </w:r>
          </w:p>
        </w:tc>
        <w:tc>
          <w:tcPr>
            <w:tcW w:w="1325" w:type="dxa"/>
            <w:noWrap w:val="0"/>
            <w:vAlign w:val="center"/>
          </w:tcPr>
          <w:p w14:paraId="052ABC1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88" w:type="dxa"/>
            <w:noWrap w:val="0"/>
            <w:vAlign w:val="center"/>
          </w:tcPr>
          <w:p w14:paraId="77C820C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25" w:type="dxa"/>
            <w:noWrap w:val="0"/>
            <w:vAlign w:val="center"/>
          </w:tcPr>
          <w:p w14:paraId="7929C6B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7FFF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1730" w:type="dxa"/>
            <w:noWrap w:val="0"/>
            <w:vAlign w:val="center"/>
          </w:tcPr>
          <w:p w14:paraId="7889EADC">
            <w:pPr>
              <w:snapToGrid w:val="0"/>
              <w:spacing w:line="360" w:lineRule="auto"/>
              <w:jc w:val="center"/>
              <w:rPr>
                <w:rFonts w:hint="eastAsia" w:ascii="宋体" w:hAnsi="宋体" w:eastAsia="宋体" w:cs="宋体"/>
                <w:color w:val="auto"/>
                <w:sz w:val="21"/>
                <w:szCs w:val="21"/>
                <w:highlight w:val="none"/>
              </w:rPr>
            </w:pPr>
          </w:p>
        </w:tc>
        <w:tc>
          <w:tcPr>
            <w:tcW w:w="1763" w:type="dxa"/>
            <w:noWrap w:val="0"/>
            <w:vAlign w:val="center"/>
          </w:tcPr>
          <w:p w14:paraId="3E7CDF4D">
            <w:pPr>
              <w:snapToGrid w:val="0"/>
              <w:spacing w:line="360" w:lineRule="auto"/>
              <w:jc w:val="center"/>
              <w:rPr>
                <w:rFonts w:hint="eastAsia" w:ascii="宋体" w:hAnsi="宋体" w:eastAsia="宋体" w:cs="宋体"/>
                <w:color w:val="auto"/>
                <w:sz w:val="21"/>
                <w:szCs w:val="21"/>
                <w:highlight w:val="none"/>
              </w:rPr>
            </w:pPr>
          </w:p>
        </w:tc>
        <w:tc>
          <w:tcPr>
            <w:tcW w:w="2450" w:type="dxa"/>
            <w:noWrap w:val="0"/>
            <w:vAlign w:val="center"/>
          </w:tcPr>
          <w:p w14:paraId="67222DD5">
            <w:pPr>
              <w:snapToGrid w:val="0"/>
              <w:spacing w:line="360" w:lineRule="auto"/>
              <w:jc w:val="center"/>
              <w:rPr>
                <w:rFonts w:hint="eastAsia" w:ascii="宋体" w:hAnsi="宋体" w:eastAsia="宋体" w:cs="宋体"/>
                <w:color w:val="auto"/>
                <w:sz w:val="21"/>
                <w:szCs w:val="21"/>
                <w:highlight w:val="none"/>
              </w:rPr>
            </w:pPr>
          </w:p>
        </w:tc>
        <w:tc>
          <w:tcPr>
            <w:tcW w:w="1325" w:type="dxa"/>
            <w:noWrap w:val="0"/>
            <w:vAlign w:val="center"/>
          </w:tcPr>
          <w:p w14:paraId="4CA3283B">
            <w:pPr>
              <w:snapToGrid w:val="0"/>
              <w:spacing w:line="360" w:lineRule="auto"/>
              <w:jc w:val="center"/>
              <w:rPr>
                <w:rFonts w:hint="eastAsia" w:ascii="宋体" w:hAnsi="宋体" w:eastAsia="宋体" w:cs="宋体"/>
                <w:color w:val="auto"/>
                <w:sz w:val="21"/>
                <w:szCs w:val="21"/>
                <w:highlight w:val="none"/>
              </w:rPr>
            </w:pPr>
          </w:p>
        </w:tc>
        <w:tc>
          <w:tcPr>
            <w:tcW w:w="1288" w:type="dxa"/>
            <w:noWrap w:val="0"/>
            <w:vAlign w:val="center"/>
          </w:tcPr>
          <w:p w14:paraId="5210FACD">
            <w:pPr>
              <w:snapToGrid w:val="0"/>
              <w:spacing w:line="360" w:lineRule="auto"/>
              <w:jc w:val="center"/>
              <w:rPr>
                <w:rFonts w:hint="eastAsia" w:ascii="宋体" w:hAnsi="宋体" w:eastAsia="宋体" w:cs="宋体"/>
                <w:color w:val="auto"/>
                <w:sz w:val="21"/>
                <w:szCs w:val="21"/>
                <w:highlight w:val="none"/>
              </w:rPr>
            </w:pPr>
          </w:p>
        </w:tc>
        <w:tc>
          <w:tcPr>
            <w:tcW w:w="1225" w:type="dxa"/>
            <w:noWrap w:val="0"/>
            <w:vAlign w:val="center"/>
          </w:tcPr>
          <w:p w14:paraId="38E6C1B0">
            <w:pPr>
              <w:snapToGrid w:val="0"/>
              <w:spacing w:line="360" w:lineRule="auto"/>
              <w:jc w:val="center"/>
              <w:rPr>
                <w:rFonts w:hint="eastAsia" w:ascii="宋体" w:hAnsi="宋体" w:eastAsia="宋体" w:cs="宋体"/>
                <w:color w:val="auto"/>
                <w:sz w:val="21"/>
                <w:szCs w:val="21"/>
                <w:highlight w:val="none"/>
              </w:rPr>
            </w:pPr>
          </w:p>
        </w:tc>
      </w:tr>
      <w:tr w14:paraId="4D4F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730" w:type="dxa"/>
            <w:noWrap w:val="0"/>
            <w:vAlign w:val="center"/>
          </w:tcPr>
          <w:p w14:paraId="2EFAB70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63" w:type="dxa"/>
            <w:noWrap w:val="0"/>
            <w:vAlign w:val="center"/>
          </w:tcPr>
          <w:p w14:paraId="4E132408">
            <w:pPr>
              <w:snapToGrid w:val="0"/>
              <w:spacing w:line="360" w:lineRule="auto"/>
              <w:jc w:val="center"/>
              <w:rPr>
                <w:rFonts w:hint="eastAsia" w:ascii="宋体" w:hAnsi="宋体" w:eastAsia="宋体" w:cs="宋体"/>
                <w:color w:val="auto"/>
                <w:sz w:val="21"/>
                <w:szCs w:val="21"/>
                <w:highlight w:val="none"/>
              </w:rPr>
            </w:pPr>
          </w:p>
        </w:tc>
        <w:tc>
          <w:tcPr>
            <w:tcW w:w="2450" w:type="dxa"/>
            <w:noWrap w:val="0"/>
            <w:vAlign w:val="center"/>
          </w:tcPr>
          <w:p w14:paraId="5BAB6FB4">
            <w:pPr>
              <w:snapToGrid w:val="0"/>
              <w:spacing w:line="360" w:lineRule="auto"/>
              <w:jc w:val="center"/>
              <w:rPr>
                <w:rFonts w:hint="eastAsia" w:ascii="宋体" w:hAnsi="宋体" w:eastAsia="宋体" w:cs="宋体"/>
                <w:color w:val="auto"/>
                <w:sz w:val="21"/>
                <w:szCs w:val="21"/>
                <w:highlight w:val="none"/>
              </w:rPr>
            </w:pPr>
          </w:p>
        </w:tc>
        <w:tc>
          <w:tcPr>
            <w:tcW w:w="1325" w:type="dxa"/>
            <w:noWrap w:val="0"/>
            <w:vAlign w:val="center"/>
          </w:tcPr>
          <w:p w14:paraId="1ACF7D8F">
            <w:pPr>
              <w:snapToGrid w:val="0"/>
              <w:spacing w:line="360" w:lineRule="auto"/>
              <w:jc w:val="center"/>
              <w:rPr>
                <w:rFonts w:hint="eastAsia" w:ascii="宋体" w:hAnsi="宋体" w:eastAsia="宋体" w:cs="宋体"/>
                <w:color w:val="auto"/>
                <w:sz w:val="21"/>
                <w:szCs w:val="21"/>
                <w:highlight w:val="none"/>
              </w:rPr>
            </w:pPr>
          </w:p>
        </w:tc>
        <w:tc>
          <w:tcPr>
            <w:tcW w:w="1288" w:type="dxa"/>
            <w:noWrap w:val="0"/>
            <w:vAlign w:val="center"/>
          </w:tcPr>
          <w:p w14:paraId="74F5C761">
            <w:pPr>
              <w:snapToGrid w:val="0"/>
              <w:spacing w:line="360" w:lineRule="auto"/>
              <w:jc w:val="center"/>
              <w:rPr>
                <w:rFonts w:hint="eastAsia" w:ascii="宋体" w:hAnsi="宋体" w:eastAsia="宋体" w:cs="宋体"/>
                <w:color w:val="auto"/>
                <w:sz w:val="21"/>
                <w:szCs w:val="21"/>
                <w:highlight w:val="none"/>
              </w:rPr>
            </w:pPr>
          </w:p>
        </w:tc>
        <w:tc>
          <w:tcPr>
            <w:tcW w:w="1225" w:type="dxa"/>
            <w:noWrap w:val="0"/>
            <w:vAlign w:val="center"/>
          </w:tcPr>
          <w:p w14:paraId="0DA5C306">
            <w:pPr>
              <w:snapToGrid w:val="0"/>
              <w:spacing w:line="360" w:lineRule="auto"/>
              <w:jc w:val="center"/>
              <w:rPr>
                <w:rFonts w:hint="eastAsia" w:ascii="宋体" w:hAnsi="宋体" w:eastAsia="宋体" w:cs="宋体"/>
                <w:color w:val="auto"/>
                <w:sz w:val="21"/>
                <w:szCs w:val="21"/>
                <w:highlight w:val="none"/>
              </w:rPr>
            </w:pPr>
          </w:p>
        </w:tc>
      </w:tr>
    </w:tbl>
    <w:p w14:paraId="75B25E8E">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3、投标货物中本制造商不生产，而需从其它制造商购买的主要材料：</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3"/>
        <w:gridCol w:w="3400"/>
        <w:gridCol w:w="2988"/>
      </w:tblGrid>
      <w:tr w14:paraId="0973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93" w:type="dxa"/>
            <w:noWrap w:val="0"/>
            <w:vAlign w:val="center"/>
          </w:tcPr>
          <w:p w14:paraId="78B52AF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主要材料名称</w:t>
            </w:r>
          </w:p>
        </w:tc>
        <w:tc>
          <w:tcPr>
            <w:tcW w:w="3400" w:type="dxa"/>
            <w:noWrap w:val="0"/>
            <w:vAlign w:val="center"/>
          </w:tcPr>
          <w:p w14:paraId="127DCD4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2988" w:type="dxa"/>
            <w:noWrap w:val="0"/>
            <w:vAlign w:val="center"/>
          </w:tcPr>
          <w:p w14:paraId="30514878">
            <w:pPr>
              <w:snapToGrid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5D19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93" w:type="dxa"/>
            <w:noWrap w:val="0"/>
            <w:vAlign w:val="center"/>
          </w:tcPr>
          <w:p w14:paraId="032A251F">
            <w:pPr>
              <w:snapToGrid w:val="0"/>
              <w:spacing w:line="360" w:lineRule="auto"/>
              <w:jc w:val="center"/>
              <w:rPr>
                <w:rFonts w:hint="eastAsia" w:ascii="宋体" w:hAnsi="宋体" w:eastAsia="宋体" w:cs="宋体"/>
                <w:color w:val="auto"/>
                <w:sz w:val="21"/>
                <w:szCs w:val="21"/>
                <w:highlight w:val="none"/>
              </w:rPr>
            </w:pPr>
          </w:p>
        </w:tc>
        <w:tc>
          <w:tcPr>
            <w:tcW w:w="3400" w:type="dxa"/>
            <w:noWrap w:val="0"/>
            <w:vAlign w:val="center"/>
          </w:tcPr>
          <w:p w14:paraId="6CAD5C98">
            <w:pPr>
              <w:snapToGrid w:val="0"/>
              <w:spacing w:line="360" w:lineRule="auto"/>
              <w:jc w:val="center"/>
              <w:rPr>
                <w:rFonts w:hint="eastAsia" w:ascii="宋体" w:hAnsi="宋体" w:eastAsia="宋体" w:cs="宋体"/>
                <w:color w:val="auto"/>
                <w:sz w:val="21"/>
                <w:szCs w:val="21"/>
                <w:highlight w:val="none"/>
              </w:rPr>
            </w:pPr>
          </w:p>
        </w:tc>
        <w:tc>
          <w:tcPr>
            <w:tcW w:w="2988" w:type="dxa"/>
            <w:noWrap w:val="0"/>
            <w:vAlign w:val="center"/>
          </w:tcPr>
          <w:p w14:paraId="481E471F">
            <w:pPr>
              <w:snapToGrid w:val="0"/>
              <w:spacing w:line="360" w:lineRule="auto"/>
              <w:jc w:val="center"/>
              <w:rPr>
                <w:rFonts w:hint="eastAsia" w:ascii="宋体" w:hAnsi="宋体" w:eastAsia="宋体" w:cs="宋体"/>
                <w:color w:val="auto"/>
                <w:sz w:val="21"/>
                <w:szCs w:val="21"/>
                <w:highlight w:val="none"/>
              </w:rPr>
            </w:pPr>
          </w:p>
        </w:tc>
      </w:tr>
      <w:tr w14:paraId="1781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93" w:type="dxa"/>
            <w:noWrap w:val="0"/>
            <w:vAlign w:val="center"/>
          </w:tcPr>
          <w:p w14:paraId="5EDE28C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400" w:type="dxa"/>
            <w:noWrap w:val="0"/>
            <w:vAlign w:val="center"/>
          </w:tcPr>
          <w:p w14:paraId="774D90CD">
            <w:pPr>
              <w:snapToGrid w:val="0"/>
              <w:spacing w:line="360" w:lineRule="auto"/>
              <w:jc w:val="center"/>
              <w:rPr>
                <w:rFonts w:hint="eastAsia" w:ascii="宋体" w:hAnsi="宋体" w:eastAsia="宋体" w:cs="宋体"/>
                <w:color w:val="auto"/>
                <w:sz w:val="21"/>
                <w:szCs w:val="21"/>
                <w:highlight w:val="none"/>
              </w:rPr>
            </w:pPr>
          </w:p>
        </w:tc>
        <w:tc>
          <w:tcPr>
            <w:tcW w:w="2988" w:type="dxa"/>
            <w:noWrap w:val="0"/>
            <w:vAlign w:val="center"/>
          </w:tcPr>
          <w:p w14:paraId="0470E9BA">
            <w:pPr>
              <w:snapToGrid w:val="0"/>
              <w:spacing w:line="360" w:lineRule="auto"/>
              <w:jc w:val="center"/>
              <w:rPr>
                <w:rFonts w:hint="eastAsia" w:ascii="宋体" w:hAnsi="宋体" w:eastAsia="宋体" w:cs="宋体"/>
                <w:color w:val="auto"/>
                <w:sz w:val="21"/>
                <w:szCs w:val="21"/>
                <w:highlight w:val="none"/>
              </w:rPr>
            </w:pPr>
          </w:p>
        </w:tc>
      </w:tr>
    </w:tbl>
    <w:p w14:paraId="3E0CC535">
      <w:pPr>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3"/>
        <w:gridCol w:w="3400"/>
        <w:gridCol w:w="3000"/>
      </w:tblGrid>
      <w:tr w14:paraId="7217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393" w:type="dxa"/>
            <w:noWrap w:val="0"/>
            <w:vAlign w:val="center"/>
          </w:tcPr>
          <w:p w14:paraId="2ACAA7D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400" w:type="dxa"/>
            <w:noWrap w:val="0"/>
            <w:vAlign w:val="center"/>
          </w:tcPr>
          <w:p w14:paraId="5C82BE25">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00" w:type="dxa"/>
            <w:noWrap w:val="0"/>
            <w:vAlign w:val="center"/>
          </w:tcPr>
          <w:p w14:paraId="48015B20">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63DE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3" w:type="dxa"/>
            <w:noWrap w:val="0"/>
            <w:vAlign w:val="center"/>
          </w:tcPr>
          <w:p w14:paraId="3153E65B">
            <w:pPr>
              <w:snapToGrid w:val="0"/>
              <w:spacing w:line="360" w:lineRule="auto"/>
              <w:jc w:val="center"/>
              <w:rPr>
                <w:rFonts w:hint="eastAsia" w:ascii="宋体" w:hAnsi="宋体" w:eastAsia="宋体" w:cs="宋体"/>
                <w:color w:val="auto"/>
                <w:sz w:val="21"/>
                <w:szCs w:val="21"/>
                <w:highlight w:val="none"/>
              </w:rPr>
            </w:pPr>
          </w:p>
        </w:tc>
        <w:tc>
          <w:tcPr>
            <w:tcW w:w="3400" w:type="dxa"/>
            <w:noWrap w:val="0"/>
            <w:vAlign w:val="center"/>
          </w:tcPr>
          <w:p w14:paraId="436D6837">
            <w:pPr>
              <w:snapToGrid w:val="0"/>
              <w:spacing w:line="360" w:lineRule="auto"/>
              <w:ind w:left="342"/>
              <w:jc w:val="center"/>
              <w:rPr>
                <w:rFonts w:hint="eastAsia" w:ascii="宋体" w:hAnsi="宋体" w:eastAsia="宋体" w:cs="宋体"/>
                <w:snapToGrid w:val="0"/>
                <w:color w:val="auto"/>
                <w:sz w:val="21"/>
                <w:szCs w:val="21"/>
                <w:highlight w:val="none"/>
              </w:rPr>
            </w:pPr>
          </w:p>
        </w:tc>
        <w:tc>
          <w:tcPr>
            <w:tcW w:w="3000" w:type="dxa"/>
            <w:noWrap w:val="0"/>
            <w:vAlign w:val="center"/>
          </w:tcPr>
          <w:p w14:paraId="3B800F43">
            <w:pPr>
              <w:snapToGrid w:val="0"/>
              <w:spacing w:line="360" w:lineRule="auto"/>
              <w:ind w:left="342"/>
              <w:jc w:val="center"/>
              <w:rPr>
                <w:rFonts w:hint="eastAsia" w:ascii="宋体" w:hAnsi="宋体" w:eastAsia="宋体" w:cs="宋体"/>
                <w:snapToGrid w:val="0"/>
                <w:color w:val="auto"/>
                <w:sz w:val="21"/>
                <w:szCs w:val="21"/>
                <w:highlight w:val="none"/>
              </w:rPr>
            </w:pPr>
          </w:p>
        </w:tc>
      </w:tr>
      <w:tr w14:paraId="2AD4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93" w:type="dxa"/>
            <w:noWrap w:val="0"/>
            <w:vAlign w:val="center"/>
          </w:tcPr>
          <w:p w14:paraId="669AD39B">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400" w:type="dxa"/>
            <w:noWrap w:val="0"/>
            <w:vAlign w:val="center"/>
          </w:tcPr>
          <w:p w14:paraId="0F4AFCBC">
            <w:pPr>
              <w:snapToGrid w:val="0"/>
              <w:spacing w:line="360" w:lineRule="auto"/>
              <w:ind w:left="357"/>
              <w:jc w:val="center"/>
              <w:rPr>
                <w:rFonts w:hint="eastAsia" w:ascii="宋体" w:hAnsi="宋体" w:eastAsia="宋体" w:cs="宋体"/>
                <w:snapToGrid w:val="0"/>
                <w:color w:val="auto"/>
                <w:sz w:val="21"/>
                <w:szCs w:val="21"/>
                <w:highlight w:val="none"/>
              </w:rPr>
            </w:pPr>
          </w:p>
        </w:tc>
        <w:tc>
          <w:tcPr>
            <w:tcW w:w="3000" w:type="dxa"/>
            <w:noWrap w:val="0"/>
            <w:vAlign w:val="center"/>
          </w:tcPr>
          <w:p w14:paraId="1A12AF2D">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62162B06">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5、生产及管理人员</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265"/>
        <w:gridCol w:w="800"/>
        <w:gridCol w:w="1725"/>
        <w:gridCol w:w="900"/>
      </w:tblGrid>
      <w:tr w14:paraId="2D55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trPr>
        <w:tc>
          <w:tcPr>
            <w:tcW w:w="666" w:type="dxa"/>
            <w:noWrap w:val="0"/>
            <w:vAlign w:val="center"/>
          </w:tcPr>
          <w:p w14:paraId="3DE0D81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96" w:type="dxa"/>
            <w:noWrap w:val="0"/>
            <w:vAlign w:val="center"/>
          </w:tcPr>
          <w:p w14:paraId="6C73419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92" w:type="dxa"/>
            <w:noWrap w:val="0"/>
            <w:vAlign w:val="center"/>
          </w:tcPr>
          <w:p w14:paraId="18E699C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92" w:type="dxa"/>
            <w:noWrap w:val="0"/>
            <w:vAlign w:val="center"/>
          </w:tcPr>
          <w:p w14:paraId="434FDCE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692" w:type="dxa"/>
            <w:noWrap w:val="0"/>
            <w:vAlign w:val="center"/>
          </w:tcPr>
          <w:p w14:paraId="54D5044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165" w:type="dxa"/>
            <w:noWrap w:val="0"/>
            <w:vAlign w:val="center"/>
          </w:tcPr>
          <w:p w14:paraId="590D0AB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所学专业</w:t>
            </w:r>
          </w:p>
        </w:tc>
        <w:tc>
          <w:tcPr>
            <w:tcW w:w="1265" w:type="dxa"/>
            <w:noWrap w:val="0"/>
            <w:vAlign w:val="center"/>
          </w:tcPr>
          <w:p w14:paraId="2E6B006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资格/职称证书</w:t>
            </w:r>
          </w:p>
        </w:tc>
        <w:tc>
          <w:tcPr>
            <w:tcW w:w="800" w:type="dxa"/>
            <w:noWrap w:val="0"/>
            <w:vAlign w:val="center"/>
          </w:tcPr>
          <w:p w14:paraId="7DC853B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725" w:type="dxa"/>
            <w:noWrap w:val="0"/>
            <w:vAlign w:val="center"/>
          </w:tcPr>
          <w:p w14:paraId="0EEFE30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900" w:type="dxa"/>
            <w:noWrap w:val="0"/>
            <w:vAlign w:val="center"/>
          </w:tcPr>
          <w:p w14:paraId="0E39944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618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66" w:type="dxa"/>
            <w:noWrap w:val="0"/>
            <w:vAlign w:val="center"/>
          </w:tcPr>
          <w:p w14:paraId="652EE7F3">
            <w:pPr>
              <w:snapToGrid w:val="0"/>
              <w:spacing w:line="360" w:lineRule="auto"/>
              <w:jc w:val="center"/>
              <w:rPr>
                <w:rFonts w:hint="eastAsia" w:ascii="宋体" w:hAnsi="宋体" w:eastAsia="宋体" w:cs="宋体"/>
                <w:color w:val="auto"/>
                <w:sz w:val="21"/>
                <w:szCs w:val="21"/>
                <w:highlight w:val="none"/>
              </w:rPr>
            </w:pPr>
          </w:p>
        </w:tc>
        <w:tc>
          <w:tcPr>
            <w:tcW w:w="1196" w:type="dxa"/>
            <w:noWrap w:val="0"/>
            <w:vAlign w:val="center"/>
          </w:tcPr>
          <w:p w14:paraId="040DE5AB">
            <w:pPr>
              <w:snapToGrid w:val="0"/>
              <w:spacing w:line="360" w:lineRule="auto"/>
              <w:jc w:val="center"/>
              <w:rPr>
                <w:rFonts w:hint="eastAsia" w:ascii="宋体" w:hAnsi="宋体" w:eastAsia="宋体" w:cs="宋体"/>
                <w:color w:val="auto"/>
                <w:sz w:val="21"/>
                <w:szCs w:val="21"/>
                <w:highlight w:val="none"/>
              </w:rPr>
            </w:pPr>
          </w:p>
        </w:tc>
        <w:tc>
          <w:tcPr>
            <w:tcW w:w="692" w:type="dxa"/>
            <w:noWrap w:val="0"/>
            <w:vAlign w:val="center"/>
          </w:tcPr>
          <w:p w14:paraId="4DBD3FF1">
            <w:pPr>
              <w:snapToGrid w:val="0"/>
              <w:spacing w:line="360" w:lineRule="auto"/>
              <w:jc w:val="center"/>
              <w:rPr>
                <w:rFonts w:hint="eastAsia" w:ascii="宋体" w:hAnsi="宋体" w:eastAsia="宋体" w:cs="宋体"/>
                <w:color w:val="auto"/>
                <w:sz w:val="21"/>
                <w:szCs w:val="21"/>
                <w:highlight w:val="none"/>
              </w:rPr>
            </w:pPr>
          </w:p>
        </w:tc>
        <w:tc>
          <w:tcPr>
            <w:tcW w:w="692" w:type="dxa"/>
            <w:noWrap w:val="0"/>
            <w:vAlign w:val="center"/>
          </w:tcPr>
          <w:p w14:paraId="626C3130">
            <w:pPr>
              <w:snapToGrid w:val="0"/>
              <w:spacing w:line="360" w:lineRule="auto"/>
              <w:jc w:val="center"/>
              <w:rPr>
                <w:rFonts w:hint="eastAsia" w:ascii="宋体" w:hAnsi="宋体" w:eastAsia="宋体" w:cs="宋体"/>
                <w:color w:val="auto"/>
                <w:sz w:val="21"/>
                <w:szCs w:val="21"/>
                <w:highlight w:val="none"/>
              </w:rPr>
            </w:pPr>
          </w:p>
        </w:tc>
        <w:tc>
          <w:tcPr>
            <w:tcW w:w="692" w:type="dxa"/>
            <w:noWrap w:val="0"/>
            <w:vAlign w:val="center"/>
          </w:tcPr>
          <w:p w14:paraId="3792810F">
            <w:pPr>
              <w:snapToGrid w:val="0"/>
              <w:spacing w:line="360" w:lineRule="auto"/>
              <w:jc w:val="center"/>
              <w:rPr>
                <w:rFonts w:hint="eastAsia" w:ascii="宋体" w:hAnsi="宋体" w:eastAsia="宋体" w:cs="宋体"/>
                <w:color w:val="auto"/>
                <w:sz w:val="21"/>
                <w:szCs w:val="21"/>
                <w:highlight w:val="none"/>
              </w:rPr>
            </w:pPr>
          </w:p>
        </w:tc>
        <w:tc>
          <w:tcPr>
            <w:tcW w:w="1165" w:type="dxa"/>
            <w:noWrap w:val="0"/>
            <w:vAlign w:val="center"/>
          </w:tcPr>
          <w:p w14:paraId="2E2A32D2">
            <w:pPr>
              <w:snapToGrid w:val="0"/>
              <w:spacing w:line="360" w:lineRule="auto"/>
              <w:jc w:val="center"/>
              <w:rPr>
                <w:rFonts w:hint="eastAsia" w:ascii="宋体" w:hAnsi="宋体" w:eastAsia="宋体" w:cs="宋体"/>
                <w:color w:val="auto"/>
                <w:sz w:val="21"/>
                <w:szCs w:val="21"/>
                <w:highlight w:val="none"/>
              </w:rPr>
            </w:pPr>
          </w:p>
        </w:tc>
        <w:tc>
          <w:tcPr>
            <w:tcW w:w="1265" w:type="dxa"/>
            <w:noWrap w:val="0"/>
            <w:vAlign w:val="center"/>
          </w:tcPr>
          <w:p w14:paraId="0DDF5991">
            <w:pPr>
              <w:snapToGrid w:val="0"/>
              <w:spacing w:line="360" w:lineRule="auto"/>
              <w:jc w:val="center"/>
              <w:rPr>
                <w:rFonts w:hint="eastAsia" w:ascii="宋体" w:hAnsi="宋体" w:eastAsia="宋体" w:cs="宋体"/>
                <w:color w:val="auto"/>
                <w:sz w:val="21"/>
                <w:szCs w:val="21"/>
                <w:highlight w:val="none"/>
              </w:rPr>
            </w:pPr>
          </w:p>
        </w:tc>
        <w:tc>
          <w:tcPr>
            <w:tcW w:w="800" w:type="dxa"/>
            <w:noWrap w:val="0"/>
            <w:vAlign w:val="center"/>
          </w:tcPr>
          <w:p w14:paraId="663BBE0D">
            <w:pPr>
              <w:snapToGrid w:val="0"/>
              <w:spacing w:line="360" w:lineRule="auto"/>
              <w:jc w:val="center"/>
              <w:rPr>
                <w:rFonts w:hint="eastAsia" w:ascii="宋体" w:hAnsi="宋体" w:eastAsia="宋体" w:cs="宋体"/>
                <w:color w:val="auto"/>
                <w:sz w:val="21"/>
                <w:szCs w:val="21"/>
                <w:highlight w:val="none"/>
              </w:rPr>
            </w:pPr>
          </w:p>
        </w:tc>
        <w:tc>
          <w:tcPr>
            <w:tcW w:w="1725" w:type="dxa"/>
            <w:noWrap w:val="0"/>
            <w:vAlign w:val="center"/>
          </w:tcPr>
          <w:p w14:paraId="5D73ECAF">
            <w:pPr>
              <w:snapToGrid w:val="0"/>
              <w:spacing w:line="360" w:lineRule="auto"/>
              <w:jc w:val="center"/>
              <w:rPr>
                <w:rFonts w:hint="eastAsia" w:ascii="宋体" w:hAnsi="宋体" w:eastAsia="宋体" w:cs="宋体"/>
                <w:color w:val="auto"/>
                <w:sz w:val="21"/>
                <w:szCs w:val="21"/>
                <w:highlight w:val="none"/>
              </w:rPr>
            </w:pPr>
          </w:p>
        </w:tc>
        <w:tc>
          <w:tcPr>
            <w:tcW w:w="900" w:type="dxa"/>
            <w:noWrap w:val="0"/>
            <w:vAlign w:val="center"/>
          </w:tcPr>
          <w:p w14:paraId="4E042C38">
            <w:pPr>
              <w:snapToGrid w:val="0"/>
              <w:spacing w:line="360" w:lineRule="auto"/>
              <w:jc w:val="center"/>
              <w:rPr>
                <w:rFonts w:hint="eastAsia" w:ascii="宋体" w:hAnsi="宋体" w:eastAsia="宋体" w:cs="宋体"/>
                <w:color w:val="auto"/>
                <w:sz w:val="21"/>
                <w:szCs w:val="21"/>
                <w:highlight w:val="none"/>
              </w:rPr>
            </w:pPr>
          </w:p>
        </w:tc>
      </w:tr>
      <w:tr w14:paraId="5012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66" w:type="dxa"/>
            <w:noWrap w:val="0"/>
            <w:vAlign w:val="center"/>
          </w:tcPr>
          <w:p w14:paraId="3262C88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96" w:type="dxa"/>
            <w:noWrap w:val="0"/>
            <w:vAlign w:val="center"/>
          </w:tcPr>
          <w:p w14:paraId="5C1817AD">
            <w:pPr>
              <w:snapToGrid w:val="0"/>
              <w:spacing w:line="360" w:lineRule="auto"/>
              <w:jc w:val="center"/>
              <w:rPr>
                <w:rFonts w:hint="eastAsia" w:ascii="宋体" w:hAnsi="宋体" w:eastAsia="宋体" w:cs="宋体"/>
                <w:color w:val="auto"/>
                <w:sz w:val="21"/>
                <w:szCs w:val="21"/>
                <w:highlight w:val="none"/>
              </w:rPr>
            </w:pPr>
          </w:p>
        </w:tc>
        <w:tc>
          <w:tcPr>
            <w:tcW w:w="692" w:type="dxa"/>
            <w:noWrap w:val="0"/>
            <w:vAlign w:val="center"/>
          </w:tcPr>
          <w:p w14:paraId="1E9FC529">
            <w:pPr>
              <w:snapToGrid w:val="0"/>
              <w:spacing w:line="360" w:lineRule="auto"/>
              <w:jc w:val="center"/>
              <w:rPr>
                <w:rFonts w:hint="eastAsia" w:ascii="宋体" w:hAnsi="宋体" w:eastAsia="宋体" w:cs="宋体"/>
                <w:color w:val="auto"/>
                <w:sz w:val="21"/>
                <w:szCs w:val="21"/>
                <w:highlight w:val="none"/>
              </w:rPr>
            </w:pPr>
          </w:p>
        </w:tc>
        <w:tc>
          <w:tcPr>
            <w:tcW w:w="692" w:type="dxa"/>
            <w:noWrap w:val="0"/>
            <w:vAlign w:val="center"/>
          </w:tcPr>
          <w:p w14:paraId="182B4698">
            <w:pPr>
              <w:snapToGrid w:val="0"/>
              <w:spacing w:line="360" w:lineRule="auto"/>
              <w:jc w:val="center"/>
              <w:rPr>
                <w:rFonts w:hint="eastAsia" w:ascii="宋体" w:hAnsi="宋体" w:eastAsia="宋体" w:cs="宋体"/>
                <w:color w:val="auto"/>
                <w:sz w:val="21"/>
                <w:szCs w:val="21"/>
                <w:highlight w:val="none"/>
              </w:rPr>
            </w:pPr>
          </w:p>
        </w:tc>
        <w:tc>
          <w:tcPr>
            <w:tcW w:w="692" w:type="dxa"/>
            <w:noWrap w:val="0"/>
            <w:vAlign w:val="center"/>
          </w:tcPr>
          <w:p w14:paraId="386811F3">
            <w:pPr>
              <w:snapToGrid w:val="0"/>
              <w:spacing w:line="360" w:lineRule="auto"/>
              <w:jc w:val="center"/>
              <w:rPr>
                <w:rFonts w:hint="eastAsia" w:ascii="宋体" w:hAnsi="宋体" w:eastAsia="宋体" w:cs="宋体"/>
                <w:color w:val="auto"/>
                <w:sz w:val="21"/>
                <w:szCs w:val="21"/>
                <w:highlight w:val="none"/>
              </w:rPr>
            </w:pPr>
          </w:p>
        </w:tc>
        <w:tc>
          <w:tcPr>
            <w:tcW w:w="1165" w:type="dxa"/>
            <w:noWrap w:val="0"/>
            <w:vAlign w:val="center"/>
          </w:tcPr>
          <w:p w14:paraId="74395190">
            <w:pPr>
              <w:snapToGrid w:val="0"/>
              <w:spacing w:line="360" w:lineRule="auto"/>
              <w:jc w:val="center"/>
              <w:rPr>
                <w:rFonts w:hint="eastAsia" w:ascii="宋体" w:hAnsi="宋体" w:eastAsia="宋体" w:cs="宋体"/>
                <w:color w:val="auto"/>
                <w:sz w:val="21"/>
                <w:szCs w:val="21"/>
                <w:highlight w:val="none"/>
              </w:rPr>
            </w:pPr>
          </w:p>
        </w:tc>
        <w:tc>
          <w:tcPr>
            <w:tcW w:w="1265" w:type="dxa"/>
            <w:noWrap w:val="0"/>
            <w:vAlign w:val="center"/>
          </w:tcPr>
          <w:p w14:paraId="4D70381C">
            <w:pPr>
              <w:snapToGrid w:val="0"/>
              <w:spacing w:line="360" w:lineRule="auto"/>
              <w:jc w:val="center"/>
              <w:rPr>
                <w:rFonts w:hint="eastAsia" w:ascii="宋体" w:hAnsi="宋体" w:eastAsia="宋体" w:cs="宋体"/>
                <w:color w:val="auto"/>
                <w:sz w:val="21"/>
                <w:szCs w:val="21"/>
                <w:highlight w:val="none"/>
              </w:rPr>
            </w:pPr>
          </w:p>
        </w:tc>
        <w:tc>
          <w:tcPr>
            <w:tcW w:w="800" w:type="dxa"/>
            <w:noWrap w:val="0"/>
            <w:vAlign w:val="center"/>
          </w:tcPr>
          <w:p w14:paraId="0F0DED2E">
            <w:pPr>
              <w:snapToGrid w:val="0"/>
              <w:spacing w:line="360" w:lineRule="auto"/>
              <w:jc w:val="center"/>
              <w:rPr>
                <w:rFonts w:hint="eastAsia" w:ascii="宋体" w:hAnsi="宋体" w:eastAsia="宋体" w:cs="宋体"/>
                <w:color w:val="auto"/>
                <w:sz w:val="21"/>
                <w:szCs w:val="21"/>
                <w:highlight w:val="none"/>
              </w:rPr>
            </w:pPr>
          </w:p>
        </w:tc>
        <w:tc>
          <w:tcPr>
            <w:tcW w:w="1725" w:type="dxa"/>
            <w:noWrap w:val="0"/>
            <w:vAlign w:val="center"/>
          </w:tcPr>
          <w:p w14:paraId="69542834">
            <w:pPr>
              <w:snapToGrid w:val="0"/>
              <w:spacing w:line="360" w:lineRule="auto"/>
              <w:jc w:val="center"/>
              <w:rPr>
                <w:rFonts w:hint="eastAsia" w:ascii="宋体" w:hAnsi="宋体" w:eastAsia="宋体" w:cs="宋体"/>
                <w:color w:val="auto"/>
                <w:sz w:val="21"/>
                <w:szCs w:val="21"/>
                <w:highlight w:val="none"/>
              </w:rPr>
            </w:pPr>
          </w:p>
        </w:tc>
        <w:tc>
          <w:tcPr>
            <w:tcW w:w="900" w:type="dxa"/>
            <w:noWrap w:val="0"/>
            <w:vAlign w:val="center"/>
          </w:tcPr>
          <w:p w14:paraId="0ECBE48D">
            <w:pPr>
              <w:snapToGrid w:val="0"/>
              <w:spacing w:line="360" w:lineRule="auto"/>
              <w:jc w:val="center"/>
              <w:rPr>
                <w:rFonts w:hint="eastAsia" w:ascii="宋体" w:hAnsi="宋体" w:eastAsia="宋体" w:cs="宋体"/>
                <w:color w:val="auto"/>
                <w:sz w:val="21"/>
                <w:szCs w:val="21"/>
                <w:highlight w:val="none"/>
              </w:rPr>
            </w:pPr>
          </w:p>
        </w:tc>
      </w:tr>
    </w:tbl>
    <w:p w14:paraId="0086E70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6、其他情况：(公司简介、技术力量、本制造商生产投标货物的经验等)</w:t>
      </w:r>
    </w:p>
    <w:p w14:paraId="6056B931">
      <w:pPr>
        <w:pStyle w:val="20"/>
        <w:snapToGrid w:val="0"/>
        <w:spacing w:line="360" w:lineRule="auto"/>
        <w:ind w:left="0" w:leftChars="0"/>
        <w:rPr>
          <w:rFonts w:hint="eastAsia" w:ascii="宋体" w:hAnsi="宋体" w:eastAsia="宋体" w:cs="宋体"/>
          <w:color w:val="auto"/>
          <w:sz w:val="21"/>
          <w:szCs w:val="21"/>
          <w:highlight w:val="none"/>
        </w:rPr>
      </w:pPr>
    </w:p>
    <w:p w14:paraId="57B235A7">
      <w:pPr>
        <w:pStyle w:val="20"/>
        <w:snapToGrid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兹证明上述声明是真实的、正确的，并提供了全部能提供的资料和数据，我们同意遵照贵方要求出示有关证明文件。</w:t>
      </w:r>
    </w:p>
    <w:p w14:paraId="194B1141">
      <w:pPr>
        <w:pStyle w:val="20"/>
        <w:snapToGrid w:val="0"/>
        <w:spacing w:line="360" w:lineRule="auto"/>
        <w:ind w:left="0" w:leftChars="0"/>
        <w:rPr>
          <w:rFonts w:hint="eastAsia" w:ascii="宋体" w:hAnsi="宋体" w:eastAsia="宋体" w:cs="宋体"/>
          <w:color w:val="auto"/>
          <w:sz w:val="21"/>
          <w:szCs w:val="21"/>
          <w:highlight w:val="none"/>
        </w:rPr>
      </w:pPr>
    </w:p>
    <w:p w14:paraId="05FACAC3">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制造商名称：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（同时加盖制造商法人公章）</w:t>
      </w:r>
    </w:p>
    <w:p w14:paraId="6CBE86BA">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制造商</w:t>
      </w: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（打印名字，并签名或盖私章）</w:t>
      </w:r>
    </w:p>
    <w:p w14:paraId="0D3A92B5">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117733C9">
      <w:pPr>
        <w:pStyle w:val="20"/>
        <w:snapToGrid w:val="0"/>
        <w:spacing w:line="360" w:lineRule="auto"/>
        <w:ind w:left="0" w:leftChars="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5C58F8F2">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7C79D1C7">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6D86D777">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3EC37B1B">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14A644C5">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55FB3528">
      <w:pPr>
        <w:widowControl/>
        <w:autoSpaceDE/>
        <w:autoSpaceDN/>
        <w:adjustRightInd/>
        <w:spacing w:line="360" w:lineRule="auto"/>
        <w:jc w:val="center"/>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br w:type="page"/>
      </w:r>
      <w:bookmarkStart w:id="692" w:name="_Toc32538"/>
      <w:bookmarkStart w:id="693" w:name="_Toc11984"/>
      <w:r>
        <w:rPr>
          <w:rFonts w:hint="eastAsia" w:ascii="宋体" w:hAnsi="宋体" w:eastAsia="宋体" w:cs="宋体"/>
          <w:b/>
          <w:bCs/>
          <w:color w:val="auto"/>
          <w:kern w:val="2"/>
          <w:sz w:val="30"/>
          <w:szCs w:val="30"/>
          <w:highlight w:val="none"/>
          <w:lang w:val="zh-CN"/>
        </w:rPr>
        <w:t>独家授权销售及售后服务承诺函</w:t>
      </w:r>
      <w:bookmarkEnd w:id="692"/>
      <w:bookmarkEnd w:id="693"/>
    </w:p>
    <w:p w14:paraId="6C4ADD3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rPr>
        <w:t>投标人为经销商时提供本独家授权销售及售后服务承诺函</w:t>
      </w:r>
      <w:r>
        <w:rPr>
          <w:rFonts w:hint="eastAsia" w:ascii="宋体" w:hAnsi="宋体" w:eastAsia="宋体" w:cs="宋体"/>
          <w:b/>
          <w:color w:val="auto"/>
          <w:sz w:val="21"/>
          <w:szCs w:val="21"/>
          <w:highlight w:val="none"/>
        </w:rPr>
        <w:t>）</w:t>
      </w:r>
    </w:p>
    <w:p w14:paraId="5B591A2E">
      <w:pPr>
        <w:spacing w:line="360" w:lineRule="auto"/>
        <w:rPr>
          <w:rFonts w:hint="eastAsia" w:ascii="宋体" w:hAnsi="宋体" w:eastAsia="宋体" w:cs="宋体"/>
          <w:color w:val="auto"/>
          <w:sz w:val="21"/>
          <w:szCs w:val="21"/>
          <w:highlight w:val="none"/>
        </w:rPr>
      </w:pPr>
    </w:p>
    <w:p w14:paraId="0E581A8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致：东莞市水务集团净水有限公司   </w:t>
      </w:r>
    </w:p>
    <w:p w14:paraId="57B559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（投标产品制造商名称）   </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。兹证明参加贵方东莞市水务集团净水有限公司2025年生产药剂液体复合碳源采购项目的按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（下称“投标人”）作为我方合法、唯一的授权参与本项目投标的经销商： </w:t>
      </w:r>
    </w:p>
    <w:p w14:paraId="3CAB160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1、我方确认，投标人就东莞市水务集团净水有限公司2025年生产药剂液体复合碳源采购项目提供货物时附带的出厂质量标准、售后服务承诺等合法有效，并对我方具有约束力。 </w:t>
      </w:r>
    </w:p>
    <w:p w14:paraId="5EFAEF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2、质保期期间，质保服务包括但不限于对货物出现不符合招标文件要求或投标文件承诺或我方出厂质量标准的、有问题货物按招标文件要求及时进行免费更换。</w:t>
      </w:r>
    </w:p>
    <w:p w14:paraId="06BE8961">
      <w:pPr>
        <w:spacing w:line="360" w:lineRule="auto"/>
        <w:ind w:firstLine="420" w:firstLineChars="200"/>
        <w:rPr>
          <w:rFonts w:hint="eastAsia" w:ascii="宋体" w:hAnsi="宋体" w:eastAsia="宋体" w:cs="宋体"/>
          <w:color w:val="auto"/>
          <w:sz w:val="21"/>
          <w:szCs w:val="21"/>
          <w:highlight w:val="none"/>
        </w:rPr>
      </w:pPr>
      <w:bookmarkStart w:id="694" w:name="_Toc17530"/>
      <w:bookmarkStart w:id="695" w:name="_Toc32502"/>
      <w:r>
        <w:rPr>
          <w:rFonts w:hint="eastAsia" w:ascii="宋体" w:hAnsi="宋体" w:eastAsia="宋体" w:cs="宋体"/>
          <w:color w:val="auto"/>
          <w:sz w:val="21"/>
          <w:szCs w:val="21"/>
          <w:highlight w:val="none"/>
        </w:rPr>
        <w:t>3、我方保证：我方提供的产品既非试验产品也非积压产品。</w:t>
      </w:r>
      <w:bookmarkEnd w:id="694"/>
      <w:bookmarkEnd w:id="695"/>
    </w:p>
    <w:p w14:paraId="4683DA27">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4、我方承诺将及时提醒贵方关注：相关产品的生产、供货、售后服务以及性能等方面的重大变更。</w:t>
      </w:r>
    </w:p>
    <w:p w14:paraId="6E3943A5">
      <w:pPr>
        <w:spacing w:line="360" w:lineRule="auto"/>
        <w:ind w:firstLine="420" w:firstLineChars="200"/>
        <w:rPr>
          <w:rFonts w:hint="eastAsia" w:ascii="宋体" w:hAnsi="宋体" w:eastAsia="宋体" w:cs="宋体"/>
          <w:color w:val="auto"/>
          <w:sz w:val="21"/>
          <w:szCs w:val="21"/>
          <w:highlight w:val="none"/>
          <w:lang w:val="zh-CN"/>
        </w:rPr>
      </w:pPr>
      <w:bookmarkStart w:id="696" w:name="_Toc18926"/>
      <w:bookmarkStart w:id="697" w:name="_Toc15693"/>
      <w:r>
        <w:rPr>
          <w:rFonts w:hint="eastAsia" w:ascii="宋体" w:hAnsi="宋体" w:eastAsia="宋体" w:cs="宋体"/>
          <w:color w:val="auto"/>
          <w:sz w:val="21"/>
          <w:szCs w:val="21"/>
          <w:highlight w:val="none"/>
          <w:lang w:val="zh-CN"/>
        </w:rPr>
        <w:t>5、本授权函不得进行二次授权或转授权，否则无效。</w:t>
      </w:r>
      <w:bookmarkEnd w:id="696"/>
      <w:bookmarkEnd w:id="697"/>
    </w:p>
    <w:p w14:paraId="375A5CBC">
      <w:pPr>
        <w:spacing w:line="360" w:lineRule="auto"/>
        <w:ind w:right="893"/>
        <w:jc w:val="both"/>
        <w:rPr>
          <w:rFonts w:hint="eastAsia" w:ascii="宋体" w:hAnsi="宋体" w:eastAsia="宋体" w:cs="宋体"/>
          <w:color w:val="auto"/>
          <w:kern w:val="2"/>
          <w:sz w:val="21"/>
          <w:szCs w:val="21"/>
          <w:highlight w:val="none"/>
          <w:lang w:val="zh-CN"/>
        </w:rPr>
      </w:pPr>
    </w:p>
    <w:p w14:paraId="53E862BC">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投标产品制造商名称（加盖法人公章）：</w:t>
      </w:r>
      <w:r>
        <w:rPr>
          <w:rFonts w:hint="eastAsia" w:ascii="宋体" w:hAnsi="宋体" w:eastAsia="宋体" w:cs="宋体"/>
          <w:color w:val="auto"/>
          <w:kern w:val="2"/>
          <w:sz w:val="21"/>
          <w:szCs w:val="21"/>
          <w:highlight w:val="none"/>
          <w:u w:val="single"/>
          <w:lang w:val="zh-CN"/>
        </w:rPr>
        <w:t xml:space="preserve">                         </w:t>
      </w:r>
    </w:p>
    <w:p w14:paraId="4AA1743C">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制造商法定代表人或被授权人（签名或盖私章）：  </w:t>
      </w:r>
      <w:r>
        <w:rPr>
          <w:rFonts w:hint="eastAsia" w:ascii="宋体" w:hAnsi="宋体" w:eastAsia="宋体" w:cs="宋体"/>
          <w:color w:val="auto"/>
          <w:kern w:val="2"/>
          <w:sz w:val="21"/>
          <w:szCs w:val="21"/>
          <w:highlight w:val="none"/>
          <w:u w:val="single"/>
          <w:lang w:val="zh-CN"/>
        </w:rPr>
        <w:t xml:space="preserve">                      </w:t>
      </w:r>
    </w:p>
    <w:p w14:paraId="0B5C5B99">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签署人职务： </w:t>
      </w:r>
      <w:r>
        <w:rPr>
          <w:rFonts w:hint="eastAsia" w:ascii="宋体" w:hAnsi="宋体" w:eastAsia="宋体" w:cs="宋体"/>
          <w:color w:val="auto"/>
          <w:kern w:val="2"/>
          <w:sz w:val="21"/>
          <w:szCs w:val="21"/>
          <w:highlight w:val="none"/>
          <w:u w:val="single"/>
          <w:lang w:val="zh-CN"/>
        </w:rPr>
        <w:t xml:space="preserve">                      </w:t>
      </w:r>
    </w:p>
    <w:p w14:paraId="2CA4A371">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14:paraId="6A348F66">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14:paraId="6A4F4388">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78BCE959">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66886466">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5D7F69C6">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55ADED43">
      <w:pPr>
        <w:pStyle w:val="2"/>
        <w:pageBreakBefore/>
        <w:spacing w:line="360" w:lineRule="auto"/>
        <w:rPr>
          <w:rFonts w:hAnsi="宋体"/>
          <w:b/>
          <w:color w:val="auto"/>
          <w:sz w:val="30"/>
          <w:szCs w:val="30"/>
          <w:highlight w:val="none"/>
          <w:lang w:val="zh-CN"/>
        </w:rPr>
      </w:pPr>
      <w:bookmarkStart w:id="698" w:name="_Toc31462"/>
      <w:bookmarkStart w:id="699" w:name="_Toc16718"/>
      <w:bookmarkStart w:id="700" w:name="_Toc21968"/>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w:t>
      </w:r>
      <w:r>
        <w:rPr>
          <w:rFonts w:hint="eastAsia" w:hAnsi="宋体"/>
          <w:b/>
          <w:bCs/>
          <w:color w:val="auto"/>
          <w:sz w:val="32"/>
          <w:szCs w:val="32"/>
          <w:highlight w:val="none"/>
          <w:lang w:val="en-US" w:eastAsia="zh-CN"/>
        </w:rPr>
        <w:t>2021</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日以来具有一</w:t>
      </w:r>
      <w:r>
        <w:rPr>
          <w:rFonts w:hint="eastAsia" w:hAnsi="宋体"/>
          <w:b/>
          <w:bCs/>
          <w:color w:val="auto"/>
          <w:sz w:val="32"/>
          <w:szCs w:val="32"/>
          <w:highlight w:val="none"/>
          <w:lang w:val="en-US" w:eastAsia="zh-CN"/>
        </w:rPr>
        <w:t>份</w:t>
      </w:r>
      <w:r>
        <w:rPr>
          <w:rFonts w:hint="eastAsia" w:ascii="宋体" w:hAnsi="宋体" w:eastAsia="宋体"/>
          <w:b/>
          <w:bCs/>
          <w:color w:val="auto"/>
          <w:sz w:val="32"/>
          <w:szCs w:val="32"/>
          <w:highlight w:val="none"/>
        </w:rPr>
        <w:t>投标品牌的液体复合碳源用于水处理相关工艺的供货</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2021</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681"/>
      <w:bookmarkEnd w:id="682"/>
      <w:bookmarkEnd w:id="698"/>
      <w:bookmarkEnd w:id="699"/>
      <w:bookmarkEnd w:id="700"/>
    </w:p>
    <w:p w14:paraId="2DBA784C">
      <w:pPr>
        <w:spacing w:line="360" w:lineRule="auto"/>
        <w:rPr>
          <w:rFonts w:hAnsi="宋体"/>
          <w:color w:val="auto"/>
          <w:szCs w:val="21"/>
          <w:highlight w:val="none"/>
          <w:lang w:val="zh-CN"/>
        </w:rPr>
      </w:pPr>
    </w:p>
    <w:tbl>
      <w:tblPr>
        <w:tblStyle w:val="37"/>
        <w:tblW w:w="454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06"/>
        <w:gridCol w:w="720"/>
        <w:gridCol w:w="1201"/>
        <w:gridCol w:w="1378"/>
        <w:gridCol w:w="1064"/>
        <w:gridCol w:w="789"/>
        <w:gridCol w:w="1451"/>
        <w:gridCol w:w="1517"/>
      </w:tblGrid>
      <w:tr w14:paraId="63BE3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51" w:type="pct"/>
            <w:tcBorders>
              <w:top w:val="single" w:color="auto" w:sz="4" w:space="0"/>
              <w:left w:val="single" w:color="auto" w:sz="4" w:space="0"/>
              <w:bottom w:val="single" w:color="auto" w:sz="4" w:space="0"/>
              <w:right w:val="single" w:color="auto" w:sz="4" w:space="0"/>
            </w:tcBorders>
            <w:vAlign w:val="center"/>
          </w:tcPr>
          <w:p w14:paraId="746A19B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394" w:type="pct"/>
            <w:tcBorders>
              <w:top w:val="single" w:color="auto" w:sz="4" w:space="0"/>
              <w:left w:val="single" w:color="auto" w:sz="4" w:space="0"/>
              <w:bottom w:val="single" w:color="auto" w:sz="4" w:space="0"/>
              <w:right w:val="single" w:color="auto" w:sz="4" w:space="0"/>
            </w:tcBorders>
            <w:vAlign w:val="center"/>
          </w:tcPr>
          <w:p w14:paraId="0630148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0094F2C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57" w:type="pct"/>
            <w:tcBorders>
              <w:top w:val="single" w:color="auto" w:sz="4" w:space="0"/>
              <w:left w:val="single" w:color="auto" w:sz="4" w:space="0"/>
              <w:bottom w:val="single" w:color="auto" w:sz="4" w:space="0"/>
              <w:right w:val="single" w:color="auto" w:sz="4" w:space="0"/>
            </w:tcBorders>
            <w:vAlign w:val="center"/>
          </w:tcPr>
          <w:p w14:paraId="5AA2D5B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54" w:type="pct"/>
            <w:tcBorders>
              <w:top w:val="single" w:color="auto" w:sz="4" w:space="0"/>
              <w:left w:val="single" w:color="auto" w:sz="4" w:space="0"/>
              <w:bottom w:val="single" w:color="auto" w:sz="4" w:space="0"/>
              <w:right w:val="single" w:color="auto" w:sz="4" w:space="0"/>
            </w:tcBorders>
            <w:vAlign w:val="center"/>
          </w:tcPr>
          <w:p w14:paraId="26A544C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82" w:type="pct"/>
            <w:tcBorders>
              <w:top w:val="single" w:color="auto" w:sz="4" w:space="0"/>
              <w:left w:val="single" w:color="auto" w:sz="4" w:space="0"/>
              <w:bottom w:val="single" w:color="auto" w:sz="4" w:space="0"/>
              <w:right w:val="single" w:color="auto" w:sz="4" w:space="0"/>
            </w:tcBorders>
            <w:vAlign w:val="center"/>
          </w:tcPr>
          <w:p w14:paraId="414FF552">
            <w:pPr>
              <w:autoSpaceDE w:val="0"/>
              <w:autoSpaceDN w:val="0"/>
              <w:adjustRightInd w:val="0"/>
              <w:jc w:val="center"/>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签约</w:t>
            </w:r>
          </w:p>
          <w:p w14:paraId="4B8C9389">
            <w:pPr>
              <w:autoSpaceDE w:val="0"/>
              <w:autoSpaceDN w:val="0"/>
              <w:adjustRightInd w:val="0"/>
              <w:jc w:val="center"/>
              <w:rPr>
                <w:rFonts w:hint="default" w:ascii="宋体" w:hAnsi="宋体" w:eastAsia="宋体" w:cs="Times New Roman"/>
                <w:color w:val="auto"/>
                <w:kern w:val="0"/>
                <w:szCs w:val="21"/>
                <w:highlight w:val="none"/>
                <w:lang w:val="en-US" w:eastAsia="zh-CN"/>
              </w:rPr>
            </w:pPr>
            <w:r>
              <w:rPr>
                <w:rFonts w:hint="eastAsia" w:ascii="宋体" w:hAnsi="宋体" w:eastAsia="宋体" w:cs="宋体"/>
                <w:color w:val="auto"/>
                <w:kern w:val="0"/>
                <w:szCs w:val="21"/>
                <w:lang w:val="zh-CN"/>
              </w:rPr>
              <w:t>日期</w:t>
            </w:r>
          </w:p>
        </w:tc>
        <w:tc>
          <w:tcPr>
            <w:tcW w:w="432" w:type="pct"/>
            <w:tcBorders>
              <w:top w:val="single" w:color="auto" w:sz="4" w:space="0"/>
              <w:left w:val="single" w:color="auto" w:sz="4" w:space="0"/>
              <w:bottom w:val="single" w:color="auto" w:sz="4" w:space="0"/>
              <w:right w:val="single" w:color="auto" w:sz="4" w:space="0"/>
            </w:tcBorders>
            <w:vAlign w:val="center"/>
          </w:tcPr>
          <w:p w14:paraId="48A7D6B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268850B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94" w:type="pct"/>
            <w:tcBorders>
              <w:top w:val="single" w:color="auto" w:sz="4" w:space="0"/>
              <w:left w:val="single" w:color="auto" w:sz="4" w:space="0"/>
              <w:bottom w:val="single" w:color="auto" w:sz="4" w:space="0"/>
              <w:right w:val="single" w:color="auto" w:sz="4" w:space="0"/>
            </w:tcBorders>
            <w:vAlign w:val="center"/>
          </w:tcPr>
          <w:p w14:paraId="4A0EED8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830" w:type="pct"/>
            <w:tcBorders>
              <w:top w:val="single" w:color="auto" w:sz="4" w:space="0"/>
              <w:left w:val="single" w:color="auto" w:sz="4" w:space="0"/>
              <w:bottom w:val="single" w:color="auto" w:sz="4" w:space="0"/>
              <w:right w:val="single" w:color="auto" w:sz="4" w:space="0"/>
            </w:tcBorders>
            <w:vAlign w:val="center"/>
          </w:tcPr>
          <w:p w14:paraId="0C95B50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7A8D1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51" w:type="pct"/>
            <w:tcBorders>
              <w:top w:val="single" w:color="auto" w:sz="4" w:space="0"/>
              <w:left w:val="single" w:color="auto" w:sz="4" w:space="0"/>
              <w:bottom w:val="single" w:color="auto" w:sz="4" w:space="0"/>
              <w:right w:val="single" w:color="auto" w:sz="4" w:space="0"/>
            </w:tcBorders>
            <w:vAlign w:val="center"/>
          </w:tcPr>
          <w:p w14:paraId="4FCDE484">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394" w:type="pct"/>
            <w:tcBorders>
              <w:top w:val="single" w:color="auto" w:sz="4" w:space="0"/>
              <w:left w:val="single" w:color="auto" w:sz="4" w:space="0"/>
              <w:bottom w:val="single" w:color="auto" w:sz="4" w:space="0"/>
              <w:right w:val="single" w:color="auto" w:sz="4" w:space="0"/>
            </w:tcBorders>
            <w:vAlign w:val="center"/>
          </w:tcPr>
          <w:p w14:paraId="660938F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6986484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11012B8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2858F97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095FA8F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vAlign w:val="center"/>
          </w:tcPr>
          <w:p w14:paraId="1DF6C73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30" w:type="pct"/>
            <w:tcBorders>
              <w:top w:val="single" w:color="auto" w:sz="4" w:space="0"/>
              <w:left w:val="single" w:color="auto" w:sz="4" w:space="0"/>
              <w:bottom w:val="single" w:color="auto" w:sz="4" w:space="0"/>
              <w:right w:val="single" w:color="auto" w:sz="4" w:space="0"/>
            </w:tcBorders>
            <w:vAlign w:val="center"/>
          </w:tcPr>
          <w:p w14:paraId="416D09CB">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FA6C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51" w:type="pct"/>
            <w:tcBorders>
              <w:top w:val="single" w:color="auto" w:sz="4" w:space="0"/>
              <w:left w:val="single" w:color="auto" w:sz="4" w:space="0"/>
              <w:bottom w:val="single" w:color="auto" w:sz="4" w:space="0"/>
              <w:right w:val="single" w:color="auto" w:sz="4" w:space="0"/>
            </w:tcBorders>
            <w:vAlign w:val="center"/>
          </w:tcPr>
          <w:p w14:paraId="3A7292F3">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394" w:type="pct"/>
            <w:tcBorders>
              <w:top w:val="single" w:color="auto" w:sz="4" w:space="0"/>
              <w:left w:val="single" w:color="auto" w:sz="4" w:space="0"/>
              <w:bottom w:val="single" w:color="auto" w:sz="4" w:space="0"/>
              <w:right w:val="single" w:color="auto" w:sz="4" w:space="0"/>
            </w:tcBorders>
            <w:vAlign w:val="center"/>
          </w:tcPr>
          <w:p w14:paraId="17C9F63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5EE6AFD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55760DE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2E11E69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28F6EE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vAlign w:val="center"/>
          </w:tcPr>
          <w:p w14:paraId="2A70E62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30" w:type="pct"/>
            <w:tcBorders>
              <w:top w:val="single" w:color="auto" w:sz="4" w:space="0"/>
              <w:left w:val="single" w:color="auto" w:sz="4" w:space="0"/>
              <w:bottom w:val="single" w:color="auto" w:sz="4" w:space="0"/>
              <w:right w:val="single" w:color="auto" w:sz="4" w:space="0"/>
            </w:tcBorders>
            <w:vAlign w:val="center"/>
          </w:tcPr>
          <w:p w14:paraId="0EB1CF9A">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22FC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51" w:type="pct"/>
            <w:tcBorders>
              <w:top w:val="single" w:color="auto" w:sz="4" w:space="0"/>
              <w:left w:val="single" w:color="auto" w:sz="4" w:space="0"/>
              <w:bottom w:val="single" w:color="auto" w:sz="4" w:space="0"/>
              <w:right w:val="single" w:color="auto" w:sz="4" w:space="0"/>
            </w:tcBorders>
            <w:vAlign w:val="center"/>
          </w:tcPr>
          <w:p w14:paraId="1C9989C4">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394" w:type="pct"/>
            <w:tcBorders>
              <w:top w:val="single" w:color="auto" w:sz="4" w:space="0"/>
              <w:left w:val="single" w:color="auto" w:sz="4" w:space="0"/>
              <w:bottom w:val="single" w:color="auto" w:sz="4" w:space="0"/>
              <w:right w:val="single" w:color="auto" w:sz="4" w:space="0"/>
            </w:tcBorders>
            <w:vAlign w:val="center"/>
          </w:tcPr>
          <w:p w14:paraId="721D854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6887189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5362A6B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254B5D1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14CD577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vAlign w:val="center"/>
          </w:tcPr>
          <w:p w14:paraId="7CEC490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30" w:type="pct"/>
            <w:tcBorders>
              <w:top w:val="single" w:color="auto" w:sz="4" w:space="0"/>
              <w:left w:val="single" w:color="auto" w:sz="4" w:space="0"/>
              <w:bottom w:val="single" w:color="auto" w:sz="4" w:space="0"/>
              <w:right w:val="single" w:color="auto" w:sz="4" w:space="0"/>
            </w:tcBorders>
            <w:vAlign w:val="center"/>
          </w:tcPr>
          <w:p w14:paraId="168EECC2">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29D3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51" w:type="pct"/>
            <w:tcBorders>
              <w:top w:val="single" w:color="auto" w:sz="4" w:space="0"/>
              <w:left w:val="single" w:color="auto" w:sz="4" w:space="0"/>
              <w:bottom w:val="single" w:color="auto" w:sz="4" w:space="0"/>
              <w:right w:val="single" w:color="auto" w:sz="4" w:space="0"/>
            </w:tcBorders>
            <w:vAlign w:val="center"/>
          </w:tcPr>
          <w:p w14:paraId="16877AC3">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394" w:type="pct"/>
            <w:tcBorders>
              <w:top w:val="single" w:color="auto" w:sz="4" w:space="0"/>
              <w:left w:val="single" w:color="auto" w:sz="4" w:space="0"/>
              <w:bottom w:val="single" w:color="auto" w:sz="4" w:space="0"/>
              <w:right w:val="single" w:color="auto" w:sz="4" w:space="0"/>
            </w:tcBorders>
            <w:vAlign w:val="center"/>
          </w:tcPr>
          <w:p w14:paraId="106DD3D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6EAE1EF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25AB002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14AE641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28025EA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vAlign w:val="center"/>
          </w:tcPr>
          <w:p w14:paraId="4D3E1A5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30" w:type="pct"/>
            <w:tcBorders>
              <w:top w:val="single" w:color="auto" w:sz="4" w:space="0"/>
              <w:left w:val="single" w:color="auto" w:sz="4" w:space="0"/>
              <w:bottom w:val="single" w:color="auto" w:sz="4" w:space="0"/>
              <w:right w:val="single" w:color="auto" w:sz="4" w:space="0"/>
            </w:tcBorders>
            <w:vAlign w:val="center"/>
          </w:tcPr>
          <w:p w14:paraId="3C9121A2">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75FF2A1A">
      <w:pPr>
        <w:spacing w:line="360" w:lineRule="auto"/>
        <w:ind w:left="424" w:hanging="424" w:hangingChars="201"/>
        <w:rPr>
          <w:rFonts w:hint="eastAsia" w:ascii="宋体" w:hAnsi="宋体" w:eastAsia="宋体" w:cs="宋体"/>
          <w:b/>
          <w:color w:val="auto"/>
          <w:szCs w:val="21"/>
          <w:highlight w:val="none"/>
          <w:lang w:val="zh-CN"/>
        </w:rPr>
      </w:pPr>
    </w:p>
    <w:p w14:paraId="6BE5CEAE">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20FCC7FE">
      <w:pPr>
        <w:spacing w:line="360" w:lineRule="auto"/>
        <w:ind w:left="422" w:hanging="422" w:hangingChars="201"/>
        <w:outlineLvl w:val="9"/>
        <w:rPr>
          <w:rFonts w:hint="eastAsia" w:ascii="宋体" w:hAnsi="宋体" w:eastAsia="宋体" w:cs="宋体"/>
          <w:color w:val="auto"/>
          <w:szCs w:val="21"/>
          <w:highlight w:val="none"/>
          <w:lang w:val="zh-CN"/>
        </w:rPr>
      </w:pPr>
      <w:bookmarkStart w:id="701" w:name="_Toc12802"/>
      <w:bookmarkStart w:id="702" w:name="_Toc27268"/>
      <w:r>
        <w:rPr>
          <w:rFonts w:hint="eastAsia" w:ascii="宋体" w:hAnsi="宋体" w:eastAsia="宋体" w:cs="宋体"/>
          <w:color w:val="auto"/>
          <w:szCs w:val="21"/>
          <w:highlight w:val="none"/>
          <w:lang w:val="zh-CN"/>
        </w:rPr>
        <w:t>（1）业绩须附合同复印件；</w:t>
      </w:r>
      <w:bookmarkEnd w:id="701"/>
      <w:bookmarkEnd w:id="702"/>
    </w:p>
    <w:p w14:paraId="2FACCEF5">
      <w:pPr>
        <w:spacing w:line="360" w:lineRule="auto"/>
        <w:ind w:left="-2"/>
        <w:rPr>
          <w:color w:val="auto"/>
          <w:highlight w:val="none"/>
          <w:lang w:val="zh-CN"/>
        </w:rPr>
      </w:pPr>
      <w:r>
        <w:rPr>
          <w:rFonts w:hint="eastAsia" w:ascii="宋体" w:hAnsi="宋体" w:eastAsia="宋体" w:cs="宋体"/>
          <w:color w:val="auto"/>
          <w:szCs w:val="21"/>
          <w:highlight w:val="none"/>
          <w:lang w:val="zh-CN"/>
        </w:rPr>
        <w:t>（2）若合同无法反映</w:t>
      </w:r>
      <w:r>
        <w:rPr>
          <w:rFonts w:hint="eastAsia" w:ascii="宋体" w:hAnsi="宋体" w:eastAsia="宋体" w:cs="宋体"/>
          <w:color w:val="auto"/>
          <w:szCs w:val="21"/>
          <w:highlight w:val="none"/>
          <w:lang w:val="en-US" w:eastAsia="zh-CN"/>
        </w:rPr>
        <w:t>资格</w:t>
      </w:r>
      <w:r>
        <w:rPr>
          <w:rFonts w:hint="eastAsia" w:ascii="宋体" w:hAnsi="宋体" w:eastAsia="宋体" w:cs="宋体"/>
          <w:color w:val="auto"/>
          <w:szCs w:val="21"/>
          <w:highlight w:val="none"/>
          <w:lang w:val="zh-CN"/>
        </w:rPr>
        <w:t>条件（卖方为投标人、合同签订日期为2021年1月1日或以后、合同标的必须包含投标品牌液体复合碳源、</w:t>
      </w:r>
      <w:r>
        <w:rPr>
          <w:rFonts w:hint="eastAsia" w:ascii="宋体" w:hAnsi="宋体" w:eastAsia="宋体" w:cs="宋体"/>
          <w:color w:val="auto"/>
          <w:szCs w:val="21"/>
          <w:highlight w:val="none"/>
          <w:lang w:val="en-US" w:eastAsia="zh-CN"/>
        </w:rPr>
        <w:t>供货用于水处理相关工艺</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w:t>
      </w:r>
      <w:r>
        <w:rPr>
          <w:rFonts w:hint="eastAsia" w:ascii="宋体" w:hAnsi="宋体" w:eastAsia="宋体" w:cs="宋体"/>
          <w:color w:val="auto"/>
          <w:szCs w:val="21"/>
          <w:lang w:val="zh-CN"/>
        </w:rPr>
        <w:t>还需提供产品购买方出具的书面补充说明文件复印件作为辅助证明</w:t>
      </w:r>
      <w:r>
        <w:rPr>
          <w:rFonts w:hint="eastAsia" w:ascii="宋体" w:hAnsi="宋体" w:eastAsia="宋体" w:cs="宋体"/>
          <w:color w:val="auto"/>
          <w:szCs w:val="21"/>
          <w:highlight w:val="none"/>
          <w:lang w:val="zh-CN"/>
        </w:rPr>
        <w:t>（</w:t>
      </w:r>
      <w:r>
        <w:rPr>
          <w:rFonts w:hint="eastAsia" w:ascii="宋体" w:hAnsi="宋体" w:eastAsia="宋体" w:cs="宋体"/>
          <w:color w:val="auto"/>
          <w:szCs w:val="21"/>
          <w:lang w:val="zh-CN"/>
        </w:rPr>
        <w:t>补充说明文件复印件能显示购买方公章</w:t>
      </w:r>
      <w:r>
        <w:rPr>
          <w:rFonts w:hint="eastAsia" w:ascii="宋体" w:hAnsi="宋体" w:eastAsia="宋体" w:cs="宋体"/>
          <w:color w:val="auto"/>
          <w:szCs w:val="21"/>
          <w:highlight w:val="none"/>
          <w:lang w:val="zh-CN"/>
        </w:rPr>
        <w:t>）；</w:t>
      </w:r>
    </w:p>
    <w:p w14:paraId="57FE8482">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703" w:name="_Toc14967"/>
      <w:bookmarkStart w:id="704" w:name="_Toc6253"/>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w:t>
      </w:r>
      <w:bookmarkEnd w:id="703"/>
      <w:bookmarkEnd w:id="704"/>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01E8BE22">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22D88D93">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705" w:name="_Toc31879"/>
      <w:bookmarkStart w:id="706" w:name="_Toc24616"/>
      <w:bookmarkStart w:id="707" w:name="_Toc4151"/>
      <w:bookmarkStart w:id="708" w:name="_Toc14413"/>
      <w:bookmarkStart w:id="709" w:name="_Toc897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683"/>
      <w:bookmarkEnd w:id="684"/>
      <w:bookmarkEnd w:id="685"/>
      <w:bookmarkEnd w:id="686"/>
      <w:bookmarkEnd w:id="687"/>
      <w:bookmarkEnd w:id="705"/>
      <w:bookmarkEnd w:id="706"/>
      <w:bookmarkEnd w:id="707"/>
      <w:bookmarkEnd w:id="708"/>
      <w:bookmarkEnd w:id="709"/>
    </w:p>
    <w:p w14:paraId="437B3A3F">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E45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E3216D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事项名称</w:t>
            </w:r>
          </w:p>
        </w:tc>
        <w:tc>
          <w:tcPr>
            <w:tcW w:w="1417" w:type="dxa"/>
            <w:vAlign w:val="center"/>
          </w:tcPr>
          <w:p w14:paraId="596C7FB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F65BF8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1E0CA74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98A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3129BE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40ECB1E">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29089EAA">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A214D4E">
            <w:pPr>
              <w:autoSpaceDE w:val="0"/>
              <w:autoSpaceDN w:val="0"/>
              <w:adjustRightInd w:val="0"/>
              <w:spacing w:line="360" w:lineRule="auto"/>
              <w:jc w:val="center"/>
              <w:rPr>
                <w:rFonts w:ascii="宋体" w:hAnsi="宋体" w:eastAsia="宋体" w:cs="宋体"/>
                <w:color w:val="auto"/>
                <w:kern w:val="0"/>
                <w:szCs w:val="21"/>
                <w:highlight w:val="none"/>
              </w:rPr>
            </w:pPr>
          </w:p>
        </w:tc>
      </w:tr>
      <w:tr w14:paraId="78D2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3EF5CB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1F8B7B0">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9AC8A70">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4408F1D">
            <w:pPr>
              <w:autoSpaceDE w:val="0"/>
              <w:autoSpaceDN w:val="0"/>
              <w:adjustRightInd w:val="0"/>
              <w:spacing w:line="360" w:lineRule="auto"/>
              <w:jc w:val="center"/>
              <w:rPr>
                <w:rFonts w:ascii="宋体" w:hAnsi="宋体" w:eastAsia="宋体" w:cs="宋体"/>
                <w:color w:val="auto"/>
                <w:kern w:val="0"/>
                <w:szCs w:val="21"/>
                <w:highlight w:val="none"/>
              </w:rPr>
            </w:pPr>
          </w:p>
        </w:tc>
      </w:tr>
      <w:tr w14:paraId="7E63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848533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6A4BE600">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F347311">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052F4F1">
            <w:pPr>
              <w:autoSpaceDE w:val="0"/>
              <w:autoSpaceDN w:val="0"/>
              <w:adjustRightInd w:val="0"/>
              <w:spacing w:line="360" w:lineRule="auto"/>
              <w:jc w:val="center"/>
              <w:rPr>
                <w:rFonts w:ascii="宋体" w:hAnsi="宋体" w:eastAsia="宋体" w:cs="宋体"/>
                <w:color w:val="auto"/>
                <w:kern w:val="0"/>
                <w:szCs w:val="21"/>
                <w:highlight w:val="none"/>
              </w:rPr>
            </w:pPr>
          </w:p>
        </w:tc>
      </w:tr>
    </w:tbl>
    <w:p w14:paraId="40F86B24">
      <w:pPr>
        <w:autoSpaceDE w:val="0"/>
        <w:autoSpaceDN w:val="0"/>
        <w:adjustRightInd w:val="0"/>
        <w:spacing w:line="360" w:lineRule="auto"/>
        <w:jc w:val="left"/>
        <w:rPr>
          <w:rFonts w:ascii="宋体" w:hAnsi="宋体" w:eastAsia="宋体" w:cs="宋体"/>
          <w:color w:val="auto"/>
          <w:kern w:val="0"/>
          <w:szCs w:val="21"/>
          <w:highlight w:val="none"/>
        </w:rPr>
      </w:pPr>
    </w:p>
    <w:p w14:paraId="01E7E946">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00D8566C">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295C94A6">
      <w:pPr>
        <w:autoSpaceDE w:val="0"/>
        <w:autoSpaceDN w:val="0"/>
        <w:adjustRightInd w:val="0"/>
        <w:spacing w:line="360" w:lineRule="auto"/>
        <w:jc w:val="center"/>
        <w:rPr>
          <w:rFonts w:ascii="宋体" w:hAnsi="宋体" w:eastAsia="宋体" w:cs="宋体"/>
          <w:color w:val="auto"/>
          <w:kern w:val="0"/>
          <w:sz w:val="24"/>
          <w:szCs w:val="24"/>
          <w:highlight w:val="none"/>
        </w:rPr>
      </w:pPr>
    </w:p>
    <w:p w14:paraId="70BDAF6F">
      <w:pPr>
        <w:spacing w:line="360" w:lineRule="auto"/>
        <w:ind w:firstLine="494" w:firstLineChars="206"/>
        <w:rPr>
          <w:rFonts w:ascii="宋体" w:hAnsi="宋体" w:eastAsia="宋体" w:cs="宋体"/>
          <w:color w:val="auto"/>
          <w:kern w:val="0"/>
          <w:sz w:val="24"/>
          <w:szCs w:val="24"/>
          <w:highlight w:val="none"/>
        </w:rPr>
      </w:pPr>
    </w:p>
    <w:p w14:paraId="1B188F49">
      <w:pPr>
        <w:spacing w:line="360" w:lineRule="auto"/>
        <w:ind w:firstLine="494" w:firstLineChars="206"/>
        <w:rPr>
          <w:rFonts w:ascii="宋体" w:hAnsi="宋体" w:eastAsia="宋体" w:cs="宋体"/>
          <w:color w:val="auto"/>
          <w:kern w:val="0"/>
          <w:sz w:val="24"/>
          <w:szCs w:val="24"/>
          <w:highlight w:val="none"/>
        </w:rPr>
      </w:pPr>
    </w:p>
    <w:p w14:paraId="6674E40C">
      <w:pPr>
        <w:spacing w:line="360" w:lineRule="auto"/>
        <w:ind w:firstLine="494" w:firstLineChars="206"/>
        <w:rPr>
          <w:rFonts w:ascii="宋体" w:hAnsi="宋体" w:eastAsia="宋体" w:cs="宋体"/>
          <w:color w:val="auto"/>
          <w:kern w:val="0"/>
          <w:sz w:val="24"/>
          <w:szCs w:val="24"/>
          <w:highlight w:val="none"/>
        </w:rPr>
      </w:pPr>
    </w:p>
    <w:p w14:paraId="0B08E18C">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D55D421">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52CAD10F">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710" w:name="_Toc1977731"/>
      <w:bookmarkStart w:id="711" w:name="_Toc140596934"/>
      <w:bookmarkStart w:id="712" w:name="_Toc102860079"/>
      <w:bookmarkStart w:id="713" w:name="_Toc533708126"/>
      <w:bookmarkStart w:id="714" w:name="_Toc13237"/>
      <w:bookmarkStart w:id="715" w:name="_Toc94107215"/>
      <w:bookmarkStart w:id="716" w:name="_Toc142508374"/>
      <w:bookmarkStart w:id="717" w:name="_Toc2031_WPSOffice_Level2"/>
      <w:bookmarkStart w:id="718" w:name="_Toc102860423"/>
      <w:bookmarkStart w:id="719" w:name="_Toc486167714"/>
      <w:bookmarkStart w:id="720" w:name="_Toc104991881"/>
    </w:p>
    <w:p w14:paraId="3E74800A">
      <w:pPr>
        <w:tabs>
          <w:tab w:val="left" w:pos="567"/>
        </w:tabs>
        <w:autoSpaceDE w:val="0"/>
        <w:autoSpaceDN w:val="0"/>
        <w:adjustRightInd w:val="0"/>
        <w:spacing w:line="360" w:lineRule="auto"/>
        <w:jc w:val="left"/>
        <w:outlineLvl w:val="1"/>
        <w:rPr>
          <w:rFonts w:ascii="宋体" w:hAnsi="宋体" w:eastAsia="宋体" w:cs="Times New Roman"/>
          <w:color w:val="auto"/>
          <w:kern w:val="0"/>
          <w:szCs w:val="21"/>
          <w:highlight w:val="none"/>
          <w:u w:val="single"/>
        </w:rPr>
      </w:pPr>
      <w:bookmarkStart w:id="721" w:name="_Toc9606"/>
      <w:bookmarkStart w:id="722" w:name="_Toc11148"/>
      <w:bookmarkStart w:id="723" w:name="_Toc19556"/>
      <w:bookmarkStart w:id="724" w:name="_Toc12726"/>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7F366967">
      <w:pPr>
        <w:autoSpaceDE w:val="0"/>
        <w:autoSpaceDN w:val="0"/>
        <w:adjustRightInd w:val="0"/>
        <w:spacing w:line="360" w:lineRule="auto"/>
        <w:jc w:val="center"/>
        <w:outlineLvl w:val="9"/>
        <w:rPr>
          <w:rFonts w:ascii="宋体" w:hAnsi="宋体" w:eastAsia="宋体" w:cs="宋体"/>
          <w:b/>
          <w:bCs/>
          <w:color w:val="auto"/>
          <w:sz w:val="30"/>
          <w:szCs w:val="30"/>
          <w:highlight w:val="none"/>
        </w:rPr>
      </w:pPr>
      <w:bookmarkStart w:id="725" w:name="_Toc31873"/>
      <w:bookmarkStart w:id="726" w:name="_Toc19134"/>
      <w:bookmarkStart w:id="727" w:name="_Toc2773_WPSOffice_Level3"/>
      <w:r>
        <w:rPr>
          <w:rFonts w:hint="eastAsia" w:ascii="宋体" w:hAnsi="宋体" w:eastAsia="宋体" w:cs="宋体"/>
          <w:b/>
          <w:bCs/>
          <w:color w:val="auto"/>
          <w:sz w:val="30"/>
          <w:szCs w:val="30"/>
          <w:highlight w:val="none"/>
          <w:lang w:val="zh-CN"/>
        </w:rPr>
        <w:t>投标人基本情况一览表</w:t>
      </w:r>
      <w:bookmarkEnd w:id="725"/>
      <w:bookmarkEnd w:id="726"/>
      <w:bookmarkEnd w:id="727"/>
    </w:p>
    <w:p w14:paraId="44B92D62">
      <w:pPr>
        <w:autoSpaceDE w:val="0"/>
        <w:autoSpaceDN w:val="0"/>
        <w:adjustRightInd w:val="0"/>
        <w:spacing w:line="360" w:lineRule="auto"/>
        <w:ind w:firstLine="420"/>
        <w:rPr>
          <w:rFonts w:hint="eastAsia" w:ascii="宋体" w:hAnsi="宋体" w:eastAsia="宋体" w:cs="宋体"/>
          <w:color w:val="auto"/>
          <w:szCs w:val="24"/>
          <w:highlight w:val="none"/>
          <w:lang w:val="zh-CN"/>
        </w:rPr>
      </w:pPr>
      <w:bookmarkStart w:id="728" w:name="_Toc18175"/>
      <w:bookmarkStart w:id="729" w:name="_Toc9070"/>
      <w:r>
        <w:rPr>
          <w:rFonts w:hint="eastAsia" w:ascii="宋体" w:hAnsi="宋体" w:eastAsia="宋体" w:cs="宋体"/>
          <w:color w:val="auto"/>
          <w:szCs w:val="24"/>
          <w:highlight w:val="none"/>
          <w:lang w:val="zh-CN"/>
        </w:rPr>
        <w:t>1．名称及概况：</w:t>
      </w:r>
      <w:bookmarkEnd w:id="728"/>
      <w:bookmarkEnd w:id="729"/>
    </w:p>
    <w:p w14:paraId="079B74C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23B7EDC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3740677D">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18C5DA2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2859AF8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2DC6C3D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0F9C253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4542EE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6D83256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5764EC5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206BEBF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08F0F4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4C60EEC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62358F1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9A3CCE4">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03ED04FF">
      <w:pPr>
        <w:autoSpaceDE w:val="0"/>
        <w:autoSpaceDN w:val="0"/>
        <w:adjustRightInd w:val="0"/>
        <w:spacing w:line="360" w:lineRule="auto"/>
        <w:ind w:firstLine="420"/>
        <w:rPr>
          <w:rFonts w:hint="eastAsia" w:ascii="宋体" w:hAnsi="宋体" w:eastAsia="宋体" w:cs="宋体"/>
          <w:color w:val="auto"/>
          <w:szCs w:val="24"/>
          <w:highlight w:val="none"/>
          <w:lang w:val="zh-CN"/>
        </w:rPr>
      </w:pPr>
      <w:bookmarkStart w:id="730" w:name="_Toc14014"/>
      <w:bookmarkStart w:id="731" w:name="_Toc1961"/>
      <w:r>
        <w:rPr>
          <w:rFonts w:hint="eastAsia" w:ascii="宋体" w:hAnsi="宋体" w:eastAsia="宋体" w:cs="宋体"/>
          <w:color w:val="auto"/>
          <w:szCs w:val="24"/>
          <w:highlight w:val="none"/>
          <w:lang w:val="zh-CN"/>
        </w:rPr>
        <w:t>4. 提交资料（包括但不限于组织架构、公司简介等）：</w:t>
      </w:r>
      <w:bookmarkEnd w:id="730"/>
      <w:bookmarkEnd w:id="731"/>
    </w:p>
    <w:p w14:paraId="323BE49B">
      <w:pPr>
        <w:autoSpaceDE w:val="0"/>
        <w:autoSpaceDN w:val="0"/>
        <w:adjustRightInd w:val="0"/>
        <w:spacing w:line="360" w:lineRule="auto"/>
        <w:ind w:firstLine="420"/>
        <w:rPr>
          <w:rFonts w:hint="eastAsia" w:ascii="宋体" w:hAnsi="宋体" w:eastAsia="宋体" w:cs="宋体"/>
          <w:color w:val="auto"/>
          <w:szCs w:val="24"/>
          <w:highlight w:val="none"/>
          <w:lang w:val="zh-CN"/>
        </w:rPr>
      </w:pPr>
      <w:bookmarkStart w:id="732" w:name="_Toc6831"/>
      <w:bookmarkStart w:id="733" w:name="_Toc17184"/>
      <w:r>
        <w:rPr>
          <w:rFonts w:hint="eastAsia" w:ascii="宋体" w:hAnsi="宋体" w:eastAsia="宋体" w:cs="宋体"/>
          <w:color w:val="auto"/>
          <w:szCs w:val="24"/>
          <w:highlight w:val="none"/>
          <w:lang w:val="zh-CN"/>
        </w:rPr>
        <w:t>（1）公司简介；</w:t>
      </w:r>
      <w:bookmarkEnd w:id="732"/>
      <w:bookmarkEnd w:id="733"/>
    </w:p>
    <w:p w14:paraId="51ADC16E">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CE94D5A">
      <w:pPr>
        <w:autoSpaceDE w:val="0"/>
        <w:autoSpaceDN w:val="0"/>
        <w:adjustRightInd w:val="0"/>
        <w:spacing w:line="360" w:lineRule="auto"/>
        <w:ind w:firstLine="420"/>
        <w:rPr>
          <w:rFonts w:hint="eastAsia" w:ascii="宋体" w:hAnsi="宋体" w:eastAsia="宋体" w:cs="宋体"/>
          <w:color w:val="auto"/>
          <w:szCs w:val="24"/>
          <w:highlight w:val="none"/>
          <w:lang w:val="zh-CN"/>
        </w:rPr>
      </w:pPr>
      <w:bookmarkStart w:id="734" w:name="_Toc29503"/>
      <w:bookmarkStart w:id="735" w:name="_Toc16055"/>
      <w:r>
        <w:rPr>
          <w:rFonts w:hint="eastAsia" w:ascii="宋体" w:hAnsi="宋体" w:eastAsia="宋体" w:cs="宋体"/>
          <w:color w:val="auto"/>
          <w:szCs w:val="24"/>
          <w:highlight w:val="none"/>
          <w:lang w:val="zh-CN"/>
        </w:rPr>
        <w:t>（2）公司组织架构；</w:t>
      </w:r>
      <w:bookmarkEnd w:id="734"/>
      <w:bookmarkEnd w:id="735"/>
    </w:p>
    <w:p w14:paraId="03EA1BB6">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0314A14">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75ECC543">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1F176D40">
      <w:pPr>
        <w:autoSpaceDE w:val="0"/>
        <w:autoSpaceDN w:val="0"/>
        <w:adjustRightInd w:val="0"/>
        <w:spacing w:line="360" w:lineRule="auto"/>
        <w:ind w:firstLine="420" w:firstLineChars="200"/>
        <w:rPr>
          <w:rFonts w:ascii="宋体" w:hAnsi="宋体" w:eastAsia="宋体" w:cs="宋体"/>
          <w:color w:val="auto"/>
          <w:szCs w:val="24"/>
          <w:highlight w:val="none"/>
        </w:rPr>
      </w:pPr>
    </w:p>
    <w:p w14:paraId="3C370224">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78A80B1">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58090A0">
      <w:pPr>
        <w:tabs>
          <w:tab w:val="left" w:pos="567"/>
        </w:tabs>
        <w:autoSpaceDE w:val="0"/>
        <w:autoSpaceDN w:val="0"/>
        <w:adjustRightInd w:val="0"/>
        <w:spacing w:line="360" w:lineRule="auto"/>
        <w:jc w:val="left"/>
        <w:outlineLvl w:val="1"/>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zh-CN" w:eastAsia="zh-CN"/>
        </w:rPr>
        <w:br w:type="page"/>
      </w:r>
      <w:bookmarkStart w:id="736" w:name="_Toc104991882"/>
      <w:bookmarkStart w:id="737" w:name="_Toc140596935"/>
      <w:bookmarkStart w:id="738" w:name="_Toc20142"/>
      <w:bookmarkStart w:id="739" w:name="_Toc17044"/>
      <w:bookmarkStart w:id="740" w:name="_Toc102860424"/>
      <w:bookmarkStart w:id="741" w:name="_Toc142508375"/>
      <w:bookmarkStart w:id="742" w:name="_Toc4495"/>
      <w:bookmarkStart w:id="743" w:name="_Toc94107216"/>
      <w:bookmarkStart w:id="744" w:name="_Toc3711"/>
      <w:bookmarkStart w:id="745" w:name="_Toc26758"/>
      <w:bookmarkStart w:id="746" w:name="_Toc102860080"/>
      <w:bookmarkStart w:id="747" w:name="_Toc1977733"/>
      <w:bookmarkStart w:id="748" w:name="_Toc486167715"/>
      <w:bookmarkStart w:id="749" w:name="_Toc533708128"/>
      <w:bookmarkStart w:id="750"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eastAsia="zh-CN"/>
        </w:rPr>
        <w:t>、投标人财务状况表格式</w:t>
      </w:r>
      <w:bookmarkEnd w:id="736"/>
      <w:bookmarkEnd w:id="737"/>
      <w:bookmarkEnd w:id="738"/>
      <w:bookmarkEnd w:id="739"/>
      <w:bookmarkEnd w:id="740"/>
      <w:bookmarkEnd w:id="741"/>
      <w:bookmarkEnd w:id="742"/>
      <w:bookmarkEnd w:id="743"/>
      <w:bookmarkEnd w:id="744"/>
      <w:bookmarkEnd w:id="745"/>
      <w:bookmarkEnd w:id="746"/>
    </w:p>
    <w:p w14:paraId="3E40B89B">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5ACFC2D">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2E38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A8ACA5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7A523F0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59A5F0D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7060776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3F4FC45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3DAB1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2E9FB3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4F81C9FC">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73B9ED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1118BEE4">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32EB411">
            <w:pPr>
              <w:autoSpaceDE w:val="0"/>
              <w:autoSpaceDN w:val="0"/>
              <w:adjustRightInd w:val="0"/>
              <w:spacing w:line="360" w:lineRule="auto"/>
              <w:jc w:val="center"/>
              <w:rPr>
                <w:rFonts w:ascii="宋体" w:hAnsi="宋体" w:eastAsia="宋体" w:cs="宋体"/>
                <w:color w:val="auto"/>
                <w:kern w:val="0"/>
                <w:szCs w:val="21"/>
                <w:highlight w:val="none"/>
              </w:rPr>
            </w:pPr>
          </w:p>
        </w:tc>
      </w:tr>
      <w:tr w14:paraId="710F0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988430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3F5A3019">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6ABCD5F0">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082E2C8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927DCE7">
            <w:pPr>
              <w:autoSpaceDE w:val="0"/>
              <w:autoSpaceDN w:val="0"/>
              <w:adjustRightInd w:val="0"/>
              <w:spacing w:line="360" w:lineRule="auto"/>
              <w:jc w:val="center"/>
              <w:rPr>
                <w:rFonts w:ascii="宋体" w:hAnsi="宋体" w:eastAsia="宋体" w:cs="宋体"/>
                <w:color w:val="auto"/>
                <w:kern w:val="0"/>
                <w:szCs w:val="21"/>
                <w:highlight w:val="none"/>
              </w:rPr>
            </w:pPr>
          </w:p>
        </w:tc>
      </w:tr>
      <w:tr w14:paraId="7A4AF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8B7506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2636A045">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1E6AD99">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6917EE2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9A860CF">
            <w:pPr>
              <w:autoSpaceDE w:val="0"/>
              <w:autoSpaceDN w:val="0"/>
              <w:adjustRightInd w:val="0"/>
              <w:spacing w:line="360" w:lineRule="auto"/>
              <w:jc w:val="center"/>
              <w:rPr>
                <w:rFonts w:ascii="宋体" w:hAnsi="宋体" w:eastAsia="宋体" w:cs="宋体"/>
                <w:color w:val="auto"/>
                <w:kern w:val="0"/>
                <w:szCs w:val="21"/>
                <w:highlight w:val="none"/>
              </w:rPr>
            </w:pPr>
          </w:p>
        </w:tc>
      </w:tr>
      <w:tr w14:paraId="1F0CE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64E3E4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7DB68A9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ADE7D21">
            <w:pPr>
              <w:autoSpaceDE w:val="0"/>
              <w:autoSpaceDN w:val="0"/>
              <w:adjustRightInd w:val="0"/>
              <w:spacing w:line="360" w:lineRule="auto"/>
              <w:jc w:val="center"/>
              <w:rPr>
                <w:rFonts w:ascii="宋体" w:hAnsi="宋体" w:eastAsia="宋体" w:cs="宋体"/>
                <w:color w:val="auto"/>
                <w:kern w:val="0"/>
                <w:szCs w:val="21"/>
                <w:highlight w:val="none"/>
              </w:rPr>
            </w:pPr>
          </w:p>
        </w:tc>
      </w:tr>
    </w:tbl>
    <w:p w14:paraId="4E720DA1">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975CBF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662EAAAD">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3DA6AFFB">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703168C0">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191" w:right="1043" w:bottom="1191" w:left="1043"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47"/>
    <w:bookmarkEnd w:id="748"/>
    <w:bookmarkEnd w:id="749"/>
    <w:bookmarkEnd w:id="750"/>
    <w:p w14:paraId="383A53C0">
      <w:pPr>
        <w:tabs>
          <w:tab w:val="left" w:pos="567"/>
        </w:tabs>
        <w:autoSpaceDE w:val="0"/>
        <w:autoSpaceDN w:val="0"/>
        <w:adjustRightInd w:val="0"/>
        <w:spacing w:line="360" w:lineRule="auto"/>
        <w:jc w:val="left"/>
        <w:outlineLvl w:val="1"/>
        <w:rPr>
          <w:rFonts w:hint="eastAsia" w:ascii="宋体" w:hAnsi="宋体" w:eastAsia="宋体" w:cs="宋体"/>
          <w:b/>
          <w:color w:val="auto"/>
          <w:sz w:val="32"/>
          <w:szCs w:val="32"/>
          <w:highlight w:val="none"/>
          <w:lang w:val="zh-CN" w:eastAsia="zh-CN"/>
        </w:rPr>
      </w:pPr>
      <w:bookmarkStart w:id="751" w:name="_Toc9966"/>
      <w:bookmarkStart w:id="752" w:name="_Toc22263"/>
      <w:bookmarkStart w:id="753" w:name="_Toc12417"/>
      <w:bookmarkStart w:id="754" w:name="_Toc104991883"/>
      <w:bookmarkStart w:id="755" w:name="_Toc15551"/>
      <w:bookmarkStart w:id="756" w:name="_Toc142508376"/>
      <w:bookmarkStart w:id="757" w:name="_Toc1977736"/>
      <w:bookmarkStart w:id="758" w:name="_Toc94107217"/>
      <w:bookmarkStart w:id="759" w:name="_Toc102860081"/>
      <w:bookmarkStart w:id="760" w:name="_Toc102860425"/>
      <w:bookmarkStart w:id="761" w:name="_Toc486167716"/>
      <w:bookmarkStart w:id="762" w:name="_Toc533708130"/>
      <w:bookmarkStart w:id="763" w:name="_Toc739_WPSOffice_Level2"/>
      <w:bookmarkStart w:id="764" w:name="_Toc140596936"/>
      <w:bookmarkStart w:id="765" w:name="_Toc20034"/>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val="zh-CN" w:eastAsia="zh-CN"/>
        </w:rPr>
        <w:t>、合同条款偏离表格式</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6BF53DF8">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66" w:name="_Toc26412_WPSOffice_Level3"/>
      <w:r>
        <w:rPr>
          <w:rFonts w:hint="eastAsia" w:ascii="宋体" w:hAnsi="宋体" w:eastAsia="宋体" w:cs="宋体"/>
          <w:b/>
          <w:bCs/>
          <w:color w:val="auto"/>
          <w:kern w:val="0"/>
          <w:sz w:val="28"/>
          <w:szCs w:val="30"/>
          <w:highlight w:val="none"/>
          <w:lang w:val="zh-CN"/>
        </w:rPr>
        <w:t>东莞市水务集团净水有限公司2025年生产药剂液体复合碳源采购项目合同条款偏离表</w:t>
      </w:r>
      <w:bookmarkEnd w:id="766"/>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D83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74C3A4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6CD8DB7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02F646F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6672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0F38B4AA">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0F3D2AA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BD7E8C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CC472A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009813D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FFE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B9E4C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4F4E255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387FEF9F">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5369338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C3B6937">
            <w:pPr>
              <w:autoSpaceDE w:val="0"/>
              <w:autoSpaceDN w:val="0"/>
              <w:adjustRightInd w:val="0"/>
              <w:spacing w:line="400" w:lineRule="exact"/>
              <w:jc w:val="center"/>
              <w:rPr>
                <w:rFonts w:ascii="宋体" w:hAnsi="宋体" w:eastAsia="宋体" w:cs="宋体"/>
                <w:color w:val="auto"/>
                <w:kern w:val="0"/>
                <w:szCs w:val="21"/>
                <w:highlight w:val="none"/>
              </w:rPr>
            </w:pPr>
          </w:p>
        </w:tc>
      </w:tr>
      <w:tr w14:paraId="0132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FB932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7641D42C">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第二条</w:t>
            </w:r>
          </w:p>
        </w:tc>
        <w:tc>
          <w:tcPr>
            <w:tcW w:w="3055" w:type="dxa"/>
            <w:vAlign w:val="center"/>
          </w:tcPr>
          <w:p w14:paraId="772506FC">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合同价款及销项税价</w:t>
            </w:r>
          </w:p>
        </w:tc>
        <w:tc>
          <w:tcPr>
            <w:tcW w:w="1346" w:type="dxa"/>
            <w:vAlign w:val="center"/>
          </w:tcPr>
          <w:p w14:paraId="3E41E66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D356D53">
            <w:pPr>
              <w:autoSpaceDE w:val="0"/>
              <w:autoSpaceDN w:val="0"/>
              <w:adjustRightInd w:val="0"/>
              <w:spacing w:line="400" w:lineRule="exact"/>
              <w:jc w:val="center"/>
              <w:rPr>
                <w:rFonts w:ascii="宋体" w:hAnsi="宋体" w:eastAsia="宋体" w:cs="宋体"/>
                <w:color w:val="auto"/>
                <w:kern w:val="0"/>
                <w:szCs w:val="21"/>
                <w:highlight w:val="none"/>
              </w:rPr>
            </w:pPr>
          </w:p>
        </w:tc>
      </w:tr>
      <w:tr w14:paraId="4D7F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10DB08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37F2EB26">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第三条</w:t>
            </w:r>
          </w:p>
        </w:tc>
        <w:tc>
          <w:tcPr>
            <w:tcW w:w="3055" w:type="dxa"/>
            <w:vAlign w:val="center"/>
          </w:tcPr>
          <w:p w14:paraId="035CF451">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合同组成</w:t>
            </w:r>
          </w:p>
        </w:tc>
        <w:tc>
          <w:tcPr>
            <w:tcW w:w="1346" w:type="dxa"/>
            <w:vAlign w:val="center"/>
          </w:tcPr>
          <w:p w14:paraId="7600DCE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D147760">
            <w:pPr>
              <w:autoSpaceDE w:val="0"/>
              <w:autoSpaceDN w:val="0"/>
              <w:adjustRightInd w:val="0"/>
              <w:spacing w:line="400" w:lineRule="exact"/>
              <w:jc w:val="center"/>
              <w:rPr>
                <w:rFonts w:ascii="宋体" w:hAnsi="宋体" w:eastAsia="宋体" w:cs="宋体"/>
                <w:color w:val="auto"/>
                <w:kern w:val="0"/>
                <w:szCs w:val="21"/>
                <w:highlight w:val="none"/>
              </w:rPr>
            </w:pPr>
          </w:p>
        </w:tc>
      </w:tr>
      <w:tr w14:paraId="2E5C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77945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6027F2FD">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第四条</w:t>
            </w:r>
          </w:p>
        </w:tc>
        <w:tc>
          <w:tcPr>
            <w:tcW w:w="3055" w:type="dxa"/>
            <w:vAlign w:val="center"/>
          </w:tcPr>
          <w:p w14:paraId="25B81C1F">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技术要求及质量要求</w:t>
            </w:r>
          </w:p>
        </w:tc>
        <w:tc>
          <w:tcPr>
            <w:tcW w:w="1346" w:type="dxa"/>
            <w:vAlign w:val="center"/>
          </w:tcPr>
          <w:p w14:paraId="443A5BA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4B2711C">
            <w:pPr>
              <w:autoSpaceDE w:val="0"/>
              <w:autoSpaceDN w:val="0"/>
              <w:adjustRightInd w:val="0"/>
              <w:spacing w:line="400" w:lineRule="exact"/>
              <w:jc w:val="center"/>
              <w:rPr>
                <w:rFonts w:ascii="宋体" w:hAnsi="宋体" w:eastAsia="宋体" w:cs="宋体"/>
                <w:color w:val="auto"/>
                <w:kern w:val="0"/>
                <w:szCs w:val="21"/>
                <w:highlight w:val="none"/>
              </w:rPr>
            </w:pPr>
          </w:p>
        </w:tc>
      </w:tr>
      <w:tr w14:paraId="6BDB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5E344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0A109F5F">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第五条</w:t>
            </w:r>
          </w:p>
        </w:tc>
        <w:tc>
          <w:tcPr>
            <w:tcW w:w="3055" w:type="dxa"/>
            <w:vAlign w:val="center"/>
          </w:tcPr>
          <w:p w14:paraId="2FA0FC7B">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交货要求</w:t>
            </w:r>
          </w:p>
        </w:tc>
        <w:tc>
          <w:tcPr>
            <w:tcW w:w="1346" w:type="dxa"/>
            <w:vAlign w:val="center"/>
          </w:tcPr>
          <w:p w14:paraId="1B4F679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B2405AF">
            <w:pPr>
              <w:autoSpaceDE w:val="0"/>
              <w:autoSpaceDN w:val="0"/>
              <w:adjustRightInd w:val="0"/>
              <w:spacing w:line="400" w:lineRule="exact"/>
              <w:jc w:val="center"/>
              <w:rPr>
                <w:rFonts w:ascii="宋体" w:hAnsi="宋体" w:eastAsia="宋体" w:cs="宋体"/>
                <w:color w:val="auto"/>
                <w:kern w:val="0"/>
                <w:szCs w:val="21"/>
                <w:highlight w:val="none"/>
              </w:rPr>
            </w:pPr>
          </w:p>
        </w:tc>
      </w:tr>
      <w:tr w14:paraId="5E27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508CE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5BB55585">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第六条</w:t>
            </w:r>
          </w:p>
        </w:tc>
        <w:tc>
          <w:tcPr>
            <w:tcW w:w="3055" w:type="dxa"/>
            <w:vAlign w:val="center"/>
          </w:tcPr>
          <w:p w14:paraId="281C124C">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储存</w:t>
            </w:r>
          </w:p>
        </w:tc>
        <w:tc>
          <w:tcPr>
            <w:tcW w:w="1346" w:type="dxa"/>
            <w:vAlign w:val="center"/>
          </w:tcPr>
          <w:p w14:paraId="304CD10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B413D19">
            <w:pPr>
              <w:autoSpaceDE w:val="0"/>
              <w:autoSpaceDN w:val="0"/>
              <w:adjustRightInd w:val="0"/>
              <w:spacing w:line="400" w:lineRule="exact"/>
              <w:jc w:val="center"/>
              <w:rPr>
                <w:rFonts w:ascii="宋体" w:hAnsi="宋体" w:eastAsia="宋体" w:cs="宋体"/>
                <w:color w:val="auto"/>
                <w:kern w:val="0"/>
                <w:szCs w:val="21"/>
                <w:highlight w:val="none"/>
              </w:rPr>
            </w:pPr>
          </w:p>
        </w:tc>
      </w:tr>
      <w:tr w14:paraId="34A6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2E1C6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3720E218">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第七条</w:t>
            </w:r>
          </w:p>
        </w:tc>
        <w:tc>
          <w:tcPr>
            <w:tcW w:w="3055" w:type="dxa"/>
            <w:vAlign w:val="center"/>
          </w:tcPr>
          <w:p w14:paraId="5CEE2618">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验收要求</w:t>
            </w:r>
          </w:p>
        </w:tc>
        <w:tc>
          <w:tcPr>
            <w:tcW w:w="1346" w:type="dxa"/>
            <w:vAlign w:val="center"/>
          </w:tcPr>
          <w:p w14:paraId="1501481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D70FACC">
            <w:pPr>
              <w:autoSpaceDE w:val="0"/>
              <w:autoSpaceDN w:val="0"/>
              <w:adjustRightInd w:val="0"/>
              <w:spacing w:line="400" w:lineRule="exact"/>
              <w:jc w:val="center"/>
              <w:rPr>
                <w:rFonts w:ascii="宋体" w:hAnsi="宋体" w:eastAsia="宋体" w:cs="宋体"/>
                <w:color w:val="auto"/>
                <w:kern w:val="0"/>
                <w:szCs w:val="21"/>
                <w:highlight w:val="none"/>
              </w:rPr>
            </w:pPr>
          </w:p>
        </w:tc>
      </w:tr>
      <w:tr w14:paraId="49A8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78F70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2AEB5853">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第八条</w:t>
            </w:r>
          </w:p>
        </w:tc>
        <w:tc>
          <w:tcPr>
            <w:tcW w:w="3055" w:type="dxa"/>
            <w:vAlign w:val="center"/>
          </w:tcPr>
          <w:p w14:paraId="402D6980">
            <w:pPr>
              <w:pStyle w:val="63"/>
              <w:snapToGrid w:val="0"/>
              <w:spacing w:line="240" w:lineRule="auto"/>
              <w:ind w:firstLine="0" w:firstLineChars="0"/>
              <w:jc w:val="center"/>
              <w:rPr>
                <w:rFonts w:hint="eastAsia"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资料</w:t>
            </w:r>
            <w:r>
              <w:rPr>
                <w:rFonts w:ascii="宋体" w:eastAsia="宋体"/>
                <w:color w:val="auto"/>
                <w:sz w:val="21"/>
                <w:szCs w:val="21"/>
                <w:highlight w:val="none"/>
              </w:rPr>
              <w:t>要求</w:t>
            </w:r>
          </w:p>
        </w:tc>
        <w:tc>
          <w:tcPr>
            <w:tcW w:w="1346" w:type="dxa"/>
            <w:vAlign w:val="center"/>
          </w:tcPr>
          <w:p w14:paraId="08A0467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40AB151">
            <w:pPr>
              <w:autoSpaceDE w:val="0"/>
              <w:autoSpaceDN w:val="0"/>
              <w:adjustRightInd w:val="0"/>
              <w:spacing w:line="400" w:lineRule="exact"/>
              <w:jc w:val="center"/>
              <w:rPr>
                <w:rFonts w:ascii="宋体" w:hAnsi="宋体" w:eastAsia="宋体" w:cs="宋体"/>
                <w:color w:val="auto"/>
                <w:kern w:val="0"/>
                <w:szCs w:val="21"/>
                <w:highlight w:val="none"/>
              </w:rPr>
            </w:pPr>
          </w:p>
        </w:tc>
      </w:tr>
      <w:tr w14:paraId="4006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5D448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02A719E">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第九条</w:t>
            </w:r>
          </w:p>
        </w:tc>
        <w:tc>
          <w:tcPr>
            <w:tcW w:w="3055" w:type="dxa"/>
            <w:vAlign w:val="center"/>
          </w:tcPr>
          <w:p w14:paraId="4023FB3B">
            <w:pPr>
              <w:pStyle w:val="63"/>
              <w:snapToGrid w:val="0"/>
              <w:spacing w:line="240" w:lineRule="auto"/>
              <w:ind w:firstLine="0" w:firstLineChars="0"/>
              <w:jc w:val="center"/>
              <w:rPr>
                <w:rFonts w:hint="eastAsia"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权利保证</w:t>
            </w:r>
          </w:p>
        </w:tc>
        <w:tc>
          <w:tcPr>
            <w:tcW w:w="1346" w:type="dxa"/>
            <w:vAlign w:val="center"/>
          </w:tcPr>
          <w:p w14:paraId="0D0128E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23B03C7">
            <w:pPr>
              <w:autoSpaceDE w:val="0"/>
              <w:autoSpaceDN w:val="0"/>
              <w:adjustRightInd w:val="0"/>
              <w:spacing w:line="400" w:lineRule="exact"/>
              <w:jc w:val="center"/>
              <w:rPr>
                <w:rFonts w:ascii="宋体" w:hAnsi="宋体" w:eastAsia="宋体" w:cs="宋体"/>
                <w:color w:val="auto"/>
                <w:kern w:val="0"/>
                <w:szCs w:val="21"/>
                <w:highlight w:val="none"/>
              </w:rPr>
            </w:pPr>
          </w:p>
        </w:tc>
      </w:tr>
      <w:tr w14:paraId="6A34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88C76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6470F859">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第十条</w:t>
            </w:r>
          </w:p>
        </w:tc>
        <w:tc>
          <w:tcPr>
            <w:tcW w:w="3055" w:type="dxa"/>
            <w:vAlign w:val="center"/>
          </w:tcPr>
          <w:p w14:paraId="6585ADFA">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质量保证及售后服务</w:t>
            </w:r>
          </w:p>
        </w:tc>
        <w:tc>
          <w:tcPr>
            <w:tcW w:w="1346" w:type="dxa"/>
            <w:vAlign w:val="center"/>
          </w:tcPr>
          <w:p w14:paraId="138A617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7D84B20">
            <w:pPr>
              <w:autoSpaceDE w:val="0"/>
              <w:autoSpaceDN w:val="0"/>
              <w:adjustRightInd w:val="0"/>
              <w:spacing w:line="400" w:lineRule="exact"/>
              <w:jc w:val="center"/>
              <w:rPr>
                <w:rFonts w:ascii="宋体" w:hAnsi="宋体" w:eastAsia="宋体" w:cs="宋体"/>
                <w:color w:val="auto"/>
                <w:kern w:val="0"/>
                <w:szCs w:val="21"/>
                <w:highlight w:val="none"/>
              </w:rPr>
            </w:pPr>
          </w:p>
        </w:tc>
      </w:tr>
      <w:tr w14:paraId="2E6F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40C986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3D054F25">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第十一条</w:t>
            </w:r>
          </w:p>
        </w:tc>
        <w:tc>
          <w:tcPr>
            <w:tcW w:w="3055" w:type="dxa"/>
            <w:vAlign w:val="center"/>
          </w:tcPr>
          <w:p w14:paraId="1E5B22D6">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履约担保</w:t>
            </w:r>
          </w:p>
        </w:tc>
        <w:tc>
          <w:tcPr>
            <w:tcW w:w="1346" w:type="dxa"/>
            <w:vAlign w:val="center"/>
          </w:tcPr>
          <w:p w14:paraId="77755A5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985B247">
            <w:pPr>
              <w:autoSpaceDE w:val="0"/>
              <w:autoSpaceDN w:val="0"/>
              <w:adjustRightInd w:val="0"/>
              <w:spacing w:line="400" w:lineRule="exact"/>
              <w:jc w:val="center"/>
              <w:rPr>
                <w:rFonts w:ascii="宋体" w:hAnsi="宋体" w:eastAsia="宋体" w:cs="宋体"/>
                <w:color w:val="auto"/>
                <w:kern w:val="0"/>
                <w:szCs w:val="21"/>
                <w:highlight w:val="none"/>
              </w:rPr>
            </w:pPr>
          </w:p>
        </w:tc>
      </w:tr>
      <w:tr w14:paraId="2A9C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6E54A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309754F1">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第十二条</w:t>
            </w:r>
          </w:p>
        </w:tc>
        <w:tc>
          <w:tcPr>
            <w:tcW w:w="3055" w:type="dxa"/>
            <w:vAlign w:val="center"/>
          </w:tcPr>
          <w:p w14:paraId="6FAD040A">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付款方式</w:t>
            </w:r>
          </w:p>
        </w:tc>
        <w:tc>
          <w:tcPr>
            <w:tcW w:w="1346" w:type="dxa"/>
            <w:vAlign w:val="center"/>
          </w:tcPr>
          <w:p w14:paraId="4C84420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665C719">
            <w:pPr>
              <w:autoSpaceDE w:val="0"/>
              <w:autoSpaceDN w:val="0"/>
              <w:adjustRightInd w:val="0"/>
              <w:spacing w:line="400" w:lineRule="exact"/>
              <w:jc w:val="center"/>
              <w:rPr>
                <w:rFonts w:ascii="宋体" w:hAnsi="宋体" w:eastAsia="宋体" w:cs="宋体"/>
                <w:color w:val="auto"/>
                <w:kern w:val="0"/>
                <w:szCs w:val="21"/>
                <w:highlight w:val="none"/>
              </w:rPr>
            </w:pPr>
          </w:p>
        </w:tc>
      </w:tr>
      <w:tr w14:paraId="341C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442D1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480D5A17">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第十三条</w:t>
            </w:r>
          </w:p>
        </w:tc>
        <w:tc>
          <w:tcPr>
            <w:tcW w:w="3055" w:type="dxa"/>
            <w:vAlign w:val="center"/>
          </w:tcPr>
          <w:p w14:paraId="385EEB75">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不可抗力</w:t>
            </w:r>
          </w:p>
        </w:tc>
        <w:tc>
          <w:tcPr>
            <w:tcW w:w="1346" w:type="dxa"/>
            <w:vAlign w:val="center"/>
          </w:tcPr>
          <w:p w14:paraId="25B873A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C21ADF4">
            <w:pPr>
              <w:autoSpaceDE w:val="0"/>
              <w:autoSpaceDN w:val="0"/>
              <w:adjustRightInd w:val="0"/>
              <w:spacing w:line="400" w:lineRule="exact"/>
              <w:jc w:val="center"/>
              <w:rPr>
                <w:rFonts w:ascii="宋体" w:hAnsi="宋体" w:eastAsia="宋体" w:cs="宋体"/>
                <w:color w:val="auto"/>
                <w:kern w:val="0"/>
                <w:szCs w:val="21"/>
                <w:highlight w:val="none"/>
              </w:rPr>
            </w:pPr>
          </w:p>
        </w:tc>
      </w:tr>
      <w:tr w14:paraId="4F1B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2D2F9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6D367783">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第十四条</w:t>
            </w:r>
          </w:p>
        </w:tc>
        <w:tc>
          <w:tcPr>
            <w:tcW w:w="3055" w:type="dxa"/>
            <w:vAlign w:val="center"/>
          </w:tcPr>
          <w:p w14:paraId="7474A8C0">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索赔</w:t>
            </w:r>
          </w:p>
        </w:tc>
        <w:tc>
          <w:tcPr>
            <w:tcW w:w="1346" w:type="dxa"/>
            <w:vAlign w:val="center"/>
          </w:tcPr>
          <w:p w14:paraId="43D6B44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34B1005">
            <w:pPr>
              <w:autoSpaceDE w:val="0"/>
              <w:autoSpaceDN w:val="0"/>
              <w:adjustRightInd w:val="0"/>
              <w:spacing w:line="400" w:lineRule="exact"/>
              <w:jc w:val="center"/>
              <w:rPr>
                <w:rFonts w:ascii="宋体" w:hAnsi="宋体" w:eastAsia="宋体" w:cs="宋体"/>
                <w:color w:val="auto"/>
                <w:kern w:val="0"/>
                <w:szCs w:val="21"/>
                <w:highlight w:val="none"/>
              </w:rPr>
            </w:pPr>
          </w:p>
        </w:tc>
      </w:tr>
      <w:tr w14:paraId="18DA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7FC16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261CB030">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第十五条</w:t>
            </w:r>
          </w:p>
        </w:tc>
        <w:tc>
          <w:tcPr>
            <w:tcW w:w="3055" w:type="dxa"/>
            <w:vAlign w:val="center"/>
          </w:tcPr>
          <w:p w14:paraId="76971495">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违约责任</w:t>
            </w:r>
          </w:p>
        </w:tc>
        <w:tc>
          <w:tcPr>
            <w:tcW w:w="1346" w:type="dxa"/>
            <w:vAlign w:val="center"/>
          </w:tcPr>
          <w:p w14:paraId="2CEB22D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9338A88">
            <w:pPr>
              <w:autoSpaceDE w:val="0"/>
              <w:autoSpaceDN w:val="0"/>
              <w:adjustRightInd w:val="0"/>
              <w:spacing w:line="400" w:lineRule="exact"/>
              <w:jc w:val="center"/>
              <w:rPr>
                <w:rFonts w:ascii="宋体" w:hAnsi="宋体" w:eastAsia="宋体" w:cs="宋体"/>
                <w:color w:val="auto"/>
                <w:kern w:val="0"/>
                <w:szCs w:val="21"/>
                <w:highlight w:val="none"/>
              </w:rPr>
            </w:pPr>
          </w:p>
        </w:tc>
      </w:tr>
      <w:tr w14:paraId="5CFC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FC2D9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7D7BFE03">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第十六条</w:t>
            </w:r>
          </w:p>
        </w:tc>
        <w:tc>
          <w:tcPr>
            <w:tcW w:w="3055" w:type="dxa"/>
            <w:vAlign w:val="center"/>
          </w:tcPr>
          <w:p w14:paraId="3A97D4D3">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争议解决</w:t>
            </w:r>
          </w:p>
        </w:tc>
        <w:tc>
          <w:tcPr>
            <w:tcW w:w="1346" w:type="dxa"/>
            <w:vAlign w:val="center"/>
          </w:tcPr>
          <w:p w14:paraId="6B51EC0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7C2C101">
            <w:pPr>
              <w:autoSpaceDE w:val="0"/>
              <w:autoSpaceDN w:val="0"/>
              <w:adjustRightInd w:val="0"/>
              <w:spacing w:line="400" w:lineRule="exact"/>
              <w:jc w:val="center"/>
              <w:rPr>
                <w:rFonts w:ascii="宋体" w:hAnsi="宋体" w:eastAsia="宋体" w:cs="宋体"/>
                <w:color w:val="auto"/>
                <w:kern w:val="0"/>
                <w:szCs w:val="21"/>
                <w:highlight w:val="none"/>
              </w:rPr>
            </w:pPr>
          </w:p>
        </w:tc>
      </w:tr>
      <w:tr w14:paraId="0C43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53367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63A120D4">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第十七条</w:t>
            </w:r>
          </w:p>
        </w:tc>
        <w:tc>
          <w:tcPr>
            <w:tcW w:w="3055" w:type="dxa"/>
            <w:vAlign w:val="center"/>
          </w:tcPr>
          <w:p w14:paraId="5C9B8274">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其他</w:t>
            </w:r>
          </w:p>
        </w:tc>
        <w:tc>
          <w:tcPr>
            <w:tcW w:w="1346" w:type="dxa"/>
            <w:vAlign w:val="center"/>
          </w:tcPr>
          <w:p w14:paraId="5E3B046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E7A1A75">
            <w:pPr>
              <w:autoSpaceDE w:val="0"/>
              <w:autoSpaceDN w:val="0"/>
              <w:adjustRightInd w:val="0"/>
              <w:spacing w:line="400" w:lineRule="exact"/>
              <w:jc w:val="center"/>
              <w:rPr>
                <w:rFonts w:ascii="宋体" w:hAnsi="宋体" w:eastAsia="宋体" w:cs="宋体"/>
                <w:color w:val="auto"/>
                <w:kern w:val="0"/>
                <w:szCs w:val="21"/>
                <w:highlight w:val="none"/>
              </w:rPr>
            </w:pPr>
          </w:p>
        </w:tc>
      </w:tr>
      <w:tr w14:paraId="3104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686A1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2E4A8CD1">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附件</w:t>
            </w:r>
            <w:r>
              <w:rPr>
                <w:rFonts w:ascii="宋体" w:eastAsia="宋体"/>
                <w:color w:val="auto"/>
                <w:sz w:val="21"/>
                <w:szCs w:val="21"/>
                <w:highlight w:val="none"/>
              </w:rPr>
              <w:t>2</w:t>
            </w:r>
          </w:p>
        </w:tc>
        <w:tc>
          <w:tcPr>
            <w:tcW w:w="3055" w:type="dxa"/>
            <w:vAlign w:val="center"/>
          </w:tcPr>
          <w:p w14:paraId="143AA715">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供应商履约评价表</w:t>
            </w:r>
          </w:p>
        </w:tc>
        <w:tc>
          <w:tcPr>
            <w:tcW w:w="1346" w:type="dxa"/>
            <w:vAlign w:val="center"/>
          </w:tcPr>
          <w:p w14:paraId="2207CCE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C99AC87">
            <w:pPr>
              <w:autoSpaceDE w:val="0"/>
              <w:autoSpaceDN w:val="0"/>
              <w:adjustRightInd w:val="0"/>
              <w:spacing w:line="400" w:lineRule="exact"/>
              <w:jc w:val="center"/>
              <w:rPr>
                <w:rFonts w:ascii="宋体" w:hAnsi="宋体" w:eastAsia="宋体" w:cs="宋体"/>
                <w:color w:val="auto"/>
                <w:kern w:val="0"/>
                <w:szCs w:val="21"/>
                <w:highlight w:val="none"/>
              </w:rPr>
            </w:pPr>
          </w:p>
        </w:tc>
      </w:tr>
      <w:tr w14:paraId="5446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44244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04AC218C">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附件</w:t>
            </w:r>
            <w:r>
              <w:rPr>
                <w:rFonts w:ascii="宋体" w:eastAsia="宋体"/>
                <w:color w:val="auto"/>
                <w:sz w:val="21"/>
                <w:szCs w:val="21"/>
                <w:highlight w:val="none"/>
              </w:rPr>
              <w:t>3</w:t>
            </w:r>
          </w:p>
        </w:tc>
        <w:tc>
          <w:tcPr>
            <w:tcW w:w="3055" w:type="dxa"/>
            <w:vAlign w:val="center"/>
          </w:tcPr>
          <w:p w14:paraId="79C0D4CF">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廉洁协议书</w:t>
            </w:r>
          </w:p>
        </w:tc>
        <w:tc>
          <w:tcPr>
            <w:tcW w:w="1346" w:type="dxa"/>
            <w:vAlign w:val="center"/>
          </w:tcPr>
          <w:p w14:paraId="0475984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3E00361">
            <w:pPr>
              <w:autoSpaceDE w:val="0"/>
              <w:autoSpaceDN w:val="0"/>
              <w:adjustRightInd w:val="0"/>
              <w:spacing w:line="400" w:lineRule="exact"/>
              <w:jc w:val="center"/>
              <w:rPr>
                <w:rFonts w:ascii="宋体" w:hAnsi="宋体" w:eastAsia="宋体" w:cs="宋体"/>
                <w:color w:val="auto"/>
                <w:kern w:val="0"/>
                <w:szCs w:val="21"/>
                <w:highlight w:val="none"/>
              </w:rPr>
            </w:pPr>
          </w:p>
        </w:tc>
      </w:tr>
      <w:tr w14:paraId="0564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DAF5B2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1EB8BDC2">
            <w:pPr>
              <w:pStyle w:val="63"/>
              <w:snapToGrid w:val="0"/>
              <w:spacing w:line="240" w:lineRule="auto"/>
              <w:ind w:firstLine="0" w:firstLineChars="0"/>
              <w:jc w:val="center"/>
              <w:rPr>
                <w:rFonts w:hint="eastAsia"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附件</w:t>
            </w:r>
            <w:r>
              <w:rPr>
                <w:rFonts w:ascii="宋体" w:eastAsia="宋体"/>
                <w:color w:val="auto"/>
                <w:sz w:val="21"/>
                <w:szCs w:val="21"/>
                <w:highlight w:val="none"/>
              </w:rPr>
              <w:t>4</w:t>
            </w:r>
          </w:p>
        </w:tc>
        <w:tc>
          <w:tcPr>
            <w:tcW w:w="3055" w:type="dxa"/>
            <w:vAlign w:val="center"/>
          </w:tcPr>
          <w:p w14:paraId="090B4385">
            <w:pPr>
              <w:pStyle w:val="63"/>
              <w:snapToGrid w:val="0"/>
              <w:spacing w:line="240" w:lineRule="auto"/>
              <w:ind w:firstLine="0" w:firstLineChars="0"/>
              <w:jc w:val="center"/>
              <w:rPr>
                <w:rFonts w:hint="eastAsia"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安全生产管理协议</w:t>
            </w:r>
          </w:p>
        </w:tc>
        <w:tc>
          <w:tcPr>
            <w:tcW w:w="1346" w:type="dxa"/>
            <w:vAlign w:val="center"/>
          </w:tcPr>
          <w:p w14:paraId="4F13B77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108AEF1">
            <w:pPr>
              <w:autoSpaceDE w:val="0"/>
              <w:autoSpaceDN w:val="0"/>
              <w:adjustRightInd w:val="0"/>
              <w:spacing w:line="400" w:lineRule="exact"/>
              <w:jc w:val="center"/>
              <w:rPr>
                <w:rFonts w:ascii="宋体" w:hAnsi="宋体" w:eastAsia="宋体" w:cs="宋体"/>
                <w:color w:val="auto"/>
                <w:kern w:val="0"/>
                <w:szCs w:val="21"/>
                <w:highlight w:val="none"/>
              </w:rPr>
            </w:pPr>
          </w:p>
        </w:tc>
      </w:tr>
      <w:tr w14:paraId="548D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28766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68C4E317">
            <w:pPr>
              <w:pStyle w:val="63"/>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w:t>
            </w:r>
          </w:p>
        </w:tc>
        <w:tc>
          <w:tcPr>
            <w:tcW w:w="3055" w:type="dxa"/>
            <w:vAlign w:val="center"/>
          </w:tcPr>
          <w:p w14:paraId="7064948F">
            <w:pPr>
              <w:pStyle w:val="63"/>
              <w:snapToGrid w:val="0"/>
              <w:spacing w:line="240" w:lineRule="auto"/>
              <w:ind w:firstLine="0" w:firstLineChars="0"/>
              <w:jc w:val="center"/>
              <w:rPr>
                <w:rFonts w:hint="default"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补充协议</w:t>
            </w:r>
          </w:p>
        </w:tc>
        <w:tc>
          <w:tcPr>
            <w:tcW w:w="1346" w:type="dxa"/>
            <w:vAlign w:val="center"/>
          </w:tcPr>
          <w:p w14:paraId="07F73AA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402969D">
            <w:pPr>
              <w:autoSpaceDE w:val="0"/>
              <w:autoSpaceDN w:val="0"/>
              <w:adjustRightInd w:val="0"/>
              <w:spacing w:line="400" w:lineRule="exact"/>
              <w:jc w:val="center"/>
              <w:rPr>
                <w:rFonts w:ascii="宋体" w:hAnsi="宋体" w:eastAsia="宋体" w:cs="宋体"/>
                <w:color w:val="auto"/>
                <w:kern w:val="0"/>
                <w:szCs w:val="21"/>
                <w:highlight w:val="none"/>
              </w:rPr>
            </w:pPr>
          </w:p>
        </w:tc>
      </w:tr>
      <w:tr w14:paraId="11EF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F0426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623813E8">
            <w:pPr>
              <w:pStyle w:val="63"/>
              <w:snapToGrid w:val="0"/>
              <w:spacing w:line="240" w:lineRule="auto"/>
              <w:ind w:firstLine="0" w:firstLineChars="0"/>
              <w:jc w:val="center"/>
              <w:rPr>
                <w:rFonts w:hint="eastAsia"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一</w:t>
            </w:r>
          </w:p>
        </w:tc>
        <w:tc>
          <w:tcPr>
            <w:tcW w:w="3055" w:type="dxa"/>
            <w:vAlign w:val="center"/>
          </w:tcPr>
          <w:p w14:paraId="6831A59C">
            <w:pPr>
              <w:pStyle w:val="63"/>
              <w:snapToGrid w:val="0"/>
              <w:spacing w:line="240" w:lineRule="auto"/>
              <w:ind w:firstLine="0" w:firstLineChars="0"/>
              <w:jc w:val="center"/>
              <w:rPr>
                <w:rFonts w:hint="eastAsia"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不可撤销银行履约保函</w:t>
            </w:r>
          </w:p>
        </w:tc>
        <w:tc>
          <w:tcPr>
            <w:tcW w:w="1346" w:type="dxa"/>
            <w:vAlign w:val="center"/>
          </w:tcPr>
          <w:p w14:paraId="4288179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CB5BEA0">
            <w:pPr>
              <w:autoSpaceDE w:val="0"/>
              <w:autoSpaceDN w:val="0"/>
              <w:adjustRightInd w:val="0"/>
              <w:spacing w:line="400" w:lineRule="exact"/>
              <w:jc w:val="center"/>
              <w:rPr>
                <w:rFonts w:ascii="宋体" w:hAnsi="宋体" w:eastAsia="宋体" w:cs="宋体"/>
                <w:color w:val="auto"/>
                <w:kern w:val="0"/>
                <w:szCs w:val="21"/>
                <w:highlight w:val="none"/>
              </w:rPr>
            </w:pPr>
          </w:p>
        </w:tc>
      </w:tr>
      <w:tr w14:paraId="702E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F9D7C0">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5F64D7CB">
            <w:pPr>
              <w:pStyle w:val="63"/>
              <w:snapToGrid w:val="0"/>
              <w:spacing w:line="240" w:lineRule="auto"/>
              <w:ind w:firstLine="0" w:firstLineChars="0"/>
              <w:jc w:val="center"/>
              <w:rPr>
                <w:rFonts w:hint="eastAsia"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二</w:t>
            </w:r>
          </w:p>
        </w:tc>
        <w:tc>
          <w:tcPr>
            <w:tcW w:w="3055" w:type="dxa"/>
            <w:vAlign w:val="center"/>
          </w:tcPr>
          <w:p w14:paraId="78BB0D85">
            <w:pPr>
              <w:pStyle w:val="63"/>
              <w:snapToGrid w:val="0"/>
              <w:spacing w:line="240" w:lineRule="auto"/>
              <w:ind w:firstLine="0" w:firstLineChars="0"/>
              <w:jc w:val="center"/>
              <w:rPr>
                <w:rFonts w:hint="eastAsia"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履约保证保险凭证</w:t>
            </w:r>
          </w:p>
        </w:tc>
        <w:tc>
          <w:tcPr>
            <w:tcW w:w="1346" w:type="dxa"/>
            <w:vAlign w:val="center"/>
          </w:tcPr>
          <w:p w14:paraId="32E4078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563F454">
            <w:pPr>
              <w:autoSpaceDE w:val="0"/>
              <w:autoSpaceDN w:val="0"/>
              <w:adjustRightInd w:val="0"/>
              <w:spacing w:line="400" w:lineRule="exact"/>
              <w:jc w:val="center"/>
              <w:rPr>
                <w:rFonts w:ascii="宋体" w:hAnsi="宋体" w:eastAsia="宋体" w:cs="宋体"/>
                <w:color w:val="auto"/>
                <w:kern w:val="0"/>
                <w:szCs w:val="21"/>
                <w:highlight w:val="none"/>
              </w:rPr>
            </w:pPr>
          </w:p>
        </w:tc>
      </w:tr>
      <w:tr w14:paraId="650D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857547">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4690B6A6">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三</w:t>
            </w:r>
          </w:p>
        </w:tc>
        <w:tc>
          <w:tcPr>
            <w:tcW w:w="3055" w:type="dxa"/>
            <w:vAlign w:val="center"/>
          </w:tcPr>
          <w:p w14:paraId="13B13312">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担保公司履约担保书</w:t>
            </w:r>
          </w:p>
        </w:tc>
        <w:tc>
          <w:tcPr>
            <w:tcW w:w="1346" w:type="dxa"/>
            <w:vAlign w:val="center"/>
          </w:tcPr>
          <w:p w14:paraId="5F8E336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D408F47">
            <w:pPr>
              <w:autoSpaceDE w:val="0"/>
              <w:autoSpaceDN w:val="0"/>
              <w:adjustRightInd w:val="0"/>
              <w:spacing w:line="400" w:lineRule="exact"/>
              <w:jc w:val="center"/>
              <w:rPr>
                <w:rFonts w:ascii="宋体" w:hAnsi="宋体" w:eastAsia="宋体" w:cs="宋体"/>
                <w:color w:val="auto"/>
                <w:kern w:val="0"/>
                <w:szCs w:val="21"/>
                <w:highlight w:val="none"/>
              </w:rPr>
            </w:pPr>
          </w:p>
        </w:tc>
      </w:tr>
    </w:tbl>
    <w:p w14:paraId="22FF6643">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1841D6E">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402B10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5F32A66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24D2310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470FB60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795CD4A">
      <w:pPr>
        <w:spacing w:line="360" w:lineRule="auto"/>
        <w:ind w:left="357" w:leftChars="-100" w:hanging="567" w:hangingChars="270"/>
        <w:rPr>
          <w:rFonts w:ascii="宋体" w:hAnsi="宋体" w:eastAsia="宋体" w:cs="宋体"/>
          <w:color w:val="auto"/>
          <w:szCs w:val="21"/>
          <w:highlight w:val="none"/>
        </w:rPr>
      </w:pPr>
    </w:p>
    <w:p w14:paraId="50535357">
      <w:pPr>
        <w:spacing w:line="360" w:lineRule="auto"/>
        <w:ind w:left="357" w:leftChars="-100" w:hanging="567" w:hangingChars="270"/>
        <w:rPr>
          <w:rFonts w:ascii="宋体" w:hAnsi="宋体" w:eastAsia="宋体" w:cs="宋体"/>
          <w:color w:val="auto"/>
          <w:szCs w:val="21"/>
          <w:highlight w:val="none"/>
        </w:rPr>
      </w:pPr>
    </w:p>
    <w:p w14:paraId="41D8D4F2">
      <w:pPr>
        <w:spacing w:line="360" w:lineRule="auto"/>
        <w:ind w:left="357" w:leftChars="-100" w:hanging="567" w:hangingChars="270"/>
        <w:rPr>
          <w:rFonts w:ascii="宋体" w:hAnsi="宋体" w:eastAsia="宋体" w:cs="宋体"/>
          <w:color w:val="auto"/>
          <w:szCs w:val="21"/>
          <w:highlight w:val="none"/>
        </w:rPr>
      </w:pPr>
    </w:p>
    <w:p w14:paraId="2B1691DF">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8BF7549">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A171154">
      <w:pPr>
        <w:tabs>
          <w:tab w:val="left" w:pos="567"/>
        </w:tabs>
        <w:autoSpaceDE w:val="0"/>
        <w:autoSpaceDN w:val="0"/>
        <w:adjustRightInd w:val="0"/>
        <w:spacing w:line="360" w:lineRule="auto"/>
        <w:jc w:val="left"/>
        <w:outlineLvl w:val="1"/>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zh-CN" w:eastAsia="zh-CN"/>
        </w:rPr>
        <w:br w:type="page"/>
      </w:r>
      <w:bookmarkStart w:id="767" w:name="_Toc94107218"/>
      <w:bookmarkStart w:id="768" w:name="_Toc104991884"/>
      <w:bookmarkStart w:id="769" w:name="_Toc142508377"/>
      <w:bookmarkStart w:id="770" w:name="_Toc13348"/>
      <w:bookmarkStart w:id="771" w:name="_Toc102860426"/>
      <w:bookmarkStart w:id="772" w:name="_Toc10839"/>
      <w:bookmarkStart w:id="773" w:name="_Toc18451"/>
      <w:bookmarkStart w:id="774" w:name="_Toc102860082"/>
      <w:bookmarkStart w:id="775" w:name="_Toc2075"/>
      <w:bookmarkStart w:id="776" w:name="_Toc140596937"/>
      <w:bookmarkStart w:id="777" w:name="_Toc30072"/>
      <w:bookmarkStart w:id="778" w:name="_Toc27980_WPSOffice_Level2"/>
      <w:bookmarkStart w:id="779" w:name="_Toc486167717"/>
      <w:r>
        <w:rPr>
          <w:rFonts w:hint="eastAsia" w:ascii="宋体" w:hAnsi="宋体" w:eastAsia="宋体" w:cs="宋体"/>
          <w:b/>
          <w:color w:val="auto"/>
          <w:sz w:val="32"/>
          <w:szCs w:val="32"/>
          <w:highlight w:val="none"/>
          <w:lang w:val="en-US" w:eastAsia="zh-CN"/>
        </w:rPr>
        <w:t>九、业绩表格式</w:t>
      </w:r>
      <w:bookmarkEnd w:id="767"/>
      <w:bookmarkEnd w:id="768"/>
      <w:bookmarkEnd w:id="769"/>
      <w:bookmarkEnd w:id="770"/>
      <w:bookmarkEnd w:id="771"/>
      <w:bookmarkEnd w:id="772"/>
      <w:bookmarkEnd w:id="773"/>
      <w:bookmarkEnd w:id="774"/>
      <w:bookmarkEnd w:id="775"/>
      <w:bookmarkEnd w:id="776"/>
      <w:bookmarkEnd w:id="777"/>
    </w:p>
    <w:p w14:paraId="50F56DD4">
      <w:pPr>
        <w:autoSpaceDE w:val="0"/>
        <w:autoSpaceDN w:val="0"/>
        <w:adjustRightInd w:val="0"/>
        <w:spacing w:line="360" w:lineRule="auto"/>
        <w:ind w:firstLine="0"/>
        <w:jc w:val="center"/>
        <w:outlineLvl w:val="9"/>
        <w:rPr>
          <w:rFonts w:hint="eastAsia" w:ascii="宋体" w:hAnsi="宋体" w:eastAsia="宋体" w:cs="Times New Roman"/>
          <w:b/>
          <w:bCs/>
          <w:color w:val="auto"/>
          <w:sz w:val="30"/>
          <w:szCs w:val="30"/>
          <w:highlight w:val="none"/>
          <w:lang w:val="zh-CN"/>
        </w:rPr>
      </w:pPr>
      <w:bookmarkStart w:id="780" w:name="_Toc13226"/>
      <w:bookmarkStart w:id="781" w:name="_Toc30603"/>
      <w:r>
        <w:rPr>
          <w:rFonts w:hint="eastAsia" w:ascii="宋体" w:hAnsi="宋体" w:eastAsia="宋体" w:cs="Times New Roman"/>
          <w:b/>
          <w:bCs/>
          <w:color w:val="auto"/>
          <w:sz w:val="30"/>
          <w:szCs w:val="30"/>
          <w:highlight w:val="none"/>
          <w:lang w:val="en-US" w:eastAsia="zh-CN"/>
        </w:rPr>
        <w:t>投标人</w:t>
      </w:r>
      <w:r>
        <w:rPr>
          <w:rFonts w:hint="eastAsia" w:ascii="宋体" w:hAnsi="宋体" w:eastAsia="宋体" w:cs="Times New Roman"/>
          <w:b/>
          <w:bCs/>
          <w:color w:val="auto"/>
          <w:sz w:val="30"/>
          <w:szCs w:val="30"/>
          <w:highlight w:val="none"/>
          <w:lang w:val="zh-CN"/>
        </w:rPr>
        <w:t>202</w:t>
      </w:r>
      <w:r>
        <w:rPr>
          <w:rFonts w:hint="eastAsia" w:ascii="宋体" w:hAnsi="宋体" w:eastAsia="宋体" w:cs="Times New Roman"/>
          <w:b/>
          <w:bCs/>
          <w:color w:val="auto"/>
          <w:sz w:val="30"/>
          <w:szCs w:val="30"/>
          <w:highlight w:val="none"/>
          <w:lang w:val="en-US" w:eastAsia="zh-CN"/>
        </w:rPr>
        <w:t>1年</w:t>
      </w:r>
      <w:r>
        <w:rPr>
          <w:rFonts w:hint="eastAsia" w:ascii="宋体" w:hAnsi="宋体" w:eastAsia="宋体" w:cs="Times New Roman"/>
          <w:b/>
          <w:bCs/>
          <w:color w:val="auto"/>
          <w:sz w:val="30"/>
          <w:szCs w:val="30"/>
          <w:highlight w:val="none"/>
          <w:lang w:val="zh-CN"/>
        </w:rPr>
        <w:t>1月1日以来</w:t>
      </w:r>
      <w:r>
        <w:rPr>
          <w:rFonts w:hint="eastAsia" w:ascii="宋体" w:hAnsi="宋体" w:eastAsia="宋体" w:cs="Times New Roman"/>
          <w:b/>
          <w:bCs/>
          <w:color w:val="auto"/>
          <w:sz w:val="30"/>
          <w:szCs w:val="30"/>
          <w:highlight w:val="none"/>
          <w:lang w:val="en-US" w:eastAsia="zh-CN"/>
        </w:rPr>
        <w:t>具有的</w:t>
      </w:r>
      <w:r>
        <w:rPr>
          <w:rFonts w:hint="eastAsia" w:ascii="宋体" w:hAnsi="宋体" w:eastAsia="宋体" w:cs="Times New Roman"/>
          <w:b/>
          <w:bCs/>
          <w:color w:val="auto"/>
          <w:sz w:val="30"/>
          <w:szCs w:val="30"/>
          <w:highlight w:val="none"/>
          <w:lang w:val="zh-CN"/>
        </w:rPr>
        <w:t>投标品牌液体复合碳源用于水处理相关工艺</w:t>
      </w:r>
    </w:p>
    <w:p w14:paraId="5A169D2A">
      <w:pPr>
        <w:autoSpaceDE w:val="0"/>
        <w:autoSpaceDN w:val="0"/>
        <w:adjustRightInd w:val="0"/>
        <w:spacing w:line="360" w:lineRule="auto"/>
        <w:ind w:firstLine="0"/>
        <w:jc w:val="center"/>
        <w:outlineLvl w:val="9"/>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供货业绩表</w:t>
      </w:r>
      <w:bookmarkEnd w:id="780"/>
      <w:bookmarkEnd w:id="781"/>
    </w:p>
    <w:p w14:paraId="4F2B916A">
      <w:pPr>
        <w:autoSpaceDE w:val="0"/>
        <w:autoSpaceDN w:val="0"/>
        <w:adjustRightInd w:val="0"/>
        <w:spacing w:line="360" w:lineRule="auto"/>
        <w:ind w:firstLine="0"/>
        <w:jc w:val="center"/>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本项业绩必须为：投标人2021年以来具有的投标品牌液体复合碳源用于水处理相关工艺的供货业绩（合同签订日期为2021年1月1日或以后）。</w:t>
      </w:r>
    </w:p>
    <w:tbl>
      <w:tblPr>
        <w:tblStyle w:val="37"/>
        <w:tblW w:w="438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66"/>
        <w:gridCol w:w="1213"/>
        <w:gridCol w:w="2001"/>
        <w:gridCol w:w="1270"/>
        <w:gridCol w:w="735"/>
        <w:gridCol w:w="822"/>
        <w:gridCol w:w="1364"/>
        <w:gridCol w:w="719"/>
      </w:tblGrid>
      <w:tr w14:paraId="456CC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4"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32DC77D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序号</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8C2ECBD">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w:t>
            </w:r>
          </w:p>
          <w:p w14:paraId="2245E41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 xml:space="preserve">名称 </w:t>
            </w:r>
          </w:p>
        </w:tc>
        <w:tc>
          <w:tcPr>
            <w:tcW w:w="1100" w:type="pct"/>
            <w:tcBorders>
              <w:top w:val="single" w:color="auto" w:sz="4" w:space="0"/>
              <w:left w:val="single" w:color="auto" w:sz="4" w:space="0"/>
              <w:bottom w:val="single" w:color="auto" w:sz="4" w:space="0"/>
              <w:right w:val="single" w:color="auto" w:sz="4" w:space="0"/>
            </w:tcBorders>
            <w:noWrap w:val="0"/>
            <w:vAlign w:val="center"/>
          </w:tcPr>
          <w:p w14:paraId="058238C4">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合同标的货物名称、品牌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数量</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10F46B3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单项合同金额（单位：万元）</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69A774C4">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签约</w:t>
            </w:r>
          </w:p>
          <w:p w14:paraId="62E7B94B">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218F12F0">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完成</w:t>
            </w:r>
          </w:p>
          <w:p w14:paraId="20C4D5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情况</w:t>
            </w:r>
          </w:p>
        </w:tc>
        <w:tc>
          <w:tcPr>
            <w:tcW w:w="750" w:type="pct"/>
            <w:tcBorders>
              <w:top w:val="single" w:color="auto" w:sz="4" w:space="0"/>
              <w:left w:val="single" w:color="auto" w:sz="4" w:space="0"/>
              <w:bottom w:val="single" w:color="auto" w:sz="4" w:space="0"/>
              <w:right w:val="single" w:color="auto" w:sz="4" w:space="0"/>
            </w:tcBorders>
            <w:noWrap w:val="0"/>
            <w:vAlign w:val="center"/>
          </w:tcPr>
          <w:p w14:paraId="2126D99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买方单位联系人及电话</w:t>
            </w:r>
          </w:p>
        </w:tc>
        <w:tc>
          <w:tcPr>
            <w:tcW w:w="395" w:type="pct"/>
            <w:tcBorders>
              <w:top w:val="single" w:color="auto" w:sz="4" w:space="0"/>
              <w:left w:val="single" w:color="auto" w:sz="4" w:space="0"/>
              <w:bottom w:val="single" w:color="auto" w:sz="4" w:space="0"/>
              <w:right w:val="single" w:color="auto" w:sz="4" w:space="0"/>
            </w:tcBorders>
            <w:noWrap w:val="0"/>
            <w:vAlign w:val="center"/>
          </w:tcPr>
          <w:p w14:paraId="5D38EF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备注</w:t>
            </w:r>
          </w:p>
        </w:tc>
      </w:tr>
      <w:tr w14:paraId="2FA67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67E551BF">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F7298BF">
            <w:pPr>
              <w:spacing w:line="360" w:lineRule="auto"/>
              <w:jc w:val="center"/>
              <w:rPr>
                <w:rFonts w:hint="eastAsia" w:ascii="宋体" w:hAnsi="宋体" w:eastAsia="宋体" w:cs="宋体"/>
                <w:color w:val="auto"/>
                <w:sz w:val="21"/>
                <w:szCs w:val="21"/>
                <w:highlight w:val="none"/>
              </w:rPr>
            </w:pPr>
          </w:p>
        </w:tc>
        <w:tc>
          <w:tcPr>
            <w:tcW w:w="1100" w:type="pct"/>
            <w:tcBorders>
              <w:top w:val="single" w:color="auto" w:sz="4" w:space="0"/>
              <w:left w:val="single" w:color="auto" w:sz="4" w:space="0"/>
              <w:bottom w:val="single" w:color="auto" w:sz="4" w:space="0"/>
              <w:right w:val="single" w:color="auto" w:sz="4" w:space="0"/>
            </w:tcBorders>
            <w:noWrap w:val="0"/>
            <w:vAlign w:val="center"/>
          </w:tcPr>
          <w:p w14:paraId="547FA5DB">
            <w:pPr>
              <w:spacing w:line="360" w:lineRule="auto"/>
              <w:jc w:val="center"/>
              <w:rPr>
                <w:rFonts w:hint="eastAsia" w:ascii="宋体" w:hAnsi="宋体" w:eastAsia="宋体" w:cs="宋体"/>
                <w:color w:val="auto"/>
                <w:sz w:val="21"/>
                <w:szCs w:val="21"/>
                <w:highlight w:val="none"/>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78B64764">
            <w:pPr>
              <w:spacing w:line="360" w:lineRule="auto"/>
              <w:jc w:val="center"/>
              <w:rPr>
                <w:rFonts w:hint="eastAsia" w:ascii="宋体" w:hAnsi="宋体" w:eastAsia="宋体" w:cs="宋体"/>
                <w:color w:val="auto"/>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6427CEAC">
            <w:pPr>
              <w:spacing w:line="360" w:lineRule="auto"/>
              <w:jc w:val="center"/>
              <w:rPr>
                <w:rFonts w:hint="eastAsia" w:ascii="宋体" w:hAnsi="宋体" w:eastAsia="宋体" w:cs="宋体"/>
                <w:color w:val="auto"/>
                <w:sz w:val="21"/>
                <w:szCs w:val="21"/>
                <w:highlight w:val="none"/>
                <w:u w:val="single"/>
              </w:rPr>
            </w:pPr>
          </w:p>
        </w:tc>
        <w:tc>
          <w:tcPr>
            <w:tcW w:w="452" w:type="pct"/>
            <w:tcBorders>
              <w:top w:val="single" w:color="auto" w:sz="4" w:space="0"/>
              <w:left w:val="single" w:color="auto" w:sz="4" w:space="0"/>
              <w:bottom w:val="single" w:color="auto" w:sz="4" w:space="0"/>
              <w:right w:val="single" w:color="auto" w:sz="4" w:space="0"/>
            </w:tcBorders>
            <w:noWrap w:val="0"/>
            <w:vAlign w:val="center"/>
          </w:tcPr>
          <w:p w14:paraId="51188E2C">
            <w:pPr>
              <w:spacing w:line="360" w:lineRule="auto"/>
              <w:jc w:val="center"/>
              <w:rPr>
                <w:rFonts w:hint="eastAsia" w:ascii="宋体" w:hAnsi="宋体" w:eastAsia="宋体" w:cs="宋体"/>
                <w:color w:val="auto"/>
                <w:sz w:val="21"/>
                <w:szCs w:val="21"/>
                <w:highlight w:val="none"/>
              </w:rPr>
            </w:pPr>
          </w:p>
        </w:tc>
        <w:tc>
          <w:tcPr>
            <w:tcW w:w="750" w:type="pct"/>
            <w:tcBorders>
              <w:top w:val="single" w:color="auto" w:sz="4" w:space="0"/>
              <w:left w:val="single" w:color="auto" w:sz="4" w:space="0"/>
              <w:bottom w:val="single" w:color="auto" w:sz="4" w:space="0"/>
              <w:right w:val="single" w:color="auto" w:sz="4" w:space="0"/>
            </w:tcBorders>
            <w:noWrap w:val="0"/>
            <w:vAlign w:val="center"/>
          </w:tcPr>
          <w:p w14:paraId="4AB78722">
            <w:pPr>
              <w:spacing w:line="360" w:lineRule="auto"/>
              <w:jc w:val="center"/>
              <w:rPr>
                <w:rFonts w:hint="eastAsia" w:ascii="宋体" w:hAnsi="宋体" w:eastAsia="宋体" w:cs="宋体"/>
                <w:color w:val="auto"/>
                <w:sz w:val="21"/>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37AB2012">
            <w:pPr>
              <w:spacing w:line="360" w:lineRule="auto"/>
              <w:jc w:val="center"/>
              <w:rPr>
                <w:rFonts w:hint="eastAsia" w:ascii="宋体" w:hAnsi="宋体" w:eastAsia="宋体" w:cs="宋体"/>
                <w:color w:val="auto"/>
                <w:sz w:val="21"/>
                <w:szCs w:val="21"/>
                <w:highlight w:val="none"/>
              </w:rPr>
            </w:pPr>
          </w:p>
        </w:tc>
      </w:tr>
      <w:tr w14:paraId="12D19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52A65900">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6E6D572">
            <w:pPr>
              <w:spacing w:line="360" w:lineRule="auto"/>
              <w:jc w:val="center"/>
              <w:rPr>
                <w:rFonts w:hint="eastAsia" w:ascii="宋体" w:hAnsi="宋体" w:eastAsia="宋体" w:cs="宋体"/>
                <w:color w:val="auto"/>
                <w:sz w:val="21"/>
                <w:szCs w:val="21"/>
                <w:highlight w:val="none"/>
              </w:rPr>
            </w:pPr>
          </w:p>
        </w:tc>
        <w:tc>
          <w:tcPr>
            <w:tcW w:w="1100" w:type="pct"/>
            <w:tcBorders>
              <w:top w:val="single" w:color="auto" w:sz="4" w:space="0"/>
              <w:left w:val="single" w:color="auto" w:sz="4" w:space="0"/>
              <w:bottom w:val="single" w:color="auto" w:sz="4" w:space="0"/>
              <w:right w:val="single" w:color="auto" w:sz="4" w:space="0"/>
            </w:tcBorders>
            <w:noWrap w:val="0"/>
            <w:vAlign w:val="center"/>
          </w:tcPr>
          <w:p w14:paraId="5D2EB33E">
            <w:pPr>
              <w:spacing w:line="360" w:lineRule="auto"/>
              <w:jc w:val="center"/>
              <w:rPr>
                <w:rFonts w:hint="eastAsia" w:ascii="宋体" w:hAnsi="宋体" w:eastAsia="宋体" w:cs="宋体"/>
                <w:color w:val="auto"/>
                <w:sz w:val="21"/>
                <w:szCs w:val="21"/>
                <w:highlight w:val="none"/>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65F79BE3">
            <w:pPr>
              <w:spacing w:line="360" w:lineRule="auto"/>
              <w:jc w:val="center"/>
              <w:rPr>
                <w:rFonts w:hint="eastAsia" w:ascii="宋体" w:hAnsi="宋体" w:eastAsia="宋体" w:cs="宋体"/>
                <w:color w:val="auto"/>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6453BC42">
            <w:pPr>
              <w:spacing w:line="360" w:lineRule="auto"/>
              <w:jc w:val="center"/>
              <w:rPr>
                <w:rFonts w:hint="eastAsia" w:ascii="宋体" w:hAnsi="宋体" w:eastAsia="宋体" w:cs="宋体"/>
                <w:color w:val="auto"/>
                <w:sz w:val="21"/>
                <w:szCs w:val="21"/>
                <w:highlight w:val="none"/>
                <w:u w:val="single"/>
              </w:rPr>
            </w:pPr>
          </w:p>
        </w:tc>
        <w:tc>
          <w:tcPr>
            <w:tcW w:w="452" w:type="pct"/>
            <w:tcBorders>
              <w:top w:val="single" w:color="auto" w:sz="4" w:space="0"/>
              <w:left w:val="single" w:color="auto" w:sz="4" w:space="0"/>
              <w:bottom w:val="single" w:color="auto" w:sz="4" w:space="0"/>
              <w:right w:val="single" w:color="auto" w:sz="4" w:space="0"/>
            </w:tcBorders>
            <w:noWrap w:val="0"/>
            <w:vAlign w:val="center"/>
          </w:tcPr>
          <w:p w14:paraId="6CBD2B77">
            <w:pPr>
              <w:spacing w:line="360" w:lineRule="auto"/>
              <w:jc w:val="center"/>
              <w:rPr>
                <w:rFonts w:hint="eastAsia" w:ascii="宋体" w:hAnsi="宋体" w:eastAsia="宋体" w:cs="宋体"/>
                <w:color w:val="auto"/>
                <w:sz w:val="21"/>
                <w:szCs w:val="21"/>
                <w:highlight w:val="none"/>
              </w:rPr>
            </w:pPr>
          </w:p>
        </w:tc>
        <w:tc>
          <w:tcPr>
            <w:tcW w:w="750" w:type="pct"/>
            <w:tcBorders>
              <w:top w:val="single" w:color="auto" w:sz="4" w:space="0"/>
              <w:left w:val="single" w:color="auto" w:sz="4" w:space="0"/>
              <w:bottom w:val="single" w:color="auto" w:sz="4" w:space="0"/>
              <w:right w:val="single" w:color="auto" w:sz="4" w:space="0"/>
            </w:tcBorders>
            <w:noWrap w:val="0"/>
            <w:vAlign w:val="center"/>
          </w:tcPr>
          <w:p w14:paraId="22550A38">
            <w:pPr>
              <w:spacing w:line="360" w:lineRule="auto"/>
              <w:jc w:val="center"/>
              <w:rPr>
                <w:rFonts w:hint="eastAsia" w:ascii="宋体" w:hAnsi="宋体" w:eastAsia="宋体" w:cs="宋体"/>
                <w:color w:val="auto"/>
                <w:sz w:val="21"/>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6A8AA061">
            <w:pPr>
              <w:spacing w:line="360" w:lineRule="auto"/>
              <w:jc w:val="center"/>
              <w:rPr>
                <w:rFonts w:hint="eastAsia" w:ascii="宋体" w:hAnsi="宋体" w:eastAsia="宋体" w:cs="宋体"/>
                <w:color w:val="auto"/>
                <w:sz w:val="21"/>
                <w:szCs w:val="21"/>
                <w:highlight w:val="none"/>
              </w:rPr>
            </w:pPr>
          </w:p>
        </w:tc>
      </w:tr>
      <w:tr w14:paraId="46945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5EB6557A">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B495681">
            <w:pPr>
              <w:spacing w:line="360" w:lineRule="auto"/>
              <w:jc w:val="center"/>
              <w:rPr>
                <w:rFonts w:hint="eastAsia" w:ascii="宋体" w:hAnsi="宋体" w:eastAsia="宋体" w:cs="宋体"/>
                <w:color w:val="auto"/>
                <w:sz w:val="21"/>
                <w:szCs w:val="21"/>
                <w:highlight w:val="none"/>
              </w:rPr>
            </w:pPr>
          </w:p>
        </w:tc>
        <w:tc>
          <w:tcPr>
            <w:tcW w:w="1100" w:type="pct"/>
            <w:tcBorders>
              <w:top w:val="single" w:color="auto" w:sz="4" w:space="0"/>
              <w:left w:val="single" w:color="auto" w:sz="4" w:space="0"/>
              <w:bottom w:val="single" w:color="auto" w:sz="4" w:space="0"/>
              <w:right w:val="single" w:color="auto" w:sz="4" w:space="0"/>
            </w:tcBorders>
            <w:noWrap w:val="0"/>
            <w:vAlign w:val="center"/>
          </w:tcPr>
          <w:p w14:paraId="07EA5F92">
            <w:pPr>
              <w:spacing w:line="360" w:lineRule="auto"/>
              <w:jc w:val="center"/>
              <w:rPr>
                <w:rFonts w:hint="eastAsia" w:ascii="宋体" w:hAnsi="宋体" w:eastAsia="宋体" w:cs="宋体"/>
                <w:color w:val="auto"/>
                <w:sz w:val="21"/>
                <w:szCs w:val="21"/>
                <w:highlight w:val="none"/>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6B7CD8FC">
            <w:pPr>
              <w:spacing w:line="360" w:lineRule="auto"/>
              <w:jc w:val="center"/>
              <w:rPr>
                <w:rFonts w:hint="eastAsia" w:ascii="宋体" w:hAnsi="宋体" w:eastAsia="宋体" w:cs="宋体"/>
                <w:color w:val="auto"/>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785EA717">
            <w:pPr>
              <w:spacing w:line="360" w:lineRule="auto"/>
              <w:jc w:val="center"/>
              <w:rPr>
                <w:rFonts w:hint="eastAsia" w:ascii="宋体" w:hAnsi="宋体" w:eastAsia="宋体" w:cs="宋体"/>
                <w:color w:val="auto"/>
                <w:sz w:val="21"/>
                <w:szCs w:val="21"/>
                <w:highlight w:val="none"/>
                <w:u w:val="single"/>
              </w:rPr>
            </w:pPr>
          </w:p>
        </w:tc>
        <w:tc>
          <w:tcPr>
            <w:tcW w:w="452" w:type="pct"/>
            <w:tcBorders>
              <w:top w:val="single" w:color="auto" w:sz="4" w:space="0"/>
              <w:left w:val="single" w:color="auto" w:sz="4" w:space="0"/>
              <w:bottom w:val="single" w:color="auto" w:sz="4" w:space="0"/>
              <w:right w:val="single" w:color="auto" w:sz="4" w:space="0"/>
            </w:tcBorders>
            <w:noWrap w:val="0"/>
            <w:vAlign w:val="center"/>
          </w:tcPr>
          <w:p w14:paraId="33D8FEBC">
            <w:pPr>
              <w:spacing w:line="360" w:lineRule="auto"/>
              <w:jc w:val="center"/>
              <w:rPr>
                <w:rFonts w:hint="eastAsia" w:ascii="宋体" w:hAnsi="宋体" w:eastAsia="宋体" w:cs="宋体"/>
                <w:color w:val="auto"/>
                <w:sz w:val="21"/>
                <w:szCs w:val="21"/>
                <w:highlight w:val="none"/>
              </w:rPr>
            </w:pPr>
          </w:p>
        </w:tc>
        <w:tc>
          <w:tcPr>
            <w:tcW w:w="750" w:type="pct"/>
            <w:tcBorders>
              <w:top w:val="single" w:color="auto" w:sz="4" w:space="0"/>
              <w:left w:val="single" w:color="auto" w:sz="4" w:space="0"/>
              <w:bottom w:val="single" w:color="auto" w:sz="4" w:space="0"/>
              <w:right w:val="single" w:color="auto" w:sz="4" w:space="0"/>
            </w:tcBorders>
            <w:noWrap w:val="0"/>
            <w:vAlign w:val="center"/>
          </w:tcPr>
          <w:p w14:paraId="413C28A7">
            <w:pPr>
              <w:spacing w:line="360" w:lineRule="auto"/>
              <w:jc w:val="center"/>
              <w:rPr>
                <w:rFonts w:hint="eastAsia" w:ascii="宋体" w:hAnsi="宋体" w:eastAsia="宋体" w:cs="宋体"/>
                <w:color w:val="auto"/>
                <w:sz w:val="21"/>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29DB0343">
            <w:pPr>
              <w:spacing w:line="360" w:lineRule="auto"/>
              <w:jc w:val="center"/>
              <w:rPr>
                <w:rFonts w:hint="eastAsia" w:ascii="宋体" w:hAnsi="宋体" w:eastAsia="宋体" w:cs="宋体"/>
                <w:color w:val="auto"/>
                <w:sz w:val="21"/>
                <w:szCs w:val="21"/>
                <w:highlight w:val="none"/>
              </w:rPr>
            </w:pPr>
          </w:p>
        </w:tc>
      </w:tr>
      <w:tr w14:paraId="5877D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7DBFBF4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0F2E6EC6">
            <w:pPr>
              <w:spacing w:line="360" w:lineRule="auto"/>
              <w:jc w:val="center"/>
              <w:rPr>
                <w:rFonts w:hint="eastAsia" w:ascii="宋体" w:hAnsi="宋体" w:eastAsia="宋体" w:cs="宋体"/>
                <w:color w:val="auto"/>
                <w:sz w:val="21"/>
                <w:szCs w:val="21"/>
                <w:highlight w:val="none"/>
              </w:rPr>
            </w:pPr>
          </w:p>
        </w:tc>
        <w:tc>
          <w:tcPr>
            <w:tcW w:w="1100" w:type="pct"/>
            <w:tcBorders>
              <w:top w:val="single" w:color="auto" w:sz="4" w:space="0"/>
              <w:left w:val="single" w:color="auto" w:sz="4" w:space="0"/>
              <w:bottom w:val="single" w:color="auto" w:sz="4" w:space="0"/>
              <w:right w:val="single" w:color="auto" w:sz="4" w:space="0"/>
            </w:tcBorders>
            <w:noWrap w:val="0"/>
            <w:vAlign w:val="center"/>
          </w:tcPr>
          <w:p w14:paraId="7AE19B1F">
            <w:pPr>
              <w:spacing w:line="360" w:lineRule="auto"/>
              <w:jc w:val="center"/>
              <w:rPr>
                <w:rFonts w:hint="eastAsia" w:ascii="宋体" w:hAnsi="宋体" w:eastAsia="宋体" w:cs="宋体"/>
                <w:color w:val="auto"/>
                <w:sz w:val="21"/>
                <w:szCs w:val="21"/>
                <w:highlight w:val="none"/>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51D46B69">
            <w:pPr>
              <w:spacing w:line="360" w:lineRule="auto"/>
              <w:jc w:val="center"/>
              <w:rPr>
                <w:rFonts w:hint="eastAsia" w:ascii="宋体" w:hAnsi="宋体" w:eastAsia="宋体" w:cs="宋体"/>
                <w:color w:val="auto"/>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587E1CBB">
            <w:pPr>
              <w:spacing w:line="360" w:lineRule="auto"/>
              <w:jc w:val="center"/>
              <w:rPr>
                <w:rFonts w:hint="eastAsia" w:ascii="宋体" w:hAnsi="宋体" w:eastAsia="宋体" w:cs="宋体"/>
                <w:color w:val="auto"/>
                <w:sz w:val="21"/>
                <w:szCs w:val="21"/>
                <w:highlight w:val="none"/>
              </w:rPr>
            </w:pPr>
          </w:p>
        </w:tc>
        <w:tc>
          <w:tcPr>
            <w:tcW w:w="452" w:type="pct"/>
            <w:tcBorders>
              <w:top w:val="single" w:color="auto" w:sz="4" w:space="0"/>
              <w:left w:val="single" w:color="auto" w:sz="4" w:space="0"/>
              <w:bottom w:val="single" w:color="auto" w:sz="4" w:space="0"/>
              <w:right w:val="single" w:color="auto" w:sz="4" w:space="0"/>
            </w:tcBorders>
            <w:noWrap w:val="0"/>
            <w:vAlign w:val="center"/>
          </w:tcPr>
          <w:p w14:paraId="691496D7">
            <w:pPr>
              <w:spacing w:line="360" w:lineRule="auto"/>
              <w:jc w:val="center"/>
              <w:rPr>
                <w:rFonts w:hint="eastAsia" w:ascii="宋体" w:hAnsi="宋体" w:eastAsia="宋体" w:cs="宋体"/>
                <w:color w:val="auto"/>
                <w:sz w:val="21"/>
                <w:szCs w:val="21"/>
                <w:highlight w:val="none"/>
              </w:rPr>
            </w:pPr>
          </w:p>
        </w:tc>
        <w:tc>
          <w:tcPr>
            <w:tcW w:w="750" w:type="pct"/>
            <w:tcBorders>
              <w:top w:val="single" w:color="auto" w:sz="4" w:space="0"/>
              <w:left w:val="single" w:color="auto" w:sz="4" w:space="0"/>
              <w:bottom w:val="single" w:color="auto" w:sz="4" w:space="0"/>
              <w:right w:val="single" w:color="auto" w:sz="4" w:space="0"/>
            </w:tcBorders>
            <w:noWrap w:val="0"/>
            <w:vAlign w:val="center"/>
          </w:tcPr>
          <w:p w14:paraId="10ACD8F3">
            <w:pPr>
              <w:spacing w:line="360" w:lineRule="auto"/>
              <w:jc w:val="center"/>
              <w:rPr>
                <w:rFonts w:hint="eastAsia" w:ascii="宋体" w:hAnsi="宋体" w:eastAsia="宋体" w:cs="宋体"/>
                <w:color w:val="auto"/>
                <w:sz w:val="21"/>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3B92DEC1">
            <w:pPr>
              <w:spacing w:line="360" w:lineRule="auto"/>
              <w:jc w:val="center"/>
              <w:rPr>
                <w:rFonts w:hint="eastAsia" w:ascii="宋体" w:hAnsi="宋体" w:eastAsia="宋体" w:cs="宋体"/>
                <w:color w:val="auto"/>
                <w:sz w:val="21"/>
                <w:szCs w:val="21"/>
                <w:highlight w:val="none"/>
              </w:rPr>
            </w:pPr>
          </w:p>
        </w:tc>
      </w:tr>
    </w:tbl>
    <w:p w14:paraId="3AE7387C">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BF5AC0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3144BA58">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（1）项目业绩按单项合同金额从高到低的方式排列；</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596B6319">
      <w:pPr>
        <w:autoSpaceDE w:val="0"/>
        <w:autoSpaceDN w:val="0"/>
        <w:adjustRightInd w:val="0"/>
        <w:snapToGrid w:val="0"/>
        <w:spacing w:line="360" w:lineRule="auto"/>
        <w:ind w:left="481" w:leftChars="-41" w:hanging="567" w:hangingChars="270"/>
        <w:jc w:val="left"/>
        <w:outlineLvl w:val="9"/>
        <w:rPr>
          <w:rFonts w:hint="eastAsia" w:ascii="宋体" w:hAnsi="宋体" w:eastAsia="宋体" w:cs="Times New Roman"/>
          <w:color w:val="auto"/>
          <w:szCs w:val="24"/>
          <w:highlight w:val="none"/>
          <w:lang w:val="zh-CN"/>
        </w:rPr>
      </w:pPr>
      <w:bookmarkStart w:id="782" w:name="_Toc23981"/>
      <w:bookmarkStart w:id="783" w:name="_Toc3876"/>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）业绩按以下条款作为考评依据：</w:t>
      </w:r>
      <w:bookmarkEnd w:id="782"/>
      <w:bookmarkEnd w:id="783"/>
    </w:p>
    <w:p w14:paraId="3B2A6660">
      <w:pPr>
        <w:autoSpaceDE w:val="0"/>
        <w:autoSpaceDN w:val="0"/>
        <w:adjustRightInd w:val="0"/>
        <w:snapToGrid w:val="0"/>
        <w:spacing w:line="360" w:lineRule="auto"/>
        <w:ind w:left="483" w:leftChars="-41" w:hanging="569" w:hangingChars="27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1）须附合同复印件，否则不得分；</w:t>
      </w:r>
    </w:p>
    <w:p w14:paraId="733C6BAD">
      <w:pPr>
        <w:autoSpaceDE w:val="0"/>
        <w:autoSpaceDN w:val="0"/>
        <w:adjustRightInd w:val="0"/>
        <w:snapToGrid w:val="0"/>
        <w:spacing w:line="360" w:lineRule="auto"/>
        <w:ind w:left="483" w:leftChars="-41" w:hanging="569" w:hangingChars="27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2）若业绩为框架式协议或资格入围无明确金额的合同，必须同时提供合同期限内已供货产品发票金额统计表和</w:t>
      </w:r>
    </w:p>
    <w:p w14:paraId="4FDE6774">
      <w:pPr>
        <w:autoSpaceDE w:val="0"/>
        <w:autoSpaceDN w:val="0"/>
        <w:adjustRightInd w:val="0"/>
        <w:snapToGrid w:val="0"/>
        <w:spacing w:line="360" w:lineRule="auto"/>
        <w:ind w:left="482" w:leftChars="59" w:hanging="358" w:hangingChars="17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供货发票复印件，否则，视为无效业绩；</w:t>
      </w:r>
    </w:p>
    <w:p w14:paraId="17D39649">
      <w:pPr>
        <w:numPr>
          <w:ilvl w:val="0"/>
          <w:numId w:val="4"/>
        </w:numPr>
        <w:autoSpaceDE w:val="0"/>
        <w:autoSpaceDN w:val="0"/>
        <w:adjustRightInd w:val="0"/>
        <w:snapToGrid w:val="0"/>
        <w:spacing w:line="360" w:lineRule="auto"/>
        <w:ind w:left="483" w:leftChars="-41" w:hanging="569" w:hangingChars="270"/>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szCs w:val="24"/>
          <w:highlight w:val="none"/>
          <w:lang w:val="zh-CN"/>
        </w:rPr>
        <w:t>若合同无法反映评分条件（卖方为投标人、合同签订日期为2021年1月1日或以后、金额、合同标的必须包含</w:t>
      </w:r>
    </w:p>
    <w:p w14:paraId="053E5B13">
      <w:pPr>
        <w:numPr>
          <w:ilvl w:val="-1"/>
          <w:numId w:val="0"/>
        </w:numPr>
        <w:autoSpaceDE w:val="0"/>
        <w:autoSpaceDN w:val="0"/>
        <w:adjustRightInd w:val="0"/>
        <w:snapToGrid w:val="0"/>
        <w:spacing w:line="360" w:lineRule="auto"/>
        <w:ind w:left="-48" w:leftChars="-23" w:firstLine="0" w:firstLineChars="0"/>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szCs w:val="24"/>
          <w:highlight w:val="none"/>
          <w:lang w:val="zh-CN"/>
        </w:rPr>
        <w:t>投标品牌液体复合碳源、供货用于水处理相关工艺）</w:t>
      </w:r>
      <w:r>
        <w:rPr>
          <w:rFonts w:hint="eastAsia" w:ascii="宋体" w:hAnsi="宋体" w:eastAsia="宋体" w:cs="Times New Roman"/>
          <w:b/>
          <w:bCs/>
          <w:color w:val="auto"/>
          <w:szCs w:val="24"/>
          <w:highlight w:val="none"/>
          <w:lang w:val="en-US" w:eastAsia="zh-CN"/>
        </w:rPr>
        <w:t>的</w:t>
      </w:r>
      <w:r>
        <w:rPr>
          <w:rFonts w:hint="eastAsia" w:ascii="宋体" w:hAnsi="宋体" w:eastAsia="宋体" w:cs="Times New Roman"/>
          <w:b/>
          <w:bCs/>
          <w:color w:val="auto"/>
          <w:szCs w:val="24"/>
          <w:highlight w:val="none"/>
          <w:lang w:val="zh-CN"/>
        </w:rPr>
        <w:t>，</w:t>
      </w:r>
      <w:r>
        <w:rPr>
          <w:rFonts w:hint="eastAsia" w:ascii="宋体" w:hAnsi="宋体" w:eastAsia="宋体" w:cs="宋体"/>
          <w:b/>
          <w:color w:val="auto"/>
          <w:kern w:val="0"/>
          <w:szCs w:val="21"/>
        </w:rPr>
        <w:t>还需提供产品购买方出具的书面补充说明文件复印件作为辅助证明（补充说明文件复印件能显示购买方公章），否则不得分</w:t>
      </w:r>
      <w:r>
        <w:rPr>
          <w:rFonts w:hint="eastAsia" w:ascii="宋体" w:hAnsi="宋体" w:eastAsia="宋体" w:cs="Times New Roman"/>
          <w:b/>
          <w:bCs/>
          <w:color w:val="auto"/>
          <w:szCs w:val="24"/>
          <w:highlight w:val="none"/>
          <w:lang w:val="en-US" w:eastAsia="zh-CN"/>
        </w:rPr>
        <w:t>；</w:t>
      </w:r>
    </w:p>
    <w:p w14:paraId="0BF7E6E3">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3</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1BD8D1B1">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7502ACC3">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4FC20F1">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1390B329">
      <w:pPr>
        <w:pageBreakBefore/>
        <w:snapToGrid w:val="0"/>
        <w:spacing w:line="360" w:lineRule="auto"/>
        <w:ind w:left="671" w:leftChars="-58" w:hanging="793" w:hangingChars="247"/>
        <w:outlineLvl w:val="9"/>
        <w:rPr>
          <w:rFonts w:hint="eastAsia" w:ascii="宋体" w:hAnsi="宋体" w:eastAsia="宋体" w:cs="宋体"/>
          <w:b/>
          <w:color w:val="auto"/>
          <w:kern w:val="2"/>
          <w:sz w:val="32"/>
          <w:szCs w:val="32"/>
          <w:highlight w:val="none"/>
          <w:lang w:val="zh-CN"/>
        </w:rPr>
      </w:pPr>
      <w:bookmarkStart w:id="784" w:name="_Toc19801"/>
      <w:bookmarkStart w:id="785" w:name="_Toc8932"/>
      <w:r>
        <w:rPr>
          <w:rFonts w:hint="eastAsia" w:ascii="宋体" w:hAnsi="宋体" w:eastAsia="宋体" w:cs="宋体"/>
          <w:b/>
          <w:color w:val="auto"/>
          <w:kern w:val="2"/>
          <w:sz w:val="32"/>
          <w:szCs w:val="32"/>
          <w:highlight w:val="none"/>
          <w:lang w:val="zh-CN"/>
        </w:rPr>
        <w:t>附表：已供货产品发票金额统计表</w:t>
      </w:r>
      <w:bookmarkEnd w:id="784"/>
      <w:bookmarkEnd w:id="785"/>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0C59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226594B1">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503" w:type="dxa"/>
            <w:gridSpan w:val="5"/>
            <w:noWrap w:val="0"/>
            <w:vAlign w:val="center"/>
          </w:tcPr>
          <w:p w14:paraId="4C525831">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793C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59B6F553">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5503" w:type="dxa"/>
            <w:gridSpan w:val="5"/>
            <w:noWrap w:val="0"/>
            <w:vAlign w:val="center"/>
          </w:tcPr>
          <w:p w14:paraId="77222BA3">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7ACE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053FCCD9">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合同购买方）</w:t>
            </w:r>
          </w:p>
        </w:tc>
        <w:tc>
          <w:tcPr>
            <w:tcW w:w="5503" w:type="dxa"/>
            <w:gridSpan w:val="5"/>
            <w:noWrap w:val="0"/>
            <w:vAlign w:val="center"/>
          </w:tcPr>
          <w:p w14:paraId="67D49C41">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17BC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1AB636F3">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noWrap w:val="0"/>
            <w:vAlign w:val="center"/>
          </w:tcPr>
          <w:p w14:paraId="5088BA78">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416" w:type="dxa"/>
            <w:noWrap w:val="0"/>
            <w:vAlign w:val="center"/>
          </w:tcPr>
          <w:p w14:paraId="39691D06">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1274" w:type="dxa"/>
            <w:noWrap w:val="0"/>
            <w:vAlign w:val="center"/>
          </w:tcPr>
          <w:p w14:paraId="538B90AD">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noWrap w:val="0"/>
            <w:vAlign w:val="center"/>
          </w:tcPr>
          <w:p w14:paraId="27CBF223">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noWrap w:val="0"/>
            <w:vAlign w:val="center"/>
          </w:tcPr>
          <w:p w14:paraId="1E7F5CF5">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285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5D3DFE14">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noWrap w:val="0"/>
            <w:vAlign w:val="center"/>
          </w:tcPr>
          <w:p w14:paraId="191ED4E3">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416" w:type="dxa"/>
            <w:noWrap w:val="0"/>
            <w:vAlign w:val="center"/>
          </w:tcPr>
          <w:p w14:paraId="4DAAF2C1">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2D816859">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152D36DB">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19B0B193">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50D6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A50E1D1">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noWrap w:val="0"/>
            <w:vAlign w:val="center"/>
          </w:tcPr>
          <w:p w14:paraId="4423B678">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416" w:type="dxa"/>
            <w:noWrap w:val="0"/>
            <w:vAlign w:val="center"/>
          </w:tcPr>
          <w:p w14:paraId="2DD06F87">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46B5CA1D">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3F8B57D2">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1192A747">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6E7C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F8E3244">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noWrap w:val="0"/>
            <w:vAlign w:val="center"/>
          </w:tcPr>
          <w:p w14:paraId="3FB64385">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416" w:type="dxa"/>
            <w:noWrap w:val="0"/>
            <w:vAlign w:val="center"/>
          </w:tcPr>
          <w:p w14:paraId="331B634F">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5F37EBBA">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09C09772">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79F93A87">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106D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1306EE72">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noWrap w:val="0"/>
            <w:vAlign w:val="center"/>
          </w:tcPr>
          <w:p w14:paraId="2CEB2863">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416" w:type="dxa"/>
            <w:noWrap w:val="0"/>
            <w:vAlign w:val="center"/>
          </w:tcPr>
          <w:p w14:paraId="7113C5B7">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0427A17E">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3E729A4F">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7EC9926E">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32F3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3F007F71">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5489" w:type="dxa"/>
            <w:gridSpan w:val="4"/>
            <w:noWrap w:val="0"/>
            <w:vAlign w:val="center"/>
          </w:tcPr>
          <w:p w14:paraId="431A854E">
            <w:pPr>
              <w:pStyle w:val="20"/>
              <w:snapToGrid w:val="0"/>
              <w:spacing w:line="360" w:lineRule="auto"/>
              <w:ind w:left="0" w:leftChars="0"/>
              <w:jc w:val="center"/>
              <w:rPr>
                <w:rFonts w:hint="eastAsia" w:ascii="宋体" w:hAnsi="宋体" w:eastAsia="宋体" w:cs="宋体"/>
                <w:color w:val="auto"/>
                <w:sz w:val="21"/>
                <w:szCs w:val="21"/>
                <w:highlight w:val="none"/>
              </w:rPr>
            </w:pPr>
          </w:p>
        </w:tc>
      </w:tr>
    </w:tbl>
    <w:p w14:paraId="46F9E677">
      <w:pPr>
        <w:snapToGrid w:val="0"/>
        <w:spacing w:line="360" w:lineRule="auto"/>
        <w:ind w:left="491" w:leftChars="-57" w:hanging="611" w:hangingChars="291"/>
        <w:rPr>
          <w:rFonts w:hint="eastAsia" w:ascii="宋体" w:hAnsi="宋体" w:eastAsia="宋体" w:cs="宋体"/>
          <w:color w:val="auto"/>
          <w:kern w:val="2"/>
          <w:sz w:val="21"/>
          <w:highlight w:val="none"/>
        </w:rPr>
      </w:pPr>
    </w:p>
    <w:p w14:paraId="29E213B0">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5DA23878">
      <w:pPr>
        <w:snapToGrid w:val="0"/>
        <w:spacing w:line="360" w:lineRule="auto"/>
        <w:ind w:left="396" w:leftChars="-58" w:hanging="518" w:hangingChars="247"/>
        <w:outlineLvl w:val="9"/>
        <w:rPr>
          <w:rFonts w:hint="eastAsia" w:ascii="宋体" w:hAnsi="宋体" w:eastAsia="宋体" w:cs="宋体"/>
          <w:color w:val="auto"/>
          <w:kern w:val="2"/>
          <w:sz w:val="21"/>
          <w:highlight w:val="none"/>
        </w:rPr>
      </w:pPr>
      <w:bookmarkStart w:id="786" w:name="_Toc18014"/>
      <w:bookmarkStart w:id="787" w:name="_Toc10235"/>
      <w:r>
        <w:rPr>
          <w:rFonts w:hint="eastAsia" w:ascii="宋体" w:hAnsi="宋体" w:eastAsia="宋体" w:cs="宋体"/>
          <w:color w:val="auto"/>
          <w:kern w:val="2"/>
          <w:sz w:val="21"/>
          <w:highlight w:val="none"/>
        </w:rPr>
        <w:t>（1）本统计表及供货发票复印件应后附于合同复印件；</w:t>
      </w:r>
      <w:bookmarkEnd w:id="786"/>
      <w:bookmarkEnd w:id="787"/>
    </w:p>
    <w:p w14:paraId="20630C05">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（2）发票抬头应为合同购买方，销售方应为投标人，且发票名目、所属时期应与合同约定内容一致，否则不计分。</w:t>
      </w:r>
    </w:p>
    <w:p w14:paraId="48521FE6">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6CFC1F31">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778"/>
    <w:bookmarkEnd w:id="779"/>
    <w:p w14:paraId="41ED4B63">
      <w:pPr>
        <w:rPr>
          <w:rFonts w:hint="eastAsia" w:ascii="宋体" w:hAnsi="宋体" w:eastAsia="宋体" w:cs="宋体"/>
          <w:b/>
          <w:color w:val="auto"/>
          <w:sz w:val="32"/>
          <w:szCs w:val="32"/>
          <w:highlight w:val="none"/>
          <w:lang w:val="zh-CN" w:eastAsia="zh-CN"/>
        </w:rPr>
      </w:pPr>
      <w:bookmarkStart w:id="788" w:name="_Toc1977737"/>
      <w:bookmarkStart w:id="789" w:name="_Toc486167719"/>
      <w:bookmarkStart w:id="790" w:name="_Toc533708132"/>
      <w:bookmarkStart w:id="791" w:name="_Toc140596938"/>
      <w:bookmarkStart w:id="792" w:name="_Toc94107220"/>
      <w:bookmarkStart w:id="793" w:name="_Toc22865"/>
      <w:bookmarkStart w:id="794" w:name="_Toc102860083"/>
      <w:bookmarkStart w:id="795" w:name="_Toc13822"/>
      <w:bookmarkStart w:id="796" w:name="_Toc104991885"/>
      <w:bookmarkStart w:id="797" w:name="_Toc18175_WPSOffice_Level2"/>
      <w:bookmarkStart w:id="798" w:name="_Toc11745"/>
      <w:bookmarkStart w:id="799" w:name="_Toc10423"/>
      <w:bookmarkStart w:id="800" w:name="_Toc142508378"/>
      <w:bookmarkStart w:id="801" w:name="_Toc102860427"/>
      <w:r>
        <w:rPr>
          <w:rFonts w:hint="eastAsia" w:ascii="宋体" w:hAnsi="宋体" w:eastAsia="宋体" w:cs="宋体"/>
          <w:b/>
          <w:color w:val="auto"/>
          <w:sz w:val="32"/>
          <w:szCs w:val="32"/>
          <w:highlight w:val="none"/>
          <w:lang w:val="zh-CN" w:eastAsia="zh-CN"/>
        </w:rPr>
        <w:br w:type="page"/>
      </w:r>
    </w:p>
    <w:p w14:paraId="29C5D518">
      <w:pPr>
        <w:tabs>
          <w:tab w:val="left" w:pos="567"/>
        </w:tabs>
        <w:spacing w:line="360" w:lineRule="auto"/>
        <w:outlineLvl w:val="1"/>
        <w:rPr>
          <w:rFonts w:hint="eastAsia" w:ascii="宋体" w:hAnsi="宋体" w:eastAsia="宋体" w:cs="宋体"/>
          <w:b/>
          <w:color w:val="auto"/>
          <w:sz w:val="32"/>
          <w:szCs w:val="32"/>
          <w:highlight w:val="none"/>
          <w:lang w:val="zh-CN" w:eastAsia="zh-CN"/>
        </w:rPr>
      </w:pPr>
      <w:r>
        <w:rPr>
          <w:rFonts w:hint="eastAsia" w:ascii="宋体" w:hAnsi="宋体" w:eastAsia="宋体" w:cs="宋体"/>
          <w:b/>
          <w:color w:val="auto"/>
          <w:sz w:val="32"/>
          <w:szCs w:val="32"/>
          <w:highlight w:val="none"/>
          <w:lang w:val="zh-CN" w:eastAsia="zh-CN"/>
        </w:rPr>
        <w:t>十、车辆运输</w:t>
      </w:r>
    </w:p>
    <w:p w14:paraId="04241111">
      <w:pPr>
        <w:rPr>
          <w:rFonts w:hint="eastAsia" w:ascii="宋体" w:hAnsi="宋体" w:eastAsia="宋体" w:cs="宋体"/>
          <w:b/>
          <w:color w:val="auto"/>
          <w:sz w:val="32"/>
          <w:szCs w:val="32"/>
          <w:highlight w:val="none"/>
          <w:lang w:val="zh-CN" w:eastAsia="zh-CN"/>
        </w:rPr>
      </w:pPr>
    </w:p>
    <w:p w14:paraId="164C3BC8">
      <w:pPr>
        <w:spacing w:line="360" w:lineRule="auto"/>
        <w:jc w:val="left"/>
        <w:rPr>
          <w:rFonts w:hint="default" w:ascii="宋体" w:hAnsi="宋体" w:eastAsia="宋体" w:cs="宋体"/>
          <w:b w:val="0"/>
          <w:bCs w:val="0"/>
          <w:color w:val="auto"/>
          <w:kern w:val="0"/>
          <w:sz w:val="21"/>
          <w:szCs w:val="24"/>
          <w:highlight w:val="none"/>
          <w:lang w:val="en-US" w:eastAsia="zh-CN"/>
        </w:rPr>
      </w:pPr>
      <w:r>
        <w:rPr>
          <w:rFonts w:hint="default" w:ascii="宋体" w:hAnsi="宋体" w:eastAsia="宋体" w:cs="宋体"/>
          <w:b w:val="0"/>
          <w:bCs w:val="0"/>
          <w:color w:val="auto"/>
          <w:kern w:val="0"/>
          <w:sz w:val="21"/>
          <w:szCs w:val="24"/>
          <w:highlight w:val="none"/>
          <w:lang w:val="en-US" w:eastAsia="zh-CN"/>
        </w:rPr>
        <w:t>注：</w:t>
      </w:r>
      <w:r>
        <w:rPr>
          <w:rFonts w:hint="eastAsia" w:ascii="宋体" w:hAnsi="宋体" w:eastAsia="宋体" w:cs="宋体"/>
          <w:color w:val="auto"/>
          <w:szCs w:val="21"/>
          <w:lang w:val="zh-CN"/>
        </w:rPr>
        <w:t>拟为本项目投入的运输专用车</w:t>
      </w:r>
      <w:r>
        <w:rPr>
          <w:rFonts w:hint="eastAsia" w:ascii="宋体" w:hAnsi="宋体" w:eastAsia="宋体" w:cs="宋体"/>
          <w:color w:val="auto"/>
          <w:szCs w:val="21"/>
          <w:lang w:val="en-US" w:eastAsia="zh-CN"/>
        </w:rPr>
        <w:t>的相关资料。</w:t>
      </w:r>
    </w:p>
    <w:p w14:paraId="03455F89">
      <w:pPr>
        <w:outlineLvl w:val="9"/>
        <w:rPr>
          <w:rFonts w:hint="eastAsia" w:ascii="宋体" w:hAnsi="宋体" w:eastAsia="宋体" w:cs="宋体"/>
          <w:b/>
          <w:color w:val="auto"/>
          <w:sz w:val="32"/>
          <w:szCs w:val="32"/>
          <w:highlight w:val="none"/>
          <w:lang w:val="zh-CN" w:eastAsia="zh-CN"/>
        </w:rPr>
      </w:pPr>
    </w:p>
    <w:p w14:paraId="57203010">
      <w:pPr>
        <w:outlineLvl w:val="9"/>
        <w:rPr>
          <w:rFonts w:hint="eastAsia" w:ascii="宋体" w:hAnsi="宋体" w:eastAsia="宋体" w:cs="宋体"/>
          <w:b/>
          <w:color w:val="auto"/>
          <w:sz w:val="32"/>
          <w:szCs w:val="32"/>
          <w:highlight w:val="none"/>
          <w:lang w:val="zh-CN" w:eastAsia="zh-CN"/>
        </w:rPr>
      </w:pPr>
    </w:p>
    <w:p w14:paraId="2E2DE0CF">
      <w:pPr>
        <w:outlineLvl w:val="9"/>
        <w:rPr>
          <w:rFonts w:hint="eastAsia" w:ascii="宋体" w:hAnsi="宋体" w:eastAsia="宋体" w:cs="宋体"/>
          <w:b/>
          <w:color w:val="auto"/>
          <w:sz w:val="32"/>
          <w:szCs w:val="32"/>
          <w:highlight w:val="none"/>
          <w:lang w:val="zh-CN" w:eastAsia="zh-CN"/>
        </w:rPr>
      </w:pPr>
    </w:p>
    <w:p w14:paraId="55D882C0">
      <w:pPr>
        <w:outlineLvl w:val="9"/>
        <w:rPr>
          <w:rFonts w:hint="eastAsia" w:ascii="宋体" w:hAnsi="宋体" w:eastAsia="宋体" w:cs="宋体"/>
          <w:b/>
          <w:color w:val="auto"/>
          <w:sz w:val="32"/>
          <w:szCs w:val="32"/>
          <w:highlight w:val="none"/>
          <w:lang w:val="zh-CN" w:eastAsia="zh-CN"/>
        </w:rPr>
      </w:pPr>
    </w:p>
    <w:p w14:paraId="5E7C6B49">
      <w:pPr>
        <w:outlineLvl w:val="9"/>
        <w:rPr>
          <w:rFonts w:hint="eastAsia" w:ascii="宋体" w:hAnsi="宋体" w:eastAsia="宋体" w:cs="宋体"/>
          <w:b/>
          <w:color w:val="auto"/>
          <w:sz w:val="32"/>
          <w:szCs w:val="32"/>
          <w:highlight w:val="none"/>
          <w:lang w:val="zh-CN" w:eastAsia="zh-CN"/>
        </w:rPr>
      </w:pPr>
    </w:p>
    <w:p w14:paraId="70A87E45">
      <w:pPr>
        <w:outlineLvl w:val="9"/>
        <w:rPr>
          <w:rFonts w:hint="eastAsia" w:ascii="宋体" w:hAnsi="宋体" w:eastAsia="宋体" w:cs="宋体"/>
          <w:b/>
          <w:color w:val="auto"/>
          <w:sz w:val="32"/>
          <w:szCs w:val="32"/>
          <w:highlight w:val="none"/>
          <w:lang w:val="zh-CN" w:eastAsia="zh-CN"/>
        </w:rPr>
      </w:pPr>
    </w:p>
    <w:p w14:paraId="442D77F1">
      <w:pPr>
        <w:outlineLvl w:val="9"/>
        <w:rPr>
          <w:rFonts w:hint="eastAsia" w:ascii="宋体" w:hAnsi="宋体" w:eastAsia="宋体" w:cs="宋体"/>
          <w:b/>
          <w:color w:val="auto"/>
          <w:sz w:val="32"/>
          <w:szCs w:val="32"/>
          <w:highlight w:val="none"/>
          <w:lang w:val="zh-CN" w:eastAsia="zh-CN"/>
        </w:rPr>
      </w:pPr>
    </w:p>
    <w:p w14:paraId="1DFE33D3">
      <w:pPr>
        <w:outlineLvl w:val="9"/>
        <w:rPr>
          <w:rFonts w:hint="eastAsia" w:ascii="宋体" w:hAnsi="宋体" w:eastAsia="宋体" w:cs="宋体"/>
          <w:b/>
          <w:color w:val="auto"/>
          <w:sz w:val="32"/>
          <w:szCs w:val="32"/>
          <w:highlight w:val="none"/>
          <w:lang w:val="zh-CN" w:eastAsia="zh-CN"/>
        </w:rPr>
      </w:pPr>
    </w:p>
    <w:p w14:paraId="0D4D574C">
      <w:pPr>
        <w:outlineLvl w:val="9"/>
        <w:rPr>
          <w:rFonts w:hint="eastAsia" w:ascii="宋体" w:hAnsi="宋体" w:eastAsia="宋体" w:cs="宋体"/>
          <w:b/>
          <w:color w:val="auto"/>
          <w:sz w:val="32"/>
          <w:szCs w:val="32"/>
          <w:highlight w:val="none"/>
          <w:lang w:val="zh-CN" w:eastAsia="zh-CN"/>
        </w:rPr>
      </w:pPr>
    </w:p>
    <w:p w14:paraId="5E570DBA">
      <w:pPr>
        <w:outlineLvl w:val="9"/>
        <w:rPr>
          <w:rFonts w:hint="eastAsia" w:ascii="宋体" w:hAnsi="宋体" w:eastAsia="宋体" w:cs="宋体"/>
          <w:b/>
          <w:color w:val="auto"/>
          <w:sz w:val="32"/>
          <w:szCs w:val="32"/>
          <w:highlight w:val="none"/>
          <w:lang w:val="zh-CN" w:eastAsia="zh-CN"/>
        </w:rPr>
      </w:pPr>
    </w:p>
    <w:p w14:paraId="6F285421">
      <w:pPr>
        <w:outlineLvl w:val="9"/>
        <w:rPr>
          <w:rFonts w:hint="eastAsia" w:ascii="宋体" w:hAnsi="宋体" w:eastAsia="宋体" w:cs="宋体"/>
          <w:b/>
          <w:color w:val="auto"/>
          <w:sz w:val="32"/>
          <w:szCs w:val="32"/>
          <w:highlight w:val="none"/>
          <w:lang w:val="zh-CN" w:eastAsia="zh-CN"/>
        </w:rPr>
      </w:pPr>
    </w:p>
    <w:p w14:paraId="5B725399">
      <w:pPr>
        <w:outlineLvl w:val="9"/>
        <w:rPr>
          <w:rFonts w:hint="eastAsia" w:ascii="宋体" w:hAnsi="宋体" w:eastAsia="宋体" w:cs="宋体"/>
          <w:b/>
          <w:color w:val="auto"/>
          <w:sz w:val="32"/>
          <w:szCs w:val="32"/>
          <w:highlight w:val="none"/>
          <w:lang w:val="zh-CN" w:eastAsia="zh-CN"/>
        </w:rPr>
      </w:pPr>
    </w:p>
    <w:p w14:paraId="67E6C275">
      <w:pPr>
        <w:outlineLvl w:val="9"/>
        <w:rPr>
          <w:rFonts w:hint="eastAsia" w:ascii="宋体" w:hAnsi="宋体" w:eastAsia="宋体" w:cs="宋体"/>
          <w:b/>
          <w:color w:val="auto"/>
          <w:sz w:val="32"/>
          <w:szCs w:val="32"/>
          <w:highlight w:val="none"/>
          <w:lang w:val="zh-CN" w:eastAsia="zh-CN"/>
        </w:rPr>
      </w:pPr>
    </w:p>
    <w:p w14:paraId="4A50B717">
      <w:pPr>
        <w:outlineLvl w:val="9"/>
        <w:rPr>
          <w:rFonts w:hint="eastAsia" w:ascii="宋体" w:hAnsi="宋体" w:eastAsia="宋体" w:cs="宋体"/>
          <w:b/>
          <w:color w:val="auto"/>
          <w:sz w:val="32"/>
          <w:szCs w:val="32"/>
          <w:highlight w:val="none"/>
          <w:lang w:val="zh-CN" w:eastAsia="zh-CN"/>
        </w:rPr>
      </w:pPr>
    </w:p>
    <w:p w14:paraId="5C1F88AC">
      <w:pPr>
        <w:outlineLvl w:val="9"/>
        <w:rPr>
          <w:rFonts w:hint="eastAsia" w:ascii="宋体" w:hAnsi="宋体" w:eastAsia="宋体" w:cs="宋体"/>
          <w:b/>
          <w:color w:val="auto"/>
          <w:sz w:val="32"/>
          <w:szCs w:val="32"/>
          <w:highlight w:val="none"/>
          <w:lang w:val="zh-CN" w:eastAsia="zh-CN"/>
        </w:rPr>
      </w:pPr>
    </w:p>
    <w:p w14:paraId="24353D5D">
      <w:pPr>
        <w:outlineLvl w:val="9"/>
        <w:rPr>
          <w:rFonts w:hint="eastAsia" w:ascii="宋体" w:hAnsi="宋体" w:eastAsia="宋体" w:cs="宋体"/>
          <w:b/>
          <w:color w:val="auto"/>
          <w:sz w:val="32"/>
          <w:szCs w:val="32"/>
          <w:highlight w:val="none"/>
          <w:lang w:val="zh-CN" w:eastAsia="zh-CN"/>
        </w:rPr>
      </w:pPr>
    </w:p>
    <w:p w14:paraId="73708DCD">
      <w:pPr>
        <w:outlineLvl w:val="9"/>
        <w:rPr>
          <w:rFonts w:hint="eastAsia" w:ascii="宋体" w:hAnsi="宋体" w:eastAsia="宋体" w:cs="宋体"/>
          <w:b/>
          <w:color w:val="auto"/>
          <w:sz w:val="32"/>
          <w:szCs w:val="32"/>
          <w:highlight w:val="none"/>
          <w:lang w:val="zh-CN" w:eastAsia="zh-CN"/>
        </w:rPr>
      </w:pPr>
    </w:p>
    <w:p w14:paraId="74D3C4D1">
      <w:pPr>
        <w:outlineLvl w:val="9"/>
        <w:rPr>
          <w:rFonts w:hint="eastAsia" w:ascii="宋体" w:hAnsi="宋体" w:eastAsia="宋体" w:cs="宋体"/>
          <w:b/>
          <w:color w:val="auto"/>
          <w:sz w:val="32"/>
          <w:szCs w:val="32"/>
          <w:highlight w:val="none"/>
          <w:lang w:val="zh-CN" w:eastAsia="zh-CN"/>
        </w:rPr>
      </w:pPr>
    </w:p>
    <w:p w14:paraId="27E72CEB">
      <w:pPr>
        <w:outlineLvl w:val="9"/>
        <w:rPr>
          <w:rFonts w:hint="eastAsia" w:ascii="宋体" w:hAnsi="宋体" w:eastAsia="宋体" w:cs="宋体"/>
          <w:b/>
          <w:color w:val="auto"/>
          <w:sz w:val="32"/>
          <w:szCs w:val="32"/>
          <w:highlight w:val="none"/>
          <w:lang w:val="zh-CN" w:eastAsia="zh-CN"/>
        </w:rPr>
      </w:pPr>
    </w:p>
    <w:p w14:paraId="55EAEF76">
      <w:pPr>
        <w:outlineLvl w:val="9"/>
        <w:rPr>
          <w:rFonts w:hint="eastAsia" w:ascii="宋体" w:hAnsi="宋体" w:eastAsia="宋体" w:cs="宋体"/>
          <w:b/>
          <w:color w:val="auto"/>
          <w:sz w:val="32"/>
          <w:szCs w:val="32"/>
          <w:highlight w:val="none"/>
          <w:lang w:val="zh-CN" w:eastAsia="zh-CN"/>
        </w:rPr>
      </w:pPr>
    </w:p>
    <w:p w14:paraId="3A04E830">
      <w:pPr>
        <w:outlineLvl w:val="9"/>
        <w:rPr>
          <w:rFonts w:hint="eastAsia" w:ascii="宋体" w:hAnsi="宋体" w:eastAsia="宋体" w:cs="宋体"/>
          <w:b/>
          <w:color w:val="auto"/>
          <w:sz w:val="32"/>
          <w:szCs w:val="32"/>
          <w:highlight w:val="none"/>
          <w:lang w:val="zh-CN" w:eastAsia="zh-CN"/>
        </w:rPr>
      </w:pPr>
    </w:p>
    <w:p w14:paraId="03D43A01">
      <w:pPr>
        <w:outlineLvl w:val="9"/>
        <w:rPr>
          <w:rFonts w:hint="eastAsia" w:ascii="宋体" w:hAnsi="宋体" w:eastAsia="宋体" w:cs="宋体"/>
          <w:b/>
          <w:color w:val="auto"/>
          <w:sz w:val="32"/>
          <w:szCs w:val="32"/>
          <w:highlight w:val="none"/>
          <w:lang w:val="zh-CN" w:eastAsia="zh-CN"/>
        </w:rPr>
      </w:pPr>
    </w:p>
    <w:p w14:paraId="702DDF52">
      <w:pPr>
        <w:outlineLvl w:val="9"/>
        <w:rPr>
          <w:rFonts w:hint="eastAsia" w:ascii="宋体" w:hAnsi="宋体" w:eastAsia="宋体" w:cs="宋体"/>
          <w:b/>
          <w:color w:val="auto"/>
          <w:sz w:val="32"/>
          <w:szCs w:val="32"/>
          <w:highlight w:val="none"/>
          <w:lang w:val="zh-CN" w:eastAsia="zh-CN"/>
        </w:rPr>
      </w:pPr>
    </w:p>
    <w:p w14:paraId="5E88E258">
      <w:pPr>
        <w:outlineLvl w:val="9"/>
        <w:rPr>
          <w:rFonts w:hint="eastAsia" w:ascii="宋体" w:hAnsi="宋体" w:eastAsia="宋体" w:cs="宋体"/>
          <w:b/>
          <w:color w:val="auto"/>
          <w:sz w:val="32"/>
          <w:szCs w:val="32"/>
          <w:highlight w:val="none"/>
          <w:lang w:val="zh-CN" w:eastAsia="zh-CN"/>
        </w:rPr>
      </w:pPr>
    </w:p>
    <w:p w14:paraId="68025527">
      <w:pPr>
        <w:outlineLvl w:val="9"/>
        <w:rPr>
          <w:rFonts w:hint="eastAsia" w:ascii="宋体" w:hAnsi="宋体" w:eastAsia="宋体" w:cs="宋体"/>
          <w:b/>
          <w:color w:val="auto"/>
          <w:sz w:val="32"/>
          <w:szCs w:val="32"/>
          <w:highlight w:val="none"/>
          <w:lang w:val="zh-CN" w:eastAsia="zh-CN"/>
        </w:rPr>
      </w:pPr>
    </w:p>
    <w:p w14:paraId="6BDBD515">
      <w:pPr>
        <w:outlineLvl w:val="9"/>
        <w:rPr>
          <w:rFonts w:hint="eastAsia" w:ascii="宋体" w:hAnsi="宋体" w:eastAsia="宋体" w:cs="宋体"/>
          <w:b/>
          <w:color w:val="auto"/>
          <w:sz w:val="32"/>
          <w:szCs w:val="32"/>
          <w:highlight w:val="none"/>
          <w:lang w:val="zh-CN" w:eastAsia="zh-CN"/>
        </w:rPr>
      </w:pPr>
    </w:p>
    <w:p w14:paraId="1B6A89CC">
      <w:pPr>
        <w:outlineLvl w:val="9"/>
        <w:rPr>
          <w:rFonts w:hint="eastAsia" w:ascii="宋体" w:hAnsi="宋体" w:eastAsia="宋体" w:cs="宋体"/>
          <w:b/>
          <w:color w:val="auto"/>
          <w:sz w:val="32"/>
          <w:szCs w:val="32"/>
          <w:highlight w:val="none"/>
          <w:lang w:val="zh-CN" w:eastAsia="zh-CN"/>
        </w:rPr>
      </w:pPr>
    </w:p>
    <w:p w14:paraId="00ED8644">
      <w:pPr>
        <w:outlineLvl w:val="9"/>
        <w:rPr>
          <w:rFonts w:hint="eastAsia"/>
          <w:color w:val="auto"/>
          <w:lang w:val="zh-CN" w:eastAsia="zh-CN"/>
        </w:rPr>
      </w:pPr>
    </w:p>
    <w:p w14:paraId="198A5DF4">
      <w:pPr>
        <w:outlineLvl w:val="9"/>
        <w:rPr>
          <w:rFonts w:hint="eastAsia"/>
          <w:color w:val="auto"/>
          <w:lang w:val="zh-CN" w:eastAsia="zh-CN"/>
        </w:rPr>
      </w:pPr>
    </w:p>
    <w:p w14:paraId="0B1BCCA8">
      <w:pPr>
        <w:rPr>
          <w:rFonts w:hint="eastAsia" w:ascii="宋体" w:hAnsi="宋体" w:eastAsia="宋体" w:cs="宋体"/>
          <w:b/>
          <w:color w:val="auto"/>
          <w:sz w:val="32"/>
          <w:szCs w:val="32"/>
          <w:highlight w:val="none"/>
          <w:lang w:val="zh-CN" w:eastAsia="zh-CN"/>
        </w:rPr>
      </w:pPr>
      <w:bookmarkStart w:id="802" w:name="_Toc23977"/>
      <w:r>
        <w:rPr>
          <w:rFonts w:hint="eastAsia" w:ascii="宋体" w:hAnsi="宋体" w:eastAsia="宋体" w:cs="宋体"/>
          <w:b/>
          <w:color w:val="auto"/>
          <w:sz w:val="32"/>
          <w:szCs w:val="32"/>
          <w:highlight w:val="none"/>
          <w:lang w:val="zh-CN" w:eastAsia="zh-CN"/>
        </w:rPr>
        <w:br w:type="page"/>
      </w:r>
    </w:p>
    <w:p w14:paraId="4780CAFD">
      <w:pPr>
        <w:tabs>
          <w:tab w:val="left" w:pos="567"/>
        </w:tabs>
        <w:autoSpaceDE w:val="0"/>
        <w:autoSpaceDN w:val="0"/>
        <w:adjustRightInd w:val="0"/>
        <w:spacing w:line="360" w:lineRule="auto"/>
        <w:jc w:val="left"/>
        <w:outlineLvl w:val="1"/>
        <w:rPr>
          <w:rFonts w:hint="eastAsia" w:ascii="宋体" w:hAnsi="宋体" w:eastAsia="宋体" w:cs="宋体"/>
          <w:b/>
          <w:color w:val="auto"/>
          <w:sz w:val="32"/>
          <w:szCs w:val="32"/>
          <w:highlight w:val="none"/>
          <w:lang w:val="zh-CN" w:eastAsia="zh-CN"/>
        </w:rPr>
      </w:pPr>
      <w:r>
        <w:rPr>
          <w:rFonts w:hint="eastAsia" w:ascii="宋体" w:hAnsi="宋体" w:eastAsia="宋体" w:cs="宋体"/>
          <w:b/>
          <w:color w:val="auto"/>
          <w:sz w:val="32"/>
          <w:szCs w:val="32"/>
          <w:highlight w:val="none"/>
          <w:lang w:val="zh-CN" w:eastAsia="zh-CN"/>
        </w:rPr>
        <w:t>十</w:t>
      </w:r>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lang w:val="zh-CN" w:eastAsia="zh-CN"/>
        </w:rPr>
        <w:t>、投标保证金汇入情况说明</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6C4B4F7B">
      <w:pPr>
        <w:autoSpaceDE w:val="0"/>
        <w:autoSpaceDN w:val="0"/>
        <w:adjustRightInd w:val="0"/>
        <w:spacing w:line="360" w:lineRule="auto"/>
        <w:jc w:val="left"/>
        <w:rPr>
          <w:rFonts w:ascii="宋体" w:hAnsi="宋体" w:eastAsia="宋体" w:cs="宋体"/>
          <w:color w:val="auto"/>
          <w:szCs w:val="24"/>
          <w:highlight w:val="none"/>
        </w:rPr>
      </w:pPr>
    </w:p>
    <w:p w14:paraId="44CBEE0D">
      <w:pPr>
        <w:autoSpaceDE w:val="0"/>
        <w:autoSpaceDN w:val="0"/>
        <w:adjustRightInd w:val="0"/>
        <w:spacing w:line="360" w:lineRule="auto"/>
        <w:jc w:val="center"/>
        <w:outlineLvl w:val="9"/>
        <w:rPr>
          <w:rFonts w:ascii="宋体" w:hAnsi="宋体" w:eastAsia="宋体" w:cs="宋体"/>
          <w:b/>
          <w:bCs/>
          <w:color w:val="auto"/>
          <w:kern w:val="0"/>
          <w:sz w:val="24"/>
          <w:szCs w:val="24"/>
          <w:highlight w:val="none"/>
        </w:rPr>
      </w:pPr>
      <w:bookmarkStart w:id="803" w:name="_Toc22541"/>
      <w:bookmarkStart w:id="804" w:name="_Toc31832_WPSOffice_Level3"/>
      <w:bookmarkStart w:id="805" w:name="_Toc10370"/>
      <w:r>
        <w:rPr>
          <w:rFonts w:hint="eastAsia" w:ascii="宋体" w:hAnsi="宋体" w:eastAsia="宋体" w:cs="宋体"/>
          <w:b/>
          <w:bCs/>
          <w:color w:val="auto"/>
          <w:kern w:val="0"/>
          <w:sz w:val="24"/>
          <w:szCs w:val="24"/>
          <w:highlight w:val="none"/>
        </w:rPr>
        <w:t>投标保证金汇入情况说明</w:t>
      </w:r>
      <w:bookmarkEnd w:id="803"/>
      <w:bookmarkEnd w:id="804"/>
      <w:bookmarkEnd w:id="805"/>
    </w:p>
    <w:p w14:paraId="4037AC7A">
      <w:pPr>
        <w:autoSpaceDE w:val="0"/>
        <w:autoSpaceDN w:val="0"/>
        <w:adjustRightInd w:val="0"/>
        <w:spacing w:line="360" w:lineRule="auto"/>
        <w:jc w:val="center"/>
        <w:rPr>
          <w:rFonts w:ascii="宋体" w:hAnsi="宋体" w:eastAsia="宋体" w:cs="宋体"/>
          <w:b/>
          <w:bCs/>
          <w:color w:val="auto"/>
          <w:kern w:val="0"/>
          <w:szCs w:val="24"/>
          <w:highlight w:val="none"/>
        </w:rPr>
      </w:pPr>
    </w:p>
    <w:p w14:paraId="0AD7729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东莞市水务集团净水有限公司</w:t>
      </w:r>
      <w:r>
        <w:rPr>
          <w:rFonts w:hint="eastAsia" w:ascii="宋体" w:hAnsi="宋体" w:eastAsia="宋体" w:cs="宋体"/>
          <w:color w:val="auto"/>
          <w:szCs w:val="21"/>
          <w:highlight w:val="none"/>
        </w:rPr>
        <w:t>：</w:t>
      </w:r>
    </w:p>
    <w:p w14:paraId="07699FB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东莞市水务集团净水有限公司2025年生产药剂液体复合碳源采购项目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WTZB2024DG0048</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683C823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5A8E5F3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5FE8BCAE">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416B298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F194EC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1D1D824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5B25B84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B1E30E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190FCB03">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063AAA13">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4458E48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3AF7D76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265AB63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4475E6C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681BEE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58CD7D93">
      <w:pPr>
        <w:spacing w:line="360" w:lineRule="auto"/>
        <w:ind w:left="340" w:leftChars="162" w:firstLine="425"/>
        <w:rPr>
          <w:rFonts w:ascii="宋体" w:hAnsi="宋体" w:eastAsia="宋体" w:cs="宋体"/>
          <w:b/>
          <w:bCs/>
          <w:color w:val="auto"/>
          <w:szCs w:val="21"/>
          <w:highlight w:val="none"/>
        </w:rPr>
      </w:pPr>
      <w:bookmarkStart w:id="806" w:name="_Toc26208_WPSOffice_Level3"/>
      <w:r>
        <w:rPr>
          <w:rFonts w:hint="eastAsia" w:ascii="宋体" w:hAnsi="宋体" w:eastAsia="宋体" w:cs="宋体"/>
          <w:b/>
          <w:bCs/>
          <w:color w:val="auto"/>
          <w:szCs w:val="21"/>
          <w:highlight w:val="none"/>
        </w:rPr>
        <w:t>附：1、我方投标保证金汇款凭证（复印件）</w:t>
      </w:r>
      <w:bookmarkEnd w:id="806"/>
    </w:p>
    <w:p w14:paraId="5B1216CB">
      <w:pPr>
        <w:spacing w:line="360" w:lineRule="auto"/>
        <w:ind w:left="340" w:leftChars="162" w:firstLine="839" w:firstLineChars="398"/>
        <w:outlineLvl w:val="9"/>
        <w:rPr>
          <w:rFonts w:ascii="宋体" w:hAnsi="宋体" w:eastAsia="宋体" w:cs="宋体"/>
          <w:b/>
          <w:bCs/>
          <w:color w:val="auto"/>
          <w:szCs w:val="21"/>
          <w:highlight w:val="none"/>
        </w:rPr>
      </w:pPr>
      <w:bookmarkStart w:id="807" w:name="_Toc25157"/>
      <w:bookmarkStart w:id="808" w:name="_Toc12992_WPSOffice_Level3"/>
      <w:bookmarkStart w:id="809" w:name="_Toc19228"/>
      <w:r>
        <w:rPr>
          <w:rFonts w:hint="eastAsia" w:ascii="宋体" w:hAnsi="宋体" w:eastAsia="宋体" w:cs="宋体"/>
          <w:b/>
          <w:bCs/>
          <w:color w:val="auto"/>
          <w:szCs w:val="21"/>
          <w:highlight w:val="none"/>
        </w:rPr>
        <w:t>2、我方基本账户开户许可证（复印件）</w:t>
      </w:r>
      <w:bookmarkEnd w:id="807"/>
      <w:bookmarkEnd w:id="808"/>
      <w:bookmarkEnd w:id="809"/>
    </w:p>
    <w:p w14:paraId="3617B9E8">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2201185B">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5A6A7B10">
      <w:pPr>
        <w:spacing w:line="360" w:lineRule="auto"/>
        <w:ind w:firstLine="424" w:firstLineChars="202"/>
        <w:rPr>
          <w:rFonts w:ascii="宋体" w:hAnsi="宋体" w:eastAsia="宋体" w:cs="宋体"/>
          <w:color w:val="auto"/>
          <w:szCs w:val="24"/>
          <w:highlight w:val="none"/>
        </w:rPr>
      </w:pPr>
      <w:bookmarkStart w:id="810" w:name="_Toc486167721"/>
    </w:p>
    <w:p w14:paraId="06F74EB9">
      <w:pPr>
        <w:spacing w:line="360" w:lineRule="auto"/>
        <w:ind w:firstLine="424" w:firstLineChars="202"/>
        <w:rPr>
          <w:rFonts w:ascii="宋体" w:hAnsi="宋体" w:eastAsia="宋体" w:cs="宋体"/>
          <w:color w:val="auto"/>
          <w:szCs w:val="24"/>
          <w:highlight w:val="none"/>
        </w:rPr>
      </w:pPr>
      <w:bookmarkStart w:id="811" w:name="_Toc533708134"/>
    </w:p>
    <w:p w14:paraId="32DC8DD8">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0974767A">
      <w:pPr>
        <w:tabs>
          <w:tab w:val="left" w:pos="567"/>
        </w:tabs>
        <w:autoSpaceDE w:val="0"/>
        <w:autoSpaceDN w:val="0"/>
        <w:adjustRightInd w:val="0"/>
        <w:spacing w:line="360" w:lineRule="auto"/>
        <w:jc w:val="left"/>
        <w:outlineLvl w:val="1"/>
        <w:rPr>
          <w:rFonts w:hint="eastAsia" w:ascii="宋体" w:hAnsi="宋体" w:eastAsia="宋体" w:cs="宋体"/>
          <w:b/>
          <w:color w:val="auto"/>
          <w:sz w:val="32"/>
          <w:szCs w:val="32"/>
          <w:highlight w:val="none"/>
          <w:lang w:val="en-US" w:eastAsia="zh-CN"/>
        </w:rPr>
        <w:sectPr>
          <w:pgSz w:w="12240" w:h="15840"/>
          <w:pgMar w:top="1191" w:right="1043" w:bottom="1191" w:left="1043" w:header="720" w:footer="720" w:gutter="0"/>
          <w:cols w:space="720" w:num="1"/>
          <w:titlePg/>
          <w:docGrid w:linePitch="326" w:charSpace="0"/>
        </w:sectPr>
      </w:pPr>
      <w:bookmarkStart w:id="812" w:name="_Toc102860428"/>
      <w:bookmarkStart w:id="813" w:name="_Toc142508379"/>
      <w:bookmarkStart w:id="814" w:name="_Toc18032"/>
      <w:bookmarkStart w:id="815" w:name="_Toc23702"/>
      <w:bookmarkStart w:id="816" w:name="_Toc104991886"/>
      <w:bookmarkStart w:id="817" w:name="_Toc16558"/>
      <w:bookmarkStart w:id="818" w:name="_Toc28071"/>
      <w:bookmarkStart w:id="819" w:name="_Toc94107221"/>
      <w:bookmarkStart w:id="820" w:name="_Toc16292"/>
      <w:bookmarkStart w:id="821" w:name="_Toc1977738"/>
      <w:bookmarkStart w:id="822" w:name="_Toc102860084"/>
      <w:bookmarkStart w:id="823" w:name="_Toc140596939"/>
      <w:r>
        <w:rPr>
          <w:rFonts w:hint="eastAsia" w:ascii="宋体" w:hAnsi="宋体" w:eastAsia="宋体" w:cs="宋体"/>
          <w:b/>
          <w:color w:val="auto"/>
          <w:sz w:val="32"/>
          <w:szCs w:val="32"/>
          <w:highlight w:val="none"/>
          <w:lang w:val="zh-CN" w:eastAsia="zh-CN"/>
        </w:rPr>
        <w:t>十</w:t>
      </w: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lang w:val="zh-CN" w:eastAsia="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color w:val="auto"/>
          <w:sz w:val="32"/>
          <w:szCs w:val="32"/>
          <w:highlight w:val="none"/>
          <w:lang w:val="en-US" w:eastAsia="zh-CN"/>
        </w:rPr>
        <w:t>及有关</w:t>
      </w:r>
      <w:r>
        <w:rPr>
          <w:rFonts w:hint="eastAsia" w:ascii="宋体" w:hAnsi="宋体" w:eastAsia="宋体" w:cs="宋体"/>
          <w:b/>
          <w:color w:val="auto"/>
          <w:sz w:val="32"/>
          <w:szCs w:val="32"/>
          <w:highlight w:val="none"/>
          <w:lang w:val="zh-CN" w:eastAsia="zh-CN"/>
        </w:rPr>
        <w:t>服务能力的有关其它商务文件（不做强制要求）</w:t>
      </w:r>
      <w:bookmarkEnd w:id="812"/>
      <w:bookmarkEnd w:id="813"/>
      <w:bookmarkEnd w:id="814"/>
      <w:bookmarkEnd w:id="815"/>
      <w:bookmarkEnd w:id="816"/>
      <w:bookmarkEnd w:id="817"/>
      <w:bookmarkEnd w:id="818"/>
      <w:bookmarkEnd w:id="819"/>
      <w:bookmarkEnd w:id="820"/>
      <w:bookmarkEnd w:id="821"/>
      <w:bookmarkEnd w:id="822"/>
      <w:bookmarkEnd w:id="823"/>
    </w:p>
    <w:p w14:paraId="10CDCA6E">
      <w:pPr>
        <w:tabs>
          <w:tab w:val="left" w:pos="567"/>
        </w:tabs>
        <w:autoSpaceDE w:val="0"/>
        <w:autoSpaceDN w:val="0"/>
        <w:adjustRightInd w:val="0"/>
        <w:spacing w:line="360" w:lineRule="auto"/>
        <w:jc w:val="left"/>
        <w:outlineLvl w:val="1"/>
        <w:rPr>
          <w:rFonts w:hint="eastAsia" w:ascii="宋体" w:hAnsi="宋体" w:eastAsia="宋体" w:cs="宋体"/>
          <w:b/>
          <w:color w:val="auto"/>
          <w:sz w:val="32"/>
          <w:szCs w:val="32"/>
          <w:highlight w:val="none"/>
          <w:lang w:val="en-US" w:eastAsia="zh-CN"/>
        </w:rPr>
      </w:pPr>
      <w:bookmarkStart w:id="824" w:name="_Toc102860429"/>
      <w:bookmarkStart w:id="825" w:name="_Toc1977739"/>
      <w:bookmarkStart w:id="826" w:name="_Toc24702"/>
      <w:bookmarkStart w:id="827" w:name="_Toc22032"/>
      <w:bookmarkStart w:id="828" w:name="_Toc14341"/>
      <w:bookmarkStart w:id="829" w:name="_Toc142508380"/>
      <w:bookmarkStart w:id="830" w:name="_Toc15051"/>
      <w:bookmarkStart w:id="831" w:name="_Toc140596940"/>
      <w:bookmarkStart w:id="832" w:name="_Toc104991887"/>
      <w:bookmarkStart w:id="833" w:name="_Toc102860085"/>
      <w:bookmarkStart w:id="834" w:name="_Toc94107222"/>
      <w:bookmarkStart w:id="835" w:name="_Toc15692"/>
      <w:r>
        <w:rPr>
          <w:rFonts w:hint="eastAsia" w:ascii="宋体" w:hAnsi="宋体" w:eastAsia="宋体" w:cs="宋体"/>
          <w:b/>
          <w:color w:val="auto"/>
          <w:sz w:val="32"/>
          <w:szCs w:val="32"/>
          <w:highlight w:val="none"/>
          <w:lang w:val="en-US" w:eastAsia="zh-CN"/>
        </w:rPr>
        <w:t>十三、技术响应文件格式</w:t>
      </w:r>
      <w:bookmarkEnd w:id="811"/>
      <w:bookmarkEnd w:id="824"/>
      <w:bookmarkEnd w:id="825"/>
      <w:bookmarkEnd w:id="826"/>
      <w:bookmarkEnd w:id="827"/>
      <w:bookmarkEnd w:id="828"/>
      <w:bookmarkEnd w:id="829"/>
      <w:bookmarkEnd w:id="830"/>
      <w:bookmarkEnd w:id="831"/>
      <w:bookmarkEnd w:id="832"/>
      <w:bookmarkEnd w:id="833"/>
      <w:bookmarkEnd w:id="834"/>
      <w:bookmarkEnd w:id="835"/>
    </w:p>
    <w:p w14:paraId="2C8012EE">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3795D017">
      <w:pPr>
        <w:spacing w:line="360" w:lineRule="auto"/>
        <w:ind w:left="443" w:leftChars="77" w:hanging="281" w:hangingChars="134"/>
        <w:outlineLvl w:val="9"/>
        <w:rPr>
          <w:rFonts w:ascii="宋体" w:hAnsi="宋体" w:eastAsia="宋体" w:cs="宋体"/>
          <w:color w:val="auto"/>
          <w:kern w:val="0"/>
          <w:szCs w:val="21"/>
          <w:highlight w:val="none"/>
        </w:rPr>
      </w:pPr>
      <w:bookmarkStart w:id="836" w:name="_Toc8998"/>
      <w:bookmarkStart w:id="837" w:name="_Toc3859"/>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bookmarkEnd w:id="836"/>
      <w:bookmarkEnd w:id="837"/>
    </w:p>
    <w:p w14:paraId="183D8FBD">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2、投标产品技术指标承诺书（格式见1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2投标产品技术指标承诺书格式）；</w:t>
      </w:r>
    </w:p>
    <w:p w14:paraId="7B848460">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3、第三方检测机构出具的检验报告复印件（须为202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eastAsia="zh-CN"/>
        </w:rPr>
        <w:t>4月</w:t>
      </w:r>
      <w:r>
        <w:rPr>
          <w:rFonts w:hint="eastAsia" w:ascii="宋体" w:hAnsi="宋体" w:eastAsia="宋体" w:cs="宋体"/>
          <w:color w:val="auto"/>
          <w:kern w:val="0"/>
          <w:szCs w:val="21"/>
          <w:highlight w:val="none"/>
        </w:rPr>
        <w:t>1日以后出具的投标产品检验报告）；</w:t>
      </w:r>
    </w:p>
    <w:p w14:paraId="2B79E46A">
      <w:pPr>
        <w:spacing w:line="360" w:lineRule="auto"/>
        <w:ind w:left="443" w:leftChars="77" w:hanging="281" w:hangingChars="134"/>
        <w:rPr>
          <w:rFonts w:hint="eastAsia" w:ascii="宋体" w:hAnsi="宋体" w:eastAsia="宋体" w:cs="宋体"/>
          <w:color w:val="auto"/>
          <w:kern w:val="0"/>
          <w:szCs w:val="21"/>
          <w:highlight w:val="none"/>
        </w:rPr>
      </w:pPr>
      <w:bookmarkStart w:id="838" w:name="_Toc21833"/>
      <w:bookmarkStart w:id="839" w:name="_Toc1446"/>
      <w:r>
        <w:rPr>
          <w:rFonts w:hint="eastAsia" w:ascii="宋体" w:hAnsi="宋体" w:eastAsia="宋体" w:cs="宋体"/>
          <w:color w:val="auto"/>
          <w:kern w:val="0"/>
          <w:szCs w:val="21"/>
          <w:highlight w:val="none"/>
        </w:rPr>
        <w:t>4、产品的主要原材料证明；</w:t>
      </w:r>
      <w:bookmarkEnd w:id="838"/>
      <w:bookmarkEnd w:id="839"/>
    </w:p>
    <w:p w14:paraId="5ACDE9A7">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生产工艺</w:t>
      </w:r>
      <w:r>
        <w:rPr>
          <w:rFonts w:hint="eastAsia" w:ascii="宋体" w:hAnsi="宋体" w:eastAsia="宋体" w:cs="宋体"/>
          <w:color w:val="auto"/>
          <w:kern w:val="0"/>
          <w:szCs w:val="21"/>
          <w:highlight w:val="none"/>
        </w:rPr>
        <w:t>（投标人自行编写，其中应包含生产工艺流程图）；</w:t>
      </w:r>
    </w:p>
    <w:p w14:paraId="34DD4779">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6、生产供货保障能力（投标人自行编写）；</w:t>
      </w:r>
    </w:p>
    <w:p w14:paraId="29715D51">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7、质量保证体系和措施（投标人自行编写）；</w:t>
      </w:r>
    </w:p>
    <w:p w14:paraId="0AE58ED9">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7A26DD71">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5981D095">
      <w:pPr>
        <w:pStyle w:val="20"/>
        <w:spacing w:line="360" w:lineRule="auto"/>
        <w:jc w:val="center"/>
        <w:rPr>
          <w:rFonts w:hint="eastAsia" w:ascii="宋体" w:hAnsi="宋体" w:eastAsia="宋体" w:cs="宋体"/>
          <w:color w:val="auto"/>
          <w:sz w:val="84"/>
          <w:highlight w:val="none"/>
        </w:rPr>
      </w:pPr>
    </w:p>
    <w:p w14:paraId="0A3F4690">
      <w:pPr>
        <w:pStyle w:val="20"/>
        <w:spacing w:line="360" w:lineRule="auto"/>
        <w:jc w:val="center"/>
        <w:rPr>
          <w:rFonts w:hint="eastAsia" w:ascii="宋体" w:hAnsi="宋体" w:eastAsia="宋体" w:cs="宋体"/>
          <w:color w:val="auto"/>
          <w:sz w:val="84"/>
          <w:highlight w:val="none"/>
        </w:rPr>
      </w:pPr>
    </w:p>
    <w:p w14:paraId="56731057">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056FFBA9">
      <w:pPr>
        <w:pStyle w:val="20"/>
        <w:spacing w:line="360" w:lineRule="auto"/>
        <w:rPr>
          <w:rFonts w:hint="eastAsia" w:ascii="宋体" w:hAnsi="宋体" w:eastAsia="宋体" w:cs="宋体"/>
          <w:color w:val="auto"/>
          <w:highlight w:val="none"/>
        </w:rPr>
      </w:pPr>
    </w:p>
    <w:p w14:paraId="1B2E02C3">
      <w:pPr>
        <w:pStyle w:val="20"/>
        <w:spacing w:line="360" w:lineRule="auto"/>
        <w:rPr>
          <w:rFonts w:hint="eastAsia" w:ascii="宋体" w:hAnsi="宋体" w:eastAsia="宋体" w:cs="宋体"/>
          <w:color w:val="auto"/>
          <w:highlight w:val="none"/>
        </w:rPr>
      </w:pPr>
    </w:p>
    <w:p w14:paraId="1ECDC2C8">
      <w:pPr>
        <w:pStyle w:val="20"/>
        <w:spacing w:line="360" w:lineRule="auto"/>
        <w:rPr>
          <w:rFonts w:hint="eastAsia" w:ascii="宋体" w:hAnsi="宋体" w:eastAsia="宋体" w:cs="宋体"/>
          <w:color w:val="auto"/>
          <w:highlight w:val="none"/>
        </w:rPr>
      </w:pPr>
    </w:p>
    <w:p w14:paraId="27B0CB21">
      <w:pPr>
        <w:pStyle w:val="20"/>
        <w:spacing w:line="360" w:lineRule="auto"/>
        <w:rPr>
          <w:rFonts w:hint="eastAsia" w:ascii="宋体" w:hAnsi="宋体" w:eastAsia="宋体" w:cs="宋体"/>
          <w:color w:val="auto"/>
          <w:highlight w:val="none"/>
        </w:rPr>
      </w:pPr>
    </w:p>
    <w:p w14:paraId="0B1C1A7F">
      <w:pPr>
        <w:pStyle w:val="20"/>
        <w:spacing w:line="360" w:lineRule="auto"/>
        <w:rPr>
          <w:rFonts w:hint="eastAsia" w:ascii="宋体" w:hAnsi="宋体" w:eastAsia="宋体" w:cs="宋体"/>
          <w:color w:val="auto"/>
          <w:highlight w:val="none"/>
        </w:rPr>
      </w:pPr>
    </w:p>
    <w:p w14:paraId="59E2341B">
      <w:pPr>
        <w:pStyle w:val="20"/>
        <w:spacing w:line="360" w:lineRule="auto"/>
        <w:rPr>
          <w:rFonts w:hint="eastAsia" w:ascii="宋体" w:hAnsi="宋体" w:eastAsia="宋体" w:cs="宋体"/>
          <w:color w:val="auto"/>
          <w:highlight w:val="none"/>
        </w:rPr>
      </w:pPr>
    </w:p>
    <w:p w14:paraId="139B66FD">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75A46FD">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0FB5544">
      <w:pPr>
        <w:pStyle w:val="20"/>
        <w:spacing w:line="360" w:lineRule="auto"/>
        <w:ind w:firstLine="1875" w:firstLineChars="625"/>
        <w:outlineLvl w:val="9"/>
        <w:rPr>
          <w:rFonts w:hint="eastAsia" w:ascii="宋体" w:hAnsi="宋体" w:eastAsia="宋体" w:cs="宋体"/>
          <w:color w:val="auto"/>
          <w:sz w:val="30"/>
          <w:highlight w:val="none"/>
          <w:u w:val="single"/>
        </w:rPr>
      </w:pPr>
      <w:bookmarkStart w:id="840" w:name="_Toc10959"/>
      <w:bookmarkStart w:id="841" w:name="_Toc22711"/>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部分</w:t>
      </w:r>
      <w:bookmarkEnd w:id="840"/>
      <w:bookmarkEnd w:id="841"/>
      <w:r>
        <w:rPr>
          <w:rFonts w:hint="eastAsia" w:ascii="宋体" w:hAnsi="宋体" w:eastAsia="宋体" w:cs="宋体"/>
          <w:color w:val="auto"/>
          <w:sz w:val="30"/>
          <w:highlight w:val="none"/>
          <w:u w:val="single"/>
        </w:rPr>
        <w:t xml:space="preserve"> </w:t>
      </w:r>
    </w:p>
    <w:p w14:paraId="5B16AB0D">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5450C589">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DD99592">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1D250F3">
      <w:pPr>
        <w:pStyle w:val="20"/>
        <w:spacing w:line="360" w:lineRule="auto"/>
        <w:rPr>
          <w:rFonts w:hint="eastAsia" w:ascii="宋体" w:hAnsi="宋体" w:eastAsia="宋体" w:cs="宋体"/>
          <w:color w:val="auto"/>
          <w:highlight w:val="none"/>
        </w:rPr>
      </w:pPr>
    </w:p>
    <w:p w14:paraId="2CA7A66C">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787E335">
      <w:pPr>
        <w:pStyle w:val="20"/>
        <w:spacing w:line="360" w:lineRule="auto"/>
        <w:rPr>
          <w:rFonts w:hint="eastAsia" w:ascii="宋体" w:hAnsi="宋体" w:eastAsia="宋体" w:cs="宋体"/>
          <w:color w:val="auto"/>
          <w:highlight w:val="none"/>
        </w:rPr>
      </w:pPr>
    </w:p>
    <w:p w14:paraId="5FAF8C56">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0AFA1E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F6F238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5DD09E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0958D137">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5EB53CA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FFAF9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200FDD1">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66190E6">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2C2370B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DF9E541">
            <w:pPr>
              <w:adjustRightInd w:val="0"/>
              <w:snapToGrid w:val="0"/>
              <w:spacing w:line="360" w:lineRule="auto"/>
              <w:rPr>
                <w:rFonts w:hint="eastAsia" w:ascii="宋体" w:hAnsi="宋体" w:eastAsia="宋体" w:cs="宋体"/>
                <w:bCs/>
                <w:color w:val="auto"/>
                <w:szCs w:val="21"/>
                <w:highlight w:val="none"/>
              </w:rPr>
            </w:pPr>
          </w:p>
        </w:tc>
      </w:tr>
      <w:tr w14:paraId="77CF3B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7C4866F">
            <w:pPr>
              <w:rPr>
                <w:rFonts w:hint="eastAsia" w:ascii="宋体" w:hAnsi="宋体" w:eastAsia="宋体" w:cs="宋体"/>
                <w:bCs/>
                <w:color w:val="auto"/>
                <w:szCs w:val="21"/>
                <w:highlight w:val="none"/>
              </w:rPr>
            </w:pPr>
          </w:p>
        </w:tc>
        <w:tc>
          <w:tcPr>
            <w:tcW w:w="1337" w:type="pct"/>
            <w:vAlign w:val="center"/>
          </w:tcPr>
          <w:p w14:paraId="132169AD">
            <w:pPr>
              <w:rPr>
                <w:rFonts w:hint="eastAsia" w:ascii="宋体" w:hAnsi="宋体" w:eastAsia="宋体" w:cs="宋体"/>
                <w:bCs/>
                <w:color w:val="auto"/>
                <w:szCs w:val="21"/>
                <w:highlight w:val="none"/>
              </w:rPr>
            </w:pPr>
          </w:p>
        </w:tc>
        <w:tc>
          <w:tcPr>
            <w:tcW w:w="861" w:type="pct"/>
            <w:vAlign w:val="center"/>
          </w:tcPr>
          <w:p w14:paraId="216B7404">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43DBCF2">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05A06A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F9C62B9">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648B538">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06C4C85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CE1EC97">
            <w:pPr>
              <w:spacing w:line="360" w:lineRule="auto"/>
              <w:ind w:firstLine="8" w:firstLineChars="4"/>
              <w:rPr>
                <w:rFonts w:hint="eastAsia" w:ascii="宋体" w:hAnsi="宋体" w:eastAsia="宋体" w:cs="宋体"/>
                <w:bCs/>
                <w:color w:val="auto"/>
                <w:szCs w:val="21"/>
                <w:highlight w:val="none"/>
              </w:rPr>
            </w:pPr>
          </w:p>
        </w:tc>
      </w:tr>
      <w:tr w14:paraId="5F2974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E1BC41E">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87531C1">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21D1DBF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2D22BA05">
            <w:pPr>
              <w:adjustRightInd w:val="0"/>
              <w:snapToGrid w:val="0"/>
              <w:spacing w:line="360" w:lineRule="auto"/>
              <w:rPr>
                <w:rFonts w:hint="eastAsia" w:ascii="宋体" w:hAnsi="宋体" w:eastAsia="宋体" w:cs="宋体"/>
                <w:bCs/>
                <w:color w:val="auto"/>
                <w:szCs w:val="21"/>
                <w:highlight w:val="none"/>
              </w:rPr>
            </w:pPr>
          </w:p>
        </w:tc>
      </w:tr>
      <w:tr w14:paraId="31C29B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17B054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8403A57">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C48B621">
            <w:pPr>
              <w:spacing w:line="360" w:lineRule="auto"/>
              <w:jc w:val="center"/>
              <w:rPr>
                <w:rFonts w:hint="eastAsia" w:ascii="宋体" w:hAnsi="宋体" w:eastAsia="宋体" w:cs="宋体"/>
                <w:bCs/>
                <w:color w:val="auto"/>
                <w:szCs w:val="21"/>
                <w:highlight w:val="none"/>
              </w:rPr>
            </w:pPr>
          </w:p>
        </w:tc>
      </w:tr>
    </w:tbl>
    <w:p w14:paraId="06D96E2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bookmarkEnd w:id="810"/>
      <w:bookmarkStart w:id="842" w:name="_Toc1558"/>
      <w:bookmarkStart w:id="843" w:name="_Toc94107223"/>
      <w:bookmarkStart w:id="844" w:name="_Toc104991888"/>
      <w:bookmarkStart w:id="845" w:name="_Toc102860430"/>
      <w:bookmarkStart w:id="846" w:name="_Toc29228"/>
      <w:bookmarkStart w:id="847" w:name="_Toc533708135"/>
      <w:bookmarkStart w:id="848" w:name="_Toc102860086"/>
      <w:bookmarkStart w:id="849" w:name="_Toc142508381"/>
      <w:bookmarkStart w:id="850" w:name="_Toc20630"/>
      <w:bookmarkStart w:id="851" w:name="_Toc6021"/>
      <w:bookmarkStart w:id="852" w:name="_Toc7463"/>
      <w:bookmarkStart w:id="853" w:name="_Toc1977740"/>
      <w:bookmarkStart w:id="854" w:name="_Toc140596941"/>
      <w:r>
        <w:rPr>
          <w:rFonts w:hint="eastAsia" w:ascii="宋体" w:hAnsi="宋体" w:eastAsia="宋体" w:cs="宋体"/>
          <w:b/>
          <w:color w:val="auto"/>
          <w:kern w:val="0"/>
          <w:sz w:val="30"/>
          <w:szCs w:val="30"/>
          <w:highlight w:val="none"/>
          <w:lang w:val="en-US" w:eastAsia="zh-CN"/>
        </w:rPr>
        <w:t>13.1 用户需求偏离表格式</w:t>
      </w:r>
      <w:bookmarkEnd w:id="842"/>
      <w:bookmarkEnd w:id="843"/>
      <w:bookmarkEnd w:id="844"/>
      <w:bookmarkEnd w:id="845"/>
      <w:bookmarkEnd w:id="846"/>
      <w:bookmarkEnd w:id="847"/>
      <w:bookmarkEnd w:id="848"/>
      <w:bookmarkEnd w:id="849"/>
      <w:bookmarkEnd w:id="850"/>
      <w:bookmarkEnd w:id="851"/>
      <w:bookmarkEnd w:id="852"/>
      <w:bookmarkEnd w:id="853"/>
      <w:bookmarkEnd w:id="854"/>
    </w:p>
    <w:p w14:paraId="40348B1A">
      <w:pPr>
        <w:spacing w:before="120" w:after="120" w:line="360" w:lineRule="auto"/>
        <w:jc w:val="center"/>
        <w:outlineLvl w:val="9"/>
        <w:rPr>
          <w:rFonts w:ascii="宋体" w:hAnsi="宋体" w:eastAsia="宋体" w:cs="Times New Roman"/>
          <w:color w:val="auto"/>
          <w:kern w:val="0"/>
          <w:szCs w:val="21"/>
          <w:highlight w:val="none"/>
        </w:rPr>
      </w:pPr>
      <w:bookmarkStart w:id="855" w:name="_Toc2242"/>
      <w:bookmarkStart w:id="856" w:name="_Toc17449_WPSOffice_Level3"/>
      <w:bookmarkStart w:id="857" w:name="_Toc13893"/>
      <w:r>
        <w:rPr>
          <w:rFonts w:hint="eastAsia" w:ascii="宋体" w:hAnsi="宋体" w:eastAsia="宋体" w:cs="宋体"/>
          <w:b/>
          <w:color w:val="auto"/>
          <w:kern w:val="0"/>
          <w:sz w:val="30"/>
          <w:szCs w:val="30"/>
          <w:highlight w:val="none"/>
          <w:lang w:val="zh-CN"/>
        </w:rPr>
        <w:t>用户需求偏离表</w:t>
      </w:r>
      <w:bookmarkEnd w:id="855"/>
      <w:bookmarkEnd w:id="856"/>
      <w:bookmarkEnd w:id="857"/>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52"/>
        <w:gridCol w:w="6413"/>
        <w:gridCol w:w="722"/>
        <w:gridCol w:w="867"/>
        <w:gridCol w:w="819"/>
      </w:tblGrid>
      <w:tr w14:paraId="524E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88" w:type="pct"/>
            <w:vMerge w:val="restart"/>
            <w:vAlign w:val="center"/>
          </w:tcPr>
          <w:p w14:paraId="684D961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47F65ADB">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0" w:type="pct"/>
            <w:gridSpan w:val="3"/>
            <w:vAlign w:val="center"/>
          </w:tcPr>
          <w:p w14:paraId="4D6D2EA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0F37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continue"/>
            <w:vAlign w:val="center"/>
          </w:tcPr>
          <w:p w14:paraId="2A43DD7A">
            <w:pPr>
              <w:keepNext/>
              <w:keepLines/>
              <w:spacing w:line="400" w:lineRule="exact"/>
              <w:jc w:val="center"/>
              <w:outlineLvl w:val="9"/>
              <w:rPr>
                <w:rFonts w:ascii="宋体" w:hAnsi="宋体" w:eastAsia="宋体" w:cs="宋体"/>
                <w:color w:val="auto"/>
                <w:kern w:val="0"/>
                <w:sz w:val="18"/>
                <w:szCs w:val="18"/>
                <w:highlight w:val="none"/>
              </w:rPr>
            </w:pPr>
          </w:p>
        </w:tc>
        <w:tc>
          <w:tcPr>
            <w:tcW w:w="459" w:type="pct"/>
            <w:vAlign w:val="center"/>
          </w:tcPr>
          <w:p w14:paraId="42F4D4B9">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7B4667D9">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32624B66">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0C96E93C">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3" w:type="pct"/>
            <w:vAlign w:val="center"/>
          </w:tcPr>
          <w:p w14:paraId="3837B88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7C0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777F792F">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w:t>
            </w:r>
          </w:p>
        </w:tc>
        <w:tc>
          <w:tcPr>
            <w:tcW w:w="459" w:type="pct"/>
            <w:vAlign w:val="center"/>
          </w:tcPr>
          <w:p w14:paraId="33F19615">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color w:val="auto"/>
                <w:kern w:val="0"/>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一</w:t>
            </w:r>
          </w:p>
        </w:tc>
        <w:tc>
          <w:tcPr>
            <w:tcW w:w="3092" w:type="pct"/>
            <w:vAlign w:val="center"/>
          </w:tcPr>
          <w:p w14:paraId="0C44EEA0">
            <w:pPr>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基本招标要求</w:t>
            </w:r>
          </w:p>
        </w:tc>
        <w:tc>
          <w:tcPr>
            <w:tcW w:w="348" w:type="pct"/>
            <w:vAlign w:val="center"/>
          </w:tcPr>
          <w:p w14:paraId="3DBF4C3B">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7C95B630">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73346526">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0616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5E7AF3B9">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1292C6E4">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0588597E">
            <w:pPr>
              <w:pageBreakBefore w:val="0"/>
              <w:widowControl w:val="0"/>
              <w:kinsoku/>
              <w:wordWrap/>
              <w:overflowPunct/>
              <w:topLinePunct w:val="0"/>
              <w:bidi w:val="0"/>
              <w:adjustRightInd w:val="0"/>
              <w:snapToGrid/>
              <w:spacing w:line="240" w:lineRule="auto"/>
              <w:ind w:firstLine="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标的物</w:t>
            </w:r>
          </w:p>
        </w:tc>
        <w:tc>
          <w:tcPr>
            <w:tcW w:w="348" w:type="pct"/>
            <w:vAlign w:val="center"/>
          </w:tcPr>
          <w:p w14:paraId="701AE4FC">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41F9A457">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5E403807">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6A04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88" w:type="pct"/>
            <w:vAlign w:val="center"/>
          </w:tcPr>
          <w:p w14:paraId="42E4C517">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6F84FDCD">
            <w:pPr>
              <w:pageBreakBefore w:val="0"/>
              <w:widowControl w:val="0"/>
              <w:kinsoku/>
              <w:wordWrap/>
              <w:overflowPunct/>
              <w:topLinePunct w:val="0"/>
              <w:bidi w:val="0"/>
              <w:snapToGrid/>
              <w:spacing w:line="240" w:lineRule="auto"/>
              <w:jc w:val="center"/>
              <w:textAlignment w:val="auto"/>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val="en-US" w:eastAsia="zh-CN"/>
              </w:rPr>
              <w:t>三</w:t>
            </w:r>
          </w:p>
        </w:tc>
        <w:tc>
          <w:tcPr>
            <w:tcW w:w="3092" w:type="pct"/>
            <w:vAlign w:val="center"/>
          </w:tcPr>
          <w:p w14:paraId="041BEA27">
            <w:pPr>
              <w:pageBreakBefore w:val="0"/>
              <w:widowControl w:val="0"/>
              <w:kinsoku/>
              <w:wordWrap/>
              <w:overflowPunct/>
              <w:topLinePunct w:val="0"/>
              <w:bidi w:val="0"/>
              <w:snapToGrid/>
              <w:spacing w:line="240" w:lineRule="auto"/>
              <w:ind w:firstLine="0" w:firstLineChars="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交货要求</w:t>
            </w:r>
          </w:p>
        </w:tc>
        <w:tc>
          <w:tcPr>
            <w:tcW w:w="348" w:type="pct"/>
            <w:vAlign w:val="center"/>
          </w:tcPr>
          <w:p w14:paraId="1CA932C8">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001E6BC2">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6363FC93">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142F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47FA6995">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22AC311C">
            <w:pPr>
              <w:pageBreakBefore w:val="0"/>
              <w:widowControl w:val="0"/>
              <w:kinsoku/>
              <w:wordWrap/>
              <w:overflowPunct/>
              <w:topLinePunct w:val="0"/>
              <w:bidi w:val="0"/>
              <w:snapToGrid/>
              <w:spacing w:line="240" w:lineRule="auto"/>
              <w:jc w:val="center"/>
              <w:textAlignment w:val="auto"/>
              <w:rPr>
                <w:rFonts w:hint="eastAsia" w:ascii="宋体" w:hAnsi="宋体" w:eastAsia="宋体"/>
                <w:b/>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四</w:t>
            </w:r>
          </w:p>
        </w:tc>
        <w:tc>
          <w:tcPr>
            <w:tcW w:w="3092" w:type="pct"/>
            <w:vAlign w:val="center"/>
          </w:tcPr>
          <w:p w14:paraId="7BA0CABA">
            <w:pPr>
              <w:pageBreakBefore w:val="0"/>
              <w:widowControl w:val="0"/>
              <w:kinsoku/>
              <w:wordWrap/>
              <w:overflowPunct/>
              <w:topLinePunct w:val="0"/>
              <w:bidi w:val="0"/>
              <w:snapToGrid/>
              <w:spacing w:line="240" w:lineRule="auto"/>
              <w:ind w:firstLine="0" w:firstLineChars="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验收要求</w:t>
            </w:r>
          </w:p>
        </w:tc>
        <w:tc>
          <w:tcPr>
            <w:tcW w:w="348" w:type="pct"/>
            <w:vAlign w:val="center"/>
          </w:tcPr>
          <w:p w14:paraId="217C30E8">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13824685">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6EDC5D27">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7EA8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88" w:type="pct"/>
            <w:vAlign w:val="center"/>
          </w:tcPr>
          <w:p w14:paraId="273C963D">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07EB9092">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五</w:t>
            </w:r>
          </w:p>
        </w:tc>
        <w:tc>
          <w:tcPr>
            <w:tcW w:w="3092" w:type="pct"/>
            <w:vAlign w:val="center"/>
          </w:tcPr>
          <w:p w14:paraId="46152F47">
            <w:pPr>
              <w:pageBreakBefore w:val="0"/>
              <w:widowControl w:val="0"/>
              <w:kinsoku/>
              <w:wordWrap/>
              <w:overflowPunct/>
              <w:topLinePunct w:val="0"/>
              <w:bidi w:val="0"/>
              <w:snapToGrid/>
              <w:spacing w:line="240" w:lineRule="auto"/>
              <w:ind w:firstLine="0" w:firstLineChars="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资料要求</w:t>
            </w:r>
          </w:p>
        </w:tc>
        <w:tc>
          <w:tcPr>
            <w:tcW w:w="348" w:type="pct"/>
            <w:vAlign w:val="center"/>
          </w:tcPr>
          <w:p w14:paraId="53625F81">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0C6342F7">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08AC6D80">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6C0C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19897FE9">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07E97A20">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六</w:t>
            </w:r>
          </w:p>
        </w:tc>
        <w:tc>
          <w:tcPr>
            <w:tcW w:w="3092" w:type="pct"/>
            <w:vAlign w:val="center"/>
          </w:tcPr>
          <w:p w14:paraId="5D8CCAA0">
            <w:pPr>
              <w:pageBreakBefore w:val="0"/>
              <w:widowControl w:val="0"/>
              <w:kinsoku/>
              <w:wordWrap/>
              <w:overflowPunct/>
              <w:topLinePunct w:val="0"/>
              <w:bidi w:val="0"/>
              <w:snapToGri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质量保证及售后要求</w:t>
            </w:r>
          </w:p>
        </w:tc>
        <w:tc>
          <w:tcPr>
            <w:tcW w:w="348" w:type="pct"/>
            <w:vAlign w:val="center"/>
          </w:tcPr>
          <w:p w14:paraId="25642C71">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2DCE411E">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12051DB3">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775B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0DE5B986">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2E34797C">
            <w:pPr>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七</w:t>
            </w:r>
          </w:p>
        </w:tc>
        <w:tc>
          <w:tcPr>
            <w:tcW w:w="3092" w:type="pct"/>
            <w:vAlign w:val="center"/>
          </w:tcPr>
          <w:p w14:paraId="3AEAD58F">
            <w:pPr>
              <w:pageBreakBefore w:val="0"/>
              <w:widowControl w:val="0"/>
              <w:kinsoku/>
              <w:wordWrap/>
              <w:overflowPunct/>
              <w:topLinePunct w:val="0"/>
              <w:bidi w:val="0"/>
              <w:snapToGri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货物的结算</w:t>
            </w:r>
          </w:p>
        </w:tc>
        <w:tc>
          <w:tcPr>
            <w:tcW w:w="348" w:type="pct"/>
            <w:vAlign w:val="center"/>
          </w:tcPr>
          <w:p w14:paraId="239A0971">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7F118AC2">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50C6DF70">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236F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3C07CFD3">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06D535FE">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八</w:t>
            </w:r>
          </w:p>
        </w:tc>
        <w:tc>
          <w:tcPr>
            <w:tcW w:w="3092" w:type="pct"/>
            <w:vAlign w:val="center"/>
          </w:tcPr>
          <w:p w14:paraId="359418AA">
            <w:pPr>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其他要求</w:t>
            </w:r>
          </w:p>
        </w:tc>
        <w:tc>
          <w:tcPr>
            <w:tcW w:w="348" w:type="pct"/>
            <w:vAlign w:val="center"/>
          </w:tcPr>
          <w:p w14:paraId="72DF95B8">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7AADC63A">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7DB6883F">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04C7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3A32E648">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64CC27A8">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附件</w:t>
            </w:r>
          </w:p>
        </w:tc>
        <w:tc>
          <w:tcPr>
            <w:tcW w:w="3092" w:type="pct"/>
            <w:vAlign w:val="center"/>
          </w:tcPr>
          <w:p w14:paraId="720108C3">
            <w:pPr>
              <w:pageBreakBefore w:val="0"/>
              <w:widowControl w:val="0"/>
              <w:kinsoku/>
              <w:wordWrap/>
              <w:overflowPunct/>
              <w:topLinePunct w:val="0"/>
              <w:bidi w:val="0"/>
              <w:snapToGri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招标人运营项目相关信息</w:t>
            </w:r>
          </w:p>
        </w:tc>
        <w:tc>
          <w:tcPr>
            <w:tcW w:w="348" w:type="pct"/>
            <w:vAlign w:val="center"/>
          </w:tcPr>
          <w:p w14:paraId="09ACDA5D">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1CD22573">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48BE3E36">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4E42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14:paraId="7A842E03">
            <w:pPr>
              <w:keepNext/>
              <w:keepLines/>
              <w:pageBreakBefore w:val="0"/>
              <w:widowControl w:val="0"/>
              <w:kinsoku/>
              <w:wordWrap/>
              <w:overflowPunct/>
              <w:topLinePunct w:val="0"/>
              <w:bidi w:val="0"/>
              <w:snapToGrid/>
              <w:spacing w:line="240" w:lineRule="auto"/>
              <w:jc w:val="both"/>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用户需求书“★”条款汇总：</w:t>
            </w:r>
          </w:p>
        </w:tc>
      </w:tr>
      <w:tr w14:paraId="4599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0B116812">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59" w:type="pct"/>
            <w:vAlign w:val="center"/>
          </w:tcPr>
          <w:p w14:paraId="59A68332">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0200B4DE">
            <w:pPr>
              <w:pageBreakBefore w:val="0"/>
              <w:widowControl w:val="0"/>
              <w:kinsoku/>
              <w:wordWrap/>
              <w:overflowPunct/>
              <w:topLinePunct w:val="0"/>
              <w:bidi w:val="0"/>
              <w:snapToGrid/>
              <w:spacing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本次采购涉及招标人运营项目及采购数量为暂定，仅为便于计算暂定总合同价使用，不作为招标人最终采购数量的保证，招标人保留根据运营项目及新增运营项目实际情况，对采购数量进行灵活调整的权利。合同履约过程中，如</w:t>
            </w:r>
            <w:r>
              <w:rPr>
                <w:rFonts w:hint="eastAsia" w:ascii="宋体" w:hAnsi="宋体" w:eastAsia="宋体"/>
                <w:color w:val="auto"/>
                <w:sz w:val="21"/>
                <w:szCs w:val="21"/>
                <w:highlight w:val="none"/>
                <w:lang w:val="en-US" w:eastAsia="zh-CN"/>
              </w:rPr>
              <w:t>本项目</w:t>
            </w:r>
            <w:r>
              <w:rPr>
                <w:rFonts w:hint="eastAsia" w:ascii="宋体" w:hAnsi="宋体" w:eastAsia="宋体"/>
                <w:color w:val="auto"/>
                <w:sz w:val="21"/>
                <w:szCs w:val="21"/>
                <w:highlight w:val="none"/>
              </w:rPr>
              <w:t>因新增合同主体需要额外供货，</w:t>
            </w:r>
            <w:r>
              <w:rPr>
                <w:rFonts w:hint="eastAsia" w:ascii="宋体" w:hAnsi="宋体" w:eastAsia="宋体"/>
                <w:color w:val="auto"/>
                <w:sz w:val="21"/>
                <w:szCs w:val="21"/>
                <w:highlight w:val="none"/>
                <w:lang w:val="en-US" w:eastAsia="zh-CN"/>
              </w:rPr>
              <w:t>招标人权属子公司、</w:t>
            </w:r>
            <w:r>
              <w:rPr>
                <w:rFonts w:hint="eastAsia" w:ascii="宋体" w:hAnsi="宋体" w:eastAsia="宋体"/>
                <w:color w:val="auto"/>
                <w:sz w:val="21"/>
                <w:szCs w:val="21"/>
                <w:highlight w:val="none"/>
                <w:lang w:val="zh-CN"/>
              </w:rPr>
              <w:t>招标人权属子公司</w:t>
            </w:r>
            <w:r>
              <w:rPr>
                <w:rFonts w:hint="eastAsia" w:ascii="宋体" w:hAnsi="宋体" w:eastAsia="宋体"/>
                <w:color w:val="auto"/>
                <w:sz w:val="21"/>
                <w:szCs w:val="21"/>
                <w:highlight w:val="none"/>
                <w:lang w:val="en-US" w:eastAsia="zh-CN"/>
              </w:rPr>
              <w:t>关联公司</w:t>
            </w:r>
            <w:r>
              <w:rPr>
                <w:rFonts w:hint="eastAsia" w:ascii="宋体" w:hAnsi="宋体" w:eastAsia="宋体"/>
                <w:color w:val="auto"/>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olor w:val="auto"/>
                <w:sz w:val="21"/>
                <w:szCs w:val="21"/>
                <w:highlight w:val="none"/>
                <w:lang w:val="en-US" w:eastAsia="zh-CN"/>
              </w:rPr>
              <w:t>本项目</w:t>
            </w:r>
            <w:r>
              <w:rPr>
                <w:rFonts w:hint="eastAsia" w:ascii="宋体" w:hAnsi="宋体" w:eastAsia="宋体"/>
                <w:color w:val="auto"/>
                <w:sz w:val="21"/>
                <w:szCs w:val="21"/>
                <w:highlight w:val="none"/>
              </w:rPr>
              <w:t>在合同履约期间可能新增合同主体的可能性，并承诺在接到</w:t>
            </w:r>
            <w:r>
              <w:rPr>
                <w:rFonts w:hint="eastAsia" w:ascii="宋体" w:hAnsi="宋体" w:eastAsia="宋体"/>
                <w:color w:val="auto"/>
                <w:sz w:val="21"/>
                <w:szCs w:val="21"/>
                <w:highlight w:val="none"/>
                <w:lang w:val="en-US" w:eastAsia="zh-CN"/>
              </w:rPr>
              <w:t>招标人权属子公司、</w:t>
            </w:r>
            <w:r>
              <w:rPr>
                <w:rFonts w:hint="eastAsia" w:ascii="宋体" w:hAnsi="宋体" w:eastAsia="宋体"/>
                <w:color w:val="auto"/>
                <w:sz w:val="21"/>
                <w:szCs w:val="21"/>
                <w:highlight w:val="none"/>
                <w:lang w:val="zh-CN"/>
              </w:rPr>
              <w:t>招标人权属子公司</w:t>
            </w:r>
            <w:r>
              <w:rPr>
                <w:rFonts w:hint="eastAsia" w:ascii="宋体" w:hAnsi="宋体" w:eastAsia="宋体"/>
                <w:color w:val="auto"/>
                <w:sz w:val="21"/>
                <w:szCs w:val="21"/>
                <w:highlight w:val="none"/>
                <w:lang w:val="en-US" w:eastAsia="zh-CN"/>
              </w:rPr>
              <w:t>关联公司</w:t>
            </w:r>
            <w:r>
              <w:rPr>
                <w:rFonts w:hint="eastAsia" w:ascii="宋体" w:hAnsi="宋体" w:eastAsia="宋体"/>
                <w:color w:val="auto"/>
                <w:sz w:val="21"/>
                <w:szCs w:val="21"/>
                <w:highlight w:val="none"/>
              </w:rPr>
              <w:t>关于新增</w:t>
            </w:r>
            <w:r>
              <w:rPr>
                <w:rFonts w:hint="eastAsia" w:ascii="宋体" w:hAnsi="宋体" w:eastAsia="宋体"/>
                <w:color w:val="auto"/>
                <w:sz w:val="21"/>
                <w:szCs w:val="21"/>
                <w:highlight w:val="none"/>
                <w:lang w:val="en-US" w:eastAsia="zh-CN"/>
              </w:rPr>
              <w:t>合同主体</w:t>
            </w:r>
            <w:r>
              <w:rPr>
                <w:rFonts w:hint="eastAsia" w:ascii="宋体" w:hAnsi="宋体" w:eastAsia="宋体"/>
                <w:color w:val="auto"/>
                <w:sz w:val="21"/>
                <w:szCs w:val="21"/>
                <w:highlight w:val="none"/>
              </w:rPr>
              <w:t>的供货通知及签订补充协议的要求时，积极配合并履行相应的供货义务，确保供货的及时性和质量等符合原合同的要求。实际招标人运营项目根据项目工艺及性质，结合小试及项目实际使用效果选用，招标人的实际需求数量以招标人运营项目每次的供货通知为准，在供货期内投标人不得因招标人实际采购数量的减少或增加而要求提供任何形式的补偿或赔偿，或要求招标人按暂定采购数量采购相应货物。</w:t>
            </w:r>
          </w:p>
        </w:tc>
        <w:tc>
          <w:tcPr>
            <w:tcW w:w="348" w:type="pct"/>
            <w:vAlign w:val="center"/>
          </w:tcPr>
          <w:p w14:paraId="50EDC04B">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19CBE710">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7938CD57">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280B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01BCB5DB">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459" w:type="pct"/>
            <w:vAlign w:val="center"/>
          </w:tcPr>
          <w:p w14:paraId="0F7C6907">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3511A507">
            <w:pPr>
              <w:autoSpaceDE/>
              <w:autoSpaceDN/>
              <w:adjustRightInd/>
              <w:spacing w:line="360" w:lineRule="auto"/>
              <w:ind w:firstLine="0" w:firstLineChars="0"/>
              <w:jc w:val="left"/>
              <w:rPr>
                <w:rFonts w:hint="eastAsia" w:ascii="宋体" w:hAnsi="宋体" w:eastAsia="宋体" w:cstheme="minorBidi"/>
                <w:b w:val="0"/>
                <w:color w:val="auto"/>
                <w:sz w:val="21"/>
                <w:szCs w:val="21"/>
                <w:highlight w:val="none"/>
              </w:rPr>
            </w:pPr>
            <w:r>
              <w:rPr>
                <w:rFonts w:hint="eastAsia" w:ascii="宋体" w:hAnsi="宋体" w:eastAsia="宋体" w:cstheme="minorBidi"/>
                <w:b w:val="0"/>
                <w:color w:val="auto"/>
                <w:sz w:val="21"/>
                <w:szCs w:val="21"/>
                <w:highlight w:val="none"/>
              </w:rPr>
              <w:t>★4、主要技术指标</w:t>
            </w:r>
          </w:p>
          <w:p w14:paraId="599D326C">
            <w:pPr>
              <w:spacing w:line="360" w:lineRule="auto"/>
              <w:ind w:firstLine="0" w:firstLineChars="0"/>
              <w:outlineLvl w:val="9"/>
              <w:rPr>
                <w:rFonts w:hint="eastAsia" w:ascii="宋体" w:hAnsi="宋体" w:eastAsia="宋体" w:cstheme="minorBidi"/>
                <w:b w:val="0"/>
                <w:color w:val="auto"/>
                <w:sz w:val="21"/>
                <w:szCs w:val="21"/>
                <w:highlight w:val="none"/>
              </w:rPr>
            </w:pPr>
            <w:r>
              <w:rPr>
                <w:rFonts w:hint="eastAsia" w:ascii="宋体" w:hAnsi="宋体" w:eastAsia="宋体" w:cstheme="minorBidi"/>
                <w:b w:val="0"/>
                <w:color w:val="auto"/>
                <w:sz w:val="21"/>
                <w:szCs w:val="21"/>
                <w:highlight w:val="none"/>
              </w:rPr>
              <w:t>（1）液体复合碳源产品外观为无色至微黄色透明液体。</w:t>
            </w:r>
          </w:p>
          <w:p w14:paraId="0C0964EE">
            <w:pPr>
              <w:spacing w:line="36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（2）液体复合碳源产品必须符合《废（污）水处理用复合碳源》（HG/T 5960-2021）质量及检测标准，主要技术指标要求如下：</w:t>
            </w:r>
          </w:p>
          <w:p w14:paraId="21454251">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表1  液体复合碳源主要技术指标</w:t>
            </w:r>
          </w:p>
          <w:tbl>
            <w:tblPr>
              <w:tblStyle w:val="37"/>
              <w:tblW w:w="598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3"/>
              <w:gridCol w:w="2931"/>
            </w:tblGrid>
            <w:tr w14:paraId="6638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053" w:type="dxa"/>
                  <w:noWrap w:val="0"/>
                  <w:vAlign w:val="center"/>
                </w:tcPr>
                <w:p w14:paraId="19CCFE97">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指标项目</w:t>
                  </w:r>
                </w:p>
              </w:tc>
              <w:tc>
                <w:tcPr>
                  <w:tcW w:w="2931" w:type="dxa"/>
                  <w:noWrap w:val="0"/>
                  <w:vAlign w:val="center"/>
                </w:tcPr>
                <w:p w14:paraId="0191436E">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指标</w:t>
                  </w:r>
                </w:p>
              </w:tc>
            </w:tr>
            <w:tr w14:paraId="4A23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noWrap w:val="0"/>
                  <w:vAlign w:val="center"/>
                </w:tcPr>
                <w:p w14:paraId="6BBD586F">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化学需氧量（COD</w:t>
                  </w:r>
                  <w:r>
                    <w:rPr>
                      <w:rFonts w:hint="eastAsia" w:ascii="宋体" w:hAnsi="宋体" w:eastAsia="宋体" w:cs="宋体"/>
                      <w:b w:val="0"/>
                      <w:bCs/>
                      <w:color w:val="auto"/>
                      <w:sz w:val="21"/>
                      <w:szCs w:val="21"/>
                      <w:highlight w:val="none"/>
                      <w:vertAlign w:val="subscript"/>
                    </w:rPr>
                    <w:t>Cr</w:t>
                  </w:r>
                  <w:r>
                    <w:rPr>
                      <w:rFonts w:hint="eastAsia" w:ascii="宋体" w:hAnsi="宋体" w:eastAsia="宋体" w:cs="宋体"/>
                      <w:b w:val="0"/>
                      <w:bCs/>
                      <w:color w:val="auto"/>
                      <w:sz w:val="21"/>
                      <w:szCs w:val="21"/>
                      <w:highlight w:val="none"/>
                    </w:rPr>
                    <w:t>），mg/L</w:t>
                  </w:r>
                </w:p>
              </w:tc>
              <w:tc>
                <w:tcPr>
                  <w:tcW w:w="2931" w:type="dxa"/>
                  <w:noWrap w:val="0"/>
                  <w:vAlign w:val="center"/>
                </w:tcPr>
                <w:p w14:paraId="77A371C5">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≥2.5×10</w:t>
                  </w:r>
                  <w:r>
                    <w:rPr>
                      <w:rFonts w:hint="eastAsia" w:ascii="宋体" w:hAnsi="宋体" w:eastAsia="宋体" w:cs="宋体"/>
                      <w:b w:val="0"/>
                      <w:bCs/>
                      <w:color w:val="auto"/>
                      <w:sz w:val="21"/>
                      <w:szCs w:val="21"/>
                      <w:highlight w:val="none"/>
                      <w:vertAlign w:val="superscript"/>
                    </w:rPr>
                    <w:t>5</w:t>
                  </w:r>
                </w:p>
              </w:tc>
            </w:tr>
            <w:tr w14:paraId="3558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noWrap w:val="0"/>
                  <w:vAlign w:val="center"/>
                </w:tcPr>
                <w:p w14:paraId="780BF2BA">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BOD</w:t>
                  </w:r>
                  <w:r>
                    <w:rPr>
                      <w:rFonts w:hint="eastAsia" w:ascii="宋体" w:hAnsi="宋体" w:eastAsia="宋体" w:cs="宋体"/>
                      <w:b w:val="0"/>
                      <w:bCs/>
                      <w:color w:val="auto"/>
                      <w:sz w:val="21"/>
                      <w:szCs w:val="21"/>
                      <w:highlight w:val="none"/>
                      <w:vertAlign w:val="subscript"/>
                    </w:rPr>
                    <w:t>5</w:t>
                  </w:r>
                  <w:r>
                    <w:rPr>
                      <w:rFonts w:hint="eastAsia" w:ascii="宋体" w:hAnsi="宋体" w:eastAsia="宋体" w:cs="宋体"/>
                      <w:b w:val="0"/>
                      <w:bCs/>
                      <w:color w:val="auto"/>
                      <w:sz w:val="21"/>
                      <w:szCs w:val="21"/>
                      <w:highlight w:val="none"/>
                    </w:rPr>
                    <w:t>/COD</w:t>
                  </w:r>
                  <w:r>
                    <w:rPr>
                      <w:rFonts w:hint="eastAsia" w:ascii="宋体" w:hAnsi="宋体" w:eastAsia="宋体" w:cs="宋体"/>
                      <w:b w:val="0"/>
                      <w:bCs/>
                      <w:color w:val="auto"/>
                      <w:sz w:val="21"/>
                      <w:szCs w:val="21"/>
                      <w:highlight w:val="none"/>
                      <w:vertAlign w:val="subscript"/>
                    </w:rPr>
                    <w:t>Cr</w:t>
                  </w:r>
                </w:p>
              </w:tc>
              <w:tc>
                <w:tcPr>
                  <w:tcW w:w="2931" w:type="dxa"/>
                  <w:noWrap w:val="0"/>
                  <w:vAlign w:val="center"/>
                </w:tcPr>
                <w:p w14:paraId="42DB29AB">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≥0.55</w:t>
                  </w:r>
                </w:p>
              </w:tc>
            </w:tr>
            <w:tr w14:paraId="3114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noWrap w:val="0"/>
                  <w:vAlign w:val="center"/>
                </w:tcPr>
                <w:p w14:paraId="7C66099E">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pH值</w:t>
                  </w:r>
                </w:p>
              </w:tc>
              <w:tc>
                <w:tcPr>
                  <w:tcW w:w="2931" w:type="dxa"/>
                  <w:noWrap w:val="0"/>
                  <w:vAlign w:val="center"/>
                </w:tcPr>
                <w:p w14:paraId="357A6C23">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4.0~9.0</w:t>
                  </w:r>
                </w:p>
              </w:tc>
            </w:tr>
            <w:tr w14:paraId="36F2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noWrap w:val="0"/>
                  <w:vAlign w:val="center"/>
                </w:tcPr>
                <w:p w14:paraId="402F422A">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水不溶物的质量分数，%</w:t>
                  </w:r>
                </w:p>
              </w:tc>
              <w:tc>
                <w:tcPr>
                  <w:tcW w:w="2931" w:type="dxa"/>
                  <w:noWrap w:val="0"/>
                  <w:vAlign w:val="center"/>
                </w:tcPr>
                <w:p w14:paraId="0ABCE91B">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≤0.2</w:t>
                  </w:r>
                </w:p>
              </w:tc>
            </w:tr>
            <w:tr w14:paraId="54FB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noWrap w:val="0"/>
                  <w:vAlign w:val="center"/>
                </w:tcPr>
                <w:p w14:paraId="52E7714A">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氯化物（Cl）的质量分数，%</w:t>
                  </w:r>
                </w:p>
              </w:tc>
              <w:tc>
                <w:tcPr>
                  <w:tcW w:w="2931" w:type="dxa"/>
                  <w:noWrap w:val="0"/>
                  <w:vAlign w:val="center"/>
                </w:tcPr>
                <w:p w14:paraId="2EDBE63D">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≤0.025</w:t>
                  </w:r>
                </w:p>
              </w:tc>
            </w:tr>
            <w:tr w14:paraId="4FF7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noWrap w:val="0"/>
                  <w:vAlign w:val="center"/>
                </w:tcPr>
                <w:p w14:paraId="3E829401">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硫酸盐（SO</w:t>
                  </w:r>
                  <w:r>
                    <w:rPr>
                      <w:rFonts w:hint="eastAsia" w:ascii="宋体" w:hAnsi="宋体" w:eastAsia="宋体" w:cs="宋体"/>
                      <w:b w:val="0"/>
                      <w:bCs/>
                      <w:color w:val="auto"/>
                      <w:sz w:val="21"/>
                      <w:szCs w:val="21"/>
                      <w:highlight w:val="none"/>
                      <w:vertAlign w:val="subscript"/>
                    </w:rPr>
                    <w:t>4</w:t>
                  </w:r>
                  <w:r>
                    <w:rPr>
                      <w:rFonts w:hint="eastAsia" w:ascii="宋体" w:hAnsi="宋体" w:eastAsia="宋体" w:cs="宋体"/>
                      <w:b w:val="0"/>
                      <w:bCs/>
                      <w:color w:val="auto"/>
                      <w:sz w:val="21"/>
                      <w:szCs w:val="21"/>
                      <w:highlight w:val="none"/>
                    </w:rPr>
                    <w:t>）的质量分数，%</w:t>
                  </w:r>
                </w:p>
              </w:tc>
              <w:tc>
                <w:tcPr>
                  <w:tcW w:w="2931" w:type="dxa"/>
                  <w:noWrap w:val="0"/>
                  <w:vAlign w:val="center"/>
                </w:tcPr>
                <w:p w14:paraId="1549C280">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≤0.025</w:t>
                  </w:r>
                </w:p>
              </w:tc>
            </w:tr>
          </w:tbl>
          <w:p w14:paraId="314CD311">
            <w:pPr>
              <w:pageBreakBefore w:val="0"/>
              <w:widowControl/>
              <w:kinsoku/>
              <w:wordWrap/>
              <w:overflowPunct/>
              <w:topLinePunct w:val="0"/>
              <w:bidi w:val="0"/>
              <w:snapToGrid/>
              <w:spacing w:line="360" w:lineRule="auto"/>
              <w:ind w:firstLine="0" w:firstLineChars="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（3）供货期间，如有发布最新的行业标准或国家标准，招标人有权根据招标人运营项目实际情况及有关行业标准或国家标准对合同的主要技术指标进行变更调整，投标人应无条件接受。</w:t>
            </w:r>
          </w:p>
          <w:p w14:paraId="3B69F5C3">
            <w:pPr>
              <w:pageBreakBefore w:val="0"/>
              <w:widowControl/>
              <w:kinsoku/>
              <w:wordWrap/>
              <w:overflowPunct/>
              <w:topLinePunct w:val="0"/>
              <w:bidi w:val="0"/>
              <w:snapToGrid/>
              <w:spacing w:line="360" w:lineRule="auto"/>
              <w:ind w:firstLine="0" w:firstLineChars="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）投标人的投标产品必须是无安全风险、稳定、各成分无化学反应的产品。</w:t>
            </w:r>
          </w:p>
          <w:p w14:paraId="4EED33B1">
            <w:pPr>
              <w:pageBreakBefore w:val="0"/>
              <w:widowControl/>
              <w:kinsoku/>
              <w:wordWrap/>
              <w:overflowPunct/>
              <w:topLinePunct w:val="0"/>
              <w:bidi w:val="0"/>
              <w:snapToGrid/>
              <w:spacing w:line="360" w:lineRule="auto"/>
              <w:ind w:firstLine="0" w:firstLineChars="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）投标人的投标产品不得对招标人运营项目活性污泥微生物造成有毒有害影响，不得影响招标人运营项目出水总氮、总磷等指标。</w:t>
            </w:r>
          </w:p>
          <w:p w14:paraId="6E28E2B4">
            <w:pPr>
              <w:pageBreakBefore w:val="0"/>
              <w:widowControl/>
              <w:kinsoku/>
              <w:wordWrap/>
              <w:overflowPunct/>
              <w:topLinePunct w:val="0"/>
              <w:bidi w:val="0"/>
              <w:snapToGrid/>
              <w:spacing w:line="360" w:lineRule="auto"/>
              <w:ind w:firstLine="0" w:firstLineChars="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）投标人必须提供产品的主要原材料证明，且原材料不得使用工业废料。</w:t>
            </w:r>
          </w:p>
          <w:p w14:paraId="208D255B">
            <w:pPr>
              <w:pageBreakBefore w:val="0"/>
              <w:widowControl/>
              <w:kinsoku/>
              <w:wordWrap/>
              <w:overflowPunct/>
              <w:topLinePunct w:val="0"/>
              <w:bidi w:val="0"/>
              <w:snapToGrid/>
              <w:spacing w:line="360" w:lineRule="auto"/>
              <w:ind w:firstLine="0" w:firstLineChars="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）投标人所供产品的真实质量，必须满足本用户需求书的所有技术指标。</w:t>
            </w:r>
          </w:p>
          <w:p w14:paraId="21B6F61A">
            <w:pPr>
              <w:pageBreakBefore w:val="0"/>
              <w:widowControl/>
              <w:kinsoku/>
              <w:wordWrap/>
              <w:overflowPunct/>
              <w:topLinePunct w:val="0"/>
              <w:bidi w:val="0"/>
              <w:snapToGrid/>
              <w:spacing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）投标人须根据招标人运营项目的情况，提供满足各运营项目正常生产运营的投标产品。</w:t>
            </w:r>
          </w:p>
        </w:tc>
        <w:tc>
          <w:tcPr>
            <w:tcW w:w="348" w:type="pct"/>
            <w:vAlign w:val="center"/>
          </w:tcPr>
          <w:p w14:paraId="3F8B41DE">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350A59B0">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6E3BA60F">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0642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71EE400F">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14:paraId="46328417">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21C39725">
            <w:pPr>
              <w:pageBreakBefore w:val="0"/>
              <w:widowControl w:val="0"/>
              <w:kinsoku/>
              <w:wordWrap/>
              <w:overflowPunct/>
              <w:topLinePunct w:val="0"/>
              <w:bidi w:val="0"/>
              <w:snapToGrid/>
              <w:spacing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投标人投标时须提供投标人</w:t>
            </w:r>
            <w:r>
              <w:rPr>
                <w:rFonts w:hint="eastAsia" w:ascii="宋体" w:hAnsi="宋体" w:eastAsia="宋体"/>
                <w:color w:val="auto"/>
                <w:sz w:val="21"/>
                <w:szCs w:val="21"/>
                <w:highlight w:val="none"/>
                <w:lang w:val="en-US" w:eastAsia="zh-CN"/>
              </w:rPr>
              <w:t>或生产厂家</w:t>
            </w:r>
            <w:r>
              <w:rPr>
                <w:rFonts w:hint="eastAsia" w:ascii="宋体" w:hAnsi="宋体" w:eastAsia="宋体"/>
                <w:color w:val="auto"/>
                <w:sz w:val="21"/>
                <w:szCs w:val="21"/>
                <w:highlight w:val="none"/>
              </w:rPr>
              <w:t>委托的反映报价产品性能参数的具有资质的第三方检测机构出具的</w:t>
            </w:r>
            <w:r>
              <w:rPr>
                <w:rFonts w:hint="eastAsia" w:ascii="宋体" w:hAnsi="宋体" w:eastAsia="宋体"/>
                <w:color w:val="auto"/>
                <w:sz w:val="21"/>
                <w:szCs w:val="21"/>
                <w:highlight w:val="none"/>
                <w:lang w:val="en-US" w:eastAsia="zh-CN"/>
              </w:rPr>
              <w:t>符合</w:t>
            </w:r>
            <w:r>
              <w:rPr>
                <w:rFonts w:hint="eastAsia" w:ascii="宋体" w:hAnsi="宋体" w:eastAsia="宋体"/>
                <w:color w:val="auto"/>
                <w:sz w:val="21"/>
                <w:szCs w:val="21"/>
                <w:highlight w:val="none"/>
              </w:rPr>
              <w:t>表1《液体复合碳源主要技术指标》</w:t>
            </w:r>
            <w:r>
              <w:rPr>
                <w:rFonts w:hint="eastAsia" w:ascii="宋体" w:hAnsi="宋体" w:eastAsia="宋体"/>
                <w:color w:val="auto"/>
                <w:sz w:val="21"/>
                <w:szCs w:val="21"/>
                <w:highlight w:val="none"/>
                <w:lang w:val="en-US" w:eastAsia="zh-CN"/>
              </w:rPr>
              <w:t>要求的</w:t>
            </w:r>
            <w:r>
              <w:rPr>
                <w:rFonts w:hint="eastAsia" w:ascii="宋体" w:hAnsi="宋体" w:eastAsia="宋体"/>
                <w:color w:val="auto"/>
                <w:sz w:val="21"/>
                <w:szCs w:val="21"/>
                <w:highlight w:val="none"/>
              </w:rPr>
              <w:t>检验报告，检验报告上的标徽应包括但不限于CMA认证标徽，报告日期为202</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4月</w:t>
            </w:r>
            <w:r>
              <w:rPr>
                <w:rFonts w:hint="eastAsia" w:ascii="宋体" w:hAnsi="宋体" w:eastAsia="宋体"/>
                <w:color w:val="auto"/>
                <w:sz w:val="21"/>
                <w:szCs w:val="21"/>
                <w:highlight w:val="none"/>
              </w:rPr>
              <w:t>1日以后，检验报告中检</w:t>
            </w:r>
            <w:r>
              <w:rPr>
                <w:rFonts w:hint="eastAsia" w:ascii="宋体" w:hAnsi="宋体" w:eastAsia="宋体"/>
                <w:color w:val="auto"/>
                <w:sz w:val="21"/>
                <w:szCs w:val="21"/>
                <w:highlight w:val="none"/>
                <w:lang w:val="en-US" w:eastAsia="zh-CN"/>
              </w:rPr>
              <w:t>验</w:t>
            </w:r>
            <w:r>
              <w:rPr>
                <w:rFonts w:hint="eastAsia" w:ascii="宋体" w:hAnsi="宋体" w:eastAsia="宋体"/>
                <w:color w:val="auto"/>
                <w:sz w:val="21"/>
                <w:szCs w:val="21"/>
                <w:highlight w:val="none"/>
              </w:rPr>
              <w:t>指标</w:t>
            </w:r>
            <w:r>
              <w:rPr>
                <w:rFonts w:hint="eastAsia" w:ascii="宋体" w:hAnsi="宋体" w:eastAsia="宋体"/>
                <w:color w:val="auto"/>
                <w:sz w:val="21"/>
                <w:szCs w:val="21"/>
                <w:highlight w:val="none"/>
                <w:lang w:val="en-US" w:eastAsia="zh-CN"/>
              </w:rPr>
              <w:t>为</w:t>
            </w:r>
            <w:r>
              <w:rPr>
                <w:rFonts w:hint="eastAsia" w:ascii="宋体" w:hAnsi="宋体" w:eastAsia="宋体"/>
                <w:color w:val="auto"/>
                <w:sz w:val="21"/>
                <w:szCs w:val="21"/>
                <w:highlight w:val="none"/>
              </w:rPr>
              <w:t>表1《液体复合碳源主要技术指标》中各指标</w:t>
            </w: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，检验报告使用的检测方法需符合《废（污）水处理用复合碳源》（HG/T 5960-2021）。</w:t>
            </w:r>
          </w:p>
        </w:tc>
        <w:tc>
          <w:tcPr>
            <w:tcW w:w="348" w:type="pct"/>
            <w:vAlign w:val="center"/>
          </w:tcPr>
          <w:p w14:paraId="5CE8F7FC">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5FB923D1">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7A24846E">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bl>
    <w:p w14:paraId="0647CD72">
      <w:pPr>
        <w:spacing w:line="360" w:lineRule="auto"/>
        <w:rPr>
          <w:rFonts w:ascii="宋体" w:hAnsi="宋体" w:eastAsia="宋体" w:cs="宋体"/>
          <w:color w:val="auto"/>
          <w:szCs w:val="21"/>
          <w:highlight w:val="none"/>
        </w:rPr>
      </w:pPr>
    </w:p>
    <w:p w14:paraId="513B434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46DBB8D">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25EAA1A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207B56B">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6D1CDE6">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7B73FE29">
      <w:pPr>
        <w:spacing w:line="360" w:lineRule="auto"/>
        <w:rPr>
          <w:rFonts w:ascii="宋体" w:hAnsi="宋体" w:eastAsia="宋体" w:cs="宋体"/>
          <w:color w:val="auto"/>
          <w:szCs w:val="21"/>
          <w:highlight w:val="none"/>
        </w:rPr>
      </w:pPr>
    </w:p>
    <w:p w14:paraId="6BD3683C">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6532F790">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30BA650B">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bookmarkStart w:id="858" w:name="_Toc28623"/>
      <w:bookmarkStart w:id="859" w:name="_Toc140596942"/>
      <w:bookmarkStart w:id="860" w:name="_Toc102860431"/>
      <w:bookmarkStart w:id="861" w:name="_Toc142508382"/>
      <w:bookmarkStart w:id="862" w:name="_Toc94107224"/>
      <w:bookmarkStart w:id="863" w:name="_Toc104991889"/>
      <w:bookmarkStart w:id="864" w:name="_Toc102860087"/>
      <w:bookmarkStart w:id="865" w:name="_Toc20665"/>
      <w:bookmarkStart w:id="866" w:name="_Toc32528"/>
      <w:bookmarkStart w:id="867" w:name="_Toc28348"/>
      <w:bookmarkStart w:id="868" w:name="_Toc29070"/>
      <w:r>
        <w:rPr>
          <w:rFonts w:hint="eastAsia" w:ascii="宋体" w:hAnsi="宋体" w:eastAsia="宋体" w:cs="宋体"/>
          <w:b/>
          <w:color w:val="auto"/>
          <w:kern w:val="0"/>
          <w:sz w:val="30"/>
          <w:szCs w:val="30"/>
          <w:highlight w:val="none"/>
          <w:lang w:val="en-US" w:eastAsia="zh-CN"/>
        </w:rPr>
        <w:t xml:space="preserve">13.2 </w:t>
      </w:r>
      <w:bookmarkEnd w:id="858"/>
      <w:bookmarkEnd w:id="859"/>
      <w:bookmarkEnd w:id="860"/>
      <w:bookmarkEnd w:id="861"/>
      <w:bookmarkEnd w:id="862"/>
      <w:bookmarkEnd w:id="863"/>
      <w:bookmarkEnd w:id="864"/>
      <w:bookmarkEnd w:id="865"/>
      <w:r>
        <w:rPr>
          <w:rFonts w:hint="eastAsia" w:ascii="宋体" w:hAnsi="宋体" w:eastAsia="宋体" w:cs="宋体"/>
          <w:b/>
          <w:color w:val="auto"/>
          <w:kern w:val="0"/>
          <w:sz w:val="30"/>
          <w:szCs w:val="30"/>
          <w:highlight w:val="none"/>
          <w:lang w:val="en-US" w:eastAsia="zh-CN"/>
        </w:rPr>
        <w:t>投标产品技术指标承诺书格式</w:t>
      </w:r>
      <w:bookmarkEnd w:id="866"/>
      <w:bookmarkEnd w:id="867"/>
      <w:bookmarkEnd w:id="868"/>
    </w:p>
    <w:p w14:paraId="6D37221C">
      <w:pPr>
        <w:spacing w:line="360" w:lineRule="auto"/>
        <w:jc w:val="center"/>
        <w:outlineLvl w:val="9"/>
        <w:rPr>
          <w:rFonts w:hint="eastAsia" w:ascii="宋体" w:hAnsi="宋体" w:eastAsia="宋体" w:cs="宋体"/>
          <w:b/>
          <w:bCs/>
          <w:color w:val="auto"/>
          <w:kern w:val="2"/>
          <w:sz w:val="30"/>
          <w:szCs w:val="30"/>
          <w:highlight w:val="none"/>
          <w:lang w:val="zh-CN"/>
        </w:rPr>
      </w:pPr>
      <w:bookmarkStart w:id="869" w:name="_Toc31354"/>
      <w:bookmarkStart w:id="870" w:name="_Toc28982"/>
      <w:r>
        <w:rPr>
          <w:rFonts w:hint="eastAsia" w:ascii="宋体" w:hAnsi="宋体" w:eastAsia="宋体" w:cs="宋体"/>
          <w:b/>
          <w:bCs/>
          <w:color w:val="auto"/>
          <w:kern w:val="2"/>
          <w:sz w:val="32"/>
          <w:szCs w:val="32"/>
          <w:highlight w:val="none"/>
          <w:lang w:val="zh-CN"/>
        </w:rPr>
        <w:t>投标产品</w:t>
      </w:r>
      <w:r>
        <w:rPr>
          <w:rFonts w:hint="eastAsia" w:ascii="宋体" w:hAnsi="宋体" w:eastAsia="宋体" w:cs="宋体"/>
          <w:b/>
          <w:bCs/>
          <w:color w:val="auto"/>
          <w:kern w:val="2"/>
          <w:sz w:val="30"/>
          <w:szCs w:val="30"/>
          <w:highlight w:val="none"/>
          <w:lang w:val="zh-CN"/>
        </w:rPr>
        <w:t>技术指标承诺书</w:t>
      </w:r>
      <w:bookmarkEnd w:id="869"/>
      <w:bookmarkEnd w:id="870"/>
    </w:p>
    <w:p w14:paraId="7E1B0CC9">
      <w:pPr>
        <w:spacing w:line="360" w:lineRule="auto"/>
        <w:rPr>
          <w:rFonts w:hint="eastAsia" w:ascii="宋体" w:hAnsi="宋体" w:eastAsia="宋体" w:cs="宋体"/>
          <w:color w:val="auto"/>
          <w:sz w:val="21"/>
          <w:szCs w:val="21"/>
          <w:highlight w:val="none"/>
        </w:rPr>
      </w:pPr>
    </w:p>
    <w:p w14:paraId="34C09CD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致：东莞市水务集团净水有限公司</w:t>
      </w:r>
    </w:p>
    <w:p w14:paraId="3D82290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我方已详细研究了本项目招标文件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的所有内容包括相关资料及修正文（如有），完全理解并接受上述内容所有条款及要求。</w:t>
      </w:r>
    </w:p>
    <w:p w14:paraId="33F2254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我方承诺在履行合同过程中按本项目招标文件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的所有内容包括相关资料及修正文（如有）的条款和要求提供货物和相关的服务。</w:t>
      </w:r>
    </w:p>
    <w:p w14:paraId="6F2AF912">
      <w:pPr>
        <w:snapToGrid w:val="0"/>
        <w:spacing w:line="360" w:lineRule="auto"/>
        <w:ind w:left="399" w:leftChars="-58" w:hanging="521" w:hangingChars="247"/>
        <w:rPr>
          <w:rFonts w:hint="eastAsia" w:ascii="宋体" w:hAnsi="宋体" w:eastAsia="宋体" w:cs="宋体"/>
          <w:b/>
          <w:color w:val="auto"/>
          <w:sz w:val="21"/>
          <w:szCs w:val="21"/>
          <w:highlight w:val="none"/>
        </w:rPr>
      </w:pPr>
    </w:p>
    <w:p w14:paraId="78637A14">
      <w:pPr>
        <w:autoSpaceDE/>
        <w:autoSpaceDN/>
        <w:adjustRightInd/>
        <w:snapToGrid w:val="0"/>
        <w:spacing w:line="360" w:lineRule="auto"/>
        <w:ind w:left="396" w:leftChars="-58" w:right="0" w:rightChars="0" w:hanging="518" w:hangingChars="247"/>
        <w:jc w:val="left"/>
        <w:rPr>
          <w:rFonts w:hint="eastAsia" w:ascii="宋体" w:hAnsi="宋体" w:eastAsia="宋体" w:cs="宋体"/>
          <w:color w:val="auto"/>
          <w:kern w:val="3"/>
          <w:sz w:val="21"/>
          <w:szCs w:val="21"/>
          <w:highlight w:val="none"/>
        </w:rPr>
      </w:pPr>
      <w:r>
        <w:rPr>
          <w:rFonts w:hint="eastAsia" w:ascii="宋体" w:hAnsi="宋体" w:eastAsia="宋体" w:cs="宋体"/>
          <w:color w:val="auto"/>
          <w:kern w:val="3"/>
          <w:sz w:val="21"/>
          <w:szCs w:val="21"/>
          <w:highlight w:val="none"/>
        </w:rPr>
        <w:t>备注：</w:t>
      </w:r>
    </w:p>
    <w:p w14:paraId="555BB179">
      <w:pPr>
        <w:autoSpaceDE/>
        <w:autoSpaceDN/>
        <w:adjustRightInd/>
        <w:snapToGrid w:val="0"/>
        <w:spacing w:line="360" w:lineRule="auto"/>
        <w:ind w:left="0" w:leftChars="0" w:firstLine="422" w:firstLineChars="200"/>
        <w:jc w:val="left"/>
        <w:rPr>
          <w:rFonts w:ascii="宋体" w:hAnsi="宋体" w:eastAsia="宋体" w:cs="Times New Roman"/>
          <w:color w:val="auto"/>
          <w:kern w:val="3"/>
          <w:szCs w:val="21"/>
          <w:highlight w:val="none"/>
        </w:rPr>
      </w:pPr>
      <w:r>
        <w:rPr>
          <w:rFonts w:hint="eastAsia" w:ascii="宋体" w:hAnsi="宋体" w:eastAsia="宋体" w:cs="宋体"/>
          <w:b/>
          <w:color w:val="auto"/>
          <w:sz w:val="21"/>
          <w:szCs w:val="21"/>
          <w:highlight w:val="none"/>
        </w:rPr>
        <w:t>投标人须提供具有资质的第三方检测机构出具的反映报价产品性能参数（须包含用户需求书表1《液体复合碳源主要技术指标》所列的指标）的检验报告，检验报告上的标徽应包括但不限于CMA认证标徽，报告日期为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eastAsia="zh-CN"/>
        </w:rPr>
        <w:t>4月</w:t>
      </w:r>
      <w:r>
        <w:rPr>
          <w:rFonts w:hint="eastAsia" w:ascii="宋体" w:hAnsi="宋体" w:eastAsia="宋体" w:cs="宋体"/>
          <w:b/>
          <w:color w:val="auto"/>
          <w:sz w:val="21"/>
          <w:szCs w:val="21"/>
          <w:highlight w:val="none"/>
        </w:rPr>
        <w:t>1日以后。</w:t>
      </w:r>
    </w:p>
    <w:p w14:paraId="1BA411CE">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72370A9A">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7DE9AB18">
      <w:pPr>
        <w:widowControl/>
        <w:jc w:val="left"/>
        <w:rPr>
          <w:rFonts w:ascii="宋体" w:hAnsi="宋体" w:eastAsia="宋体" w:cs="Times New Roman"/>
          <w:color w:val="auto"/>
          <w:kern w:val="0"/>
          <w:szCs w:val="21"/>
          <w:highlight w:val="none"/>
        </w:rPr>
      </w:pPr>
      <w:bookmarkStart w:id="871" w:name="_Toc94107225"/>
      <w:r>
        <w:rPr>
          <w:rFonts w:ascii="宋体" w:hAnsi="宋体" w:eastAsia="宋体" w:cs="Times New Roman"/>
          <w:color w:val="auto"/>
          <w:kern w:val="0"/>
          <w:szCs w:val="21"/>
          <w:highlight w:val="none"/>
        </w:rPr>
        <w:br w:type="page"/>
      </w:r>
    </w:p>
    <w:bookmarkEnd w:id="871"/>
    <w:p w14:paraId="6A03E9B6">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72" w:name="_Toc322"/>
      <w:bookmarkStart w:id="873" w:name="_Toc140596949"/>
      <w:bookmarkStart w:id="874" w:name="_Toc142508389"/>
      <w:bookmarkStart w:id="875" w:name="_Toc102860438"/>
      <w:bookmarkStart w:id="876" w:name="_Toc104991896"/>
      <w:bookmarkStart w:id="877" w:name="_Toc102860094"/>
      <w:bookmarkStart w:id="878" w:name="_Toc533708139"/>
      <w:r>
        <w:rPr>
          <w:rFonts w:hint="eastAsia" w:ascii="宋体" w:hAnsi="宋体" w:eastAsia="宋体" w:cs="宋体"/>
          <w:b/>
          <w:color w:val="auto"/>
          <w:kern w:val="0"/>
          <w:sz w:val="30"/>
          <w:szCs w:val="30"/>
          <w:highlight w:val="none"/>
          <w:lang w:val="en-US" w:eastAsia="zh-CN"/>
        </w:rPr>
        <w:t>13.3 第三方检测机构出具的检验报告复印件（须为2024年4月1日以后出具的投标产品检验报告）</w:t>
      </w:r>
      <w:bookmarkEnd w:id="872"/>
    </w:p>
    <w:p w14:paraId="42E5B223">
      <w:pPr>
        <w:rPr>
          <w:rFonts w:hint="eastAsia" w:ascii="宋体" w:hAnsi="宋体" w:eastAsia="宋体" w:cs="宋体"/>
          <w:b/>
          <w:color w:val="auto"/>
          <w:kern w:val="0"/>
          <w:sz w:val="30"/>
          <w:szCs w:val="30"/>
          <w:highlight w:val="none"/>
          <w:lang w:val="en-US" w:eastAsia="zh-CN"/>
        </w:rPr>
      </w:pPr>
    </w:p>
    <w:p w14:paraId="70040152">
      <w:pPr>
        <w:spacing w:line="360" w:lineRule="auto"/>
        <w:ind w:firstLine="422" w:firstLineChars="200"/>
        <w:rPr>
          <w:rFonts w:hint="eastAsia" w:ascii="宋体" w:hAnsi="宋体" w:eastAsia="宋体" w:cs="宋体"/>
          <w:b/>
          <w:color w:val="auto"/>
          <w:kern w:val="0"/>
          <w:sz w:val="21"/>
          <w:szCs w:val="21"/>
          <w:highlight w:val="none"/>
          <w:lang w:val="en-US" w:eastAsia="zh-CN"/>
        </w:rPr>
      </w:pPr>
    </w:p>
    <w:p w14:paraId="141CE9FF">
      <w:pPr>
        <w:spacing w:line="360" w:lineRule="auto"/>
        <w:ind w:firstLine="422" w:firstLineChars="200"/>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说明：投标人投标时须提供投标人或生产厂家委托的反映报价产品性能参数的具有资质的第三方检测机构出具的符合用户需求书表1《液体复合碳源主要技术指标》要求的检验报告，检验报告上的标徽应包括但不限于CMA认证标徽，报告日期为2024年4月1日以后，检验报告中检验指标为用户需求书表1《液体复合碳源主要技术指标》中各指标项目，检验报告使用的检测方法需符合《废（污）水处理用复合碳源》（HG/T 5960-2021）。</w:t>
      </w:r>
    </w:p>
    <w:p w14:paraId="44121AE0">
      <w:pPr>
        <w:rPr>
          <w:rFonts w:hint="eastAsia" w:ascii="宋体" w:hAnsi="宋体" w:eastAsia="宋体" w:cs="宋体"/>
          <w:b/>
          <w:color w:val="auto"/>
          <w:kern w:val="0"/>
          <w:sz w:val="30"/>
          <w:szCs w:val="30"/>
          <w:highlight w:val="none"/>
          <w:lang w:val="en-US" w:eastAsia="zh-CN"/>
        </w:rPr>
      </w:pPr>
    </w:p>
    <w:p w14:paraId="69A239D9">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0D612B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79" w:name="_Toc6676"/>
      <w:r>
        <w:rPr>
          <w:rFonts w:hint="eastAsia" w:ascii="宋体" w:hAnsi="宋体" w:eastAsia="宋体" w:cs="宋体"/>
          <w:b/>
          <w:color w:val="auto"/>
          <w:kern w:val="0"/>
          <w:sz w:val="30"/>
          <w:szCs w:val="30"/>
          <w:highlight w:val="none"/>
          <w:lang w:val="en-US" w:eastAsia="zh-CN"/>
        </w:rPr>
        <w:t>13.4 产品的主要原材料证明</w:t>
      </w:r>
      <w:r>
        <w:rPr>
          <w:rFonts w:hint="eastAsia" w:ascii="宋体" w:hAnsi="宋体" w:eastAsia="宋体" w:cs="宋体"/>
          <w:b/>
          <w:color w:val="auto"/>
          <w:kern w:val="0"/>
          <w:sz w:val="30"/>
          <w:szCs w:val="30"/>
          <w:highlight w:val="none"/>
          <w:lang w:val="en-US" w:eastAsia="zh-CN"/>
        </w:rPr>
        <w:br w:type="page"/>
      </w:r>
      <w:bookmarkEnd w:id="879"/>
    </w:p>
    <w:p w14:paraId="23F48C3D">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80" w:name="_Toc27616"/>
      <w:bookmarkStart w:id="881" w:name="_Toc30733"/>
      <w:bookmarkStart w:id="882" w:name="_Toc17674"/>
      <w:bookmarkStart w:id="883" w:name="_Toc1222"/>
      <w:bookmarkStart w:id="884" w:name="_Toc770"/>
      <w:r>
        <w:rPr>
          <w:rFonts w:hint="eastAsia" w:ascii="宋体" w:hAnsi="宋体" w:eastAsia="宋体" w:cs="宋体"/>
          <w:b/>
          <w:color w:val="auto"/>
          <w:kern w:val="0"/>
          <w:sz w:val="30"/>
          <w:szCs w:val="30"/>
          <w:highlight w:val="none"/>
          <w:lang w:val="en-US" w:eastAsia="zh-CN"/>
        </w:rPr>
        <w:t>13.5 生产工艺（投标人自行编写，其中应包含生产工艺流程图）</w:t>
      </w:r>
      <w:bookmarkEnd w:id="880"/>
      <w:bookmarkEnd w:id="881"/>
      <w:bookmarkEnd w:id="882"/>
    </w:p>
    <w:p w14:paraId="298BBCAE">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5321BEB">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85" w:name="_Toc3668"/>
      <w:bookmarkStart w:id="886" w:name="_Toc7250"/>
      <w:bookmarkStart w:id="887" w:name="_Toc14693"/>
      <w:r>
        <w:rPr>
          <w:rFonts w:hint="eastAsia" w:ascii="宋体" w:hAnsi="宋体" w:eastAsia="宋体" w:cs="宋体"/>
          <w:b/>
          <w:color w:val="auto"/>
          <w:kern w:val="0"/>
          <w:sz w:val="30"/>
          <w:szCs w:val="30"/>
          <w:highlight w:val="none"/>
          <w:lang w:val="en-US" w:eastAsia="zh-CN"/>
        </w:rPr>
        <w:t>13.6 生产供货保障能力（投标人自行编写）</w:t>
      </w:r>
      <w:bookmarkEnd w:id="885"/>
      <w:bookmarkEnd w:id="886"/>
      <w:bookmarkEnd w:id="887"/>
    </w:p>
    <w:p w14:paraId="6BC789DD">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4412A143">
      <w:pPr>
        <w:tabs>
          <w:tab w:val="left" w:pos="567"/>
        </w:tabs>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bookmarkStart w:id="888" w:name="_Toc19007"/>
      <w:bookmarkStart w:id="889" w:name="_Toc28334"/>
      <w:bookmarkStart w:id="890" w:name="_Toc4956"/>
      <w:r>
        <w:rPr>
          <w:rFonts w:hint="eastAsia" w:ascii="宋体" w:hAnsi="宋体" w:eastAsia="宋体" w:cs="宋体"/>
          <w:b/>
          <w:color w:val="auto"/>
          <w:kern w:val="0"/>
          <w:sz w:val="30"/>
          <w:szCs w:val="30"/>
          <w:highlight w:val="none"/>
          <w:lang w:val="en-US" w:eastAsia="zh-CN"/>
        </w:rPr>
        <w:t>13.7 质量保证体系和措施（投标人自行编写）</w:t>
      </w:r>
      <w:bookmarkEnd w:id="888"/>
      <w:bookmarkEnd w:id="889"/>
      <w:bookmarkEnd w:id="890"/>
    </w:p>
    <w:p w14:paraId="6E43A91E">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57878168">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CBC0F73">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91" w:name="_Toc6260"/>
      <w:bookmarkStart w:id="892" w:name="_Toc29851"/>
      <w:bookmarkStart w:id="893" w:name="_Toc5116"/>
      <w:r>
        <w:rPr>
          <w:rFonts w:hint="eastAsia" w:ascii="宋体" w:hAnsi="宋体" w:eastAsia="宋体" w:cs="宋体"/>
          <w:b/>
          <w:color w:val="auto"/>
          <w:kern w:val="0"/>
          <w:sz w:val="30"/>
          <w:szCs w:val="30"/>
          <w:highlight w:val="none"/>
          <w:lang w:val="en-US" w:eastAsia="zh-CN"/>
        </w:rPr>
        <w:t>13.8 投标人认为有必要提供的其它材料（不做强制要求）</w:t>
      </w:r>
      <w:bookmarkEnd w:id="873"/>
      <w:bookmarkEnd w:id="874"/>
      <w:bookmarkEnd w:id="875"/>
      <w:bookmarkEnd w:id="876"/>
      <w:bookmarkEnd w:id="877"/>
      <w:bookmarkEnd w:id="883"/>
      <w:bookmarkEnd w:id="884"/>
      <w:bookmarkEnd w:id="891"/>
      <w:bookmarkEnd w:id="892"/>
      <w:bookmarkEnd w:id="893"/>
    </w:p>
    <w:p w14:paraId="6DC4CFBC">
      <w:pPr>
        <w:autoSpaceDE w:val="0"/>
        <w:autoSpaceDN w:val="0"/>
        <w:adjustRightInd w:val="0"/>
        <w:jc w:val="left"/>
        <w:rPr>
          <w:rFonts w:ascii="宋体" w:hAnsi="宋体" w:eastAsia="宋体" w:cs="Times New Roman"/>
          <w:color w:val="auto"/>
          <w:kern w:val="0"/>
          <w:sz w:val="24"/>
          <w:szCs w:val="24"/>
          <w:highlight w:val="none"/>
        </w:rPr>
      </w:pPr>
    </w:p>
    <w:p w14:paraId="6F9E3264">
      <w:pPr>
        <w:autoSpaceDE w:val="0"/>
        <w:autoSpaceDN w:val="0"/>
        <w:adjustRightInd w:val="0"/>
        <w:jc w:val="left"/>
        <w:rPr>
          <w:rFonts w:ascii="宋体" w:hAnsi="宋体" w:eastAsia="宋体" w:cs="Times New Roman"/>
          <w:color w:val="auto"/>
          <w:kern w:val="0"/>
          <w:sz w:val="24"/>
          <w:szCs w:val="24"/>
          <w:highlight w:val="none"/>
        </w:rPr>
      </w:pPr>
    </w:p>
    <w:p w14:paraId="2224928A">
      <w:pPr>
        <w:autoSpaceDE w:val="0"/>
        <w:autoSpaceDN w:val="0"/>
        <w:adjustRightInd w:val="0"/>
        <w:jc w:val="left"/>
        <w:rPr>
          <w:rFonts w:ascii="宋体" w:hAnsi="宋体" w:eastAsia="宋体" w:cs="Times New Roman"/>
          <w:color w:val="auto"/>
          <w:kern w:val="0"/>
          <w:sz w:val="24"/>
          <w:szCs w:val="24"/>
          <w:highlight w:val="none"/>
        </w:rPr>
      </w:pPr>
    </w:p>
    <w:p w14:paraId="7FF25102">
      <w:pPr>
        <w:autoSpaceDE w:val="0"/>
        <w:autoSpaceDN w:val="0"/>
        <w:adjustRightInd w:val="0"/>
        <w:jc w:val="left"/>
        <w:rPr>
          <w:rFonts w:ascii="宋体" w:hAnsi="宋体" w:eastAsia="宋体" w:cs="Times New Roman"/>
          <w:color w:val="auto"/>
          <w:kern w:val="0"/>
          <w:sz w:val="24"/>
          <w:szCs w:val="24"/>
          <w:highlight w:val="none"/>
        </w:rPr>
      </w:pPr>
    </w:p>
    <w:p w14:paraId="20E2DD5C">
      <w:pPr>
        <w:autoSpaceDE w:val="0"/>
        <w:autoSpaceDN w:val="0"/>
        <w:adjustRightInd w:val="0"/>
        <w:jc w:val="left"/>
        <w:rPr>
          <w:rFonts w:ascii="宋体" w:hAnsi="宋体" w:eastAsia="宋体" w:cs="Times New Roman"/>
          <w:color w:val="auto"/>
          <w:kern w:val="0"/>
          <w:sz w:val="24"/>
          <w:szCs w:val="24"/>
          <w:highlight w:val="none"/>
        </w:rPr>
      </w:pPr>
    </w:p>
    <w:p w14:paraId="13249A28">
      <w:pPr>
        <w:autoSpaceDE w:val="0"/>
        <w:autoSpaceDN w:val="0"/>
        <w:adjustRightInd w:val="0"/>
        <w:jc w:val="left"/>
        <w:rPr>
          <w:rFonts w:ascii="宋体" w:hAnsi="宋体" w:eastAsia="宋体" w:cs="Times New Roman"/>
          <w:color w:val="auto"/>
          <w:kern w:val="0"/>
          <w:sz w:val="24"/>
          <w:szCs w:val="24"/>
          <w:highlight w:val="none"/>
        </w:rPr>
      </w:pPr>
    </w:p>
    <w:p w14:paraId="6B1B7081">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46071694">
      <w:pPr>
        <w:autoSpaceDE w:val="0"/>
        <w:autoSpaceDN w:val="0"/>
        <w:adjustRightInd w:val="0"/>
        <w:jc w:val="left"/>
        <w:rPr>
          <w:rFonts w:ascii="宋体" w:hAnsi="宋体" w:eastAsia="宋体" w:cs="Times New Roman"/>
          <w:color w:val="auto"/>
          <w:kern w:val="0"/>
          <w:sz w:val="24"/>
          <w:szCs w:val="24"/>
          <w:highlight w:val="none"/>
        </w:rPr>
      </w:pPr>
    </w:p>
    <w:p w14:paraId="071D99B6">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94" w:name="_Toc16833"/>
      <w:bookmarkStart w:id="895" w:name="_Toc142508390"/>
      <w:bookmarkStart w:id="896" w:name="_Toc28845"/>
      <w:bookmarkStart w:id="897" w:name="_Toc15176"/>
      <w:bookmarkStart w:id="898" w:name="_Toc25469"/>
      <w:bookmarkStart w:id="899" w:name="_Toc521918141"/>
      <w:bookmarkStart w:id="900" w:name="_Toc522047402"/>
      <w:bookmarkStart w:id="901" w:name="_Toc22601_WPSOffice_Level1"/>
      <w:r>
        <w:rPr>
          <w:rFonts w:hint="eastAsia" w:ascii="宋体" w:hAnsi="宋体" w:eastAsia="宋体" w:cs="宋体"/>
          <w:b/>
          <w:bCs/>
          <w:color w:val="auto"/>
          <w:kern w:val="44"/>
          <w:sz w:val="32"/>
          <w:szCs w:val="32"/>
          <w:highlight w:val="none"/>
          <w:lang w:val="zh-CN"/>
        </w:rPr>
        <w:t>附件一：评标工作大纲</w:t>
      </w:r>
      <w:bookmarkEnd w:id="894"/>
      <w:bookmarkEnd w:id="895"/>
      <w:bookmarkEnd w:id="896"/>
      <w:bookmarkEnd w:id="897"/>
      <w:bookmarkEnd w:id="898"/>
    </w:p>
    <w:p w14:paraId="7A2738CC">
      <w:pPr>
        <w:autoSpaceDE w:val="0"/>
        <w:autoSpaceDN w:val="0"/>
        <w:adjustRightInd w:val="0"/>
        <w:spacing w:line="400" w:lineRule="atLeast"/>
        <w:jc w:val="center"/>
        <w:rPr>
          <w:rFonts w:ascii="宋体" w:hAnsi="宋体" w:eastAsia="宋体" w:cs="宋体"/>
          <w:b/>
          <w:bCs/>
          <w:color w:val="auto"/>
          <w:szCs w:val="21"/>
          <w:highlight w:val="none"/>
        </w:rPr>
      </w:pPr>
    </w:p>
    <w:p w14:paraId="2B38F0D7">
      <w:pPr>
        <w:autoSpaceDE w:val="0"/>
        <w:autoSpaceDN w:val="0"/>
        <w:adjustRightInd w:val="0"/>
        <w:spacing w:line="400" w:lineRule="atLeast"/>
        <w:jc w:val="center"/>
        <w:rPr>
          <w:rFonts w:ascii="宋体" w:hAnsi="宋体" w:eastAsia="宋体" w:cs="宋体"/>
          <w:b/>
          <w:bCs/>
          <w:color w:val="auto"/>
          <w:szCs w:val="21"/>
          <w:highlight w:val="none"/>
        </w:rPr>
      </w:pPr>
    </w:p>
    <w:p w14:paraId="1BDDDD06">
      <w:pPr>
        <w:autoSpaceDE w:val="0"/>
        <w:autoSpaceDN w:val="0"/>
        <w:adjustRightInd w:val="0"/>
        <w:spacing w:line="400" w:lineRule="atLeast"/>
        <w:jc w:val="center"/>
        <w:rPr>
          <w:rFonts w:ascii="宋体" w:hAnsi="宋体" w:eastAsia="宋体" w:cs="宋体"/>
          <w:b/>
          <w:bCs/>
          <w:color w:val="auto"/>
          <w:szCs w:val="21"/>
          <w:highlight w:val="none"/>
        </w:rPr>
      </w:pPr>
    </w:p>
    <w:p w14:paraId="58770FD8">
      <w:pPr>
        <w:autoSpaceDE w:val="0"/>
        <w:autoSpaceDN w:val="0"/>
        <w:adjustRightInd w:val="0"/>
        <w:spacing w:line="400" w:lineRule="atLeast"/>
        <w:jc w:val="center"/>
        <w:rPr>
          <w:rFonts w:ascii="宋体" w:hAnsi="宋体" w:eastAsia="宋体" w:cs="宋体"/>
          <w:b/>
          <w:bCs/>
          <w:color w:val="auto"/>
          <w:szCs w:val="21"/>
          <w:highlight w:val="none"/>
        </w:rPr>
      </w:pPr>
    </w:p>
    <w:p w14:paraId="0BE481C1">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东莞市水务集团净水有限公司2025年生产药剂液体复合碳源采购项目</w:t>
      </w:r>
    </w:p>
    <w:p w14:paraId="4690D901">
      <w:pPr>
        <w:autoSpaceDE w:val="0"/>
        <w:autoSpaceDN w:val="0"/>
        <w:adjustRightInd w:val="0"/>
        <w:spacing w:line="360" w:lineRule="auto"/>
        <w:jc w:val="center"/>
        <w:rPr>
          <w:rFonts w:ascii="宋体" w:hAnsi="宋体" w:eastAsia="宋体" w:cs="宋体"/>
          <w:b/>
          <w:bCs/>
          <w:color w:val="auto"/>
          <w:sz w:val="36"/>
          <w:szCs w:val="36"/>
          <w:highlight w:val="none"/>
        </w:rPr>
      </w:pPr>
      <w:bookmarkStart w:id="902" w:name="_Toc14752_WPSOffice_Level1"/>
      <w:r>
        <w:rPr>
          <w:rFonts w:hint="eastAsia" w:ascii="宋体" w:hAnsi="宋体" w:eastAsia="宋体" w:cs="宋体"/>
          <w:b/>
          <w:bCs/>
          <w:color w:val="auto"/>
          <w:sz w:val="36"/>
          <w:szCs w:val="36"/>
          <w:highlight w:val="none"/>
          <w:lang w:val="zh-CN"/>
        </w:rPr>
        <w:t>（招标编号：WTZB2024DG0048）</w:t>
      </w:r>
      <w:bookmarkEnd w:id="902"/>
    </w:p>
    <w:p w14:paraId="63EF4570">
      <w:pPr>
        <w:autoSpaceDE w:val="0"/>
        <w:autoSpaceDN w:val="0"/>
        <w:adjustRightInd w:val="0"/>
        <w:spacing w:line="400" w:lineRule="atLeast"/>
        <w:jc w:val="center"/>
        <w:rPr>
          <w:rFonts w:ascii="宋体" w:hAnsi="宋体" w:eastAsia="宋体" w:cs="宋体"/>
          <w:b/>
          <w:bCs/>
          <w:color w:val="auto"/>
          <w:sz w:val="36"/>
          <w:szCs w:val="36"/>
          <w:highlight w:val="none"/>
        </w:rPr>
      </w:pPr>
    </w:p>
    <w:p w14:paraId="6AFAA760">
      <w:pPr>
        <w:autoSpaceDE w:val="0"/>
        <w:autoSpaceDN w:val="0"/>
        <w:adjustRightInd w:val="0"/>
        <w:spacing w:line="400" w:lineRule="atLeast"/>
        <w:jc w:val="center"/>
        <w:rPr>
          <w:rFonts w:ascii="宋体" w:hAnsi="宋体" w:eastAsia="宋体" w:cs="宋体"/>
          <w:b/>
          <w:bCs/>
          <w:color w:val="auto"/>
          <w:sz w:val="36"/>
          <w:szCs w:val="36"/>
          <w:highlight w:val="none"/>
        </w:rPr>
      </w:pPr>
    </w:p>
    <w:p w14:paraId="1DAB30F9">
      <w:pPr>
        <w:autoSpaceDE w:val="0"/>
        <w:autoSpaceDN w:val="0"/>
        <w:adjustRightInd w:val="0"/>
        <w:spacing w:line="400" w:lineRule="atLeast"/>
        <w:jc w:val="center"/>
        <w:rPr>
          <w:rFonts w:ascii="宋体" w:hAnsi="宋体" w:eastAsia="宋体" w:cs="宋体"/>
          <w:b/>
          <w:bCs/>
          <w:color w:val="auto"/>
          <w:sz w:val="36"/>
          <w:szCs w:val="36"/>
          <w:highlight w:val="none"/>
        </w:rPr>
      </w:pPr>
    </w:p>
    <w:p w14:paraId="2C9482DF">
      <w:pPr>
        <w:autoSpaceDE w:val="0"/>
        <w:autoSpaceDN w:val="0"/>
        <w:adjustRightInd w:val="0"/>
        <w:spacing w:line="400" w:lineRule="atLeast"/>
        <w:jc w:val="center"/>
        <w:rPr>
          <w:rFonts w:ascii="宋体" w:hAnsi="宋体" w:eastAsia="宋体" w:cs="宋体"/>
          <w:b/>
          <w:bCs/>
          <w:color w:val="auto"/>
          <w:sz w:val="36"/>
          <w:szCs w:val="36"/>
          <w:highlight w:val="none"/>
        </w:rPr>
      </w:pPr>
    </w:p>
    <w:p w14:paraId="0DFFD5FB">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903" w:name="_Toc18947_WPSOffice_Level2"/>
      <w:r>
        <w:rPr>
          <w:rFonts w:hint="eastAsia" w:ascii="宋体" w:hAnsi="宋体" w:eastAsia="宋体" w:cs="宋体"/>
          <w:b/>
          <w:bCs/>
          <w:color w:val="auto"/>
          <w:sz w:val="72"/>
          <w:szCs w:val="72"/>
          <w:highlight w:val="none"/>
          <w:lang w:val="zh-CN"/>
        </w:rPr>
        <w:t>评标工作大纲</w:t>
      </w:r>
      <w:bookmarkEnd w:id="903"/>
    </w:p>
    <w:p w14:paraId="15498C56">
      <w:pPr>
        <w:autoSpaceDE w:val="0"/>
        <w:autoSpaceDN w:val="0"/>
        <w:adjustRightInd w:val="0"/>
        <w:spacing w:line="400" w:lineRule="atLeast"/>
        <w:jc w:val="center"/>
        <w:rPr>
          <w:rFonts w:ascii="宋体" w:hAnsi="宋体" w:eastAsia="宋体" w:cs="宋体"/>
          <w:b/>
          <w:bCs/>
          <w:color w:val="auto"/>
          <w:sz w:val="36"/>
          <w:szCs w:val="36"/>
          <w:highlight w:val="none"/>
        </w:rPr>
      </w:pPr>
    </w:p>
    <w:p w14:paraId="3DD35FDA">
      <w:pPr>
        <w:autoSpaceDE w:val="0"/>
        <w:autoSpaceDN w:val="0"/>
        <w:adjustRightInd w:val="0"/>
        <w:spacing w:line="400" w:lineRule="atLeast"/>
        <w:rPr>
          <w:rFonts w:ascii="宋体" w:hAnsi="宋体" w:eastAsia="宋体" w:cs="宋体"/>
          <w:b/>
          <w:bCs/>
          <w:color w:val="auto"/>
          <w:sz w:val="36"/>
          <w:szCs w:val="36"/>
          <w:highlight w:val="none"/>
        </w:rPr>
      </w:pPr>
    </w:p>
    <w:p w14:paraId="3AA06F10">
      <w:pPr>
        <w:autoSpaceDE w:val="0"/>
        <w:autoSpaceDN w:val="0"/>
        <w:adjustRightInd w:val="0"/>
        <w:spacing w:line="400" w:lineRule="atLeast"/>
        <w:jc w:val="center"/>
        <w:rPr>
          <w:rFonts w:ascii="宋体" w:hAnsi="宋体" w:eastAsia="宋体" w:cs="宋体"/>
          <w:b/>
          <w:bCs/>
          <w:color w:val="auto"/>
          <w:sz w:val="36"/>
          <w:szCs w:val="36"/>
          <w:highlight w:val="none"/>
        </w:rPr>
      </w:pPr>
    </w:p>
    <w:p w14:paraId="30A4E87E">
      <w:pPr>
        <w:autoSpaceDE w:val="0"/>
        <w:autoSpaceDN w:val="0"/>
        <w:adjustRightInd w:val="0"/>
        <w:spacing w:line="400" w:lineRule="atLeast"/>
        <w:jc w:val="center"/>
        <w:rPr>
          <w:rFonts w:ascii="宋体" w:hAnsi="宋体" w:eastAsia="宋体" w:cs="宋体"/>
          <w:b/>
          <w:bCs/>
          <w:color w:val="auto"/>
          <w:sz w:val="36"/>
          <w:szCs w:val="36"/>
          <w:highlight w:val="none"/>
        </w:rPr>
      </w:pPr>
    </w:p>
    <w:p w14:paraId="4CCD3A3E">
      <w:pPr>
        <w:autoSpaceDE w:val="0"/>
        <w:autoSpaceDN w:val="0"/>
        <w:adjustRightInd w:val="0"/>
        <w:spacing w:line="400" w:lineRule="atLeast"/>
        <w:jc w:val="center"/>
        <w:rPr>
          <w:rFonts w:ascii="宋体" w:hAnsi="宋体" w:eastAsia="宋体" w:cs="宋体"/>
          <w:b/>
          <w:bCs/>
          <w:color w:val="auto"/>
          <w:sz w:val="36"/>
          <w:szCs w:val="36"/>
          <w:highlight w:val="none"/>
        </w:rPr>
      </w:pPr>
    </w:p>
    <w:p w14:paraId="58A04A51">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6D717384">
      <w:pPr>
        <w:autoSpaceDE w:val="0"/>
        <w:autoSpaceDN w:val="0"/>
        <w:adjustRightInd w:val="0"/>
        <w:spacing w:line="400" w:lineRule="atLeast"/>
        <w:jc w:val="center"/>
        <w:rPr>
          <w:rFonts w:ascii="宋体" w:hAnsi="宋体" w:eastAsia="宋体" w:cs="宋体"/>
          <w:b/>
          <w:bCs/>
          <w:color w:val="auto"/>
          <w:sz w:val="36"/>
          <w:szCs w:val="36"/>
          <w:highlight w:val="none"/>
        </w:rPr>
      </w:pPr>
    </w:p>
    <w:p w14:paraId="40E266FB">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904" w:name="_Toc32395_WPSOffice_Level1"/>
      <w:r>
        <w:rPr>
          <w:rFonts w:hint="eastAsia" w:ascii="宋体" w:hAnsi="宋体" w:eastAsia="宋体" w:cs="宋体"/>
          <w:b/>
          <w:bCs/>
          <w:color w:val="auto"/>
          <w:sz w:val="36"/>
          <w:szCs w:val="36"/>
          <w:highlight w:val="none"/>
          <w:lang w:val="zh-CN"/>
        </w:rPr>
        <w:t>目录</w:t>
      </w:r>
      <w:bookmarkEnd w:id="904"/>
    </w:p>
    <w:p w14:paraId="151D99F5">
      <w:pPr>
        <w:autoSpaceDE w:val="0"/>
        <w:autoSpaceDN w:val="0"/>
        <w:adjustRightInd w:val="0"/>
        <w:spacing w:line="400" w:lineRule="atLeast"/>
        <w:jc w:val="center"/>
        <w:rPr>
          <w:rFonts w:ascii="宋体" w:hAnsi="宋体" w:eastAsia="宋体" w:cs="宋体"/>
          <w:color w:val="auto"/>
          <w:sz w:val="44"/>
          <w:szCs w:val="44"/>
          <w:highlight w:val="none"/>
        </w:rPr>
      </w:pPr>
    </w:p>
    <w:p w14:paraId="267E121A">
      <w:pPr>
        <w:autoSpaceDE w:val="0"/>
        <w:autoSpaceDN w:val="0"/>
        <w:adjustRightInd w:val="0"/>
        <w:spacing w:line="360" w:lineRule="auto"/>
        <w:ind w:left="567" w:hanging="567"/>
        <w:rPr>
          <w:rFonts w:ascii="宋体" w:hAnsi="宋体" w:eastAsia="宋体" w:cs="宋体"/>
          <w:color w:val="auto"/>
          <w:szCs w:val="30"/>
          <w:highlight w:val="none"/>
        </w:rPr>
      </w:pPr>
      <w:bookmarkStart w:id="905"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905"/>
    </w:p>
    <w:p w14:paraId="731D89D2">
      <w:pPr>
        <w:autoSpaceDE w:val="0"/>
        <w:autoSpaceDN w:val="0"/>
        <w:adjustRightInd w:val="0"/>
        <w:spacing w:line="360" w:lineRule="auto"/>
        <w:ind w:left="567" w:hanging="567"/>
        <w:rPr>
          <w:rFonts w:ascii="宋体" w:hAnsi="宋体" w:eastAsia="宋体" w:cs="宋体"/>
          <w:color w:val="auto"/>
          <w:szCs w:val="30"/>
          <w:highlight w:val="none"/>
        </w:rPr>
      </w:pPr>
      <w:bookmarkStart w:id="906"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906"/>
    </w:p>
    <w:p w14:paraId="79DAF437">
      <w:pPr>
        <w:autoSpaceDE w:val="0"/>
        <w:autoSpaceDN w:val="0"/>
        <w:adjustRightInd w:val="0"/>
        <w:spacing w:line="360" w:lineRule="auto"/>
        <w:ind w:left="567" w:hanging="567"/>
        <w:rPr>
          <w:rFonts w:ascii="宋体" w:hAnsi="宋体" w:eastAsia="宋体" w:cs="宋体"/>
          <w:color w:val="auto"/>
          <w:szCs w:val="30"/>
          <w:highlight w:val="none"/>
        </w:rPr>
      </w:pPr>
      <w:bookmarkStart w:id="907"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907"/>
    </w:p>
    <w:p w14:paraId="72028FC0">
      <w:pPr>
        <w:autoSpaceDE w:val="0"/>
        <w:autoSpaceDN w:val="0"/>
        <w:adjustRightInd w:val="0"/>
        <w:spacing w:line="360" w:lineRule="auto"/>
        <w:ind w:left="567" w:hanging="567"/>
        <w:rPr>
          <w:rFonts w:ascii="宋体" w:hAnsi="宋体" w:eastAsia="宋体" w:cs="宋体"/>
          <w:color w:val="auto"/>
          <w:szCs w:val="30"/>
          <w:highlight w:val="none"/>
        </w:rPr>
      </w:pPr>
      <w:bookmarkStart w:id="908" w:name="_Toc1206_WPSOffice_Level1"/>
      <w:r>
        <w:rPr>
          <w:rFonts w:hint="eastAsia" w:ascii="宋体" w:hAnsi="宋体" w:eastAsia="宋体" w:cs="宋体"/>
          <w:color w:val="auto"/>
          <w:szCs w:val="30"/>
          <w:highlight w:val="none"/>
        </w:rPr>
        <w:t>四、 比较和评价</w:t>
      </w:r>
      <w:bookmarkEnd w:id="908"/>
    </w:p>
    <w:p w14:paraId="2290D81A">
      <w:pPr>
        <w:autoSpaceDE w:val="0"/>
        <w:autoSpaceDN w:val="0"/>
        <w:adjustRightInd w:val="0"/>
        <w:spacing w:line="360" w:lineRule="auto"/>
        <w:ind w:left="567" w:hanging="567"/>
        <w:rPr>
          <w:rFonts w:ascii="宋体" w:hAnsi="宋体" w:eastAsia="宋体" w:cs="宋体"/>
          <w:color w:val="auto"/>
          <w:szCs w:val="30"/>
          <w:highlight w:val="none"/>
        </w:rPr>
      </w:pPr>
      <w:bookmarkStart w:id="909"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909"/>
    </w:p>
    <w:p w14:paraId="6B6732B5">
      <w:pPr>
        <w:autoSpaceDE w:val="0"/>
        <w:autoSpaceDN w:val="0"/>
        <w:adjustRightInd w:val="0"/>
        <w:spacing w:line="360" w:lineRule="auto"/>
        <w:ind w:left="567" w:hanging="567"/>
        <w:rPr>
          <w:rFonts w:ascii="宋体" w:hAnsi="宋体" w:eastAsia="宋体" w:cs="宋体"/>
          <w:color w:val="auto"/>
          <w:szCs w:val="30"/>
          <w:highlight w:val="none"/>
        </w:rPr>
      </w:pPr>
      <w:bookmarkStart w:id="910"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910"/>
    </w:p>
    <w:p w14:paraId="747D50D9">
      <w:pPr>
        <w:autoSpaceDE w:val="0"/>
        <w:autoSpaceDN w:val="0"/>
        <w:adjustRightInd w:val="0"/>
        <w:spacing w:line="360" w:lineRule="auto"/>
        <w:ind w:left="567" w:hanging="567"/>
        <w:rPr>
          <w:rFonts w:ascii="宋体" w:hAnsi="宋体" w:eastAsia="宋体" w:cs="宋体"/>
          <w:color w:val="auto"/>
          <w:szCs w:val="30"/>
          <w:highlight w:val="none"/>
        </w:rPr>
      </w:pPr>
      <w:bookmarkStart w:id="911"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911"/>
    </w:p>
    <w:p w14:paraId="403BFE1B">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8AFD856">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451A6DE4">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140F289">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color w:val="auto"/>
          <w:sz w:val="30"/>
          <w:szCs w:val="30"/>
          <w:highlight w:val="none"/>
        </w:rPr>
        <w:br w:type="page"/>
      </w:r>
      <w:bookmarkStart w:id="912" w:name="_Toc27181_WPSOffice_Level1"/>
      <w:r>
        <w:rPr>
          <w:rFonts w:hint="eastAsia" w:ascii="宋体" w:hAnsi="宋体" w:eastAsia="宋体" w:cs="宋体"/>
          <w:b/>
          <w:bCs/>
          <w:color w:val="auto"/>
          <w:sz w:val="28"/>
          <w:szCs w:val="28"/>
          <w:highlight w:val="none"/>
          <w:lang w:val="zh-CN"/>
        </w:rPr>
        <w:t>一、总则</w:t>
      </w:r>
      <w:bookmarkEnd w:id="912"/>
    </w:p>
    <w:p w14:paraId="71361CF5">
      <w:pPr>
        <w:tabs>
          <w:tab w:val="left" w:pos="567"/>
          <w:tab w:val="left" w:pos="600"/>
        </w:tabs>
        <w:autoSpaceDE w:val="0"/>
        <w:autoSpaceDN w:val="0"/>
        <w:adjustRightInd w:val="0"/>
        <w:spacing w:line="360" w:lineRule="auto"/>
        <w:ind w:left="600" w:hanging="600"/>
        <w:outlineLvl w:val="9"/>
        <w:rPr>
          <w:rFonts w:ascii="宋体" w:hAnsi="宋体" w:eastAsia="宋体" w:cs="宋体"/>
          <w:b/>
          <w:bCs/>
          <w:color w:val="auto"/>
          <w:szCs w:val="24"/>
          <w:highlight w:val="none"/>
          <w:lang w:val="zh-CN"/>
        </w:rPr>
      </w:pPr>
      <w:bookmarkStart w:id="913" w:name="_Toc30391"/>
      <w:bookmarkStart w:id="914" w:name="_Toc31157"/>
      <w:r>
        <w:rPr>
          <w:rFonts w:hint="eastAsia" w:ascii="宋体" w:hAnsi="宋体" w:eastAsia="宋体" w:cs="宋体"/>
          <w:b/>
          <w:bCs/>
          <w:color w:val="auto"/>
          <w:szCs w:val="24"/>
          <w:highlight w:val="none"/>
          <w:lang w:val="zh-CN"/>
        </w:rPr>
        <w:t>1、一般规定</w:t>
      </w:r>
      <w:bookmarkEnd w:id="913"/>
      <w:bookmarkEnd w:id="914"/>
    </w:p>
    <w:p w14:paraId="0DCA04FF">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东莞市水务集团净水有限公司2025年生产药剂液体复合碳源采购项目</w:t>
      </w:r>
      <w:r>
        <w:rPr>
          <w:rFonts w:hint="eastAsia" w:ascii="宋体" w:hAnsi="宋体" w:eastAsia="宋体" w:cs="宋体"/>
          <w:color w:val="auto"/>
          <w:szCs w:val="21"/>
          <w:highlight w:val="none"/>
          <w:lang w:val="zh-CN"/>
        </w:rPr>
        <w:t>(招标编号：WTZB2024DG0048</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3E93AA29">
      <w:pPr>
        <w:autoSpaceDE w:val="0"/>
        <w:autoSpaceDN w:val="0"/>
        <w:adjustRightInd w:val="0"/>
        <w:spacing w:line="360" w:lineRule="auto"/>
        <w:ind w:left="567" w:hanging="567"/>
        <w:outlineLvl w:val="9"/>
        <w:rPr>
          <w:rFonts w:ascii="宋体" w:hAnsi="宋体" w:eastAsia="宋体" w:cs="宋体"/>
          <w:color w:val="auto"/>
          <w:szCs w:val="24"/>
          <w:highlight w:val="none"/>
          <w:lang w:val="zh-CN"/>
        </w:rPr>
      </w:pPr>
      <w:bookmarkStart w:id="915" w:name="_Toc24623"/>
      <w:bookmarkStart w:id="916" w:name="_Toc20989"/>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bookmarkEnd w:id="915"/>
      <w:bookmarkEnd w:id="916"/>
    </w:p>
    <w:p w14:paraId="2034430D">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19305521">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51FE1890">
      <w:pPr>
        <w:numPr>
          <w:ilvl w:val="1"/>
          <w:numId w:val="5"/>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A37B26E">
      <w:pPr>
        <w:autoSpaceDE w:val="0"/>
        <w:autoSpaceDN w:val="0"/>
        <w:adjustRightInd w:val="0"/>
        <w:spacing w:line="360" w:lineRule="auto"/>
        <w:rPr>
          <w:rFonts w:ascii="宋体" w:hAnsi="宋体" w:eastAsia="宋体" w:cs="宋体"/>
          <w:color w:val="auto"/>
          <w:sz w:val="24"/>
          <w:szCs w:val="24"/>
          <w:highlight w:val="none"/>
          <w:lang w:val="zh-CN"/>
        </w:rPr>
      </w:pPr>
    </w:p>
    <w:p w14:paraId="61AF87B1">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bookmarkStart w:id="917" w:name="_Toc28074"/>
      <w:bookmarkStart w:id="918" w:name="_Toc313"/>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917"/>
      <w:bookmarkEnd w:id="918"/>
    </w:p>
    <w:p w14:paraId="57DEE403">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default" w:ascii="宋体" w:hAnsi="宋体" w:eastAsia="宋体" w:cs="宋体"/>
          <w:b/>
          <w:bCs/>
          <w:color w:val="auto"/>
          <w:kern w:val="0"/>
          <w:szCs w:val="24"/>
          <w:highlight w:val="none"/>
          <w:lang w:val="en-US"/>
        </w:rPr>
        <w:t>5</w:t>
      </w:r>
      <w:r>
        <w:rPr>
          <w:rFonts w:ascii="宋体" w:hAnsi="宋体" w:eastAsia="宋体" w:cs="宋体"/>
          <w:b/>
          <w:bCs/>
          <w:color w:val="auto"/>
          <w:kern w:val="0"/>
          <w:szCs w:val="24"/>
          <w:highlight w:val="none"/>
        </w:rPr>
        <w:t>人以上（含</w:t>
      </w:r>
      <w:r>
        <w:rPr>
          <w:rFonts w:hint="default" w:ascii="宋体" w:hAnsi="宋体" w:eastAsia="宋体" w:cs="宋体"/>
          <w:b/>
          <w:bCs/>
          <w:color w:val="auto"/>
          <w:kern w:val="0"/>
          <w:szCs w:val="24"/>
          <w:highlight w:val="none"/>
          <w:lang w:val="en-US"/>
        </w:rPr>
        <w:t>5</w:t>
      </w:r>
      <w:r>
        <w:rPr>
          <w:rFonts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59A2D276">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4A934ADF">
      <w:pPr>
        <w:autoSpaceDE w:val="0"/>
        <w:autoSpaceDN w:val="0"/>
        <w:adjustRightInd w:val="0"/>
        <w:spacing w:line="360" w:lineRule="auto"/>
        <w:ind w:left="600" w:hanging="600"/>
        <w:outlineLvl w:val="9"/>
        <w:rPr>
          <w:rFonts w:ascii="宋体" w:hAnsi="宋体" w:eastAsia="宋体" w:cs="宋体"/>
          <w:color w:val="auto"/>
          <w:szCs w:val="24"/>
          <w:highlight w:val="none"/>
          <w:lang w:val="zh-CN"/>
        </w:rPr>
      </w:pPr>
      <w:bookmarkStart w:id="919" w:name="_Toc12536"/>
      <w:bookmarkStart w:id="920" w:name="_Toc20354"/>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bookmarkEnd w:id="919"/>
      <w:bookmarkEnd w:id="920"/>
    </w:p>
    <w:p w14:paraId="5328260C">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3938F7FB">
      <w:pPr>
        <w:autoSpaceDE w:val="0"/>
        <w:autoSpaceDN w:val="0"/>
        <w:adjustRightInd w:val="0"/>
        <w:spacing w:line="360" w:lineRule="auto"/>
        <w:rPr>
          <w:rFonts w:ascii="宋体" w:hAnsi="宋体" w:eastAsia="宋体" w:cs="宋体"/>
          <w:color w:val="auto"/>
          <w:sz w:val="24"/>
          <w:szCs w:val="24"/>
          <w:highlight w:val="none"/>
          <w:lang w:val="zh-CN"/>
        </w:rPr>
      </w:pPr>
    </w:p>
    <w:p w14:paraId="46EE239E">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bookmarkStart w:id="921" w:name="_Toc25616"/>
      <w:bookmarkStart w:id="922" w:name="_Toc10133"/>
      <w:r>
        <w:rPr>
          <w:rFonts w:hint="eastAsia" w:ascii="宋体" w:hAnsi="宋体" w:eastAsia="宋体" w:cs="宋体"/>
          <w:b/>
          <w:bCs/>
          <w:color w:val="auto"/>
          <w:szCs w:val="24"/>
          <w:highlight w:val="none"/>
          <w:lang w:val="zh-CN"/>
        </w:rPr>
        <w:t>3、评标委员会职责</w:t>
      </w:r>
      <w:bookmarkEnd w:id="921"/>
      <w:bookmarkEnd w:id="922"/>
    </w:p>
    <w:p w14:paraId="6D8B85D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079DBF6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C8943F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E4DD8F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C3EA5F4">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680AC9BC">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bookmarkStart w:id="923" w:name="_Toc11800"/>
      <w:bookmarkStart w:id="924" w:name="_Toc14051"/>
      <w:r>
        <w:rPr>
          <w:rFonts w:hint="eastAsia" w:ascii="宋体" w:hAnsi="宋体" w:eastAsia="宋体" w:cs="宋体"/>
          <w:b/>
          <w:bCs/>
          <w:color w:val="auto"/>
          <w:szCs w:val="24"/>
          <w:highlight w:val="none"/>
          <w:lang w:val="zh-CN"/>
        </w:rPr>
        <w:t>4、评标委员会义务</w:t>
      </w:r>
      <w:bookmarkEnd w:id="923"/>
      <w:bookmarkEnd w:id="924"/>
    </w:p>
    <w:p w14:paraId="5E0507CB">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bookmarkStart w:id="925" w:name="_Toc22297"/>
      <w:bookmarkStart w:id="926" w:name="_Toc24958"/>
      <w:r>
        <w:rPr>
          <w:rFonts w:hint="eastAsia" w:ascii="宋体" w:hAnsi="宋体" w:eastAsia="宋体" w:cs="宋体"/>
          <w:color w:val="auto"/>
          <w:kern w:val="0"/>
          <w:szCs w:val="24"/>
          <w:highlight w:val="none"/>
          <w:lang w:val="zh-CN"/>
        </w:rPr>
        <w:t>4.1  遵纪守法，客观、公正、廉洁地履行职责；</w:t>
      </w:r>
      <w:bookmarkEnd w:id="925"/>
      <w:bookmarkEnd w:id="926"/>
    </w:p>
    <w:p w14:paraId="5C8EE14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4FBF4E6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1206119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2EAB3DA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5238365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280474B7">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123A9466">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bookmarkStart w:id="927" w:name="_Toc590"/>
      <w:bookmarkStart w:id="928" w:name="_Toc11318"/>
      <w:r>
        <w:rPr>
          <w:rFonts w:hint="eastAsia" w:ascii="宋体" w:hAnsi="宋体" w:eastAsia="宋体" w:cs="宋体"/>
          <w:b/>
          <w:bCs/>
          <w:color w:val="auto"/>
          <w:szCs w:val="24"/>
          <w:highlight w:val="none"/>
          <w:lang w:val="zh-CN"/>
        </w:rPr>
        <w:t>5、评审程序</w:t>
      </w:r>
      <w:bookmarkEnd w:id="927"/>
      <w:bookmarkEnd w:id="928"/>
    </w:p>
    <w:p w14:paraId="270F82F1">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2FA085E8">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5B77590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00A78F8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330D076A">
      <w:pPr>
        <w:autoSpaceDE w:val="0"/>
        <w:autoSpaceDN w:val="0"/>
        <w:adjustRightInd w:val="0"/>
        <w:spacing w:line="360" w:lineRule="auto"/>
        <w:ind w:left="567" w:hanging="567"/>
        <w:outlineLvl w:val="9"/>
        <w:rPr>
          <w:rFonts w:ascii="宋体" w:hAnsi="宋体" w:eastAsia="宋体" w:cs="Times New Roman"/>
          <w:color w:val="auto"/>
          <w:szCs w:val="24"/>
          <w:highlight w:val="none"/>
          <w:lang w:val="zh-CN"/>
        </w:rPr>
      </w:pPr>
      <w:bookmarkStart w:id="929" w:name="_Toc32616"/>
      <w:bookmarkStart w:id="930" w:name="_Toc19504"/>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bookmarkEnd w:id="929"/>
      <w:bookmarkEnd w:id="930"/>
    </w:p>
    <w:p w14:paraId="7D2C3C00">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14202372">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3C900CE7">
      <w:pPr>
        <w:autoSpaceDE w:val="0"/>
        <w:autoSpaceDN w:val="0"/>
        <w:adjustRightInd w:val="0"/>
        <w:spacing w:line="360" w:lineRule="auto"/>
        <w:ind w:left="525" w:hanging="525" w:hangingChars="250"/>
        <w:jc w:val="left"/>
        <w:outlineLvl w:val="9"/>
        <w:rPr>
          <w:rFonts w:ascii="宋体" w:hAnsi="宋体" w:eastAsia="宋体" w:cs="Times New Roman"/>
          <w:color w:val="auto"/>
          <w:szCs w:val="24"/>
          <w:highlight w:val="none"/>
          <w:lang w:val="zh-CN"/>
        </w:rPr>
      </w:pPr>
      <w:bookmarkStart w:id="931" w:name="_Toc8001"/>
      <w:bookmarkStart w:id="932" w:name="_Toc25895"/>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bookmarkEnd w:id="931"/>
      <w:bookmarkEnd w:id="932"/>
    </w:p>
    <w:p w14:paraId="50458578">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7ECBDFF4">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933" w:name="_Toc6714"/>
      <w:bookmarkStart w:id="934" w:name="_Toc27056"/>
      <w:bookmarkStart w:id="935" w:name="_Toc19435_WPSOffice_Level1"/>
      <w:r>
        <w:rPr>
          <w:rFonts w:hint="eastAsia" w:ascii="宋体" w:hAnsi="宋体" w:eastAsia="宋体" w:cs="宋体"/>
          <w:b/>
          <w:bCs/>
          <w:color w:val="auto"/>
          <w:sz w:val="28"/>
          <w:szCs w:val="28"/>
          <w:highlight w:val="none"/>
          <w:lang w:val="zh-CN"/>
        </w:rPr>
        <w:t>二、投标文件的初审</w:t>
      </w:r>
      <w:bookmarkEnd w:id="933"/>
      <w:bookmarkEnd w:id="934"/>
      <w:bookmarkEnd w:id="935"/>
    </w:p>
    <w:p w14:paraId="297498EE">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bookmarkStart w:id="936" w:name="_Toc5113"/>
      <w:bookmarkStart w:id="937" w:name="_Toc25919"/>
      <w:r>
        <w:rPr>
          <w:rFonts w:hint="eastAsia" w:ascii="宋体" w:hAnsi="宋体" w:eastAsia="宋体" w:cs="宋体"/>
          <w:b/>
          <w:bCs/>
          <w:color w:val="auto"/>
          <w:szCs w:val="24"/>
          <w:highlight w:val="none"/>
          <w:lang w:val="zh-CN"/>
        </w:rPr>
        <w:t>6、投标文件的初审分为资格性检查和符合性检查。</w:t>
      </w:r>
      <w:bookmarkEnd w:id="936"/>
      <w:bookmarkEnd w:id="937"/>
    </w:p>
    <w:p w14:paraId="61A24B50">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4A3433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77FC859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7FD0E1C1">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6F7A0725">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3BE7A335">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bookmarkStart w:id="938" w:name="_Toc8679"/>
      <w:bookmarkStart w:id="939" w:name="_Toc18199"/>
      <w:r>
        <w:rPr>
          <w:rFonts w:hint="eastAsia" w:ascii="宋体" w:hAnsi="宋体" w:eastAsia="宋体" w:cs="宋体"/>
          <w:b/>
          <w:bCs/>
          <w:color w:val="auto"/>
          <w:szCs w:val="24"/>
          <w:highlight w:val="none"/>
          <w:lang w:val="zh-CN"/>
        </w:rPr>
        <w:t>7、投标文件出现下列情况之一的，被认定为无效投标：</w:t>
      </w:r>
      <w:bookmarkEnd w:id="938"/>
      <w:bookmarkEnd w:id="939"/>
    </w:p>
    <w:p w14:paraId="032AA14F">
      <w:pPr>
        <w:autoSpaceDE w:val="0"/>
        <w:autoSpaceDN w:val="0"/>
        <w:adjustRightInd w:val="0"/>
        <w:spacing w:line="360" w:lineRule="auto"/>
        <w:outlineLvl w:val="9"/>
        <w:rPr>
          <w:rFonts w:ascii="宋体" w:hAnsi="宋体" w:eastAsia="宋体" w:cs="宋体"/>
          <w:b/>
          <w:color w:val="auto"/>
          <w:szCs w:val="21"/>
          <w:highlight w:val="none"/>
          <w:lang w:val="zh-CN"/>
        </w:rPr>
      </w:pPr>
      <w:bookmarkStart w:id="940" w:name="_Toc13515"/>
      <w:bookmarkStart w:id="941" w:name="_Toc29809"/>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bookmarkEnd w:id="940"/>
      <w:bookmarkEnd w:id="941"/>
    </w:p>
    <w:p w14:paraId="649072DF">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w:t>
      </w:r>
      <w:r>
        <w:rPr>
          <w:rFonts w:hint="eastAsia" w:ascii="宋体" w:hAnsi="宋体" w:eastAsia="宋体" w:cs="Times New Roman"/>
          <w:b/>
          <w:bCs/>
          <w:color w:val="auto"/>
          <w:kern w:val="0"/>
          <w:szCs w:val="21"/>
          <w:highlight w:val="none"/>
        </w:rPr>
        <w:t>投标报价</w:t>
      </w:r>
      <w:r>
        <w:rPr>
          <w:rFonts w:hint="eastAsia" w:ascii="宋体" w:hAnsi="宋体" w:eastAsia="宋体" w:cs="Times New Roman"/>
          <w:b/>
          <w:bCs/>
          <w:color w:val="auto"/>
          <w:kern w:val="0"/>
          <w:szCs w:val="21"/>
          <w:highlight w:val="none"/>
          <w:lang w:val="en-US" w:eastAsia="zh-CN"/>
        </w:rPr>
        <w:t>或综合单价</w:t>
      </w:r>
      <w:r>
        <w:rPr>
          <w:rFonts w:hint="eastAsia" w:ascii="宋体" w:hAnsi="宋体" w:eastAsia="宋体" w:cs="Times New Roman"/>
          <w:b/>
          <w:bCs/>
          <w:color w:val="auto"/>
          <w:kern w:val="0"/>
          <w:szCs w:val="21"/>
          <w:highlight w:val="none"/>
        </w:rPr>
        <w:t>高于</w:t>
      </w:r>
      <w:r>
        <w:rPr>
          <w:rFonts w:hint="eastAsia" w:ascii="宋体" w:hAnsi="宋体" w:eastAsia="宋体" w:cs="Times New Roman"/>
          <w:b/>
          <w:bCs/>
          <w:color w:val="auto"/>
          <w:kern w:val="0"/>
          <w:szCs w:val="21"/>
          <w:highlight w:val="none"/>
          <w:lang w:val="en-US" w:eastAsia="zh-CN"/>
        </w:rPr>
        <w:t>不含税最高投标限价或不含税预算综合单价</w:t>
      </w:r>
      <w:r>
        <w:rPr>
          <w:rFonts w:hint="eastAsia" w:ascii="宋体" w:hAnsi="宋体" w:eastAsia="宋体" w:cs="Times New Roman"/>
          <w:b/>
          <w:bCs/>
          <w:color w:val="auto"/>
          <w:kern w:val="0"/>
          <w:szCs w:val="21"/>
          <w:highlight w:val="none"/>
        </w:rPr>
        <w:t>的</w:t>
      </w:r>
      <w:r>
        <w:rPr>
          <w:rFonts w:hint="eastAsia" w:ascii="宋体" w:hAnsi="宋体" w:eastAsia="宋体" w:cs="宋体"/>
          <w:b/>
          <w:bCs/>
          <w:color w:val="auto"/>
          <w:kern w:val="0"/>
          <w:szCs w:val="21"/>
          <w:highlight w:val="none"/>
        </w:rPr>
        <w:t>；</w:t>
      </w:r>
    </w:p>
    <w:p w14:paraId="2F7398AE">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7BE39300">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5BA8D42D">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0BBB9387">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629EFE43">
      <w:pPr>
        <w:spacing w:line="360" w:lineRule="auto"/>
        <w:ind w:left="527" w:hanging="527" w:hangingChars="250"/>
        <w:outlineLvl w:val="9"/>
        <w:rPr>
          <w:rFonts w:ascii="宋体" w:hAnsi="宋体" w:eastAsia="宋体" w:cs="宋体"/>
          <w:b/>
          <w:bCs/>
          <w:color w:val="auto"/>
          <w:kern w:val="0"/>
          <w:szCs w:val="21"/>
          <w:highlight w:val="none"/>
        </w:rPr>
      </w:pPr>
      <w:bookmarkStart w:id="942" w:name="_Toc24102"/>
      <w:bookmarkStart w:id="943" w:name="_Toc24514"/>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bookmarkEnd w:id="942"/>
      <w:bookmarkEnd w:id="943"/>
    </w:p>
    <w:p w14:paraId="01336078">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7C4FAAE3">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071F3F45">
      <w:pPr>
        <w:spacing w:line="360" w:lineRule="auto"/>
        <w:ind w:left="413" w:hanging="413" w:hangingChars="196"/>
        <w:outlineLvl w:val="9"/>
        <w:rPr>
          <w:rFonts w:ascii="宋体" w:hAnsi="宋体" w:eastAsia="宋体" w:cs="Times New Roman"/>
          <w:b/>
          <w:color w:val="auto"/>
          <w:kern w:val="0"/>
          <w:szCs w:val="21"/>
          <w:highlight w:val="none"/>
        </w:rPr>
      </w:pPr>
      <w:bookmarkStart w:id="944" w:name="_Toc17951"/>
      <w:bookmarkStart w:id="945" w:name="_Toc11567"/>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bookmarkEnd w:id="944"/>
      <w:bookmarkEnd w:id="945"/>
    </w:p>
    <w:p w14:paraId="7995909D">
      <w:pPr>
        <w:spacing w:line="360" w:lineRule="auto"/>
        <w:ind w:left="413" w:hanging="413" w:hangingChars="196"/>
        <w:rPr>
          <w:rFonts w:hint="eastAsia"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p>
    <w:p w14:paraId="3D01C456">
      <w:pPr>
        <w:spacing w:line="360" w:lineRule="auto"/>
        <w:ind w:left="413" w:hanging="413" w:hangingChars="196"/>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7.12  投标产品的制造商及取得投标产品制造商就本次投标独家授权的经销商同时参与本项目投标的。</w:t>
      </w:r>
    </w:p>
    <w:p w14:paraId="423C60F2">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56663F07">
      <w:pPr>
        <w:spacing w:line="360" w:lineRule="auto"/>
        <w:ind w:left="480"/>
        <w:rPr>
          <w:rFonts w:ascii="宋体" w:hAnsi="宋体" w:eastAsia="宋体" w:cs="宋体"/>
          <w:b/>
          <w:color w:val="auto"/>
          <w:kern w:val="0"/>
          <w:szCs w:val="21"/>
          <w:highlight w:val="none"/>
        </w:rPr>
      </w:pPr>
    </w:p>
    <w:p w14:paraId="4D294C6D">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946" w:name="_Toc4109_WPSOffice_Level1"/>
      <w:bookmarkStart w:id="947" w:name="_Toc28620"/>
      <w:bookmarkStart w:id="948" w:name="_Toc11835"/>
      <w:r>
        <w:rPr>
          <w:rFonts w:hint="eastAsia" w:ascii="宋体" w:hAnsi="宋体" w:eastAsia="宋体" w:cs="宋体"/>
          <w:b/>
          <w:bCs/>
          <w:color w:val="auto"/>
          <w:sz w:val="28"/>
          <w:szCs w:val="28"/>
          <w:highlight w:val="none"/>
          <w:lang w:val="zh-CN"/>
        </w:rPr>
        <w:t>三、澄清有关问题</w:t>
      </w:r>
      <w:bookmarkEnd w:id="946"/>
      <w:bookmarkEnd w:id="947"/>
      <w:bookmarkEnd w:id="948"/>
    </w:p>
    <w:p w14:paraId="3B017BF4">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1EF275C0">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340AA883">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4275AFB0">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5106BCA2">
      <w:pPr>
        <w:spacing w:line="360" w:lineRule="auto"/>
        <w:ind w:left="424" w:hanging="424" w:hangingChars="202"/>
        <w:outlineLvl w:val="9"/>
        <w:rPr>
          <w:rFonts w:ascii="宋体" w:hAnsi="宋体" w:eastAsia="宋体" w:cs="宋体"/>
          <w:color w:val="auto"/>
          <w:kern w:val="0"/>
          <w:szCs w:val="21"/>
          <w:highlight w:val="none"/>
        </w:rPr>
      </w:pPr>
      <w:bookmarkStart w:id="949" w:name="_Toc26832"/>
      <w:bookmarkStart w:id="950" w:name="_Toc25833"/>
      <w:r>
        <w:rPr>
          <w:rFonts w:hint="eastAsia" w:ascii="宋体" w:hAnsi="宋体" w:eastAsia="宋体" w:cs="宋体"/>
          <w:color w:val="auto"/>
          <w:kern w:val="0"/>
          <w:szCs w:val="21"/>
          <w:highlight w:val="none"/>
        </w:rPr>
        <w:t>9.4  投标文件报价计算错误的修正</w:t>
      </w:r>
      <w:bookmarkEnd w:id="949"/>
      <w:bookmarkEnd w:id="950"/>
    </w:p>
    <w:p w14:paraId="68F386F8">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0797ED8E">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7D75AF0B">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w:t>
      </w:r>
      <w:r>
        <w:rPr>
          <w:rFonts w:hint="eastAsia" w:ascii="宋体" w:hAnsi="宋体" w:eastAsia="宋体" w:cs="宋体"/>
          <w:color w:val="auto"/>
          <w:kern w:val="0"/>
          <w:szCs w:val="21"/>
          <w:highlight w:val="none"/>
          <w:lang w:val="en-US" w:eastAsia="zh-CN"/>
        </w:rPr>
        <w:t>单项</w:t>
      </w:r>
      <w:r>
        <w:rPr>
          <w:rFonts w:hint="eastAsia" w:ascii="宋体" w:hAnsi="宋体" w:eastAsia="宋体" w:cs="宋体"/>
          <w:color w:val="auto"/>
          <w:kern w:val="0"/>
          <w:szCs w:val="21"/>
          <w:highlight w:val="none"/>
          <w:lang w:val="zh-CN"/>
        </w:rPr>
        <w:t>金额小数点有明显错位的，应以总价为准，并修正综合单价金额；</w:t>
      </w:r>
    </w:p>
    <w:p w14:paraId="06E35DD6">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1B271AD4">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3500F5A">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33B251BF">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951" w:name="_Toc8518_WPSOffice_Level1"/>
    </w:p>
    <w:p w14:paraId="47B3D612">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952" w:name="_Toc10835"/>
      <w:bookmarkStart w:id="953" w:name="_Toc21209"/>
      <w:r>
        <w:rPr>
          <w:rFonts w:hint="eastAsia" w:ascii="宋体" w:hAnsi="宋体" w:eastAsia="宋体" w:cs="宋体"/>
          <w:b/>
          <w:bCs/>
          <w:color w:val="auto"/>
          <w:sz w:val="28"/>
          <w:szCs w:val="28"/>
          <w:highlight w:val="none"/>
          <w:lang w:val="zh-CN"/>
        </w:rPr>
        <w:t>四、比较和评价</w:t>
      </w:r>
      <w:bookmarkEnd w:id="951"/>
      <w:bookmarkEnd w:id="952"/>
      <w:bookmarkEnd w:id="953"/>
    </w:p>
    <w:p w14:paraId="2756A46D">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126F5223">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129F59F2">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bookmarkStart w:id="954" w:name="_Toc3732"/>
      <w:bookmarkStart w:id="955" w:name="_Toc14916"/>
      <w:r>
        <w:rPr>
          <w:rFonts w:hint="eastAsia" w:ascii="宋体" w:hAnsi="宋体" w:eastAsia="宋体" w:cs="宋体"/>
          <w:b/>
          <w:bCs/>
          <w:color w:val="auto"/>
          <w:szCs w:val="24"/>
          <w:highlight w:val="none"/>
          <w:lang w:val="zh-CN"/>
        </w:rPr>
        <w:t>11、评委打分办法</w:t>
      </w:r>
      <w:bookmarkEnd w:id="954"/>
      <w:bookmarkEnd w:id="955"/>
    </w:p>
    <w:p w14:paraId="6FCA68D7">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23A03048">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4FDF5282">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C9C1265">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5DFAD04C">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4AF44E51">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40FCB8CD">
      <w:pPr>
        <w:tabs>
          <w:tab w:val="left" w:pos="600"/>
        </w:tabs>
        <w:autoSpaceDE w:val="0"/>
        <w:autoSpaceDN w:val="0"/>
        <w:adjustRightInd w:val="0"/>
        <w:spacing w:line="360" w:lineRule="auto"/>
        <w:outlineLvl w:val="9"/>
        <w:rPr>
          <w:rFonts w:ascii="宋体" w:hAnsi="宋体" w:eastAsia="宋体" w:cs="Times New Roman"/>
          <w:color w:val="auto"/>
          <w:szCs w:val="24"/>
          <w:highlight w:val="none"/>
          <w:lang w:val="zh-CN"/>
        </w:rPr>
      </w:pPr>
      <w:bookmarkStart w:id="956" w:name="_Toc16024"/>
      <w:bookmarkStart w:id="957" w:name="_Toc22603"/>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bookmarkEnd w:id="956"/>
      <w:bookmarkEnd w:id="957"/>
    </w:p>
    <w:p w14:paraId="0A2AFD57">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9EDFC96">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50D842CD">
      <w:pPr>
        <w:tabs>
          <w:tab w:val="left" w:pos="600"/>
        </w:tabs>
        <w:autoSpaceDE w:val="0"/>
        <w:autoSpaceDN w:val="0"/>
        <w:adjustRightInd w:val="0"/>
        <w:spacing w:line="360" w:lineRule="auto"/>
        <w:outlineLvl w:val="9"/>
        <w:rPr>
          <w:rFonts w:ascii="宋体" w:hAnsi="宋体" w:eastAsia="宋体" w:cs="Times New Roman"/>
          <w:color w:val="auto"/>
          <w:szCs w:val="24"/>
          <w:highlight w:val="none"/>
          <w:lang w:val="zh-CN"/>
        </w:rPr>
      </w:pPr>
      <w:bookmarkStart w:id="958" w:name="_Toc22291"/>
      <w:bookmarkStart w:id="959" w:name="_Toc1311"/>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bookmarkEnd w:id="958"/>
      <w:bookmarkEnd w:id="959"/>
    </w:p>
    <w:p w14:paraId="59FAACEE">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EE73DF2">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2C2B017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0DD100FA">
      <w:pPr>
        <w:autoSpaceDE w:val="0"/>
        <w:autoSpaceDN w:val="0"/>
        <w:adjustRightInd w:val="0"/>
        <w:spacing w:line="360" w:lineRule="auto"/>
        <w:rPr>
          <w:rFonts w:ascii="宋体" w:hAnsi="宋体" w:eastAsia="宋体" w:cs="宋体"/>
          <w:color w:val="auto"/>
          <w:szCs w:val="24"/>
          <w:highlight w:val="none"/>
          <w:lang w:val="zh-CN"/>
        </w:rPr>
      </w:pPr>
    </w:p>
    <w:p w14:paraId="2D2D4C18">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bookmarkStart w:id="960" w:name="_Toc5992"/>
      <w:bookmarkStart w:id="961" w:name="_Toc7854"/>
      <w:r>
        <w:rPr>
          <w:rFonts w:hint="eastAsia" w:ascii="宋体" w:hAnsi="宋体" w:eastAsia="宋体" w:cs="宋体"/>
          <w:b/>
          <w:bCs/>
          <w:color w:val="auto"/>
          <w:szCs w:val="24"/>
          <w:highlight w:val="none"/>
          <w:lang w:val="zh-CN"/>
        </w:rPr>
        <w:t>12、评分因素及分值</w:t>
      </w:r>
      <w:bookmarkEnd w:id="960"/>
      <w:bookmarkEnd w:id="961"/>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751C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E8E949F">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F311FE0">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319FE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7398D87">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321936AE">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369F8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B74923B">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48E12068">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5F789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0997133">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0F204161">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60</w:t>
            </w:r>
            <w:r>
              <w:rPr>
                <w:rFonts w:hint="eastAsia" w:ascii="宋体" w:hAnsi="宋体" w:eastAsia="宋体" w:cs="宋体"/>
                <w:b/>
                <w:color w:val="auto"/>
                <w:szCs w:val="21"/>
                <w:highlight w:val="none"/>
                <w:lang w:val="zh-CN"/>
              </w:rPr>
              <w:t>分</w:t>
            </w:r>
          </w:p>
        </w:tc>
      </w:tr>
    </w:tbl>
    <w:p w14:paraId="5423DDBC">
      <w:pPr>
        <w:tabs>
          <w:tab w:val="left" w:pos="585"/>
        </w:tabs>
        <w:autoSpaceDE w:val="0"/>
        <w:autoSpaceDN w:val="0"/>
        <w:adjustRightInd w:val="0"/>
        <w:spacing w:line="360" w:lineRule="auto"/>
        <w:rPr>
          <w:rFonts w:ascii="宋体" w:hAnsi="宋体" w:eastAsia="宋体" w:cs="宋体"/>
          <w:b/>
          <w:color w:val="auto"/>
          <w:szCs w:val="21"/>
          <w:highlight w:val="none"/>
        </w:rPr>
      </w:pPr>
      <w:bookmarkStart w:id="962" w:name="_Toc18349_WPSOffice_Level2"/>
    </w:p>
    <w:p w14:paraId="7E007693">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96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133"/>
        <w:gridCol w:w="7660"/>
        <w:gridCol w:w="907"/>
      </w:tblGrid>
      <w:tr w14:paraId="3B0F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C6E81E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3F004415">
            <w:pPr>
              <w:autoSpaceDE w:val="0"/>
              <w:autoSpaceDN w:val="0"/>
              <w:adjustRightInd w:val="0"/>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0F45BD17">
            <w:pPr>
              <w:autoSpaceDE w:val="0"/>
              <w:autoSpaceDN w:val="0"/>
              <w:adjustRightInd w:val="0"/>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3656F606">
            <w:pPr>
              <w:autoSpaceDE w:val="0"/>
              <w:autoSpaceDN w:val="0"/>
              <w:adjustRightInd w:val="0"/>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5D3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35408327">
            <w:pPr>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694B0340">
            <w:pPr>
              <w:snapToGrid w:val="0"/>
              <w:spacing w:line="360" w:lineRule="auto"/>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14:paraId="1CF19DD3">
            <w:pPr>
              <w:adjustRightInd/>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rPr>
              <w:t>的得1分，满分3分。</w:t>
            </w:r>
          </w:p>
          <w:p w14:paraId="57BF6D00">
            <w:pPr>
              <w:snapToGrid w:val="0"/>
              <w:spacing w:line="360" w:lineRule="auto"/>
              <w:jc w:val="both"/>
              <w:rPr>
                <w:rFonts w:hint="eastAsia" w:ascii="宋体" w:hAnsi="宋体" w:eastAsia="宋体" w:cs="宋体"/>
                <w:b/>
                <w:color w:val="auto"/>
                <w:kern w:val="0"/>
                <w:szCs w:val="21"/>
                <w:highlight w:val="none"/>
                <w:lang w:val="zh-CN"/>
              </w:rPr>
            </w:pPr>
            <w:r>
              <w:rPr>
                <w:rFonts w:hint="eastAsia" w:ascii="宋体" w:hAnsi="宋体" w:eastAsia="宋体" w:cs="宋体"/>
                <w:b/>
                <w:color w:val="auto"/>
                <w:sz w:val="21"/>
                <w:szCs w:val="21"/>
                <w:highlight w:val="none"/>
                <w:lang w:val="zh-CN"/>
              </w:rPr>
              <w:t>备注：盈利指净利润为正数（非零、非负数），投标人应提供202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年、202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年、202</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color w:val="auto"/>
                <w:sz w:val="21"/>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2B3E9E3D">
            <w:pPr>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54CD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0CE9C96">
            <w:pPr>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591C9F48">
            <w:pPr>
              <w:autoSpaceDE/>
              <w:autoSpaceDN/>
              <w:adjustRightInd/>
              <w:snapToGrid w:val="0"/>
              <w:spacing w:line="360" w:lineRule="auto"/>
              <w:ind w:firstLine="0" w:firstLineChars="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业绩</w:t>
            </w:r>
          </w:p>
        </w:tc>
        <w:tc>
          <w:tcPr>
            <w:tcW w:w="3692" w:type="pct"/>
            <w:tcBorders>
              <w:top w:val="single" w:color="auto" w:sz="4" w:space="0"/>
              <w:left w:val="single" w:color="auto" w:sz="4" w:space="0"/>
              <w:bottom w:val="single" w:color="auto" w:sz="4" w:space="0"/>
              <w:right w:val="single" w:color="auto" w:sz="4" w:space="0"/>
            </w:tcBorders>
            <w:vAlign w:val="center"/>
          </w:tcPr>
          <w:p w14:paraId="2A874B8C">
            <w:pPr>
              <w:pStyle w:val="2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年以来具有的投标品牌液体</w:t>
            </w:r>
            <w:r>
              <w:rPr>
                <w:rFonts w:hint="eastAsia" w:ascii="宋体" w:hAnsi="宋体" w:eastAsia="宋体" w:cs="宋体"/>
                <w:color w:val="auto"/>
                <w:sz w:val="21"/>
                <w:szCs w:val="21"/>
                <w:highlight w:val="none"/>
                <w:lang w:val="en-US" w:eastAsia="zh-CN"/>
              </w:rPr>
              <w:t>复合碳源用于水处理相关工艺的</w:t>
            </w:r>
            <w:r>
              <w:rPr>
                <w:rFonts w:hint="eastAsia" w:ascii="宋体" w:hAnsi="宋体" w:eastAsia="宋体" w:cs="宋体"/>
                <w:color w:val="auto"/>
                <w:sz w:val="21"/>
                <w:szCs w:val="21"/>
                <w:highlight w:val="none"/>
              </w:rPr>
              <w:t>供货业绩（</w:t>
            </w:r>
            <w:r>
              <w:rPr>
                <w:rFonts w:hint="eastAsia" w:hAnsi="宋体" w:cs="宋体"/>
                <w:color w:val="auto"/>
                <w:szCs w:val="21"/>
                <w:highlight w:val="none"/>
              </w:rPr>
              <w:t>合同签订日期</w:t>
            </w:r>
            <w:r>
              <w:rPr>
                <w:rFonts w:hint="eastAsia" w:ascii="宋体" w:hAnsi="宋体" w:eastAsia="宋体" w:cs="宋体"/>
                <w:color w:val="auto"/>
                <w:sz w:val="21"/>
                <w:szCs w:val="21"/>
                <w:highlight w:val="none"/>
              </w:rPr>
              <w:t>为202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年1月1日或以后），按下列情况评分：</w:t>
            </w:r>
          </w:p>
          <w:p w14:paraId="200E3136">
            <w:pPr>
              <w:pStyle w:val="22"/>
              <w:snapToGrid w:val="0"/>
              <w:spacing w:line="360" w:lineRule="auto"/>
              <w:ind w:left="420" w:hanging="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单项合同金额≥</w:t>
            </w:r>
            <w:r>
              <w:rPr>
                <w:rFonts w:hint="eastAsia" w:hAnsi="宋体" w:cs="宋体"/>
                <w:color w:val="auto"/>
                <w:sz w:val="21"/>
                <w:szCs w:val="21"/>
                <w:highlight w:val="none"/>
                <w:lang w:val="en-US" w:eastAsia="zh-CN"/>
              </w:rPr>
              <w:t>200</w:t>
            </w:r>
            <w:r>
              <w:rPr>
                <w:rFonts w:hint="eastAsia" w:ascii="宋体" w:hAnsi="宋体" w:eastAsia="宋体" w:cs="宋体"/>
                <w:color w:val="auto"/>
                <w:sz w:val="21"/>
                <w:szCs w:val="21"/>
                <w:highlight w:val="none"/>
              </w:rPr>
              <w:t>万元的前述业绩的，每项得3分</w:t>
            </w:r>
            <w:r>
              <w:rPr>
                <w:rFonts w:hint="eastAsia" w:hAnsi="宋体" w:cs="宋体"/>
                <w:color w:val="auto"/>
                <w:sz w:val="21"/>
                <w:szCs w:val="21"/>
                <w:highlight w:val="none"/>
                <w:lang w:val="en-US" w:eastAsia="zh-CN"/>
              </w:rPr>
              <w:t>；</w:t>
            </w:r>
          </w:p>
          <w:p w14:paraId="6ED9E184">
            <w:pPr>
              <w:pStyle w:val="22"/>
              <w:snapToGrid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100</w:t>
            </w:r>
            <w:r>
              <w:rPr>
                <w:rFonts w:hint="eastAsia" w:ascii="宋体" w:hAnsi="宋体" w:eastAsia="宋体" w:cs="宋体"/>
                <w:color w:val="auto"/>
                <w:sz w:val="21"/>
                <w:szCs w:val="21"/>
                <w:highlight w:val="none"/>
              </w:rPr>
              <w:t>万元≤单项合同金额＜</w:t>
            </w:r>
            <w:r>
              <w:rPr>
                <w:rFonts w:hint="eastAsia" w:hAnsi="宋体" w:cs="宋体"/>
                <w:color w:val="auto"/>
                <w:sz w:val="21"/>
                <w:szCs w:val="21"/>
                <w:highlight w:val="none"/>
                <w:lang w:val="en-US" w:eastAsia="zh-CN"/>
              </w:rPr>
              <w:t>200</w:t>
            </w:r>
            <w:r>
              <w:rPr>
                <w:rFonts w:hint="eastAsia" w:ascii="宋体" w:hAnsi="宋体" w:eastAsia="宋体" w:cs="宋体"/>
                <w:color w:val="auto"/>
                <w:sz w:val="21"/>
                <w:szCs w:val="21"/>
                <w:highlight w:val="none"/>
              </w:rPr>
              <w:t>万元的前述业绩的，每项得2分,本子项满分</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hAnsi="宋体" w:cs="宋体"/>
                <w:color w:val="auto"/>
                <w:sz w:val="21"/>
                <w:szCs w:val="21"/>
                <w:highlight w:val="none"/>
                <w:lang w:val="en-US" w:eastAsia="zh-CN"/>
              </w:rPr>
              <w:t>；</w:t>
            </w:r>
          </w:p>
          <w:p w14:paraId="1F4D76E1">
            <w:pPr>
              <w:pStyle w:val="22"/>
              <w:snapToGrid w:val="0"/>
              <w:spacing w:line="360" w:lineRule="auto"/>
              <w:ind w:left="0" w:firstLine="0" w:firstLineChars="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rPr>
              <w:t>万元≤单项合同金额＜</w:t>
            </w:r>
            <w:r>
              <w:rPr>
                <w:rFonts w:hint="eastAsia" w:hAnsi="宋体" w:cs="宋体"/>
                <w:color w:val="auto"/>
                <w:sz w:val="21"/>
                <w:szCs w:val="21"/>
                <w:highlight w:val="none"/>
                <w:lang w:val="en-US" w:eastAsia="zh-CN"/>
              </w:rPr>
              <w:t>100</w:t>
            </w:r>
            <w:r>
              <w:rPr>
                <w:rFonts w:hint="eastAsia" w:ascii="宋体" w:hAnsi="宋体" w:eastAsia="宋体" w:cs="宋体"/>
                <w:color w:val="auto"/>
                <w:sz w:val="21"/>
                <w:szCs w:val="21"/>
                <w:highlight w:val="none"/>
              </w:rPr>
              <w:t>万元的前述业绩的，每项得1分,本子项满分</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ADE3F6B">
            <w:pPr>
              <w:pStyle w:val="22"/>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51010A7B">
            <w:pPr>
              <w:pStyle w:val="22"/>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业绩按以下条款作为考评依据：</w:t>
            </w:r>
          </w:p>
          <w:p w14:paraId="5084E4AB">
            <w:pPr>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须附合同复印件</w:t>
            </w:r>
            <w:r>
              <w:rPr>
                <w:rFonts w:hint="eastAsia" w:ascii="宋体" w:hAnsi="宋体" w:eastAsia="宋体" w:cs="宋体"/>
                <w:b/>
                <w:bCs/>
                <w:color w:val="auto"/>
                <w:sz w:val="21"/>
                <w:szCs w:val="21"/>
                <w:highlight w:val="none"/>
                <w:lang w:val="en-US" w:eastAsia="zh-CN"/>
              </w:rPr>
              <w:t>，否则不得分</w:t>
            </w:r>
            <w:r>
              <w:rPr>
                <w:rFonts w:hint="eastAsia" w:ascii="宋体" w:hAnsi="宋体" w:eastAsia="宋体" w:cs="宋体"/>
                <w:b/>
                <w:bCs/>
                <w:color w:val="auto"/>
                <w:sz w:val="21"/>
                <w:szCs w:val="21"/>
                <w:highlight w:val="none"/>
              </w:rPr>
              <w:t>；</w:t>
            </w:r>
          </w:p>
          <w:p w14:paraId="6C0267FB">
            <w:pPr>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若业绩为框架式协议或资格入围无明确金额的合同，必须同时提供合同期限内已供货产品发票金额统计表和供货发票复印件，否则，视为无效业绩；</w:t>
            </w:r>
          </w:p>
          <w:p w14:paraId="6366D06A">
            <w:pPr>
              <w:snapToGrid w:val="0"/>
              <w:spacing w:line="360" w:lineRule="auto"/>
              <w:rPr>
                <w:rFonts w:hint="eastAsia"/>
                <w:b/>
                <w:bCs/>
                <w:color w:val="auto"/>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若合同无法反映评分条件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卖方为投标人、合同签订日期为202</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年1月1日或以后、金额</w:t>
            </w:r>
            <w:r>
              <w:rPr>
                <w:rFonts w:hint="eastAsia" w:ascii="宋体" w:hAnsi="宋体" w:eastAsia="宋体" w:cs="宋体"/>
                <w:b/>
                <w:bCs/>
                <w:color w:val="auto"/>
                <w:sz w:val="21"/>
                <w:szCs w:val="21"/>
                <w:highlight w:val="none"/>
                <w:lang w:eastAsia="zh-CN"/>
              </w:rPr>
              <w:t>、合同标的必须包含投标品牌</w:t>
            </w:r>
            <w:r>
              <w:rPr>
                <w:rFonts w:hint="eastAsia" w:ascii="宋体" w:hAnsi="宋体" w:eastAsia="宋体" w:cs="宋体"/>
                <w:b/>
                <w:bCs/>
                <w:color w:val="auto"/>
                <w:sz w:val="21"/>
                <w:szCs w:val="21"/>
                <w:highlight w:val="none"/>
              </w:rPr>
              <w:t>液体</w:t>
            </w:r>
            <w:r>
              <w:rPr>
                <w:rFonts w:hint="eastAsia" w:ascii="宋体" w:hAnsi="宋体" w:eastAsia="宋体" w:cs="宋体"/>
                <w:b/>
                <w:bCs/>
                <w:color w:val="auto"/>
                <w:sz w:val="21"/>
                <w:szCs w:val="21"/>
                <w:highlight w:val="none"/>
                <w:lang w:val="en-US" w:eastAsia="zh-CN"/>
              </w:rPr>
              <w:t>复合碳源、供货用于水处理相关工艺）的</w:t>
            </w:r>
            <w:r>
              <w:rPr>
                <w:rFonts w:hint="eastAsia" w:ascii="宋体" w:hAnsi="宋体" w:eastAsia="宋体" w:cs="宋体"/>
                <w:b/>
                <w:bCs/>
                <w:color w:val="auto"/>
                <w:sz w:val="21"/>
                <w:szCs w:val="21"/>
                <w:highlight w:val="none"/>
              </w:rPr>
              <w:t>，</w:t>
            </w:r>
            <w:r>
              <w:rPr>
                <w:rFonts w:hint="eastAsia" w:ascii="宋体" w:hAnsi="宋体" w:eastAsia="宋体" w:cs="宋体"/>
                <w:b/>
                <w:color w:val="auto"/>
                <w:kern w:val="0"/>
                <w:szCs w:val="21"/>
              </w:rPr>
              <w:t>还需提供产品购买方出具的书面补充说明文件复印件作为辅助证明（补充说明文件复印件能显示购买方公章），否则不得分</w:t>
            </w:r>
            <w:r>
              <w:rPr>
                <w:rFonts w:hint="eastAsia" w:ascii="宋体" w:hAnsi="宋体" w:eastAsia="宋体" w:cs="宋体"/>
                <w:b/>
                <w:bCs/>
                <w:color w:val="auto"/>
                <w:sz w:val="21"/>
                <w:szCs w:val="21"/>
                <w:highlight w:val="none"/>
              </w:rPr>
              <w:t>；</w:t>
            </w:r>
          </w:p>
          <w:p w14:paraId="146D9943">
            <w:pPr>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3CCB4A20">
            <w:pPr>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分</w:t>
            </w:r>
          </w:p>
        </w:tc>
      </w:tr>
      <w:tr w14:paraId="250F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66796B7D">
            <w:pPr>
              <w:snapToGrid w:val="0"/>
              <w:spacing w:line="360" w:lineRule="auto"/>
              <w:jc w:val="center"/>
              <w:rPr>
                <w:rFonts w:hint="eastAsia" w:ascii="宋体" w:hAnsi="宋体" w:eastAsia="宋体" w:cs="宋体"/>
                <w:color w:val="auto"/>
                <w:sz w:val="21"/>
                <w:szCs w:val="21"/>
                <w:highlight w:val="none"/>
                <w:lang w:val="en-US" w:eastAsia="zh-CN"/>
              </w:rPr>
            </w:pPr>
            <w:bookmarkStart w:id="963" w:name="_Hlk104987354"/>
            <w:bookmarkStart w:id="964" w:name="_Toc11639_WPSOffice_Level2"/>
            <w:r>
              <w:rPr>
                <w:rFonts w:hint="eastAsia" w:ascii="宋体" w:hAnsi="宋体" w:eastAsia="宋体" w:cs="宋体"/>
                <w:color w:val="auto"/>
                <w:sz w:val="21"/>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3211A15B">
            <w:pPr>
              <w:autoSpaceDE/>
              <w:autoSpaceDN/>
              <w:adjustRightInd/>
              <w:snapToGrid w:val="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车辆运输</w:t>
            </w:r>
          </w:p>
        </w:tc>
        <w:tc>
          <w:tcPr>
            <w:tcW w:w="3692" w:type="pct"/>
            <w:tcBorders>
              <w:top w:val="single" w:color="auto" w:sz="4" w:space="0"/>
              <w:left w:val="single" w:color="auto" w:sz="4" w:space="0"/>
              <w:bottom w:val="single" w:color="auto" w:sz="4" w:space="0"/>
              <w:right w:val="single" w:color="auto" w:sz="4" w:space="0"/>
            </w:tcBorders>
            <w:vAlign w:val="center"/>
          </w:tcPr>
          <w:p w14:paraId="6811CB7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拟为本项目投入的运输专用车（液体复合碳源），每提供1台车辆得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14:paraId="2F88AC5C">
            <w:pPr>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14:paraId="1621395D">
            <w:pPr>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zh-CN"/>
              </w:rPr>
              <w:t>自有的运输专用车的须提供：①行驶证复印件；</w:t>
            </w:r>
            <w:r>
              <w:rPr>
                <w:rFonts w:hint="eastAsia" w:ascii="宋体" w:hAnsi="宋体" w:eastAsia="宋体" w:cs="宋体"/>
                <w:b/>
                <w:bCs/>
                <w:color w:val="auto"/>
                <w:sz w:val="21"/>
                <w:szCs w:val="21"/>
                <w:highlight w:val="none"/>
              </w:rPr>
              <w:t>②车辆照片/图片打印件（照片/图片须清晰</w:t>
            </w:r>
            <w:r>
              <w:rPr>
                <w:rFonts w:hint="eastAsia" w:ascii="宋体" w:hAnsi="宋体" w:eastAsia="宋体" w:cs="宋体"/>
                <w:b/>
                <w:bCs/>
                <w:color w:val="auto"/>
                <w:sz w:val="21"/>
                <w:szCs w:val="21"/>
                <w:highlight w:val="none"/>
                <w:lang w:val="zh-CN"/>
              </w:rPr>
              <w:t>显示</w:t>
            </w:r>
            <w:r>
              <w:rPr>
                <w:rFonts w:hint="eastAsia" w:ascii="宋体" w:hAnsi="宋体" w:eastAsia="宋体" w:cs="宋体"/>
                <w:b/>
                <w:bCs/>
                <w:color w:val="auto"/>
                <w:sz w:val="21"/>
                <w:szCs w:val="21"/>
                <w:highlight w:val="none"/>
              </w:rPr>
              <w:t>拍摄时间为202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年7月1日或以后）</w:t>
            </w:r>
            <w:r>
              <w:rPr>
                <w:rFonts w:hint="eastAsia" w:ascii="宋体" w:hAnsi="宋体" w:eastAsia="宋体" w:cs="宋体"/>
                <w:b/>
                <w:bCs/>
                <w:color w:val="auto"/>
                <w:sz w:val="21"/>
                <w:szCs w:val="21"/>
                <w:highlight w:val="none"/>
                <w:lang w:val="zh-CN"/>
              </w:rPr>
              <w:t>。</w:t>
            </w:r>
          </w:p>
          <w:p w14:paraId="37C7974B">
            <w:pPr>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zh-CN"/>
              </w:rPr>
              <w:t>委托第三方运输的须提供：①运输合同复印件；</w:t>
            </w:r>
            <w:r>
              <w:rPr>
                <w:rFonts w:hint="eastAsia" w:ascii="宋体" w:hAnsi="宋体" w:eastAsia="宋体" w:cs="宋体"/>
                <w:b/>
                <w:bCs/>
                <w:color w:val="auto"/>
                <w:sz w:val="21"/>
                <w:szCs w:val="21"/>
                <w:highlight w:val="none"/>
              </w:rPr>
              <w:t>②受托方道路运输经营许可证</w:t>
            </w:r>
            <w:r>
              <w:rPr>
                <w:rFonts w:hint="eastAsia" w:ascii="宋体" w:hAnsi="宋体" w:eastAsia="宋体" w:cs="宋体"/>
                <w:b/>
                <w:bCs/>
                <w:color w:val="auto"/>
                <w:sz w:val="21"/>
                <w:szCs w:val="21"/>
                <w:highlight w:val="none"/>
                <w:lang w:val="zh-CN"/>
              </w:rPr>
              <w:t>复印件</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③车辆道路运输证复印件；④车辆行驶证复印件；⑤</w:t>
            </w:r>
            <w:r>
              <w:rPr>
                <w:rFonts w:hint="eastAsia" w:ascii="宋体" w:hAnsi="宋体" w:eastAsia="宋体" w:cs="宋体"/>
                <w:b/>
                <w:bCs/>
                <w:color w:val="auto"/>
                <w:sz w:val="21"/>
                <w:szCs w:val="21"/>
                <w:highlight w:val="none"/>
              </w:rPr>
              <w:t>车辆照片/图片打印件（照片/图片须清晰</w:t>
            </w:r>
            <w:r>
              <w:rPr>
                <w:rFonts w:hint="eastAsia" w:ascii="宋体" w:hAnsi="宋体" w:eastAsia="宋体" w:cs="宋体"/>
                <w:b/>
                <w:bCs/>
                <w:color w:val="auto"/>
                <w:sz w:val="21"/>
                <w:szCs w:val="21"/>
                <w:highlight w:val="none"/>
                <w:lang w:val="zh-CN"/>
              </w:rPr>
              <w:t>显示</w:t>
            </w:r>
            <w:r>
              <w:rPr>
                <w:rFonts w:hint="eastAsia" w:ascii="宋体" w:hAnsi="宋体" w:eastAsia="宋体" w:cs="宋体"/>
                <w:b/>
                <w:bCs/>
                <w:color w:val="auto"/>
                <w:sz w:val="21"/>
                <w:szCs w:val="21"/>
                <w:highlight w:val="none"/>
              </w:rPr>
              <w:t>拍摄时间为202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年7月1日或以后）</w:t>
            </w:r>
            <w:r>
              <w:rPr>
                <w:rFonts w:hint="eastAsia" w:ascii="宋体" w:hAnsi="宋体" w:eastAsia="宋体" w:cs="宋体"/>
                <w:b/>
                <w:bCs/>
                <w:color w:val="auto"/>
                <w:sz w:val="21"/>
                <w:szCs w:val="21"/>
                <w:highlight w:val="none"/>
                <w:lang w:val="zh-CN"/>
              </w:rPr>
              <w:t>。</w:t>
            </w:r>
          </w:p>
          <w:p w14:paraId="09732A5C">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zh-CN"/>
              </w:rPr>
              <w:t>未提供或者提供信息不全或证件无效的相应车辆不得分。</w:t>
            </w:r>
          </w:p>
        </w:tc>
        <w:tc>
          <w:tcPr>
            <w:tcW w:w="437" w:type="pct"/>
            <w:tcBorders>
              <w:top w:val="single" w:color="auto" w:sz="4" w:space="0"/>
              <w:left w:val="single" w:color="auto" w:sz="4" w:space="0"/>
              <w:bottom w:val="single" w:color="auto" w:sz="4" w:space="0"/>
              <w:right w:val="single" w:color="auto" w:sz="4" w:space="0"/>
            </w:tcBorders>
            <w:vAlign w:val="center"/>
          </w:tcPr>
          <w:p w14:paraId="6826C9A2">
            <w:pPr>
              <w:pStyle w:val="194"/>
              <w:keepNext w:val="0"/>
              <w:tabs>
                <w:tab w:val="left" w:pos="585"/>
                <w:tab w:val="left" w:pos="680"/>
              </w:tabs>
              <w:spacing w:after="0" w:line="360" w:lineRule="auto"/>
              <w:ind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zh-CN"/>
              </w:rPr>
              <w:t>分</w:t>
            </w:r>
          </w:p>
        </w:tc>
      </w:tr>
      <w:tr w14:paraId="563D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463" w:type="dxa"/>
            <w:gridSpan w:val="3"/>
            <w:tcBorders>
              <w:top w:val="single" w:color="auto" w:sz="4" w:space="0"/>
              <w:left w:val="single" w:color="auto" w:sz="4" w:space="0"/>
              <w:bottom w:val="single" w:color="auto" w:sz="4" w:space="0"/>
              <w:right w:val="single" w:color="auto" w:sz="4" w:space="0"/>
            </w:tcBorders>
            <w:vAlign w:val="center"/>
          </w:tcPr>
          <w:p w14:paraId="5FE15570">
            <w:pPr>
              <w:snapToGrid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color w:val="auto"/>
                <w:szCs w:val="21"/>
                <w:lang w:val="zh-CN"/>
              </w:rPr>
              <w:t>商务总分</w:t>
            </w:r>
          </w:p>
        </w:tc>
        <w:tc>
          <w:tcPr>
            <w:tcW w:w="907" w:type="dxa"/>
            <w:tcBorders>
              <w:top w:val="single" w:color="auto" w:sz="4" w:space="0"/>
              <w:left w:val="single" w:color="auto" w:sz="4" w:space="0"/>
              <w:bottom w:val="single" w:color="auto" w:sz="4" w:space="0"/>
              <w:right w:val="single" w:color="auto" w:sz="4" w:space="0"/>
            </w:tcBorders>
            <w:vAlign w:val="center"/>
          </w:tcPr>
          <w:p w14:paraId="253F91DA">
            <w:pPr>
              <w:snapToGrid w:val="0"/>
              <w:spacing w:line="360" w:lineRule="auto"/>
              <w:jc w:val="center"/>
              <w:rPr>
                <w:rFonts w:hint="default" w:ascii="宋体" w:hAnsi="宋体" w:cs="宋体"/>
                <w:color w:val="auto"/>
                <w:szCs w:val="21"/>
                <w:highlight w:val="none"/>
                <w:lang w:val="en-US" w:eastAsia="zh-CN"/>
              </w:rPr>
            </w:pPr>
            <w:r>
              <w:rPr>
                <w:rFonts w:hint="eastAsia" w:ascii="宋体" w:hAnsi="宋体" w:eastAsia="宋体" w:cs="宋体"/>
                <w:b/>
                <w:color w:val="auto"/>
                <w:szCs w:val="21"/>
                <w:lang w:val="en-US" w:eastAsia="zh-CN"/>
              </w:rPr>
              <w:t>20</w:t>
            </w:r>
            <w:r>
              <w:rPr>
                <w:rFonts w:hint="eastAsia" w:ascii="宋体" w:hAnsi="宋体" w:eastAsia="宋体" w:cs="宋体"/>
                <w:b/>
                <w:color w:val="auto"/>
                <w:szCs w:val="21"/>
              </w:rPr>
              <w:t>分</w:t>
            </w:r>
          </w:p>
        </w:tc>
      </w:tr>
      <w:bookmarkEnd w:id="963"/>
    </w:tbl>
    <w:p w14:paraId="1EC7A1F6">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4FAEEB3D">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96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133"/>
        <w:gridCol w:w="7679"/>
        <w:gridCol w:w="909"/>
      </w:tblGrid>
      <w:tr w14:paraId="7E84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14:paraId="181856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14C6D2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评审内容</w:t>
            </w:r>
          </w:p>
        </w:tc>
        <w:tc>
          <w:tcPr>
            <w:tcW w:w="3701" w:type="pct"/>
            <w:tcBorders>
              <w:top w:val="single" w:color="auto" w:sz="4" w:space="0"/>
              <w:left w:val="single" w:color="auto" w:sz="4" w:space="0"/>
              <w:bottom w:val="single" w:color="auto" w:sz="4" w:space="0"/>
              <w:right w:val="single" w:color="auto" w:sz="4" w:space="0"/>
            </w:tcBorders>
            <w:noWrap w:val="0"/>
            <w:vAlign w:val="center"/>
          </w:tcPr>
          <w:p w14:paraId="46BAAA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760452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满分值</w:t>
            </w:r>
          </w:p>
        </w:tc>
      </w:tr>
      <w:tr w14:paraId="514C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313" w:type="pct"/>
            <w:tcBorders>
              <w:top w:val="single" w:color="auto" w:sz="4" w:space="0"/>
              <w:left w:val="single" w:color="auto" w:sz="4" w:space="0"/>
              <w:right w:val="single" w:color="auto" w:sz="4" w:space="0"/>
            </w:tcBorders>
            <w:noWrap w:val="0"/>
            <w:vAlign w:val="center"/>
          </w:tcPr>
          <w:p w14:paraId="12F65FA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right w:val="single" w:color="auto" w:sz="4" w:space="0"/>
            </w:tcBorders>
            <w:noWrap w:val="0"/>
            <w:vAlign w:val="center"/>
          </w:tcPr>
          <w:p w14:paraId="38B2403F">
            <w:pPr>
              <w:spacing w:line="40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用户需求的响应程度</w:t>
            </w:r>
          </w:p>
        </w:tc>
        <w:tc>
          <w:tcPr>
            <w:tcW w:w="3701" w:type="pct"/>
            <w:tcBorders>
              <w:top w:val="single" w:color="auto" w:sz="4" w:space="0"/>
              <w:left w:val="single" w:color="auto" w:sz="4" w:space="0"/>
              <w:bottom w:val="single" w:color="auto" w:sz="4" w:space="0"/>
              <w:right w:val="single" w:color="auto" w:sz="4" w:space="0"/>
            </w:tcBorders>
            <w:noWrap w:val="0"/>
            <w:vAlign w:val="center"/>
          </w:tcPr>
          <w:p w14:paraId="06F1DCA2">
            <w:pPr>
              <w:spacing w:line="400" w:lineRule="exact"/>
              <w:jc w:val="both"/>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分；本项最低分为0分。</w:t>
            </w:r>
          </w:p>
        </w:tc>
        <w:tc>
          <w:tcPr>
            <w:tcW w:w="438" w:type="pct"/>
            <w:tcBorders>
              <w:top w:val="single" w:color="auto" w:sz="4" w:space="0"/>
              <w:left w:val="single" w:color="auto" w:sz="4" w:space="0"/>
              <w:right w:val="single" w:color="auto" w:sz="4" w:space="0"/>
            </w:tcBorders>
            <w:noWrap w:val="0"/>
            <w:vAlign w:val="center"/>
          </w:tcPr>
          <w:p w14:paraId="3E7C119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r>
      <w:tr w14:paraId="5B48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3" w:type="pct"/>
            <w:vMerge w:val="restart"/>
            <w:tcBorders>
              <w:top w:val="single" w:color="auto" w:sz="4" w:space="0"/>
              <w:left w:val="single" w:color="auto" w:sz="4" w:space="0"/>
              <w:right w:val="single" w:color="auto" w:sz="4" w:space="0"/>
            </w:tcBorders>
            <w:noWrap w:val="0"/>
            <w:vAlign w:val="center"/>
          </w:tcPr>
          <w:p w14:paraId="79D3664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546" w:type="pct"/>
            <w:vMerge w:val="restart"/>
            <w:tcBorders>
              <w:top w:val="single" w:color="auto" w:sz="4" w:space="0"/>
              <w:left w:val="single" w:color="auto" w:sz="4" w:space="0"/>
              <w:right w:val="single" w:color="auto" w:sz="4" w:space="0"/>
            </w:tcBorders>
            <w:noWrap w:val="0"/>
            <w:vAlign w:val="center"/>
          </w:tcPr>
          <w:p w14:paraId="5B220DFC">
            <w:pPr>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rPr>
              <w:t>生产工艺</w:t>
            </w:r>
          </w:p>
        </w:tc>
        <w:tc>
          <w:tcPr>
            <w:tcW w:w="3701" w:type="pct"/>
            <w:tcBorders>
              <w:top w:val="single" w:color="auto" w:sz="4" w:space="0"/>
              <w:left w:val="single" w:color="auto" w:sz="4" w:space="0"/>
              <w:bottom w:val="single" w:color="auto" w:sz="4" w:space="0"/>
              <w:right w:val="single" w:color="auto" w:sz="4" w:space="0"/>
            </w:tcBorders>
            <w:noWrap w:val="0"/>
            <w:vAlign w:val="center"/>
          </w:tcPr>
          <w:p w14:paraId="239E6CCD">
            <w:pPr>
              <w:keepNext w:val="0"/>
              <w:snapToGrid w:val="0"/>
              <w:spacing w:after="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根据投标人提供生产原理、生产工艺流程图及其合理性说明；对照生产工艺流程图，投标产品的主要材料证明</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提供关键节点生产现场照片，包括但不限于生产、储存设施（设备）等进行评审：</w:t>
            </w:r>
          </w:p>
          <w:p w14:paraId="30FC6943">
            <w:pPr>
              <w:keepNext w:val="0"/>
              <w:snapToGrid w:val="0"/>
              <w:spacing w:after="0"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lang w:val="en-US" w:eastAsia="zh-CN"/>
              </w:rPr>
              <w:t>优：</w:t>
            </w:r>
            <w:r>
              <w:rPr>
                <w:rFonts w:hint="eastAsia" w:ascii="宋体" w:hAnsi="宋体" w:eastAsia="宋体" w:cs="宋体"/>
                <w:color w:val="auto"/>
                <w:sz w:val="21"/>
                <w:szCs w:val="21"/>
              </w:rPr>
              <w:t>提供的生产原理、生产工艺流程图详细、全面、合理，关键节点的生产、储存设施（设备）等与项目实施的配合度高的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p>
          <w:p w14:paraId="00BDB0D3">
            <w:pPr>
              <w:keepNext w:val="0"/>
              <w:snapToGrid w:val="0"/>
              <w:spacing w:after="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rPr>
              <w:t>有提供生产原理、生产工艺流程图</w:t>
            </w:r>
            <w:r>
              <w:rPr>
                <w:rFonts w:hint="eastAsia" w:ascii="宋体" w:hAnsi="宋体" w:eastAsia="宋体" w:cs="宋体"/>
                <w:color w:val="auto"/>
                <w:sz w:val="21"/>
                <w:szCs w:val="21"/>
                <w:lang w:val="en-US" w:eastAsia="zh-CN"/>
              </w:rPr>
              <w:t>一般</w:t>
            </w:r>
            <w:r>
              <w:rPr>
                <w:rFonts w:hint="eastAsia" w:ascii="宋体" w:hAnsi="宋体" w:eastAsia="宋体" w:cs="宋体"/>
                <w:color w:val="auto"/>
                <w:sz w:val="21"/>
                <w:szCs w:val="21"/>
              </w:rPr>
              <w:t>，关键节点的生产、储存设施（设备）等与项目实施的配合度</w:t>
            </w:r>
            <w:r>
              <w:rPr>
                <w:rFonts w:hint="eastAsia" w:ascii="宋体" w:hAnsi="宋体" w:eastAsia="宋体" w:cs="宋体"/>
                <w:color w:val="auto"/>
                <w:sz w:val="21"/>
                <w:szCs w:val="21"/>
                <w:lang w:val="en-US" w:eastAsia="zh-CN"/>
              </w:rPr>
              <w:t>一般</w:t>
            </w:r>
            <w:r>
              <w:rPr>
                <w:rFonts w:hint="eastAsia" w:ascii="宋体" w:hAnsi="宋体" w:eastAsia="宋体" w:cs="宋体"/>
                <w:color w:val="auto"/>
                <w:sz w:val="21"/>
                <w:szCs w:val="21"/>
              </w:rPr>
              <w:t>的</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p>
          <w:p w14:paraId="4870826B">
            <w:pPr>
              <w:keepNext w:val="0"/>
              <w:snapToGrid w:val="0"/>
              <w:spacing w:after="0"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差</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rPr>
              <w:t>有提供生产原理、生产工艺流程图，但不详细、不全面，关键节点的生产、储存设施（设备）等与项目实施的配合度低的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-0]分。</w:t>
            </w:r>
          </w:p>
        </w:tc>
        <w:tc>
          <w:tcPr>
            <w:tcW w:w="438" w:type="pct"/>
            <w:tcBorders>
              <w:top w:val="single" w:color="auto" w:sz="4" w:space="0"/>
              <w:left w:val="single" w:color="auto" w:sz="4" w:space="0"/>
              <w:right w:val="single" w:color="auto" w:sz="4" w:space="0"/>
            </w:tcBorders>
            <w:noWrap w:val="0"/>
            <w:vAlign w:val="center"/>
          </w:tcPr>
          <w:p w14:paraId="4B24B5C1">
            <w:pPr>
              <w:pStyle w:val="194"/>
              <w:keepNext w:val="0"/>
              <w:tabs>
                <w:tab w:val="left" w:pos="585"/>
                <w:tab w:val="left" w:pos="680"/>
              </w:tabs>
              <w:spacing w:after="0" w:line="360" w:lineRule="auto"/>
              <w:ind w:right="0" w:right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3215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restart"/>
            <w:tcBorders>
              <w:top w:val="single" w:color="auto" w:sz="4" w:space="0"/>
              <w:left w:val="single" w:color="auto" w:sz="4" w:space="0"/>
              <w:right w:val="single" w:color="auto" w:sz="4" w:space="0"/>
            </w:tcBorders>
            <w:noWrap w:val="0"/>
            <w:vAlign w:val="center"/>
          </w:tcPr>
          <w:p w14:paraId="70ADC186">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546" w:type="pct"/>
            <w:vMerge w:val="restart"/>
            <w:tcBorders>
              <w:top w:val="single" w:color="auto" w:sz="4" w:space="0"/>
              <w:left w:val="single" w:color="auto" w:sz="4" w:space="0"/>
              <w:right w:val="single" w:color="auto" w:sz="4" w:space="0"/>
            </w:tcBorders>
            <w:noWrap w:val="0"/>
            <w:vAlign w:val="center"/>
          </w:tcPr>
          <w:p w14:paraId="39C53610">
            <w:pPr>
              <w:pStyle w:val="194"/>
              <w:keepNext w:val="0"/>
              <w:tabs>
                <w:tab w:val="left" w:pos="585"/>
                <w:tab w:val="left" w:pos="680"/>
              </w:tabs>
              <w:spacing w:after="0"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生产供货保障能力</w:t>
            </w:r>
          </w:p>
        </w:tc>
        <w:tc>
          <w:tcPr>
            <w:tcW w:w="3701" w:type="pct"/>
            <w:tcBorders>
              <w:top w:val="single" w:color="auto" w:sz="4" w:space="0"/>
              <w:left w:val="single" w:color="auto" w:sz="4" w:space="0"/>
              <w:bottom w:val="single" w:color="auto" w:sz="4" w:space="0"/>
              <w:right w:val="single" w:color="auto" w:sz="4" w:space="0"/>
            </w:tcBorders>
            <w:noWrap w:val="0"/>
            <w:vAlign w:val="center"/>
          </w:tcPr>
          <w:p w14:paraId="04D60FC0">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横向比较制造商生产液体复合碳源产品的场地规模、生产环境、设施设备资料、产能证明资料</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val="zh-CN"/>
              </w:rPr>
              <w:t>服务团队等</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lang w:val="zh-CN"/>
              </w:rPr>
              <w:t>：</w:t>
            </w:r>
          </w:p>
          <w:p w14:paraId="437977B9">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优：场地规模</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lang w:val="zh-CN"/>
              </w:rPr>
              <w:t>、生产环境</w:t>
            </w:r>
            <w:r>
              <w:rPr>
                <w:rFonts w:hint="eastAsia" w:ascii="宋体" w:hAnsi="宋体" w:eastAsia="宋体" w:cs="宋体"/>
                <w:color w:val="auto"/>
                <w:sz w:val="21"/>
                <w:szCs w:val="21"/>
                <w:highlight w:val="none"/>
                <w:lang w:val="en-US" w:eastAsia="zh-CN"/>
              </w:rPr>
              <w:t>好、设施设备先进、</w:t>
            </w:r>
            <w:r>
              <w:rPr>
                <w:rFonts w:hint="eastAsia" w:ascii="宋体" w:hAnsi="宋体" w:eastAsia="宋体" w:cs="宋体"/>
                <w:b w:val="0"/>
                <w:bCs w:val="0"/>
                <w:color w:val="auto"/>
                <w:kern w:val="2"/>
                <w:sz w:val="21"/>
                <w:szCs w:val="21"/>
                <w:highlight w:val="none"/>
                <w:lang w:val="zh-CN"/>
              </w:rPr>
              <w:t>产能证明资料充分且可靠、</w:t>
            </w:r>
            <w:r>
              <w:rPr>
                <w:rFonts w:hint="eastAsia" w:ascii="宋体" w:hAnsi="宋体" w:eastAsia="宋体" w:cs="宋体"/>
                <w:color w:val="auto"/>
                <w:sz w:val="21"/>
                <w:szCs w:val="21"/>
                <w:highlight w:val="none"/>
                <w:lang w:val="zh-CN"/>
              </w:rPr>
              <w:t>服务团队</w:t>
            </w:r>
            <w:r>
              <w:rPr>
                <w:rFonts w:hint="eastAsia" w:ascii="宋体" w:hAnsi="宋体" w:eastAsia="宋体" w:cs="宋体"/>
                <w:color w:val="auto"/>
                <w:sz w:val="21"/>
                <w:szCs w:val="21"/>
                <w:highlight w:val="none"/>
                <w:lang w:val="en-US" w:eastAsia="zh-CN"/>
              </w:rPr>
              <w:t>人员充足、</w:t>
            </w:r>
            <w:r>
              <w:rPr>
                <w:rFonts w:hint="eastAsia" w:ascii="宋体" w:hAnsi="宋体" w:eastAsia="宋体" w:cs="宋体"/>
                <w:color w:val="auto"/>
                <w:kern w:val="2"/>
                <w:sz w:val="21"/>
                <w:szCs w:val="21"/>
                <w:highlight w:val="none"/>
                <w:lang w:val="zh-CN"/>
              </w:rPr>
              <w:t>具备丰富的行业经验和专业</w:t>
            </w:r>
            <w:r>
              <w:rPr>
                <w:rFonts w:hint="eastAsia" w:ascii="宋体" w:hAnsi="宋体" w:eastAsia="宋体" w:cs="宋体"/>
                <w:color w:val="auto"/>
                <w:kern w:val="2"/>
                <w:sz w:val="21"/>
                <w:szCs w:val="21"/>
                <w:highlight w:val="none"/>
                <w:lang w:val="en-US" w:eastAsia="zh-CN"/>
              </w:rPr>
              <w:t>能力</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14:paraId="0B49BC0C">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中：场地规模</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、生产环境</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、设施设备</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w:t>
            </w:r>
            <w:r>
              <w:rPr>
                <w:rFonts w:hint="eastAsia" w:ascii="宋体" w:hAnsi="宋体" w:eastAsia="宋体" w:cs="宋体"/>
                <w:b w:val="0"/>
                <w:bCs w:val="0"/>
                <w:snapToGrid/>
                <w:color w:val="auto"/>
                <w:kern w:val="2"/>
                <w:sz w:val="21"/>
                <w:szCs w:val="21"/>
                <w:highlight w:val="none"/>
                <w:lang w:val="zh-CN"/>
              </w:rPr>
              <w:t>产能证明资料基本能反映生产能力、</w:t>
            </w:r>
            <w:r>
              <w:rPr>
                <w:rFonts w:hint="eastAsia" w:ascii="宋体" w:hAnsi="宋体" w:eastAsia="宋体" w:cs="宋体"/>
                <w:color w:val="auto"/>
                <w:sz w:val="21"/>
                <w:szCs w:val="21"/>
                <w:highlight w:val="none"/>
                <w:lang w:val="zh-CN"/>
              </w:rPr>
              <w:t>服务团队</w:t>
            </w:r>
            <w:r>
              <w:rPr>
                <w:rFonts w:hint="eastAsia" w:ascii="宋体" w:hAnsi="宋体" w:eastAsia="宋体" w:cs="宋体"/>
                <w:color w:val="auto"/>
                <w:sz w:val="21"/>
                <w:szCs w:val="21"/>
                <w:highlight w:val="none"/>
                <w:lang w:val="en-US" w:eastAsia="zh-CN"/>
              </w:rPr>
              <w:t>人员较少、</w:t>
            </w:r>
            <w:r>
              <w:rPr>
                <w:rFonts w:hint="eastAsia" w:ascii="宋体" w:hAnsi="宋体" w:eastAsia="宋体" w:cs="宋体"/>
                <w:color w:val="auto"/>
                <w:kern w:val="2"/>
                <w:sz w:val="21"/>
                <w:szCs w:val="21"/>
                <w:highlight w:val="none"/>
                <w:lang w:val="zh-CN"/>
              </w:rPr>
              <w:t>行业经验和专业</w:t>
            </w:r>
            <w:r>
              <w:rPr>
                <w:rFonts w:hint="eastAsia" w:ascii="宋体" w:hAnsi="宋体" w:eastAsia="宋体" w:cs="宋体"/>
                <w:color w:val="auto"/>
                <w:kern w:val="2"/>
                <w:sz w:val="21"/>
                <w:szCs w:val="21"/>
                <w:highlight w:val="none"/>
                <w:lang w:val="en-US" w:eastAsia="zh-CN"/>
              </w:rPr>
              <w:t>能力一般</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14:paraId="143EC9DE">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差：场地规模</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lang w:val="zh-CN"/>
              </w:rPr>
              <w:t>、生产环境</w:t>
            </w:r>
            <w:r>
              <w:rPr>
                <w:rFonts w:hint="eastAsia" w:ascii="宋体" w:hAnsi="宋体" w:eastAsia="宋体" w:cs="宋体"/>
                <w:color w:val="auto"/>
                <w:sz w:val="21"/>
                <w:szCs w:val="21"/>
                <w:highlight w:val="none"/>
                <w:lang w:val="en-US" w:eastAsia="zh-CN"/>
              </w:rPr>
              <w:t>简陋</w:t>
            </w:r>
            <w:r>
              <w:rPr>
                <w:rFonts w:hint="eastAsia" w:ascii="宋体" w:hAnsi="宋体" w:eastAsia="宋体" w:cs="宋体"/>
                <w:color w:val="auto"/>
                <w:sz w:val="21"/>
                <w:szCs w:val="21"/>
                <w:highlight w:val="none"/>
                <w:lang w:val="zh-CN"/>
              </w:rPr>
              <w:t>、设施设备</w:t>
            </w:r>
            <w:r>
              <w:rPr>
                <w:rFonts w:hint="eastAsia" w:ascii="宋体" w:hAnsi="宋体" w:eastAsia="宋体" w:cs="宋体"/>
                <w:color w:val="auto"/>
                <w:sz w:val="21"/>
                <w:szCs w:val="21"/>
                <w:highlight w:val="none"/>
                <w:lang w:val="en-US" w:eastAsia="zh-CN"/>
              </w:rPr>
              <w:t>差、</w:t>
            </w:r>
            <w:r>
              <w:rPr>
                <w:rFonts w:hint="eastAsia" w:ascii="宋体" w:hAnsi="宋体" w:eastAsia="宋体" w:cs="宋体"/>
                <w:b w:val="0"/>
                <w:bCs w:val="0"/>
                <w:snapToGrid/>
                <w:color w:val="auto"/>
                <w:kern w:val="2"/>
                <w:sz w:val="21"/>
                <w:szCs w:val="21"/>
                <w:highlight w:val="none"/>
                <w:lang w:val="zh-CN"/>
              </w:rPr>
              <w:t>产能证明资料不足、</w:t>
            </w:r>
            <w:r>
              <w:rPr>
                <w:rFonts w:hint="eastAsia" w:ascii="宋体" w:hAnsi="宋体" w:eastAsia="宋体" w:cs="宋体"/>
                <w:color w:val="auto"/>
                <w:sz w:val="21"/>
                <w:szCs w:val="21"/>
                <w:highlight w:val="none"/>
                <w:lang w:val="zh-CN"/>
              </w:rPr>
              <w:t>服务团队</w:t>
            </w:r>
            <w:r>
              <w:rPr>
                <w:rFonts w:hint="eastAsia" w:ascii="宋体" w:hAnsi="宋体" w:eastAsia="宋体" w:cs="宋体"/>
                <w:color w:val="auto"/>
                <w:sz w:val="21"/>
                <w:szCs w:val="21"/>
                <w:highlight w:val="none"/>
                <w:lang w:val="en-US" w:eastAsia="zh-CN"/>
              </w:rPr>
              <w:t>人员少、</w:t>
            </w:r>
            <w:r>
              <w:rPr>
                <w:rFonts w:hint="eastAsia" w:ascii="宋体" w:hAnsi="宋体" w:eastAsia="宋体" w:cs="宋体"/>
                <w:color w:val="auto"/>
                <w:kern w:val="2"/>
                <w:sz w:val="21"/>
                <w:szCs w:val="21"/>
                <w:highlight w:val="none"/>
                <w:lang w:val="zh-CN"/>
              </w:rPr>
              <w:t>行业经验和专业</w:t>
            </w:r>
            <w:r>
              <w:rPr>
                <w:rFonts w:hint="eastAsia" w:ascii="宋体" w:hAnsi="宋体" w:eastAsia="宋体" w:cs="宋体"/>
                <w:color w:val="auto"/>
                <w:kern w:val="2"/>
                <w:sz w:val="21"/>
                <w:szCs w:val="21"/>
                <w:highlight w:val="none"/>
                <w:lang w:val="en-US" w:eastAsia="zh-CN"/>
              </w:rPr>
              <w:t>能力</w:t>
            </w:r>
            <w:r>
              <w:rPr>
                <w:rFonts w:hint="eastAsia" w:ascii="宋体" w:hAnsi="宋体" w:eastAsia="宋体" w:cs="宋体"/>
                <w:color w:val="auto"/>
                <w:kern w:val="2"/>
                <w:sz w:val="21"/>
                <w:szCs w:val="21"/>
                <w:highlight w:val="none"/>
                <w:lang w:val="zh-CN"/>
              </w:rPr>
              <w:t>不足</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-0]分。</w:t>
            </w:r>
          </w:p>
          <w:p w14:paraId="4994A5D9">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14:paraId="31176E49">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（1）提供制造商场地自有产权证明复印件（或非自有产权时提供承租人为制造商的租赁合同复印件），产权证明或租赁合同的有效期须至202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zh-CN"/>
              </w:rPr>
              <w:t>年12月31日或以后，否则在评标时将不予考虑；</w:t>
            </w:r>
          </w:p>
          <w:p w14:paraId="3DA22114">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（2）提供制造商现场经营、生产环境、生产设备设施的照片/图片打印件（照片/图片须清晰显示拍摄时间为202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val="zh-CN"/>
              </w:rPr>
              <w:t>年7月1日或以后），生产设备设施清单和（付款单位/购买方为制造商的）购置发票复印件等，并提供能证明其生产能力的环评报告或其他生产能力证明资料；</w:t>
            </w:r>
          </w:p>
          <w:p w14:paraId="6DAA167F">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（3）若投标人为制造商，提供制造商生产及管理人员清单及人力资源和社会保障部门（或税务部门）出具的2</w:t>
            </w:r>
            <w:r>
              <w:rPr>
                <w:rFonts w:hint="eastAsia" w:ascii="宋体" w:hAnsi="宋体" w:eastAsia="宋体" w:cs="宋体"/>
                <w:b/>
                <w:color w:val="auto"/>
                <w:sz w:val="21"/>
                <w:szCs w:val="21"/>
                <w:highlight w:val="none"/>
              </w:rPr>
              <w:t>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zh-CN"/>
              </w:rPr>
              <w:t>制造商为其缴纳的社保证明复印件；</w:t>
            </w:r>
          </w:p>
          <w:p w14:paraId="5EFA78D6">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（4）若投标人为经销商，需同时提供制造商及经销商生产及管理人员清单及人力资源和社会保障部门（或税务部门）出具的2</w:t>
            </w:r>
            <w:r>
              <w:rPr>
                <w:rFonts w:hint="eastAsia" w:ascii="宋体" w:hAnsi="宋体" w:eastAsia="宋体" w:cs="宋体"/>
                <w:b/>
                <w:color w:val="auto"/>
                <w:sz w:val="21"/>
                <w:szCs w:val="21"/>
                <w:highlight w:val="none"/>
              </w:rPr>
              <w:t>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zh-CN"/>
              </w:rPr>
              <w:t>制造商及经销商为其缴纳的社保证明复印件；</w:t>
            </w:r>
          </w:p>
          <w:p w14:paraId="42198B45">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val="zh-CN"/>
              </w:rPr>
              <w:t>）投标人除文字介绍外，必须按要求提供以上证明材料。</w:t>
            </w:r>
          </w:p>
        </w:tc>
        <w:tc>
          <w:tcPr>
            <w:tcW w:w="438" w:type="pct"/>
            <w:tcBorders>
              <w:top w:val="single" w:color="auto" w:sz="4" w:space="0"/>
              <w:left w:val="single" w:color="auto" w:sz="4" w:space="0"/>
              <w:right w:val="single" w:color="auto" w:sz="4" w:space="0"/>
            </w:tcBorders>
            <w:noWrap w:val="0"/>
            <w:vAlign w:val="center"/>
          </w:tcPr>
          <w:p w14:paraId="55E9A115">
            <w:pPr>
              <w:pStyle w:val="194"/>
              <w:keepNext w:val="0"/>
              <w:tabs>
                <w:tab w:val="left" w:pos="585"/>
                <w:tab w:val="left" w:pos="680"/>
              </w:tabs>
              <w:spacing w:after="0"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7B6F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Merge w:val="restart"/>
            <w:tcBorders>
              <w:top w:val="single" w:color="auto" w:sz="4" w:space="0"/>
              <w:left w:val="single" w:color="auto" w:sz="4" w:space="0"/>
              <w:right w:val="single" w:color="auto" w:sz="4" w:space="0"/>
            </w:tcBorders>
            <w:noWrap w:val="0"/>
            <w:vAlign w:val="center"/>
          </w:tcPr>
          <w:p w14:paraId="58D2B01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46" w:type="pct"/>
            <w:vMerge w:val="restart"/>
            <w:tcBorders>
              <w:top w:val="single" w:color="auto" w:sz="4" w:space="0"/>
              <w:left w:val="single" w:color="auto" w:sz="4" w:space="0"/>
              <w:right w:val="single" w:color="auto" w:sz="4" w:space="0"/>
            </w:tcBorders>
            <w:noWrap w:val="0"/>
            <w:vAlign w:val="center"/>
          </w:tcPr>
          <w:p w14:paraId="3EA5D57C">
            <w:pPr>
              <w:pStyle w:val="194"/>
              <w:keepNext w:val="0"/>
              <w:tabs>
                <w:tab w:val="left" w:pos="585"/>
                <w:tab w:val="left" w:pos="680"/>
              </w:tabs>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质量保证体系和措施</w:t>
            </w:r>
          </w:p>
        </w:tc>
        <w:tc>
          <w:tcPr>
            <w:tcW w:w="3701" w:type="pct"/>
            <w:tcBorders>
              <w:top w:val="single" w:color="auto" w:sz="4" w:space="0"/>
              <w:left w:val="single" w:color="auto" w:sz="4" w:space="0"/>
              <w:bottom w:val="single" w:color="auto" w:sz="4" w:space="0"/>
              <w:right w:val="single" w:color="auto" w:sz="4" w:space="0"/>
            </w:tcBorders>
            <w:noWrap w:val="0"/>
            <w:vAlign w:val="center"/>
          </w:tcPr>
          <w:p w14:paraId="345ECD2A">
            <w:pPr>
              <w:pStyle w:val="194"/>
              <w:keepNext w:val="0"/>
              <w:tabs>
                <w:tab w:val="left" w:pos="585"/>
                <w:tab w:val="left" w:pos="680"/>
              </w:tabs>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对比投标人针对投标产品的测试、验收、质量保证实施计划和对招标人的水质、设备状况及运营情况进行液体复合碳源小试及中试具体方案情况进行评审。</w:t>
            </w:r>
          </w:p>
          <w:p w14:paraId="4F5D0C35">
            <w:pPr>
              <w:pStyle w:val="194"/>
              <w:keepNext w:val="0"/>
              <w:tabs>
                <w:tab w:val="left" w:pos="585"/>
                <w:tab w:val="left" w:pos="680"/>
              </w:tabs>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优</w:t>
            </w:r>
            <w:r>
              <w:rPr>
                <w:rFonts w:hint="eastAsia" w:ascii="宋体" w:hAnsi="宋体" w:eastAsia="宋体" w:cs="宋体"/>
                <w:color w:val="auto"/>
                <w:szCs w:val="21"/>
                <w:highlight w:val="none"/>
                <w:lang w:eastAsia="zh-CN"/>
              </w:rPr>
              <w:t>：</w:t>
            </w:r>
            <w:r>
              <w:rPr>
                <w:rFonts w:hint="eastAsia" w:ascii="宋体" w:hAnsi="宋体" w:cs="宋体"/>
                <w:color w:val="auto"/>
                <w:kern w:val="2"/>
                <w:sz w:val="21"/>
                <w:szCs w:val="21"/>
                <w:highlight w:val="none"/>
                <w:lang w:eastAsia="zh-CN"/>
              </w:rPr>
              <w:t>提供的测试、验收实施计划详细</w:t>
            </w:r>
            <w:r>
              <w:rPr>
                <w:rFonts w:hint="eastAsia" w:ascii="宋体" w:hAnsi="宋体" w:cs="宋体"/>
                <w:color w:val="auto"/>
                <w:kern w:val="2"/>
                <w:sz w:val="21"/>
                <w:szCs w:val="21"/>
                <w:highlight w:val="none"/>
                <w:lang w:val="en-US" w:eastAsia="zh-CN"/>
              </w:rPr>
              <w:t>；</w:t>
            </w:r>
            <w:r>
              <w:rPr>
                <w:color w:val="auto"/>
                <w:highlight w:val="none"/>
              </w:rPr>
              <w:t>质量保证体系完善、科学</w:t>
            </w:r>
            <w:r>
              <w:rPr>
                <w:rFonts w:hint="eastAsia" w:ascii="宋体" w:hAnsi="宋体" w:cs="宋体"/>
                <w:color w:val="auto"/>
                <w:kern w:val="2"/>
                <w:sz w:val="21"/>
                <w:szCs w:val="21"/>
                <w:highlight w:val="none"/>
                <w:lang w:eastAsia="zh-CN"/>
              </w:rPr>
              <w:t>；小试、中试方案充分考虑了招标人的水质、设备状况及运营情况，方案针对性和可操作性</w:t>
            </w:r>
            <w:r>
              <w:rPr>
                <w:rFonts w:hint="eastAsia" w:ascii="宋体" w:hAnsi="宋体" w:cs="宋体"/>
                <w:color w:val="auto"/>
                <w:kern w:val="2"/>
                <w:sz w:val="21"/>
                <w:szCs w:val="21"/>
                <w:highlight w:val="none"/>
                <w:lang w:val="en-US" w:eastAsia="zh-CN"/>
              </w:rPr>
              <w:t>强的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3DDB60E2">
            <w:pPr>
              <w:pStyle w:val="194"/>
              <w:keepNext w:val="0"/>
              <w:tabs>
                <w:tab w:val="left" w:pos="585"/>
                <w:tab w:val="left" w:pos="680"/>
              </w:tabs>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eastAsia="zh-CN"/>
              </w:rPr>
              <w:t>：</w:t>
            </w:r>
            <w:r>
              <w:rPr>
                <w:rFonts w:hint="eastAsia" w:ascii="宋体" w:hAnsi="宋体" w:cs="宋体"/>
                <w:color w:val="auto"/>
                <w:kern w:val="2"/>
                <w:sz w:val="21"/>
                <w:szCs w:val="21"/>
                <w:highlight w:val="none"/>
                <w:lang w:eastAsia="zh-CN"/>
              </w:rPr>
              <w:t>提供的测试、验收实施计划</w:t>
            </w:r>
            <w:r>
              <w:rPr>
                <w:rFonts w:hint="eastAsia" w:ascii="宋体" w:hAnsi="宋体" w:cs="宋体"/>
                <w:color w:val="auto"/>
                <w:kern w:val="2"/>
                <w:sz w:val="21"/>
                <w:szCs w:val="21"/>
                <w:highlight w:val="none"/>
                <w:lang w:val="en-US" w:eastAsia="zh-CN"/>
              </w:rPr>
              <w:t>一般；</w:t>
            </w:r>
            <w:r>
              <w:rPr>
                <w:color w:val="auto"/>
                <w:highlight w:val="none"/>
              </w:rPr>
              <w:t>质量保证体系</w:t>
            </w:r>
            <w:r>
              <w:rPr>
                <w:rFonts w:hint="eastAsia" w:ascii="宋体" w:hAnsi="宋体" w:cs="宋体"/>
                <w:color w:val="auto"/>
                <w:kern w:val="2"/>
                <w:sz w:val="21"/>
                <w:szCs w:val="21"/>
                <w:highlight w:val="none"/>
                <w:lang w:val="en-US" w:eastAsia="zh-CN"/>
              </w:rPr>
              <w:t>一般</w:t>
            </w:r>
            <w:r>
              <w:rPr>
                <w:rFonts w:hint="eastAsia" w:ascii="宋体" w:hAnsi="宋体" w:cs="宋体"/>
                <w:color w:val="auto"/>
                <w:kern w:val="2"/>
                <w:sz w:val="21"/>
                <w:szCs w:val="21"/>
                <w:highlight w:val="none"/>
                <w:lang w:eastAsia="zh-CN"/>
              </w:rPr>
              <w:t>；小试、中试方案</w:t>
            </w:r>
            <w:r>
              <w:rPr>
                <w:rFonts w:hint="eastAsia" w:ascii="宋体" w:hAnsi="宋体" w:cs="宋体"/>
                <w:color w:val="auto"/>
                <w:kern w:val="2"/>
                <w:sz w:val="21"/>
                <w:szCs w:val="21"/>
                <w:highlight w:val="none"/>
                <w:lang w:val="en-US" w:eastAsia="zh-CN"/>
              </w:rPr>
              <w:t>基本</w:t>
            </w:r>
            <w:r>
              <w:rPr>
                <w:rFonts w:hint="eastAsia" w:ascii="宋体" w:hAnsi="宋体" w:cs="宋体"/>
                <w:color w:val="auto"/>
                <w:kern w:val="2"/>
                <w:sz w:val="21"/>
                <w:szCs w:val="21"/>
                <w:highlight w:val="none"/>
                <w:lang w:eastAsia="zh-CN"/>
              </w:rPr>
              <w:t>考虑了招标人的水质、设备状况及运营情况，方案针对性和可操作性</w:t>
            </w:r>
            <w:r>
              <w:rPr>
                <w:rFonts w:hint="eastAsia" w:ascii="宋体" w:hAnsi="宋体" w:cs="宋体"/>
                <w:color w:val="auto"/>
                <w:kern w:val="2"/>
                <w:sz w:val="21"/>
                <w:szCs w:val="21"/>
                <w:highlight w:val="none"/>
                <w:lang w:val="en-US" w:eastAsia="zh-CN"/>
              </w:rPr>
              <w:t>一般的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3D6B16A4">
            <w:pPr>
              <w:pStyle w:val="194"/>
              <w:keepNext w:val="0"/>
              <w:tabs>
                <w:tab w:val="left" w:pos="585"/>
                <w:tab w:val="left" w:pos="680"/>
              </w:tabs>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差</w:t>
            </w:r>
            <w:r>
              <w:rPr>
                <w:rFonts w:hint="eastAsia" w:ascii="宋体" w:hAnsi="宋体" w:eastAsia="宋体" w:cs="宋体"/>
                <w:color w:val="auto"/>
                <w:szCs w:val="21"/>
                <w:highlight w:val="none"/>
                <w:lang w:eastAsia="zh-CN"/>
              </w:rPr>
              <w:t>：</w:t>
            </w:r>
            <w:r>
              <w:rPr>
                <w:rFonts w:hint="eastAsia" w:ascii="宋体" w:hAnsi="宋体" w:cs="宋体"/>
                <w:color w:val="auto"/>
                <w:kern w:val="2"/>
                <w:sz w:val="21"/>
                <w:szCs w:val="21"/>
                <w:highlight w:val="none"/>
                <w:lang w:eastAsia="zh-CN"/>
              </w:rPr>
              <w:t>提供的测试、验收实施计划</w:t>
            </w:r>
            <w:r>
              <w:rPr>
                <w:rFonts w:hint="eastAsia" w:ascii="宋体" w:hAnsi="宋体" w:eastAsia="宋体" w:cs="宋体"/>
                <w:b w:val="0"/>
                <w:bCs w:val="0"/>
                <w:snapToGrid/>
                <w:color w:val="auto"/>
                <w:kern w:val="2"/>
                <w:szCs w:val="21"/>
                <w:highlight w:val="none"/>
                <w:lang w:val="zh-CN"/>
              </w:rPr>
              <w:t>存在一定缺失或不够详细</w:t>
            </w:r>
            <w:r>
              <w:rPr>
                <w:rFonts w:hint="eastAsia" w:ascii="宋体" w:hAnsi="宋体" w:cs="宋体"/>
                <w:color w:val="auto"/>
                <w:kern w:val="2"/>
                <w:sz w:val="21"/>
                <w:szCs w:val="21"/>
                <w:highlight w:val="none"/>
                <w:lang w:val="en-US" w:eastAsia="zh-CN"/>
              </w:rPr>
              <w:t>；</w:t>
            </w:r>
            <w:r>
              <w:rPr>
                <w:color w:val="auto"/>
                <w:highlight w:val="none"/>
              </w:rPr>
              <w:t>质量保证体系</w:t>
            </w:r>
            <w:r>
              <w:rPr>
                <w:rFonts w:hint="eastAsia"/>
                <w:color w:val="auto"/>
                <w:highlight w:val="none"/>
                <w:lang w:val="en-US" w:eastAsia="zh-CN"/>
              </w:rPr>
              <w:t>不完整或未提供</w:t>
            </w:r>
            <w:r>
              <w:rPr>
                <w:rFonts w:hint="eastAsia" w:ascii="宋体" w:hAnsi="宋体" w:cs="宋体"/>
                <w:color w:val="auto"/>
                <w:kern w:val="2"/>
                <w:sz w:val="21"/>
                <w:szCs w:val="21"/>
                <w:highlight w:val="none"/>
                <w:lang w:eastAsia="zh-CN"/>
              </w:rPr>
              <w:t>；小试、中试方案</w:t>
            </w:r>
            <w:r>
              <w:rPr>
                <w:rFonts w:hint="eastAsia" w:ascii="宋体" w:hAnsi="宋体" w:cs="宋体"/>
                <w:color w:val="auto"/>
                <w:kern w:val="2"/>
                <w:sz w:val="21"/>
                <w:szCs w:val="21"/>
                <w:highlight w:val="none"/>
                <w:lang w:val="en-US" w:eastAsia="zh-CN"/>
              </w:rPr>
              <w:t>未能</w:t>
            </w:r>
            <w:r>
              <w:rPr>
                <w:rFonts w:hint="eastAsia" w:ascii="宋体" w:hAnsi="宋体" w:cs="宋体"/>
                <w:color w:val="auto"/>
                <w:kern w:val="2"/>
                <w:sz w:val="21"/>
                <w:szCs w:val="21"/>
                <w:highlight w:val="none"/>
                <w:lang w:eastAsia="zh-CN"/>
              </w:rPr>
              <w:t>考虑招标人的水质、设备状况及运营情况，方案针对性和可操作性</w:t>
            </w:r>
            <w:r>
              <w:rPr>
                <w:rFonts w:hint="eastAsia" w:ascii="宋体" w:hAnsi="宋体" w:cs="宋体"/>
                <w:color w:val="auto"/>
                <w:kern w:val="2"/>
                <w:sz w:val="21"/>
                <w:szCs w:val="21"/>
                <w:highlight w:val="none"/>
                <w:lang w:val="en-US" w:eastAsia="zh-CN"/>
              </w:rPr>
              <w:t>差的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-0]分</w:t>
            </w:r>
            <w:r>
              <w:rPr>
                <w:rFonts w:hint="eastAsia" w:ascii="宋体" w:hAnsi="宋体" w:eastAsia="宋体" w:cs="宋体"/>
                <w:color w:val="auto"/>
                <w:szCs w:val="21"/>
                <w:highlight w:val="none"/>
                <w:lang w:eastAsia="zh-CN"/>
              </w:rPr>
              <w:t>。</w:t>
            </w:r>
          </w:p>
        </w:tc>
        <w:tc>
          <w:tcPr>
            <w:tcW w:w="438" w:type="pct"/>
            <w:tcBorders>
              <w:top w:val="single" w:color="auto" w:sz="4" w:space="0"/>
              <w:left w:val="single" w:color="auto" w:sz="4" w:space="0"/>
              <w:right w:val="single" w:color="auto" w:sz="4" w:space="0"/>
            </w:tcBorders>
            <w:noWrap w:val="0"/>
            <w:vAlign w:val="center"/>
          </w:tcPr>
          <w:p w14:paraId="304A8AD1">
            <w:pPr>
              <w:pStyle w:val="194"/>
              <w:keepNext w:val="0"/>
              <w:tabs>
                <w:tab w:val="left" w:pos="585"/>
                <w:tab w:val="left" w:pos="680"/>
              </w:tabs>
              <w:snapToGrid w:val="0"/>
              <w:spacing w:after="0"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3CAB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Merge w:val="continue"/>
            <w:tcBorders>
              <w:left w:val="single" w:color="auto" w:sz="4" w:space="0"/>
              <w:right w:val="single" w:color="auto" w:sz="4" w:space="0"/>
            </w:tcBorders>
            <w:noWrap w:val="0"/>
            <w:vAlign w:val="center"/>
          </w:tcPr>
          <w:p w14:paraId="5FF5A24A">
            <w:pPr>
              <w:snapToGrid w:val="0"/>
              <w:spacing w:line="360" w:lineRule="auto"/>
              <w:jc w:val="center"/>
              <w:rPr>
                <w:rFonts w:hint="eastAsia" w:ascii="宋体" w:hAnsi="宋体" w:eastAsia="宋体" w:cs="宋体"/>
                <w:color w:val="auto"/>
                <w:sz w:val="21"/>
                <w:szCs w:val="21"/>
                <w:highlight w:val="none"/>
              </w:rPr>
            </w:pPr>
          </w:p>
        </w:tc>
        <w:tc>
          <w:tcPr>
            <w:tcW w:w="546" w:type="pct"/>
            <w:vMerge w:val="continue"/>
            <w:tcBorders>
              <w:left w:val="single" w:color="auto" w:sz="4" w:space="0"/>
              <w:right w:val="single" w:color="auto" w:sz="4" w:space="0"/>
            </w:tcBorders>
            <w:noWrap w:val="0"/>
            <w:vAlign w:val="center"/>
          </w:tcPr>
          <w:p w14:paraId="04D0BB15">
            <w:pPr>
              <w:pStyle w:val="194"/>
              <w:keepNext w:val="0"/>
              <w:tabs>
                <w:tab w:val="left" w:pos="585"/>
                <w:tab w:val="left" w:pos="680"/>
              </w:tabs>
              <w:spacing w:after="0" w:line="360" w:lineRule="auto"/>
              <w:jc w:val="center"/>
              <w:rPr>
                <w:rFonts w:hint="eastAsia" w:ascii="宋体" w:hAnsi="宋体" w:eastAsia="宋体" w:cs="宋体"/>
                <w:color w:val="auto"/>
                <w:szCs w:val="21"/>
                <w:highlight w:val="none"/>
              </w:rPr>
            </w:pPr>
          </w:p>
        </w:tc>
        <w:tc>
          <w:tcPr>
            <w:tcW w:w="3701" w:type="pct"/>
            <w:tcBorders>
              <w:top w:val="single" w:color="auto" w:sz="4" w:space="0"/>
              <w:left w:val="single" w:color="auto" w:sz="4" w:space="0"/>
              <w:bottom w:val="single" w:color="auto" w:sz="4" w:space="0"/>
              <w:right w:val="single" w:color="auto" w:sz="4" w:space="0"/>
            </w:tcBorders>
            <w:noWrap w:val="0"/>
            <w:vAlign w:val="center"/>
          </w:tcPr>
          <w:p w14:paraId="3748B865">
            <w:pPr>
              <w:pStyle w:val="194"/>
              <w:keepNext w:val="0"/>
              <w:tabs>
                <w:tab w:val="left" w:pos="585"/>
                <w:tab w:val="left" w:pos="680"/>
              </w:tabs>
              <w:spacing w:after="0"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投标人或投标人投标产品制造商</w:t>
            </w:r>
            <w:r>
              <w:rPr>
                <w:rFonts w:hint="eastAsia" w:ascii="宋体" w:hAnsi="宋体" w:eastAsia="宋体" w:cs="宋体"/>
                <w:color w:val="auto"/>
                <w:szCs w:val="21"/>
                <w:highlight w:val="none"/>
                <w:lang w:val="en-US" w:eastAsia="zh-CN"/>
              </w:rPr>
              <w:t>的检测人员每</w:t>
            </w:r>
            <w:r>
              <w:rPr>
                <w:rFonts w:hint="eastAsia" w:ascii="宋体" w:hAnsi="宋体" w:eastAsia="宋体" w:cs="宋体"/>
                <w:color w:val="auto"/>
                <w:szCs w:val="21"/>
                <w:highlight w:val="none"/>
                <w:lang w:eastAsia="zh-CN"/>
              </w:rPr>
              <w:t>配</w:t>
            </w:r>
            <w:r>
              <w:rPr>
                <w:rFonts w:hint="eastAsia" w:ascii="宋体" w:hAnsi="宋体" w:eastAsia="宋体" w:cs="宋体"/>
                <w:color w:val="auto"/>
                <w:szCs w:val="21"/>
                <w:highlight w:val="none"/>
                <w:lang w:val="en-US" w:eastAsia="zh-CN"/>
              </w:rPr>
              <w:t>备</w:t>
            </w:r>
            <w:r>
              <w:rPr>
                <w:rFonts w:hint="eastAsia" w:ascii="宋体" w:hAnsi="宋体" w:eastAsia="宋体" w:cs="宋体"/>
                <w:color w:val="auto"/>
                <w:szCs w:val="21"/>
                <w:highlight w:val="none"/>
                <w:lang w:eastAsia="zh-CN"/>
              </w:rPr>
              <w:t>有</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名化学检测或相关的职称证或上岗合格证或培训证的专职检测人员的得1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分，本子项满分</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分。</w:t>
            </w:r>
          </w:p>
          <w:p w14:paraId="21C60903">
            <w:pPr>
              <w:pStyle w:val="194"/>
              <w:keepNext w:val="0"/>
              <w:tabs>
                <w:tab w:val="left" w:pos="585"/>
                <w:tab w:val="left" w:pos="680"/>
              </w:tabs>
              <w:spacing w:after="0" w:line="360"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1B6BBB4E">
            <w:pPr>
              <w:pStyle w:val="194"/>
              <w:keepNext w:val="0"/>
              <w:tabs>
                <w:tab w:val="left" w:pos="585"/>
                <w:tab w:val="left" w:pos="680"/>
              </w:tabs>
              <w:spacing w:after="0"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必须提供上述人员资格证书（或注册/执业/岗位证书/技术职称/培训证）以及提供</w:t>
            </w:r>
            <w:r>
              <w:rPr>
                <w:rFonts w:hint="eastAsia" w:ascii="宋体" w:hAnsi="宋体" w:eastAsia="宋体" w:cs="宋体"/>
                <w:b/>
                <w:bCs/>
                <w:color w:val="auto"/>
                <w:szCs w:val="21"/>
                <w:highlight w:val="none"/>
                <w:lang w:val="zh-CN" w:eastAsia="zh-CN"/>
              </w:rPr>
              <w:t>人力资源和社会保障部门（或税务部门）出具的2</w:t>
            </w:r>
            <w:r>
              <w:rPr>
                <w:rFonts w:hint="eastAsia" w:ascii="宋体" w:hAnsi="宋体" w:eastAsia="宋体" w:cs="宋体"/>
                <w:b/>
                <w:bCs/>
                <w:color w:val="auto"/>
                <w:szCs w:val="21"/>
                <w:highlight w:val="none"/>
                <w:lang w:eastAsia="zh-CN"/>
              </w:rPr>
              <w:t>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eastAsia="zh-CN"/>
              </w:rPr>
              <w:t>年</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eastAsia="zh-CN"/>
              </w:rPr>
              <w:t>月投标人或投标人投标产品制造商</w:t>
            </w:r>
            <w:r>
              <w:rPr>
                <w:rFonts w:hint="eastAsia" w:ascii="宋体" w:hAnsi="宋体" w:eastAsia="宋体" w:cs="宋体"/>
                <w:b/>
                <w:bCs/>
                <w:color w:val="auto"/>
                <w:szCs w:val="21"/>
                <w:highlight w:val="none"/>
                <w:lang w:val="zh-CN" w:eastAsia="zh-CN"/>
              </w:rPr>
              <w:t>为其缴纳的社保证明复印件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否则</w:t>
            </w:r>
            <w:r>
              <w:rPr>
                <w:rFonts w:hint="eastAsia" w:ascii="宋体" w:hAnsi="宋体" w:eastAsia="宋体" w:cs="宋体"/>
                <w:b/>
                <w:bCs/>
                <w:color w:val="auto"/>
                <w:szCs w:val="21"/>
                <w:highlight w:val="none"/>
                <w:lang w:eastAsia="zh-CN"/>
              </w:rPr>
              <w:t>不得分。</w:t>
            </w:r>
          </w:p>
        </w:tc>
        <w:tc>
          <w:tcPr>
            <w:tcW w:w="438" w:type="pct"/>
            <w:tcBorders>
              <w:left w:val="single" w:color="auto" w:sz="4" w:space="0"/>
              <w:right w:val="single" w:color="auto" w:sz="4" w:space="0"/>
            </w:tcBorders>
            <w:noWrap w:val="0"/>
            <w:vAlign w:val="center"/>
          </w:tcPr>
          <w:p w14:paraId="4497EDA8">
            <w:pPr>
              <w:pStyle w:val="194"/>
              <w:keepNext w:val="0"/>
              <w:tabs>
                <w:tab w:val="left" w:pos="585"/>
                <w:tab w:val="left" w:pos="680"/>
              </w:tabs>
              <w:snapToGrid w:val="0"/>
              <w:spacing w:after="0"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3847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561" w:type="pct"/>
            <w:gridSpan w:val="3"/>
            <w:tcBorders>
              <w:top w:val="single" w:color="auto" w:sz="4" w:space="0"/>
              <w:left w:val="single" w:color="auto" w:sz="4" w:space="0"/>
              <w:bottom w:val="single" w:color="auto" w:sz="4" w:space="0"/>
              <w:right w:val="single" w:color="auto" w:sz="4" w:space="0"/>
            </w:tcBorders>
            <w:noWrap w:val="0"/>
            <w:vAlign w:val="center"/>
          </w:tcPr>
          <w:p w14:paraId="40EC6849">
            <w:pPr>
              <w:pStyle w:val="194"/>
              <w:keepNext w:val="0"/>
              <w:tabs>
                <w:tab w:val="left" w:pos="585"/>
                <w:tab w:val="left" w:pos="680"/>
              </w:tabs>
              <w:snapToGrid w:val="0"/>
              <w:spacing w:after="0"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技术总分</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71561ED">
            <w:pPr>
              <w:pStyle w:val="194"/>
              <w:keepNext w:val="0"/>
              <w:tabs>
                <w:tab w:val="left" w:pos="585"/>
                <w:tab w:val="left" w:pos="680"/>
              </w:tabs>
              <w:snapToGrid w:val="0"/>
              <w:spacing w:after="0" w:line="360" w:lineRule="auto"/>
              <w:jc w:val="center"/>
              <w:rPr>
                <w:rFonts w:hint="eastAsia" w:ascii="宋体" w:hAnsi="宋体" w:eastAsia="宋体" w:cs="宋体"/>
                <w:b/>
                <w:bCs/>
                <w:color w:val="auto"/>
                <w:szCs w:val="21"/>
                <w:highlight w:val="none"/>
                <w:lang w:val="zh-CN"/>
              </w:rPr>
            </w:pPr>
            <w:r>
              <w:rPr>
                <w:rFonts w:hint="eastAsia" w:ascii="宋体" w:hAnsi="宋体" w:cs="宋体"/>
                <w:b/>
                <w:bCs/>
                <w:color w:val="auto"/>
                <w:szCs w:val="21"/>
                <w:highlight w:val="none"/>
                <w:lang w:val="en-US" w:eastAsia="zh-CN"/>
              </w:rPr>
              <w:t>20</w:t>
            </w:r>
            <w:r>
              <w:rPr>
                <w:rFonts w:hint="eastAsia" w:ascii="宋体" w:hAnsi="宋体" w:eastAsia="宋体" w:cs="宋体"/>
                <w:b/>
                <w:bCs/>
                <w:color w:val="auto"/>
                <w:szCs w:val="21"/>
                <w:highlight w:val="none"/>
                <w:lang w:val="zh-CN"/>
              </w:rPr>
              <w:t>分</w:t>
            </w:r>
          </w:p>
        </w:tc>
      </w:tr>
    </w:tbl>
    <w:p w14:paraId="233B2CD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C3510C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22D8A7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656FA85E">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096E09E4">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81AD313">
      <w:pPr>
        <w:tabs>
          <w:tab w:val="left" w:pos="1701"/>
        </w:tabs>
        <w:autoSpaceDE w:val="0"/>
        <w:autoSpaceDN w:val="0"/>
        <w:adjustRightInd w:val="0"/>
        <w:spacing w:line="360" w:lineRule="auto"/>
        <w:outlineLvl w:val="9"/>
        <w:rPr>
          <w:rFonts w:ascii="宋体" w:hAnsi="宋体" w:eastAsia="宋体" w:cs="宋体"/>
          <w:b/>
          <w:color w:val="auto"/>
          <w:szCs w:val="24"/>
          <w:highlight w:val="none"/>
          <w:lang w:val="zh-CN"/>
        </w:rPr>
      </w:pPr>
      <w:bookmarkStart w:id="965" w:name="_Toc30732"/>
      <w:bookmarkStart w:id="966" w:name="_Toc2698"/>
      <w:r>
        <w:rPr>
          <w:rFonts w:hint="eastAsia" w:ascii="宋体" w:hAnsi="宋体" w:eastAsia="宋体" w:cs="宋体"/>
          <w:b/>
          <w:color w:val="auto"/>
          <w:szCs w:val="24"/>
          <w:highlight w:val="none"/>
          <w:lang w:val="zh-CN"/>
        </w:rPr>
        <w:t>（3）价格评分方法</w:t>
      </w:r>
      <w:bookmarkEnd w:id="965"/>
      <w:bookmarkEnd w:id="966"/>
    </w:p>
    <w:p w14:paraId="1D1B18E7">
      <w:pPr>
        <w:spacing w:line="360" w:lineRule="auto"/>
        <w:ind w:left="480" w:firstLine="211" w:firstLineChars="100"/>
        <w:outlineLvl w:val="9"/>
        <w:rPr>
          <w:rFonts w:ascii="宋体" w:hAnsi="宋体" w:eastAsia="宋体" w:cs="宋体"/>
          <w:b/>
          <w:bCs/>
          <w:color w:val="auto"/>
          <w:kern w:val="0"/>
          <w:szCs w:val="21"/>
          <w:highlight w:val="none"/>
          <w:lang w:val="zh-CN"/>
        </w:rPr>
      </w:pPr>
      <w:bookmarkStart w:id="967" w:name="_Toc10044"/>
      <w:bookmarkStart w:id="968" w:name="_Toc24693"/>
      <w:r>
        <w:rPr>
          <w:rFonts w:hint="eastAsia" w:ascii="宋体" w:hAnsi="宋体" w:eastAsia="宋体" w:cs="宋体"/>
          <w:b/>
          <w:bCs/>
          <w:color w:val="auto"/>
          <w:kern w:val="0"/>
          <w:szCs w:val="28"/>
          <w:highlight w:val="none"/>
          <w:lang w:val="zh-CN"/>
        </w:rPr>
        <w:t>1）经济文件的符合性审查</w:t>
      </w:r>
      <w:bookmarkEnd w:id="967"/>
      <w:bookmarkEnd w:id="968"/>
      <w:r>
        <w:rPr>
          <w:rFonts w:hint="eastAsia" w:ascii="宋体" w:hAnsi="宋体" w:eastAsia="宋体" w:cs="宋体"/>
          <w:b/>
          <w:bCs/>
          <w:color w:val="auto"/>
          <w:kern w:val="0"/>
          <w:szCs w:val="28"/>
          <w:highlight w:val="none"/>
          <w:lang w:val="zh-CN"/>
        </w:rPr>
        <w:t xml:space="preserve"> </w:t>
      </w:r>
    </w:p>
    <w:p w14:paraId="20D0D1B6">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632EE3F">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3EFE630D">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49BA995E">
      <w:pPr>
        <w:spacing w:line="360" w:lineRule="auto"/>
        <w:ind w:left="420" w:leftChars="200" w:firstLine="420" w:firstLineChars="200"/>
        <w:rPr>
          <w:rFonts w:ascii="宋体" w:hAnsi="宋体" w:eastAsia="宋体" w:cs="宋体"/>
          <w:color w:val="auto"/>
          <w:kern w:val="0"/>
          <w:szCs w:val="21"/>
          <w:highlight w:val="none"/>
          <w:lang w:val="zh-CN"/>
        </w:rPr>
      </w:pPr>
    </w:p>
    <w:p w14:paraId="57A2CDD5">
      <w:pPr>
        <w:spacing w:line="360" w:lineRule="auto"/>
        <w:ind w:left="480" w:firstLine="211" w:firstLineChars="100"/>
        <w:outlineLvl w:val="9"/>
        <w:rPr>
          <w:rFonts w:ascii="宋体" w:hAnsi="宋体" w:eastAsia="宋体" w:cs="宋体"/>
          <w:b/>
          <w:bCs/>
          <w:color w:val="auto"/>
          <w:kern w:val="0"/>
          <w:szCs w:val="21"/>
          <w:highlight w:val="none"/>
        </w:rPr>
      </w:pPr>
      <w:bookmarkStart w:id="969" w:name="_Toc11692"/>
      <w:bookmarkStart w:id="970" w:name="_Toc8062"/>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60</w:t>
      </w:r>
      <w:r>
        <w:rPr>
          <w:rFonts w:hint="eastAsia" w:ascii="宋体" w:hAnsi="宋体" w:eastAsia="宋体" w:cs="宋体"/>
          <w:b/>
          <w:bCs/>
          <w:color w:val="auto"/>
          <w:kern w:val="0"/>
          <w:szCs w:val="21"/>
          <w:highlight w:val="none"/>
          <w:lang w:val="zh-CN"/>
        </w:rPr>
        <w:t>分</w:t>
      </w:r>
      <w:bookmarkEnd w:id="969"/>
      <w:bookmarkEnd w:id="970"/>
    </w:p>
    <w:p w14:paraId="7100BE01">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60</w:t>
      </w:r>
    </w:p>
    <w:p w14:paraId="04A3548B">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057D8753">
      <w:pPr>
        <w:tabs>
          <w:tab w:val="left" w:pos="585"/>
        </w:tabs>
        <w:autoSpaceDE w:val="0"/>
        <w:autoSpaceDN w:val="0"/>
        <w:adjustRightInd w:val="0"/>
        <w:spacing w:line="400" w:lineRule="exact"/>
        <w:outlineLvl w:val="9"/>
        <w:rPr>
          <w:rFonts w:ascii="宋体" w:hAnsi="宋体" w:eastAsia="宋体" w:cs="宋体"/>
          <w:b/>
          <w:color w:val="auto"/>
          <w:szCs w:val="21"/>
          <w:highlight w:val="none"/>
          <w:lang w:val="zh-CN"/>
        </w:rPr>
      </w:pPr>
      <w:bookmarkStart w:id="971" w:name="_Toc591"/>
      <w:bookmarkStart w:id="972" w:name="_Toc15924"/>
      <w:r>
        <w:rPr>
          <w:rFonts w:hint="eastAsia" w:ascii="宋体" w:hAnsi="宋体" w:eastAsia="宋体" w:cs="宋体"/>
          <w:b/>
          <w:color w:val="auto"/>
          <w:szCs w:val="21"/>
          <w:highlight w:val="none"/>
          <w:lang w:val="zh-CN"/>
        </w:rPr>
        <w:t>（4）综合得分</w:t>
      </w:r>
      <w:bookmarkEnd w:id="971"/>
      <w:bookmarkEnd w:id="972"/>
    </w:p>
    <w:p w14:paraId="78BBEF74">
      <w:pPr>
        <w:spacing w:line="400" w:lineRule="exact"/>
        <w:ind w:firstLine="848" w:firstLineChars="404"/>
        <w:rPr>
          <w:rFonts w:ascii="宋体" w:hAnsi="宋体" w:eastAsia="宋体" w:cs="宋体"/>
          <w:color w:val="auto"/>
          <w:kern w:val="0"/>
          <w:szCs w:val="28"/>
          <w:highlight w:val="none"/>
          <w:lang w:val="zh-CN"/>
        </w:rPr>
      </w:pPr>
      <w:bookmarkStart w:id="973" w:name="_Toc31624_WPSOffice_Level2"/>
      <w:r>
        <w:rPr>
          <w:rFonts w:hint="eastAsia" w:ascii="宋体" w:hAnsi="宋体" w:eastAsia="宋体" w:cs="宋体"/>
          <w:color w:val="auto"/>
          <w:kern w:val="0"/>
          <w:szCs w:val="28"/>
          <w:highlight w:val="none"/>
          <w:lang w:val="zh-CN"/>
        </w:rPr>
        <w:t>评标总得分=F1＋F2＋……+Fn</w:t>
      </w:r>
      <w:bookmarkEnd w:id="973"/>
    </w:p>
    <w:p w14:paraId="149BA53F">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974" w:name="_Toc13236_WPSOffice_Level2"/>
      <w:r>
        <w:rPr>
          <w:rFonts w:hint="eastAsia" w:ascii="宋体" w:hAnsi="宋体" w:eastAsia="宋体" w:cs="宋体"/>
          <w:color w:val="auto"/>
          <w:kern w:val="0"/>
          <w:szCs w:val="21"/>
          <w:highlight w:val="none"/>
        </w:rPr>
        <w:t>F1、F2、……Fn分别为各项评分因素的得分</w:t>
      </w:r>
      <w:bookmarkEnd w:id="974"/>
      <w:r>
        <w:rPr>
          <w:rFonts w:hint="eastAsia" w:ascii="宋体" w:hAnsi="宋体" w:eastAsia="宋体" w:cs="宋体"/>
          <w:color w:val="auto"/>
          <w:kern w:val="0"/>
          <w:szCs w:val="21"/>
          <w:highlight w:val="none"/>
        </w:rPr>
        <w:t>。</w:t>
      </w:r>
    </w:p>
    <w:p w14:paraId="633D2E3B">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3D4BA0B6">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975" w:name="_Toc5122"/>
      <w:bookmarkStart w:id="976" w:name="_Toc518_WPSOffice_Level1"/>
      <w:bookmarkStart w:id="977" w:name="_Toc16590"/>
      <w:r>
        <w:rPr>
          <w:rFonts w:hint="eastAsia" w:ascii="宋体" w:hAnsi="宋体" w:eastAsia="宋体" w:cs="宋体"/>
          <w:b/>
          <w:bCs/>
          <w:color w:val="auto"/>
          <w:sz w:val="28"/>
          <w:szCs w:val="28"/>
          <w:highlight w:val="none"/>
          <w:lang w:val="zh-CN"/>
        </w:rPr>
        <w:t>五、推荐中标人</w:t>
      </w:r>
      <w:bookmarkEnd w:id="975"/>
      <w:bookmarkEnd w:id="976"/>
      <w:bookmarkEnd w:id="977"/>
    </w:p>
    <w:p w14:paraId="25B0E58A">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4A8B7E6">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52CC14C">
      <w:pPr>
        <w:widowControl/>
        <w:spacing w:line="360" w:lineRule="auto"/>
        <w:jc w:val="left"/>
        <w:rPr>
          <w:rFonts w:ascii="宋体" w:hAnsi="宋体" w:eastAsia="宋体" w:cs="宋体"/>
          <w:color w:val="auto"/>
          <w:kern w:val="0"/>
          <w:szCs w:val="21"/>
          <w:highlight w:val="none"/>
        </w:rPr>
      </w:pPr>
    </w:p>
    <w:p w14:paraId="65BC988F">
      <w:pPr>
        <w:autoSpaceDE w:val="0"/>
        <w:autoSpaceDN w:val="0"/>
        <w:adjustRightInd w:val="0"/>
        <w:spacing w:line="360" w:lineRule="auto"/>
        <w:ind w:left="185" w:leftChars="88" w:firstLine="3443" w:firstLineChars="1225"/>
        <w:outlineLvl w:val="9"/>
        <w:rPr>
          <w:rFonts w:ascii="宋体" w:hAnsi="宋体" w:eastAsia="宋体" w:cs="宋体"/>
          <w:b/>
          <w:bCs/>
          <w:color w:val="auto"/>
          <w:sz w:val="28"/>
          <w:szCs w:val="28"/>
          <w:highlight w:val="none"/>
          <w:lang w:val="zh-CN"/>
        </w:rPr>
      </w:pPr>
      <w:bookmarkStart w:id="978" w:name="_Toc22724_WPSOffice_Level1"/>
      <w:bookmarkStart w:id="979" w:name="_Toc32056"/>
      <w:bookmarkStart w:id="980" w:name="_Toc8900"/>
      <w:r>
        <w:rPr>
          <w:rFonts w:hint="eastAsia" w:ascii="宋体" w:hAnsi="宋体" w:eastAsia="宋体" w:cs="宋体"/>
          <w:b/>
          <w:bCs/>
          <w:color w:val="auto"/>
          <w:sz w:val="28"/>
          <w:szCs w:val="28"/>
          <w:highlight w:val="none"/>
          <w:lang w:val="zh-CN"/>
        </w:rPr>
        <w:t>六、编写评标报告</w:t>
      </w:r>
      <w:bookmarkEnd w:id="978"/>
      <w:bookmarkEnd w:id="979"/>
      <w:bookmarkEnd w:id="980"/>
    </w:p>
    <w:p w14:paraId="0FE23514">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C8D962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2EB3A79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58865A3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3DC1598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777CA95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1E5BD27F">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77A9A043">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7619DF62">
      <w:pPr>
        <w:autoSpaceDE w:val="0"/>
        <w:autoSpaceDN w:val="0"/>
        <w:adjustRightInd w:val="0"/>
        <w:spacing w:line="360" w:lineRule="auto"/>
        <w:jc w:val="center"/>
        <w:outlineLvl w:val="9"/>
        <w:rPr>
          <w:rFonts w:ascii="宋体" w:hAnsi="宋体" w:eastAsia="宋体" w:cs="宋体"/>
          <w:b/>
          <w:bCs/>
          <w:color w:val="auto"/>
          <w:sz w:val="30"/>
          <w:szCs w:val="30"/>
          <w:highlight w:val="none"/>
          <w:lang w:val="zh-CN"/>
        </w:rPr>
      </w:pPr>
      <w:bookmarkStart w:id="981" w:name="_Toc6659"/>
      <w:bookmarkStart w:id="982" w:name="_Toc23773_WPSOffice_Level1"/>
      <w:bookmarkStart w:id="983" w:name="_Toc4833"/>
      <w:r>
        <w:rPr>
          <w:rFonts w:hint="eastAsia" w:ascii="宋体" w:hAnsi="宋体" w:eastAsia="宋体" w:cs="宋体"/>
          <w:b/>
          <w:bCs/>
          <w:color w:val="auto"/>
          <w:sz w:val="28"/>
          <w:szCs w:val="28"/>
          <w:highlight w:val="none"/>
          <w:lang w:val="zh-CN"/>
        </w:rPr>
        <w:t>七、注意事项</w:t>
      </w:r>
      <w:bookmarkEnd w:id="981"/>
      <w:bookmarkEnd w:id="982"/>
      <w:bookmarkEnd w:id="983"/>
    </w:p>
    <w:p w14:paraId="55639A45">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5903F31E">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371807F6">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bookmarkStart w:id="984" w:name="_Toc30092"/>
      <w:bookmarkStart w:id="985" w:name="_Toc12668"/>
      <w:r>
        <w:rPr>
          <w:rFonts w:hint="eastAsia" w:ascii="宋体" w:hAnsi="宋体" w:eastAsia="宋体" w:cs="宋体"/>
          <w:color w:val="auto"/>
          <w:szCs w:val="24"/>
          <w:highlight w:val="none"/>
          <w:lang w:val="zh-CN"/>
        </w:rPr>
        <w:t>（2）评审人员及工作人员不得在公共场合谈论有关评审内容；</w:t>
      </w:r>
      <w:bookmarkEnd w:id="984"/>
      <w:bookmarkEnd w:id="985"/>
    </w:p>
    <w:p w14:paraId="2C8509C9">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7E01A77">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4E3BAF2">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bookmarkStart w:id="986" w:name="_Toc13755"/>
      <w:bookmarkStart w:id="987" w:name="_Toc23538"/>
      <w:r>
        <w:rPr>
          <w:rFonts w:hint="eastAsia" w:ascii="宋体" w:hAnsi="宋体" w:eastAsia="宋体" w:cs="宋体"/>
          <w:color w:val="auto"/>
          <w:szCs w:val="24"/>
          <w:highlight w:val="none"/>
          <w:lang w:val="zh-CN"/>
        </w:rPr>
        <w:t>（5）任何评审人员和工作人员不得对外公布评审的一切内容。</w:t>
      </w:r>
      <w:bookmarkEnd w:id="986"/>
      <w:bookmarkEnd w:id="987"/>
    </w:p>
    <w:bookmarkEnd w:id="878"/>
    <w:bookmarkEnd w:id="899"/>
    <w:bookmarkEnd w:id="900"/>
    <w:bookmarkEnd w:id="901"/>
    <w:p w14:paraId="7B4CA9DC">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A4679">
    <w:pPr>
      <w:pStyle w:val="26"/>
      <w:jc w:val="center"/>
    </w:pPr>
    <w:r>
      <w:rPr>
        <w:rFonts w:hint="eastAsia"/>
      </w:rPr>
      <w:t>第</w:t>
    </w:r>
    <w:r>
      <w:fldChar w:fldCharType="begin"/>
    </w:r>
    <w:r>
      <w:rPr>
        <w:rStyle w:val="41"/>
      </w:rPr>
      <w:instrText xml:space="preserve"> PAGE </w:instrText>
    </w:r>
    <w:r>
      <w:fldChar w:fldCharType="separate"/>
    </w:r>
    <w:r>
      <w:rPr>
        <w:rStyle w:val="41"/>
      </w:rPr>
      <w:t>35</w:t>
    </w:r>
    <w:r>
      <w:fldChar w:fldCharType="end"/>
    </w:r>
    <w:r>
      <w:rPr>
        <w:rStyle w:val="41"/>
        <w:rFonts w:hint="eastAsia"/>
      </w:rPr>
      <w:t>页，共</w:t>
    </w:r>
    <w:r>
      <w:fldChar w:fldCharType="begin"/>
    </w:r>
    <w:r>
      <w:rPr>
        <w:rStyle w:val="41"/>
      </w:rPr>
      <w:instrText xml:space="preserve"> NUMPAGES </w:instrText>
    </w:r>
    <w:r>
      <w:fldChar w:fldCharType="separate"/>
    </w:r>
    <w:r>
      <w:rPr>
        <w:rStyle w:val="41"/>
      </w:rPr>
      <w:t>115</w:t>
    </w:r>
    <w:r>
      <w:fldChar w:fldCharType="end"/>
    </w:r>
    <w:r>
      <w:rPr>
        <w:rStyle w:val="41"/>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5CF7A">
    <w:pPr>
      <w:pStyle w:val="26"/>
      <w:jc w:val="center"/>
    </w:pPr>
    <w:r>
      <w:rPr>
        <w:rFonts w:hint="eastAsia"/>
      </w:rPr>
      <w:t>第</w:t>
    </w:r>
    <w:r>
      <w:fldChar w:fldCharType="begin"/>
    </w:r>
    <w:r>
      <w:rPr>
        <w:rStyle w:val="41"/>
      </w:rPr>
      <w:instrText xml:space="preserve"> PAGE </w:instrText>
    </w:r>
    <w:r>
      <w:fldChar w:fldCharType="separate"/>
    </w:r>
    <w:r>
      <w:rPr>
        <w:rStyle w:val="41"/>
      </w:rPr>
      <w:t>35</w:t>
    </w:r>
    <w:r>
      <w:fldChar w:fldCharType="end"/>
    </w:r>
    <w:r>
      <w:rPr>
        <w:rStyle w:val="41"/>
        <w:rFonts w:hint="eastAsia"/>
      </w:rPr>
      <w:t>页，共</w:t>
    </w:r>
    <w:r>
      <w:fldChar w:fldCharType="begin"/>
    </w:r>
    <w:r>
      <w:rPr>
        <w:rStyle w:val="41"/>
      </w:rPr>
      <w:instrText xml:space="preserve"> NUMPAGES </w:instrText>
    </w:r>
    <w:r>
      <w:fldChar w:fldCharType="separate"/>
    </w:r>
    <w:r>
      <w:rPr>
        <w:rStyle w:val="41"/>
      </w:rPr>
      <w:t>115</w:t>
    </w:r>
    <w:r>
      <w:fldChar w:fldCharType="end"/>
    </w:r>
    <w:r>
      <w:rPr>
        <w:rStyle w:val="41"/>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60A22">
    <w:pPr>
      <w:pStyle w:val="26"/>
      <w:jc w:val="center"/>
    </w:pPr>
    <w:r>
      <w:rPr>
        <w:rFonts w:hint="eastAsia"/>
      </w:rPr>
      <w:t>第</w:t>
    </w:r>
    <w:r>
      <w:fldChar w:fldCharType="begin"/>
    </w:r>
    <w:r>
      <w:rPr>
        <w:rStyle w:val="41"/>
      </w:rPr>
      <w:instrText xml:space="preserve"> PAGE </w:instrText>
    </w:r>
    <w:r>
      <w:fldChar w:fldCharType="separate"/>
    </w:r>
    <w:r>
      <w:rPr>
        <w:rStyle w:val="41"/>
      </w:rPr>
      <w:t>35</w:t>
    </w:r>
    <w:r>
      <w:fldChar w:fldCharType="end"/>
    </w:r>
    <w:r>
      <w:rPr>
        <w:rStyle w:val="41"/>
        <w:rFonts w:hint="eastAsia"/>
      </w:rPr>
      <w:t>页，共</w:t>
    </w:r>
    <w:r>
      <w:fldChar w:fldCharType="begin"/>
    </w:r>
    <w:r>
      <w:rPr>
        <w:rStyle w:val="41"/>
      </w:rPr>
      <w:instrText xml:space="preserve"> NUMPAGES </w:instrText>
    </w:r>
    <w:r>
      <w:fldChar w:fldCharType="separate"/>
    </w:r>
    <w:r>
      <w:rPr>
        <w:rStyle w:val="41"/>
      </w:rPr>
      <w:t>115</w:t>
    </w:r>
    <w:r>
      <w:fldChar w:fldCharType="end"/>
    </w:r>
    <w:r>
      <w:rPr>
        <w:rStyle w:val="41"/>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D878">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4C4A">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220C0">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7F1C9372">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B7A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73922"/>
    <w:multiLevelType w:val="singleLevel"/>
    <w:tmpl w:val="B4273922"/>
    <w:lvl w:ilvl="0" w:tentative="0">
      <w:start w:val="3"/>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4C114D"/>
    <w:multiLevelType w:val="multilevel"/>
    <w:tmpl w:val="4A4C114D"/>
    <w:lvl w:ilvl="0" w:tentative="0">
      <w:start w:val="1"/>
      <w:numFmt w:val="decimal"/>
      <w:suff w:val="nothing"/>
      <w:lvlText w:val="%1、"/>
      <w:lvlJc w:val="left"/>
      <w:pPr>
        <w:ind w:left="0" w:firstLine="0"/>
      </w:pPr>
      <w:rPr>
        <w:rFonts w:hint="default" w:ascii="宋体" w:hAnsi="宋体" w:eastAsia="宋体" w:cs="Times New Roman"/>
        <w:sz w:val="21"/>
        <w:szCs w:val="21"/>
      </w:rPr>
    </w:lvl>
    <w:lvl w:ilvl="1" w:tentative="0">
      <w:start w:val="1"/>
      <w:numFmt w:val="decimal"/>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B274E8D"/>
    <w:multiLevelType w:val="multilevel"/>
    <w:tmpl w:val="4B274E8D"/>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03F6"/>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3BE3"/>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8C5"/>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4E68F9"/>
    <w:rsid w:val="0250441F"/>
    <w:rsid w:val="02FE5AC7"/>
    <w:rsid w:val="03EC63C9"/>
    <w:rsid w:val="041651F4"/>
    <w:rsid w:val="04637662"/>
    <w:rsid w:val="04CF627B"/>
    <w:rsid w:val="058F7720"/>
    <w:rsid w:val="06447858"/>
    <w:rsid w:val="068F3629"/>
    <w:rsid w:val="0696261C"/>
    <w:rsid w:val="06A75D00"/>
    <w:rsid w:val="07182CD3"/>
    <w:rsid w:val="076F17EB"/>
    <w:rsid w:val="07894344"/>
    <w:rsid w:val="079B6617"/>
    <w:rsid w:val="07A829A7"/>
    <w:rsid w:val="08623DEB"/>
    <w:rsid w:val="0865499C"/>
    <w:rsid w:val="091776A5"/>
    <w:rsid w:val="091E7F58"/>
    <w:rsid w:val="09914565"/>
    <w:rsid w:val="09D21BBD"/>
    <w:rsid w:val="0AC534D0"/>
    <w:rsid w:val="0B2B5A29"/>
    <w:rsid w:val="0B381EF4"/>
    <w:rsid w:val="0BBC48D3"/>
    <w:rsid w:val="0C7C092D"/>
    <w:rsid w:val="0CB40F86"/>
    <w:rsid w:val="0CD0550C"/>
    <w:rsid w:val="0CF103CF"/>
    <w:rsid w:val="0DC772CA"/>
    <w:rsid w:val="0DD95C10"/>
    <w:rsid w:val="0E9225A3"/>
    <w:rsid w:val="0EAC0DAA"/>
    <w:rsid w:val="0EAC63BD"/>
    <w:rsid w:val="0F241091"/>
    <w:rsid w:val="0F721927"/>
    <w:rsid w:val="0FC15468"/>
    <w:rsid w:val="106F0166"/>
    <w:rsid w:val="10D138C1"/>
    <w:rsid w:val="10FF7010"/>
    <w:rsid w:val="123A3264"/>
    <w:rsid w:val="12722D9F"/>
    <w:rsid w:val="12D6271E"/>
    <w:rsid w:val="130F4A87"/>
    <w:rsid w:val="132C233E"/>
    <w:rsid w:val="1347149A"/>
    <w:rsid w:val="138F2A4C"/>
    <w:rsid w:val="13B9206C"/>
    <w:rsid w:val="154E2462"/>
    <w:rsid w:val="167069E6"/>
    <w:rsid w:val="18611701"/>
    <w:rsid w:val="18B562BD"/>
    <w:rsid w:val="19017DC9"/>
    <w:rsid w:val="190873AA"/>
    <w:rsid w:val="19397AAF"/>
    <w:rsid w:val="193B694A"/>
    <w:rsid w:val="193F7E0B"/>
    <w:rsid w:val="19562772"/>
    <w:rsid w:val="19650456"/>
    <w:rsid w:val="19831126"/>
    <w:rsid w:val="1A996FE7"/>
    <w:rsid w:val="1AB865A1"/>
    <w:rsid w:val="1AE479A2"/>
    <w:rsid w:val="1B0940FF"/>
    <w:rsid w:val="1B1F6729"/>
    <w:rsid w:val="1B5A216D"/>
    <w:rsid w:val="1B973779"/>
    <w:rsid w:val="1C393D1E"/>
    <w:rsid w:val="1D6848BB"/>
    <w:rsid w:val="1D7B395F"/>
    <w:rsid w:val="1D8D43A1"/>
    <w:rsid w:val="1DAE4F95"/>
    <w:rsid w:val="1DF7063D"/>
    <w:rsid w:val="1E2471AC"/>
    <w:rsid w:val="1E3B5B2B"/>
    <w:rsid w:val="1EAA2CB1"/>
    <w:rsid w:val="1F096428"/>
    <w:rsid w:val="1FB21E1D"/>
    <w:rsid w:val="1FF1689E"/>
    <w:rsid w:val="203C5B8B"/>
    <w:rsid w:val="205C4E1A"/>
    <w:rsid w:val="207A1985"/>
    <w:rsid w:val="20B11AFB"/>
    <w:rsid w:val="20C279F7"/>
    <w:rsid w:val="20C31E08"/>
    <w:rsid w:val="211508B6"/>
    <w:rsid w:val="21375273"/>
    <w:rsid w:val="21B96FAA"/>
    <w:rsid w:val="21E14C3C"/>
    <w:rsid w:val="21E23C77"/>
    <w:rsid w:val="22850A36"/>
    <w:rsid w:val="239633BA"/>
    <w:rsid w:val="23BC326A"/>
    <w:rsid w:val="23C102FE"/>
    <w:rsid w:val="240370EB"/>
    <w:rsid w:val="24C745BD"/>
    <w:rsid w:val="24F45147"/>
    <w:rsid w:val="2500362B"/>
    <w:rsid w:val="252C01BD"/>
    <w:rsid w:val="25BC1C48"/>
    <w:rsid w:val="26A526DC"/>
    <w:rsid w:val="272950BB"/>
    <w:rsid w:val="276D7F6F"/>
    <w:rsid w:val="28177609"/>
    <w:rsid w:val="286E02B3"/>
    <w:rsid w:val="28704DBD"/>
    <w:rsid w:val="28B11B80"/>
    <w:rsid w:val="28CD7B64"/>
    <w:rsid w:val="28DA73F5"/>
    <w:rsid w:val="2900444B"/>
    <w:rsid w:val="2936671F"/>
    <w:rsid w:val="2947094F"/>
    <w:rsid w:val="298C6D5A"/>
    <w:rsid w:val="29A452B1"/>
    <w:rsid w:val="29C55A1E"/>
    <w:rsid w:val="29C95FE8"/>
    <w:rsid w:val="2A355B25"/>
    <w:rsid w:val="2A6E1037"/>
    <w:rsid w:val="2C300C99"/>
    <w:rsid w:val="2C483A6C"/>
    <w:rsid w:val="2C5E3D90"/>
    <w:rsid w:val="2C5F157F"/>
    <w:rsid w:val="2C6F395B"/>
    <w:rsid w:val="2C85114F"/>
    <w:rsid w:val="2C9E00E8"/>
    <w:rsid w:val="2CF202C8"/>
    <w:rsid w:val="2CFC2BFE"/>
    <w:rsid w:val="2D960361"/>
    <w:rsid w:val="2DB11966"/>
    <w:rsid w:val="2E0B257D"/>
    <w:rsid w:val="2F4F7689"/>
    <w:rsid w:val="2F6A0915"/>
    <w:rsid w:val="305D242A"/>
    <w:rsid w:val="314D028A"/>
    <w:rsid w:val="3191399B"/>
    <w:rsid w:val="31B3278A"/>
    <w:rsid w:val="3226381F"/>
    <w:rsid w:val="33332E1D"/>
    <w:rsid w:val="338D69D1"/>
    <w:rsid w:val="33DB598F"/>
    <w:rsid w:val="343D57A7"/>
    <w:rsid w:val="3489363D"/>
    <w:rsid w:val="352073D1"/>
    <w:rsid w:val="355530AA"/>
    <w:rsid w:val="355534E3"/>
    <w:rsid w:val="362221D1"/>
    <w:rsid w:val="364631D7"/>
    <w:rsid w:val="36672A7B"/>
    <w:rsid w:val="36703B69"/>
    <w:rsid w:val="368928C2"/>
    <w:rsid w:val="377F4482"/>
    <w:rsid w:val="3882786B"/>
    <w:rsid w:val="38E24A78"/>
    <w:rsid w:val="38E452E6"/>
    <w:rsid w:val="38EB56F8"/>
    <w:rsid w:val="393C6ED0"/>
    <w:rsid w:val="39475E40"/>
    <w:rsid w:val="397A6507"/>
    <w:rsid w:val="3AA800F8"/>
    <w:rsid w:val="3AF7708F"/>
    <w:rsid w:val="3B1F29B6"/>
    <w:rsid w:val="3B664D8A"/>
    <w:rsid w:val="3B6A4290"/>
    <w:rsid w:val="3B8B3748"/>
    <w:rsid w:val="3B8E088C"/>
    <w:rsid w:val="3B9971A7"/>
    <w:rsid w:val="3C337A30"/>
    <w:rsid w:val="3C9A3306"/>
    <w:rsid w:val="3CB74ABF"/>
    <w:rsid w:val="3CBA010B"/>
    <w:rsid w:val="3D1B504E"/>
    <w:rsid w:val="3DBA6422"/>
    <w:rsid w:val="3DE329CA"/>
    <w:rsid w:val="3E0E6961"/>
    <w:rsid w:val="3EA307B8"/>
    <w:rsid w:val="3F5B255F"/>
    <w:rsid w:val="3FA82A06"/>
    <w:rsid w:val="40337FBA"/>
    <w:rsid w:val="40BB32ED"/>
    <w:rsid w:val="410271DD"/>
    <w:rsid w:val="41055DF9"/>
    <w:rsid w:val="411C3A6B"/>
    <w:rsid w:val="413D3E30"/>
    <w:rsid w:val="416845DA"/>
    <w:rsid w:val="4199111F"/>
    <w:rsid w:val="41C51A2C"/>
    <w:rsid w:val="42443C11"/>
    <w:rsid w:val="42F53803"/>
    <w:rsid w:val="43533A05"/>
    <w:rsid w:val="43B50E83"/>
    <w:rsid w:val="43E81BAE"/>
    <w:rsid w:val="44027DCD"/>
    <w:rsid w:val="4416567B"/>
    <w:rsid w:val="44373EE2"/>
    <w:rsid w:val="44A02DC8"/>
    <w:rsid w:val="44E4041B"/>
    <w:rsid w:val="45181A63"/>
    <w:rsid w:val="452226EA"/>
    <w:rsid w:val="45350C77"/>
    <w:rsid w:val="45413006"/>
    <w:rsid w:val="45637592"/>
    <w:rsid w:val="45E30566"/>
    <w:rsid w:val="46827EEC"/>
    <w:rsid w:val="46E57892"/>
    <w:rsid w:val="47EB068E"/>
    <w:rsid w:val="4812253D"/>
    <w:rsid w:val="48DF421C"/>
    <w:rsid w:val="48F30C2D"/>
    <w:rsid w:val="491D3EFC"/>
    <w:rsid w:val="49677566"/>
    <w:rsid w:val="49767244"/>
    <w:rsid w:val="49D071C0"/>
    <w:rsid w:val="4A4308D9"/>
    <w:rsid w:val="4BF70A34"/>
    <w:rsid w:val="4BF74ED8"/>
    <w:rsid w:val="4C107D48"/>
    <w:rsid w:val="4C912C37"/>
    <w:rsid w:val="4D01672A"/>
    <w:rsid w:val="4D07114B"/>
    <w:rsid w:val="4D5D0D6B"/>
    <w:rsid w:val="4E437F61"/>
    <w:rsid w:val="4E86306A"/>
    <w:rsid w:val="4F076310"/>
    <w:rsid w:val="4F0A4599"/>
    <w:rsid w:val="4F542CEF"/>
    <w:rsid w:val="4F722D41"/>
    <w:rsid w:val="4FC83A29"/>
    <w:rsid w:val="4FCD1AFA"/>
    <w:rsid w:val="4FF129BB"/>
    <w:rsid w:val="505C7A00"/>
    <w:rsid w:val="506A76DE"/>
    <w:rsid w:val="508F34F0"/>
    <w:rsid w:val="51024103"/>
    <w:rsid w:val="516E106E"/>
    <w:rsid w:val="517257E8"/>
    <w:rsid w:val="51AE7211"/>
    <w:rsid w:val="5233158F"/>
    <w:rsid w:val="5257047F"/>
    <w:rsid w:val="526B3F2A"/>
    <w:rsid w:val="52B96A43"/>
    <w:rsid w:val="52F80915"/>
    <w:rsid w:val="53633425"/>
    <w:rsid w:val="53794425"/>
    <w:rsid w:val="53F210E7"/>
    <w:rsid w:val="54221D2C"/>
    <w:rsid w:val="54401085"/>
    <w:rsid w:val="54C47921"/>
    <w:rsid w:val="552533B3"/>
    <w:rsid w:val="55290B71"/>
    <w:rsid w:val="556F1EDE"/>
    <w:rsid w:val="55C41D5B"/>
    <w:rsid w:val="567D5C59"/>
    <w:rsid w:val="568802DB"/>
    <w:rsid w:val="56B37004"/>
    <w:rsid w:val="56D6358C"/>
    <w:rsid w:val="56F945D5"/>
    <w:rsid w:val="57325016"/>
    <w:rsid w:val="57385F05"/>
    <w:rsid w:val="582B2191"/>
    <w:rsid w:val="583059FA"/>
    <w:rsid w:val="585A57E2"/>
    <w:rsid w:val="59536EAF"/>
    <w:rsid w:val="59633BAD"/>
    <w:rsid w:val="59653481"/>
    <w:rsid w:val="59741916"/>
    <w:rsid w:val="59CB5746"/>
    <w:rsid w:val="5A096502"/>
    <w:rsid w:val="5A1522A3"/>
    <w:rsid w:val="5A355549"/>
    <w:rsid w:val="5A985AD8"/>
    <w:rsid w:val="5AE049A6"/>
    <w:rsid w:val="5B555EB2"/>
    <w:rsid w:val="5B5771CA"/>
    <w:rsid w:val="5BE12FA3"/>
    <w:rsid w:val="5BE74621"/>
    <w:rsid w:val="5C0F7D9A"/>
    <w:rsid w:val="5C51380A"/>
    <w:rsid w:val="5CA02A8F"/>
    <w:rsid w:val="5D123920"/>
    <w:rsid w:val="5D3031BF"/>
    <w:rsid w:val="5D637A40"/>
    <w:rsid w:val="5D6E241A"/>
    <w:rsid w:val="5D8866EC"/>
    <w:rsid w:val="5E9A42CD"/>
    <w:rsid w:val="5EBD49DD"/>
    <w:rsid w:val="5EBF421E"/>
    <w:rsid w:val="5F2071D7"/>
    <w:rsid w:val="5F3E6C4E"/>
    <w:rsid w:val="5F5279AD"/>
    <w:rsid w:val="5F59643E"/>
    <w:rsid w:val="5F5F6BC4"/>
    <w:rsid w:val="5F750ADC"/>
    <w:rsid w:val="5FF94923"/>
    <w:rsid w:val="60A305BA"/>
    <w:rsid w:val="60D20963"/>
    <w:rsid w:val="61354081"/>
    <w:rsid w:val="61B06EB5"/>
    <w:rsid w:val="62A31E55"/>
    <w:rsid w:val="62B13874"/>
    <w:rsid w:val="63672753"/>
    <w:rsid w:val="63EF49BB"/>
    <w:rsid w:val="645608DD"/>
    <w:rsid w:val="645779AB"/>
    <w:rsid w:val="654B3E73"/>
    <w:rsid w:val="65932297"/>
    <w:rsid w:val="65E62E7A"/>
    <w:rsid w:val="65EC0A86"/>
    <w:rsid w:val="663F32AC"/>
    <w:rsid w:val="665C5C0C"/>
    <w:rsid w:val="665F74AA"/>
    <w:rsid w:val="6794739E"/>
    <w:rsid w:val="67BB5990"/>
    <w:rsid w:val="6803153A"/>
    <w:rsid w:val="68060525"/>
    <w:rsid w:val="6864524C"/>
    <w:rsid w:val="68AE19C8"/>
    <w:rsid w:val="68D67EF7"/>
    <w:rsid w:val="6A22716C"/>
    <w:rsid w:val="6A33039E"/>
    <w:rsid w:val="6A677D3D"/>
    <w:rsid w:val="6A6D488B"/>
    <w:rsid w:val="6A8219B9"/>
    <w:rsid w:val="6AA656A7"/>
    <w:rsid w:val="6AAD178D"/>
    <w:rsid w:val="6AE606B8"/>
    <w:rsid w:val="6AE83F12"/>
    <w:rsid w:val="6BCB2E78"/>
    <w:rsid w:val="6CC649E7"/>
    <w:rsid w:val="6CE40709"/>
    <w:rsid w:val="6CED3A62"/>
    <w:rsid w:val="6D371FD1"/>
    <w:rsid w:val="6D970DCA"/>
    <w:rsid w:val="6D9F604C"/>
    <w:rsid w:val="6DF3710C"/>
    <w:rsid w:val="6E672517"/>
    <w:rsid w:val="6E9A19C7"/>
    <w:rsid w:val="6EAB3BD4"/>
    <w:rsid w:val="6EE90259"/>
    <w:rsid w:val="6EEE5F57"/>
    <w:rsid w:val="6F1E0908"/>
    <w:rsid w:val="6F3B4F58"/>
    <w:rsid w:val="6F5F71DE"/>
    <w:rsid w:val="6F6F261D"/>
    <w:rsid w:val="6FE74798"/>
    <w:rsid w:val="719B7311"/>
    <w:rsid w:val="71DC3BCF"/>
    <w:rsid w:val="72A03F09"/>
    <w:rsid w:val="738549F4"/>
    <w:rsid w:val="73D9089C"/>
    <w:rsid w:val="74111B80"/>
    <w:rsid w:val="743D7CF2"/>
    <w:rsid w:val="7503531D"/>
    <w:rsid w:val="75786D3D"/>
    <w:rsid w:val="76124539"/>
    <w:rsid w:val="76263B40"/>
    <w:rsid w:val="762F7565"/>
    <w:rsid w:val="765B79F0"/>
    <w:rsid w:val="77422BFC"/>
    <w:rsid w:val="77662180"/>
    <w:rsid w:val="77803CE6"/>
    <w:rsid w:val="77A94B1B"/>
    <w:rsid w:val="77C22748"/>
    <w:rsid w:val="781C3A7C"/>
    <w:rsid w:val="7820118F"/>
    <w:rsid w:val="78A70F68"/>
    <w:rsid w:val="78BE2756"/>
    <w:rsid w:val="78EC2E1F"/>
    <w:rsid w:val="78EC6FBD"/>
    <w:rsid w:val="79D3247C"/>
    <w:rsid w:val="7A1173D2"/>
    <w:rsid w:val="7A7C27E3"/>
    <w:rsid w:val="7BA22C1C"/>
    <w:rsid w:val="7C6C2EB0"/>
    <w:rsid w:val="7CC2481A"/>
    <w:rsid w:val="7CF60E01"/>
    <w:rsid w:val="7D6457E7"/>
    <w:rsid w:val="7DC73E5B"/>
    <w:rsid w:val="7DE247F1"/>
    <w:rsid w:val="7E350DC4"/>
    <w:rsid w:val="7E480426"/>
    <w:rsid w:val="7E536050"/>
    <w:rsid w:val="7E6B6EDC"/>
    <w:rsid w:val="7EDA196C"/>
    <w:rsid w:val="7EDD72DB"/>
    <w:rsid w:val="7F4100F9"/>
    <w:rsid w:val="7FA313D0"/>
    <w:rsid w:val="7FFA2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next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autoRedefine/>
    <w:unhideWhenUsed/>
    <w:qFormat/>
    <w:uiPriority w:val="99"/>
    <w:pPr>
      <w:jc w:val="left"/>
    </w:pPr>
  </w:style>
  <w:style w:type="paragraph" w:styleId="17">
    <w:name w:val="Body Text 3"/>
    <w:basedOn w:val="1"/>
    <w:link w:val="156"/>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8"/>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link w:val="92"/>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100"/>
    <w:autoRedefine/>
    <w:qFormat/>
    <w:uiPriority w:val="0"/>
    <w:rPr>
      <w:rFonts w:ascii="宋体" w:hAnsi="Courier New" w:eastAsia="宋体"/>
    </w:rPr>
  </w:style>
  <w:style w:type="paragraph" w:styleId="23">
    <w:name w:val="Date"/>
    <w:basedOn w:val="1"/>
    <w:next w:val="1"/>
    <w:link w:val="108"/>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1"/>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4"/>
    <w:autoRedefine/>
    <w:qFormat/>
    <w:uiPriority w:val="0"/>
    <w:rPr>
      <w:rFonts w:ascii="Times New Roman" w:hAnsi="Times New Roman" w:eastAsia="宋体" w:cs="Times New Roman"/>
      <w:sz w:val="18"/>
      <w:szCs w:val="18"/>
    </w:rPr>
  </w:style>
  <w:style w:type="paragraph" w:styleId="26">
    <w:name w:val="footer"/>
    <w:basedOn w:val="1"/>
    <w:link w:val="78"/>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0"/>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4"/>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semiHidden/>
    <w:unhideWhenUsed/>
    <w:qFormat/>
    <w:uiPriority w:val="39"/>
    <w:pPr>
      <w:ind w:left="420" w:leftChars="200"/>
    </w:pPr>
  </w:style>
  <w:style w:type="paragraph" w:styleId="32">
    <w:name w:val="Body Text 2"/>
    <w:basedOn w:val="1"/>
    <w:link w:val="143"/>
    <w:autoRedefine/>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3"/>
    <w:autoRedefine/>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8"/>
    <w:autoRedefine/>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0"/>
    <w:autoRedefine/>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page number"/>
    <w:qFormat/>
    <w:uiPriority w:val="0"/>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autoRedefine/>
    <w:qFormat/>
    <w:uiPriority w:val="99"/>
    <w:rPr>
      <w:sz w:val="21"/>
      <w:szCs w:val="21"/>
    </w:rPr>
  </w:style>
  <w:style w:type="paragraph" w:customStyle="1" w:styleId="46">
    <w:name w:val="首行缩进"/>
    <w:basedOn w:val="1"/>
    <w:autoRedefine/>
    <w:qFormat/>
    <w:uiPriority w:val="0"/>
    <w:pPr>
      <w:ind w:firstLine="480" w:firstLineChars="200"/>
    </w:pPr>
    <w:rPr>
      <w:lang w:val="zh-CN"/>
    </w:rPr>
  </w:style>
  <w:style w:type="character" w:customStyle="1" w:styleId="47">
    <w:name w:val="标题 1 字符"/>
    <w:basedOn w:val="39"/>
    <w:autoRedefine/>
    <w:qFormat/>
    <w:uiPriority w:val="0"/>
    <w:rPr>
      <w:b/>
      <w:bCs/>
      <w:kern w:val="44"/>
      <w:sz w:val="44"/>
      <w:szCs w:val="44"/>
    </w:rPr>
  </w:style>
  <w:style w:type="character" w:customStyle="1" w:styleId="48">
    <w:name w:val="标题 2 Char"/>
    <w:basedOn w:val="39"/>
    <w:link w:val="4"/>
    <w:autoRedefine/>
    <w:qFormat/>
    <w:uiPriority w:val="0"/>
    <w:rPr>
      <w:rFonts w:ascii="宋体" w:hAnsi="Calibri" w:eastAsia="宋体" w:cs="Times New Roman"/>
      <w:kern w:val="0"/>
      <w:sz w:val="24"/>
      <w:szCs w:val="24"/>
    </w:rPr>
  </w:style>
  <w:style w:type="character" w:customStyle="1" w:styleId="49">
    <w:name w:val="标题 3 字符"/>
    <w:basedOn w:val="39"/>
    <w:autoRedefine/>
    <w:qFormat/>
    <w:uiPriority w:val="0"/>
    <w:rPr>
      <w:b/>
      <w:bCs/>
      <w:sz w:val="32"/>
      <w:szCs w:val="32"/>
    </w:rPr>
  </w:style>
  <w:style w:type="character" w:customStyle="1" w:styleId="50">
    <w:name w:val="标题 4 Char1"/>
    <w:basedOn w:val="39"/>
    <w:link w:val="5"/>
    <w:autoRedefine/>
    <w:qFormat/>
    <w:uiPriority w:val="9"/>
    <w:rPr>
      <w:rFonts w:ascii="Arial" w:hAnsi="Arial" w:eastAsia="黑体" w:cs="Times New Roman"/>
      <w:b/>
      <w:bCs/>
      <w:kern w:val="0"/>
      <w:sz w:val="28"/>
      <w:szCs w:val="28"/>
    </w:rPr>
  </w:style>
  <w:style w:type="character" w:customStyle="1" w:styleId="51">
    <w:name w:val="标题 5 字符"/>
    <w:basedOn w:val="39"/>
    <w:autoRedefine/>
    <w:qFormat/>
    <w:uiPriority w:val="9"/>
    <w:rPr>
      <w:b/>
      <w:bCs/>
      <w:sz w:val="28"/>
      <w:szCs w:val="28"/>
    </w:rPr>
  </w:style>
  <w:style w:type="character" w:customStyle="1" w:styleId="52">
    <w:name w:val="标题 6 字符"/>
    <w:basedOn w:val="39"/>
    <w:autoRedefine/>
    <w:qFormat/>
    <w:uiPriority w:val="0"/>
    <w:rPr>
      <w:rFonts w:asciiTheme="majorHAnsi" w:hAnsiTheme="majorHAnsi" w:eastAsiaTheme="majorEastAsia" w:cstheme="majorBidi"/>
      <w:b/>
      <w:bCs/>
      <w:sz w:val="24"/>
      <w:szCs w:val="24"/>
    </w:rPr>
  </w:style>
  <w:style w:type="character" w:customStyle="1" w:styleId="53">
    <w:name w:val="标题 7 Char"/>
    <w:basedOn w:val="39"/>
    <w:link w:val="9"/>
    <w:autoRedefine/>
    <w:qFormat/>
    <w:uiPriority w:val="9"/>
    <w:rPr>
      <w:rFonts w:ascii="Times New Roman" w:hAnsi="Calibri" w:eastAsia="黑体" w:cs="Times New Roman"/>
      <w:b/>
      <w:bCs/>
      <w:kern w:val="0"/>
      <w:sz w:val="28"/>
      <w:szCs w:val="24"/>
    </w:rPr>
  </w:style>
  <w:style w:type="character" w:customStyle="1" w:styleId="54">
    <w:name w:val="标题 8 Char"/>
    <w:basedOn w:val="39"/>
    <w:link w:val="10"/>
    <w:qFormat/>
    <w:uiPriority w:val="9"/>
    <w:rPr>
      <w:rFonts w:ascii="Times New Roman" w:hAnsi="Calibri" w:eastAsia="黑体" w:cs="Times New Roman"/>
      <w:b/>
      <w:kern w:val="0"/>
      <w:sz w:val="28"/>
      <w:szCs w:val="24"/>
    </w:rPr>
  </w:style>
  <w:style w:type="character" w:customStyle="1" w:styleId="55">
    <w:name w:val="标题 9 Char"/>
    <w:basedOn w:val="39"/>
    <w:link w:val="11"/>
    <w:autoRedefine/>
    <w:qFormat/>
    <w:uiPriority w:val="9"/>
    <w:rPr>
      <w:rFonts w:ascii="Times New Roman" w:hAnsi="Calibri" w:eastAsia="黑体" w:cs="Times New Roman"/>
      <w:b/>
      <w:kern w:val="0"/>
      <w:sz w:val="28"/>
      <w:szCs w:val="24"/>
    </w:rPr>
  </w:style>
  <w:style w:type="character" w:customStyle="1" w:styleId="56">
    <w:name w:val="正文文本缩进 字符"/>
    <w:autoRedefine/>
    <w:qFormat/>
    <w:uiPriority w:val="0"/>
    <w:rPr>
      <w:rFonts w:ascii="Times New Roman" w:hAnsi="Times New Roman" w:eastAsia="宋体" w:cs="Times New Roman"/>
      <w:szCs w:val="20"/>
    </w:rPr>
  </w:style>
  <w:style w:type="character" w:customStyle="1" w:styleId="57">
    <w:name w:val="普通(网站) Char"/>
    <w:autoRedefine/>
    <w:qFormat/>
    <w:locked/>
    <w:uiPriority w:val="0"/>
    <w:rPr>
      <w:rFonts w:ascii="宋体" w:hAnsi="宋体"/>
      <w:sz w:val="15"/>
      <w:szCs w:val="15"/>
    </w:rPr>
  </w:style>
  <w:style w:type="character" w:customStyle="1" w:styleId="58">
    <w:name w:val="标题 Char"/>
    <w:link w:val="35"/>
    <w:autoRedefine/>
    <w:qFormat/>
    <w:uiPriority w:val="10"/>
    <w:rPr>
      <w:rFonts w:ascii="等线 Light" w:hAnsi="等线 Light" w:eastAsia="仿宋"/>
      <w:b/>
      <w:bCs/>
      <w:sz w:val="28"/>
      <w:szCs w:val="32"/>
    </w:rPr>
  </w:style>
  <w:style w:type="character" w:customStyle="1" w:styleId="59">
    <w:name w:val="日期 Char"/>
    <w:autoRedefine/>
    <w:semiHidden/>
    <w:qFormat/>
    <w:uiPriority w:val="99"/>
    <w:rPr>
      <w:kern w:val="2"/>
      <w:sz w:val="21"/>
    </w:rPr>
  </w:style>
  <w:style w:type="character" w:customStyle="1" w:styleId="60">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1">
    <w:name w:val="批注文字 Char"/>
    <w:autoRedefine/>
    <w:semiHidden/>
    <w:qFormat/>
    <w:uiPriority w:val="99"/>
    <w:rPr>
      <w:kern w:val="2"/>
      <w:sz w:val="21"/>
    </w:rPr>
  </w:style>
  <w:style w:type="character" w:customStyle="1" w:styleId="62">
    <w:name w:val="正文缩进2格 Char"/>
    <w:link w:val="63"/>
    <w:autoRedefine/>
    <w:qFormat/>
    <w:uiPriority w:val="0"/>
    <w:rPr>
      <w:rFonts w:ascii="仿宋_GB2312" w:hAnsi="宋体" w:eastAsia="仿宋_GB2312"/>
      <w:sz w:val="31"/>
      <w:szCs w:val="28"/>
    </w:rPr>
  </w:style>
  <w:style w:type="paragraph" w:customStyle="1" w:styleId="63">
    <w:name w:val="正文缩进2格"/>
    <w:basedOn w:val="1"/>
    <w:link w:val="62"/>
    <w:autoRedefine/>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autoRedefine/>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autoRedefine/>
    <w:semiHidden/>
    <w:qFormat/>
    <w:uiPriority w:val="99"/>
    <w:rPr>
      <w:rFonts w:ascii="宋体" w:hAnsi="Calibri" w:eastAsia="宋体" w:cs="Times New Roman"/>
      <w:kern w:val="0"/>
      <w:sz w:val="18"/>
      <w:szCs w:val="18"/>
    </w:rPr>
  </w:style>
  <w:style w:type="character" w:customStyle="1" w:styleId="67">
    <w:name w:val="List Paragraph Char"/>
    <w:link w:val="68"/>
    <w:autoRedefine/>
    <w:qFormat/>
    <w:uiPriority w:val="34"/>
    <w:rPr>
      <w:rFonts w:ascii="Calibri" w:hAnsi="Calibri"/>
    </w:rPr>
  </w:style>
  <w:style w:type="paragraph" w:customStyle="1" w:styleId="68">
    <w:name w:val="列出段落1"/>
    <w:basedOn w:val="1"/>
    <w:link w:val="67"/>
    <w:autoRedefine/>
    <w:qFormat/>
    <w:uiPriority w:val="34"/>
    <w:pPr>
      <w:ind w:firstLine="420" w:firstLineChars="200"/>
    </w:pPr>
    <w:rPr>
      <w:rFonts w:ascii="Calibri" w:hAnsi="Calibri"/>
    </w:rPr>
  </w:style>
  <w:style w:type="character" w:customStyle="1" w:styleId="69">
    <w:name w:val="标书正文 字符"/>
    <w:link w:val="70"/>
    <w:autoRedefine/>
    <w:qFormat/>
    <w:uiPriority w:val="0"/>
    <w:rPr>
      <w:rFonts w:ascii="Calibri" w:hAnsi="Calibri" w:eastAsia="仿宋"/>
      <w:sz w:val="24"/>
      <w:szCs w:val="21"/>
    </w:rPr>
  </w:style>
  <w:style w:type="paragraph" w:customStyle="1" w:styleId="70">
    <w:name w:val="标书正文"/>
    <w:basedOn w:val="1"/>
    <w:link w:val="69"/>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autoRedefine/>
    <w:semiHidden/>
    <w:qFormat/>
    <w:uiPriority w:val="99"/>
    <w:rPr>
      <w:rFonts w:ascii="Times New Roman" w:hAnsi="Times New Roman"/>
      <w:kern w:val="2"/>
      <w:sz w:val="24"/>
      <w:szCs w:val="24"/>
    </w:rPr>
  </w:style>
  <w:style w:type="character" w:customStyle="1" w:styleId="72">
    <w:name w:val="页脚 Char"/>
    <w:autoRedefine/>
    <w:qFormat/>
    <w:uiPriority w:val="0"/>
    <w:rPr>
      <w:kern w:val="2"/>
      <w:sz w:val="18"/>
      <w:szCs w:val="18"/>
    </w:rPr>
  </w:style>
  <w:style w:type="character" w:customStyle="1" w:styleId="73">
    <w:name w:val="neir1"/>
    <w:autoRedefine/>
    <w:qFormat/>
    <w:uiPriority w:val="0"/>
    <w:rPr>
      <w:rFonts w:hint="default" w:ascii="ˎ̥" w:hAnsi="ˎ̥"/>
      <w:color w:val="333333"/>
      <w:sz w:val="21"/>
      <w:szCs w:val="21"/>
      <w:u w:val="none"/>
    </w:rPr>
  </w:style>
  <w:style w:type="character" w:customStyle="1" w:styleId="74">
    <w:name w:val="批注框文本 Char1"/>
    <w:link w:val="25"/>
    <w:autoRedefine/>
    <w:qFormat/>
    <w:uiPriority w:val="0"/>
    <w:rPr>
      <w:rFonts w:ascii="Times New Roman" w:hAnsi="Times New Roman" w:eastAsia="宋体" w:cs="Times New Roman"/>
      <w:sz w:val="18"/>
      <w:szCs w:val="18"/>
    </w:rPr>
  </w:style>
  <w:style w:type="character" w:customStyle="1" w:styleId="75">
    <w:name w:val="正文文本 3 字符1"/>
    <w:autoRedefine/>
    <w:semiHidden/>
    <w:qFormat/>
    <w:uiPriority w:val="99"/>
    <w:rPr>
      <w:rFonts w:ascii="宋体" w:hAnsi="Calibri" w:eastAsia="宋体" w:cs="Times New Roman"/>
      <w:kern w:val="0"/>
      <w:sz w:val="16"/>
      <w:szCs w:val="16"/>
    </w:rPr>
  </w:style>
  <w:style w:type="character" w:customStyle="1" w:styleId="76">
    <w:name w:val="正文文本 字符3"/>
    <w:autoRedefine/>
    <w:semiHidden/>
    <w:qFormat/>
    <w:uiPriority w:val="99"/>
    <w:rPr>
      <w:rFonts w:ascii="宋体" w:hAnsi="Calibri" w:eastAsia="宋体" w:cs="Times New Roman"/>
      <w:kern w:val="0"/>
      <w:sz w:val="24"/>
      <w:szCs w:val="24"/>
    </w:rPr>
  </w:style>
  <w:style w:type="character" w:customStyle="1" w:styleId="77">
    <w:name w:val="日期 字符1"/>
    <w:autoRedefine/>
    <w:semiHidden/>
    <w:qFormat/>
    <w:uiPriority w:val="99"/>
    <w:rPr>
      <w:rFonts w:ascii="宋体" w:hAnsi="Calibri" w:eastAsia="宋体" w:cs="Times New Roman"/>
      <w:kern w:val="0"/>
      <w:sz w:val="24"/>
      <w:szCs w:val="24"/>
    </w:rPr>
  </w:style>
  <w:style w:type="character" w:customStyle="1" w:styleId="78">
    <w:name w:val="页脚 Char2"/>
    <w:link w:val="26"/>
    <w:autoRedefine/>
    <w:qFormat/>
    <w:uiPriority w:val="99"/>
    <w:rPr>
      <w:rFonts w:ascii="宋体" w:eastAsia="宋体"/>
      <w:sz w:val="18"/>
      <w:szCs w:val="18"/>
    </w:rPr>
  </w:style>
  <w:style w:type="character" w:customStyle="1" w:styleId="79">
    <w:name w:val="吉奥正文 Char"/>
    <w:link w:val="80"/>
    <w:autoRedefine/>
    <w:qFormat/>
    <w:locked/>
    <w:uiPriority w:val="0"/>
    <w:rPr>
      <w:rFonts w:eastAsia="仿宋_GB2312"/>
      <w:sz w:val="28"/>
    </w:rPr>
  </w:style>
  <w:style w:type="paragraph" w:customStyle="1" w:styleId="80">
    <w:name w:val="吉奥正文"/>
    <w:basedOn w:val="1"/>
    <w:link w:val="79"/>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autoRedefine/>
    <w:qFormat/>
    <w:uiPriority w:val="99"/>
    <w:rPr>
      <w:rFonts w:ascii="宋体" w:hAnsi="Times New Roman" w:eastAsia="宋体" w:cs="Times New Roman"/>
      <w:kern w:val="0"/>
      <w:sz w:val="18"/>
      <w:szCs w:val="18"/>
    </w:rPr>
  </w:style>
  <w:style w:type="character" w:customStyle="1" w:styleId="82">
    <w:name w:val="标题 字符"/>
    <w:autoRedefine/>
    <w:qFormat/>
    <w:uiPriority w:val="10"/>
    <w:rPr>
      <w:rFonts w:ascii="Cambria" w:hAnsi="Cambria" w:eastAsia="宋体" w:cs="Times New Roman"/>
      <w:b/>
      <w:bCs/>
      <w:kern w:val="0"/>
      <w:sz w:val="32"/>
      <w:szCs w:val="32"/>
      <w:lang w:val="en-US" w:eastAsia="zh-CN"/>
    </w:rPr>
  </w:style>
  <w:style w:type="character" w:customStyle="1" w:styleId="83">
    <w:name w:val="题注 Char"/>
    <w:link w:val="13"/>
    <w:autoRedefine/>
    <w:qFormat/>
    <w:uiPriority w:val="0"/>
    <w:rPr>
      <w:rFonts w:ascii="Arial" w:hAnsi="Arial" w:eastAsia="黑体" w:cs="Arial"/>
    </w:rPr>
  </w:style>
  <w:style w:type="character" w:customStyle="1" w:styleId="84">
    <w:name w:val="批注文字 字符2"/>
    <w:autoRedefine/>
    <w:qFormat/>
    <w:uiPriority w:val="99"/>
    <w:rPr>
      <w:rFonts w:ascii="宋体" w:hAnsi="Times New Roman" w:eastAsia="宋体" w:cs="Times New Roman"/>
      <w:kern w:val="0"/>
      <w:sz w:val="24"/>
      <w:szCs w:val="24"/>
    </w:rPr>
  </w:style>
  <w:style w:type="character" w:customStyle="1" w:styleId="85">
    <w:name w:val="批注主题 字符1"/>
    <w:autoRedefine/>
    <w:semiHidden/>
    <w:qFormat/>
    <w:uiPriority w:val="99"/>
    <w:rPr>
      <w:rFonts w:ascii="宋体" w:hAnsi="Calibri" w:eastAsia="宋体" w:cs="Times New Roman"/>
      <w:b/>
      <w:bCs/>
      <w:kern w:val="0"/>
      <w:sz w:val="24"/>
      <w:szCs w:val="24"/>
    </w:rPr>
  </w:style>
  <w:style w:type="character" w:customStyle="1" w:styleId="86">
    <w:name w:val="HTML 预设格式 Char"/>
    <w:link w:val="33"/>
    <w:autoRedefine/>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2"/>
    <w:link w:val="87"/>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autoRedefine/>
    <w:semiHidden/>
    <w:qFormat/>
    <w:uiPriority w:val="99"/>
    <w:rPr>
      <w:rFonts w:ascii="Courier New" w:hAnsi="Courier New" w:eastAsia="宋体" w:cs="Courier New"/>
      <w:kern w:val="0"/>
      <w:sz w:val="20"/>
      <w:szCs w:val="20"/>
    </w:rPr>
  </w:style>
  <w:style w:type="character" w:customStyle="1" w:styleId="90">
    <w:name w:val="批注文字 字符1"/>
    <w:autoRedefine/>
    <w:qFormat/>
    <w:uiPriority w:val="0"/>
    <w:rPr>
      <w:rFonts w:eastAsia="宋体"/>
      <w:kern w:val="2"/>
      <w:sz w:val="24"/>
      <w:szCs w:val="24"/>
      <w:lang w:val="en-US" w:eastAsia="zh-CN" w:bidi="ar-SA"/>
    </w:rPr>
  </w:style>
  <w:style w:type="character" w:customStyle="1" w:styleId="91">
    <w:name w:val="正文文本缩进 字符2"/>
    <w:autoRedefine/>
    <w:semiHidden/>
    <w:qFormat/>
    <w:uiPriority w:val="99"/>
    <w:rPr>
      <w:rFonts w:ascii="宋体" w:hAnsi="Calibri" w:eastAsia="宋体" w:cs="Times New Roman"/>
      <w:kern w:val="0"/>
      <w:sz w:val="24"/>
      <w:szCs w:val="24"/>
    </w:rPr>
  </w:style>
  <w:style w:type="character" w:customStyle="1" w:styleId="92">
    <w:name w:val="正文文本缩进 Char1"/>
    <w:link w:val="20"/>
    <w:autoRedefine/>
    <w:qFormat/>
    <w:uiPriority w:val="0"/>
    <w:rPr>
      <w:rFonts w:ascii="Times New Roman" w:hAnsi="Times New Roman" w:eastAsia="宋体" w:cs="Times New Roman"/>
      <w:szCs w:val="20"/>
    </w:rPr>
  </w:style>
  <w:style w:type="character" w:customStyle="1" w:styleId="93">
    <w:name w:val="普通(网站) Char1"/>
    <w:link w:val="34"/>
    <w:autoRedefine/>
    <w:qFormat/>
    <w:locked/>
    <w:uiPriority w:val="0"/>
    <w:rPr>
      <w:rFonts w:ascii="宋体" w:hAnsi="宋体"/>
      <w:sz w:val="15"/>
      <w:szCs w:val="15"/>
    </w:rPr>
  </w:style>
  <w:style w:type="character" w:customStyle="1" w:styleId="94">
    <w:name w:val="模板正文 Char"/>
    <w:link w:val="8"/>
    <w:autoRedefine/>
    <w:qFormat/>
    <w:uiPriority w:val="0"/>
    <w:rPr>
      <w:rFonts w:ascii="宋体" w:eastAsia="仿宋"/>
      <w:sz w:val="24"/>
      <w:szCs w:val="21"/>
    </w:rPr>
  </w:style>
  <w:style w:type="character" w:customStyle="1" w:styleId="95">
    <w:name w:val="批注主题 Char"/>
    <w:autoRedefine/>
    <w:semiHidden/>
    <w:qFormat/>
    <w:uiPriority w:val="99"/>
    <w:rPr>
      <w:b/>
      <w:bCs/>
      <w:kern w:val="2"/>
      <w:sz w:val="21"/>
    </w:rPr>
  </w:style>
  <w:style w:type="character" w:customStyle="1" w:styleId="96">
    <w:name w:val="正文文本 Char1"/>
    <w:autoRedefine/>
    <w:qFormat/>
    <w:uiPriority w:val="0"/>
    <w:rPr>
      <w:rFonts w:ascii="宋体" w:hAnsi="Times New Roman" w:eastAsia="宋体" w:cs="Times New Roman"/>
      <w:kern w:val="0"/>
      <w:sz w:val="24"/>
      <w:szCs w:val="24"/>
    </w:rPr>
  </w:style>
  <w:style w:type="character" w:customStyle="1" w:styleId="97">
    <w:name w:val="正文文本 字符1"/>
    <w:autoRedefine/>
    <w:qFormat/>
    <w:uiPriority w:val="99"/>
    <w:rPr>
      <w:rFonts w:ascii="宋体" w:eastAsia="宋体"/>
      <w:b/>
      <w:bCs/>
      <w:sz w:val="84"/>
      <w:szCs w:val="84"/>
      <w:lang w:val="zh-CN"/>
    </w:rPr>
  </w:style>
  <w:style w:type="character" w:customStyle="1" w:styleId="98">
    <w:name w:val="标题 1 Char"/>
    <w:autoRedefine/>
    <w:qFormat/>
    <w:uiPriority w:val="9"/>
    <w:rPr>
      <w:rFonts w:ascii="宋体" w:hAnsi="Times New Roman" w:eastAsia="宋体" w:cs="Times New Roman"/>
      <w:kern w:val="0"/>
      <w:sz w:val="24"/>
      <w:szCs w:val="24"/>
    </w:rPr>
  </w:style>
  <w:style w:type="character" w:customStyle="1" w:styleId="99">
    <w:name w:val="正文文本 Char2"/>
    <w:autoRedefine/>
    <w:qFormat/>
    <w:uiPriority w:val="99"/>
    <w:rPr>
      <w:rFonts w:ascii="宋体" w:eastAsia="宋体"/>
      <w:b/>
      <w:bCs/>
      <w:sz w:val="84"/>
      <w:szCs w:val="84"/>
      <w:lang w:val="zh-CN"/>
    </w:rPr>
  </w:style>
  <w:style w:type="character" w:customStyle="1" w:styleId="100">
    <w:name w:val="纯文本 Char2"/>
    <w:link w:val="22"/>
    <w:autoRedefine/>
    <w:qFormat/>
    <w:uiPriority w:val="0"/>
    <w:rPr>
      <w:rFonts w:ascii="宋体" w:hAnsi="Courier New" w:eastAsia="宋体"/>
    </w:rPr>
  </w:style>
  <w:style w:type="character" w:customStyle="1" w:styleId="101">
    <w:name w:val="正文文本缩进 2 Char"/>
    <w:link w:val="24"/>
    <w:autoRedefine/>
    <w:qFormat/>
    <w:uiPriority w:val="0"/>
    <w:rPr>
      <w:rFonts w:ascii="宋体" w:hAnsi="Times New Roman" w:eastAsia="宋体" w:cs="Times New Roman"/>
      <w:szCs w:val="20"/>
    </w:rPr>
  </w:style>
  <w:style w:type="character" w:customStyle="1" w:styleId="102">
    <w:name w:val="HTML Markup"/>
    <w:autoRedefine/>
    <w:qFormat/>
    <w:uiPriority w:val="0"/>
    <w:rPr>
      <w:vanish/>
      <w:color w:val="FF0000"/>
    </w:rPr>
  </w:style>
  <w:style w:type="character" w:customStyle="1" w:styleId="103">
    <w:name w:val="页眉 Char1"/>
    <w:autoRedefine/>
    <w:qFormat/>
    <w:uiPriority w:val="0"/>
    <w:rPr>
      <w:rFonts w:ascii="宋体" w:hAnsi="Times New Roman" w:eastAsia="宋体" w:cs="Times New Roman"/>
      <w:kern w:val="0"/>
      <w:sz w:val="18"/>
      <w:szCs w:val="18"/>
    </w:rPr>
  </w:style>
  <w:style w:type="character" w:customStyle="1" w:styleId="104">
    <w:name w:val="font11"/>
    <w:autoRedefine/>
    <w:qFormat/>
    <w:uiPriority w:val="0"/>
    <w:rPr>
      <w:rFonts w:hint="eastAsia" w:ascii="宋体" w:hAnsi="宋体" w:eastAsia="宋体" w:cs="宋体"/>
      <w:color w:val="FF0000"/>
      <w:sz w:val="22"/>
      <w:szCs w:val="22"/>
      <w:u w:val="none"/>
    </w:rPr>
  </w:style>
  <w:style w:type="character" w:customStyle="1" w:styleId="105">
    <w:name w:val="style61"/>
    <w:autoRedefine/>
    <w:qFormat/>
    <w:uiPriority w:val="0"/>
    <w:rPr>
      <w:b/>
      <w:bCs/>
    </w:rPr>
  </w:style>
  <w:style w:type="character" w:customStyle="1" w:styleId="106">
    <w:name w:val="表头文字 Char"/>
    <w:link w:val="107"/>
    <w:autoRedefine/>
    <w:qFormat/>
    <w:uiPriority w:val="0"/>
    <w:rPr>
      <w:rFonts w:eastAsia="仿宋_GB2312"/>
      <w:b/>
      <w:sz w:val="28"/>
      <w:szCs w:val="21"/>
    </w:rPr>
  </w:style>
  <w:style w:type="paragraph" w:customStyle="1" w:styleId="107">
    <w:name w:val="表头文字"/>
    <w:basedOn w:val="1"/>
    <w:link w:val="106"/>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3"/>
    <w:autoRedefine/>
    <w:qFormat/>
    <w:uiPriority w:val="99"/>
    <w:rPr>
      <w:rFonts w:ascii="宋体" w:hAnsi="Times New Roman" w:eastAsia="宋体" w:cs="Times New Roman"/>
      <w:b/>
      <w:bCs/>
      <w:szCs w:val="21"/>
      <w:lang w:val="zh-CN"/>
    </w:rPr>
  </w:style>
  <w:style w:type="character" w:customStyle="1" w:styleId="109">
    <w:name w:val="纯文本 Char1"/>
    <w:autoRedefine/>
    <w:qFormat/>
    <w:uiPriority w:val="0"/>
    <w:rPr>
      <w:rFonts w:ascii="宋体" w:hAnsi="Courier New" w:eastAsia="宋体" w:cs="Courier New"/>
      <w:kern w:val="0"/>
      <w:szCs w:val="21"/>
    </w:rPr>
  </w:style>
  <w:style w:type="character" w:customStyle="1" w:styleId="110">
    <w:name w:val="批注主题 Char1"/>
    <w:link w:val="36"/>
    <w:autoRedefine/>
    <w:qFormat/>
    <w:uiPriority w:val="99"/>
    <w:rPr>
      <w:rFonts w:ascii="宋体" w:hAnsi="Times New Roman" w:eastAsia="宋体" w:cs="Times New Roman"/>
      <w:b/>
      <w:bCs/>
      <w:kern w:val="0"/>
      <w:sz w:val="24"/>
      <w:szCs w:val="24"/>
    </w:rPr>
  </w:style>
  <w:style w:type="character" w:customStyle="1" w:styleId="111">
    <w:name w:val="纯文本 字符"/>
    <w:autoRedefine/>
    <w:qFormat/>
    <w:uiPriority w:val="99"/>
    <w:rPr>
      <w:rFonts w:ascii="宋体" w:hAnsi="Courier New" w:eastAsia="宋体" w:cs="Times New Roman"/>
      <w:szCs w:val="20"/>
      <w:lang w:val="en-US" w:eastAsia="zh-CN"/>
    </w:rPr>
  </w:style>
  <w:style w:type="character" w:customStyle="1" w:styleId="112">
    <w:name w:val="font71"/>
    <w:autoRedefine/>
    <w:qFormat/>
    <w:uiPriority w:val="0"/>
    <w:rPr>
      <w:rFonts w:hint="eastAsia" w:ascii="宋体" w:hAnsi="宋体" w:eastAsia="宋体" w:cs="宋体"/>
      <w:color w:val="FF0000"/>
      <w:sz w:val="18"/>
      <w:szCs w:val="18"/>
      <w:u w:val="none"/>
    </w:rPr>
  </w:style>
  <w:style w:type="character" w:customStyle="1" w:styleId="113">
    <w:name w:val="font21"/>
    <w:autoRedefine/>
    <w:qFormat/>
    <w:uiPriority w:val="0"/>
    <w:rPr>
      <w:rFonts w:hint="eastAsia" w:ascii="宋体" w:hAnsi="宋体" w:eastAsia="宋体" w:cs="宋体"/>
      <w:b/>
      <w:color w:val="000000"/>
      <w:sz w:val="21"/>
      <w:szCs w:val="21"/>
      <w:u w:val="none"/>
    </w:rPr>
  </w:style>
  <w:style w:type="character" w:customStyle="1" w:styleId="114">
    <w:name w:val="纯文本 字符3"/>
    <w:autoRedefine/>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18"/>
    <w:qFormat/>
    <w:uiPriority w:val="99"/>
    <w:rPr>
      <w:rFonts w:ascii="宋体" w:eastAsia="宋体"/>
      <w:b/>
      <w:bCs/>
      <w:sz w:val="84"/>
      <w:szCs w:val="84"/>
      <w:lang w:val="zh-CN"/>
    </w:rPr>
  </w:style>
  <w:style w:type="character" w:customStyle="1" w:styleId="119">
    <w:name w:val="标题 5 Char"/>
    <w:autoRedefine/>
    <w:semiHidden/>
    <w:qFormat/>
    <w:uiPriority w:val="9"/>
    <w:rPr>
      <w:b/>
      <w:bCs/>
      <w:kern w:val="2"/>
      <w:sz w:val="28"/>
      <w:szCs w:val="28"/>
    </w:rPr>
  </w:style>
  <w:style w:type="character" w:customStyle="1" w:styleId="120">
    <w:name w:val="页眉 Char2"/>
    <w:link w:val="27"/>
    <w:qFormat/>
    <w:uiPriority w:val="99"/>
    <w:rPr>
      <w:rFonts w:ascii="宋体" w:eastAsia="宋体"/>
      <w:sz w:val="18"/>
      <w:szCs w:val="18"/>
    </w:rPr>
  </w:style>
  <w:style w:type="character" w:customStyle="1" w:styleId="121">
    <w:name w:val="表格文字 Char"/>
    <w:link w:val="122"/>
    <w:autoRedefine/>
    <w:qFormat/>
    <w:uiPriority w:val="0"/>
    <w:rPr>
      <w:rFonts w:eastAsia="仿宋_GB2312"/>
      <w:sz w:val="28"/>
      <w:szCs w:val="24"/>
    </w:rPr>
  </w:style>
  <w:style w:type="paragraph" w:customStyle="1" w:styleId="122">
    <w:name w:val="表格文字"/>
    <w:basedOn w:val="1"/>
    <w:link w:val="121"/>
    <w:autoRedefine/>
    <w:qFormat/>
    <w:uiPriority w:val="0"/>
    <w:rPr>
      <w:rFonts w:eastAsia="仿宋_GB2312"/>
      <w:sz w:val="28"/>
      <w:szCs w:val="24"/>
    </w:rPr>
  </w:style>
  <w:style w:type="character" w:customStyle="1" w:styleId="123">
    <w:name w:val="标题 字符2"/>
    <w:autoRedefine/>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autoRedefine/>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autoRedefine/>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autoRedefine/>
    <w:semiHidden/>
    <w:qFormat/>
    <w:uiPriority w:val="99"/>
    <w:rPr>
      <w:rFonts w:ascii="宋体" w:hAnsi="Calibri" w:eastAsia="宋体" w:cs="Times New Roman"/>
      <w:kern w:val="0"/>
      <w:sz w:val="18"/>
      <w:szCs w:val="18"/>
    </w:rPr>
  </w:style>
  <w:style w:type="character" w:customStyle="1" w:styleId="132">
    <w:name w:val="标题 5 Char1"/>
    <w:link w:val="6"/>
    <w:autoRedefine/>
    <w:qFormat/>
    <w:uiPriority w:val="9"/>
    <w:rPr>
      <w:rFonts w:ascii="宋体" w:hAnsi="Calibri" w:eastAsia="宋体" w:cs="Times New Roman"/>
      <w:b/>
      <w:bCs/>
      <w:kern w:val="0"/>
      <w:sz w:val="28"/>
      <w:szCs w:val="28"/>
    </w:rPr>
  </w:style>
  <w:style w:type="character" w:customStyle="1" w:styleId="133">
    <w:name w:val="keyfeatures1"/>
    <w:autoRedefine/>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autoRedefine/>
    <w:qFormat/>
    <w:uiPriority w:val="0"/>
    <w:rPr>
      <w:rFonts w:ascii="宋体" w:hAnsi="宋体" w:eastAsia="宋体"/>
      <w:b/>
      <w:kern w:val="2"/>
      <w:sz w:val="21"/>
      <w:szCs w:val="24"/>
      <w:lang w:val="en-US" w:eastAsia="zh-CN" w:bidi="ar-SA"/>
    </w:rPr>
  </w:style>
  <w:style w:type="character" w:customStyle="1" w:styleId="136">
    <w:name w:val="批注文字 字符3"/>
    <w:autoRedefine/>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autoRedefine/>
    <w:qFormat/>
    <w:uiPriority w:val="0"/>
    <w:rPr>
      <w:rFonts w:ascii="宋体" w:hAnsi="Courier New" w:eastAsia="宋体" w:cs="Times New Roman"/>
      <w:szCs w:val="20"/>
    </w:rPr>
  </w:style>
  <w:style w:type="character" w:customStyle="1" w:styleId="142">
    <w:name w:val="标题 6 Char"/>
    <w:link w:val="7"/>
    <w:autoRedefine/>
    <w:qFormat/>
    <w:uiPriority w:val="9"/>
    <w:rPr>
      <w:rFonts w:ascii="Times New Roman" w:hAnsi="Calibri" w:eastAsia="黑体" w:cs="Times New Roman"/>
      <w:b/>
      <w:bCs/>
      <w:kern w:val="0"/>
      <w:sz w:val="28"/>
      <w:szCs w:val="24"/>
    </w:rPr>
  </w:style>
  <w:style w:type="character" w:customStyle="1" w:styleId="143">
    <w:name w:val="正文文本 2 Char"/>
    <w:link w:val="32"/>
    <w:autoRedefine/>
    <w:qFormat/>
    <w:uiPriority w:val="0"/>
    <w:rPr>
      <w:rFonts w:ascii="Arial" w:hAnsi="Arial" w:eastAsia="宋体" w:cs="Times New Roman"/>
      <w:color w:val="000000"/>
      <w:szCs w:val="24"/>
    </w:rPr>
  </w:style>
  <w:style w:type="character" w:customStyle="1" w:styleId="144">
    <w:name w:val="标题 3 Char"/>
    <w:link w:val="2"/>
    <w:autoRedefine/>
    <w:qFormat/>
    <w:uiPriority w:val="0"/>
    <w:rPr>
      <w:rFonts w:ascii="宋体" w:hAnsi="Calibri" w:eastAsia="宋体" w:cs="Times New Roman"/>
      <w:kern w:val="0"/>
      <w:sz w:val="24"/>
      <w:szCs w:val="24"/>
    </w:rPr>
  </w:style>
  <w:style w:type="character" w:customStyle="1" w:styleId="145">
    <w:name w:val="正文文本缩进 2 字符1"/>
    <w:autoRedefine/>
    <w:semiHidden/>
    <w:qFormat/>
    <w:uiPriority w:val="99"/>
    <w:rPr>
      <w:rFonts w:ascii="宋体" w:hAnsi="Calibri" w:eastAsia="宋体" w:cs="Times New Roman"/>
      <w:kern w:val="0"/>
      <w:sz w:val="24"/>
      <w:szCs w:val="24"/>
    </w:rPr>
  </w:style>
  <w:style w:type="character" w:customStyle="1" w:styleId="146">
    <w:name w:val="正文文本缩进 3 字符1"/>
    <w:autoRedefine/>
    <w:semiHidden/>
    <w:qFormat/>
    <w:uiPriority w:val="99"/>
    <w:rPr>
      <w:rFonts w:ascii="宋体" w:hAnsi="Calibri" w:eastAsia="宋体" w:cs="Times New Roman"/>
      <w:kern w:val="0"/>
      <w:sz w:val="16"/>
      <w:szCs w:val="16"/>
    </w:rPr>
  </w:style>
  <w:style w:type="character" w:customStyle="1" w:styleId="147">
    <w:name w:val="正文文本 2 字符1"/>
    <w:autoRedefine/>
    <w:semiHidden/>
    <w:qFormat/>
    <w:uiPriority w:val="99"/>
    <w:rPr>
      <w:rFonts w:ascii="宋体" w:hAnsi="Calibri" w:eastAsia="宋体" w:cs="Times New Roman"/>
      <w:kern w:val="0"/>
      <w:sz w:val="24"/>
      <w:szCs w:val="24"/>
    </w:rPr>
  </w:style>
  <w:style w:type="character" w:customStyle="1" w:styleId="148">
    <w:name w:val="eschoolnr"/>
    <w:autoRedefine/>
    <w:qFormat/>
    <w:uiPriority w:val="0"/>
    <w:rPr>
      <w:sz w:val="23"/>
      <w:szCs w:val="23"/>
    </w:rPr>
  </w:style>
  <w:style w:type="character" w:customStyle="1" w:styleId="149">
    <w:name w:val="访问过的超链接1"/>
    <w:autoRedefine/>
    <w:qFormat/>
    <w:uiPriority w:val="0"/>
    <w:rPr>
      <w:rFonts w:ascii="Arial" w:hAnsi="Arial" w:cs="Arial"/>
      <w:color w:val="000000"/>
      <w:sz w:val="20"/>
      <w:szCs w:val="20"/>
      <w:u w:val="none"/>
    </w:rPr>
  </w:style>
  <w:style w:type="character" w:customStyle="1" w:styleId="150">
    <w:name w:val="标题 1 Char1"/>
    <w:link w:val="3"/>
    <w:autoRedefine/>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autoRedefine/>
    <w:semiHidden/>
    <w:qFormat/>
    <w:uiPriority w:val="99"/>
    <w:rPr>
      <w:kern w:val="2"/>
      <w:sz w:val="18"/>
      <w:szCs w:val="18"/>
    </w:rPr>
  </w:style>
  <w:style w:type="character" w:customStyle="1" w:styleId="153">
    <w:name w:val="DAS正文 Char"/>
    <w:autoRedefine/>
    <w:qFormat/>
    <w:uiPriority w:val="0"/>
    <w:rPr>
      <w:rFonts w:ascii="Verdana" w:hAnsi="Verdana" w:eastAsia="宋体"/>
      <w:kern w:val="2"/>
      <w:sz w:val="21"/>
      <w:szCs w:val="21"/>
      <w:lang w:val="en-US" w:eastAsia="zh-CN" w:bidi="ar-SA"/>
    </w:rPr>
  </w:style>
  <w:style w:type="character" w:customStyle="1" w:styleId="154">
    <w:name w:val="正文文本缩进 3 Char"/>
    <w:link w:val="30"/>
    <w:qFormat/>
    <w:uiPriority w:val="0"/>
    <w:rPr>
      <w:rFonts w:ascii="宋体" w:hAnsi="Times New Roman" w:eastAsia="宋体" w:cs="Times New Roman"/>
      <w:kern w:val="0"/>
      <w:sz w:val="24"/>
      <w:szCs w:val="24"/>
    </w:rPr>
  </w:style>
  <w:style w:type="character" w:customStyle="1" w:styleId="155">
    <w:name w:val="页眉 Char"/>
    <w:autoRedefine/>
    <w:qFormat/>
    <w:uiPriority w:val="99"/>
    <w:rPr>
      <w:kern w:val="2"/>
      <w:sz w:val="18"/>
      <w:szCs w:val="18"/>
    </w:rPr>
  </w:style>
  <w:style w:type="character" w:customStyle="1" w:styleId="156">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autoRedefine/>
    <w:qFormat/>
    <w:uiPriority w:val="0"/>
    <w:rPr>
      <w:rFonts w:ascii="宋体"/>
      <w:sz w:val="24"/>
      <w:szCs w:val="24"/>
    </w:rPr>
  </w:style>
  <w:style w:type="paragraph" w:customStyle="1" w:styleId="159">
    <w:name w:val="彩色列表 - 强调文字颜色 11"/>
    <w:basedOn w:val="1"/>
    <w:link w:val="158"/>
    <w:autoRedefine/>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semiHidden/>
    <w:qFormat/>
    <w:uiPriority w:val="99"/>
    <w:rPr>
      <w:rFonts w:hAnsi="Courier New" w:cs="Courier New" w:asciiTheme="minorEastAsia"/>
    </w:rPr>
  </w:style>
  <w:style w:type="character" w:customStyle="1" w:styleId="163">
    <w:name w:val="批注文字 Char2"/>
    <w:basedOn w:val="39"/>
    <w:link w:val="16"/>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39"/>
    <w:qFormat/>
    <w:uiPriority w:val="10"/>
    <w:rPr>
      <w:rFonts w:asciiTheme="majorHAnsi" w:hAnsiTheme="majorHAnsi" w:eastAsiaTheme="majorEastAsia" w:cstheme="majorBidi"/>
      <w:b/>
      <w:bCs/>
      <w:sz w:val="32"/>
      <w:szCs w:val="32"/>
    </w:rPr>
  </w:style>
  <w:style w:type="character" w:customStyle="1" w:styleId="166">
    <w:name w:val="正文文本缩进 字符3"/>
    <w:basedOn w:val="39"/>
    <w:semiHidden/>
    <w:qFormat/>
    <w:uiPriority w:val="99"/>
  </w:style>
  <w:style w:type="character" w:customStyle="1" w:styleId="167">
    <w:name w:val="正文文本 字符4"/>
    <w:basedOn w:val="39"/>
    <w:semiHidden/>
    <w:qFormat/>
    <w:uiPriority w:val="99"/>
  </w:style>
  <w:style w:type="character" w:customStyle="1" w:styleId="168">
    <w:name w:val="正文文本缩进 3 字符2"/>
    <w:basedOn w:val="39"/>
    <w:autoRedefine/>
    <w:semiHidden/>
    <w:qFormat/>
    <w:uiPriority w:val="99"/>
    <w:rPr>
      <w:sz w:val="16"/>
      <w:szCs w:val="16"/>
    </w:rPr>
  </w:style>
  <w:style w:type="character" w:customStyle="1" w:styleId="169">
    <w:name w:val="页眉 字符2"/>
    <w:basedOn w:val="39"/>
    <w:semiHidden/>
    <w:qFormat/>
    <w:uiPriority w:val="99"/>
    <w:rPr>
      <w:sz w:val="18"/>
      <w:szCs w:val="18"/>
    </w:rPr>
  </w:style>
  <w:style w:type="character" w:customStyle="1" w:styleId="170">
    <w:name w:val="批注框文本 字符2"/>
    <w:basedOn w:val="39"/>
    <w:semiHidden/>
    <w:qFormat/>
    <w:uiPriority w:val="99"/>
    <w:rPr>
      <w:sz w:val="18"/>
      <w:szCs w:val="18"/>
    </w:rPr>
  </w:style>
  <w:style w:type="character" w:customStyle="1" w:styleId="171">
    <w:name w:val="HTML 预设格式 字符2"/>
    <w:basedOn w:val="39"/>
    <w:semiHidden/>
    <w:qFormat/>
    <w:uiPriority w:val="99"/>
    <w:rPr>
      <w:rFonts w:ascii="Courier New" w:hAnsi="Courier New" w:cs="Courier New"/>
      <w:sz w:val="20"/>
      <w:szCs w:val="20"/>
    </w:rPr>
  </w:style>
  <w:style w:type="character" w:customStyle="1" w:styleId="172">
    <w:name w:val="页脚 字符2"/>
    <w:basedOn w:val="39"/>
    <w:semiHidden/>
    <w:qFormat/>
    <w:uiPriority w:val="99"/>
    <w:rPr>
      <w:sz w:val="18"/>
      <w:szCs w:val="18"/>
    </w:rPr>
  </w:style>
  <w:style w:type="character" w:customStyle="1" w:styleId="173">
    <w:name w:val="正文文本缩进 2 字符2"/>
    <w:basedOn w:val="39"/>
    <w:semiHidden/>
    <w:qFormat/>
    <w:uiPriority w:val="99"/>
  </w:style>
  <w:style w:type="character" w:customStyle="1" w:styleId="174">
    <w:name w:val="正文文本 3 字符2"/>
    <w:basedOn w:val="39"/>
    <w:semiHidden/>
    <w:qFormat/>
    <w:uiPriority w:val="99"/>
    <w:rPr>
      <w:sz w:val="16"/>
      <w:szCs w:val="16"/>
    </w:rPr>
  </w:style>
  <w:style w:type="character" w:customStyle="1" w:styleId="175">
    <w:name w:val="正文文本 2 字符2"/>
    <w:basedOn w:val="39"/>
    <w:semiHidden/>
    <w:qFormat/>
    <w:uiPriority w:val="99"/>
  </w:style>
  <w:style w:type="paragraph" w:customStyle="1" w:styleId="17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autoRedefine/>
    <w:semiHidden/>
    <w:qFormat/>
    <w:uiPriority w:val="99"/>
    <w:rPr>
      <w:rFonts w:ascii="Microsoft YaHei UI" w:eastAsia="Microsoft YaHei UI"/>
      <w:sz w:val="18"/>
      <w:szCs w:val="18"/>
    </w:rPr>
  </w:style>
  <w:style w:type="character" w:customStyle="1" w:styleId="179">
    <w:name w:val="日期 字符2"/>
    <w:basedOn w:val="39"/>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autoRedefine/>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autoRedefine/>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19"/>
    <w:semiHidden/>
    <w:qFormat/>
    <w:uiPriority w:val="99"/>
    <w:rPr>
      <w:rFonts w:ascii="宋体" w:eastAsia="宋体"/>
      <w:b w:val="0"/>
      <w:bCs w:val="0"/>
      <w:sz w:val="84"/>
      <w:szCs w:val="84"/>
      <w:lang w:val="zh-CN"/>
    </w:rPr>
  </w:style>
  <w:style w:type="paragraph" w:customStyle="1" w:styleId="20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Char1 Char Char Char1 Char Char Char"/>
    <w:basedOn w:val="1"/>
    <w:qFormat/>
    <w:uiPriority w:val="0"/>
    <w:pPr>
      <w:autoSpaceDE/>
      <w:autoSpaceDN/>
      <w:adjustRightInd/>
      <w:spacing w:line="360" w:lineRule="auto"/>
    </w:pPr>
    <w:rPr>
      <w:rFonts w:asci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25351</Words>
  <Characters>26443</Characters>
  <Lines>314</Lines>
  <Paragraphs>88</Paragraphs>
  <TotalTime>4</TotalTime>
  <ScaleCrop>false</ScaleCrop>
  <LinksUpToDate>false</LinksUpToDate>
  <CharactersWithSpaces>26852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cp:lastPrinted>2024-10-21T03:29:00Z</cp:lastPrinted>
  <dcterms:modified xsi:type="dcterms:W3CDTF">2024-11-26T04:44:35Z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E29938F7B2AC44BC99E382DA30983214_13</vt:lpwstr>
  </property>
</Properties>
</file>