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4B924">
      <w:pPr>
        <w:pStyle w:val="619"/>
        <w:spacing w:line="360" w:lineRule="auto"/>
        <w:ind w:firstLine="0" w:firstLineChars="0"/>
        <w:rPr>
          <w:rFonts w:ascii="宋体" w:hAnsi="宋体" w:cs="宋体"/>
          <w:color w:val="auto"/>
          <w:highlight w:val="none"/>
        </w:rPr>
      </w:pPr>
    </w:p>
    <w:p w14:paraId="666F6395">
      <w:pPr>
        <w:spacing w:line="360" w:lineRule="auto"/>
        <w:jc w:val="center"/>
        <w:rPr>
          <w:rFonts w:ascii="宋体" w:hAnsi="宋体" w:cs="宋体"/>
          <w:b/>
          <w:color w:val="auto"/>
          <w:sz w:val="52"/>
          <w:szCs w:val="52"/>
          <w:highlight w:val="none"/>
        </w:rPr>
      </w:pPr>
      <w:r>
        <w:rPr>
          <w:rFonts w:hint="eastAsia" w:ascii="宋体" w:hAnsi="宋体" w:cs="宋体"/>
          <w:b/>
          <w:bCs/>
          <w:color w:val="auto"/>
          <w:sz w:val="52"/>
          <w:szCs w:val="52"/>
          <w:highlight w:val="none"/>
          <w:lang w:val="zh-CN"/>
        </w:rPr>
        <w:t>东莞市水务集团有限公司2025年直购电采购项目</w:t>
      </w:r>
    </w:p>
    <w:p w14:paraId="5A4C2C3C">
      <w:pPr>
        <w:spacing w:line="360" w:lineRule="auto"/>
        <w:rPr>
          <w:rFonts w:ascii="宋体" w:hAnsi="宋体" w:cs="宋体"/>
          <w:b/>
          <w:color w:val="auto"/>
          <w:sz w:val="28"/>
          <w:highlight w:val="none"/>
        </w:rPr>
      </w:pPr>
    </w:p>
    <w:p w14:paraId="3749E339">
      <w:pPr>
        <w:spacing w:line="360" w:lineRule="auto"/>
        <w:rPr>
          <w:rFonts w:ascii="宋体" w:hAnsi="宋体" w:cs="宋体"/>
          <w:b/>
          <w:color w:val="auto"/>
          <w:sz w:val="28"/>
          <w:highlight w:val="none"/>
        </w:rPr>
      </w:pPr>
    </w:p>
    <w:p w14:paraId="289ECAFD">
      <w:pPr>
        <w:pStyle w:val="619"/>
        <w:spacing w:line="360" w:lineRule="auto"/>
        <w:ind w:firstLine="0" w:firstLineChars="0"/>
        <w:rPr>
          <w:rFonts w:ascii="宋体" w:hAnsi="宋体" w:cs="宋体"/>
          <w:b/>
          <w:color w:val="auto"/>
          <w:sz w:val="28"/>
          <w:highlight w:val="none"/>
        </w:rPr>
      </w:pPr>
    </w:p>
    <w:p w14:paraId="6EDE181C">
      <w:pPr>
        <w:spacing w:line="360" w:lineRule="auto"/>
        <w:rPr>
          <w:rFonts w:ascii="宋体" w:hAnsi="宋体" w:cs="宋体"/>
          <w:b/>
          <w:color w:val="auto"/>
          <w:sz w:val="28"/>
          <w:highlight w:val="none"/>
        </w:rPr>
      </w:pPr>
    </w:p>
    <w:p w14:paraId="594FDFF5">
      <w:pPr>
        <w:spacing w:line="360" w:lineRule="auto"/>
        <w:ind w:right="-26"/>
        <w:jc w:val="center"/>
        <w:rPr>
          <w:rFonts w:ascii="宋体" w:hAnsi="宋体" w:cs="宋体"/>
          <w:b/>
          <w:bCs/>
          <w:color w:val="auto"/>
          <w:kern w:val="2"/>
          <w:sz w:val="72"/>
          <w:szCs w:val="72"/>
          <w:highlight w:val="none"/>
          <w:lang w:val="zh-CN"/>
        </w:rPr>
      </w:pPr>
      <w:r>
        <w:rPr>
          <w:rFonts w:hint="eastAsia" w:ascii="宋体" w:hAnsi="宋体" w:cs="宋体"/>
          <w:b/>
          <w:bCs/>
          <w:color w:val="auto"/>
          <w:kern w:val="2"/>
          <w:sz w:val="72"/>
          <w:szCs w:val="72"/>
          <w:highlight w:val="none"/>
        </w:rPr>
        <w:t>竞争性谈判文件</w:t>
      </w:r>
    </w:p>
    <w:p w14:paraId="684FA885">
      <w:pPr>
        <w:spacing w:line="360" w:lineRule="auto"/>
        <w:rPr>
          <w:rFonts w:ascii="宋体" w:hAnsi="宋体" w:cs="宋体"/>
          <w:b/>
          <w:bCs/>
          <w:color w:val="auto"/>
          <w:kern w:val="2"/>
          <w:sz w:val="44"/>
          <w:szCs w:val="44"/>
          <w:highlight w:val="none"/>
          <w:lang w:val="zh-CN"/>
        </w:rPr>
      </w:pPr>
    </w:p>
    <w:p w14:paraId="5300F372">
      <w:pPr>
        <w:rPr>
          <w:rFonts w:ascii="宋体" w:hAnsi="宋体" w:cs="宋体"/>
          <w:b/>
          <w:bCs/>
          <w:color w:val="auto"/>
          <w:kern w:val="2"/>
          <w:sz w:val="44"/>
          <w:szCs w:val="44"/>
          <w:highlight w:val="none"/>
          <w:lang w:val="zh-CN"/>
        </w:rPr>
      </w:pPr>
    </w:p>
    <w:p w14:paraId="6688434A">
      <w:pPr>
        <w:rPr>
          <w:rFonts w:ascii="宋体" w:hAnsi="宋体" w:cs="宋体"/>
          <w:b/>
          <w:bCs/>
          <w:color w:val="auto"/>
          <w:kern w:val="2"/>
          <w:sz w:val="44"/>
          <w:szCs w:val="44"/>
          <w:highlight w:val="none"/>
          <w:lang w:val="zh-CN"/>
        </w:rPr>
      </w:pPr>
    </w:p>
    <w:p w14:paraId="148A56C9">
      <w:pPr>
        <w:rPr>
          <w:rFonts w:ascii="宋体" w:hAnsi="宋体" w:cs="宋体"/>
          <w:b/>
          <w:color w:val="auto"/>
          <w:sz w:val="28"/>
          <w:highlight w:val="none"/>
        </w:rPr>
      </w:pPr>
    </w:p>
    <w:p w14:paraId="1A301BE3">
      <w:pPr>
        <w:rPr>
          <w:rFonts w:ascii="宋体" w:hAnsi="宋体" w:cs="宋体"/>
          <w:b/>
          <w:color w:val="auto"/>
          <w:sz w:val="28"/>
          <w:highlight w:val="none"/>
        </w:rPr>
      </w:pPr>
    </w:p>
    <w:p w14:paraId="42AA9627">
      <w:pPr>
        <w:rPr>
          <w:rFonts w:ascii="宋体" w:hAnsi="宋体" w:cs="宋体"/>
          <w:b/>
          <w:color w:val="auto"/>
          <w:sz w:val="28"/>
          <w:highlight w:val="none"/>
        </w:rPr>
      </w:pPr>
    </w:p>
    <w:p w14:paraId="254F22F9">
      <w:pPr>
        <w:rPr>
          <w:rFonts w:ascii="宋体" w:hAnsi="宋体" w:cs="宋体"/>
          <w:b/>
          <w:color w:val="auto"/>
          <w:sz w:val="28"/>
          <w:highlight w:val="none"/>
        </w:rPr>
      </w:pPr>
    </w:p>
    <w:p w14:paraId="67FD64E6">
      <w:pPr>
        <w:spacing w:line="360" w:lineRule="auto"/>
        <w:ind w:left="2351" w:leftChars="349" w:hanging="1513" w:hangingChars="471"/>
        <w:rPr>
          <w:rFonts w:ascii="宋体" w:hAnsi="宋体" w:cs="宋体"/>
          <w:b/>
          <w:bCs/>
          <w:color w:val="auto"/>
          <w:kern w:val="2"/>
          <w:sz w:val="32"/>
          <w:szCs w:val="32"/>
          <w:highlight w:val="none"/>
        </w:rPr>
      </w:pPr>
      <w:r>
        <w:rPr>
          <w:rFonts w:hint="eastAsia" w:ascii="宋体" w:hAnsi="宋体" w:cs="宋体"/>
          <w:b/>
          <w:bCs/>
          <w:color w:val="auto"/>
          <w:kern w:val="2"/>
          <w:sz w:val="32"/>
          <w:szCs w:val="32"/>
          <w:highlight w:val="none"/>
          <w:lang w:val="zh-CN"/>
        </w:rPr>
        <w:t>采购编号：</w:t>
      </w:r>
      <w:r>
        <w:rPr>
          <w:rFonts w:hint="eastAsia" w:ascii="宋体" w:hAnsi="宋体" w:cs="宋体"/>
          <w:b/>
          <w:bCs/>
          <w:color w:val="auto"/>
          <w:sz w:val="32"/>
          <w:szCs w:val="32"/>
          <w:highlight w:val="none"/>
          <w:lang w:val="zh-CN"/>
        </w:rPr>
        <w:t>广建咨询（东招）2024-0149号</w:t>
      </w:r>
    </w:p>
    <w:p w14:paraId="7F14BF77">
      <w:pPr>
        <w:spacing w:line="360" w:lineRule="auto"/>
        <w:ind w:left="2351" w:leftChars="349" w:hanging="1513" w:hangingChars="471"/>
        <w:rPr>
          <w:rFonts w:ascii="宋体" w:hAnsi="宋体" w:cs="宋体"/>
          <w:b/>
          <w:color w:val="auto"/>
          <w:sz w:val="32"/>
          <w:szCs w:val="32"/>
          <w:highlight w:val="none"/>
        </w:rPr>
      </w:pPr>
      <w:r>
        <w:rPr>
          <w:rFonts w:hint="eastAsia" w:ascii="宋体" w:hAnsi="宋体" w:cs="宋体"/>
          <w:b/>
          <w:bCs/>
          <w:color w:val="auto"/>
          <w:kern w:val="2"/>
          <w:sz w:val="32"/>
          <w:szCs w:val="32"/>
          <w:highlight w:val="none"/>
        </w:rPr>
        <w:t>采购人</w:t>
      </w:r>
      <w:r>
        <w:rPr>
          <w:rFonts w:hint="eastAsia" w:ascii="宋体" w:hAnsi="宋体" w:cs="宋体"/>
          <w:b/>
          <w:bCs/>
          <w:color w:val="auto"/>
          <w:sz w:val="32"/>
          <w:szCs w:val="32"/>
          <w:highlight w:val="none"/>
        </w:rPr>
        <w:t>：</w:t>
      </w:r>
      <w:r>
        <w:rPr>
          <w:rFonts w:hint="eastAsia" w:ascii="宋体" w:hAnsi="宋体" w:cs="宋体"/>
          <w:b/>
          <w:color w:val="auto"/>
          <w:sz w:val="32"/>
          <w:szCs w:val="32"/>
          <w:highlight w:val="none"/>
        </w:rPr>
        <w:t>东莞市水务集团有限公司</w:t>
      </w:r>
    </w:p>
    <w:p w14:paraId="5A02385B">
      <w:pPr>
        <w:pStyle w:val="2"/>
        <w:rPr>
          <w:color w:val="auto"/>
          <w:highlight w:val="none"/>
        </w:rPr>
      </w:pPr>
    </w:p>
    <w:p w14:paraId="2238EC47">
      <w:pPr>
        <w:autoSpaceDE/>
        <w:autoSpaceDN/>
        <w:adjustRightInd/>
        <w:spacing w:line="360" w:lineRule="auto"/>
        <w:ind w:left="2351" w:leftChars="349" w:hanging="1513" w:hangingChars="471"/>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采购</w:t>
      </w:r>
      <w:r>
        <w:rPr>
          <w:rFonts w:hint="eastAsia" w:ascii="宋体" w:hAnsi="宋体" w:cs="宋体"/>
          <w:b/>
          <w:bCs/>
          <w:color w:val="auto"/>
          <w:sz w:val="32"/>
          <w:szCs w:val="32"/>
          <w:highlight w:val="none"/>
          <w:lang w:val="zh-CN"/>
        </w:rPr>
        <w:t>代理机构：建成工程咨询股份有限公司</w:t>
      </w:r>
    </w:p>
    <w:p w14:paraId="7CCD24E0">
      <w:pPr>
        <w:rPr>
          <w:rFonts w:ascii="宋体" w:hAnsi="宋体" w:cs="宋体"/>
          <w:b/>
          <w:color w:val="auto"/>
          <w:sz w:val="28"/>
          <w:highlight w:val="none"/>
        </w:rPr>
      </w:pPr>
    </w:p>
    <w:p w14:paraId="650C9158">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2024年</w:t>
      </w:r>
      <w:r>
        <w:rPr>
          <w:rFonts w:hint="eastAsia" w:ascii="宋体" w:hAnsi="宋体" w:cs="宋体"/>
          <w:b/>
          <w:color w:val="auto"/>
          <w:sz w:val="32"/>
          <w:szCs w:val="32"/>
          <w:highlight w:val="none"/>
          <w:lang w:val="en-US" w:eastAsia="zh-CN"/>
        </w:rPr>
        <w:t xml:space="preserve"> 11 </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 xml:space="preserve"> 27 </w:t>
      </w:r>
      <w:r>
        <w:rPr>
          <w:rFonts w:hint="eastAsia" w:ascii="宋体" w:hAnsi="宋体" w:cs="宋体"/>
          <w:b/>
          <w:color w:val="auto"/>
          <w:sz w:val="32"/>
          <w:szCs w:val="32"/>
          <w:highlight w:val="none"/>
        </w:rPr>
        <w:t>日</w:t>
      </w:r>
    </w:p>
    <w:p w14:paraId="2E30D36F">
      <w:pPr>
        <w:spacing w:line="360" w:lineRule="auto"/>
        <w:jc w:val="center"/>
        <w:rPr>
          <w:rFonts w:ascii="宋体" w:hAnsi="宋体" w:cs="宋体"/>
          <w:b/>
          <w:bCs/>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32"/>
          <w:szCs w:val="32"/>
          <w:highlight w:val="none"/>
          <w:lang w:val="zh-CN"/>
        </w:rPr>
        <w:t>目 录</w:t>
      </w:r>
    </w:p>
    <w:p w14:paraId="222C0379">
      <w:pPr>
        <w:pStyle w:val="42"/>
        <w:tabs>
          <w:tab w:val="right" w:leader="dot" w:pos="9070"/>
        </w:tabs>
        <w:rPr>
          <w:color w:val="auto"/>
          <w:highlight w:val="none"/>
        </w:rPr>
      </w:pP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TOC \o "1-3" \h \z \u </w:instrText>
      </w:r>
      <w:r>
        <w:rPr>
          <w:rFonts w:hint="eastAsia" w:ascii="宋体" w:hAnsi="宋体" w:cs="宋体"/>
          <w:b w:val="0"/>
          <w:bCs w:val="0"/>
          <w:color w:val="auto"/>
          <w:sz w:val="21"/>
          <w:szCs w:val="21"/>
          <w:highlight w:val="none"/>
        </w:rPr>
        <w:fldChar w:fldCharType="separate"/>
      </w:r>
      <w:r>
        <w:rPr>
          <w:color w:val="auto"/>
          <w:highlight w:val="none"/>
        </w:rPr>
        <w:fldChar w:fldCharType="begin"/>
      </w:r>
      <w:r>
        <w:rPr>
          <w:color w:val="auto"/>
          <w:highlight w:val="none"/>
        </w:rPr>
        <w:instrText xml:space="preserve"> HYPERLINK \l "_Toc24688" </w:instrText>
      </w:r>
      <w:r>
        <w:rPr>
          <w:color w:val="auto"/>
          <w:highlight w:val="none"/>
        </w:rPr>
        <w:fldChar w:fldCharType="separate"/>
      </w:r>
      <w:r>
        <w:rPr>
          <w:rFonts w:hint="eastAsia" w:ascii="宋体" w:hAnsi="宋体"/>
          <w:color w:val="auto"/>
          <w:kern w:val="44"/>
          <w:szCs w:val="32"/>
          <w:highlight w:val="none"/>
          <w:lang w:val="zh-CN"/>
        </w:rPr>
        <w:t>第一篇</w:t>
      </w:r>
      <w:r>
        <w:rPr>
          <w:rFonts w:hint="eastAsia" w:ascii="宋体" w:hAnsi="宋体"/>
          <w:color w:val="auto"/>
          <w:kern w:val="44"/>
          <w:szCs w:val="32"/>
          <w:highlight w:val="none"/>
        </w:rPr>
        <w:t xml:space="preserve"> </w:t>
      </w:r>
      <w:r>
        <w:rPr>
          <w:rFonts w:hint="eastAsia" w:ascii="宋体" w:hAnsi="宋体"/>
          <w:color w:val="auto"/>
          <w:kern w:val="44"/>
          <w:szCs w:val="32"/>
          <w:highlight w:val="none"/>
          <w:lang w:val="zh-CN"/>
        </w:rPr>
        <w:t>竞争性谈判</w:t>
      </w:r>
      <w:r>
        <w:rPr>
          <w:rFonts w:hint="eastAsia" w:ascii="宋体" w:hAnsi="宋体"/>
          <w:color w:val="auto"/>
          <w:kern w:val="44"/>
          <w:szCs w:val="32"/>
          <w:highlight w:val="none"/>
        </w:rPr>
        <w:t>公告</w:t>
      </w:r>
      <w:r>
        <w:rPr>
          <w:color w:val="auto"/>
          <w:highlight w:val="none"/>
        </w:rPr>
        <w:tab/>
      </w:r>
      <w:r>
        <w:rPr>
          <w:color w:val="auto"/>
          <w:highlight w:val="none"/>
        </w:rPr>
        <w:fldChar w:fldCharType="begin"/>
      </w:r>
      <w:r>
        <w:rPr>
          <w:color w:val="auto"/>
          <w:highlight w:val="none"/>
        </w:rPr>
        <w:instrText xml:space="preserve"> PAGEREF _Toc24688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D8DEAA3">
      <w:pPr>
        <w:pStyle w:val="42"/>
        <w:tabs>
          <w:tab w:val="right" w:leader="dot" w:pos="9070"/>
        </w:tabs>
        <w:rPr>
          <w:color w:val="auto"/>
          <w:highlight w:val="none"/>
        </w:rPr>
      </w:pPr>
      <w:r>
        <w:rPr>
          <w:color w:val="auto"/>
          <w:highlight w:val="none"/>
        </w:rPr>
        <w:fldChar w:fldCharType="begin"/>
      </w:r>
      <w:r>
        <w:rPr>
          <w:color w:val="auto"/>
          <w:highlight w:val="none"/>
        </w:rPr>
        <w:instrText xml:space="preserve"> HYPERLINK \l "_Toc14483" </w:instrText>
      </w:r>
      <w:r>
        <w:rPr>
          <w:color w:val="auto"/>
          <w:highlight w:val="none"/>
        </w:rPr>
        <w:fldChar w:fldCharType="separate"/>
      </w:r>
      <w:r>
        <w:rPr>
          <w:rFonts w:hint="eastAsia" w:ascii="宋体" w:hAnsi="宋体" w:cs="宋体"/>
          <w:color w:val="auto"/>
          <w:kern w:val="44"/>
          <w:szCs w:val="32"/>
          <w:highlight w:val="none"/>
          <w:lang w:val="zh-CN"/>
        </w:rPr>
        <w:t>第二篇 谈判须知</w:t>
      </w:r>
      <w:r>
        <w:rPr>
          <w:color w:val="auto"/>
          <w:highlight w:val="none"/>
        </w:rPr>
        <w:tab/>
      </w:r>
      <w:r>
        <w:rPr>
          <w:color w:val="auto"/>
          <w:highlight w:val="none"/>
        </w:rPr>
        <w:fldChar w:fldCharType="begin"/>
      </w:r>
      <w:r>
        <w:rPr>
          <w:color w:val="auto"/>
          <w:highlight w:val="none"/>
        </w:rPr>
        <w:instrText xml:space="preserve"> PAGEREF _Toc14483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86F331A">
      <w:pPr>
        <w:pStyle w:val="47"/>
        <w:tabs>
          <w:tab w:val="right" w:leader="dot" w:pos="9070"/>
        </w:tabs>
        <w:rPr>
          <w:color w:val="auto"/>
          <w:highlight w:val="none"/>
        </w:rPr>
      </w:pPr>
      <w:r>
        <w:rPr>
          <w:color w:val="auto"/>
          <w:highlight w:val="none"/>
        </w:rPr>
        <w:fldChar w:fldCharType="begin"/>
      </w:r>
      <w:r>
        <w:rPr>
          <w:color w:val="auto"/>
          <w:highlight w:val="none"/>
        </w:rPr>
        <w:instrText xml:space="preserve"> HYPERLINK \l "_Toc16470" </w:instrText>
      </w:r>
      <w:r>
        <w:rPr>
          <w:color w:val="auto"/>
          <w:highlight w:val="none"/>
        </w:rPr>
        <w:fldChar w:fldCharType="separate"/>
      </w:r>
      <w:r>
        <w:rPr>
          <w:rFonts w:hint="eastAsia" w:ascii="宋体" w:hAnsi="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_Toc16470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D0835A6">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"_Toc16378" </w:instrText>
      </w:r>
      <w:r>
        <w:rPr>
          <w:color w:val="auto"/>
          <w:highlight w:val="none"/>
        </w:rPr>
        <w:fldChar w:fldCharType="separate"/>
      </w:r>
      <w:r>
        <w:rPr>
          <w:rFonts w:hint="eastAsia" w:ascii="宋体" w:hAnsi="宋体" w:cs="宋体"/>
          <w:i w:val="0"/>
          <w:iCs w:val="0"/>
          <w:color w:val="auto"/>
          <w:kern w:val="2"/>
          <w:szCs w:val="21"/>
          <w:highlight w:val="none"/>
          <w:lang w:val="zh-CN"/>
        </w:rPr>
        <w:t>1</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资金来源：企业自筹资金。</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_Toc16378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i w:val="0"/>
          <w:iCs w:val="0"/>
          <w:color w:val="auto"/>
          <w:highlight w:val="none"/>
        </w:rPr>
        <w:fldChar w:fldCharType="end"/>
      </w:r>
    </w:p>
    <w:p w14:paraId="3EFF0CE7">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"_Toc26099" </w:instrText>
      </w:r>
      <w:r>
        <w:rPr>
          <w:color w:val="auto"/>
          <w:highlight w:val="none"/>
        </w:rPr>
        <w:fldChar w:fldCharType="separate"/>
      </w:r>
      <w:r>
        <w:rPr>
          <w:rFonts w:hint="eastAsia" w:ascii="宋体" w:hAnsi="宋体" w:cs="宋体"/>
          <w:bCs/>
          <w:i w:val="0"/>
          <w:iCs w:val="0"/>
          <w:color w:val="auto"/>
          <w:kern w:val="2"/>
          <w:szCs w:val="21"/>
          <w:highlight w:val="none"/>
          <w:lang w:val="zh-CN"/>
        </w:rPr>
        <w:t>2</w:t>
      </w:r>
      <w:r>
        <w:rPr>
          <w:rFonts w:hint="eastAsia" w:ascii="宋体" w:hAnsi="宋体" w:cs="宋体"/>
          <w:bCs/>
          <w:i w:val="0"/>
          <w:iCs w:val="0"/>
          <w:color w:val="auto"/>
          <w:kern w:val="2"/>
          <w:szCs w:val="21"/>
          <w:highlight w:val="none"/>
        </w:rPr>
        <w:t xml:space="preserve"> </w:t>
      </w:r>
      <w:r>
        <w:rPr>
          <w:rFonts w:hint="eastAsia" w:ascii="宋体" w:hAnsi="宋体" w:cs="宋体"/>
          <w:bCs/>
          <w:i w:val="0"/>
          <w:iCs w:val="0"/>
          <w:color w:val="auto"/>
          <w:kern w:val="2"/>
          <w:szCs w:val="21"/>
          <w:highlight w:val="none"/>
          <w:lang w:val="zh-CN"/>
        </w:rPr>
        <w:t>合格的供应商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_Toc26099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i w:val="0"/>
          <w:iCs w:val="0"/>
          <w:color w:val="auto"/>
          <w:highlight w:val="none"/>
        </w:rPr>
        <w:fldChar w:fldCharType="end"/>
      </w:r>
    </w:p>
    <w:p w14:paraId="599ECD76">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"_Toc2123" </w:instrText>
      </w:r>
      <w:r>
        <w:rPr>
          <w:color w:val="auto"/>
          <w:highlight w:val="none"/>
        </w:rPr>
        <w:fldChar w:fldCharType="separate"/>
      </w:r>
      <w:r>
        <w:rPr>
          <w:rFonts w:hint="eastAsia" w:ascii="宋体" w:hAnsi="宋体" w:cs="宋体"/>
          <w:bCs/>
          <w:i w:val="0"/>
          <w:iCs w:val="0"/>
          <w:color w:val="auto"/>
          <w:kern w:val="2"/>
          <w:szCs w:val="21"/>
          <w:highlight w:val="none"/>
          <w:lang w:val="zh-CN"/>
        </w:rPr>
        <w:t>3</w:t>
      </w:r>
      <w:r>
        <w:rPr>
          <w:rFonts w:hint="eastAsia" w:ascii="宋体" w:hAnsi="宋体" w:cs="宋体"/>
          <w:bCs/>
          <w:i w:val="0"/>
          <w:iCs w:val="0"/>
          <w:color w:val="auto"/>
          <w:kern w:val="2"/>
          <w:szCs w:val="21"/>
          <w:highlight w:val="none"/>
        </w:rPr>
        <w:t xml:space="preserve"> </w:t>
      </w:r>
      <w:r>
        <w:rPr>
          <w:rFonts w:hint="eastAsia" w:ascii="宋体" w:hAnsi="宋体" w:cs="宋体"/>
          <w:bCs/>
          <w:i w:val="0"/>
          <w:iCs w:val="0"/>
          <w:color w:val="auto"/>
          <w:kern w:val="2"/>
          <w:szCs w:val="21"/>
          <w:highlight w:val="none"/>
          <w:lang w:val="zh-CN"/>
        </w:rPr>
        <w:t>合格的服务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_Toc2123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i w:val="0"/>
          <w:iCs w:val="0"/>
          <w:color w:val="auto"/>
          <w:highlight w:val="none"/>
        </w:rPr>
        <w:fldChar w:fldCharType="end"/>
      </w:r>
    </w:p>
    <w:p w14:paraId="3C3D1603">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"_Toc7079" </w:instrText>
      </w:r>
      <w:r>
        <w:rPr>
          <w:color w:val="auto"/>
          <w:highlight w:val="none"/>
        </w:rPr>
        <w:fldChar w:fldCharType="separate"/>
      </w:r>
      <w:r>
        <w:rPr>
          <w:rFonts w:hint="eastAsia" w:ascii="宋体" w:hAnsi="宋体" w:cs="宋体"/>
          <w:i w:val="0"/>
          <w:iCs w:val="0"/>
          <w:color w:val="auto"/>
          <w:kern w:val="2"/>
          <w:szCs w:val="21"/>
          <w:highlight w:val="none"/>
          <w:lang w:val="zh-CN"/>
        </w:rPr>
        <w:t>4</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其它说明</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_Toc7079 \h </w:instrText>
      </w:r>
      <w:r>
        <w:rPr>
          <w:i w:val="0"/>
          <w:iCs w:val="0"/>
          <w:color w:val="auto"/>
          <w:highlight w:val="none"/>
        </w:rPr>
        <w:fldChar w:fldCharType="separate"/>
      </w:r>
      <w:r>
        <w:rPr>
          <w:i w:val="0"/>
          <w:iCs w:val="0"/>
          <w:color w:val="auto"/>
          <w:highlight w:val="none"/>
        </w:rPr>
        <w:t>7</w:t>
      </w:r>
      <w:r>
        <w:rPr>
          <w:i w:val="0"/>
          <w:iCs w:val="0"/>
          <w:color w:val="auto"/>
          <w:highlight w:val="none"/>
        </w:rPr>
        <w:fldChar w:fldCharType="end"/>
      </w:r>
      <w:r>
        <w:rPr>
          <w:i w:val="0"/>
          <w:iCs w:val="0"/>
          <w:color w:val="auto"/>
          <w:highlight w:val="none"/>
        </w:rPr>
        <w:fldChar w:fldCharType="end"/>
      </w:r>
    </w:p>
    <w:p w14:paraId="0E824B62">
      <w:pPr>
        <w:pStyle w:val="47"/>
        <w:tabs>
          <w:tab w:val="right" w:leader="dot" w:pos="9070"/>
        </w:tabs>
        <w:rPr>
          <w:color w:val="auto"/>
          <w:highlight w:val="none"/>
        </w:rPr>
      </w:pPr>
      <w:r>
        <w:rPr>
          <w:color w:val="auto"/>
          <w:highlight w:val="none"/>
        </w:rPr>
        <w:fldChar w:fldCharType="begin"/>
      </w:r>
      <w:r>
        <w:rPr>
          <w:color w:val="auto"/>
          <w:highlight w:val="none"/>
        </w:rPr>
        <w:instrText xml:space="preserve"> HYPERLINK \l "_Toc3289" </w:instrText>
      </w:r>
      <w:r>
        <w:rPr>
          <w:color w:val="auto"/>
          <w:highlight w:val="none"/>
        </w:rPr>
        <w:fldChar w:fldCharType="separate"/>
      </w:r>
      <w:r>
        <w:rPr>
          <w:rFonts w:hint="eastAsia" w:ascii="宋体" w:hAnsi="宋体" w:cs="宋体"/>
          <w:bCs/>
          <w:color w:val="auto"/>
          <w:kern w:val="44"/>
          <w:szCs w:val="21"/>
          <w:highlight w:val="none"/>
          <w:lang w:val="zh-CN"/>
        </w:rPr>
        <w:t>二、竞争性谈判文件</w:t>
      </w:r>
      <w:r>
        <w:rPr>
          <w:color w:val="auto"/>
          <w:highlight w:val="none"/>
        </w:rPr>
        <w:tab/>
      </w:r>
      <w:r>
        <w:rPr>
          <w:color w:val="auto"/>
          <w:highlight w:val="none"/>
        </w:rPr>
        <w:fldChar w:fldCharType="begin"/>
      </w:r>
      <w:r>
        <w:rPr>
          <w:color w:val="auto"/>
          <w:highlight w:val="none"/>
        </w:rPr>
        <w:instrText xml:space="preserve"> PAGEREF _Toc3289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37929D5C">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"_Toc10276" </w:instrText>
      </w:r>
      <w:r>
        <w:rPr>
          <w:color w:val="auto"/>
          <w:highlight w:val="none"/>
        </w:rPr>
        <w:fldChar w:fldCharType="separate"/>
      </w:r>
      <w:r>
        <w:rPr>
          <w:rFonts w:hint="eastAsia" w:ascii="宋体" w:hAnsi="宋体" w:cs="宋体"/>
          <w:i w:val="0"/>
          <w:iCs w:val="0"/>
          <w:color w:val="auto"/>
          <w:kern w:val="2"/>
          <w:szCs w:val="21"/>
          <w:highlight w:val="none"/>
        </w:rPr>
        <w:t xml:space="preserve">5 </w:t>
      </w:r>
      <w:r>
        <w:rPr>
          <w:rFonts w:hint="eastAsia" w:ascii="宋体" w:hAnsi="宋体" w:cs="宋体"/>
          <w:i w:val="0"/>
          <w:iCs w:val="0"/>
          <w:color w:val="auto"/>
          <w:kern w:val="2"/>
          <w:szCs w:val="21"/>
          <w:highlight w:val="none"/>
          <w:lang w:val="zh-CN"/>
        </w:rPr>
        <w:t>竞争性谈判文件的构成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_Toc10276 \h </w:instrText>
      </w:r>
      <w:r>
        <w:rPr>
          <w:i w:val="0"/>
          <w:iCs w:val="0"/>
          <w:color w:val="auto"/>
          <w:highlight w:val="none"/>
        </w:rPr>
        <w:fldChar w:fldCharType="separate"/>
      </w:r>
      <w:r>
        <w:rPr>
          <w:i w:val="0"/>
          <w:iCs w:val="0"/>
          <w:color w:val="auto"/>
          <w:highlight w:val="none"/>
        </w:rPr>
        <w:t>7</w:t>
      </w:r>
      <w:r>
        <w:rPr>
          <w:i w:val="0"/>
          <w:iCs w:val="0"/>
          <w:color w:val="auto"/>
          <w:highlight w:val="none"/>
        </w:rPr>
        <w:fldChar w:fldCharType="end"/>
      </w:r>
      <w:r>
        <w:rPr>
          <w:i w:val="0"/>
          <w:iCs w:val="0"/>
          <w:color w:val="auto"/>
          <w:highlight w:val="none"/>
        </w:rPr>
        <w:fldChar w:fldCharType="end"/>
      </w:r>
    </w:p>
    <w:p w14:paraId="0EAB9317">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"_Toc30603" </w:instrText>
      </w:r>
      <w:r>
        <w:rPr>
          <w:color w:val="auto"/>
          <w:highlight w:val="none"/>
        </w:rPr>
        <w:fldChar w:fldCharType="separate"/>
      </w:r>
      <w:r>
        <w:rPr>
          <w:rFonts w:hint="eastAsia" w:ascii="宋体" w:hAnsi="宋体" w:cs="宋体"/>
          <w:i w:val="0"/>
          <w:iCs w:val="0"/>
          <w:color w:val="auto"/>
          <w:kern w:val="2"/>
          <w:szCs w:val="21"/>
          <w:highlight w:val="none"/>
          <w:lang w:val="zh-CN"/>
        </w:rPr>
        <w:t>6</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竞争性谈判文件的异议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_Toc30603 \h </w:instrText>
      </w:r>
      <w:r>
        <w:rPr>
          <w:i w:val="0"/>
          <w:iCs w:val="0"/>
          <w:color w:val="auto"/>
          <w:highlight w:val="none"/>
        </w:rPr>
        <w:fldChar w:fldCharType="separate"/>
      </w:r>
      <w:r>
        <w:rPr>
          <w:i w:val="0"/>
          <w:iCs w:val="0"/>
          <w:color w:val="auto"/>
          <w:highlight w:val="none"/>
        </w:rPr>
        <w:t>8</w:t>
      </w:r>
      <w:r>
        <w:rPr>
          <w:i w:val="0"/>
          <w:iCs w:val="0"/>
          <w:color w:val="auto"/>
          <w:highlight w:val="none"/>
        </w:rPr>
        <w:fldChar w:fldCharType="end"/>
      </w:r>
      <w:r>
        <w:rPr>
          <w:i w:val="0"/>
          <w:iCs w:val="0"/>
          <w:color w:val="auto"/>
          <w:highlight w:val="none"/>
        </w:rPr>
        <w:fldChar w:fldCharType="end"/>
      </w:r>
    </w:p>
    <w:p w14:paraId="67368377">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"_Toc7089" </w:instrText>
      </w:r>
      <w:r>
        <w:rPr>
          <w:color w:val="auto"/>
          <w:highlight w:val="none"/>
        </w:rPr>
        <w:fldChar w:fldCharType="separate"/>
      </w:r>
      <w:r>
        <w:rPr>
          <w:rFonts w:hint="eastAsia" w:ascii="宋体" w:hAnsi="宋体" w:cs="宋体"/>
          <w:i w:val="0"/>
          <w:iCs w:val="0"/>
          <w:color w:val="auto"/>
          <w:kern w:val="2"/>
          <w:szCs w:val="21"/>
          <w:highlight w:val="none"/>
          <w:lang w:val="zh-CN"/>
        </w:rPr>
        <w:t>7</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竞争性谈判文件的澄清及修改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_Toc7089 \h </w:instrText>
      </w:r>
      <w:r>
        <w:rPr>
          <w:i w:val="0"/>
          <w:iCs w:val="0"/>
          <w:color w:val="auto"/>
          <w:highlight w:val="none"/>
        </w:rPr>
        <w:fldChar w:fldCharType="separate"/>
      </w:r>
      <w:r>
        <w:rPr>
          <w:i w:val="0"/>
          <w:iCs w:val="0"/>
          <w:color w:val="auto"/>
          <w:highlight w:val="none"/>
        </w:rPr>
        <w:t>8</w:t>
      </w:r>
      <w:r>
        <w:rPr>
          <w:i w:val="0"/>
          <w:iCs w:val="0"/>
          <w:color w:val="auto"/>
          <w:highlight w:val="none"/>
        </w:rPr>
        <w:fldChar w:fldCharType="end"/>
      </w:r>
      <w:r>
        <w:rPr>
          <w:i w:val="0"/>
          <w:iCs w:val="0"/>
          <w:color w:val="auto"/>
          <w:highlight w:val="none"/>
        </w:rPr>
        <w:fldChar w:fldCharType="end"/>
      </w:r>
    </w:p>
    <w:p w14:paraId="315E4938">
      <w:pPr>
        <w:pStyle w:val="47"/>
        <w:tabs>
          <w:tab w:val="right" w:leader="dot" w:pos="9070"/>
        </w:tabs>
        <w:rPr>
          <w:color w:val="auto"/>
          <w:highlight w:val="none"/>
        </w:rPr>
      </w:pPr>
      <w:r>
        <w:rPr>
          <w:color w:val="auto"/>
          <w:highlight w:val="none"/>
        </w:rPr>
        <w:fldChar w:fldCharType="begin"/>
      </w:r>
      <w:r>
        <w:rPr>
          <w:color w:val="auto"/>
          <w:highlight w:val="none"/>
        </w:rPr>
        <w:instrText xml:space="preserve"> HYPERLINK \l "_Toc21924" </w:instrText>
      </w:r>
      <w:r>
        <w:rPr>
          <w:color w:val="auto"/>
          <w:highlight w:val="none"/>
        </w:rPr>
        <w:fldChar w:fldCharType="separate"/>
      </w:r>
      <w:r>
        <w:rPr>
          <w:rFonts w:hint="eastAsia" w:ascii="宋体" w:hAnsi="宋体" w:cs="宋体"/>
          <w:bCs/>
          <w:color w:val="auto"/>
          <w:kern w:val="44"/>
          <w:szCs w:val="21"/>
          <w:highlight w:val="none"/>
          <w:lang w:val="zh-CN"/>
        </w:rPr>
        <w:t>三、响应文件的编制</w:t>
      </w:r>
      <w:r>
        <w:rPr>
          <w:color w:val="auto"/>
          <w:highlight w:val="none"/>
        </w:rPr>
        <w:tab/>
      </w:r>
      <w:r>
        <w:rPr>
          <w:color w:val="auto"/>
          <w:highlight w:val="none"/>
        </w:rPr>
        <w:fldChar w:fldCharType="begin"/>
      </w:r>
      <w:r>
        <w:rPr>
          <w:color w:val="auto"/>
          <w:highlight w:val="none"/>
        </w:rPr>
        <w:instrText xml:space="preserve"> PAGEREF _Toc21924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92BACC8">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"_Toc23623" </w:instrText>
      </w:r>
      <w:r>
        <w:rPr>
          <w:color w:val="auto"/>
          <w:highlight w:val="none"/>
        </w:rPr>
        <w:fldChar w:fldCharType="separate"/>
      </w:r>
      <w:r>
        <w:rPr>
          <w:rFonts w:hint="eastAsia" w:ascii="宋体" w:hAnsi="宋体" w:cs="宋体"/>
          <w:i w:val="0"/>
          <w:iCs w:val="0"/>
          <w:color w:val="auto"/>
          <w:kern w:val="2"/>
          <w:szCs w:val="21"/>
          <w:highlight w:val="none"/>
          <w:lang w:val="zh-CN"/>
        </w:rPr>
        <w:t>8</w:t>
      </w:r>
      <w:r>
        <w:rPr>
          <w:rFonts w:hint="eastAsia" w:ascii="宋体" w:hAnsi="宋体" w:cs="宋体"/>
          <w:i w:val="0"/>
          <w:iCs w:val="0"/>
          <w:color w:val="auto"/>
          <w:kern w:val="2"/>
          <w:szCs w:val="21"/>
          <w:highlight w:val="none"/>
        </w:rPr>
        <w:t xml:space="preserve"> 响应文件</w:t>
      </w:r>
      <w:r>
        <w:rPr>
          <w:rFonts w:hint="eastAsia" w:ascii="宋体" w:hAnsi="宋体" w:cs="宋体"/>
          <w:i w:val="0"/>
          <w:iCs w:val="0"/>
          <w:color w:val="auto"/>
          <w:kern w:val="2"/>
          <w:szCs w:val="21"/>
          <w:highlight w:val="none"/>
          <w:lang w:val="zh-CN"/>
        </w:rPr>
        <w:t>使用的文字及度量衡单位</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_Toc23623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i w:val="0"/>
          <w:iCs w:val="0"/>
          <w:color w:val="auto"/>
          <w:highlight w:val="none"/>
        </w:rPr>
        <w:fldChar w:fldCharType="end"/>
      </w:r>
    </w:p>
    <w:p w14:paraId="6B903A6A">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"_Toc29655" </w:instrText>
      </w:r>
      <w:r>
        <w:rPr>
          <w:color w:val="auto"/>
          <w:highlight w:val="none"/>
        </w:rPr>
        <w:fldChar w:fldCharType="separate"/>
      </w:r>
      <w:r>
        <w:rPr>
          <w:rFonts w:hint="eastAsia" w:ascii="宋体" w:hAnsi="宋体" w:cs="宋体"/>
          <w:i w:val="0"/>
          <w:iCs w:val="0"/>
          <w:color w:val="auto"/>
          <w:kern w:val="2"/>
          <w:szCs w:val="21"/>
          <w:highlight w:val="none"/>
          <w:lang w:val="zh-CN"/>
        </w:rPr>
        <w:t>9</w:t>
      </w:r>
      <w:r>
        <w:rPr>
          <w:rFonts w:hint="eastAsia" w:ascii="宋体" w:hAnsi="宋体" w:cs="宋体"/>
          <w:i w:val="0"/>
          <w:iCs w:val="0"/>
          <w:color w:val="auto"/>
          <w:kern w:val="2"/>
          <w:szCs w:val="21"/>
          <w:highlight w:val="none"/>
        </w:rPr>
        <w:t xml:space="preserve"> 响应文件</w:t>
      </w:r>
      <w:r>
        <w:rPr>
          <w:rFonts w:hint="eastAsia" w:ascii="宋体" w:hAnsi="宋体" w:cs="宋体"/>
          <w:i w:val="0"/>
          <w:iCs w:val="0"/>
          <w:color w:val="auto"/>
          <w:kern w:val="2"/>
          <w:szCs w:val="21"/>
          <w:highlight w:val="none"/>
          <w:lang w:val="zh-CN"/>
        </w:rPr>
        <w:t>的组成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_Toc29655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i w:val="0"/>
          <w:iCs w:val="0"/>
          <w:color w:val="auto"/>
          <w:highlight w:val="none"/>
        </w:rPr>
        <w:fldChar w:fldCharType="end"/>
      </w:r>
    </w:p>
    <w:p w14:paraId="171DD279">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"_Toc4080" </w:instrText>
      </w:r>
      <w:r>
        <w:rPr>
          <w:color w:val="auto"/>
          <w:highlight w:val="none"/>
        </w:rPr>
        <w:fldChar w:fldCharType="separate"/>
      </w:r>
      <w:r>
        <w:rPr>
          <w:rFonts w:hint="eastAsia" w:ascii="宋体" w:hAnsi="宋体" w:cs="宋体"/>
          <w:i w:val="0"/>
          <w:iCs w:val="0"/>
          <w:color w:val="auto"/>
          <w:kern w:val="2"/>
          <w:szCs w:val="21"/>
          <w:highlight w:val="none"/>
          <w:lang w:val="zh-CN"/>
        </w:rPr>
        <w:t>10</w:t>
      </w:r>
      <w:r>
        <w:rPr>
          <w:rFonts w:hint="eastAsia" w:ascii="宋体" w:hAnsi="宋体" w:cs="宋体"/>
          <w:i w:val="0"/>
          <w:iCs w:val="0"/>
          <w:color w:val="auto"/>
          <w:kern w:val="2"/>
          <w:szCs w:val="21"/>
          <w:highlight w:val="none"/>
        </w:rPr>
        <w:t xml:space="preserve"> 响应函</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_Toc4080 \h </w:instrText>
      </w:r>
      <w:r>
        <w:rPr>
          <w:i w:val="0"/>
          <w:iCs w:val="0"/>
          <w:color w:val="auto"/>
          <w:highlight w:val="none"/>
        </w:rPr>
        <w:fldChar w:fldCharType="separate"/>
      </w:r>
      <w:r>
        <w:rPr>
          <w:i w:val="0"/>
          <w:iCs w:val="0"/>
          <w:color w:val="auto"/>
          <w:highlight w:val="none"/>
        </w:rPr>
        <w:t>10</w:t>
      </w:r>
      <w:r>
        <w:rPr>
          <w:i w:val="0"/>
          <w:iCs w:val="0"/>
          <w:color w:val="auto"/>
          <w:highlight w:val="none"/>
        </w:rPr>
        <w:fldChar w:fldCharType="end"/>
      </w:r>
      <w:r>
        <w:rPr>
          <w:i w:val="0"/>
          <w:iCs w:val="0"/>
          <w:color w:val="auto"/>
          <w:highlight w:val="none"/>
        </w:rPr>
        <w:fldChar w:fldCharType="end"/>
      </w:r>
    </w:p>
    <w:p w14:paraId="6E20170A">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"_Toc9144" </w:instrText>
      </w:r>
      <w:r>
        <w:rPr>
          <w:color w:val="auto"/>
          <w:highlight w:val="none"/>
        </w:rPr>
        <w:fldChar w:fldCharType="separate"/>
      </w:r>
      <w:r>
        <w:rPr>
          <w:rFonts w:hint="eastAsia" w:ascii="宋体" w:hAnsi="宋体" w:cs="宋体"/>
          <w:bCs/>
          <w:i w:val="0"/>
          <w:iCs w:val="0"/>
          <w:color w:val="auto"/>
          <w:kern w:val="2"/>
          <w:szCs w:val="21"/>
          <w:highlight w:val="none"/>
          <w:lang w:val="zh-CN"/>
        </w:rPr>
        <w:t>11</w:t>
      </w:r>
      <w:r>
        <w:rPr>
          <w:rFonts w:hint="eastAsia" w:ascii="宋体" w:hAnsi="宋体" w:cs="宋体"/>
          <w:bCs/>
          <w:i w:val="0"/>
          <w:iCs w:val="0"/>
          <w:color w:val="auto"/>
          <w:kern w:val="2"/>
          <w:szCs w:val="21"/>
          <w:highlight w:val="none"/>
        </w:rPr>
        <w:t xml:space="preserve"> </w:t>
      </w:r>
      <w:r>
        <w:rPr>
          <w:rFonts w:hint="eastAsia" w:ascii="宋体" w:hAnsi="宋体" w:cs="宋体"/>
          <w:bCs/>
          <w:i w:val="0"/>
          <w:iCs w:val="0"/>
          <w:color w:val="auto"/>
          <w:kern w:val="2"/>
          <w:szCs w:val="21"/>
          <w:highlight w:val="none"/>
          <w:lang w:val="zh-CN"/>
        </w:rPr>
        <w:t>响应报价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_Toc9144 \h </w:instrText>
      </w:r>
      <w:r>
        <w:rPr>
          <w:i w:val="0"/>
          <w:iCs w:val="0"/>
          <w:color w:val="auto"/>
          <w:highlight w:val="none"/>
        </w:rPr>
        <w:fldChar w:fldCharType="separate"/>
      </w:r>
      <w:r>
        <w:rPr>
          <w:i w:val="0"/>
          <w:iCs w:val="0"/>
          <w:color w:val="auto"/>
          <w:highlight w:val="none"/>
        </w:rPr>
        <w:t>10</w:t>
      </w:r>
      <w:r>
        <w:rPr>
          <w:i w:val="0"/>
          <w:iCs w:val="0"/>
          <w:color w:val="auto"/>
          <w:highlight w:val="none"/>
        </w:rPr>
        <w:fldChar w:fldCharType="end"/>
      </w:r>
      <w:r>
        <w:rPr>
          <w:i w:val="0"/>
          <w:iCs w:val="0"/>
          <w:color w:val="auto"/>
          <w:highlight w:val="none"/>
        </w:rPr>
        <w:fldChar w:fldCharType="end"/>
      </w:r>
    </w:p>
    <w:p w14:paraId="6020C57B">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"_Toc16084" </w:instrText>
      </w:r>
      <w:r>
        <w:rPr>
          <w:color w:val="auto"/>
          <w:highlight w:val="none"/>
        </w:rPr>
        <w:fldChar w:fldCharType="separate"/>
      </w:r>
      <w:r>
        <w:rPr>
          <w:rFonts w:hint="eastAsia" w:ascii="宋体" w:hAnsi="宋体" w:cs="宋体"/>
          <w:bCs/>
          <w:i w:val="0"/>
          <w:iCs w:val="0"/>
          <w:color w:val="auto"/>
          <w:kern w:val="2"/>
          <w:szCs w:val="21"/>
          <w:highlight w:val="none"/>
          <w:lang w:val="zh-CN"/>
        </w:rPr>
        <w:t>12</w:t>
      </w:r>
      <w:r>
        <w:rPr>
          <w:rFonts w:hint="eastAsia" w:ascii="宋体" w:hAnsi="宋体" w:cs="宋体"/>
          <w:bCs/>
          <w:i w:val="0"/>
          <w:iCs w:val="0"/>
          <w:color w:val="auto"/>
          <w:kern w:val="2"/>
          <w:szCs w:val="21"/>
          <w:highlight w:val="none"/>
        </w:rPr>
        <w:t xml:space="preserve"> </w:t>
      </w:r>
      <w:r>
        <w:rPr>
          <w:rFonts w:hint="eastAsia" w:ascii="宋体" w:hAnsi="宋体" w:cs="宋体"/>
          <w:bCs/>
          <w:i w:val="0"/>
          <w:iCs w:val="0"/>
          <w:color w:val="auto"/>
          <w:kern w:val="2"/>
          <w:szCs w:val="21"/>
          <w:highlight w:val="none"/>
          <w:lang w:val="zh-CN"/>
        </w:rPr>
        <w:t>响应报价货币</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_Toc16084 \h </w:instrText>
      </w:r>
      <w:r>
        <w:rPr>
          <w:i w:val="0"/>
          <w:iCs w:val="0"/>
          <w:color w:val="auto"/>
          <w:highlight w:val="none"/>
        </w:rPr>
        <w:fldChar w:fldCharType="separate"/>
      </w:r>
      <w:r>
        <w:rPr>
          <w:i w:val="0"/>
          <w:iCs w:val="0"/>
          <w:color w:val="auto"/>
          <w:highlight w:val="none"/>
        </w:rPr>
        <w:t>11</w:t>
      </w:r>
      <w:r>
        <w:rPr>
          <w:i w:val="0"/>
          <w:iCs w:val="0"/>
          <w:color w:val="auto"/>
          <w:highlight w:val="none"/>
        </w:rPr>
        <w:fldChar w:fldCharType="end"/>
      </w:r>
      <w:r>
        <w:rPr>
          <w:i w:val="0"/>
          <w:iCs w:val="0"/>
          <w:color w:val="auto"/>
          <w:highlight w:val="none"/>
        </w:rPr>
        <w:fldChar w:fldCharType="end"/>
      </w:r>
    </w:p>
    <w:p w14:paraId="6444DA6B">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"_Toc32276" </w:instrText>
      </w:r>
      <w:r>
        <w:rPr>
          <w:color w:val="auto"/>
          <w:highlight w:val="none"/>
        </w:rPr>
        <w:fldChar w:fldCharType="separate"/>
      </w:r>
      <w:r>
        <w:rPr>
          <w:rFonts w:hint="eastAsia" w:ascii="宋体" w:hAnsi="宋体" w:cs="宋体"/>
          <w:i w:val="0"/>
          <w:iCs w:val="0"/>
          <w:color w:val="auto"/>
          <w:kern w:val="2"/>
          <w:szCs w:val="21"/>
          <w:highlight w:val="none"/>
          <w:lang w:val="zh-CN"/>
        </w:rPr>
        <w:t>13</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证明供应商的合格性和资格的声明文件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_Toc32276 \h </w:instrText>
      </w:r>
      <w:r>
        <w:rPr>
          <w:i w:val="0"/>
          <w:iCs w:val="0"/>
          <w:color w:val="auto"/>
          <w:highlight w:val="none"/>
        </w:rPr>
        <w:fldChar w:fldCharType="separate"/>
      </w:r>
      <w:r>
        <w:rPr>
          <w:i w:val="0"/>
          <w:iCs w:val="0"/>
          <w:color w:val="auto"/>
          <w:highlight w:val="none"/>
        </w:rPr>
        <w:t>11</w:t>
      </w:r>
      <w:r>
        <w:rPr>
          <w:i w:val="0"/>
          <w:iCs w:val="0"/>
          <w:color w:val="auto"/>
          <w:highlight w:val="none"/>
        </w:rPr>
        <w:fldChar w:fldCharType="end"/>
      </w:r>
      <w:r>
        <w:rPr>
          <w:i w:val="0"/>
          <w:iCs w:val="0"/>
          <w:color w:val="auto"/>
          <w:highlight w:val="none"/>
        </w:rPr>
        <w:fldChar w:fldCharType="end"/>
      </w:r>
    </w:p>
    <w:p w14:paraId="407C39CD">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"_Toc4809" </w:instrText>
      </w:r>
      <w:r>
        <w:rPr>
          <w:color w:val="auto"/>
          <w:highlight w:val="none"/>
        </w:rPr>
        <w:fldChar w:fldCharType="separate"/>
      </w:r>
      <w:r>
        <w:rPr>
          <w:rFonts w:hint="eastAsia" w:ascii="宋体" w:hAnsi="宋体" w:cs="宋体"/>
          <w:i w:val="0"/>
          <w:iCs w:val="0"/>
          <w:color w:val="auto"/>
          <w:kern w:val="2"/>
          <w:szCs w:val="21"/>
          <w:highlight w:val="none"/>
          <w:lang w:val="zh-CN"/>
        </w:rPr>
        <w:t>14</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证明服务的合格性并符合竞争性谈判文件规定的声明文件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_Toc4809 \h </w:instrText>
      </w:r>
      <w:r>
        <w:rPr>
          <w:i w:val="0"/>
          <w:iCs w:val="0"/>
          <w:color w:val="auto"/>
          <w:highlight w:val="none"/>
        </w:rPr>
        <w:fldChar w:fldCharType="separate"/>
      </w:r>
      <w:r>
        <w:rPr>
          <w:i w:val="0"/>
          <w:iCs w:val="0"/>
          <w:color w:val="auto"/>
          <w:highlight w:val="none"/>
        </w:rPr>
        <w:t>12</w:t>
      </w:r>
      <w:r>
        <w:rPr>
          <w:i w:val="0"/>
          <w:iCs w:val="0"/>
          <w:color w:val="auto"/>
          <w:highlight w:val="none"/>
        </w:rPr>
        <w:fldChar w:fldCharType="end"/>
      </w:r>
      <w:r>
        <w:rPr>
          <w:i w:val="0"/>
          <w:iCs w:val="0"/>
          <w:color w:val="auto"/>
          <w:highlight w:val="none"/>
        </w:rPr>
        <w:fldChar w:fldCharType="end"/>
      </w:r>
    </w:p>
    <w:p w14:paraId="78C23BC5">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"_Toc4281" </w:instrText>
      </w:r>
      <w:r>
        <w:rPr>
          <w:color w:val="auto"/>
          <w:highlight w:val="none"/>
        </w:rPr>
        <w:fldChar w:fldCharType="separate"/>
      </w:r>
      <w:r>
        <w:rPr>
          <w:rFonts w:hint="eastAsia" w:ascii="宋体" w:hAnsi="宋体" w:cs="宋体"/>
          <w:bCs/>
          <w:i w:val="0"/>
          <w:iCs w:val="0"/>
          <w:color w:val="auto"/>
          <w:kern w:val="2"/>
          <w:szCs w:val="21"/>
          <w:highlight w:val="none"/>
          <w:lang w:val="zh-CN"/>
        </w:rPr>
        <w:t>15</w:t>
      </w:r>
      <w:r>
        <w:rPr>
          <w:rFonts w:hint="eastAsia" w:ascii="宋体" w:hAnsi="宋体" w:cs="宋体"/>
          <w:bCs/>
          <w:i w:val="0"/>
          <w:iCs w:val="0"/>
          <w:color w:val="auto"/>
          <w:kern w:val="2"/>
          <w:szCs w:val="21"/>
          <w:highlight w:val="none"/>
        </w:rPr>
        <w:t xml:space="preserve"> 响应保证金</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_Toc4281 \h </w:instrText>
      </w:r>
      <w:r>
        <w:rPr>
          <w:i w:val="0"/>
          <w:iCs w:val="0"/>
          <w:color w:val="auto"/>
          <w:highlight w:val="none"/>
        </w:rPr>
        <w:fldChar w:fldCharType="separate"/>
      </w:r>
      <w:r>
        <w:rPr>
          <w:i w:val="0"/>
          <w:iCs w:val="0"/>
          <w:color w:val="auto"/>
          <w:highlight w:val="none"/>
        </w:rPr>
        <w:t>12</w:t>
      </w:r>
      <w:r>
        <w:rPr>
          <w:i w:val="0"/>
          <w:iCs w:val="0"/>
          <w:color w:val="auto"/>
          <w:highlight w:val="none"/>
        </w:rPr>
        <w:fldChar w:fldCharType="end"/>
      </w:r>
      <w:r>
        <w:rPr>
          <w:i w:val="0"/>
          <w:iCs w:val="0"/>
          <w:color w:val="auto"/>
          <w:highlight w:val="none"/>
        </w:rPr>
        <w:fldChar w:fldCharType="end"/>
      </w:r>
    </w:p>
    <w:p w14:paraId="4E7BEDA6">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"_Toc2159" </w:instrText>
      </w:r>
      <w:r>
        <w:rPr>
          <w:color w:val="auto"/>
          <w:highlight w:val="none"/>
        </w:rPr>
        <w:fldChar w:fldCharType="separate"/>
      </w:r>
      <w:r>
        <w:rPr>
          <w:rFonts w:hint="eastAsia" w:ascii="宋体" w:hAnsi="宋体" w:cs="宋体"/>
          <w:i w:val="0"/>
          <w:iCs w:val="0"/>
          <w:color w:val="auto"/>
          <w:kern w:val="2"/>
          <w:szCs w:val="21"/>
          <w:highlight w:val="none"/>
          <w:lang w:val="zh-CN"/>
        </w:rPr>
        <w:t>16</w:t>
      </w:r>
      <w:r>
        <w:rPr>
          <w:rFonts w:hint="eastAsia" w:ascii="宋体" w:hAnsi="宋体" w:cs="宋体"/>
          <w:i w:val="0"/>
          <w:iCs w:val="0"/>
          <w:color w:val="auto"/>
          <w:kern w:val="2"/>
          <w:szCs w:val="21"/>
          <w:highlight w:val="none"/>
        </w:rPr>
        <w:t xml:space="preserve"> 响应</w:t>
      </w:r>
      <w:r>
        <w:rPr>
          <w:rFonts w:hint="eastAsia" w:ascii="宋体" w:hAnsi="宋体" w:cs="宋体"/>
          <w:i w:val="0"/>
          <w:iCs w:val="0"/>
          <w:color w:val="auto"/>
          <w:kern w:val="2"/>
          <w:szCs w:val="21"/>
          <w:highlight w:val="none"/>
          <w:lang w:val="zh-CN"/>
        </w:rPr>
        <w:t>有效期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_Toc2159 \h </w:instrText>
      </w:r>
      <w:r>
        <w:rPr>
          <w:i w:val="0"/>
          <w:iCs w:val="0"/>
          <w:color w:val="auto"/>
          <w:highlight w:val="none"/>
        </w:rPr>
        <w:fldChar w:fldCharType="separate"/>
      </w:r>
      <w:r>
        <w:rPr>
          <w:i w:val="0"/>
          <w:iCs w:val="0"/>
          <w:color w:val="auto"/>
          <w:highlight w:val="none"/>
        </w:rPr>
        <w:t>13</w:t>
      </w:r>
      <w:r>
        <w:rPr>
          <w:i w:val="0"/>
          <w:iCs w:val="0"/>
          <w:color w:val="auto"/>
          <w:highlight w:val="none"/>
        </w:rPr>
        <w:fldChar w:fldCharType="end"/>
      </w:r>
      <w:r>
        <w:rPr>
          <w:i w:val="0"/>
          <w:iCs w:val="0"/>
          <w:color w:val="auto"/>
          <w:highlight w:val="none"/>
        </w:rPr>
        <w:fldChar w:fldCharType="end"/>
      </w:r>
    </w:p>
    <w:p w14:paraId="0358E787">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"_Toc7081" </w:instrText>
      </w:r>
      <w:r>
        <w:rPr>
          <w:color w:val="auto"/>
          <w:highlight w:val="none"/>
        </w:rPr>
        <w:fldChar w:fldCharType="separate"/>
      </w:r>
      <w:r>
        <w:rPr>
          <w:rFonts w:hint="eastAsia" w:ascii="宋体" w:hAnsi="宋体" w:cs="宋体"/>
          <w:i w:val="0"/>
          <w:iCs w:val="0"/>
          <w:color w:val="auto"/>
          <w:kern w:val="2"/>
          <w:szCs w:val="21"/>
          <w:highlight w:val="none"/>
          <w:lang w:val="zh-CN"/>
        </w:rPr>
        <w:t>17</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响应文件的式样和签署</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_Toc7081 \h </w:instrText>
      </w:r>
      <w:r>
        <w:rPr>
          <w:i w:val="0"/>
          <w:iCs w:val="0"/>
          <w:color w:val="auto"/>
          <w:highlight w:val="none"/>
        </w:rPr>
        <w:fldChar w:fldCharType="separate"/>
      </w:r>
      <w:r>
        <w:rPr>
          <w:i w:val="0"/>
          <w:iCs w:val="0"/>
          <w:color w:val="auto"/>
          <w:highlight w:val="none"/>
        </w:rPr>
        <w:t>13</w:t>
      </w:r>
      <w:r>
        <w:rPr>
          <w:i w:val="0"/>
          <w:iCs w:val="0"/>
          <w:color w:val="auto"/>
          <w:highlight w:val="none"/>
        </w:rPr>
        <w:fldChar w:fldCharType="end"/>
      </w:r>
      <w:r>
        <w:rPr>
          <w:i w:val="0"/>
          <w:iCs w:val="0"/>
          <w:color w:val="auto"/>
          <w:highlight w:val="none"/>
        </w:rPr>
        <w:fldChar w:fldCharType="end"/>
      </w:r>
    </w:p>
    <w:p w14:paraId="04B6E0F1">
      <w:pPr>
        <w:pStyle w:val="47"/>
        <w:tabs>
          <w:tab w:val="right" w:leader="dot" w:pos="9070"/>
        </w:tabs>
        <w:rPr>
          <w:color w:val="auto"/>
          <w:highlight w:val="none"/>
        </w:rPr>
      </w:pPr>
      <w:r>
        <w:rPr>
          <w:color w:val="auto"/>
          <w:highlight w:val="none"/>
        </w:rPr>
        <w:fldChar w:fldCharType="begin"/>
      </w:r>
      <w:r>
        <w:rPr>
          <w:color w:val="auto"/>
          <w:highlight w:val="none"/>
        </w:rPr>
        <w:instrText xml:space="preserve"> HYPERLINK \l "_Toc17947" </w:instrText>
      </w:r>
      <w:r>
        <w:rPr>
          <w:color w:val="auto"/>
          <w:highlight w:val="none"/>
        </w:rPr>
        <w:fldChar w:fldCharType="separate"/>
      </w:r>
      <w:r>
        <w:rPr>
          <w:rFonts w:hint="eastAsia" w:ascii="宋体" w:hAnsi="宋体" w:cs="宋体"/>
          <w:bCs/>
          <w:color w:val="auto"/>
          <w:kern w:val="44"/>
          <w:szCs w:val="21"/>
          <w:highlight w:val="none"/>
          <w:lang w:val="zh-CN"/>
        </w:rPr>
        <w:t>四、响应文件的递交</w:t>
      </w:r>
      <w:r>
        <w:rPr>
          <w:color w:val="auto"/>
          <w:highlight w:val="none"/>
        </w:rPr>
        <w:tab/>
      </w:r>
      <w:r>
        <w:rPr>
          <w:color w:val="auto"/>
          <w:highlight w:val="none"/>
        </w:rPr>
        <w:fldChar w:fldCharType="begin"/>
      </w:r>
      <w:r>
        <w:rPr>
          <w:color w:val="auto"/>
          <w:highlight w:val="none"/>
        </w:rPr>
        <w:instrText xml:space="preserve"> PAGEREF _Toc17947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6E0282F">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"_Toc24791" </w:instrText>
      </w:r>
      <w:r>
        <w:rPr>
          <w:color w:val="auto"/>
          <w:highlight w:val="none"/>
        </w:rPr>
        <w:fldChar w:fldCharType="separate"/>
      </w:r>
      <w:r>
        <w:rPr>
          <w:rFonts w:hint="eastAsia" w:ascii="宋体" w:hAnsi="宋体" w:cs="宋体"/>
          <w:i w:val="0"/>
          <w:iCs w:val="0"/>
          <w:color w:val="auto"/>
          <w:kern w:val="2"/>
          <w:szCs w:val="21"/>
          <w:highlight w:val="none"/>
          <w:lang w:val="zh-CN"/>
        </w:rPr>
        <w:t>18</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响应文件的密封和标记</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_Toc24791 \h </w:instrText>
      </w:r>
      <w:r>
        <w:rPr>
          <w:i w:val="0"/>
          <w:iCs w:val="0"/>
          <w:color w:val="auto"/>
          <w:highlight w:val="none"/>
        </w:rPr>
        <w:fldChar w:fldCharType="separate"/>
      </w:r>
      <w:r>
        <w:rPr>
          <w:i w:val="0"/>
          <w:iCs w:val="0"/>
          <w:color w:val="auto"/>
          <w:highlight w:val="none"/>
        </w:rPr>
        <w:t>14</w:t>
      </w:r>
      <w:r>
        <w:rPr>
          <w:i w:val="0"/>
          <w:iCs w:val="0"/>
          <w:color w:val="auto"/>
          <w:highlight w:val="none"/>
        </w:rPr>
        <w:fldChar w:fldCharType="end"/>
      </w:r>
      <w:r>
        <w:rPr>
          <w:i w:val="0"/>
          <w:iCs w:val="0"/>
          <w:color w:val="auto"/>
          <w:highlight w:val="none"/>
        </w:rPr>
        <w:fldChar w:fldCharType="end"/>
      </w:r>
    </w:p>
    <w:p w14:paraId="10727A7A">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"_Toc12058" </w:instrText>
      </w:r>
      <w:r>
        <w:rPr>
          <w:color w:val="auto"/>
          <w:highlight w:val="none"/>
        </w:rPr>
        <w:fldChar w:fldCharType="separate"/>
      </w:r>
      <w:r>
        <w:rPr>
          <w:rFonts w:hint="eastAsia" w:ascii="宋体" w:hAnsi="宋体" w:cs="宋体"/>
          <w:i w:val="0"/>
          <w:iCs w:val="0"/>
          <w:color w:val="auto"/>
          <w:kern w:val="2"/>
          <w:szCs w:val="21"/>
          <w:highlight w:val="none"/>
          <w:lang w:val="zh-CN"/>
        </w:rPr>
        <w:t>19</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递交响应文件的截止日期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_Toc12058 \h </w:instrText>
      </w:r>
      <w:r>
        <w:rPr>
          <w:i w:val="0"/>
          <w:iCs w:val="0"/>
          <w:color w:val="auto"/>
          <w:highlight w:val="none"/>
        </w:rPr>
        <w:fldChar w:fldCharType="separate"/>
      </w:r>
      <w:r>
        <w:rPr>
          <w:i w:val="0"/>
          <w:iCs w:val="0"/>
          <w:color w:val="auto"/>
          <w:highlight w:val="none"/>
        </w:rPr>
        <w:t>14</w:t>
      </w:r>
      <w:r>
        <w:rPr>
          <w:i w:val="0"/>
          <w:iCs w:val="0"/>
          <w:color w:val="auto"/>
          <w:highlight w:val="none"/>
        </w:rPr>
        <w:fldChar w:fldCharType="end"/>
      </w:r>
      <w:r>
        <w:rPr>
          <w:i w:val="0"/>
          <w:iCs w:val="0"/>
          <w:color w:val="auto"/>
          <w:highlight w:val="none"/>
        </w:rPr>
        <w:fldChar w:fldCharType="end"/>
      </w:r>
    </w:p>
    <w:p w14:paraId="12D16746">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"_Toc25310" </w:instrText>
      </w:r>
      <w:r>
        <w:rPr>
          <w:color w:val="auto"/>
          <w:highlight w:val="none"/>
        </w:rPr>
        <w:fldChar w:fldCharType="separate"/>
      </w:r>
      <w:r>
        <w:rPr>
          <w:rFonts w:hint="eastAsia" w:ascii="宋体" w:hAnsi="宋体" w:cs="宋体"/>
          <w:i w:val="0"/>
          <w:iCs w:val="0"/>
          <w:color w:val="auto"/>
          <w:kern w:val="2"/>
          <w:szCs w:val="21"/>
          <w:highlight w:val="none"/>
          <w:lang w:val="zh-CN"/>
        </w:rPr>
        <w:t>20</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迟交的响应文件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_Toc25310 \h </w:instrText>
      </w:r>
      <w:r>
        <w:rPr>
          <w:i w:val="0"/>
          <w:iCs w:val="0"/>
          <w:color w:val="auto"/>
          <w:highlight w:val="none"/>
        </w:rPr>
        <w:fldChar w:fldCharType="separate"/>
      </w:r>
      <w:r>
        <w:rPr>
          <w:i w:val="0"/>
          <w:iCs w:val="0"/>
          <w:color w:val="auto"/>
          <w:highlight w:val="none"/>
        </w:rPr>
        <w:t>14</w:t>
      </w:r>
      <w:r>
        <w:rPr>
          <w:i w:val="0"/>
          <w:iCs w:val="0"/>
          <w:color w:val="auto"/>
          <w:highlight w:val="none"/>
        </w:rPr>
        <w:fldChar w:fldCharType="end"/>
      </w:r>
      <w:r>
        <w:rPr>
          <w:i w:val="0"/>
          <w:iCs w:val="0"/>
          <w:color w:val="auto"/>
          <w:highlight w:val="none"/>
        </w:rPr>
        <w:fldChar w:fldCharType="end"/>
      </w:r>
    </w:p>
    <w:p w14:paraId="0673B0D0">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"_Toc15896" </w:instrText>
      </w:r>
      <w:r>
        <w:rPr>
          <w:color w:val="auto"/>
          <w:highlight w:val="none"/>
        </w:rPr>
        <w:fldChar w:fldCharType="separate"/>
      </w:r>
      <w:r>
        <w:rPr>
          <w:rFonts w:hint="eastAsia" w:ascii="宋体" w:hAnsi="宋体" w:cs="宋体"/>
          <w:i w:val="0"/>
          <w:iCs w:val="0"/>
          <w:color w:val="auto"/>
          <w:kern w:val="2"/>
          <w:szCs w:val="21"/>
          <w:highlight w:val="none"/>
          <w:lang w:val="zh-CN"/>
        </w:rPr>
        <w:t>21</w:t>
      </w:r>
      <w:r>
        <w:rPr>
          <w:rFonts w:hint="eastAsia" w:ascii="宋体" w:hAnsi="宋体" w:cs="宋体"/>
          <w:i w:val="0"/>
          <w:iCs w:val="0"/>
          <w:color w:val="auto"/>
          <w:kern w:val="2"/>
          <w:szCs w:val="21"/>
          <w:highlight w:val="none"/>
        </w:rPr>
        <w:t xml:space="preserve"> </w:t>
      </w:r>
      <w:r>
        <w:rPr>
          <w:rFonts w:hint="eastAsia" w:ascii="宋体" w:hAnsi="宋体" w:cs="宋体"/>
          <w:i w:val="0"/>
          <w:iCs w:val="0"/>
          <w:color w:val="auto"/>
          <w:kern w:val="2"/>
          <w:szCs w:val="21"/>
          <w:highlight w:val="none"/>
          <w:lang w:val="zh-CN"/>
        </w:rPr>
        <w:t>响应文件的修改和撤回</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_Toc15896 \h </w:instrText>
      </w:r>
      <w:r>
        <w:rPr>
          <w:i w:val="0"/>
          <w:iCs w:val="0"/>
          <w:color w:val="auto"/>
          <w:highlight w:val="none"/>
        </w:rPr>
        <w:fldChar w:fldCharType="separate"/>
      </w:r>
      <w:r>
        <w:rPr>
          <w:i w:val="0"/>
          <w:iCs w:val="0"/>
          <w:color w:val="auto"/>
          <w:highlight w:val="none"/>
        </w:rPr>
        <w:t>14</w:t>
      </w:r>
      <w:r>
        <w:rPr>
          <w:i w:val="0"/>
          <w:iCs w:val="0"/>
          <w:color w:val="auto"/>
          <w:highlight w:val="none"/>
        </w:rPr>
        <w:fldChar w:fldCharType="end"/>
      </w:r>
      <w:r>
        <w:rPr>
          <w:i w:val="0"/>
          <w:iCs w:val="0"/>
          <w:color w:val="auto"/>
          <w:highlight w:val="none"/>
        </w:rPr>
        <w:fldChar w:fldCharType="end"/>
      </w:r>
    </w:p>
    <w:p w14:paraId="1F52E0E0">
      <w:pPr>
        <w:pStyle w:val="47"/>
        <w:tabs>
          <w:tab w:val="right" w:leader="dot" w:pos="9070"/>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"_Toc4687" </w:instrText>
      </w:r>
      <w:r>
        <w:rPr>
          <w:color w:val="auto"/>
          <w:highlight w:val="none"/>
        </w:rPr>
        <w:fldChar w:fldCharType="separate"/>
      </w:r>
      <w:r>
        <w:rPr>
          <w:rFonts w:hint="eastAsia" w:ascii="宋体" w:hAnsi="宋体" w:cs="宋体"/>
          <w:bCs/>
          <w:color w:val="auto"/>
          <w:kern w:val="44"/>
          <w:szCs w:val="21"/>
          <w:highlight w:val="none"/>
          <w:lang w:val="zh-CN"/>
        </w:rPr>
        <w:t>五、</w:t>
      </w:r>
      <w:r>
        <w:rPr>
          <w:rFonts w:hint="eastAsia" w:ascii="宋体" w:hAnsi="宋体" w:cs="宋体"/>
          <w:bCs/>
          <w:color w:val="auto"/>
          <w:kern w:val="44"/>
          <w:szCs w:val="21"/>
          <w:highlight w:val="none"/>
        </w:rPr>
        <w:t>响应文件的开启与评审</w:t>
      </w:r>
      <w:r>
        <w:rPr>
          <w:color w:val="auto"/>
          <w:highlight w:val="none"/>
        </w:rPr>
        <w:tab/>
      </w:r>
      <w:r>
        <w:rPr>
          <w:color w:val="auto"/>
          <w:highlight w:val="none"/>
        </w:rPr>
        <w:fldChar w:fldCharType="end"/>
      </w:r>
      <w:r>
        <w:rPr>
          <w:rFonts w:hint="eastAsia"/>
          <w:color w:val="auto"/>
          <w:highlight w:val="none"/>
          <w:lang w:val="en-US" w:eastAsia="zh-CN"/>
        </w:rPr>
        <w:t>14</w:t>
      </w:r>
    </w:p>
    <w:p w14:paraId="4989A586">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"_Toc18346" </w:instrText>
      </w:r>
      <w:r>
        <w:rPr>
          <w:color w:val="auto"/>
          <w:highlight w:val="none"/>
        </w:rPr>
        <w:fldChar w:fldCharType="separate"/>
      </w:r>
      <w:r>
        <w:rPr>
          <w:rFonts w:hint="eastAsia" w:ascii="宋体" w:hAnsi="宋体" w:cs="宋体"/>
          <w:i w:val="0"/>
          <w:iCs w:val="0"/>
          <w:color w:val="auto"/>
          <w:szCs w:val="21"/>
          <w:highlight w:val="none"/>
          <w:lang w:val="zh-CN"/>
        </w:rPr>
        <w:t>22</w:t>
      </w:r>
      <w:r>
        <w:rPr>
          <w:rFonts w:ascii="宋体" w:hAnsi="宋体" w:cs="宋体"/>
          <w:i w:val="0"/>
          <w:iCs w:val="0"/>
          <w:color w:val="auto"/>
          <w:szCs w:val="21"/>
          <w:highlight w:val="none"/>
          <w:lang w:val="zh-CN"/>
        </w:rPr>
        <w:t xml:space="preserve"> </w:t>
      </w:r>
      <w:r>
        <w:rPr>
          <w:rFonts w:hint="eastAsia" w:ascii="宋体" w:hAnsi="宋体" w:cs="宋体"/>
          <w:i w:val="0"/>
          <w:iCs w:val="0"/>
          <w:color w:val="auto"/>
          <w:szCs w:val="21"/>
          <w:highlight w:val="none"/>
          <w:lang w:val="zh-CN"/>
        </w:rPr>
        <w:t>响应文件开启</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_Toc18346 \h </w:instrText>
      </w:r>
      <w:r>
        <w:rPr>
          <w:i w:val="0"/>
          <w:iCs w:val="0"/>
          <w:color w:val="auto"/>
          <w:highlight w:val="none"/>
        </w:rPr>
        <w:fldChar w:fldCharType="separate"/>
      </w:r>
      <w:r>
        <w:rPr>
          <w:i w:val="0"/>
          <w:iCs w:val="0"/>
          <w:color w:val="auto"/>
          <w:highlight w:val="none"/>
        </w:rPr>
        <w:t>14</w:t>
      </w:r>
      <w:r>
        <w:rPr>
          <w:i w:val="0"/>
          <w:iCs w:val="0"/>
          <w:color w:val="auto"/>
          <w:highlight w:val="none"/>
        </w:rPr>
        <w:fldChar w:fldCharType="end"/>
      </w:r>
      <w:r>
        <w:rPr>
          <w:i w:val="0"/>
          <w:iCs w:val="0"/>
          <w:color w:val="auto"/>
          <w:highlight w:val="none"/>
        </w:rPr>
        <w:fldChar w:fldCharType="end"/>
      </w:r>
    </w:p>
    <w:p w14:paraId="409FEFB4">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"_Toc9863" </w:instrText>
      </w:r>
      <w:r>
        <w:rPr>
          <w:color w:val="auto"/>
          <w:highlight w:val="none"/>
        </w:rPr>
        <w:fldChar w:fldCharType="separate"/>
      </w:r>
      <w:r>
        <w:rPr>
          <w:rFonts w:hint="eastAsia" w:ascii="宋体" w:hAnsi="宋体" w:cs="宋体"/>
          <w:i w:val="0"/>
          <w:iCs w:val="0"/>
          <w:color w:val="auto"/>
          <w:szCs w:val="21"/>
          <w:highlight w:val="none"/>
          <w:lang w:val="zh-CN"/>
        </w:rPr>
        <w:t>23</w:t>
      </w:r>
      <w:r>
        <w:rPr>
          <w:rFonts w:ascii="宋体" w:hAnsi="宋体" w:cs="宋体"/>
          <w:i w:val="0"/>
          <w:iCs w:val="0"/>
          <w:color w:val="auto"/>
          <w:szCs w:val="21"/>
          <w:highlight w:val="none"/>
          <w:lang w:val="zh-CN"/>
        </w:rPr>
        <w:t xml:space="preserve"> </w:t>
      </w:r>
      <w:r>
        <w:rPr>
          <w:rFonts w:hint="eastAsia" w:ascii="宋体" w:hAnsi="宋体" w:cs="宋体"/>
          <w:i w:val="0"/>
          <w:iCs w:val="0"/>
          <w:color w:val="auto"/>
          <w:szCs w:val="24"/>
          <w:highlight w:val="none"/>
        </w:rPr>
        <w:t>评审过程的保密性</w:t>
      </w:r>
      <w:r>
        <w:rPr>
          <w:i w:val="0"/>
          <w:iCs w:val="0"/>
          <w:color w:val="auto"/>
          <w:highlight w:val="none"/>
        </w:rPr>
        <w:tab/>
      </w:r>
      <w:r>
        <w:rPr>
          <w:rFonts w:hint="eastAsia"/>
          <w:i w:val="0"/>
          <w:iCs w:val="0"/>
          <w:color w:val="auto"/>
          <w:highlight w:val="none"/>
          <w:lang w:val="en-US" w:eastAsia="zh-CN"/>
        </w:rPr>
        <w:t>15</w:t>
      </w:r>
      <w:r>
        <w:rPr>
          <w:i w:val="0"/>
          <w:iCs w:val="0"/>
          <w:color w:val="auto"/>
          <w:highlight w:val="none"/>
        </w:rPr>
        <w:fldChar w:fldCharType="end"/>
      </w:r>
    </w:p>
    <w:p w14:paraId="52BBA70E">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"_Toc3667" </w:instrText>
      </w:r>
      <w:r>
        <w:rPr>
          <w:color w:val="auto"/>
          <w:highlight w:val="none"/>
        </w:rPr>
        <w:fldChar w:fldCharType="separate"/>
      </w:r>
      <w:r>
        <w:rPr>
          <w:rFonts w:hint="eastAsia" w:ascii="宋体" w:hAnsi="宋体" w:cs="宋体"/>
          <w:i w:val="0"/>
          <w:iCs w:val="0"/>
          <w:color w:val="auto"/>
          <w:szCs w:val="21"/>
          <w:highlight w:val="none"/>
          <w:lang w:val="zh-CN"/>
        </w:rPr>
        <w:t>24</w:t>
      </w:r>
      <w:r>
        <w:rPr>
          <w:rFonts w:ascii="宋体" w:hAnsi="宋体" w:cs="宋体"/>
          <w:i w:val="0"/>
          <w:iCs w:val="0"/>
          <w:color w:val="auto"/>
          <w:szCs w:val="21"/>
          <w:highlight w:val="none"/>
          <w:lang w:val="zh-CN"/>
        </w:rPr>
        <w:t xml:space="preserve"> </w:t>
      </w:r>
      <w:r>
        <w:rPr>
          <w:rFonts w:hint="eastAsia" w:ascii="宋体" w:hAnsi="宋体" w:cs="宋体"/>
          <w:i w:val="0"/>
          <w:iCs w:val="0"/>
          <w:color w:val="auto"/>
          <w:szCs w:val="21"/>
          <w:highlight w:val="none"/>
          <w:lang w:val="zh-CN"/>
        </w:rPr>
        <w:t>谈判小组</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_Toc3667 \h </w:instrText>
      </w:r>
      <w:r>
        <w:rPr>
          <w:i w:val="0"/>
          <w:iCs w:val="0"/>
          <w:color w:val="auto"/>
          <w:highlight w:val="none"/>
        </w:rPr>
        <w:fldChar w:fldCharType="separate"/>
      </w:r>
      <w:r>
        <w:rPr>
          <w:i w:val="0"/>
          <w:iCs w:val="0"/>
          <w:color w:val="auto"/>
          <w:highlight w:val="none"/>
        </w:rPr>
        <w:t>15</w:t>
      </w:r>
      <w:r>
        <w:rPr>
          <w:i w:val="0"/>
          <w:iCs w:val="0"/>
          <w:color w:val="auto"/>
          <w:highlight w:val="none"/>
        </w:rPr>
        <w:fldChar w:fldCharType="end"/>
      </w:r>
      <w:r>
        <w:rPr>
          <w:i w:val="0"/>
          <w:iCs w:val="0"/>
          <w:color w:val="auto"/>
          <w:highlight w:val="none"/>
        </w:rPr>
        <w:fldChar w:fldCharType="end"/>
      </w:r>
    </w:p>
    <w:p w14:paraId="040495B0">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"_Toc1588" </w:instrText>
      </w:r>
      <w:r>
        <w:rPr>
          <w:color w:val="auto"/>
          <w:highlight w:val="none"/>
        </w:rPr>
        <w:fldChar w:fldCharType="separate"/>
      </w:r>
      <w:r>
        <w:rPr>
          <w:rFonts w:hint="eastAsia" w:ascii="宋体" w:hAnsi="宋体" w:cs="宋体"/>
          <w:i w:val="0"/>
          <w:iCs w:val="0"/>
          <w:color w:val="auto"/>
          <w:szCs w:val="21"/>
          <w:highlight w:val="none"/>
          <w:lang w:val="zh-CN"/>
        </w:rPr>
        <w:t>25</w:t>
      </w:r>
      <w:r>
        <w:rPr>
          <w:rFonts w:ascii="宋体" w:hAnsi="宋体" w:cs="宋体"/>
          <w:i w:val="0"/>
          <w:iCs w:val="0"/>
          <w:color w:val="auto"/>
          <w:szCs w:val="21"/>
          <w:highlight w:val="none"/>
          <w:lang w:val="zh-CN"/>
        </w:rPr>
        <w:t xml:space="preserve"> </w:t>
      </w:r>
      <w:r>
        <w:rPr>
          <w:rFonts w:hint="eastAsia" w:ascii="宋体" w:hAnsi="宋体" w:cs="宋体"/>
          <w:i w:val="0"/>
          <w:iCs w:val="0"/>
          <w:color w:val="auto"/>
          <w:szCs w:val="21"/>
          <w:highlight w:val="none"/>
          <w:lang w:val="zh-CN"/>
        </w:rPr>
        <w:t>响应文件的初审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_Toc1588 \h </w:instrText>
      </w:r>
      <w:r>
        <w:rPr>
          <w:i w:val="0"/>
          <w:iCs w:val="0"/>
          <w:color w:val="auto"/>
          <w:highlight w:val="none"/>
        </w:rPr>
        <w:fldChar w:fldCharType="separate"/>
      </w:r>
      <w:r>
        <w:rPr>
          <w:i w:val="0"/>
          <w:iCs w:val="0"/>
          <w:color w:val="auto"/>
          <w:highlight w:val="none"/>
        </w:rPr>
        <w:t>15</w:t>
      </w:r>
      <w:r>
        <w:rPr>
          <w:i w:val="0"/>
          <w:iCs w:val="0"/>
          <w:color w:val="auto"/>
          <w:highlight w:val="none"/>
        </w:rPr>
        <w:fldChar w:fldCharType="end"/>
      </w:r>
      <w:r>
        <w:rPr>
          <w:i w:val="0"/>
          <w:iCs w:val="0"/>
          <w:color w:val="auto"/>
          <w:highlight w:val="none"/>
        </w:rPr>
        <w:fldChar w:fldCharType="end"/>
      </w:r>
    </w:p>
    <w:p w14:paraId="3EEF2CFF">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"_Toc7031" </w:instrText>
      </w:r>
      <w:r>
        <w:rPr>
          <w:color w:val="auto"/>
          <w:highlight w:val="none"/>
        </w:rPr>
        <w:fldChar w:fldCharType="separate"/>
      </w:r>
      <w:r>
        <w:rPr>
          <w:rFonts w:hint="eastAsia" w:ascii="宋体" w:hAnsi="宋体" w:cs="宋体"/>
          <w:i w:val="0"/>
          <w:iCs w:val="0"/>
          <w:color w:val="auto"/>
          <w:szCs w:val="21"/>
          <w:highlight w:val="none"/>
          <w:lang w:val="zh-CN"/>
        </w:rPr>
        <w:t>26</w:t>
      </w:r>
      <w:r>
        <w:rPr>
          <w:rFonts w:ascii="宋体" w:hAnsi="宋体" w:cs="宋体"/>
          <w:i w:val="0"/>
          <w:iCs w:val="0"/>
          <w:color w:val="auto"/>
          <w:szCs w:val="21"/>
          <w:highlight w:val="none"/>
          <w:lang w:val="zh-CN"/>
        </w:rPr>
        <w:t xml:space="preserve"> </w:t>
      </w:r>
      <w:r>
        <w:rPr>
          <w:rFonts w:hint="eastAsia" w:ascii="宋体" w:hAnsi="宋体" w:cs="宋体"/>
          <w:i w:val="0"/>
          <w:iCs w:val="0"/>
          <w:color w:val="auto"/>
          <w:szCs w:val="21"/>
          <w:highlight w:val="none"/>
          <w:lang w:val="zh-CN"/>
        </w:rPr>
        <w:t>响应文件的澄清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_Toc7031 \h </w:instrText>
      </w:r>
      <w:r>
        <w:rPr>
          <w:i w:val="0"/>
          <w:iCs w:val="0"/>
          <w:color w:val="auto"/>
          <w:highlight w:val="none"/>
        </w:rPr>
        <w:fldChar w:fldCharType="separate"/>
      </w:r>
      <w:r>
        <w:rPr>
          <w:i w:val="0"/>
          <w:iCs w:val="0"/>
          <w:color w:val="auto"/>
          <w:highlight w:val="none"/>
        </w:rPr>
        <w:t>15</w:t>
      </w:r>
      <w:r>
        <w:rPr>
          <w:i w:val="0"/>
          <w:iCs w:val="0"/>
          <w:color w:val="auto"/>
          <w:highlight w:val="none"/>
        </w:rPr>
        <w:fldChar w:fldCharType="end"/>
      </w:r>
      <w:r>
        <w:rPr>
          <w:i w:val="0"/>
          <w:iCs w:val="0"/>
          <w:color w:val="auto"/>
          <w:highlight w:val="none"/>
        </w:rPr>
        <w:fldChar w:fldCharType="end"/>
      </w:r>
    </w:p>
    <w:p w14:paraId="789E04FB">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"_Toc1255" </w:instrText>
      </w:r>
      <w:r>
        <w:rPr>
          <w:color w:val="auto"/>
          <w:highlight w:val="none"/>
        </w:rPr>
        <w:fldChar w:fldCharType="separate"/>
      </w:r>
      <w:r>
        <w:rPr>
          <w:rFonts w:hint="eastAsia" w:ascii="宋体" w:hAnsi="宋体" w:cs="宋体"/>
          <w:i w:val="0"/>
          <w:iCs w:val="0"/>
          <w:color w:val="auto"/>
          <w:szCs w:val="21"/>
          <w:highlight w:val="none"/>
          <w:lang w:val="zh-CN"/>
        </w:rPr>
        <w:t>27</w:t>
      </w:r>
      <w:r>
        <w:rPr>
          <w:rFonts w:ascii="宋体" w:hAnsi="宋体" w:cs="宋体"/>
          <w:i w:val="0"/>
          <w:iCs w:val="0"/>
          <w:color w:val="auto"/>
          <w:szCs w:val="21"/>
          <w:highlight w:val="none"/>
          <w:lang w:val="zh-CN"/>
        </w:rPr>
        <w:t xml:space="preserve"> </w:t>
      </w:r>
      <w:r>
        <w:rPr>
          <w:rFonts w:hint="eastAsia" w:ascii="宋体" w:hAnsi="宋体" w:cs="宋体"/>
          <w:i w:val="0"/>
          <w:iCs w:val="0"/>
          <w:color w:val="auto"/>
          <w:szCs w:val="21"/>
          <w:highlight w:val="none"/>
          <w:lang w:val="zh-CN"/>
        </w:rPr>
        <w:t>谈判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_Toc1255 \h </w:instrText>
      </w:r>
      <w:r>
        <w:rPr>
          <w:i w:val="0"/>
          <w:iCs w:val="0"/>
          <w:color w:val="auto"/>
          <w:highlight w:val="none"/>
        </w:rPr>
        <w:fldChar w:fldCharType="separate"/>
      </w:r>
      <w:r>
        <w:rPr>
          <w:i w:val="0"/>
          <w:iCs w:val="0"/>
          <w:color w:val="auto"/>
          <w:highlight w:val="none"/>
        </w:rPr>
        <w:t>15</w:t>
      </w:r>
      <w:r>
        <w:rPr>
          <w:i w:val="0"/>
          <w:iCs w:val="0"/>
          <w:color w:val="auto"/>
          <w:highlight w:val="none"/>
        </w:rPr>
        <w:fldChar w:fldCharType="end"/>
      </w:r>
      <w:r>
        <w:rPr>
          <w:i w:val="0"/>
          <w:iCs w:val="0"/>
          <w:color w:val="auto"/>
          <w:highlight w:val="none"/>
        </w:rPr>
        <w:fldChar w:fldCharType="end"/>
      </w:r>
    </w:p>
    <w:p w14:paraId="613202EC">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"_Toc11545" </w:instrText>
      </w:r>
      <w:r>
        <w:rPr>
          <w:color w:val="auto"/>
          <w:highlight w:val="none"/>
        </w:rPr>
        <w:fldChar w:fldCharType="separate"/>
      </w:r>
      <w:r>
        <w:rPr>
          <w:rFonts w:hint="eastAsia" w:ascii="宋体" w:hAnsi="宋体" w:cs="宋体"/>
          <w:i w:val="0"/>
          <w:iCs w:val="0"/>
          <w:color w:val="auto"/>
          <w:szCs w:val="21"/>
          <w:highlight w:val="none"/>
          <w:lang w:val="zh-CN"/>
        </w:rPr>
        <w:t>28</w:t>
      </w:r>
      <w:r>
        <w:rPr>
          <w:rFonts w:ascii="宋体" w:hAnsi="宋体" w:cs="宋体"/>
          <w:i w:val="0"/>
          <w:iCs w:val="0"/>
          <w:color w:val="auto"/>
          <w:szCs w:val="21"/>
          <w:highlight w:val="none"/>
          <w:lang w:val="zh-CN"/>
        </w:rPr>
        <w:t xml:space="preserve"> </w:t>
      </w:r>
      <w:r>
        <w:rPr>
          <w:rFonts w:hint="eastAsia" w:ascii="宋体" w:hAnsi="宋体" w:cs="宋体"/>
          <w:i w:val="0"/>
          <w:iCs w:val="0"/>
          <w:color w:val="auto"/>
          <w:szCs w:val="21"/>
          <w:highlight w:val="none"/>
          <w:lang w:val="zh-CN"/>
        </w:rPr>
        <w:t>最后报价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_Toc11545 \h </w:instrText>
      </w:r>
      <w:r>
        <w:rPr>
          <w:i w:val="0"/>
          <w:iCs w:val="0"/>
          <w:color w:val="auto"/>
          <w:highlight w:val="none"/>
        </w:rPr>
        <w:fldChar w:fldCharType="separate"/>
      </w:r>
      <w:r>
        <w:rPr>
          <w:i w:val="0"/>
          <w:iCs w:val="0"/>
          <w:color w:val="auto"/>
          <w:highlight w:val="none"/>
        </w:rPr>
        <w:t>16</w:t>
      </w:r>
      <w:r>
        <w:rPr>
          <w:i w:val="0"/>
          <w:iCs w:val="0"/>
          <w:color w:val="auto"/>
          <w:highlight w:val="none"/>
        </w:rPr>
        <w:fldChar w:fldCharType="end"/>
      </w:r>
      <w:r>
        <w:rPr>
          <w:i w:val="0"/>
          <w:iCs w:val="0"/>
          <w:color w:val="auto"/>
          <w:highlight w:val="none"/>
        </w:rPr>
        <w:fldChar w:fldCharType="end"/>
      </w:r>
    </w:p>
    <w:p w14:paraId="56A70DBF">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"_Toc9839" </w:instrText>
      </w:r>
      <w:r>
        <w:rPr>
          <w:color w:val="auto"/>
          <w:highlight w:val="none"/>
        </w:rPr>
        <w:fldChar w:fldCharType="separate"/>
      </w:r>
      <w:r>
        <w:rPr>
          <w:rFonts w:hint="eastAsia" w:ascii="宋体" w:hAnsi="宋体" w:cs="宋体"/>
          <w:i w:val="0"/>
          <w:iCs w:val="0"/>
          <w:color w:val="auto"/>
          <w:szCs w:val="21"/>
          <w:highlight w:val="none"/>
          <w:lang w:val="zh-CN"/>
        </w:rPr>
        <w:t>2</w:t>
      </w:r>
      <w:r>
        <w:rPr>
          <w:rFonts w:hint="eastAsia" w:ascii="宋体" w:hAnsi="宋体" w:cs="宋体"/>
          <w:i w:val="0"/>
          <w:iCs w:val="0"/>
          <w:color w:val="auto"/>
          <w:szCs w:val="21"/>
          <w:highlight w:val="none"/>
        </w:rPr>
        <w:t xml:space="preserve">9 </w:t>
      </w:r>
      <w:r>
        <w:rPr>
          <w:rFonts w:hint="eastAsia" w:ascii="宋体" w:hAnsi="宋体" w:cs="宋体"/>
          <w:i w:val="0"/>
          <w:iCs w:val="0"/>
          <w:color w:val="auto"/>
          <w:szCs w:val="21"/>
          <w:highlight w:val="none"/>
          <w:lang w:val="zh-CN"/>
        </w:rPr>
        <w:t>评审结果公</w:t>
      </w:r>
      <w:r>
        <w:rPr>
          <w:rFonts w:hint="eastAsia" w:ascii="宋体" w:hAnsi="宋体" w:cs="Times New Roman"/>
          <w:i w:val="0"/>
          <w:iCs w:val="0"/>
          <w:color w:val="auto"/>
          <w:szCs w:val="21"/>
          <w:highlight w:val="none"/>
          <w:lang w:val="zh-CN"/>
        </w:rPr>
        <w:t>示</w:t>
      </w:r>
      <w:r>
        <w:rPr>
          <w:rFonts w:hint="eastAsia" w:ascii="宋体" w:hAnsi="宋体" w:cs="宋体"/>
          <w:i w:val="0"/>
          <w:iCs w:val="0"/>
          <w:color w:val="auto"/>
          <w:szCs w:val="21"/>
          <w:highlight w:val="none"/>
          <w:lang w:val="zh-CN"/>
        </w:rPr>
        <w:t>及异议、投诉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_Toc9839 \h </w:instrText>
      </w:r>
      <w:r>
        <w:rPr>
          <w:i w:val="0"/>
          <w:iCs w:val="0"/>
          <w:color w:val="auto"/>
          <w:highlight w:val="none"/>
        </w:rPr>
        <w:fldChar w:fldCharType="separate"/>
      </w:r>
      <w:r>
        <w:rPr>
          <w:i w:val="0"/>
          <w:iCs w:val="0"/>
          <w:color w:val="auto"/>
          <w:highlight w:val="none"/>
        </w:rPr>
        <w:t>16</w:t>
      </w:r>
      <w:r>
        <w:rPr>
          <w:i w:val="0"/>
          <w:iCs w:val="0"/>
          <w:color w:val="auto"/>
          <w:highlight w:val="none"/>
        </w:rPr>
        <w:fldChar w:fldCharType="end"/>
      </w:r>
      <w:r>
        <w:rPr>
          <w:i w:val="0"/>
          <w:iCs w:val="0"/>
          <w:color w:val="auto"/>
          <w:highlight w:val="none"/>
        </w:rPr>
        <w:fldChar w:fldCharType="end"/>
      </w:r>
    </w:p>
    <w:p w14:paraId="61C73572">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"_Toc18008" </w:instrText>
      </w:r>
      <w:r>
        <w:rPr>
          <w:color w:val="auto"/>
          <w:highlight w:val="none"/>
        </w:rPr>
        <w:fldChar w:fldCharType="separate"/>
      </w:r>
      <w:r>
        <w:rPr>
          <w:rFonts w:hint="eastAsia" w:ascii="宋体" w:hAnsi="宋体" w:cs="宋体"/>
          <w:i w:val="0"/>
          <w:iCs w:val="0"/>
          <w:color w:val="auto"/>
          <w:szCs w:val="21"/>
          <w:highlight w:val="none"/>
        </w:rPr>
        <w:t>30</w:t>
      </w:r>
      <w:r>
        <w:rPr>
          <w:rFonts w:hint="eastAsia" w:ascii="宋体" w:hAnsi="宋体" w:cs="宋体"/>
          <w:i w:val="0"/>
          <w:iCs w:val="0"/>
          <w:color w:val="auto"/>
          <w:szCs w:val="21"/>
          <w:highlight w:val="none"/>
          <w:lang w:val="zh-CN"/>
        </w:rPr>
        <w:t xml:space="preserve"> 真实性审查</w:t>
      </w:r>
      <w:bookmarkStart w:id="457" w:name="_GoBack"/>
      <w:bookmarkEnd w:id="457"/>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_Toc18008 \h </w:instrText>
      </w:r>
      <w:r>
        <w:rPr>
          <w:i w:val="0"/>
          <w:iCs w:val="0"/>
          <w:color w:val="auto"/>
          <w:highlight w:val="none"/>
        </w:rPr>
        <w:fldChar w:fldCharType="separate"/>
      </w:r>
      <w:r>
        <w:rPr>
          <w:i w:val="0"/>
          <w:iCs w:val="0"/>
          <w:color w:val="auto"/>
          <w:highlight w:val="none"/>
        </w:rPr>
        <w:t>17</w:t>
      </w:r>
      <w:r>
        <w:rPr>
          <w:i w:val="0"/>
          <w:iCs w:val="0"/>
          <w:color w:val="auto"/>
          <w:highlight w:val="none"/>
        </w:rPr>
        <w:fldChar w:fldCharType="end"/>
      </w:r>
      <w:r>
        <w:rPr>
          <w:i w:val="0"/>
          <w:iCs w:val="0"/>
          <w:color w:val="auto"/>
          <w:highlight w:val="none"/>
        </w:rPr>
        <w:fldChar w:fldCharType="end"/>
      </w:r>
    </w:p>
    <w:p w14:paraId="325A472F">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"_Toc24015" </w:instrText>
      </w:r>
      <w:r>
        <w:rPr>
          <w:color w:val="auto"/>
          <w:highlight w:val="none"/>
        </w:rPr>
        <w:fldChar w:fldCharType="separate"/>
      </w:r>
      <w:r>
        <w:rPr>
          <w:rFonts w:hint="eastAsia" w:ascii="宋体" w:hAnsi="宋体" w:cs="宋体"/>
          <w:i w:val="0"/>
          <w:iCs w:val="0"/>
          <w:color w:val="auto"/>
          <w:szCs w:val="21"/>
          <w:highlight w:val="none"/>
        </w:rPr>
        <w:t>31</w:t>
      </w:r>
      <w:r>
        <w:rPr>
          <w:rFonts w:hint="eastAsia" w:ascii="宋体" w:hAnsi="宋体" w:cs="宋体"/>
          <w:i w:val="0"/>
          <w:iCs w:val="0"/>
          <w:color w:val="auto"/>
          <w:szCs w:val="21"/>
          <w:highlight w:val="none"/>
          <w:lang w:val="zh-CN"/>
        </w:rPr>
        <w:t xml:space="preserve"> 谈判小组和采购人接受或拒绝任何响应或所有响应的权利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_Toc24015 \h </w:instrText>
      </w:r>
      <w:r>
        <w:rPr>
          <w:i w:val="0"/>
          <w:iCs w:val="0"/>
          <w:color w:val="auto"/>
          <w:highlight w:val="none"/>
        </w:rPr>
        <w:fldChar w:fldCharType="separate"/>
      </w:r>
      <w:r>
        <w:rPr>
          <w:i w:val="0"/>
          <w:iCs w:val="0"/>
          <w:color w:val="auto"/>
          <w:highlight w:val="none"/>
        </w:rPr>
        <w:t>17</w:t>
      </w:r>
      <w:r>
        <w:rPr>
          <w:i w:val="0"/>
          <w:iCs w:val="0"/>
          <w:color w:val="auto"/>
          <w:highlight w:val="none"/>
        </w:rPr>
        <w:fldChar w:fldCharType="end"/>
      </w:r>
      <w:r>
        <w:rPr>
          <w:i w:val="0"/>
          <w:iCs w:val="0"/>
          <w:color w:val="auto"/>
          <w:highlight w:val="none"/>
        </w:rPr>
        <w:fldChar w:fldCharType="end"/>
      </w:r>
    </w:p>
    <w:p w14:paraId="4C6997B6">
      <w:pPr>
        <w:pStyle w:val="47"/>
        <w:tabs>
          <w:tab w:val="right" w:leader="dot" w:pos="9070"/>
        </w:tabs>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"_Toc8453" </w:instrText>
      </w:r>
      <w:r>
        <w:rPr>
          <w:color w:val="auto"/>
          <w:highlight w:val="none"/>
        </w:rPr>
        <w:fldChar w:fldCharType="separate"/>
      </w:r>
      <w:r>
        <w:rPr>
          <w:rFonts w:hint="eastAsia" w:ascii="宋体" w:hAnsi="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_Toc8453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09EDFF75">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"_Toc11525" </w:instrText>
      </w:r>
      <w:r>
        <w:rPr>
          <w:color w:val="auto"/>
          <w:highlight w:val="none"/>
        </w:rPr>
        <w:fldChar w:fldCharType="separate"/>
      </w:r>
      <w:r>
        <w:rPr>
          <w:rFonts w:hint="eastAsia" w:ascii="宋体" w:hAnsi="宋体" w:cs="宋体"/>
          <w:i w:val="0"/>
          <w:iCs w:val="0"/>
          <w:color w:val="auto"/>
          <w:kern w:val="2"/>
          <w:szCs w:val="21"/>
          <w:highlight w:val="none"/>
          <w:lang w:val="zh-CN"/>
        </w:rPr>
        <w:t>3</w:t>
      </w:r>
      <w:r>
        <w:rPr>
          <w:rFonts w:hint="eastAsia" w:ascii="宋体" w:hAnsi="宋体" w:cs="宋体"/>
          <w:i w:val="0"/>
          <w:iCs w:val="0"/>
          <w:color w:val="auto"/>
          <w:kern w:val="2"/>
          <w:szCs w:val="21"/>
          <w:highlight w:val="none"/>
        </w:rPr>
        <w:t xml:space="preserve">2 </w:t>
      </w:r>
      <w:r>
        <w:rPr>
          <w:rFonts w:hint="eastAsia" w:ascii="宋体" w:hAnsi="宋体" w:cs="宋体"/>
          <w:i w:val="0"/>
          <w:iCs w:val="0"/>
          <w:color w:val="auto"/>
          <w:kern w:val="2"/>
          <w:szCs w:val="21"/>
          <w:highlight w:val="none"/>
          <w:lang w:val="zh-CN"/>
        </w:rPr>
        <w:t>授予合同的准则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_Toc11525 \h </w:instrText>
      </w:r>
      <w:r>
        <w:rPr>
          <w:i w:val="0"/>
          <w:iCs w:val="0"/>
          <w:color w:val="auto"/>
          <w:highlight w:val="none"/>
        </w:rPr>
        <w:fldChar w:fldCharType="separate"/>
      </w:r>
      <w:r>
        <w:rPr>
          <w:i w:val="0"/>
          <w:iCs w:val="0"/>
          <w:color w:val="auto"/>
          <w:highlight w:val="none"/>
        </w:rPr>
        <w:t>17</w:t>
      </w:r>
      <w:r>
        <w:rPr>
          <w:i w:val="0"/>
          <w:iCs w:val="0"/>
          <w:color w:val="auto"/>
          <w:highlight w:val="none"/>
        </w:rPr>
        <w:fldChar w:fldCharType="end"/>
      </w:r>
      <w:r>
        <w:rPr>
          <w:i w:val="0"/>
          <w:iCs w:val="0"/>
          <w:color w:val="auto"/>
          <w:highlight w:val="none"/>
        </w:rPr>
        <w:fldChar w:fldCharType="end"/>
      </w:r>
    </w:p>
    <w:p w14:paraId="0A6DD2EB">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"_Toc28879" </w:instrText>
      </w:r>
      <w:r>
        <w:rPr>
          <w:color w:val="auto"/>
          <w:highlight w:val="none"/>
        </w:rPr>
        <w:fldChar w:fldCharType="separate"/>
      </w:r>
      <w:r>
        <w:rPr>
          <w:rFonts w:hint="eastAsia" w:ascii="宋体" w:hAnsi="宋体" w:cs="宋体"/>
          <w:i w:val="0"/>
          <w:iCs w:val="0"/>
          <w:color w:val="auto"/>
          <w:kern w:val="2"/>
          <w:szCs w:val="21"/>
          <w:highlight w:val="none"/>
          <w:lang w:val="zh-CN"/>
        </w:rPr>
        <w:t>3</w:t>
      </w:r>
      <w:r>
        <w:rPr>
          <w:rFonts w:hint="eastAsia" w:ascii="宋体" w:hAnsi="宋体" w:cs="宋体"/>
          <w:i w:val="0"/>
          <w:iCs w:val="0"/>
          <w:color w:val="auto"/>
          <w:kern w:val="2"/>
          <w:szCs w:val="21"/>
          <w:highlight w:val="none"/>
        </w:rPr>
        <w:t>3 成交</w:t>
      </w:r>
      <w:r>
        <w:rPr>
          <w:rFonts w:hint="eastAsia" w:ascii="宋体" w:hAnsi="宋体" w:cs="宋体"/>
          <w:i w:val="0"/>
          <w:iCs w:val="0"/>
          <w:color w:val="auto"/>
          <w:kern w:val="2"/>
          <w:szCs w:val="21"/>
          <w:highlight w:val="none"/>
          <w:lang w:val="zh-CN"/>
        </w:rPr>
        <w:t>通知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_Toc28879 \h </w:instrText>
      </w:r>
      <w:r>
        <w:rPr>
          <w:i w:val="0"/>
          <w:iCs w:val="0"/>
          <w:color w:val="auto"/>
          <w:highlight w:val="none"/>
        </w:rPr>
        <w:fldChar w:fldCharType="separate"/>
      </w:r>
      <w:r>
        <w:rPr>
          <w:i w:val="0"/>
          <w:iCs w:val="0"/>
          <w:color w:val="auto"/>
          <w:highlight w:val="none"/>
        </w:rPr>
        <w:t>18</w:t>
      </w:r>
      <w:r>
        <w:rPr>
          <w:i w:val="0"/>
          <w:iCs w:val="0"/>
          <w:color w:val="auto"/>
          <w:highlight w:val="none"/>
        </w:rPr>
        <w:fldChar w:fldCharType="end"/>
      </w:r>
      <w:r>
        <w:rPr>
          <w:i w:val="0"/>
          <w:iCs w:val="0"/>
          <w:color w:val="auto"/>
          <w:highlight w:val="none"/>
        </w:rPr>
        <w:fldChar w:fldCharType="end"/>
      </w:r>
    </w:p>
    <w:p w14:paraId="324149AE">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"_Toc29702" </w:instrText>
      </w:r>
      <w:r>
        <w:rPr>
          <w:color w:val="auto"/>
          <w:highlight w:val="none"/>
        </w:rPr>
        <w:fldChar w:fldCharType="separate"/>
      </w:r>
      <w:r>
        <w:rPr>
          <w:rFonts w:hint="eastAsia" w:ascii="宋体" w:hAnsi="宋体" w:cs="宋体"/>
          <w:i w:val="0"/>
          <w:iCs w:val="0"/>
          <w:color w:val="auto"/>
          <w:kern w:val="2"/>
          <w:szCs w:val="21"/>
          <w:highlight w:val="none"/>
          <w:lang w:val="zh-CN"/>
        </w:rPr>
        <w:t>3</w:t>
      </w:r>
      <w:r>
        <w:rPr>
          <w:rFonts w:hint="eastAsia" w:ascii="宋体" w:hAnsi="宋体" w:cs="宋体"/>
          <w:i w:val="0"/>
          <w:iCs w:val="0"/>
          <w:color w:val="auto"/>
          <w:kern w:val="2"/>
          <w:szCs w:val="21"/>
          <w:highlight w:val="none"/>
        </w:rPr>
        <w:t xml:space="preserve">4 </w:t>
      </w:r>
      <w:r>
        <w:rPr>
          <w:rFonts w:hint="eastAsia" w:ascii="宋体" w:hAnsi="宋体" w:cs="宋体"/>
          <w:i w:val="0"/>
          <w:iCs w:val="0"/>
          <w:color w:val="auto"/>
          <w:kern w:val="2"/>
          <w:szCs w:val="21"/>
          <w:highlight w:val="none"/>
          <w:lang w:val="zh-CN"/>
        </w:rPr>
        <w:t>签署合同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_Toc29702 \h </w:instrText>
      </w:r>
      <w:r>
        <w:rPr>
          <w:i w:val="0"/>
          <w:iCs w:val="0"/>
          <w:color w:val="auto"/>
          <w:highlight w:val="none"/>
        </w:rPr>
        <w:fldChar w:fldCharType="separate"/>
      </w:r>
      <w:r>
        <w:rPr>
          <w:i w:val="0"/>
          <w:iCs w:val="0"/>
          <w:color w:val="auto"/>
          <w:highlight w:val="none"/>
        </w:rPr>
        <w:t>18</w:t>
      </w:r>
      <w:r>
        <w:rPr>
          <w:i w:val="0"/>
          <w:iCs w:val="0"/>
          <w:color w:val="auto"/>
          <w:highlight w:val="none"/>
        </w:rPr>
        <w:fldChar w:fldCharType="end"/>
      </w:r>
      <w:r>
        <w:rPr>
          <w:i w:val="0"/>
          <w:iCs w:val="0"/>
          <w:color w:val="auto"/>
          <w:highlight w:val="none"/>
        </w:rPr>
        <w:fldChar w:fldCharType="end"/>
      </w:r>
    </w:p>
    <w:p w14:paraId="0DB4568E">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"_Toc11471" </w:instrText>
      </w:r>
      <w:r>
        <w:rPr>
          <w:color w:val="auto"/>
          <w:highlight w:val="none"/>
        </w:rPr>
        <w:fldChar w:fldCharType="separate"/>
      </w:r>
      <w:r>
        <w:rPr>
          <w:rFonts w:hint="eastAsia" w:ascii="宋体" w:hAnsi="宋体" w:cs="宋体"/>
          <w:i w:val="0"/>
          <w:iCs w:val="0"/>
          <w:color w:val="auto"/>
          <w:kern w:val="2"/>
          <w:szCs w:val="21"/>
          <w:highlight w:val="none"/>
          <w:lang w:val="zh-CN"/>
        </w:rPr>
        <w:t>3</w:t>
      </w:r>
      <w:r>
        <w:rPr>
          <w:rFonts w:hint="eastAsia" w:ascii="宋体" w:hAnsi="宋体" w:cs="宋体"/>
          <w:i w:val="0"/>
          <w:iCs w:val="0"/>
          <w:color w:val="auto"/>
          <w:kern w:val="2"/>
          <w:szCs w:val="21"/>
          <w:highlight w:val="none"/>
        </w:rPr>
        <w:t xml:space="preserve">5 </w:t>
      </w:r>
      <w:r>
        <w:rPr>
          <w:rFonts w:hint="eastAsia" w:ascii="宋体" w:hAnsi="宋体" w:cs="宋体"/>
          <w:i w:val="0"/>
          <w:iCs w:val="0"/>
          <w:color w:val="auto"/>
          <w:kern w:val="2"/>
          <w:szCs w:val="21"/>
          <w:highlight w:val="none"/>
          <w:lang w:val="zh-CN"/>
        </w:rPr>
        <w:t>履约担保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_Toc11471 \h </w:instrText>
      </w:r>
      <w:r>
        <w:rPr>
          <w:i w:val="0"/>
          <w:iCs w:val="0"/>
          <w:color w:val="auto"/>
          <w:highlight w:val="none"/>
        </w:rPr>
        <w:fldChar w:fldCharType="separate"/>
      </w:r>
      <w:r>
        <w:rPr>
          <w:i w:val="0"/>
          <w:iCs w:val="0"/>
          <w:color w:val="auto"/>
          <w:highlight w:val="none"/>
        </w:rPr>
        <w:t>18</w:t>
      </w:r>
      <w:r>
        <w:rPr>
          <w:i w:val="0"/>
          <w:iCs w:val="0"/>
          <w:color w:val="auto"/>
          <w:highlight w:val="none"/>
        </w:rPr>
        <w:fldChar w:fldCharType="end"/>
      </w:r>
      <w:r>
        <w:rPr>
          <w:i w:val="0"/>
          <w:iCs w:val="0"/>
          <w:color w:val="auto"/>
          <w:highlight w:val="none"/>
        </w:rPr>
        <w:fldChar w:fldCharType="end"/>
      </w:r>
    </w:p>
    <w:p w14:paraId="5A693DDB">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"_Toc28824" </w:instrText>
      </w:r>
      <w:r>
        <w:rPr>
          <w:color w:val="auto"/>
          <w:highlight w:val="none"/>
        </w:rPr>
        <w:fldChar w:fldCharType="separate"/>
      </w:r>
      <w:r>
        <w:rPr>
          <w:rFonts w:hint="eastAsia" w:ascii="宋体" w:hAnsi="宋体" w:cs="宋体"/>
          <w:i w:val="0"/>
          <w:iCs w:val="0"/>
          <w:color w:val="auto"/>
          <w:kern w:val="2"/>
          <w:szCs w:val="21"/>
          <w:highlight w:val="none"/>
          <w:lang w:val="zh-CN"/>
        </w:rPr>
        <w:t>3</w:t>
      </w:r>
      <w:r>
        <w:rPr>
          <w:rFonts w:hint="eastAsia" w:ascii="宋体" w:hAnsi="宋体" w:cs="宋体"/>
          <w:i w:val="0"/>
          <w:iCs w:val="0"/>
          <w:color w:val="auto"/>
          <w:kern w:val="2"/>
          <w:szCs w:val="21"/>
          <w:highlight w:val="none"/>
        </w:rPr>
        <w:t xml:space="preserve">6 </w:t>
      </w:r>
      <w:r>
        <w:rPr>
          <w:rFonts w:hint="eastAsia" w:ascii="宋体" w:hAnsi="宋体" w:cs="宋体"/>
          <w:i w:val="0"/>
          <w:iCs w:val="0"/>
          <w:color w:val="auto"/>
          <w:kern w:val="2"/>
          <w:szCs w:val="21"/>
          <w:highlight w:val="none"/>
          <w:lang w:val="zh-CN"/>
        </w:rPr>
        <w:t>在合同履行中变更采购范围的权利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_Toc28824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i w:val="0"/>
          <w:iCs w:val="0"/>
          <w:color w:val="auto"/>
          <w:highlight w:val="none"/>
        </w:rPr>
        <w:fldChar w:fldCharType="end"/>
      </w:r>
    </w:p>
    <w:p w14:paraId="1276E436">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"_Toc31360" </w:instrText>
      </w:r>
      <w:r>
        <w:rPr>
          <w:color w:val="auto"/>
          <w:highlight w:val="none"/>
        </w:rPr>
        <w:fldChar w:fldCharType="separate"/>
      </w:r>
      <w:r>
        <w:rPr>
          <w:rFonts w:hint="eastAsia" w:ascii="宋体" w:hAnsi="宋体" w:cs="宋体"/>
          <w:i w:val="0"/>
          <w:iCs w:val="0"/>
          <w:color w:val="auto"/>
          <w:kern w:val="2"/>
          <w:szCs w:val="21"/>
          <w:highlight w:val="none"/>
          <w:lang w:val="zh-CN"/>
        </w:rPr>
        <w:t>3</w:t>
      </w:r>
      <w:r>
        <w:rPr>
          <w:rFonts w:hint="eastAsia" w:ascii="宋体" w:hAnsi="宋体" w:cs="宋体"/>
          <w:i w:val="0"/>
          <w:iCs w:val="0"/>
          <w:color w:val="auto"/>
          <w:kern w:val="2"/>
          <w:szCs w:val="21"/>
          <w:highlight w:val="none"/>
        </w:rPr>
        <w:t>7 代理</w:t>
      </w:r>
      <w:r>
        <w:rPr>
          <w:rFonts w:hint="eastAsia" w:ascii="宋体" w:hAnsi="宋体" w:cs="宋体"/>
          <w:i w:val="0"/>
          <w:iCs w:val="0"/>
          <w:color w:val="auto"/>
          <w:kern w:val="2"/>
          <w:szCs w:val="21"/>
          <w:highlight w:val="none"/>
          <w:lang w:val="zh-CN"/>
        </w:rPr>
        <w:t>服务费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_Toc31360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i w:val="0"/>
          <w:iCs w:val="0"/>
          <w:color w:val="auto"/>
          <w:highlight w:val="none"/>
        </w:rPr>
        <w:fldChar w:fldCharType="end"/>
      </w:r>
    </w:p>
    <w:p w14:paraId="761DA370">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"_Toc15853" </w:instrText>
      </w:r>
      <w:r>
        <w:rPr>
          <w:color w:val="auto"/>
          <w:highlight w:val="none"/>
        </w:rPr>
        <w:fldChar w:fldCharType="separate"/>
      </w:r>
      <w:r>
        <w:rPr>
          <w:rFonts w:hint="eastAsia" w:ascii="宋体" w:hAnsi="宋体" w:cs="宋体"/>
          <w:i w:val="0"/>
          <w:iCs w:val="0"/>
          <w:color w:val="auto"/>
          <w:kern w:val="2"/>
          <w:szCs w:val="21"/>
          <w:highlight w:val="none"/>
          <w:lang w:val="zh-CN"/>
        </w:rPr>
        <w:t>3</w:t>
      </w:r>
      <w:r>
        <w:rPr>
          <w:rFonts w:hint="eastAsia" w:ascii="宋体" w:hAnsi="宋体" w:cs="宋体"/>
          <w:i w:val="0"/>
          <w:iCs w:val="0"/>
          <w:color w:val="auto"/>
          <w:kern w:val="2"/>
          <w:szCs w:val="21"/>
          <w:highlight w:val="none"/>
        </w:rPr>
        <w:t xml:space="preserve">8 </w:t>
      </w:r>
      <w:r>
        <w:rPr>
          <w:rFonts w:hint="eastAsia" w:ascii="宋体" w:hAnsi="宋体" w:cs="宋体"/>
          <w:i w:val="0"/>
          <w:iCs w:val="0"/>
          <w:color w:val="auto"/>
          <w:kern w:val="2"/>
          <w:szCs w:val="21"/>
          <w:highlight w:val="none"/>
          <w:lang w:val="zh-CN"/>
        </w:rPr>
        <w:t>发票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_Toc15853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i w:val="0"/>
          <w:iCs w:val="0"/>
          <w:color w:val="auto"/>
          <w:highlight w:val="none"/>
        </w:rPr>
        <w:fldChar w:fldCharType="end"/>
      </w:r>
    </w:p>
    <w:p w14:paraId="6A13E5E3">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"_Toc28005" </w:instrText>
      </w:r>
      <w:r>
        <w:rPr>
          <w:color w:val="auto"/>
          <w:highlight w:val="none"/>
        </w:rPr>
        <w:fldChar w:fldCharType="separate"/>
      </w:r>
      <w:r>
        <w:rPr>
          <w:rFonts w:hint="eastAsia" w:ascii="宋体" w:hAnsi="宋体" w:cs="宋体"/>
          <w:bCs/>
          <w:i w:val="0"/>
          <w:iCs w:val="0"/>
          <w:color w:val="auto"/>
          <w:kern w:val="2"/>
          <w:szCs w:val="21"/>
          <w:highlight w:val="none"/>
          <w:lang w:val="zh-CN"/>
        </w:rPr>
        <w:t>3</w:t>
      </w:r>
      <w:r>
        <w:rPr>
          <w:rFonts w:hint="eastAsia" w:ascii="宋体" w:hAnsi="宋体" w:cs="宋体"/>
          <w:bCs/>
          <w:i w:val="0"/>
          <w:iCs w:val="0"/>
          <w:color w:val="auto"/>
          <w:kern w:val="2"/>
          <w:szCs w:val="21"/>
          <w:highlight w:val="none"/>
        </w:rPr>
        <w:t>9 采购</w:t>
      </w:r>
      <w:r>
        <w:rPr>
          <w:rFonts w:hint="eastAsia" w:ascii="宋体" w:hAnsi="宋体" w:cs="宋体"/>
          <w:bCs/>
          <w:i w:val="0"/>
          <w:iCs w:val="0"/>
          <w:color w:val="auto"/>
          <w:kern w:val="2"/>
          <w:szCs w:val="21"/>
          <w:highlight w:val="none"/>
          <w:lang w:val="zh-CN"/>
        </w:rPr>
        <w:t>相关补充约定</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_Toc28005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i w:val="0"/>
          <w:iCs w:val="0"/>
          <w:color w:val="auto"/>
          <w:highlight w:val="none"/>
        </w:rPr>
        <w:fldChar w:fldCharType="end"/>
      </w:r>
    </w:p>
    <w:p w14:paraId="18672C61">
      <w:pPr>
        <w:pStyle w:val="31"/>
        <w:tabs>
          <w:tab w:val="right" w:leader="dot" w:pos="9070"/>
        </w:tabs>
        <w:rPr>
          <w:i w:val="0"/>
          <w:iCs w:val="0"/>
          <w:color w:val="auto"/>
          <w:highlight w:val="none"/>
        </w:rPr>
      </w:pPr>
      <w:r>
        <w:rPr>
          <w:color w:val="auto"/>
          <w:highlight w:val="none"/>
        </w:rPr>
        <w:fldChar w:fldCharType="begin"/>
      </w:r>
      <w:r>
        <w:rPr>
          <w:color w:val="auto"/>
          <w:highlight w:val="none"/>
        </w:rPr>
        <w:instrText xml:space="preserve"> HYPERLINK \l "_Toc23089" </w:instrText>
      </w:r>
      <w:r>
        <w:rPr>
          <w:color w:val="auto"/>
          <w:highlight w:val="none"/>
        </w:rPr>
        <w:fldChar w:fldCharType="separate"/>
      </w:r>
      <w:r>
        <w:rPr>
          <w:rFonts w:hint="eastAsia" w:ascii="宋体" w:hAnsi="宋体" w:cs="宋体"/>
          <w:i w:val="0"/>
          <w:iCs w:val="0"/>
          <w:color w:val="auto"/>
          <w:kern w:val="2"/>
          <w:szCs w:val="21"/>
          <w:highlight w:val="none"/>
        </w:rPr>
        <w:t xml:space="preserve">40 </w:t>
      </w:r>
      <w:r>
        <w:rPr>
          <w:rFonts w:hint="eastAsia" w:ascii="宋体" w:hAnsi="宋体" w:cs="宋体"/>
          <w:i w:val="0"/>
          <w:iCs w:val="0"/>
          <w:color w:val="auto"/>
          <w:kern w:val="2"/>
          <w:szCs w:val="21"/>
          <w:highlight w:val="none"/>
          <w:lang w:val="zh-CN"/>
        </w:rPr>
        <w:t>本次采购活动的最终解释权归采购代理机构及采购人所有。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_Toc23089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i w:val="0"/>
          <w:iCs w:val="0"/>
          <w:color w:val="auto"/>
          <w:highlight w:val="none"/>
        </w:rPr>
        <w:fldChar w:fldCharType="end"/>
      </w:r>
    </w:p>
    <w:p w14:paraId="491E42D4">
      <w:pPr>
        <w:pStyle w:val="42"/>
        <w:tabs>
          <w:tab w:val="right" w:leader="dot" w:pos="9070"/>
        </w:tabs>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"_Toc10472" </w:instrText>
      </w:r>
      <w:r>
        <w:rPr>
          <w:color w:val="auto"/>
          <w:highlight w:val="none"/>
        </w:rPr>
        <w:fldChar w:fldCharType="separate"/>
      </w:r>
      <w:r>
        <w:rPr>
          <w:rFonts w:hint="eastAsia" w:ascii="宋体" w:hAnsi="宋体" w:cs="宋体"/>
          <w:color w:val="auto"/>
          <w:kern w:val="44"/>
          <w:szCs w:val="32"/>
          <w:highlight w:val="none"/>
          <w:lang w:val="zh-CN"/>
        </w:rPr>
        <w:t>第三篇 用户需求书</w:t>
      </w:r>
      <w:r>
        <w:rPr>
          <w:color w:val="auto"/>
          <w:highlight w:val="none"/>
        </w:rPr>
        <w:tab/>
      </w:r>
      <w:r>
        <w:rPr>
          <w:color w:val="auto"/>
          <w:highlight w:val="none"/>
        </w:rPr>
        <w:fldChar w:fldCharType="begin"/>
      </w:r>
      <w:r>
        <w:rPr>
          <w:color w:val="auto"/>
          <w:highlight w:val="none"/>
        </w:rPr>
        <w:instrText xml:space="preserve"> PAGEREF _Toc10472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8F6A4B2">
      <w:pPr>
        <w:pStyle w:val="42"/>
        <w:tabs>
          <w:tab w:val="right" w:leader="dot" w:pos="9070"/>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"_Toc10595" </w:instrText>
      </w:r>
      <w:r>
        <w:rPr>
          <w:color w:val="auto"/>
          <w:highlight w:val="none"/>
        </w:rPr>
        <w:fldChar w:fldCharType="separate"/>
      </w:r>
      <w:r>
        <w:rPr>
          <w:rFonts w:hint="eastAsia" w:ascii="宋体" w:hAnsi="宋体" w:cs="宋体"/>
          <w:color w:val="auto"/>
          <w:kern w:val="44"/>
          <w:szCs w:val="32"/>
          <w:highlight w:val="none"/>
          <w:lang w:val="zh-CN"/>
        </w:rPr>
        <w:t>第四篇 合同条款格式</w:t>
      </w:r>
      <w:r>
        <w:rPr>
          <w:color w:val="auto"/>
          <w:highlight w:val="none"/>
        </w:rPr>
        <w:tab/>
      </w:r>
      <w:r>
        <w:rPr>
          <w:color w:val="auto"/>
          <w:highlight w:val="none"/>
        </w:rPr>
        <w:fldChar w:fldCharType="begin"/>
      </w:r>
      <w:r>
        <w:rPr>
          <w:color w:val="auto"/>
          <w:highlight w:val="none"/>
        </w:rPr>
        <w:instrText xml:space="preserve"> PAGEREF _Toc10595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91906CD">
      <w:pPr>
        <w:pStyle w:val="42"/>
        <w:tabs>
          <w:tab w:val="right" w:leader="dot" w:pos="9070"/>
        </w:tabs>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"_Toc7741" </w:instrText>
      </w:r>
      <w:r>
        <w:rPr>
          <w:color w:val="auto"/>
          <w:highlight w:val="none"/>
        </w:rPr>
        <w:fldChar w:fldCharType="separate"/>
      </w:r>
      <w:r>
        <w:rPr>
          <w:rFonts w:hint="eastAsia" w:ascii="宋体" w:hAnsi="宋体" w:cs="宋体"/>
          <w:color w:val="auto"/>
          <w:szCs w:val="32"/>
          <w:highlight w:val="none"/>
          <w:lang w:val="zh-CN"/>
        </w:rPr>
        <w:t>第五篇 相关保函格式</w:t>
      </w:r>
      <w:r>
        <w:rPr>
          <w:color w:val="auto"/>
          <w:highlight w:val="none"/>
        </w:rPr>
        <w:tab/>
      </w:r>
      <w:r>
        <w:rPr>
          <w:color w:val="auto"/>
          <w:highlight w:val="none"/>
        </w:rPr>
        <w:fldChar w:fldCharType="end"/>
      </w:r>
      <w:r>
        <w:rPr>
          <w:rFonts w:hint="eastAsia"/>
          <w:color w:val="auto"/>
          <w:highlight w:val="none"/>
        </w:rPr>
        <w:t>3</w:t>
      </w:r>
      <w:r>
        <w:rPr>
          <w:rFonts w:hint="eastAsia"/>
          <w:color w:val="auto"/>
          <w:highlight w:val="none"/>
          <w:lang w:val="en-US" w:eastAsia="zh-CN"/>
        </w:rPr>
        <w:t>5</w:t>
      </w:r>
    </w:p>
    <w:p w14:paraId="70269A8C">
      <w:pPr>
        <w:pStyle w:val="42"/>
        <w:tabs>
          <w:tab w:val="right" w:leader="dot" w:pos="9070"/>
        </w:tabs>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"_Toc26684" </w:instrText>
      </w:r>
      <w:r>
        <w:rPr>
          <w:color w:val="auto"/>
          <w:highlight w:val="none"/>
        </w:rPr>
        <w:fldChar w:fldCharType="separate"/>
      </w:r>
      <w:r>
        <w:rPr>
          <w:rFonts w:hint="eastAsia" w:ascii="宋体" w:hAnsi="宋体"/>
          <w:color w:val="auto"/>
          <w:kern w:val="44"/>
          <w:szCs w:val="32"/>
          <w:highlight w:val="none"/>
          <w:lang w:val="zh-CN"/>
        </w:rPr>
        <w:t>第</w:t>
      </w:r>
      <w:r>
        <w:rPr>
          <w:rFonts w:hint="eastAsia" w:ascii="宋体" w:hAnsi="宋体"/>
          <w:color w:val="auto"/>
          <w:kern w:val="44"/>
          <w:szCs w:val="32"/>
          <w:highlight w:val="none"/>
        </w:rPr>
        <w:t>六</w:t>
      </w:r>
      <w:r>
        <w:rPr>
          <w:rFonts w:hint="eastAsia" w:ascii="宋体" w:hAnsi="宋体"/>
          <w:color w:val="auto"/>
          <w:kern w:val="44"/>
          <w:szCs w:val="32"/>
          <w:highlight w:val="none"/>
          <w:lang w:val="zh-CN"/>
        </w:rPr>
        <w:t>篇</w:t>
      </w:r>
      <w:r>
        <w:rPr>
          <w:rFonts w:hint="eastAsia" w:ascii="宋体" w:hAnsi="宋体"/>
          <w:color w:val="auto"/>
          <w:kern w:val="44"/>
          <w:szCs w:val="32"/>
          <w:highlight w:val="none"/>
        </w:rPr>
        <w:t xml:space="preserve"> </w:t>
      </w:r>
      <w:r>
        <w:rPr>
          <w:rFonts w:hint="eastAsia" w:ascii="宋体" w:hAnsi="宋体"/>
          <w:color w:val="auto"/>
          <w:kern w:val="44"/>
          <w:szCs w:val="32"/>
          <w:highlight w:val="none"/>
          <w:lang w:val="zh-CN"/>
        </w:rPr>
        <w:t>响应文件格式</w:t>
      </w:r>
      <w:r>
        <w:rPr>
          <w:color w:val="auto"/>
          <w:highlight w:val="none"/>
        </w:rPr>
        <w:tab/>
      </w:r>
      <w:r>
        <w:rPr>
          <w:color w:val="auto"/>
          <w:highlight w:val="none"/>
        </w:rPr>
        <w:fldChar w:fldCharType="begin"/>
      </w:r>
      <w:r>
        <w:rPr>
          <w:color w:val="auto"/>
          <w:highlight w:val="none"/>
        </w:rPr>
        <w:instrText xml:space="preserve"> PAGEREF _Toc26684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1403CFEB">
      <w:pPr>
        <w:pStyle w:val="42"/>
        <w:tabs>
          <w:tab w:val="right" w:leader="dot" w:pos="9070"/>
        </w:tabs>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"_Toc11851" </w:instrText>
      </w:r>
      <w:r>
        <w:rPr>
          <w:color w:val="auto"/>
          <w:highlight w:val="none"/>
        </w:rPr>
        <w:fldChar w:fldCharType="separate"/>
      </w:r>
      <w:r>
        <w:rPr>
          <w:rFonts w:hint="eastAsia" w:ascii="宋体" w:hAnsi="宋体" w:cs="宋体"/>
          <w:color w:val="auto"/>
          <w:kern w:val="44"/>
          <w:szCs w:val="32"/>
          <w:highlight w:val="none"/>
          <w:lang w:val="zh-CN"/>
        </w:rPr>
        <w:t>附件一：评审工作大纲</w:t>
      </w:r>
      <w:r>
        <w:rPr>
          <w:color w:val="auto"/>
          <w:highlight w:val="none"/>
        </w:rPr>
        <w:tab/>
      </w:r>
      <w:r>
        <w:rPr>
          <w:color w:val="auto"/>
          <w:highlight w:val="none"/>
        </w:rPr>
        <w:fldChar w:fldCharType="end"/>
      </w:r>
      <w:r>
        <w:rPr>
          <w:rFonts w:hint="eastAsia"/>
          <w:color w:val="auto"/>
          <w:highlight w:val="none"/>
        </w:rPr>
        <w:t>6</w:t>
      </w:r>
      <w:r>
        <w:rPr>
          <w:rFonts w:hint="eastAsia"/>
          <w:color w:val="auto"/>
          <w:highlight w:val="none"/>
          <w:lang w:val="en-US" w:eastAsia="zh-CN"/>
        </w:rPr>
        <w:t>5</w:t>
      </w:r>
    </w:p>
    <w:p w14:paraId="714C22F0">
      <w:pPr>
        <w:pStyle w:val="42"/>
        <w:tabs>
          <w:tab w:val="right" w:leader="dot" w:pos="9394"/>
        </w:tabs>
        <w:adjustRightInd/>
        <w:snapToGrid w:val="0"/>
        <w:spacing w:before="0" w:after="0" w:line="360" w:lineRule="auto"/>
        <w:rPr>
          <w:rFonts w:ascii="宋体" w:hAnsi="宋体" w:cs="宋体"/>
          <w:b w:val="0"/>
          <w:bCs w:val="0"/>
          <w:caps w:val="0"/>
          <w:color w:val="auto"/>
          <w:kern w:val="2"/>
          <w:highlight w:val="none"/>
        </w:rPr>
      </w:pPr>
      <w:r>
        <w:rPr>
          <w:rFonts w:hint="eastAsia" w:ascii="宋体" w:hAnsi="宋体" w:cs="宋体"/>
          <w:bCs w:val="0"/>
          <w:color w:val="auto"/>
          <w:szCs w:val="21"/>
          <w:highlight w:val="none"/>
        </w:rPr>
        <w:fldChar w:fldCharType="end"/>
      </w:r>
      <w:r>
        <w:rPr>
          <w:rFonts w:hint="eastAsia" w:ascii="宋体" w:hAnsi="宋体" w:cs="宋体"/>
          <w:b w:val="0"/>
          <w:bCs w:val="0"/>
          <w:caps w:val="0"/>
          <w:color w:val="auto"/>
          <w:kern w:val="2"/>
          <w:highlight w:val="none"/>
        </w:rPr>
        <w:t xml:space="preserve"> </w:t>
      </w:r>
    </w:p>
    <w:p w14:paraId="10E556B7">
      <w:pPr>
        <w:pStyle w:val="42"/>
        <w:tabs>
          <w:tab w:val="left" w:pos="851"/>
          <w:tab w:val="right" w:leader="dot" w:pos="8647"/>
          <w:tab w:val="right" w:leader="dot" w:pos="10206"/>
        </w:tabs>
        <w:spacing w:before="0" w:after="0" w:line="360" w:lineRule="auto"/>
        <w:ind w:right="-50" w:rightChars="-21"/>
        <w:jc w:val="distribute"/>
        <w:rPr>
          <w:rFonts w:ascii="宋体" w:hAnsi="宋体" w:cs="宋体"/>
          <w:color w:val="auto"/>
          <w:sz w:val="21"/>
          <w:szCs w:val="21"/>
          <w:highlight w:val="none"/>
        </w:rPr>
      </w:pPr>
    </w:p>
    <w:p w14:paraId="493C51F8">
      <w:pPr>
        <w:pStyle w:val="4"/>
        <w:keepNext/>
        <w:keepLines/>
        <w:pageBreakBefore/>
        <w:tabs>
          <w:tab w:val="left" w:pos="1080"/>
        </w:tabs>
        <w:spacing w:line="360" w:lineRule="auto"/>
        <w:ind w:left="567" w:hanging="567"/>
        <w:jc w:val="center"/>
        <w:rPr>
          <w:rFonts w:ascii="宋体" w:hAnsi="宋体" w:eastAsia="宋体"/>
          <w:b/>
          <w:bCs/>
          <w:color w:val="auto"/>
          <w:kern w:val="44"/>
          <w:sz w:val="32"/>
          <w:szCs w:val="32"/>
          <w:highlight w:val="none"/>
        </w:rPr>
      </w:pPr>
      <w:bookmarkStart w:id="0" w:name="_Toc450662846"/>
      <w:bookmarkStart w:id="1" w:name="_Toc521918064"/>
      <w:bookmarkStart w:id="2" w:name="_Toc24688"/>
      <w:r>
        <w:rPr>
          <w:rFonts w:hint="eastAsia" w:ascii="宋体" w:hAnsi="宋体" w:eastAsia="宋体"/>
          <w:b/>
          <w:bCs/>
          <w:color w:val="auto"/>
          <w:kern w:val="44"/>
          <w:sz w:val="32"/>
          <w:szCs w:val="32"/>
          <w:highlight w:val="none"/>
          <w:lang w:val="zh-CN"/>
        </w:rPr>
        <w:t>第一篇</w:t>
      </w:r>
      <w:r>
        <w:rPr>
          <w:rFonts w:hint="eastAsia" w:ascii="宋体" w:hAnsi="宋体" w:eastAsia="宋体"/>
          <w:b/>
          <w:bCs/>
          <w:color w:val="auto"/>
          <w:kern w:val="44"/>
          <w:sz w:val="32"/>
          <w:szCs w:val="32"/>
          <w:highlight w:val="none"/>
        </w:rPr>
        <w:t xml:space="preserve"> </w:t>
      </w:r>
      <w:r>
        <w:rPr>
          <w:rFonts w:hint="eastAsia" w:ascii="宋体" w:hAnsi="宋体" w:eastAsia="宋体"/>
          <w:b/>
          <w:bCs/>
          <w:color w:val="auto"/>
          <w:kern w:val="44"/>
          <w:sz w:val="32"/>
          <w:szCs w:val="32"/>
          <w:highlight w:val="none"/>
          <w:lang w:val="zh-CN"/>
        </w:rPr>
        <w:t>竞争性</w:t>
      </w:r>
      <w:bookmarkEnd w:id="0"/>
      <w:bookmarkEnd w:id="1"/>
      <w:r>
        <w:rPr>
          <w:rFonts w:hint="eastAsia" w:ascii="宋体" w:hAnsi="宋体" w:eastAsia="宋体"/>
          <w:b/>
          <w:bCs/>
          <w:color w:val="auto"/>
          <w:kern w:val="44"/>
          <w:sz w:val="32"/>
          <w:szCs w:val="32"/>
          <w:highlight w:val="none"/>
          <w:lang w:val="zh-CN"/>
        </w:rPr>
        <w:t>谈判</w:t>
      </w:r>
      <w:r>
        <w:rPr>
          <w:rFonts w:hint="eastAsia" w:ascii="宋体" w:hAnsi="宋体" w:eastAsia="宋体"/>
          <w:b/>
          <w:bCs/>
          <w:color w:val="auto"/>
          <w:kern w:val="44"/>
          <w:sz w:val="32"/>
          <w:szCs w:val="32"/>
          <w:highlight w:val="none"/>
        </w:rPr>
        <w:t>公告</w:t>
      </w:r>
      <w:bookmarkEnd w:id="2"/>
    </w:p>
    <w:p w14:paraId="2A21665F">
      <w:pPr>
        <w:tabs>
          <w:tab w:val="left" w:pos="0"/>
          <w:tab w:val="left" w:pos="142"/>
        </w:tabs>
        <w:spacing w:line="360" w:lineRule="auto"/>
        <w:ind w:firstLine="420" w:firstLineChars="200"/>
        <w:jc w:val="both"/>
        <w:rPr>
          <w:rFonts w:ascii="宋体" w:hAnsi="宋体" w:cs="宋体"/>
          <w:color w:val="auto"/>
          <w:kern w:val="2"/>
          <w:sz w:val="21"/>
          <w:szCs w:val="21"/>
          <w:highlight w:val="none"/>
        </w:rPr>
      </w:pPr>
    </w:p>
    <w:p w14:paraId="5E6104BB">
      <w:pPr>
        <w:tabs>
          <w:tab w:val="left" w:pos="0"/>
          <w:tab w:val="left" w:pos="142"/>
        </w:tabs>
        <w:spacing w:line="360" w:lineRule="auto"/>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各潜在供应商：</w:t>
      </w:r>
    </w:p>
    <w:p w14:paraId="4AFF58F1">
      <w:pPr>
        <w:tabs>
          <w:tab w:val="left" w:pos="0"/>
          <w:tab w:val="left" w:pos="142"/>
        </w:tabs>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rPr>
        <w:t>建成工程咨询股份有限公司 （以下简称“采购代理机构”）受东莞市水务集团有限公司（以下简称“采购人”）的委托，对</w:t>
      </w:r>
      <w:bookmarkStart w:id="3" w:name="_Hlk41903390"/>
      <w:r>
        <w:rPr>
          <w:rFonts w:hint="eastAsia" w:ascii="宋体" w:hAnsi="宋体" w:cs="宋体"/>
          <w:color w:val="auto"/>
          <w:kern w:val="2"/>
          <w:sz w:val="21"/>
          <w:szCs w:val="21"/>
          <w:highlight w:val="none"/>
        </w:rPr>
        <w:t>东莞市水务集团有限公司2025年直购电采购项目(采购编号：广建咨询（东招）2024-0149号)</w:t>
      </w:r>
      <w:bookmarkEnd w:id="3"/>
      <w:r>
        <w:rPr>
          <w:rFonts w:hint="eastAsia" w:ascii="宋体" w:hAnsi="宋体" w:cs="宋体"/>
          <w:color w:val="auto"/>
          <w:kern w:val="2"/>
          <w:sz w:val="21"/>
          <w:szCs w:val="21"/>
          <w:highlight w:val="none"/>
        </w:rPr>
        <w:t>进行竞争性谈判采购，详细内容请参见本竞争性谈判文件。欢迎符合条件的合格供应商参加，有关事项如下：</w:t>
      </w:r>
    </w:p>
    <w:p w14:paraId="4103FBAE">
      <w:pPr>
        <w:tabs>
          <w:tab w:val="left" w:pos="0"/>
          <w:tab w:val="left" w:pos="142"/>
        </w:tabs>
        <w:spacing w:line="360" w:lineRule="auto"/>
        <w:jc w:val="both"/>
        <w:rPr>
          <w:rFonts w:ascii="宋体" w:hAnsi="宋体" w:cs="宋体"/>
          <w:color w:val="auto"/>
          <w:kern w:val="2"/>
          <w:sz w:val="21"/>
          <w:szCs w:val="21"/>
          <w:highlight w:val="none"/>
          <w:lang w:val="zh-CN"/>
        </w:rPr>
      </w:pPr>
    </w:p>
    <w:p w14:paraId="50DB0BCA">
      <w:pPr>
        <w:tabs>
          <w:tab w:val="left" w:pos="0"/>
        </w:tabs>
        <w:spacing w:line="360" w:lineRule="auto"/>
        <w:jc w:val="both"/>
        <w:rPr>
          <w:rFonts w:ascii="宋体" w:hAnsi="宋体" w:cs="宋体"/>
          <w:b/>
          <w:bCs/>
          <w:color w:val="auto"/>
          <w:kern w:val="2"/>
          <w:sz w:val="21"/>
          <w:szCs w:val="21"/>
          <w:highlight w:val="none"/>
          <w:lang w:val="zh-CN"/>
        </w:rPr>
      </w:pPr>
      <w:r>
        <w:rPr>
          <w:rFonts w:hint="eastAsia" w:ascii="宋体" w:hAnsi="宋体" w:cs="宋体"/>
          <w:b/>
          <w:bCs/>
          <w:color w:val="auto"/>
          <w:kern w:val="2"/>
          <w:sz w:val="21"/>
          <w:szCs w:val="21"/>
          <w:highlight w:val="none"/>
        </w:rPr>
        <w:t>1   采购</w:t>
      </w:r>
      <w:r>
        <w:rPr>
          <w:rFonts w:hint="eastAsia" w:ascii="宋体" w:hAnsi="宋体" w:cs="宋体"/>
          <w:b/>
          <w:bCs/>
          <w:color w:val="auto"/>
          <w:kern w:val="2"/>
          <w:sz w:val="21"/>
          <w:szCs w:val="21"/>
          <w:highlight w:val="none"/>
          <w:lang w:val="zh-CN"/>
        </w:rPr>
        <w:t>范围：</w:t>
      </w:r>
    </w:p>
    <w:p w14:paraId="7E602C74">
      <w:pPr>
        <w:tabs>
          <w:tab w:val="left" w:pos="0"/>
        </w:tabs>
        <w:spacing w:line="360" w:lineRule="auto"/>
        <w:jc w:val="both"/>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 xml:space="preserve"> </w:t>
      </w:r>
      <w:r>
        <w:rPr>
          <w:rFonts w:hint="eastAsia" w:ascii="宋体" w:hAnsi="宋体" w:cs="宋体"/>
          <w:color w:val="auto"/>
          <w:kern w:val="2"/>
          <w:sz w:val="21"/>
          <w:szCs w:val="21"/>
          <w:highlight w:val="none"/>
        </w:rPr>
        <w:t xml:space="preserve"> 东莞市水务集团有限公司2025年直购电采购项目（具体内容详见：第三篇用户需求书）。</w:t>
      </w:r>
    </w:p>
    <w:p w14:paraId="4A9669CE">
      <w:pPr>
        <w:tabs>
          <w:tab w:val="left" w:pos="0"/>
        </w:tabs>
        <w:spacing w:line="360" w:lineRule="auto"/>
        <w:jc w:val="both"/>
        <w:rPr>
          <w:rFonts w:ascii="宋体" w:hAnsi="宋体" w:cs="宋体"/>
          <w:b/>
          <w:bCs/>
          <w:color w:val="auto"/>
          <w:kern w:val="2"/>
          <w:sz w:val="21"/>
          <w:szCs w:val="21"/>
          <w:highlight w:val="none"/>
          <w:lang w:val="zh-CN"/>
        </w:rPr>
      </w:pPr>
      <w:r>
        <w:rPr>
          <w:rFonts w:hint="eastAsia" w:ascii="宋体" w:hAnsi="宋体" w:cs="宋体"/>
          <w:b/>
          <w:bCs/>
          <w:color w:val="auto"/>
          <w:kern w:val="2"/>
          <w:sz w:val="21"/>
          <w:szCs w:val="21"/>
          <w:highlight w:val="none"/>
        </w:rPr>
        <w:t>2   合格供应商资格要求</w:t>
      </w:r>
      <w:r>
        <w:rPr>
          <w:rFonts w:hint="eastAsia" w:ascii="宋体" w:hAnsi="宋体" w:cs="宋体"/>
          <w:b/>
          <w:bCs/>
          <w:color w:val="auto"/>
          <w:kern w:val="2"/>
          <w:sz w:val="21"/>
          <w:szCs w:val="21"/>
          <w:highlight w:val="none"/>
          <w:lang w:val="zh-CN"/>
        </w:rPr>
        <w:t>：</w:t>
      </w:r>
    </w:p>
    <w:p w14:paraId="0765F3DC">
      <w:pPr>
        <w:tabs>
          <w:tab w:val="left" w:pos="0"/>
        </w:tabs>
        <w:spacing w:line="360" w:lineRule="auto"/>
        <w:jc w:val="both"/>
        <w:rPr>
          <w:rFonts w:ascii="宋体" w:hAnsi="宋体" w:cs="宋体"/>
          <w:b/>
          <w:bCs/>
          <w:color w:val="auto"/>
          <w:kern w:val="2"/>
          <w:sz w:val="21"/>
          <w:szCs w:val="21"/>
          <w:highlight w:val="none"/>
          <w:lang w:val="zh-CN"/>
        </w:rPr>
      </w:pPr>
      <w:r>
        <w:rPr>
          <w:rFonts w:hint="eastAsia" w:ascii="宋体" w:hAnsi="宋体" w:cs="宋体"/>
          <w:b/>
          <w:bCs/>
          <w:color w:val="auto"/>
          <w:sz w:val="21"/>
          <w:szCs w:val="21"/>
          <w:highlight w:val="none"/>
          <w:lang w:val="zh-CN"/>
        </w:rPr>
        <w:t>2.1</w:t>
      </w:r>
      <w:r>
        <w:rPr>
          <w:rFonts w:hint="eastAsia" w:ascii="宋体" w:hAnsi="宋体" w:cs="宋体"/>
          <w:b/>
          <w:bCs/>
          <w:color w:val="auto"/>
          <w:sz w:val="21"/>
          <w:szCs w:val="21"/>
          <w:highlight w:val="none"/>
        </w:rPr>
        <w:t xml:space="preserve"> </w:t>
      </w:r>
      <w:r>
        <w:rPr>
          <w:rFonts w:hint="eastAsia" w:ascii="宋体" w:hAnsi="宋体" w:cs="宋体"/>
          <w:b/>
          <w:bCs/>
          <w:color w:val="auto"/>
          <w:kern w:val="2"/>
          <w:sz w:val="21"/>
          <w:szCs w:val="21"/>
          <w:highlight w:val="none"/>
          <w:lang w:val="zh-CN"/>
        </w:rPr>
        <w:t>在中华人民共和国境内登记注册的、合法存续、正常经营且具有独立承担民事责任能力的法人</w:t>
      </w:r>
    </w:p>
    <w:p w14:paraId="6D48E13D">
      <w:pPr>
        <w:tabs>
          <w:tab w:val="left" w:pos="0"/>
        </w:tabs>
        <w:spacing w:line="360" w:lineRule="auto"/>
        <w:ind w:left="420" w:leftChars="175"/>
        <w:jc w:val="both"/>
        <w:rPr>
          <w:rFonts w:ascii="宋体" w:hAnsi="宋体" w:cs="宋体"/>
          <w:b/>
          <w:bCs/>
          <w:color w:val="auto"/>
          <w:kern w:val="2"/>
          <w:sz w:val="21"/>
          <w:szCs w:val="21"/>
          <w:highlight w:val="none"/>
          <w:lang w:val="zh-CN"/>
        </w:rPr>
      </w:pPr>
      <w:r>
        <w:rPr>
          <w:rFonts w:hint="eastAsia" w:ascii="宋体" w:hAnsi="宋体" w:cs="宋体"/>
          <w:b/>
          <w:bCs/>
          <w:color w:val="auto"/>
          <w:kern w:val="2"/>
          <w:sz w:val="21"/>
          <w:szCs w:val="21"/>
          <w:highlight w:val="none"/>
          <w:lang w:val="zh-CN"/>
        </w:rPr>
        <w:t>或其他组织。</w:t>
      </w:r>
    </w:p>
    <w:p w14:paraId="1FF5C258">
      <w:pPr>
        <w:tabs>
          <w:tab w:val="left" w:pos="0"/>
        </w:tabs>
        <w:spacing w:line="360" w:lineRule="auto"/>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lang w:val="zh-CN"/>
        </w:rPr>
        <w:t>2.</w:t>
      </w: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zh-CN"/>
        </w:rPr>
        <w:t xml:space="preserve"> </w:t>
      </w:r>
      <w:r>
        <w:rPr>
          <w:rFonts w:hint="eastAsia" w:ascii="宋体" w:hAnsi="宋体" w:cs="宋体"/>
          <w:color w:val="auto"/>
          <w:kern w:val="2"/>
          <w:sz w:val="21"/>
          <w:szCs w:val="21"/>
          <w:highlight w:val="none"/>
        </w:rPr>
        <w:t>供应商应满足以下条件：</w:t>
      </w:r>
    </w:p>
    <w:p w14:paraId="322D7413">
      <w:pPr>
        <w:tabs>
          <w:tab w:val="left" w:pos="0"/>
        </w:tabs>
        <w:spacing w:line="360" w:lineRule="auto"/>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r>
        <w:rPr>
          <w:rFonts w:hint="eastAsia" w:ascii="宋体" w:hAnsi="宋体" w:cs="宋体"/>
          <w:b/>
          <w:bCs/>
          <w:color w:val="auto"/>
          <w:kern w:val="2"/>
          <w:sz w:val="21"/>
          <w:szCs w:val="21"/>
          <w:highlight w:val="none"/>
        </w:rPr>
        <w:t>供应商在“广东电力交易中心”注册且具备交易资格的售电公司</w:t>
      </w:r>
      <w:r>
        <w:rPr>
          <w:rFonts w:hint="eastAsia" w:ascii="宋体" w:hAnsi="宋体" w:cs="宋体"/>
          <w:color w:val="auto"/>
          <w:kern w:val="2"/>
          <w:sz w:val="21"/>
          <w:szCs w:val="21"/>
          <w:highlight w:val="none"/>
        </w:rPr>
        <w:t>（需提供“广东电力交易中心”平台“市场信息披露-经营主体-售电公司基本信息”界面中显示本售电公司的截图作为佐证材料）；</w:t>
      </w:r>
    </w:p>
    <w:p w14:paraId="14CAC908">
      <w:pPr>
        <w:tabs>
          <w:tab w:val="left" w:pos="0"/>
        </w:tabs>
        <w:spacing w:line="360" w:lineRule="auto"/>
        <w:jc w:val="both"/>
        <w:rPr>
          <w:rFonts w:ascii="宋体" w:hAnsi="宋体" w:cs="宋体"/>
          <w:b/>
          <w:bCs/>
          <w:color w:val="auto"/>
          <w:kern w:val="2"/>
          <w:sz w:val="21"/>
          <w:szCs w:val="21"/>
          <w:highlight w:val="none"/>
        </w:rPr>
      </w:pPr>
      <w:r>
        <w:rPr>
          <w:rFonts w:hint="eastAsia" w:ascii="宋体" w:hAnsi="宋体" w:cs="宋体"/>
          <w:color w:val="auto"/>
          <w:kern w:val="2"/>
          <w:sz w:val="21"/>
          <w:szCs w:val="21"/>
          <w:highlight w:val="none"/>
        </w:rPr>
        <w:t>（2）</w:t>
      </w:r>
      <w:r>
        <w:rPr>
          <w:rFonts w:hint="eastAsia" w:ascii="宋体" w:hAnsi="宋体" w:cs="宋体"/>
          <w:b/>
          <w:bCs/>
          <w:color w:val="auto"/>
          <w:kern w:val="2"/>
          <w:sz w:val="21"/>
          <w:szCs w:val="21"/>
          <w:highlight w:val="none"/>
        </w:rPr>
        <w:t>供应商（售电公司）2022年1月1日以来（合同签订日期为2022年1月1日或以后）任意一个自然年内累计具有50亿千瓦时或以上的电量购买业绩</w:t>
      </w:r>
      <w:r>
        <w:rPr>
          <w:rFonts w:hint="eastAsia" w:ascii="宋体" w:hAnsi="宋体" w:cs="宋体"/>
          <w:color w:val="auto"/>
          <w:kern w:val="2"/>
          <w:sz w:val="21"/>
          <w:szCs w:val="21"/>
          <w:highlight w:val="none"/>
        </w:rPr>
        <w:t>（须提供业绩证明材料：能显示购买方为本售电公司、签订时间和交易电量满足要求的合同；如“无合同”或“合同不能显示满足要求内容”的，须在官方电力交易平台上截图，截图能显示平台名称、合约时间、买入方和交易买入的电量）</w:t>
      </w:r>
      <w:r>
        <w:rPr>
          <w:rFonts w:hint="eastAsia" w:ascii="宋体" w:hAnsi="宋体" w:cs="宋体"/>
          <w:b/>
          <w:bCs/>
          <w:color w:val="auto"/>
          <w:kern w:val="2"/>
          <w:sz w:val="21"/>
          <w:szCs w:val="21"/>
          <w:highlight w:val="none"/>
        </w:rPr>
        <w:t>；</w:t>
      </w:r>
    </w:p>
    <w:p w14:paraId="428F005D">
      <w:pPr>
        <w:tabs>
          <w:tab w:val="left" w:pos="0"/>
        </w:tabs>
        <w:spacing w:line="360" w:lineRule="auto"/>
        <w:jc w:val="both"/>
        <w:rPr>
          <w:rFonts w:ascii="宋体" w:hAnsi="宋体" w:cs="宋体"/>
          <w:b/>
          <w:bCs/>
          <w:color w:val="auto"/>
          <w:kern w:val="2"/>
          <w:sz w:val="21"/>
          <w:szCs w:val="21"/>
          <w:highlight w:val="none"/>
          <w:lang w:val="zh-CN"/>
        </w:rPr>
      </w:pPr>
      <w:r>
        <w:rPr>
          <w:rFonts w:hint="eastAsia" w:ascii="宋体" w:hAnsi="宋体" w:cs="宋体"/>
          <w:b/>
          <w:bCs/>
          <w:color w:val="auto"/>
          <w:kern w:val="2"/>
          <w:sz w:val="21"/>
          <w:szCs w:val="21"/>
          <w:highlight w:val="none"/>
          <w:lang w:val="zh-CN"/>
        </w:rPr>
        <w:t>2.</w:t>
      </w:r>
      <w:r>
        <w:rPr>
          <w:rFonts w:hint="eastAsia" w:ascii="宋体" w:hAnsi="宋体" w:cs="宋体"/>
          <w:b/>
          <w:bCs/>
          <w:color w:val="auto"/>
          <w:kern w:val="2"/>
          <w:sz w:val="21"/>
          <w:szCs w:val="21"/>
          <w:highlight w:val="none"/>
        </w:rPr>
        <w:t>3</w:t>
      </w:r>
      <w:r>
        <w:rPr>
          <w:rFonts w:hint="eastAsia" w:ascii="宋体" w:hAnsi="宋体" w:cs="宋体"/>
          <w:b/>
          <w:bCs/>
          <w:color w:val="auto"/>
          <w:kern w:val="2"/>
          <w:sz w:val="21"/>
          <w:szCs w:val="21"/>
          <w:highlight w:val="none"/>
          <w:lang w:val="zh-CN"/>
        </w:rPr>
        <w:t xml:space="preserve"> 本项目不接受联合体。</w:t>
      </w:r>
    </w:p>
    <w:p w14:paraId="030DBC11">
      <w:pPr>
        <w:tabs>
          <w:tab w:val="left" w:pos="0"/>
          <w:tab w:val="left" w:pos="360"/>
        </w:tabs>
        <w:autoSpaceDE/>
        <w:autoSpaceDN/>
        <w:adjustRightInd/>
        <w:spacing w:line="360" w:lineRule="auto"/>
        <w:jc w:val="both"/>
        <w:rPr>
          <w:rFonts w:ascii="宋体" w:hAnsi="宋体" w:cs="宋体"/>
          <w:color w:val="auto"/>
          <w:kern w:val="2"/>
          <w:sz w:val="21"/>
          <w:szCs w:val="21"/>
          <w:highlight w:val="none"/>
          <w:lang w:val="zh-CN"/>
        </w:rPr>
      </w:pPr>
    </w:p>
    <w:p w14:paraId="40F48835">
      <w:pPr>
        <w:tabs>
          <w:tab w:val="left" w:pos="284"/>
        </w:tabs>
        <w:spacing w:line="360" w:lineRule="auto"/>
        <w:jc w:val="both"/>
        <w:rPr>
          <w:rFonts w:ascii="宋体" w:hAnsi="宋体" w:cs="宋体"/>
          <w:b/>
          <w:bCs/>
          <w:color w:val="auto"/>
          <w:kern w:val="2"/>
          <w:sz w:val="21"/>
          <w:szCs w:val="21"/>
          <w:highlight w:val="none"/>
          <w:lang w:val="zh-CN"/>
        </w:rPr>
      </w:pPr>
      <w:r>
        <w:rPr>
          <w:rFonts w:hint="eastAsia" w:ascii="宋体" w:hAnsi="宋体" w:cs="宋体"/>
          <w:b/>
          <w:bCs/>
          <w:color w:val="auto"/>
          <w:kern w:val="2"/>
          <w:sz w:val="21"/>
          <w:szCs w:val="21"/>
          <w:highlight w:val="none"/>
          <w:lang w:val="zh-CN"/>
        </w:rPr>
        <w:t>3</w:t>
      </w:r>
      <w:r>
        <w:rPr>
          <w:rFonts w:hint="eastAsia" w:ascii="宋体" w:hAnsi="宋体" w:cs="宋体"/>
          <w:b/>
          <w:bCs/>
          <w:color w:val="auto"/>
          <w:kern w:val="2"/>
          <w:sz w:val="21"/>
          <w:szCs w:val="21"/>
          <w:highlight w:val="none"/>
        </w:rPr>
        <w:t xml:space="preserve">   供应商获取竞争性谈判</w:t>
      </w:r>
      <w:r>
        <w:rPr>
          <w:rFonts w:hint="eastAsia" w:ascii="宋体" w:hAnsi="宋体" w:cs="宋体"/>
          <w:b/>
          <w:bCs/>
          <w:color w:val="auto"/>
          <w:kern w:val="2"/>
          <w:sz w:val="21"/>
          <w:szCs w:val="21"/>
          <w:highlight w:val="none"/>
          <w:lang w:val="zh-CN"/>
        </w:rPr>
        <w:t>文件</w:t>
      </w:r>
      <w:r>
        <w:rPr>
          <w:rFonts w:hint="eastAsia" w:ascii="宋体" w:hAnsi="宋体" w:cs="宋体"/>
          <w:b/>
          <w:bCs/>
          <w:color w:val="auto"/>
          <w:kern w:val="2"/>
          <w:sz w:val="21"/>
          <w:szCs w:val="21"/>
          <w:highlight w:val="none"/>
        </w:rPr>
        <w:t>的</w:t>
      </w:r>
      <w:r>
        <w:rPr>
          <w:rFonts w:hint="eastAsia" w:ascii="宋体" w:hAnsi="宋体" w:cs="宋体"/>
          <w:b/>
          <w:bCs/>
          <w:color w:val="auto"/>
          <w:kern w:val="2"/>
          <w:sz w:val="21"/>
          <w:szCs w:val="21"/>
          <w:highlight w:val="none"/>
          <w:lang w:val="zh-CN"/>
        </w:rPr>
        <w:t>方式：</w:t>
      </w:r>
    </w:p>
    <w:p w14:paraId="001A1D4C">
      <w:pPr>
        <w:tabs>
          <w:tab w:val="left" w:pos="284"/>
        </w:tabs>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本项目采用“不记名网上下载”的方式发布竞争性谈判文件，有意向</w:t>
      </w:r>
      <w:r>
        <w:rPr>
          <w:rFonts w:hint="eastAsia" w:ascii="宋体" w:hAnsi="宋体" w:cs="宋体"/>
          <w:color w:val="auto"/>
          <w:kern w:val="2"/>
          <w:sz w:val="21"/>
          <w:szCs w:val="21"/>
          <w:highlight w:val="none"/>
        </w:rPr>
        <w:t>参加</w:t>
      </w:r>
      <w:r>
        <w:rPr>
          <w:rFonts w:hint="eastAsia" w:ascii="宋体" w:hAnsi="宋体" w:cs="宋体"/>
          <w:color w:val="auto"/>
          <w:kern w:val="2"/>
          <w:sz w:val="21"/>
          <w:szCs w:val="21"/>
          <w:highlight w:val="none"/>
          <w:lang w:val="zh-CN"/>
        </w:rPr>
        <w:t>的供应商可于本项目</w:t>
      </w:r>
    </w:p>
    <w:p w14:paraId="04E28E08">
      <w:pPr>
        <w:tabs>
          <w:tab w:val="left" w:pos="284"/>
        </w:tabs>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递交响应文件截止时间前，在本项目</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信息发布媒介【详见本竞争性谈判公告第7点（除中国</w:t>
      </w:r>
    </w:p>
    <w:p w14:paraId="0A14DAE0">
      <w:pPr>
        <w:tabs>
          <w:tab w:val="left" w:pos="284"/>
        </w:tabs>
        <w:spacing w:line="360" w:lineRule="auto"/>
        <w:ind w:left="418" w:leftChars="174" w:firstLine="0" w:firstLineChars="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招标投标公共服务平台外）】下载竞争性谈判文件【本竞争性谈判公告第7点媒介发布竞争性</w:t>
      </w:r>
      <w:r>
        <w:rPr>
          <w:rFonts w:hint="eastAsia" w:ascii="宋体" w:hAnsi="宋体" w:cs="宋体"/>
          <w:color w:val="auto"/>
          <w:kern w:val="2"/>
          <w:sz w:val="21"/>
          <w:szCs w:val="21"/>
          <w:highlight w:val="none"/>
          <w:lang w:val="en-US" w:eastAsia="zh-CN"/>
        </w:rPr>
        <w:t>谈判</w:t>
      </w:r>
      <w:r>
        <w:rPr>
          <w:rFonts w:hint="eastAsia" w:ascii="宋体" w:hAnsi="宋体" w:cs="宋体"/>
          <w:color w:val="auto"/>
          <w:kern w:val="2"/>
          <w:sz w:val="21"/>
          <w:szCs w:val="21"/>
          <w:highlight w:val="none"/>
          <w:lang w:val="zh-CN"/>
        </w:rPr>
        <w:t>文件不一致时，以东莞市水务集团有限公司网（www.dgswjt.cn）发布的竞争性谈判文件为准】。</w:t>
      </w:r>
    </w:p>
    <w:p w14:paraId="5D1D685C">
      <w:pPr>
        <w:tabs>
          <w:tab w:val="left" w:pos="0"/>
        </w:tabs>
        <w:spacing w:line="360" w:lineRule="auto"/>
        <w:jc w:val="both"/>
        <w:rPr>
          <w:rFonts w:ascii="宋体" w:hAnsi="宋体" w:cs="宋体"/>
          <w:color w:val="auto"/>
          <w:kern w:val="2"/>
          <w:sz w:val="21"/>
          <w:szCs w:val="21"/>
          <w:highlight w:val="none"/>
          <w:lang w:val="zh-CN"/>
        </w:rPr>
      </w:pPr>
    </w:p>
    <w:p w14:paraId="4C3968E2">
      <w:pPr>
        <w:tabs>
          <w:tab w:val="left" w:pos="284"/>
        </w:tabs>
        <w:spacing w:line="360" w:lineRule="auto"/>
        <w:ind w:left="420" w:hanging="420" w:hanging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4</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采购代理机构在递交响应文件截止时间</w:t>
      </w:r>
      <w:r>
        <w:rPr>
          <w:rFonts w:hint="eastAsia" w:ascii="宋体" w:hAnsi="宋体" w:cs="宋体"/>
          <w:color w:val="auto"/>
          <w:kern w:val="2"/>
          <w:sz w:val="21"/>
          <w:szCs w:val="21"/>
          <w:highlight w:val="none"/>
        </w:rPr>
        <w:t>当天</w:t>
      </w:r>
      <w:r>
        <w:rPr>
          <w:rFonts w:hint="eastAsia" w:ascii="宋体" w:hAnsi="宋体" w:cs="宋体"/>
          <w:color w:val="auto"/>
          <w:kern w:val="2"/>
          <w:sz w:val="21"/>
          <w:szCs w:val="21"/>
          <w:highlight w:val="none"/>
          <w:lang w:val="zh-CN"/>
        </w:rPr>
        <w:t>通过“信用中国”网站（ www.creditchina.gov.cn）查询供应商（含其不具有独立法人资格的分支机构）信用记录。采购代理机构对供应商信用记录进行甄别，对列入失信被执行人、重大税收违法失信主体、政府采购严重违法失信行为记录名单的供应商，做好相关记录（处罚期限届满的除外）。</w:t>
      </w:r>
    </w:p>
    <w:p w14:paraId="51797719">
      <w:pPr>
        <w:tabs>
          <w:tab w:val="left" w:pos="284"/>
        </w:tabs>
        <w:spacing w:line="360" w:lineRule="auto"/>
        <w:jc w:val="both"/>
        <w:rPr>
          <w:rFonts w:ascii="宋体" w:hAnsi="宋体" w:cs="宋体"/>
          <w:color w:val="auto"/>
          <w:kern w:val="2"/>
          <w:sz w:val="21"/>
          <w:szCs w:val="21"/>
          <w:highlight w:val="none"/>
          <w:lang w:val="zh-CN"/>
        </w:rPr>
      </w:pPr>
    </w:p>
    <w:p w14:paraId="3BDAE17C">
      <w:pPr>
        <w:tabs>
          <w:tab w:val="left" w:pos="0"/>
        </w:tabs>
        <w:spacing w:line="360" w:lineRule="auto"/>
        <w:jc w:val="both"/>
        <w:rPr>
          <w:rFonts w:ascii="宋体" w:hAnsi="宋体" w:cs="宋体"/>
          <w:b/>
          <w:bCs/>
          <w:color w:val="auto"/>
          <w:kern w:val="2"/>
          <w:sz w:val="21"/>
          <w:szCs w:val="21"/>
          <w:highlight w:val="none"/>
          <w:lang w:val="zh-CN"/>
        </w:rPr>
      </w:pPr>
      <w:r>
        <w:rPr>
          <w:rFonts w:hint="eastAsia" w:ascii="宋体" w:hAnsi="宋体" w:cs="宋体"/>
          <w:color w:val="auto"/>
          <w:kern w:val="2"/>
          <w:sz w:val="21"/>
          <w:szCs w:val="21"/>
          <w:highlight w:val="none"/>
          <w:lang w:val="zh-CN"/>
        </w:rPr>
        <w:t>5</w:t>
      </w:r>
      <w:r>
        <w:rPr>
          <w:rFonts w:hint="eastAsia" w:ascii="宋体" w:hAnsi="宋体" w:cs="宋体"/>
          <w:color w:val="auto"/>
          <w:kern w:val="2"/>
          <w:sz w:val="21"/>
          <w:szCs w:val="21"/>
          <w:highlight w:val="none"/>
        </w:rPr>
        <w:t xml:space="preserve">   谈判</w:t>
      </w:r>
      <w:r>
        <w:rPr>
          <w:rFonts w:hint="eastAsia" w:ascii="宋体" w:hAnsi="宋体" w:cs="宋体"/>
          <w:color w:val="auto"/>
          <w:kern w:val="2"/>
          <w:sz w:val="21"/>
          <w:szCs w:val="21"/>
          <w:highlight w:val="none"/>
          <w:lang w:val="zh-CN"/>
        </w:rPr>
        <w:t>时间及地点：</w:t>
      </w:r>
    </w:p>
    <w:p w14:paraId="57091EFF">
      <w:pPr>
        <w:tabs>
          <w:tab w:val="left" w:pos="0"/>
        </w:tabs>
        <w:spacing w:line="360" w:lineRule="auto"/>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lang w:val="zh-CN"/>
        </w:rPr>
        <w:t>5.1 响应文件递交时间：</w:t>
      </w:r>
      <w:r>
        <w:rPr>
          <w:rFonts w:hint="eastAsia" w:ascii="宋体" w:hAnsi="宋体" w:cs="宋体"/>
          <w:color w:val="auto"/>
          <w:kern w:val="2"/>
          <w:sz w:val="21"/>
          <w:szCs w:val="21"/>
          <w:highlight w:val="none"/>
          <w:u w:val="single"/>
          <w:lang w:val="zh-CN"/>
        </w:rPr>
        <w:t>202</w:t>
      </w:r>
      <w:r>
        <w:rPr>
          <w:rFonts w:hint="eastAsia" w:ascii="宋体" w:hAnsi="宋体" w:cs="宋体"/>
          <w:color w:val="auto"/>
          <w:kern w:val="2"/>
          <w:sz w:val="21"/>
          <w:szCs w:val="21"/>
          <w:highlight w:val="none"/>
          <w:u w:val="single"/>
        </w:rPr>
        <w:t>4</w:t>
      </w:r>
      <w:r>
        <w:rPr>
          <w:rFonts w:hint="eastAsia" w:ascii="宋体" w:hAnsi="宋体" w:cs="宋体"/>
          <w:color w:val="auto"/>
          <w:kern w:val="2"/>
          <w:sz w:val="21"/>
          <w:szCs w:val="21"/>
          <w:highlight w:val="none"/>
          <w:u w:val="single"/>
          <w:lang w:val="zh-CN"/>
        </w:rPr>
        <w:t>年</w:t>
      </w:r>
      <w:r>
        <w:rPr>
          <w:rFonts w:hint="eastAsia" w:ascii="宋体" w:hAnsi="宋体" w:cs="宋体"/>
          <w:color w:val="auto"/>
          <w:kern w:val="2"/>
          <w:sz w:val="21"/>
          <w:szCs w:val="21"/>
          <w:highlight w:val="none"/>
          <w:u w:val="single"/>
          <w:lang w:val="en-US" w:eastAsia="zh-CN"/>
        </w:rPr>
        <w:t xml:space="preserve"> 12</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zh-CN"/>
        </w:rPr>
        <w:t>月</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en-US" w:eastAsia="zh-CN"/>
        </w:rPr>
        <w:t xml:space="preserve">05  </w:t>
      </w:r>
      <w:r>
        <w:rPr>
          <w:rFonts w:hint="eastAsia" w:ascii="宋体" w:hAnsi="宋体" w:cs="宋体"/>
          <w:color w:val="auto"/>
          <w:kern w:val="2"/>
          <w:sz w:val="21"/>
          <w:szCs w:val="21"/>
          <w:highlight w:val="none"/>
          <w:u w:val="single"/>
          <w:lang w:val="zh-CN"/>
        </w:rPr>
        <w:t>日</w:t>
      </w:r>
      <w:r>
        <w:rPr>
          <w:rFonts w:hint="eastAsia" w:ascii="宋体" w:hAnsi="宋体" w:cs="宋体"/>
          <w:color w:val="auto"/>
          <w:kern w:val="2"/>
          <w:sz w:val="21"/>
          <w:szCs w:val="21"/>
          <w:highlight w:val="none"/>
          <w:u w:val="single"/>
          <w:lang w:val="en-US" w:eastAsia="zh-CN"/>
        </w:rPr>
        <w:t>10</w:t>
      </w:r>
      <w:r>
        <w:rPr>
          <w:rFonts w:hint="eastAsia" w:ascii="宋体" w:hAnsi="宋体" w:cs="宋体"/>
          <w:color w:val="auto"/>
          <w:kern w:val="2"/>
          <w:sz w:val="21"/>
          <w:szCs w:val="21"/>
          <w:highlight w:val="none"/>
          <w:u w:val="single"/>
        </w:rPr>
        <w:t>:00</w:t>
      </w:r>
      <w:r>
        <w:rPr>
          <w:rFonts w:hint="eastAsia" w:ascii="宋体" w:hAnsi="宋体" w:cs="宋体"/>
          <w:color w:val="auto"/>
          <w:kern w:val="2"/>
          <w:sz w:val="21"/>
          <w:szCs w:val="21"/>
          <w:highlight w:val="none"/>
          <w:u w:val="single"/>
          <w:lang w:val="zh-CN"/>
        </w:rPr>
        <w:t>～</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en-US" w:eastAsia="zh-CN"/>
        </w:rPr>
        <w:t>10</w:t>
      </w:r>
      <w:r>
        <w:rPr>
          <w:rFonts w:hint="eastAsia" w:ascii="宋体" w:hAnsi="宋体" w:cs="宋体"/>
          <w:color w:val="auto"/>
          <w:kern w:val="2"/>
          <w:sz w:val="21"/>
          <w:szCs w:val="21"/>
          <w:highlight w:val="none"/>
          <w:u w:val="single"/>
        </w:rPr>
        <w:t>:30；</w:t>
      </w:r>
    </w:p>
    <w:p w14:paraId="13F70B62">
      <w:pPr>
        <w:tabs>
          <w:tab w:val="left" w:pos="0"/>
        </w:tabs>
        <w:spacing w:line="360" w:lineRule="auto"/>
        <w:jc w:val="both"/>
        <w:rPr>
          <w:rFonts w:ascii="宋体" w:hAnsi="宋体" w:cs="宋体"/>
          <w:color w:val="auto"/>
          <w:highlight w:val="none"/>
          <w:u w:val="single"/>
        </w:rPr>
      </w:pPr>
      <w:r>
        <w:rPr>
          <w:rFonts w:hint="eastAsia" w:ascii="宋体" w:hAnsi="宋体" w:cs="宋体"/>
          <w:color w:val="auto"/>
          <w:kern w:val="2"/>
          <w:sz w:val="21"/>
          <w:szCs w:val="21"/>
          <w:highlight w:val="none"/>
          <w:lang w:val="zh-CN"/>
        </w:rPr>
        <w:t>5.2 递交</w:t>
      </w:r>
      <w:r>
        <w:rPr>
          <w:rFonts w:hint="eastAsia" w:ascii="宋体" w:hAnsi="宋体" w:cs="宋体"/>
          <w:color w:val="auto"/>
          <w:kern w:val="2"/>
          <w:sz w:val="21"/>
          <w:szCs w:val="21"/>
          <w:highlight w:val="none"/>
        </w:rPr>
        <w:t>响应文件</w:t>
      </w:r>
      <w:r>
        <w:rPr>
          <w:rFonts w:hint="eastAsia" w:ascii="宋体" w:hAnsi="宋体" w:cs="宋体"/>
          <w:color w:val="auto"/>
          <w:kern w:val="2"/>
          <w:sz w:val="21"/>
          <w:szCs w:val="21"/>
          <w:highlight w:val="none"/>
          <w:lang w:val="zh-CN"/>
        </w:rPr>
        <w:t>截止时间</w:t>
      </w:r>
      <w:r>
        <w:rPr>
          <w:rFonts w:hint="eastAsia" w:ascii="宋体" w:hAnsi="宋体" w:cs="宋体"/>
          <w:color w:val="auto"/>
          <w:kern w:val="2"/>
          <w:sz w:val="21"/>
          <w:szCs w:val="21"/>
          <w:highlight w:val="none"/>
        </w:rPr>
        <w:t>及谈判时间</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u w:val="single"/>
          <w:lang w:val="zh-CN"/>
        </w:rPr>
        <w:t>202</w:t>
      </w:r>
      <w:r>
        <w:rPr>
          <w:rFonts w:hint="eastAsia" w:ascii="宋体" w:hAnsi="宋体" w:cs="宋体"/>
          <w:color w:val="auto"/>
          <w:kern w:val="2"/>
          <w:sz w:val="21"/>
          <w:szCs w:val="21"/>
          <w:highlight w:val="none"/>
          <w:u w:val="single"/>
        </w:rPr>
        <w:t>4</w:t>
      </w:r>
      <w:r>
        <w:rPr>
          <w:rFonts w:hint="eastAsia" w:ascii="宋体" w:hAnsi="宋体" w:cs="宋体"/>
          <w:color w:val="auto"/>
          <w:kern w:val="2"/>
          <w:sz w:val="21"/>
          <w:szCs w:val="21"/>
          <w:highlight w:val="none"/>
          <w:u w:val="single"/>
          <w:lang w:val="zh-CN"/>
        </w:rPr>
        <w:t>年</w:t>
      </w:r>
      <w:r>
        <w:rPr>
          <w:rFonts w:hint="eastAsia" w:ascii="宋体" w:hAnsi="宋体" w:cs="宋体"/>
          <w:color w:val="auto"/>
          <w:kern w:val="2"/>
          <w:sz w:val="21"/>
          <w:szCs w:val="21"/>
          <w:highlight w:val="none"/>
          <w:u w:val="single"/>
          <w:lang w:val="en-US" w:eastAsia="zh-CN"/>
        </w:rPr>
        <w:t xml:space="preserve"> 12 </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zh-CN"/>
        </w:rPr>
        <w:t>月</w:t>
      </w:r>
      <w:r>
        <w:rPr>
          <w:rFonts w:hint="eastAsia" w:ascii="宋体" w:hAnsi="宋体" w:cs="宋体"/>
          <w:color w:val="auto"/>
          <w:kern w:val="2"/>
          <w:sz w:val="21"/>
          <w:szCs w:val="21"/>
          <w:highlight w:val="none"/>
          <w:u w:val="single"/>
          <w:lang w:val="en-US" w:eastAsia="zh-CN"/>
        </w:rPr>
        <w:t xml:space="preserve">  05  </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zh-CN"/>
        </w:rPr>
        <w:t>日</w:t>
      </w:r>
      <w:r>
        <w:rPr>
          <w:rFonts w:hint="eastAsia" w:ascii="宋体" w:hAnsi="宋体" w:cs="宋体"/>
          <w:color w:val="auto"/>
          <w:kern w:val="2"/>
          <w:sz w:val="21"/>
          <w:szCs w:val="21"/>
          <w:highlight w:val="none"/>
          <w:u w:val="single"/>
          <w:lang w:val="en-US" w:eastAsia="zh-CN"/>
        </w:rPr>
        <w:t>10</w:t>
      </w:r>
      <w:r>
        <w:rPr>
          <w:rFonts w:hint="eastAsia" w:ascii="宋体" w:hAnsi="宋体" w:cs="宋体"/>
          <w:color w:val="auto"/>
          <w:kern w:val="2"/>
          <w:sz w:val="21"/>
          <w:szCs w:val="21"/>
          <w:highlight w:val="none"/>
          <w:u w:val="single"/>
        </w:rPr>
        <w:t>:30；</w:t>
      </w:r>
    </w:p>
    <w:p w14:paraId="077C73EA">
      <w:pPr>
        <w:tabs>
          <w:tab w:val="left" w:pos="426"/>
        </w:tabs>
        <w:spacing w:line="360" w:lineRule="auto"/>
        <w:ind w:left="630" w:hanging="630" w:hangingChars="3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 xml:space="preserve">5.3 </w:t>
      </w:r>
      <w:r>
        <w:rPr>
          <w:rFonts w:hint="eastAsia" w:ascii="宋体" w:hAnsi="宋体" w:cs="宋体"/>
          <w:color w:val="auto"/>
          <w:kern w:val="2"/>
          <w:sz w:val="21"/>
          <w:szCs w:val="21"/>
          <w:highlight w:val="none"/>
        </w:rPr>
        <w:t>响应文件递交地点</w:t>
      </w:r>
      <w:r>
        <w:rPr>
          <w:rFonts w:hint="eastAsia" w:ascii="宋体" w:hAnsi="宋体" w:cs="宋体"/>
          <w:color w:val="auto"/>
          <w:kern w:val="2"/>
          <w:sz w:val="21"/>
          <w:szCs w:val="21"/>
          <w:highlight w:val="none"/>
          <w:lang w:val="zh-CN"/>
        </w:rPr>
        <w:t>：广东省东莞市南城区西平社区宏伟三路45号东莞市公共资源交易中心开标</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en-US" w:eastAsia="zh-CN"/>
        </w:rPr>
        <w:t xml:space="preserve">12 </w:t>
      </w:r>
      <w:r>
        <w:rPr>
          <w:rFonts w:hint="eastAsia" w:ascii="宋体" w:hAnsi="宋体" w:cs="宋体"/>
          <w:color w:val="auto"/>
          <w:kern w:val="2"/>
          <w:sz w:val="21"/>
          <w:szCs w:val="21"/>
          <w:highlight w:val="none"/>
          <w:lang w:val="zh-CN"/>
        </w:rPr>
        <w:t>室</w:t>
      </w:r>
      <w:r>
        <w:rPr>
          <w:rFonts w:hint="eastAsia" w:ascii="宋体" w:hAnsi="宋体" w:cs="宋体"/>
          <w:color w:val="auto"/>
          <w:kern w:val="2"/>
          <w:sz w:val="21"/>
          <w:szCs w:val="21"/>
          <w:highlight w:val="none"/>
        </w:rPr>
        <w:t>。</w:t>
      </w:r>
    </w:p>
    <w:p w14:paraId="4C778C28">
      <w:pPr>
        <w:tabs>
          <w:tab w:val="left" w:pos="426"/>
        </w:tabs>
        <w:spacing w:line="360" w:lineRule="auto"/>
        <w:jc w:val="both"/>
        <w:rPr>
          <w:rFonts w:ascii="宋体" w:hAnsi="宋体" w:cs="宋体"/>
          <w:color w:val="auto"/>
          <w:kern w:val="2"/>
          <w:sz w:val="21"/>
          <w:szCs w:val="21"/>
          <w:highlight w:val="none"/>
          <w:lang w:val="zh-CN"/>
        </w:rPr>
      </w:pPr>
    </w:p>
    <w:p w14:paraId="2148C48F">
      <w:pPr>
        <w:tabs>
          <w:tab w:val="left" w:pos="284"/>
        </w:tabs>
        <w:spacing w:line="360" w:lineRule="auto"/>
        <w:ind w:left="420" w:hanging="420" w:hanging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6</w:t>
      </w:r>
      <w:r>
        <w:rPr>
          <w:rFonts w:hint="eastAsia" w:ascii="宋体" w:hAnsi="宋体" w:cs="宋体"/>
          <w:color w:val="auto"/>
          <w:kern w:val="2"/>
          <w:sz w:val="21"/>
          <w:szCs w:val="21"/>
          <w:highlight w:val="none"/>
        </w:rPr>
        <w:t xml:space="preserve">   采购代理机构</w:t>
      </w:r>
      <w:r>
        <w:rPr>
          <w:rFonts w:hint="eastAsia" w:ascii="宋体" w:hAnsi="宋体" w:cs="宋体"/>
          <w:color w:val="auto"/>
          <w:kern w:val="2"/>
          <w:sz w:val="21"/>
          <w:szCs w:val="21"/>
          <w:highlight w:val="none"/>
          <w:lang w:val="zh-CN"/>
        </w:rPr>
        <w:t>只接受在递交响应文件截止日当天由供应商法定代表人或其授权代表于递交响应文件截止时间前亲自递交</w:t>
      </w:r>
      <w:r>
        <w:rPr>
          <w:rFonts w:hint="eastAsia" w:ascii="宋体" w:hAnsi="宋体" w:cs="宋体"/>
          <w:color w:val="auto"/>
          <w:kern w:val="2"/>
          <w:sz w:val="21"/>
          <w:szCs w:val="21"/>
          <w:highlight w:val="none"/>
        </w:rPr>
        <w:t>密封</w:t>
      </w:r>
      <w:r>
        <w:rPr>
          <w:rFonts w:hint="eastAsia" w:ascii="宋体" w:hAnsi="宋体" w:cs="宋体"/>
          <w:color w:val="auto"/>
          <w:kern w:val="2"/>
          <w:sz w:val="21"/>
          <w:szCs w:val="21"/>
          <w:highlight w:val="none"/>
          <w:lang w:val="zh-CN"/>
        </w:rPr>
        <w:t>的响应文件，</w:t>
      </w:r>
      <w:r>
        <w:rPr>
          <w:rFonts w:hint="eastAsia" w:ascii="宋体" w:hAnsi="宋体" w:cs="宋体"/>
          <w:color w:val="auto"/>
          <w:kern w:val="2"/>
          <w:sz w:val="21"/>
          <w:szCs w:val="21"/>
          <w:highlight w:val="none"/>
        </w:rPr>
        <w:t>并现场参加谈判</w:t>
      </w:r>
      <w:r>
        <w:rPr>
          <w:rFonts w:hint="eastAsia" w:ascii="宋体" w:hAnsi="宋体" w:cs="宋体"/>
          <w:color w:val="auto"/>
          <w:kern w:val="2"/>
          <w:sz w:val="21"/>
          <w:szCs w:val="21"/>
          <w:highlight w:val="none"/>
          <w:lang w:val="zh-CN"/>
        </w:rPr>
        <w:t>。电报、传真形式的</w:t>
      </w:r>
      <w:r>
        <w:rPr>
          <w:rFonts w:hint="eastAsia" w:ascii="宋体" w:hAnsi="宋体" w:cs="宋体"/>
          <w:color w:val="auto"/>
          <w:kern w:val="2"/>
          <w:sz w:val="21"/>
          <w:szCs w:val="21"/>
          <w:highlight w:val="none"/>
        </w:rPr>
        <w:t>响应文件</w:t>
      </w:r>
      <w:r>
        <w:rPr>
          <w:rFonts w:hint="eastAsia" w:ascii="宋体" w:hAnsi="宋体" w:cs="宋体"/>
          <w:color w:val="auto"/>
          <w:kern w:val="2"/>
          <w:sz w:val="21"/>
          <w:szCs w:val="21"/>
          <w:highlight w:val="none"/>
          <w:lang w:val="zh-CN"/>
        </w:rPr>
        <w:t>概不接受。</w:t>
      </w:r>
    </w:p>
    <w:p w14:paraId="7FA9563F">
      <w:pPr>
        <w:tabs>
          <w:tab w:val="left" w:pos="284"/>
        </w:tabs>
        <w:spacing w:line="360" w:lineRule="auto"/>
        <w:jc w:val="both"/>
        <w:rPr>
          <w:rFonts w:ascii="宋体" w:hAnsi="宋体" w:cs="宋体"/>
          <w:color w:val="auto"/>
          <w:kern w:val="2"/>
          <w:sz w:val="21"/>
          <w:szCs w:val="21"/>
          <w:highlight w:val="none"/>
          <w:lang w:val="zh-CN"/>
        </w:rPr>
      </w:pPr>
    </w:p>
    <w:p w14:paraId="1E5EA6D9">
      <w:pPr>
        <w:tabs>
          <w:tab w:val="left" w:pos="284"/>
        </w:tabs>
        <w:autoSpaceDE/>
        <w:autoSpaceDN/>
        <w:adjustRightInd/>
        <w:spacing w:line="360" w:lineRule="auto"/>
        <w:ind w:left="420" w:hanging="420" w:hanging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rPr>
        <w:t xml:space="preserve">7   </w:t>
      </w:r>
      <w:r>
        <w:rPr>
          <w:rFonts w:hint="eastAsia" w:ascii="宋体" w:hAnsi="宋体" w:cs="宋体"/>
          <w:color w:val="auto"/>
          <w:kern w:val="2"/>
          <w:sz w:val="21"/>
          <w:szCs w:val="21"/>
          <w:highlight w:val="none"/>
          <w:lang w:val="zh-CN"/>
        </w:rPr>
        <w:t>本项目相关公告在以下媒介发布：广东省公共资源交易平台（ygp.gdzwfw.gov.cn）、中国招标投标公共服务平台（www.cebpubservice.com）、东莞市水务集团有限公司网（www.dgswjt.cn）、招标代理机构网站（www.gzjc.com.cn）。</w:t>
      </w:r>
    </w:p>
    <w:p w14:paraId="3033A554">
      <w:pPr>
        <w:tabs>
          <w:tab w:val="left" w:pos="284"/>
        </w:tabs>
        <w:spacing w:line="360" w:lineRule="auto"/>
        <w:jc w:val="both"/>
        <w:rPr>
          <w:rFonts w:ascii="宋体" w:hAnsi="宋体" w:cs="宋体"/>
          <w:color w:val="auto"/>
          <w:kern w:val="2"/>
          <w:sz w:val="21"/>
          <w:szCs w:val="21"/>
          <w:highlight w:val="none"/>
          <w:lang w:val="zh-CN"/>
        </w:rPr>
      </w:pPr>
    </w:p>
    <w:p w14:paraId="485A60D4">
      <w:pPr>
        <w:tabs>
          <w:tab w:val="left" w:pos="0"/>
        </w:tabs>
        <w:spacing w:line="360" w:lineRule="auto"/>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rPr>
        <w:t>8   采购人</w:t>
      </w:r>
      <w:r>
        <w:rPr>
          <w:rFonts w:hint="eastAsia" w:ascii="宋体" w:hAnsi="宋体" w:cs="宋体"/>
          <w:color w:val="auto"/>
          <w:kern w:val="2"/>
          <w:sz w:val="21"/>
          <w:szCs w:val="21"/>
          <w:highlight w:val="none"/>
          <w:lang w:val="zh-CN"/>
        </w:rPr>
        <w:t>联系方式</w:t>
      </w:r>
    </w:p>
    <w:p w14:paraId="4E4192A3">
      <w:pPr>
        <w:widowControl/>
        <w:tabs>
          <w:tab w:val="left" w:pos="0"/>
        </w:tabs>
        <w:spacing w:line="360" w:lineRule="auto"/>
        <w:ind w:firstLine="420" w:firstLineChars="200"/>
        <w:textAlignment w:val="bottom"/>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采购人：东莞市水务集团有限公司</w:t>
      </w:r>
    </w:p>
    <w:p w14:paraId="44A34717">
      <w:pPr>
        <w:widowControl/>
        <w:tabs>
          <w:tab w:val="left" w:pos="0"/>
        </w:tabs>
        <w:spacing w:line="360" w:lineRule="auto"/>
        <w:ind w:firstLine="420" w:firstLineChars="200"/>
        <w:textAlignment w:val="bottom"/>
        <w:rPr>
          <w:rFonts w:ascii="宋体" w:hAnsi="宋体" w:cs="宋体"/>
          <w:color w:val="auto"/>
          <w:w w:val="95"/>
          <w:sz w:val="21"/>
          <w:szCs w:val="21"/>
          <w:highlight w:val="none"/>
        </w:rPr>
      </w:pPr>
      <w:r>
        <w:rPr>
          <w:rFonts w:hint="eastAsia" w:ascii="宋体" w:hAnsi="宋体" w:cs="宋体"/>
          <w:color w:val="auto"/>
          <w:sz w:val="21"/>
          <w:szCs w:val="21"/>
          <w:highlight w:val="none"/>
        </w:rPr>
        <w:t>地  址：</w:t>
      </w:r>
      <w:r>
        <w:rPr>
          <w:rFonts w:hint="eastAsia" w:ascii="宋体" w:hAnsi="宋体" w:cs="宋体"/>
          <w:color w:val="auto"/>
          <w:kern w:val="2"/>
          <w:sz w:val="21"/>
          <w:szCs w:val="21"/>
          <w:highlight w:val="none"/>
          <w:lang w:val="zh-CN"/>
        </w:rPr>
        <w:t>东莞市东城街道育华路1号</w:t>
      </w:r>
    </w:p>
    <w:p w14:paraId="46EB08F5">
      <w:pPr>
        <w:widowControl/>
        <w:tabs>
          <w:tab w:val="left" w:pos="0"/>
        </w:tabs>
        <w:spacing w:line="360" w:lineRule="auto"/>
        <w:ind w:firstLine="420" w:firstLineChars="200"/>
        <w:textAlignment w:val="bottom"/>
        <w:rPr>
          <w:rFonts w:ascii="宋体" w:hAnsi="宋体" w:cs="宋体"/>
          <w:color w:val="auto"/>
          <w:sz w:val="21"/>
          <w:szCs w:val="32"/>
          <w:highlight w:val="none"/>
        </w:rPr>
      </w:pPr>
      <w:r>
        <w:rPr>
          <w:rFonts w:hint="eastAsia" w:ascii="宋体" w:hAnsi="宋体" w:cs="宋体"/>
          <w:color w:val="auto"/>
          <w:sz w:val="21"/>
          <w:szCs w:val="32"/>
          <w:highlight w:val="none"/>
        </w:rPr>
        <w:t>联系人：邓振达</w:t>
      </w:r>
    </w:p>
    <w:p w14:paraId="41C38368">
      <w:pPr>
        <w:widowControl/>
        <w:tabs>
          <w:tab w:val="left" w:pos="0"/>
        </w:tabs>
        <w:spacing w:line="360" w:lineRule="auto"/>
        <w:ind w:firstLine="420" w:firstLineChars="200"/>
        <w:textAlignment w:val="bottom"/>
        <w:rPr>
          <w:rFonts w:ascii="宋体" w:hAnsi="宋体" w:cs="宋体"/>
          <w:color w:val="auto"/>
          <w:sz w:val="21"/>
          <w:szCs w:val="21"/>
          <w:highlight w:val="none"/>
        </w:rPr>
      </w:pPr>
      <w:r>
        <w:rPr>
          <w:rFonts w:hint="eastAsia" w:ascii="宋体" w:hAnsi="宋体" w:cs="宋体"/>
          <w:color w:val="auto"/>
          <w:sz w:val="21"/>
          <w:szCs w:val="21"/>
          <w:highlight w:val="none"/>
        </w:rPr>
        <w:t>电  话：0769-28823251</w:t>
      </w:r>
    </w:p>
    <w:p w14:paraId="049515E9">
      <w:pPr>
        <w:tabs>
          <w:tab w:val="left" w:pos="284"/>
        </w:tabs>
        <w:spacing w:line="360" w:lineRule="auto"/>
        <w:jc w:val="both"/>
        <w:rPr>
          <w:rFonts w:ascii="宋体" w:hAnsi="宋体" w:cs="宋体"/>
          <w:color w:val="auto"/>
          <w:highlight w:val="none"/>
        </w:rPr>
      </w:pPr>
    </w:p>
    <w:p w14:paraId="6676390D">
      <w:pPr>
        <w:tabs>
          <w:tab w:val="left" w:pos="0"/>
        </w:tabs>
        <w:spacing w:line="360" w:lineRule="auto"/>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rPr>
        <w:t xml:space="preserve">9   </w:t>
      </w:r>
      <w:r>
        <w:rPr>
          <w:rFonts w:hint="eastAsia" w:ascii="宋体" w:hAnsi="宋体" w:cs="宋体"/>
          <w:color w:val="auto"/>
          <w:kern w:val="2"/>
          <w:sz w:val="21"/>
          <w:szCs w:val="21"/>
          <w:highlight w:val="none"/>
          <w:lang w:val="zh-CN"/>
        </w:rPr>
        <w:t>采购代理机构联系方式</w:t>
      </w:r>
    </w:p>
    <w:p w14:paraId="60778468">
      <w:pPr>
        <w:widowControl/>
        <w:tabs>
          <w:tab w:val="left" w:pos="0"/>
        </w:tabs>
        <w:spacing w:line="360" w:lineRule="auto"/>
        <w:ind w:firstLine="420" w:firstLineChars="200"/>
        <w:textAlignment w:val="bottom"/>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采购</w:t>
      </w:r>
      <w:r>
        <w:rPr>
          <w:rFonts w:hint="eastAsia" w:ascii="宋体" w:hAnsi="宋体" w:cs="宋体"/>
          <w:color w:val="auto"/>
          <w:sz w:val="21"/>
          <w:szCs w:val="21"/>
          <w:highlight w:val="none"/>
        </w:rPr>
        <w:t>代理机构</w:t>
      </w:r>
      <w:r>
        <w:rPr>
          <w:rFonts w:hint="eastAsia" w:ascii="宋体" w:hAnsi="宋体" w:cs="宋体"/>
          <w:color w:val="auto"/>
          <w:kern w:val="2"/>
          <w:sz w:val="21"/>
          <w:szCs w:val="21"/>
          <w:highlight w:val="none"/>
          <w:lang w:val="zh-CN"/>
        </w:rPr>
        <w:t>：建成工程咨询股份有限公司</w:t>
      </w:r>
    </w:p>
    <w:p w14:paraId="641F7E11">
      <w:pPr>
        <w:widowControl/>
        <w:tabs>
          <w:tab w:val="left" w:pos="0"/>
        </w:tabs>
        <w:spacing w:line="360" w:lineRule="auto"/>
        <w:ind w:firstLine="420" w:firstLineChars="200"/>
        <w:textAlignment w:val="bottom"/>
        <w:rPr>
          <w:rFonts w:ascii="宋体" w:hAnsi="宋体" w:cs="宋体"/>
          <w:color w:val="auto"/>
          <w:sz w:val="21"/>
          <w:szCs w:val="32"/>
          <w:highlight w:val="none"/>
        </w:rPr>
      </w:pPr>
      <w:r>
        <w:rPr>
          <w:rFonts w:hint="eastAsia" w:ascii="宋体" w:hAnsi="宋体" w:cs="宋体"/>
          <w:color w:val="auto"/>
          <w:sz w:val="21"/>
          <w:szCs w:val="32"/>
          <w:highlight w:val="none"/>
        </w:rPr>
        <w:t>地  址：广东省东莞市南城街道西平宏伟三路39号联景商业大厦16层</w:t>
      </w:r>
    </w:p>
    <w:p w14:paraId="27344EC9">
      <w:pPr>
        <w:widowControl/>
        <w:tabs>
          <w:tab w:val="left" w:pos="0"/>
        </w:tabs>
        <w:spacing w:line="360" w:lineRule="auto"/>
        <w:ind w:firstLine="420" w:firstLineChars="200"/>
        <w:textAlignment w:val="bottom"/>
        <w:rPr>
          <w:rFonts w:ascii="宋体" w:hAnsi="宋体" w:cs="宋体"/>
          <w:color w:val="auto"/>
          <w:sz w:val="21"/>
          <w:szCs w:val="32"/>
          <w:highlight w:val="none"/>
        </w:rPr>
      </w:pPr>
      <w:r>
        <w:rPr>
          <w:rFonts w:hint="eastAsia" w:ascii="宋体" w:hAnsi="宋体" w:cs="宋体"/>
          <w:color w:val="auto"/>
          <w:sz w:val="21"/>
          <w:szCs w:val="32"/>
          <w:highlight w:val="none"/>
        </w:rPr>
        <w:t>联系人：杨工</w:t>
      </w:r>
    </w:p>
    <w:p w14:paraId="1CBF2B1F">
      <w:pPr>
        <w:widowControl/>
        <w:tabs>
          <w:tab w:val="left" w:pos="0"/>
        </w:tabs>
        <w:spacing w:line="360" w:lineRule="auto"/>
        <w:ind w:firstLine="420" w:firstLineChars="200"/>
        <w:textAlignment w:val="bottom"/>
        <w:rPr>
          <w:rFonts w:ascii="宋体" w:hAnsi="宋体" w:cs="宋体"/>
          <w:color w:val="auto"/>
          <w:sz w:val="21"/>
          <w:szCs w:val="21"/>
          <w:highlight w:val="none"/>
        </w:rPr>
      </w:pPr>
      <w:r>
        <w:rPr>
          <w:rFonts w:hint="eastAsia" w:ascii="宋体" w:hAnsi="宋体" w:cs="宋体"/>
          <w:color w:val="auto"/>
          <w:sz w:val="21"/>
          <w:szCs w:val="21"/>
          <w:highlight w:val="none"/>
        </w:rPr>
        <w:t>电  话：0769-22801999</w:t>
      </w:r>
    </w:p>
    <w:p w14:paraId="6CE5FD48">
      <w:pPr>
        <w:widowControl/>
        <w:tabs>
          <w:tab w:val="left" w:pos="0"/>
        </w:tabs>
        <w:spacing w:line="360" w:lineRule="auto"/>
        <w:ind w:right="-36" w:firstLine="140" w:firstLineChars="67"/>
        <w:textAlignment w:val="bottom"/>
        <w:rPr>
          <w:rFonts w:ascii="宋体" w:hAnsi="宋体" w:cs="宋体"/>
          <w:color w:val="auto"/>
          <w:sz w:val="21"/>
          <w:szCs w:val="21"/>
          <w:highlight w:val="none"/>
        </w:rPr>
      </w:pPr>
    </w:p>
    <w:p w14:paraId="4E3295C3">
      <w:pPr>
        <w:pageBreakBefore/>
        <w:spacing w:line="360" w:lineRule="auto"/>
        <w:ind w:left="-195" w:leftChars="-100" w:hanging="45"/>
        <w:jc w:val="center"/>
        <w:outlineLvl w:val="0"/>
        <w:rPr>
          <w:rFonts w:ascii="宋体" w:hAnsi="宋体" w:cs="宋体"/>
          <w:b/>
          <w:bCs/>
          <w:color w:val="auto"/>
          <w:kern w:val="44"/>
          <w:sz w:val="32"/>
          <w:szCs w:val="32"/>
          <w:highlight w:val="none"/>
          <w:lang w:val="zh-CN"/>
        </w:rPr>
      </w:pPr>
      <w:bookmarkStart w:id="4" w:name="_Toc14483"/>
      <w:bookmarkStart w:id="5" w:name="_Toc521918065"/>
      <w:bookmarkStart w:id="6" w:name="_Toc450662847"/>
      <w:r>
        <w:rPr>
          <w:rFonts w:hint="eastAsia" w:ascii="宋体" w:hAnsi="宋体" w:cs="宋体"/>
          <w:b/>
          <w:bCs/>
          <w:color w:val="auto"/>
          <w:kern w:val="44"/>
          <w:sz w:val="32"/>
          <w:szCs w:val="32"/>
          <w:highlight w:val="none"/>
          <w:lang w:val="zh-CN"/>
        </w:rPr>
        <w:t>第二篇 谈判须知</w:t>
      </w:r>
      <w:bookmarkEnd w:id="4"/>
      <w:bookmarkEnd w:id="5"/>
      <w:bookmarkEnd w:id="6"/>
    </w:p>
    <w:p w14:paraId="05A8352E">
      <w:pPr>
        <w:spacing w:line="360" w:lineRule="auto"/>
        <w:ind w:firstLine="211" w:firstLineChars="100"/>
        <w:outlineLvl w:val="1"/>
        <w:rPr>
          <w:rFonts w:ascii="宋体" w:hAnsi="宋体" w:cs="宋体"/>
          <w:b/>
          <w:bCs/>
          <w:color w:val="auto"/>
          <w:kern w:val="44"/>
          <w:sz w:val="21"/>
          <w:szCs w:val="21"/>
          <w:highlight w:val="none"/>
          <w:lang w:val="zh-CN"/>
        </w:rPr>
      </w:pPr>
      <w:bookmarkStart w:id="7" w:name="_Toc450662848"/>
      <w:bookmarkStart w:id="8" w:name="_Toc521918066"/>
      <w:bookmarkStart w:id="9" w:name="_Toc16470"/>
      <w:r>
        <w:rPr>
          <w:rFonts w:hint="eastAsia" w:ascii="宋体" w:hAnsi="宋体" w:cs="宋体"/>
          <w:b/>
          <w:bCs/>
          <w:color w:val="auto"/>
          <w:kern w:val="44"/>
          <w:sz w:val="21"/>
          <w:szCs w:val="21"/>
          <w:highlight w:val="none"/>
          <w:lang w:val="zh-CN"/>
        </w:rPr>
        <w:t>一、总则</w:t>
      </w:r>
      <w:bookmarkEnd w:id="7"/>
      <w:bookmarkEnd w:id="8"/>
      <w:bookmarkEnd w:id="9"/>
    </w:p>
    <w:p w14:paraId="210CE94C">
      <w:pPr>
        <w:tabs>
          <w:tab w:val="left" w:pos="567"/>
        </w:tabs>
        <w:spacing w:line="360" w:lineRule="auto"/>
        <w:ind w:left="567" w:hanging="567"/>
        <w:jc w:val="both"/>
        <w:outlineLvl w:val="2"/>
        <w:rPr>
          <w:rFonts w:ascii="宋体" w:hAnsi="宋体" w:cs="宋体"/>
          <w:color w:val="auto"/>
          <w:kern w:val="2"/>
          <w:sz w:val="21"/>
          <w:szCs w:val="21"/>
          <w:highlight w:val="none"/>
          <w:lang w:val="zh-CN"/>
        </w:rPr>
      </w:pPr>
      <w:bookmarkStart w:id="10" w:name="_Toc521918067"/>
      <w:bookmarkStart w:id="11" w:name="_Toc16378"/>
      <w:bookmarkStart w:id="12" w:name="_Toc450662849"/>
      <w:r>
        <w:rPr>
          <w:rFonts w:hint="eastAsia" w:ascii="宋体" w:hAnsi="宋体" w:cs="宋体"/>
          <w:color w:val="auto"/>
          <w:kern w:val="2"/>
          <w:sz w:val="21"/>
          <w:szCs w:val="21"/>
          <w:highlight w:val="none"/>
          <w:lang w:val="zh-CN"/>
        </w:rPr>
        <w:t>1</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资金来源：企业自筹资金。</w:t>
      </w:r>
      <w:bookmarkEnd w:id="10"/>
      <w:bookmarkEnd w:id="11"/>
      <w:bookmarkEnd w:id="12"/>
    </w:p>
    <w:p w14:paraId="075EDC4F">
      <w:pPr>
        <w:spacing w:line="360" w:lineRule="auto"/>
        <w:jc w:val="both"/>
        <w:rPr>
          <w:rFonts w:ascii="宋体" w:hAnsi="宋体" w:cs="宋体"/>
          <w:color w:val="auto"/>
          <w:highlight w:val="none"/>
          <w:lang w:val="zh-CN"/>
        </w:rPr>
      </w:pPr>
    </w:p>
    <w:p w14:paraId="5D36720D">
      <w:pPr>
        <w:tabs>
          <w:tab w:val="left" w:pos="567"/>
        </w:tabs>
        <w:spacing w:line="360" w:lineRule="auto"/>
        <w:ind w:left="567" w:hanging="567"/>
        <w:jc w:val="both"/>
        <w:outlineLvl w:val="2"/>
        <w:rPr>
          <w:rFonts w:ascii="宋体" w:hAnsi="宋体" w:cs="宋体"/>
          <w:b/>
          <w:bCs/>
          <w:color w:val="auto"/>
          <w:kern w:val="2"/>
          <w:sz w:val="21"/>
          <w:szCs w:val="21"/>
          <w:highlight w:val="none"/>
          <w:lang w:val="zh-CN"/>
        </w:rPr>
      </w:pPr>
      <w:bookmarkStart w:id="13" w:name="_Toc534216347"/>
      <w:bookmarkStart w:id="14" w:name="_Toc26099"/>
      <w:bookmarkStart w:id="15" w:name="_Toc450662850"/>
      <w:bookmarkStart w:id="16" w:name="_Toc521918068"/>
      <w:r>
        <w:rPr>
          <w:rFonts w:hint="eastAsia" w:ascii="宋体" w:hAnsi="宋体" w:cs="宋体"/>
          <w:b/>
          <w:bCs/>
          <w:color w:val="auto"/>
          <w:kern w:val="2"/>
          <w:sz w:val="21"/>
          <w:szCs w:val="21"/>
          <w:highlight w:val="none"/>
          <w:lang w:val="zh-CN"/>
        </w:rPr>
        <w:t>2</w:t>
      </w:r>
      <w:r>
        <w:rPr>
          <w:rFonts w:hint="eastAsia" w:ascii="宋体" w:hAnsi="宋体" w:cs="宋体"/>
          <w:b/>
          <w:bCs/>
          <w:color w:val="auto"/>
          <w:kern w:val="2"/>
          <w:sz w:val="21"/>
          <w:szCs w:val="21"/>
          <w:highlight w:val="none"/>
        </w:rPr>
        <w:t xml:space="preserve"> </w:t>
      </w:r>
      <w:r>
        <w:rPr>
          <w:rFonts w:hint="eastAsia" w:ascii="宋体" w:hAnsi="宋体" w:cs="宋体"/>
          <w:b/>
          <w:bCs/>
          <w:color w:val="auto"/>
          <w:kern w:val="2"/>
          <w:sz w:val="21"/>
          <w:szCs w:val="21"/>
          <w:highlight w:val="none"/>
          <w:lang w:val="zh-CN"/>
        </w:rPr>
        <w:t>合格的</w:t>
      </w:r>
      <w:bookmarkEnd w:id="13"/>
      <w:r>
        <w:rPr>
          <w:rFonts w:hint="eastAsia" w:ascii="宋体" w:hAnsi="宋体" w:cs="宋体"/>
          <w:b/>
          <w:bCs/>
          <w:color w:val="auto"/>
          <w:kern w:val="2"/>
          <w:sz w:val="21"/>
          <w:szCs w:val="21"/>
          <w:highlight w:val="none"/>
          <w:lang w:val="zh-CN"/>
        </w:rPr>
        <w:t>供应商</w:t>
      </w:r>
      <w:bookmarkEnd w:id="14"/>
    </w:p>
    <w:p w14:paraId="0CC25523">
      <w:pPr>
        <w:spacing w:line="360" w:lineRule="auto"/>
        <w:ind w:left="422" w:hanging="422" w:hangingChars="200"/>
        <w:jc w:val="both"/>
        <w:rPr>
          <w:rFonts w:ascii="宋体" w:hAnsi="宋体" w:cs="宋体"/>
          <w:b/>
          <w:bCs/>
          <w:color w:val="auto"/>
          <w:kern w:val="2"/>
          <w:sz w:val="21"/>
          <w:szCs w:val="21"/>
          <w:highlight w:val="none"/>
          <w:lang w:val="zh-CN"/>
        </w:rPr>
      </w:pPr>
      <w:r>
        <w:rPr>
          <w:rFonts w:hint="eastAsia" w:ascii="宋体" w:hAnsi="宋体" w:cs="宋体"/>
          <w:b/>
          <w:bCs/>
          <w:color w:val="auto"/>
          <w:kern w:val="2"/>
          <w:sz w:val="21"/>
          <w:szCs w:val="21"/>
          <w:highlight w:val="none"/>
          <w:lang w:val="zh-CN"/>
        </w:rPr>
        <w:t xml:space="preserve">2.1 </w:t>
      </w:r>
      <w:r>
        <w:rPr>
          <w:rFonts w:hint="eastAsia" w:ascii="宋体" w:hAnsi="宋体" w:cs="宋体"/>
          <w:b/>
          <w:bCs/>
          <w:color w:val="auto"/>
          <w:kern w:val="2"/>
          <w:sz w:val="21"/>
          <w:szCs w:val="21"/>
          <w:highlight w:val="none"/>
          <w:u w:val="single"/>
          <w:lang w:val="zh-CN"/>
        </w:rPr>
        <w:t>合格的供应商条件见第一篇《竞争性谈判</w:t>
      </w:r>
      <w:r>
        <w:rPr>
          <w:rFonts w:hint="eastAsia" w:ascii="宋体" w:hAnsi="宋体" w:cs="宋体"/>
          <w:b/>
          <w:bCs/>
          <w:color w:val="auto"/>
          <w:kern w:val="2"/>
          <w:sz w:val="21"/>
          <w:szCs w:val="21"/>
          <w:highlight w:val="none"/>
          <w:u w:val="single"/>
        </w:rPr>
        <w:t>公告</w:t>
      </w:r>
      <w:r>
        <w:rPr>
          <w:rFonts w:hint="eastAsia" w:ascii="宋体" w:hAnsi="宋体" w:cs="宋体"/>
          <w:b/>
          <w:bCs/>
          <w:color w:val="auto"/>
          <w:kern w:val="2"/>
          <w:sz w:val="21"/>
          <w:szCs w:val="21"/>
          <w:highlight w:val="none"/>
          <w:u w:val="single"/>
          <w:lang w:val="zh-CN"/>
        </w:rPr>
        <w:t>》中第2条的“合格供应商资格要求”及本条以下2.2款至</w:t>
      </w:r>
      <w:r>
        <w:rPr>
          <w:rFonts w:hint="eastAsia" w:ascii="宋体" w:hAnsi="宋体" w:cs="宋体"/>
          <w:b/>
          <w:bCs/>
          <w:color w:val="auto"/>
          <w:kern w:val="2"/>
          <w:sz w:val="21"/>
          <w:szCs w:val="21"/>
          <w:highlight w:val="none"/>
          <w:u w:val="single"/>
        </w:rPr>
        <w:t>2.4</w:t>
      </w:r>
      <w:r>
        <w:rPr>
          <w:rFonts w:hint="eastAsia" w:ascii="宋体" w:hAnsi="宋体" w:cs="宋体"/>
          <w:b/>
          <w:bCs/>
          <w:color w:val="auto"/>
          <w:kern w:val="2"/>
          <w:sz w:val="21"/>
          <w:szCs w:val="21"/>
          <w:highlight w:val="none"/>
          <w:u w:val="single"/>
          <w:lang w:val="zh-CN"/>
        </w:rPr>
        <w:t>款的通用要求</w:t>
      </w:r>
      <w:r>
        <w:rPr>
          <w:rFonts w:hint="eastAsia" w:ascii="宋体" w:hAnsi="宋体" w:cs="宋体"/>
          <w:b/>
          <w:bCs/>
          <w:color w:val="auto"/>
          <w:kern w:val="2"/>
          <w:sz w:val="21"/>
          <w:szCs w:val="21"/>
          <w:highlight w:val="none"/>
          <w:lang w:val="zh-CN"/>
        </w:rPr>
        <w:t>。</w:t>
      </w:r>
    </w:p>
    <w:p w14:paraId="1648CF39">
      <w:pPr>
        <w:spacing w:line="360" w:lineRule="auto"/>
        <w:ind w:left="422" w:hanging="422" w:hangingChars="200"/>
        <w:jc w:val="both"/>
        <w:rPr>
          <w:rFonts w:ascii="宋体" w:hAnsi="宋体" w:cs="宋体"/>
          <w:b/>
          <w:bCs/>
          <w:color w:val="auto"/>
          <w:kern w:val="2"/>
          <w:sz w:val="21"/>
          <w:szCs w:val="21"/>
          <w:highlight w:val="none"/>
          <w:lang w:val="zh-CN"/>
        </w:rPr>
      </w:pPr>
      <w:r>
        <w:rPr>
          <w:rFonts w:hint="eastAsia" w:ascii="宋体" w:hAnsi="宋体" w:cs="宋体"/>
          <w:b/>
          <w:bCs/>
          <w:color w:val="auto"/>
          <w:sz w:val="21"/>
          <w:szCs w:val="21"/>
          <w:highlight w:val="none"/>
          <w:lang w:val="zh-CN"/>
        </w:rPr>
        <w:t>2.</w:t>
      </w:r>
      <w:r>
        <w:rPr>
          <w:rFonts w:hint="eastAsia" w:ascii="宋体" w:hAnsi="宋体" w:cs="宋体"/>
          <w:b/>
          <w:bCs/>
          <w:color w:val="auto"/>
          <w:sz w:val="21"/>
          <w:szCs w:val="21"/>
          <w:highlight w:val="none"/>
        </w:rPr>
        <w:t>2</w:t>
      </w:r>
      <w:r>
        <w:rPr>
          <w:rFonts w:hint="eastAsia" w:ascii="宋体" w:hAnsi="宋体" w:cs="宋体"/>
          <w:b/>
          <w:bCs/>
          <w:color w:val="auto"/>
          <w:sz w:val="21"/>
          <w:szCs w:val="21"/>
          <w:highlight w:val="none"/>
          <w:lang w:val="zh-CN"/>
        </w:rPr>
        <w:t xml:space="preserve"> </w:t>
      </w:r>
      <w:r>
        <w:rPr>
          <w:rFonts w:hint="eastAsia" w:ascii="宋体" w:hAnsi="宋体" w:cs="宋体"/>
          <w:b/>
          <w:bCs/>
          <w:color w:val="auto"/>
          <w:sz w:val="21"/>
          <w:szCs w:val="21"/>
          <w:highlight w:val="none"/>
          <w:u w:val="single"/>
          <w:lang w:val="zh-CN"/>
        </w:rPr>
        <w:t>供应商</w:t>
      </w:r>
      <w:r>
        <w:rPr>
          <w:rFonts w:hint="eastAsia" w:ascii="宋体" w:hAnsi="宋体" w:cs="宋体"/>
          <w:b/>
          <w:bCs/>
          <w:color w:val="auto"/>
          <w:kern w:val="2"/>
          <w:sz w:val="21"/>
          <w:szCs w:val="21"/>
          <w:highlight w:val="none"/>
          <w:u w:val="single"/>
          <w:lang w:val="zh-CN"/>
        </w:rPr>
        <w:t>在参加本项目谈判前的三年内不得在投标活动中存在《中华人民共和国招标投标法》第五十三条（相互串通投标或者与采购人串通投标，以向采购人或者评标委员会成员行贿的手段谋取中标）、第五十四条（以他人名义投标或者以其他方式弄虚作假，骗取中标）、第六十条（成交人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cs="宋体"/>
          <w:b/>
          <w:bCs/>
          <w:color w:val="auto"/>
          <w:kern w:val="2"/>
          <w:sz w:val="21"/>
          <w:szCs w:val="21"/>
          <w:highlight w:val="none"/>
          <w:u w:val="single"/>
        </w:rPr>
        <w:t>供应商</w:t>
      </w:r>
      <w:r>
        <w:rPr>
          <w:rFonts w:hint="eastAsia" w:ascii="宋体" w:hAnsi="宋体" w:cs="宋体"/>
          <w:b/>
          <w:bCs/>
          <w:color w:val="auto"/>
          <w:kern w:val="2"/>
          <w:sz w:val="21"/>
          <w:szCs w:val="21"/>
          <w:highlight w:val="none"/>
          <w:u w:val="single"/>
          <w:lang w:val="zh-CN"/>
        </w:rPr>
        <w:t>存在前述处罚的，在响应文件中必须主动按竞争性谈判文件的要求填报“关于失信被执行人、重大税收违法失信主体、严重违法失信行为记录名单情况说明”，如果不主动填报而被事后发现的，将取消其谈判（中标）资格，并按有关规定从重处理</w:t>
      </w:r>
      <w:r>
        <w:rPr>
          <w:rFonts w:hint="eastAsia" w:ascii="宋体" w:hAnsi="宋体" w:cs="宋体"/>
          <w:b/>
          <w:bCs/>
          <w:color w:val="auto"/>
          <w:kern w:val="2"/>
          <w:sz w:val="21"/>
          <w:szCs w:val="21"/>
          <w:highlight w:val="none"/>
          <w:lang w:val="zh-CN"/>
        </w:rPr>
        <w:t>。</w:t>
      </w:r>
    </w:p>
    <w:p w14:paraId="02427755">
      <w:pPr>
        <w:spacing w:line="360" w:lineRule="auto"/>
        <w:ind w:left="422" w:hanging="422" w:hangingChars="200"/>
        <w:jc w:val="both"/>
        <w:rPr>
          <w:rFonts w:ascii="宋体" w:hAnsi="宋体" w:cs="宋体"/>
          <w:b/>
          <w:bCs/>
          <w:color w:val="auto"/>
          <w:kern w:val="2"/>
          <w:sz w:val="21"/>
          <w:szCs w:val="21"/>
          <w:highlight w:val="none"/>
          <w:lang w:val="zh-CN"/>
        </w:rPr>
      </w:pPr>
      <w:r>
        <w:rPr>
          <w:rFonts w:hint="eastAsia" w:ascii="宋体" w:hAnsi="宋体" w:cs="宋体"/>
          <w:b/>
          <w:bCs/>
          <w:color w:val="auto"/>
          <w:sz w:val="21"/>
          <w:szCs w:val="21"/>
          <w:highlight w:val="none"/>
        </w:rPr>
        <w:t xml:space="preserve">2.3 </w:t>
      </w:r>
      <w:r>
        <w:rPr>
          <w:rFonts w:hint="eastAsia" w:ascii="宋体" w:hAnsi="宋体" w:cs="宋体"/>
          <w:b/>
          <w:bCs/>
          <w:color w:val="auto"/>
          <w:sz w:val="21"/>
          <w:szCs w:val="21"/>
          <w:highlight w:val="none"/>
          <w:u w:val="single"/>
        </w:rPr>
        <w:t>供应商（含其不具有独立法人资格的分支机构）未列入“信用中国”网站（ www.creditchina.gov.cn）失信被执行人、</w:t>
      </w:r>
      <w:r>
        <w:rPr>
          <w:rFonts w:hint="eastAsia" w:ascii="宋体" w:hAnsi="宋体" w:cs="宋体"/>
          <w:b/>
          <w:bCs/>
          <w:color w:val="auto"/>
          <w:kern w:val="2"/>
          <w:sz w:val="21"/>
          <w:szCs w:val="21"/>
          <w:highlight w:val="none"/>
          <w:u w:val="single"/>
          <w:lang w:val="zh-CN"/>
        </w:rPr>
        <w:t>重大税收违法失信主体、政府采购严重违法失信行为记录名单（处罚期限届满的除外）</w:t>
      </w:r>
      <w:r>
        <w:rPr>
          <w:rFonts w:hint="eastAsia" w:ascii="宋体" w:hAnsi="宋体" w:cs="宋体"/>
          <w:b/>
          <w:bCs/>
          <w:color w:val="auto"/>
          <w:sz w:val="21"/>
          <w:szCs w:val="21"/>
          <w:highlight w:val="none"/>
        </w:rPr>
        <w:t>。</w:t>
      </w:r>
    </w:p>
    <w:p w14:paraId="4AE89F24">
      <w:pPr>
        <w:spacing w:line="360" w:lineRule="auto"/>
        <w:ind w:left="422" w:hanging="422" w:hangingChars="200"/>
        <w:jc w:val="both"/>
        <w:rPr>
          <w:rFonts w:ascii="宋体" w:hAnsi="宋体" w:cs="宋体"/>
          <w:color w:val="auto"/>
          <w:sz w:val="21"/>
          <w:szCs w:val="21"/>
          <w:highlight w:val="none"/>
        </w:rPr>
      </w:pPr>
      <w:r>
        <w:rPr>
          <w:rFonts w:hint="eastAsia" w:ascii="宋体" w:hAnsi="宋体" w:cs="宋体"/>
          <w:b/>
          <w:bCs/>
          <w:color w:val="auto"/>
          <w:sz w:val="21"/>
          <w:szCs w:val="21"/>
          <w:highlight w:val="none"/>
        </w:rPr>
        <w:t xml:space="preserve">2.4 </w:t>
      </w:r>
      <w:r>
        <w:rPr>
          <w:rFonts w:hint="eastAsia" w:ascii="宋体" w:hAnsi="宋体" w:cs="宋体"/>
          <w:b/>
          <w:bCs/>
          <w:color w:val="auto"/>
          <w:sz w:val="21"/>
          <w:szCs w:val="21"/>
          <w:highlight w:val="none"/>
          <w:u w:val="single"/>
        </w:rPr>
        <w:t>根据《中华人民共和国招标投标法实施条例》第三十四条规定，与采购人存在利害关系可能影响招标公正性的法人、其他组织或者个人，不得参加谈判；供应商负责人为同一人或者存在控股、管理关系的不同供应商，不得参加同一项目谈判。上述情况一经发现，相关谈判均无效</w:t>
      </w:r>
      <w:r>
        <w:rPr>
          <w:rFonts w:hint="eastAsia" w:ascii="宋体" w:hAnsi="宋体" w:cs="宋体"/>
          <w:b/>
          <w:bCs/>
          <w:color w:val="auto"/>
          <w:sz w:val="21"/>
          <w:szCs w:val="21"/>
          <w:highlight w:val="none"/>
        </w:rPr>
        <w:t>。</w:t>
      </w:r>
    </w:p>
    <w:p w14:paraId="592E08D0">
      <w:pPr>
        <w:tabs>
          <w:tab w:val="left" w:pos="426"/>
        </w:tabs>
        <w:spacing w:line="360" w:lineRule="auto"/>
        <w:ind w:left="529" w:hanging="529" w:hangingChars="252"/>
        <w:jc w:val="both"/>
        <w:rPr>
          <w:rFonts w:ascii="宋体" w:hAnsi="宋体" w:cs="宋体"/>
          <w:color w:val="auto"/>
          <w:sz w:val="21"/>
          <w:szCs w:val="21"/>
          <w:highlight w:val="none"/>
        </w:rPr>
      </w:pPr>
    </w:p>
    <w:bookmarkEnd w:id="15"/>
    <w:bookmarkEnd w:id="16"/>
    <w:p w14:paraId="5614F126">
      <w:pPr>
        <w:tabs>
          <w:tab w:val="left" w:pos="525"/>
        </w:tabs>
        <w:spacing w:line="360" w:lineRule="auto"/>
        <w:ind w:left="567" w:hanging="567"/>
        <w:jc w:val="both"/>
        <w:outlineLvl w:val="2"/>
        <w:rPr>
          <w:rFonts w:ascii="宋体" w:hAnsi="宋体" w:cs="宋体"/>
          <w:b/>
          <w:bCs/>
          <w:color w:val="auto"/>
          <w:kern w:val="2"/>
          <w:sz w:val="21"/>
          <w:szCs w:val="21"/>
          <w:highlight w:val="none"/>
          <w:lang w:val="zh-CN"/>
        </w:rPr>
      </w:pPr>
      <w:bookmarkStart w:id="17" w:name="_Toc23847_WPSOffice_Level3"/>
      <w:bookmarkStart w:id="18" w:name="_Toc142508315"/>
      <w:bookmarkStart w:id="19" w:name="_Toc11689"/>
      <w:bookmarkStart w:id="20" w:name="_Toc19774"/>
      <w:bookmarkStart w:id="21" w:name="_Toc2123"/>
      <w:bookmarkStart w:id="22" w:name="_Toc9282"/>
      <w:bookmarkStart w:id="23" w:name="_Toc16100"/>
      <w:bookmarkStart w:id="24" w:name="_Toc51642347"/>
      <w:bookmarkStart w:id="25" w:name="_Toc450662851"/>
      <w:bookmarkStart w:id="26" w:name="_Toc521918069"/>
      <w:r>
        <w:rPr>
          <w:rFonts w:hint="eastAsia" w:ascii="宋体" w:hAnsi="宋体" w:cs="宋体"/>
          <w:b/>
          <w:bCs/>
          <w:color w:val="auto"/>
          <w:kern w:val="2"/>
          <w:sz w:val="21"/>
          <w:szCs w:val="21"/>
          <w:highlight w:val="none"/>
          <w:lang w:val="zh-CN"/>
        </w:rPr>
        <w:t>3</w:t>
      </w:r>
      <w:r>
        <w:rPr>
          <w:rFonts w:hint="eastAsia" w:ascii="宋体" w:hAnsi="宋体" w:cs="宋体"/>
          <w:b/>
          <w:bCs/>
          <w:color w:val="auto"/>
          <w:kern w:val="2"/>
          <w:sz w:val="21"/>
          <w:szCs w:val="21"/>
          <w:highlight w:val="none"/>
        </w:rPr>
        <w:t xml:space="preserve"> </w:t>
      </w:r>
      <w:r>
        <w:rPr>
          <w:rFonts w:hint="eastAsia" w:ascii="宋体" w:hAnsi="宋体" w:cs="宋体"/>
          <w:b/>
          <w:bCs/>
          <w:color w:val="auto"/>
          <w:kern w:val="2"/>
          <w:sz w:val="21"/>
          <w:szCs w:val="21"/>
          <w:highlight w:val="none"/>
          <w:lang w:val="zh-CN"/>
        </w:rPr>
        <w:t>合格的</w:t>
      </w:r>
      <w:bookmarkEnd w:id="17"/>
      <w:bookmarkEnd w:id="18"/>
      <w:r>
        <w:rPr>
          <w:rFonts w:hint="eastAsia" w:ascii="宋体" w:hAnsi="宋体" w:cs="宋体"/>
          <w:b/>
          <w:bCs/>
          <w:color w:val="auto"/>
          <w:kern w:val="2"/>
          <w:sz w:val="21"/>
          <w:szCs w:val="21"/>
          <w:highlight w:val="none"/>
          <w:lang w:val="zh-CN"/>
        </w:rPr>
        <w:t>服务</w:t>
      </w:r>
      <w:bookmarkEnd w:id="19"/>
      <w:bookmarkEnd w:id="20"/>
      <w:bookmarkEnd w:id="21"/>
      <w:bookmarkEnd w:id="22"/>
      <w:bookmarkEnd w:id="23"/>
    </w:p>
    <w:p w14:paraId="7C74139F">
      <w:pPr>
        <w:tabs>
          <w:tab w:val="left" w:pos="525"/>
        </w:tabs>
        <w:spacing w:line="360" w:lineRule="auto"/>
        <w:ind w:left="567" w:hanging="567"/>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 xml:space="preserve">1 </w:t>
      </w:r>
      <w:r>
        <w:rPr>
          <w:rFonts w:hint="eastAsia" w:ascii="宋体" w:hAnsi="宋体" w:cs="宋体"/>
          <w:color w:val="auto"/>
          <w:kern w:val="2"/>
          <w:sz w:val="21"/>
          <w:szCs w:val="21"/>
          <w:highlight w:val="none"/>
          <w:lang w:val="zh-CN"/>
        </w:rPr>
        <w:t>“服务”是指</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按</w:t>
      </w:r>
      <w:r>
        <w:rPr>
          <w:rFonts w:hint="eastAsia" w:ascii="宋体" w:hAnsi="宋体" w:cs="宋体"/>
          <w:color w:val="auto"/>
          <w:kern w:val="2"/>
          <w:sz w:val="21"/>
          <w:szCs w:val="21"/>
          <w:highlight w:val="none"/>
        </w:rPr>
        <w:t>竞争性</w:t>
      </w:r>
      <w:r>
        <w:rPr>
          <w:rFonts w:hint="eastAsia" w:ascii="宋体" w:hAnsi="宋体" w:cs="宋体"/>
          <w:color w:val="auto"/>
          <w:kern w:val="2"/>
          <w:sz w:val="21"/>
          <w:szCs w:val="21"/>
          <w:highlight w:val="none"/>
          <w:lang w:val="zh-CN"/>
        </w:rPr>
        <w:t>文件规定完成的全部服务内容，其中包括完成服务所需的货物和</w:t>
      </w:r>
    </w:p>
    <w:p w14:paraId="0C21AC48">
      <w:pPr>
        <w:tabs>
          <w:tab w:val="left" w:pos="525"/>
        </w:tabs>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工程，及须承担的技术支持、培训和其它伴随服务。</w:t>
      </w:r>
    </w:p>
    <w:p w14:paraId="02DB00D4">
      <w:pPr>
        <w:tabs>
          <w:tab w:val="left" w:pos="525"/>
        </w:tabs>
        <w:spacing w:line="360" w:lineRule="auto"/>
        <w:ind w:left="567" w:hanging="567"/>
        <w:jc w:val="both"/>
        <w:rPr>
          <w:rFonts w:ascii="宋体" w:hAnsi="宋体" w:cs="宋体"/>
          <w:color w:val="auto"/>
          <w:kern w:val="2"/>
          <w:sz w:val="21"/>
          <w:szCs w:val="21"/>
          <w:highlight w:val="none"/>
          <w:lang w:val="zh-CN"/>
        </w:rPr>
      </w:pPr>
      <w:bookmarkStart w:id="27" w:name="_Toc1977663"/>
      <w:bookmarkStart w:id="28" w:name="_Toc533708063"/>
      <w:r>
        <w:rPr>
          <w:rFonts w:hint="eastAsia" w:ascii="宋体" w:hAnsi="宋体" w:cs="宋体"/>
          <w:color w:val="auto"/>
          <w:kern w:val="2"/>
          <w:sz w:val="21"/>
          <w:szCs w:val="21"/>
          <w:highlight w:val="none"/>
          <w:lang w:val="zh-CN"/>
        </w:rPr>
        <w:t xml:space="preserve">3.2 </w:t>
      </w:r>
      <w:bookmarkEnd w:id="27"/>
      <w:bookmarkEnd w:id="28"/>
      <w:bookmarkStart w:id="29" w:name="_Toc533708065"/>
      <w:bookmarkStart w:id="30" w:name="_Toc1977665"/>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必须保证提供的所有服务或服务的任何部分均为最新正式版本。</w:t>
      </w:r>
      <w:bookmarkEnd w:id="29"/>
      <w:bookmarkEnd w:id="30"/>
    </w:p>
    <w:p w14:paraId="26BB811C">
      <w:pPr>
        <w:tabs>
          <w:tab w:val="left" w:pos="525"/>
        </w:tabs>
        <w:spacing w:line="360" w:lineRule="auto"/>
        <w:ind w:left="567" w:hanging="567"/>
        <w:jc w:val="both"/>
        <w:rPr>
          <w:rFonts w:ascii="宋体" w:hAnsi="宋体" w:cs="宋体"/>
          <w:color w:val="auto"/>
          <w:kern w:val="2"/>
          <w:sz w:val="21"/>
          <w:szCs w:val="21"/>
          <w:highlight w:val="none"/>
          <w:lang w:val="zh-CN"/>
        </w:rPr>
      </w:pPr>
      <w:bookmarkStart w:id="31" w:name="_Toc1977666"/>
      <w:bookmarkStart w:id="32" w:name="_Toc533708066"/>
      <w:r>
        <w:rPr>
          <w:rFonts w:hint="eastAsia" w:ascii="宋体" w:hAnsi="宋体" w:cs="宋体"/>
          <w:color w:val="auto"/>
          <w:kern w:val="2"/>
          <w:sz w:val="21"/>
          <w:szCs w:val="21"/>
          <w:highlight w:val="none"/>
          <w:lang w:val="zh-CN"/>
        </w:rPr>
        <w:t xml:space="preserve">3.3 </w:t>
      </w:r>
      <w:bookmarkEnd w:id="31"/>
      <w:bookmarkEnd w:id="32"/>
      <w:bookmarkStart w:id="33" w:name="_Toc533708067"/>
      <w:bookmarkStart w:id="34" w:name="_Toc1977667"/>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应保证</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人在中华人民共和国使用服务或服务的任何一部分时，</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人免受第三方提</w:t>
      </w:r>
    </w:p>
    <w:p w14:paraId="0254DC94">
      <w:pPr>
        <w:tabs>
          <w:tab w:val="left" w:pos="525"/>
        </w:tabs>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出侵犯其专利权、商标权或其它知识产权的起诉。如果</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不拥有相应的知识产权，则须在</w:t>
      </w:r>
    </w:p>
    <w:p w14:paraId="0C9ED63C">
      <w:pPr>
        <w:tabs>
          <w:tab w:val="left" w:pos="525"/>
        </w:tabs>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报价中包括合法获取该知识产权的相关费用，并在</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文件中附有相关证明文件。如有违反，</w:t>
      </w:r>
    </w:p>
    <w:p w14:paraId="448D85AE">
      <w:pPr>
        <w:tabs>
          <w:tab w:val="left" w:pos="525"/>
        </w:tabs>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造成</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人任何经济损失或其他损失的，由</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承担全部赔偿责任。</w:t>
      </w:r>
      <w:bookmarkEnd w:id="33"/>
      <w:bookmarkEnd w:id="34"/>
    </w:p>
    <w:p w14:paraId="044E326E">
      <w:pPr>
        <w:tabs>
          <w:tab w:val="left" w:pos="525"/>
        </w:tabs>
        <w:spacing w:line="360" w:lineRule="auto"/>
        <w:ind w:left="567" w:hanging="567"/>
        <w:jc w:val="both"/>
        <w:rPr>
          <w:rFonts w:ascii="宋体" w:hAnsi="宋体" w:cs="宋体"/>
          <w:color w:val="auto"/>
          <w:kern w:val="2"/>
          <w:sz w:val="21"/>
          <w:szCs w:val="21"/>
          <w:highlight w:val="none"/>
          <w:lang w:val="zh-CN"/>
        </w:rPr>
      </w:pPr>
      <w:bookmarkStart w:id="35" w:name="_Toc1977668"/>
      <w:bookmarkStart w:id="36" w:name="_Toc533708068"/>
      <w:r>
        <w:rPr>
          <w:rFonts w:hint="eastAsia" w:ascii="宋体" w:hAnsi="宋体" w:cs="宋体"/>
          <w:color w:val="auto"/>
          <w:kern w:val="2"/>
          <w:sz w:val="21"/>
          <w:szCs w:val="21"/>
          <w:highlight w:val="none"/>
          <w:lang w:val="zh-CN"/>
        </w:rPr>
        <w:t>3.4</w:t>
      </w:r>
      <w:bookmarkEnd w:id="35"/>
      <w:bookmarkEnd w:id="36"/>
      <w:r>
        <w:rPr>
          <w:rFonts w:hint="eastAsia" w:ascii="宋体" w:hAnsi="宋体" w:cs="宋体"/>
          <w:color w:val="auto"/>
          <w:kern w:val="2"/>
          <w:sz w:val="21"/>
          <w:szCs w:val="21"/>
          <w:highlight w:val="none"/>
          <w:lang w:val="zh-CN"/>
        </w:rPr>
        <w:t xml:space="preserve"> 无论</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是否在</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报价表中明示，均视为</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报价已包含所有应支付的对专利权、商标权</w:t>
      </w:r>
    </w:p>
    <w:p w14:paraId="46F1626E">
      <w:pPr>
        <w:tabs>
          <w:tab w:val="left" w:pos="525"/>
        </w:tabs>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和版权、设计或其他知识产权而需要向其他方支付的版税和使用费等相关费用。如</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未依</w:t>
      </w:r>
    </w:p>
    <w:p w14:paraId="3559DFD7">
      <w:pPr>
        <w:tabs>
          <w:tab w:val="left" w:pos="525"/>
        </w:tabs>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法向第三方支付应缴版税和使用费等相关费用的，造成</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人任何经济损失的，由</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承担</w:t>
      </w:r>
    </w:p>
    <w:p w14:paraId="53ED18B1">
      <w:pPr>
        <w:tabs>
          <w:tab w:val="left" w:pos="525"/>
        </w:tabs>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全部赔偿责任。</w:t>
      </w:r>
    </w:p>
    <w:bookmarkEnd w:id="24"/>
    <w:bookmarkEnd w:id="25"/>
    <w:bookmarkEnd w:id="26"/>
    <w:p w14:paraId="49D9131F">
      <w:pPr>
        <w:spacing w:line="360" w:lineRule="auto"/>
        <w:ind w:left="420" w:hanging="420" w:hangingChars="200"/>
        <w:jc w:val="both"/>
        <w:rPr>
          <w:rFonts w:ascii="宋体" w:hAnsi="宋体" w:cs="宋体"/>
          <w:color w:val="auto"/>
          <w:sz w:val="21"/>
          <w:szCs w:val="21"/>
          <w:highlight w:val="none"/>
        </w:rPr>
      </w:pPr>
    </w:p>
    <w:p w14:paraId="27BF576B">
      <w:pPr>
        <w:tabs>
          <w:tab w:val="left" w:pos="525"/>
        </w:tabs>
        <w:spacing w:line="360" w:lineRule="auto"/>
        <w:ind w:left="567" w:hanging="567"/>
        <w:jc w:val="both"/>
        <w:outlineLvl w:val="2"/>
        <w:rPr>
          <w:rFonts w:ascii="宋体" w:hAnsi="宋体" w:cs="宋体"/>
          <w:color w:val="auto"/>
          <w:kern w:val="2"/>
          <w:sz w:val="21"/>
          <w:szCs w:val="21"/>
          <w:highlight w:val="none"/>
          <w:lang w:val="zh-CN"/>
        </w:rPr>
      </w:pPr>
      <w:bookmarkStart w:id="37" w:name="_Toc450662852"/>
      <w:bookmarkStart w:id="38" w:name="_Toc7079"/>
      <w:r>
        <w:rPr>
          <w:rFonts w:hint="eastAsia" w:ascii="宋体" w:hAnsi="宋体" w:cs="宋体"/>
          <w:color w:val="auto"/>
          <w:kern w:val="2"/>
          <w:sz w:val="21"/>
          <w:szCs w:val="21"/>
          <w:highlight w:val="none"/>
          <w:lang w:val="zh-CN"/>
        </w:rPr>
        <w:t>4</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其它说明</w:t>
      </w:r>
      <w:bookmarkEnd w:id="37"/>
      <w:bookmarkEnd w:id="38"/>
    </w:p>
    <w:p w14:paraId="72895E76">
      <w:pPr>
        <w:tabs>
          <w:tab w:val="left" w:pos="567"/>
        </w:tabs>
        <w:spacing w:line="360" w:lineRule="auto"/>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 xml:space="preserve">4.1 </w:t>
      </w:r>
      <w:r>
        <w:rPr>
          <w:rFonts w:hint="eastAsia" w:ascii="宋体" w:hAnsi="宋体" w:cs="宋体"/>
          <w:color w:val="auto"/>
          <w:kern w:val="2"/>
          <w:sz w:val="21"/>
          <w:szCs w:val="21"/>
          <w:highlight w:val="none"/>
        </w:rPr>
        <w:t>谈判过程</w:t>
      </w:r>
      <w:r>
        <w:rPr>
          <w:rFonts w:hint="eastAsia" w:ascii="宋体" w:hAnsi="宋体" w:cs="宋体"/>
          <w:color w:val="auto"/>
          <w:kern w:val="2"/>
          <w:sz w:val="21"/>
          <w:szCs w:val="21"/>
          <w:highlight w:val="none"/>
          <w:lang w:val="zh-CN"/>
        </w:rPr>
        <w:t>费用</w:t>
      </w:r>
    </w:p>
    <w:p w14:paraId="1AF9D6B8">
      <w:pPr>
        <w:spacing w:line="360" w:lineRule="auto"/>
        <w:ind w:left="418" w:leftChars="174"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无论采购过程中的做法和结果如何，供应商须承担所有与编写和递交响应文件有关的费用，采购</w:t>
      </w:r>
      <w:r>
        <w:rPr>
          <w:rFonts w:hint="eastAsia" w:ascii="宋体" w:hAnsi="宋体" w:cs="宋体"/>
          <w:color w:val="auto"/>
          <w:kern w:val="2"/>
          <w:sz w:val="21"/>
          <w:szCs w:val="21"/>
          <w:highlight w:val="none"/>
        </w:rPr>
        <w:t>代理机构</w:t>
      </w:r>
      <w:r>
        <w:rPr>
          <w:rFonts w:hint="eastAsia" w:ascii="宋体" w:hAnsi="宋体" w:cs="宋体"/>
          <w:color w:val="auto"/>
          <w:kern w:val="2"/>
          <w:sz w:val="21"/>
          <w:szCs w:val="21"/>
          <w:highlight w:val="none"/>
          <w:lang w:val="zh-CN"/>
        </w:rPr>
        <w:t>在任何情况下不负担这些费用。</w:t>
      </w:r>
    </w:p>
    <w:p w14:paraId="7DAF2270">
      <w:pPr>
        <w:tabs>
          <w:tab w:val="left" w:pos="567"/>
          <w:tab w:val="left" w:pos="927"/>
        </w:tabs>
        <w:spacing w:line="360" w:lineRule="auto"/>
        <w:ind w:left="630" w:hanging="630" w:hangingChars="300"/>
        <w:jc w:val="both"/>
        <w:rPr>
          <w:rFonts w:ascii="宋体" w:hAnsi="宋体" w:cs="宋体"/>
          <w:color w:val="auto"/>
          <w:sz w:val="21"/>
          <w:highlight w:val="none"/>
        </w:rPr>
      </w:pPr>
      <w:r>
        <w:rPr>
          <w:rFonts w:hint="eastAsia" w:ascii="宋体" w:hAnsi="宋体" w:cs="宋体"/>
          <w:color w:val="auto"/>
          <w:sz w:val="21"/>
          <w:highlight w:val="none"/>
        </w:rPr>
        <w:t>4.2 踏勘现场</w:t>
      </w:r>
    </w:p>
    <w:p w14:paraId="42C91B79">
      <w:pPr>
        <w:spacing w:line="360" w:lineRule="auto"/>
        <w:ind w:left="525" w:hanging="525" w:hangingChars="250"/>
        <w:jc w:val="both"/>
        <w:rPr>
          <w:rFonts w:ascii="宋体" w:hAnsi="宋体" w:cs="宋体"/>
          <w:color w:val="auto"/>
          <w:sz w:val="21"/>
          <w:szCs w:val="21"/>
          <w:highlight w:val="none"/>
        </w:rPr>
      </w:pPr>
      <w:r>
        <w:rPr>
          <w:rFonts w:hint="eastAsia" w:ascii="宋体" w:hAnsi="宋体" w:cs="宋体"/>
          <w:color w:val="auto"/>
          <w:sz w:val="21"/>
          <w:szCs w:val="21"/>
          <w:highlight w:val="none"/>
        </w:rPr>
        <w:t>（1）本项目不组织集中踏勘现场和答疑，供应商获取竞争性谈判文件后应自行到实地踏勘考察。</w:t>
      </w:r>
    </w:p>
    <w:p w14:paraId="382FC34E">
      <w:pPr>
        <w:spacing w:line="360" w:lineRule="auto"/>
        <w:ind w:left="525" w:hanging="525" w:hangingChars="250"/>
        <w:jc w:val="both"/>
        <w:rPr>
          <w:rFonts w:ascii="宋体" w:hAnsi="宋体" w:cs="宋体"/>
          <w:color w:val="auto"/>
          <w:sz w:val="21"/>
          <w:szCs w:val="21"/>
          <w:highlight w:val="none"/>
        </w:rPr>
      </w:pPr>
      <w:r>
        <w:rPr>
          <w:rFonts w:hint="eastAsia" w:ascii="宋体" w:hAnsi="宋体" w:cs="宋体"/>
          <w:color w:val="auto"/>
          <w:sz w:val="21"/>
          <w:szCs w:val="21"/>
          <w:highlight w:val="none"/>
        </w:rPr>
        <w:t>（2）潜在供应商应承担踏勘现场自身所发生的费用。</w:t>
      </w:r>
    </w:p>
    <w:p w14:paraId="1B6452B7">
      <w:pPr>
        <w:spacing w:line="360" w:lineRule="auto"/>
        <w:ind w:left="525" w:right="120" w:rightChars="50" w:hanging="525" w:hangingChars="250"/>
        <w:jc w:val="both"/>
        <w:rPr>
          <w:rFonts w:ascii="宋体" w:hAnsi="宋体" w:cs="宋体"/>
          <w:color w:val="auto"/>
          <w:sz w:val="21"/>
          <w:szCs w:val="21"/>
          <w:highlight w:val="none"/>
        </w:rPr>
      </w:pPr>
      <w:r>
        <w:rPr>
          <w:rFonts w:hint="eastAsia" w:ascii="宋体" w:hAnsi="宋体" w:cs="宋体"/>
          <w:color w:val="auto"/>
          <w:sz w:val="21"/>
          <w:szCs w:val="21"/>
          <w:highlight w:val="none"/>
        </w:rPr>
        <w:t>（3）采购人和采购代理机构在踏勘现场中介绍的有关现场和相关的周边环境情况，供供应商在编制响应文件时参考，采购人不对供应商据此作出的判断和决策负责。</w:t>
      </w:r>
    </w:p>
    <w:p w14:paraId="72C605FA">
      <w:pPr>
        <w:spacing w:line="360" w:lineRule="auto"/>
        <w:ind w:left="525" w:right="120" w:rightChars="50" w:hanging="525" w:hangingChars="250"/>
        <w:jc w:val="both"/>
        <w:rPr>
          <w:rFonts w:ascii="宋体" w:hAnsi="宋体" w:cs="宋体"/>
          <w:color w:val="auto"/>
          <w:sz w:val="21"/>
          <w:szCs w:val="21"/>
          <w:highlight w:val="none"/>
        </w:rPr>
      </w:pPr>
      <w:r>
        <w:rPr>
          <w:rFonts w:hint="eastAsia" w:ascii="宋体" w:hAnsi="宋体" w:cs="宋体"/>
          <w:color w:val="auto"/>
          <w:sz w:val="21"/>
          <w:szCs w:val="21"/>
          <w:highlight w:val="none"/>
        </w:rPr>
        <w:t>（4）潜在供应商可为踏勘需要而进入采购人的项目现场，但潜在供应商不得因此使采购人承担有关的责任和蒙受损失。潜在供应商应承担踏勘现场的责任和风险。</w:t>
      </w:r>
    </w:p>
    <w:p w14:paraId="31E03D4F">
      <w:pPr>
        <w:spacing w:line="360" w:lineRule="auto"/>
        <w:ind w:left="525" w:hanging="525" w:hangingChars="250"/>
        <w:jc w:val="both"/>
        <w:rPr>
          <w:rFonts w:ascii="宋体" w:hAnsi="宋体" w:cs="宋体"/>
          <w:b/>
          <w:bCs/>
          <w:color w:val="auto"/>
          <w:sz w:val="21"/>
          <w:szCs w:val="21"/>
          <w:highlight w:val="none"/>
        </w:rPr>
      </w:pPr>
      <w:r>
        <w:rPr>
          <w:rFonts w:hint="eastAsia" w:ascii="宋体" w:hAnsi="宋体" w:cs="宋体"/>
          <w:color w:val="auto"/>
          <w:kern w:val="2"/>
          <w:sz w:val="21"/>
          <w:szCs w:val="21"/>
          <w:highlight w:val="none"/>
          <w:lang w:val="zh-CN"/>
        </w:rPr>
        <w:t>4.3 纪律与保密事项</w:t>
      </w:r>
    </w:p>
    <w:p w14:paraId="029CD259">
      <w:pPr>
        <w:spacing w:line="360" w:lineRule="auto"/>
        <w:ind w:left="525" w:hanging="525" w:hangingChars="250"/>
        <w:jc w:val="both"/>
        <w:rPr>
          <w:rFonts w:ascii="宋体" w:hAnsi="宋体" w:cs="宋体"/>
          <w:color w:val="auto"/>
          <w:sz w:val="21"/>
          <w:szCs w:val="21"/>
          <w:highlight w:val="none"/>
        </w:rPr>
      </w:pPr>
      <w:r>
        <w:rPr>
          <w:rFonts w:hint="eastAsia" w:ascii="宋体" w:hAnsi="宋体" w:cs="宋体"/>
          <w:color w:val="auto"/>
          <w:sz w:val="21"/>
          <w:szCs w:val="21"/>
          <w:highlight w:val="none"/>
        </w:rPr>
        <w:t>（1）获得本竞争性谈判文件的供应商，不得用作本次谈判以外的任何用途。</w:t>
      </w:r>
    </w:p>
    <w:p w14:paraId="553E6138">
      <w:pPr>
        <w:spacing w:line="360" w:lineRule="auto"/>
        <w:ind w:left="525" w:hanging="525" w:hangingChars="250"/>
        <w:jc w:val="both"/>
        <w:rPr>
          <w:rFonts w:ascii="宋体" w:hAnsi="宋体" w:cs="宋体"/>
          <w:color w:val="auto"/>
          <w:sz w:val="21"/>
          <w:szCs w:val="21"/>
          <w:highlight w:val="none"/>
        </w:rPr>
      </w:pPr>
      <w:r>
        <w:rPr>
          <w:rFonts w:hint="eastAsia" w:ascii="宋体" w:hAnsi="宋体" w:cs="宋体"/>
          <w:color w:val="auto"/>
          <w:sz w:val="21"/>
          <w:szCs w:val="21"/>
          <w:highlight w:val="none"/>
        </w:rPr>
        <w:t>（2）凡参与采购、谈判工作的有关人员均应自觉接受有关主管部门的监督，不得向他人透露可能影响公平竞争的情况。</w:t>
      </w:r>
    </w:p>
    <w:p w14:paraId="552486B9">
      <w:pPr>
        <w:spacing w:line="360" w:lineRule="auto"/>
        <w:ind w:left="525" w:hanging="525" w:hangingChars="250"/>
        <w:jc w:val="both"/>
        <w:rPr>
          <w:rFonts w:ascii="宋体" w:hAnsi="宋体" w:cs="宋体"/>
          <w:color w:val="auto"/>
          <w:sz w:val="21"/>
          <w:szCs w:val="21"/>
          <w:highlight w:val="none"/>
        </w:rPr>
      </w:pPr>
      <w:r>
        <w:rPr>
          <w:rFonts w:hint="eastAsia" w:ascii="宋体" w:hAnsi="宋体" w:cs="宋体"/>
          <w:color w:val="auto"/>
          <w:sz w:val="21"/>
          <w:szCs w:val="21"/>
          <w:highlight w:val="none"/>
        </w:rPr>
        <w:t>（3）开启响应文件后，直至向成交人授予合同期间，凡与审查、澄清、谈判、评价和比较报价的有关资料以及成交意见等，参与谈判工作的有关人员均不得向供应商及与谈判无关的其他人透露。</w:t>
      </w:r>
    </w:p>
    <w:p w14:paraId="75514ED4">
      <w:pPr>
        <w:spacing w:line="360" w:lineRule="auto"/>
        <w:ind w:left="525" w:hanging="525" w:hangingChars="250"/>
        <w:jc w:val="both"/>
        <w:rPr>
          <w:rFonts w:ascii="宋体" w:hAnsi="宋体" w:cs="宋体"/>
          <w:color w:val="auto"/>
          <w:sz w:val="21"/>
          <w:szCs w:val="21"/>
          <w:highlight w:val="none"/>
        </w:rPr>
      </w:pPr>
      <w:r>
        <w:rPr>
          <w:rFonts w:hint="eastAsia" w:ascii="宋体" w:hAnsi="宋体" w:cs="宋体"/>
          <w:color w:val="auto"/>
          <w:sz w:val="21"/>
          <w:szCs w:val="21"/>
          <w:highlight w:val="none"/>
        </w:rPr>
        <w:t>（4）除供应商被要求对响应文件进行澄清外，从递交响应文件截止之时起至授予合同期间，供应商不得就与其响应文件有关的事项主动与谈判小组、采购</w:t>
      </w:r>
      <w:r>
        <w:rPr>
          <w:rFonts w:hint="eastAsia" w:ascii="宋体" w:hAnsi="宋体" w:cs="宋体"/>
          <w:color w:val="auto"/>
          <w:sz w:val="21"/>
          <w:szCs w:val="21"/>
          <w:highlight w:val="none"/>
          <w:lang w:val="zh-CN"/>
        </w:rPr>
        <w:t>代理机构以</w:t>
      </w:r>
      <w:r>
        <w:rPr>
          <w:rFonts w:hint="eastAsia" w:ascii="宋体" w:hAnsi="宋体" w:cs="宋体"/>
          <w:color w:val="auto"/>
          <w:sz w:val="21"/>
          <w:szCs w:val="21"/>
          <w:highlight w:val="none"/>
        </w:rPr>
        <w:t>及采购人联系。</w:t>
      </w:r>
    </w:p>
    <w:p w14:paraId="4B4A233C">
      <w:pPr>
        <w:spacing w:line="360" w:lineRule="auto"/>
        <w:ind w:left="525" w:hanging="525" w:hangingChars="250"/>
        <w:jc w:val="both"/>
        <w:rPr>
          <w:rFonts w:ascii="宋体" w:hAnsi="宋体" w:cs="宋体"/>
          <w:color w:val="auto"/>
          <w:sz w:val="21"/>
          <w:szCs w:val="21"/>
          <w:highlight w:val="none"/>
        </w:rPr>
      </w:pPr>
      <w:r>
        <w:rPr>
          <w:rFonts w:hint="eastAsia" w:ascii="宋体" w:hAnsi="宋体" w:cs="宋体"/>
          <w:color w:val="auto"/>
          <w:sz w:val="21"/>
          <w:szCs w:val="21"/>
          <w:highlight w:val="none"/>
        </w:rPr>
        <w:t>（5）从谈判之日起至授予合同期间，在响应文件的审查、澄清、比较和评价阶段，供应商试图对谈判小组和采购人施加任何影响或对采购人的比较及授予合同的决定产生影响，都可能导致其响应文件被拒绝。</w:t>
      </w:r>
    </w:p>
    <w:p w14:paraId="76369753">
      <w:pPr>
        <w:spacing w:line="360" w:lineRule="auto"/>
        <w:ind w:left="525" w:hanging="525" w:hangingChars="250"/>
        <w:jc w:val="both"/>
        <w:rPr>
          <w:rFonts w:ascii="宋体" w:hAnsi="宋体" w:cs="宋体"/>
          <w:color w:val="auto"/>
          <w:sz w:val="21"/>
          <w:szCs w:val="21"/>
          <w:highlight w:val="none"/>
        </w:rPr>
      </w:pPr>
      <w:r>
        <w:rPr>
          <w:rFonts w:hint="eastAsia" w:ascii="宋体" w:hAnsi="宋体" w:cs="宋体"/>
          <w:color w:val="auto"/>
          <w:sz w:val="21"/>
          <w:szCs w:val="21"/>
          <w:highlight w:val="none"/>
        </w:rPr>
        <w:t>（6）供应商不得串通作弊，以不正当的手段妨碍、排挤其他供应商，扰乱采购市场，破坏公平竞争原则。</w:t>
      </w:r>
    </w:p>
    <w:p w14:paraId="275845E3">
      <w:pPr>
        <w:spacing w:line="360" w:lineRule="auto"/>
        <w:ind w:left="420" w:hanging="420" w:hangingChars="200"/>
        <w:jc w:val="both"/>
        <w:rPr>
          <w:rFonts w:ascii="宋体" w:hAnsi="宋体" w:cs="宋体"/>
          <w:color w:val="auto"/>
          <w:sz w:val="21"/>
          <w:szCs w:val="21"/>
          <w:highlight w:val="none"/>
        </w:rPr>
      </w:pPr>
    </w:p>
    <w:p w14:paraId="007DDD53">
      <w:pPr>
        <w:pStyle w:val="5"/>
        <w:keepNext/>
        <w:keepLines/>
        <w:tabs>
          <w:tab w:val="left" w:pos="567"/>
        </w:tabs>
        <w:spacing w:line="360" w:lineRule="auto"/>
        <w:ind w:firstLine="211" w:firstLineChars="100"/>
        <w:jc w:val="both"/>
        <w:rPr>
          <w:rFonts w:ascii="宋体" w:hAnsi="宋体" w:eastAsia="宋体" w:cs="宋体"/>
          <w:b/>
          <w:bCs/>
          <w:color w:val="auto"/>
          <w:kern w:val="44"/>
          <w:sz w:val="21"/>
          <w:szCs w:val="21"/>
          <w:highlight w:val="none"/>
          <w:lang w:val="zh-CN"/>
        </w:rPr>
      </w:pPr>
      <w:bookmarkStart w:id="39" w:name="_Toc521918070"/>
      <w:bookmarkStart w:id="40" w:name="_Toc450662853"/>
      <w:bookmarkStart w:id="41" w:name="_Toc3289"/>
      <w:r>
        <w:rPr>
          <w:rFonts w:hint="eastAsia" w:ascii="宋体" w:hAnsi="宋体" w:eastAsia="宋体" w:cs="宋体"/>
          <w:b/>
          <w:bCs/>
          <w:color w:val="auto"/>
          <w:kern w:val="44"/>
          <w:sz w:val="21"/>
          <w:szCs w:val="21"/>
          <w:highlight w:val="none"/>
          <w:lang w:val="zh-CN"/>
        </w:rPr>
        <w:t>二、</w:t>
      </w:r>
      <w:bookmarkEnd w:id="39"/>
      <w:bookmarkEnd w:id="40"/>
      <w:r>
        <w:rPr>
          <w:rFonts w:hint="eastAsia" w:ascii="宋体" w:hAnsi="宋体" w:eastAsia="宋体" w:cs="宋体"/>
          <w:b/>
          <w:bCs/>
          <w:color w:val="auto"/>
          <w:kern w:val="44"/>
          <w:sz w:val="21"/>
          <w:szCs w:val="21"/>
          <w:highlight w:val="none"/>
          <w:lang w:val="zh-CN"/>
        </w:rPr>
        <w:t>竞争性谈判文件</w:t>
      </w:r>
      <w:bookmarkEnd w:id="41"/>
    </w:p>
    <w:p w14:paraId="77A0740B">
      <w:pPr>
        <w:tabs>
          <w:tab w:val="left" w:pos="567"/>
        </w:tabs>
        <w:spacing w:line="360" w:lineRule="auto"/>
        <w:ind w:left="567" w:hanging="567"/>
        <w:jc w:val="both"/>
        <w:outlineLvl w:val="2"/>
        <w:rPr>
          <w:rFonts w:ascii="宋体" w:hAnsi="宋体" w:cs="宋体"/>
          <w:color w:val="auto"/>
          <w:kern w:val="2"/>
          <w:sz w:val="21"/>
          <w:szCs w:val="21"/>
          <w:highlight w:val="none"/>
          <w:lang w:val="zh-CN"/>
        </w:rPr>
      </w:pPr>
      <w:bookmarkStart w:id="42" w:name="_Toc450662854"/>
      <w:bookmarkStart w:id="43" w:name="_Toc10276"/>
      <w:bookmarkStart w:id="44" w:name="_Toc521918071"/>
      <w:r>
        <w:rPr>
          <w:rFonts w:hint="eastAsia" w:ascii="宋体" w:hAnsi="宋体" w:cs="宋体"/>
          <w:color w:val="auto"/>
          <w:kern w:val="2"/>
          <w:sz w:val="21"/>
          <w:szCs w:val="21"/>
          <w:highlight w:val="none"/>
        </w:rPr>
        <w:t xml:space="preserve">5 </w:t>
      </w:r>
      <w:r>
        <w:rPr>
          <w:rFonts w:hint="eastAsia" w:ascii="宋体" w:hAnsi="宋体" w:cs="宋体"/>
          <w:color w:val="auto"/>
          <w:kern w:val="2"/>
          <w:sz w:val="21"/>
          <w:szCs w:val="21"/>
          <w:highlight w:val="none"/>
          <w:lang w:val="zh-CN"/>
        </w:rPr>
        <w:t>竞争性谈判文件的构成</w:t>
      </w:r>
      <w:bookmarkEnd w:id="42"/>
      <w:bookmarkEnd w:id="43"/>
      <w:bookmarkEnd w:id="44"/>
    </w:p>
    <w:p w14:paraId="6190C15B">
      <w:pPr>
        <w:tabs>
          <w:tab w:val="left" w:pos="567"/>
        </w:tabs>
        <w:spacing w:line="360" w:lineRule="auto"/>
        <w:ind w:left="567" w:hanging="567"/>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5.</w:t>
      </w:r>
      <w:r>
        <w:rPr>
          <w:rFonts w:hint="eastAsia" w:ascii="宋体" w:hAnsi="宋体" w:cs="宋体"/>
          <w:color w:val="auto"/>
          <w:kern w:val="2"/>
          <w:sz w:val="21"/>
          <w:szCs w:val="21"/>
          <w:highlight w:val="none"/>
        </w:rPr>
        <w:t xml:space="preserve">1 </w:t>
      </w:r>
      <w:r>
        <w:rPr>
          <w:rFonts w:hint="eastAsia" w:ascii="宋体" w:hAnsi="宋体" w:cs="宋体"/>
          <w:color w:val="auto"/>
          <w:kern w:val="2"/>
          <w:sz w:val="21"/>
          <w:szCs w:val="21"/>
          <w:highlight w:val="none"/>
          <w:lang w:val="zh-CN"/>
        </w:rPr>
        <w:t>竞争性谈判文件包括：</w:t>
      </w:r>
    </w:p>
    <w:p w14:paraId="0956B314">
      <w:pPr>
        <w:tabs>
          <w:tab w:val="left" w:pos="567"/>
        </w:tabs>
        <w:spacing w:line="360" w:lineRule="auto"/>
        <w:ind w:left="574" w:leftChars="208" w:hanging="75" w:hangingChars="36"/>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lang w:val="zh-CN"/>
        </w:rPr>
        <w:t>第一</w:t>
      </w:r>
      <w:r>
        <w:rPr>
          <w:rFonts w:hint="eastAsia" w:ascii="宋体" w:hAnsi="宋体" w:cs="宋体"/>
          <w:color w:val="auto"/>
          <w:kern w:val="2"/>
          <w:sz w:val="21"/>
          <w:szCs w:val="21"/>
          <w:highlight w:val="none"/>
        </w:rPr>
        <w:t xml:space="preserve">篇 </w:t>
      </w:r>
      <w:r>
        <w:rPr>
          <w:rFonts w:hint="eastAsia" w:ascii="宋体" w:hAnsi="宋体" w:cs="宋体"/>
          <w:color w:val="auto"/>
          <w:kern w:val="2"/>
          <w:sz w:val="21"/>
          <w:szCs w:val="21"/>
          <w:highlight w:val="none"/>
          <w:lang w:val="zh-CN"/>
        </w:rPr>
        <w:t>竞争性谈判</w:t>
      </w:r>
      <w:r>
        <w:rPr>
          <w:rFonts w:hint="eastAsia" w:ascii="宋体" w:hAnsi="宋体" w:cs="宋体"/>
          <w:color w:val="auto"/>
          <w:kern w:val="2"/>
          <w:sz w:val="21"/>
          <w:szCs w:val="21"/>
          <w:highlight w:val="none"/>
        </w:rPr>
        <w:t>公告</w:t>
      </w:r>
    </w:p>
    <w:p w14:paraId="5E20B2C6">
      <w:pPr>
        <w:tabs>
          <w:tab w:val="left" w:pos="1701"/>
        </w:tabs>
        <w:spacing w:line="360" w:lineRule="auto"/>
        <w:ind w:left="480" w:left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第二篇</w:t>
      </w:r>
      <w:r>
        <w:rPr>
          <w:rFonts w:hint="eastAsia" w:ascii="宋体" w:hAnsi="宋体" w:cs="宋体"/>
          <w:color w:val="auto"/>
          <w:kern w:val="2"/>
          <w:sz w:val="21"/>
          <w:szCs w:val="21"/>
          <w:highlight w:val="none"/>
        </w:rPr>
        <w:t xml:space="preserve"> 谈判</w:t>
      </w:r>
      <w:r>
        <w:rPr>
          <w:rFonts w:hint="eastAsia" w:ascii="宋体" w:hAnsi="宋体" w:cs="宋体"/>
          <w:color w:val="auto"/>
          <w:kern w:val="2"/>
          <w:sz w:val="21"/>
          <w:szCs w:val="21"/>
          <w:highlight w:val="none"/>
          <w:lang w:val="zh-CN"/>
        </w:rPr>
        <w:t>须知</w:t>
      </w:r>
    </w:p>
    <w:p w14:paraId="27772BB9">
      <w:pPr>
        <w:tabs>
          <w:tab w:val="left" w:pos="1701"/>
        </w:tabs>
        <w:spacing w:line="360" w:lineRule="auto"/>
        <w:ind w:left="480" w:left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第三篇</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用户需求书</w:t>
      </w:r>
    </w:p>
    <w:p w14:paraId="21D53139">
      <w:pPr>
        <w:tabs>
          <w:tab w:val="left" w:pos="1701"/>
        </w:tabs>
        <w:spacing w:line="360" w:lineRule="auto"/>
        <w:ind w:left="480" w:left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第四篇</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合同条款格式</w:t>
      </w:r>
    </w:p>
    <w:p w14:paraId="0ACE2975">
      <w:pPr>
        <w:tabs>
          <w:tab w:val="left" w:pos="1701"/>
        </w:tabs>
        <w:spacing w:line="360" w:lineRule="auto"/>
        <w:ind w:left="480" w:left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第</w:t>
      </w:r>
      <w:r>
        <w:rPr>
          <w:rFonts w:hint="eastAsia" w:ascii="宋体" w:hAnsi="宋体" w:cs="宋体"/>
          <w:color w:val="auto"/>
          <w:kern w:val="2"/>
          <w:sz w:val="21"/>
          <w:szCs w:val="21"/>
          <w:highlight w:val="none"/>
        </w:rPr>
        <w:t>五</w:t>
      </w:r>
      <w:r>
        <w:rPr>
          <w:rFonts w:hint="eastAsia" w:ascii="宋体" w:hAnsi="宋体" w:cs="宋体"/>
          <w:color w:val="auto"/>
          <w:kern w:val="2"/>
          <w:sz w:val="21"/>
          <w:szCs w:val="21"/>
          <w:highlight w:val="none"/>
          <w:lang w:val="zh-CN"/>
        </w:rPr>
        <w:t>篇</w:t>
      </w:r>
      <w:r>
        <w:rPr>
          <w:rFonts w:hint="eastAsia" w:ascii="宋体" w:hAnsi="宋体" w:cs="宋体"/>
          <w:color w:val="auto"/>
          <w:kern w:val="2"/>
          <w:sz w:val="21"/>
          <w:szCs w:val="21"/>
          <w:highlight w:val="none"/>
        </w:rPr>
        <w:t xml:space="preserve"> 相关保函</w:t>
      </w:r>
      <w:r>
        <w:rPr>
          <w:rFonts w:hint="eastAsia" w:ascii="宋体" w:hAnsi="宋体" w:cs="宋体"/>
          <w:color w:val="auto"/>
          <w:kern w:val="2"/>
          <w:sz w:val="21"/>
          <w:szCs w:val="21"/>
          <w:highlight w:val="none"/>
          <w:lang w:val="zh-CN"/>
        </w:rPr>
        <w:t>格式</w:t>
      </w:r>
    </w:p>
    <w:p w14:paraId="22192780">
      <w:pPr>
        <w:tabs>
          <w:tab w:val="left" w:pos="1701"/>
        </w:tabs>
        <w:spacing w:line="360" w:lineRule="auto"/>
        <w:ind w:left="480" w:left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第</w:t>
      </w:r>
      <w:r>
        <w:rPr>
          <w:rFonts w:hint="eastAsia" w:ascii="宋体" w:hAnsi="宋体" w:cs="宋体"/>
          <w:color w:val="auto"/>
          <w:kern w:val="2"/>
          <w:sz w:val="21"/>
          <w:szCs w:val="21"/>
          <w:highlight w:val="none"/>
        </w:rPr>
        <w:t>六</w:t>
      </w:r>
      <w:r>
        <w:rPr>
          <w:rFonts w:hint="eastAsia" w:ascii="宋体" w:hAnsi="宋体" w:cs="宋体"/>
          <w:color w:val="auto"/>
          <w:kern w:val="2"/>
          <w:sz w:val="21"/>
          <w:szCs w:val="21"/>
          <w:highlight w:val="none"/>
          <w:lang w:val="zh-CN"/>
        </w:rPr>
        <w:t>篇</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响应文件格式</w:t>
      </w:r>
    </w:p>
    <w:p w14:paraId="3A0D239B">
      <w:pPr>
        <w:tabs>
          <w:tab w:val="left" w:pos="1701"/>
        </w:tabs>
        <w:spacing w:line="360" w:lineRule="auto"/>
        <w:ind w:left="480" w:left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附件一</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评审工作大纲</w:t>
      </w:r>
    </w:p>
    <w:p w14:paraId="251BBD70">
      <w:pPr>
        <w:spacing w:line="360" w:lineRule="auto"/>
        <w:ind w:left="420" w:hanging="420" w:hangingChars="200"/>
        <w:jc w:val="both"/>
        <w:rPr>
          <w:rFonts w:ascii="宋体" w:hAnsi="宋体" w:cs="宋体"/>
          <w:b/>
          <w:bCs/>
          <w:color w:val="auto"/>
          <w:kern w:val="2"/>
          <w:sz w:val="21"/>
          <w:szCs w:val="21"/>
          <w:highlight w:val="none"/>
          <w:lang w:val="zh-CN"/>
        </w:rPr>
      </w:pPr>
      <w:r>
        <w:rPr>
          <w:rFonts w:hint="eastAsia" w:ascii="宋体" w:hAnsi="宋体" w:cs="宋体"/>
          <w:bCs/>
          <w:color w:val="auto"/>
          <w:kern w:val="2"/>
          <w:sz w:val="21"/>
          <w:szCs w:val="21"/>
          <w:highlight w:val="none"/>
          <w:lang w:val="zh-CN"/>
        </w:rPr>
        <w:t>5.2</w:t>
      </w:r>
      <w:r>
        <w:rPr>
          <w:rFonts w:hint="eastAsia" w:ascii="宋体" w:hAnsi="宋体" w:cs="宋体"/>
          <w:bCs/>
          <w:color w:val="auto"/>
          <w:kern w:val="2"/>
          <w:sz w:val="21"/>
          <w:szCs w:val="21"/>
          <w:highlight w:val="none"/>
        </w:rPr>
        <w:t xml:space="preserve"> </w:t>
      </w:r>
      <w:r>
        <w:rPr>
          <w:rFonts w:hint="eastAsia" w:ascii="宋体" w:hAnsi="宋体" w:cs="宋体"/>
          <w:b/>
          <w:bCs/>
          <w:color w:val="auto"/>
          <w:kern w:val="2"/>
          <w:sz w:val="21"/>
          <w:szCs w:val="21"/>
          <w:highlight w:val="none"/>
          <w:u w:val="single"/>
          <w:lang w:val="zh-CN"/>
        </w:rPr>
        <w:t>供应商应审阅竞争性谈判文件中所有须知、格式、条款和规格。供应商未按竞争性谈判文件要求提供全部资料或提交的响应文件未对竞争性谈判文件作出实质性响应（★标志的部分为供应商</w:t>
      </w:r>
      <w:r>
        <w:rPr>
          <w:rFonts w:hint="eastAsia" w:ascii="宋体" w:hAnsi="宋体" w:cs="宋体"/>
          <w:b/>
          <w:bCs/>
          <w:color w:val="auto"/>
          <w:kern w:val="2"/>
          <w:sz w:val="21"/>
          <w:szCs w:val="21"/>
          <w:highlight w:val="none"/>
          <w:u w:val="single"/>
        </w:rPr>
        <w:t>及其</w:t>
      </w:r>
      <w:r>
        <w:rPr>
          <w:rFonts w:hint="eastAsia" w:ascii="宋体" w:hAnsi="宋体" w:cs="宋体"/>
          <w:b/>
          <w:bCs/>
          <w:color w:val="auto"/>
          <w:kern w:val="2"/>
          <w:sz w:val="21"/>
          <w:szCs w:val="21"/>
          <w:highlight w:val="none"/>
          <w:u w:val="single"/>
          <w:lang w:val="zh-CN"/>
        </w:rPr>
        <w:t>拟供服务必备的条件或重要指示），那么供应商</w:t>
      </w:r>
      <w:r>
        <w:rPr>
          <w:rFonts w:hint="eastAsia" w:ascii="宋体" w:hAnsi="宋体" w:cs="宋体"/>
          <w:b/>
          <w:bCs/>
          <w:color w:val="auto"/>
          <w:kern w:val="2"/>
          <w:sz w:val="21"/>
          <w:szCs w:val="21"/>
          <w:highlight w:val="none"/>
          <w:u w:val="single"/>
        </w:rPr>
        <w:t>的</w:t>
      </w:r>
      <w:r>
        <w:rPr>
          <w:rFonts w:hint="eastAsia" w:ascii="宋体" w:hAnsi="宋体" w:cs="宋体"/>
          <w:b/>
          <w:bCs/>
          <w:color w:val="auto"/>
          <w:kern w:val="2"/>
          <w:sz w:val="21"/>
          <w:szCs w:val="21"/>
          <w:highlight w:val="none"/>
          <w:u w:val="single"/>
          <w:lang w:val="zh-CN"/>
        </w:rPr>
        <w:t>响应文件</w:t>
      </w:r>
      <w:r>
        <w:rPr>
          <w:rFonts w:hint="eastAsia" w:ascii="宋体" w:hAnsi="宋体" w:cs="宋体"/>
          <w:b/>
          <w:bCs/>
          <w:color w:val="auto"/>
          <w:kern w:val="2"/>
          <w:sz w:val="21"/>
          <w:szCs w:val="21"/>
          <w:highlight w:val="none"/>
          <w:u w:val="single"/>
        </w:rPr>
        <w:t>将有可能</w:t>
      </w:r>
      <w:r>
        <w:rPr>
          <w:rFonts w:hint="eastAsia" w:ascii="宋体" w:hAnsi="宋体" w:cs="宋体"/>
          <w:b/>
          <w:bCs/>
          <w:color w:val="auto"/>
          <w:kern w:val="2"/>
          <w:sz w:val="21"/>
          <w:szCs w:val="21"/>
          <w:highlight w:val="none"/>
          <w:u w:val="single"/>
          <w:lang w:val="zh-CN"/>
        </w:rPr>
        <w:t>被拒绝接收或评审为无效响应文件</w:t>
      </w:r>
      <w:r>
        <w:rPr>
          <w:rFonts w:hint="eastAsia" w:ascii="宋体" w:hAnsi="宋体" w:cs="宋体"/>
          <w:b/>
          <w:bCs/>
          <w:color w:val="auto"/>
          <w:kern w:val="2"/>
          <w:sz w:val="21"/>
          <w:szCs w:val="21"/>
          <w:highlight w:val="none"/>
          <w:lang w:val="zh-CN"/>
        </w:rPr>
        <w:t>。</w:t>
      </w:r>
    </w:p>
    <w:p w14:paraId="343F3A25">
      <w:pPr>
        <w:spacing w:line="360" w:lineRule="auto"/>
        <w:ind w:left="420" w:hanging="420" w:hanging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lang w:val="zh-CN"/>
        </w:rPr>
        <w:t>5.3</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本竞争性谈判文件使用的词语有如下定义：</w:t>
      </w:r>
    </w:p>
    <w:p w14:paraId="78A669B7">
      <w:pPr>
        <w:spacing w:line="360" w:lineRule="auto"/>
        <w:ind w:left="420" w:hanging="420" w:hangingChars="200"/>
        <w:jc w:val="both"/>
        <w:rPr>
          <w:rFonts w:ascii="宋体" w:hAnsi="宋体" w:cs="宋体"/>
          <w:color w:val="auto"/>
          <w:kern w:val="2"/>
          <w:sz w:val="21"/>
          <w:szCs w:val="21"/>
          <w:highlight w:val="none"/>
          <w:lang w:val="zh-CN"/>
        </w:rPr>
      </w:pPr>
      <w:r>
        <w:rPr>
          <w:rFonts w:hint="eastAsia" w:ascii="宋体" w:hAnsi="宋体" w:cs="宋体"/>
          <w:color w:val="auto"/>
          <w:sz w:val="21"/>
          <w:szCs w:val="21"/>
          <w:highlight w:val="none"/>
        </w:rPr>
        <w:t>（1）</w:t>
      </w:r>
      <w:r>
        <w:rPr>
          <w:rFonts w:hint="eastAsia" w:ascii="宋体" w:hAnsi="宋体" w:cs="宋体"/>
          <w:color w:val="auto"/>
          <w:kern w:val="2"/>
          <w:sz w:val="21"/>
          <w:szCs w:val="21"/>
          <w:highlight w:val="none"/>
          <w:lang w:val="zh-CN"/>
        </w:rPr>
        <w:t>“采购人”指</w:t>
      </w:r>
      <w:r>
        <w:rPr>
          <w:rFonts w:hint="eastAsia" w:ascii="宋体" w:hAnsi="宋体" w:cs="宋体"/>
          <w:color w:val="auto"/>
          <w:sz w:val="21"/>
          <w:szCs w:val="21"/>
          <w:highlight w:val="none"/>
        </w:rPr>
        <w:t>东莞市水务集团有限公司</w:t>
      </w:r>
      <w:r>
        <w:rPr>
          <w:rFonts w:hint="eastAsia" w:ascii="宋体" w:hAnsi="宋体" w:cs="宋体"/>
          <w:color w:val="auto"/>
          <w:kern w:val="2"/>
          <w:sz w:val="21"/>
          <w:szCs w:val="21"/>
          <w:highlight w:val="none"/>
          <w:lang w:val="zh-CN"/>
        </w:rPr>
        <w:t>；</w:t>
      </w:r>
    </w:p>
    <w:p w14:paraId="23328E3D">
      <w:pPr>
        <w:spacing w:line="360" w:lineRule="auto"/>
        <w:ind w:left="420" w:hanging="420" w:hanging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（2）“</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代理机构”指建成工程咨询股份有限公司；</w:t>
      </w:r>
    </w:p>
    <w:p w14:paraId="65877E45">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3</w:t>
      </w:r>
      <w:r>
        <w:rPr>
          <w:rFonts w:hint="eastAsia" w:ascii="宋体" w:hAnsi="宋体" w:cs="宋体"/>
          <w:color w:val="auto"/>
          <w:kern w:val="2"/>
          <w:sz w:val="21"/>
          <w:szCs w:val="21"/>
          <w:highlight w:val="none"/>
          <w:lang w:val="zh-CN"/>
        </w:rPr>
        <w:t>）“供应商”指参加东莞市水务集团有限公司2025年直购电采购项目所需的有关</w:t>
      </w:r>
      <w:r>
        <w:rPr>
          <w:rFonts w:hint="eastAsia" w:ascii="宋体" w:hAnsi="宋体" w:cs="宋体"/>
          <w:color w:val="auto"/>
          <w:sz w:val="21"/>
          <w:szCs w:val="21"/>
          <w:highlight w:val="none"/>
        </w:rPr>
        <w:t>服务</w:t>
      </w:r>
      <w:r>
        <w:rPr>
          <w:rFonts w:hint="eastAsia" w:ascii="宋体" w:hAnsi="宋体" w:cs="宋体"/>
          <w:color w:val="auto"/>
          <w:kern w:val="2"/>
          <w:sz w:val="21"/>
          <w:szCs w:val="21"/>
          <w:highlight w:val="none"/>
          <w:lang w:val="zh-CN"/>
        </w:rPr>
        <w:t>的</w:t>
      </w:r>
      <w:r>
        <w:rPr>
          <w:rFonts w:hint="eastAsia" w:ascii="宋体" w:hAnsi="宋体" w:cs="宋体"/>
          <w:color w:val="auto"/>
          <w:kern w:val="2"/>
          <w:sz w:val="21"/>
          <w:szCs w:val="21"/>
          <w:highlight w:val="none"/>
        </w:rPr>
        <w:t>响应报价</w:t>
      </w:r>
      <w:r>
        <w:rPr>
          <w:rFonts w:hint="eastAsia" w:ascii="宋体" w:hAnsi="宋体" w:cs="宋体"/>
          <w:color w:val="auto"/>
          <w:kern w:val="2"/>
          <w:sz w:val="21"/>
          <w:szCs w:val="21"/>
          <w:highlight w:val="none"/>
          <w:lang w:val="zh-CN"/>
        </w:rPr>
        <w:t>，并向</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代理机构提交响应文件的当事人</w:t>
      </w:r>
    </w:p>
    <w:p w14:paraId="1A03FB2E">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4</w:t>
      </w:r>
      <w:r>
        <w:rPr>
          <w:rFonts w:hint="eastAsia" w:ascii="宋体" w:hAnsi="宋体" w:cs="宋体"/>
          <w:color w:val="auto"/>
          <w:kern w:val="2"/>
          <w:sz w:val="21"/>
          <w:szCs w:val="21"/>
          <w:highlight w:val="none"/>
          <w:lang w:val="zh-CN"/>
        </w:rPr>
        <w:t>）“谈判小组”是指</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人组建</w:t>
      </w:r>
      <w:r>
        <w:rPr>
          <w:rFonts w:hint="eastAsia" w:ascii="宋体" w:hAnsi="宋体" w:cs="宋体"/>
          <w:color w:val="auto"/>
          <w:sz w:val="21"/>
          <w:szCs w:val="21"/>
          <w:highlight w:val="none"/>
          <w:lang w:val="zh-CN"/>
        </w:rPr>
        <w:t>的</w:t>
      </w:r>
      <w:r>
        <w:rPr>
          <w:rFonts w:hint="eastAsia" w:ascii="宋体" w:hAnsi="宋体" w:cs="宋体"/>
          <w:color w:val="auto"/>
          <w:kern w:val="2"/>
          <w:sz w:val="21"/>
          <w:szCs w:val="21"/>
          <w:highlight w:val="none"/>
          <w:lang w:val="zh-CN"/>
        </w:rPr>
        <w:t>专门负责本次</w:t>
      </w:r>
      <w:r>
        <w:rPr>
          <w:rFonts w:hint="eastAsia" w:ascii="宋体" w:hAnsi="宋体" w:cs="宋体"/>
          <w:color w:val="auto"/>
          <w:kern w:val="2"/>
          <w:sz w:val="21"/>
          <w:szCs w:val="21"/>
          <w:highlight w:val="none"/>
        </w:rPr>
        <w:t>谈判</w:t>
      </w:r>
      <w:r>
        <w:rPr>
          <w:rFonts w:hint="eastAsia" w:ascii="宋体" w:hAnsi="宋体" w:cs="宋体"/>
          <w:color w:val="auto"/>
          <w:kern w:val="2"/>
          <w:sz w:val="21"/>
          <w:szCs w:val="21"/>
          <w:highlight w:val="none"/>
          <w:lang w:val="zh-CN"/>
        </w:rPr>
        <w:t>工作的临时性机构；</w:t>
      </w:r>
    </w:p>
    <w:p w14:paraId="25C7CC95">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5</w:t>
      </w:r>
      <w:r>
        <w:rPr>
          <w:rFonts w:hint="eastAsia" w:ascii="宋体" w:hAnsi="宋体" w:cs="宋体"/>
          <w:color w:val="auto"/>
          <w:kern w:val="2"/>
          <w:sz w:val="21"/>
          <w:szCs w:val="21"/>
          <w:highlight w:val="none"/>
          <w:lang w:val="zh-CN"/>
        </w:rPr>
        <w:t>）“成交人”指其</w:t>
      </w:r>
      <w:r>
        <w:rPr>
          <w:rFonts w:hint="eastAsia" w:ascii="宋体" w:hAnsi="宋体" w:cs="宋体"/>
          <w:color w:val="auto"/>
          <w:kern w:val="2"/>
          <w:sz w:val="21"/>
          <w:szCs w:val="21"/>
          <w:highlight w:val="none"/>
        </w:rPr>
        <w:t>响应报价</w:t>
      </w:r>
      <w:r>
        <w:rPr>
          <w:rFonts w:hint="eastAsia" w:ascii="宋体" w:hAnsi="宋体" w:cs="宋体"/>
          <w:color w:val="auto"/>
          <w:kern w:val="2"/>
          <w:sz w:val="21"/>
          <w:szCs w:val="21"/>
          <w:highlight w:val="none"/>
          <w:lang w:val="zh-CN"/>
        </w:rPr>
        <w:t>被采购人接受，并与采购人签订合同的当事人；</w:t>
      </w:r>
    </w:p>
    <w:p w14:paraId="7D0044CB">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6</w:t>
      </w:r>
      <w:r>
        <w:rPr>
          <w:rFonts w:hint="eastAsia" w:ascii="宋体" w:hAnsi="宋体" w:cs="宋体"/>
          <w:color w:val="auto"/>
          <w:kern w:val="2"/>
          <w:sz w:val="21"/>
          <w:szCs w:val="21"/>
          <w:highlight w:val="none"/>
          <w:lang w:val="zh-CN"/>
        </w:rPr>
        <w:t>）“甲方”指在合同条款中指明的购买货物和服务的单位；</w:t>
      </w:r>
    </w:p>
    <w:p w14:paraId="0E5C29B1">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7</w:t>
      </w:r>
      <w:r>
        <w:rPr>
          <w:rFonts w:hint="eastAsia" w:ascii="宋体" w:hAnsi="宋体" w:cs="宋体"/>
          <w:color w:val="auto"/>
          <w:kern w:val="2"/>
          <w:sz w:val="21"/>
          <w:szCs w:val="21"/>
          <w:highlight w:val="none"/>
          <w:lang w:val="zh-CN"/>
        </w:rPr>
        <w:t>）“乙方”指在合同条款中指明的本合同项下提供货物和服务的公司或实体；</w:t>
      </w:r>
    </w:p>
    <w:p w14:paraId="00B82E37">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8</w:t>
      </w:r>
      <w:r>
        <w:rPr>
          <w:rFonts w:hint="eastAsia" w:ascii="宋体" w:hAnsi="宋体" w:cs="宋体"/>
          <w:color w:val="auto"/>
          <w:kern w:val="2"/>
          <w:sz w:val="21"/>
          <w:szCs w:val="21"/>
          <w:highlight w:val="none"/>
          <w:lang w:val="zh-CN"/>
        </w:rPr>
        <w:t>）“竞争性谈判文件”指由采购代理机构发出的本竞争性谈判文件，包括全部章节和附件；</w:t>
      </w:r>
    </w:p>
    <w:p w14:paraId="34D1AF53">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9</w:t>
      </w:r>
      <w:r>
        <w:rPr>
          <w:rFonts w:hint="eastAsia" w:ascii="宋体" w:hAnsi="宋体" w:cs="宋体"/>
          <w:color w:val="auto"/>
          <w:kern w:val="2"/>
          <w:sz w:val="21"/>
          <w:szCs w:val="21"/>
          <w:highlight w:val="none"/>
          <w:lang w:val="zh-CN"/>
        </w:rPr>
        <w:t>）“响应文件”指供应商根据本竞争性谈判文件向采购代理机构提交的全部文件；</w:t>
      </w:r>
    </w:p>
    <w:p w14:paraId="6B3FD798">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10</w:t>
      </w:r>
      <w:r>
        <w:rPr>
          <w:rFonts w:hint="eastAsia" w:ascii="宋体" w:hAnsi="宋体" w:cs="宋体"/>
          <w:color w:val="auto"/>
          <w:kern w:val="2"/>
          <w:sz w:val="21"/>
          <w:szCs w:val="21"/>
          <w:highlight w:val="none"/>
          <w:lang w:val="zh-CN"/>
        </w:rPr>
        <w:t>）“书面函件”指手写、打字或印刷的函件，包括电传、电报和传真；</w:t>
      </w:r>
    </w:p>
    <w:p w14:paraId="0B3EE2C3">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w:t>
      </w:r>
      <w:r>
        <w:rPr>
          <w:rFonts w:hint="eastAsia" w:ascii="宋体" w:hAnsi="宋体" w:cs="宋体"/>
          <w:color w:val="auto"/>
          <w:kern w:val="2"/>
          <w:sz w:val="21"/>
          <w:szCs w:val="21"/>
          <w:highlight w:val="none"/>
        </w:rPr>
        <w:t>1</w:t>
      </w:r>
      <w:r>
        <w:rPr>
          <w:rFonts w:hint="eastAsia" w:ascii="宋体" w:hAnsi="宋体" w:cs="宋体"/>
          <w:color w:val="auto"/>
          <w:kern w:val="2"/>
          <w:sz w:val="21"/>
          <w:szCs w:val="21"/>
          <w:highlight w:val="none"/>
          <w:lang w:val="zh-CN"/>
        </w:rPr>
        <w:t>）“合同”指由本次采购所产生的合同或合约文件；</w:t>
      </w:r>
    </w:p>
    <w:p w14:paraId="068E0A5E">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12</w:t>
      </w:r>
      <w:r>
        <w:rPr>
          <w:rFonts w:hint="eastAsia" w:ascii="宋体" w:hAnsi="宋体" w:cs="宋体"/>
          <w:color w:val="auto"/>
          <w:kern w:val="2"/>
          <w:sz w:val="21"/>
          <w:szCs w:val="21"/>
          <w:highlight w:val="none"/>
          <w:lang w:val="zh-CN"/>
        </w:rPr>
        <w:t>）“日期”指公历日，“时间”指北京时间；</w:t>
      </w:r>
    </w:p>
    <w:p w14:paraId="12305C1E">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（13）本竞争性谈判文件中的“境内”特指中华人民共和国海关关境以内，“境外”特指中华人民</w:t>
      </w:r>
    </w:p>
    <w:p w14:paraId="644AA591">
      <w:pPr>
        <w:spacing w:line="360" w:lineRule="auto"/>
        <w:ind w:left="636" w:leftChars="265"/>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共和国海关关境以外；</w:t>
      </w:r>
    </w:p>
    <w:p w14:paraId="1EBE8E22">
      <w:pPr>
        <w:spacing w:line="360" w:lineRule="auto"/>
        <w:ind w:left="1214" w:leftChars="178" w:hanging="787" w:hangingChars="375"/>
        <w:jc w:val="both"/>
        <w:rPr>
          <w:rFonts w:ascii="宋体" w:hAnsi="宋体" w:cs="宋体"/>
          <w:color w:val="auto"/>
          <w:kern w:val="2"/>
          <w:sz w:val="21"/>
          <w:szCs w:val="21"/>
          <w:highlight w:val="none"/>
          <w:lang w:val="zh-CN"/>
        </w:rPr>
      </w:pPr>
    </w:p>
    <w:p w14:paraId="0F5F7BC1">
      <w:pPr>
        <w:tabs>
          <w:tab w:val="left" w:pos="567"/>
        </w:tabs>
        <w:spacing w:line="360" w:lineRule="auto"/>
        <w:ind w:left="567" w:hanging="567"/>
        <w:jc w:val="both"/>
        <w:outlineLvl w:val="2"/>
        <w:rPr>
          <w:rFonts w:ascii="宋体" w:hAnsi="宋体" w:cs="宋体"/>
          <w:color w:val="auto"/>
          <w:kern w:val="2"/>
          <w:sz w:val="21"/>
          <w:szCs w:val="21"/>
          <w:highlight w:val="none"/>
          <w:lang w:val="zh-CN"/>
        </w:rPr>
      </w:pPr>
      <w:bookmarkStart w:id="45" w:name="_Toc450662855"/>
      <w:bookmarkStart w:id="46" w:name="_Toc30603"/>
      <w:bookmarkStart w:id="47" w:name="_Toc521918072"/>
      <w:r>
        <w:rPr>
          <w:rFonts w:hint="eastAsia" w:ascii="宋体" w:hAnsi="宋体" w:cs="宋体"/>
          <w:color w:val="auto"/>
          <w:kern w:val="2"/>
          <w:sz w:val="21"/>
          <w:szCs w:val="21"/>
          <w:highlight w:val="none"/>
          <w:lang w:val="zh-CN"/>
        </w:rPr>
        <w:t>6</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竞争性谈判文件的异议</w:t>
      </w:r>
      <w:bookmarkEnd w:id="45"/>
      <w:bookmarkEnd w:id="46"/>
      <w:bookmarkEnd w:id="47"/>
    </w:p>
    <w:p w14:paraId="5D1B66F0">
      <w:pPr>
        <w:tabs>
          <w:tab w:val="left" w:pos="567"/>
        </w:tabs>
        <w:spacing w:line="360" w:lineRule="auto"/>
        <w:ind w:left="418" w:leftChars="174" w:firstLine="420" w:firstLineChars="200"/>
        <w:jc w:val="both"/>
        <w:rPr>
          <w:rFonts w:ascii="宋体" w:hAnsi="宋体" w:cs="宋体"/>
          <w:b/>
          <w:bCs/>
          <w:color w:val="auto"/>
          <w:kern w:val="2"/>
          <w:sz w:val="21"/>
          <w:szCs w:val="21"/>
          <w:highlight w:val="none"/>
          <w:u w:val="single"/>
          <w:lang w:val="zh-CN"/>
        </w:rPr>
      </w:pPr>
      <w:r>
        <w:rPr>
          <w:rFonts w:hint="eastAsia" w:ascii="宋体" w:hAnsi="宋体" w:cs="宋体"/>
          <w:bCs/>
          <w:color w:val="auto"/>
          <w:kern w:val="2"/>
          <w:sz w:val="21"/>
          <w:szCs w:val="21"/>
          <w:highlight w:val="none"/>
          <w:lang w:val="zh-CN"/>
        </w:rPr>
        <w:t>供应商或者其他利害关系人对竞争性谈判文件有异议的，应当在递交响应文件截止时间</w:t>
      </w:r>
      <w:r>
        <w:rPr>
          <w:rFonts w:hint="eastAsia" w:ascii="宋体" w:hAnsi="宋体" w:cs="宋体"/>
          <w:bCs/>
          <w:color w:val="auto"/>
          <w:kern w:val="2"/>
          <w:sz w:val="21"/>
          <w:szCs w:val="21"/>
          <w:highlight w:val="none"/>
        </w:rPr>
        <w:t>5</w:t>
      </w:r>
      <w:r>
        <w:rPr>
          <w:rFonts w:hint="eastAsia" w:ascii="宋体" w:hAnsi="宋体" w:cs="宋体"/>
          <w:bCs/>
          <w:color w:val="auto"/>
          <w:kern w:val="2"/>
          <w:sz w:val="21"/>
          <w:szCs w:val="21"/>
          <w:highlight w:val="none"/>
          <w:lang w:val="zh-CN"/>
        </w:rPr>
        <w:t>日前</w:t>
      </w:r>
      <w:r>
        <w:rPr>
          <w:rFonts w:hint="eastAsia" w:ascii="宋体" w:hAnsi="宋体" w:cs="宋体"/>
          <w:color w:val="auto"/>
          <w:kern w:val="2"/>
          <w:sz w:val="21"/>
          <w:szCs w:val="21"/>
          <w:highlight w:val="none"/>
          <w:lang w:val="zh-CN"/>
        </w:rPr>
        <w:t>以书面形式向</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代理机构提出，并将材料原件送达</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代理机构，逾期则视为对竞争性谈判文件所有内容无异议。</w:t>
      </w:r>
      <w:r>
        <w:rPr>
          <w:rFonts w:hint="eastAsia" w:ascii="宋体" w:hAnsi="宋体" w:cs="宋体"/>
          <w:bCs/>
          <w:color w:val="auto"/>
          <w:kern w:val="2"/>
          <w:sz w:val="21"/>
          <w:szCs w:val="21"/>
          <w:highlight w:val="none"/>
          <w:lang w:val="zh-CN"/>
        </w:rPr>
        <w:t>异议</w:t>
      </w:r>
      <w:r>
        <w:rPr>
          <w:rFonts w:hint="eastAsia" w:ascii="宋体" w:hAnsi="宋体" w:cs="宋体"/>
          <w:color w:val="auto"/>
          <w:kern w:val="2"/>
          <w:sz w:val="21"/>
          <w:szCs w:val="21"/>
          <w:highlight w:val="none"/>
          <w:lang w:val="zh-CN"/>
        </w:rPr>
        <w:t>书面材料必须加盖供应商法人公章，并注明联系人、联系电话、联系地址。</w:t>
      </w:r>
      <w:r>
        <w:rPr>
          <w:rFonts w:hint="eastAsia" w:ascii="宋体" w:hAnsi="宋体" w:cs="宋体"/>
          <w:bCs/>
          <w:color w:val="auto"/>
          <w:kern w:val="2"/>
          <w:sz w:val="21"/>
          <w:szCs w:val="21"/>
          <w:highlight w:val="none"/>
          <w:lang w:val="zh-CN"/>
        </w:rPr>
        <w:t>超出</w:t>
      </w:r>
      <w:r>
        <w:rPr>
          <w:rFonts w:hint="eastAsia" w:ascii="宋体" w:hAnsi="宋体" w:cs="宋体"/>
          <w:color w:val="auto"/>
          <w:kern w:val="2"/>
          <w:sz w:val="21"/>
          <w:szCs w:val="21"/>
          <w:highlight w:val="none"/>
          <w:lang w:val="zh-CN"/>
        </w:rPr>
        <w:t>提交接收异议截止时间而</w:t>
      </w:r>
      <w:r>
        <w:rPr>
          <w:rFonts w:hint="eastAsia" w:ascii="宋体" w:hAnsi="宋体" w:cs="宋体"/>
          <w:bCs/>
          <w:color w:val="auto"/>
          <w:kern w:val="2"/>
          <w:sz w:val="21"/>
          <w:szCs w:val="21"/>
          <w:highlight w:val="none"/>
          <w:lang w:val="zh-CN"/>
        </w:rPr>
        <w:t>提出的疑问，</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代理机构</w:t>
      </w:r>
      <w:r>
        <w:rPr>
          <w:rFonts w:hint="eastAsia" w:ascii="宋体" w:hAnsi="宋体" w:cs="宋体"/>
          <w:bCs/>
          <w:color w:val="auto"/>
          <w:kern w:val="2"/>
          <w:sz w:val="21"/>
          <w:szCs w:val="21"/>
          <w:highlight w:val="none"/>
          <w:lang w:val="zh-CN"/>
        </w:rPr>
        <w:t>可不予答复。</w:t>
      </w:r>
      <w:r>
        <w:rPr>
          <w:rFonts w:hint="eastAsia" w:ascii="宋体" w:hAnsi="宋体" w:cs="宋体"/>
          <w:b/>
          <w:bCs/>
          <w:color w:val="auto"/>
          <w:kern w:val="2"/>
          <w:sz w:val="21"/>
          <w:szCs w:val="21"/>
          <w:highlight w:val="none"/>
          <w:u w:val="single"/>
          <w:lang w:val="zh-CN"/>
        </w:rPr>
        <w:t>供应商必须在响应文件中提供响应承诺书（格式详见第</w:t>
      </w:r>
      <w:r>
        <w:rPr>
          <w:rFonts w:hint="eastAsia" w:ascii="宋体" w:hAnsi="宋体" w:cs="宋体"/>
          <w:b/>
          <w:bCs/>
          <w:color w:val="auto"/>
          <w:kern w:val="2"/>
          <w:sz w:val="21"/>
          <w:szCs w:val="21"/>
          <w:highlight w:val="none"/>
          <w:u w:val="single"/>
        </w:rPr>
        <w:t>六</w:t>
      </w:r>
      <w:r>
        <w:rPr>
          <w:rFonts w:hint="eastAsia" w:ascii="宋体" w:hAnsi="宋体" w:cs="宋体"/>
          <w:b/>
          <w:bCs/>
          <w:color w:val="auto"/>
          <w:kern w:val="2"/>
          <w:sz w:val="21"/>
          <w:szCs w:val="21"/>
          <w:highlight w:val="none"/>
          <w:u w:val="single"/>
          <w:lang w:val="zh-CN"/>
        </w:rPr>
        <w:t>篇响应文件格式）。</w:t>
      </w:r>
    </w:p>
    <w:p w14:paraId="7F48FE7E">
      <w:pPr>
        <w:spacing w:line="360" w:lineRule="auto"/>
        <w:ind w:left="569" w:leftChars="237" w:firstLine="422" w:firstLineChars="200"/>
        <w:jc w:val="both"/>
        <w:rPr>
          <w:rFonts w:ascii="宋体" w:hAnsi="宋体" w:cs="宋体"/>
          <w:b/>
          <w:bCs/>
          <w:color w:val="auto"/>
          <w:kern w:val="2"/>
          <w:sz w:val="21"/>
          <w:szCs w:val="21"/>
          <w:highlight w:val="none"/>
          <w:u w:val="single"/>
          <w:lang w:val="zh-CN"/>
        </w:rPr>
      </w:pPr>
    </w:p>
    <w:p w14:paraId="2E582AE6">
      <w:pPr>
        <w:tabs>
          <w:tab w:val="left" w:pos="567"/>
        </w:tabs>
        <w:spacing w:line="360" w:lineRule="auto"/>
        <w:ind w:left="567" w:hanging="567"/>
        <w:jc w:val="both"/>
        <w:outlineLvl w:val="2"/>
        <w:rPr>
          <w:rFonts w:ascii="宋体" w:hAnsi="宋体" w:cs="宋体"/>
          <w:color w:val="auto"/>
          <w:kern w:val="2"/>
          <w:sz w:val="21"/>
          <w:szCs w:val="21"/>
          <w:highlight w:val="none"/>
          <w:lang w:val="zh-CN"/>
        </w:rPr>
      </w:pPr>
      <w:bookmarkStart w:id="48" w:name="_Toc450662856"/>
      <w:bookmarkStart w:id="49" w:name="_Toc521918073"/>
      <w:bookmarkStart w:id="50" w:name="_Toc7089"/>
      <w:r>
        <w:rPr>
          <w:rFonts w:hint="eastAsia" w:ascii="宋体" w:hAnsi="宋体" w:cs="宋体"/>
          <w:color w:val="auto"/>
          <w:kern w:val="2"/>
          <w:sz w:val="21"/>
          <w:szCs w:val="21"/>
          <w:highlight w:val="none"/>
          <w:lang w:val="zh-CN"/>
        </w:rPr>
        <w:t>7</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竞争性谈判文件的澄清及修改</w:t>
      </w:r>
      <w:bookmarkEnd w:id="48"/>
      <w:bookmarkEnd w:id="49"/>
      <w:bookmarkEnd w:id="50"/>
    </w:p>
    <w:p w14:paraId="07728E9A">
      <w:pPr>
        <w:spacing w:line="360" w:lineRule="auto"/>
        <w:ind w:left="420" w:hanging="420" w:hangingChars="2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7.1</w:t>
      </w:r>
      <w:r>
        <w:rPr>
          <w:rFonts w:hint="eastAsia" w:ascii="宋体" w:hAnsi="宋体" w:cs="宋体"/>
          <w:color w:val="auto"/>
          <w:sz w:val="21"/>
          <w:szCs w:val="21"/>
          <w:highlight w:val="none"/>
        </w:rPr>
        <w:t xml:space="preserve"> 采购</w:t>
      </w:r>
      <w:r>
        <w:rPr>
          <w:rFonts w:hint="eastAsia" w:ascii="宋体" w:hAnsi="宋体" w:cs="宋体"/>
          <w:color w:val="auto"/>
          <w:sz w:val="21"/>
          <w:szCs w:val="21"/>
          <w:highlight w:val="none"/>
          <w:lang w:val="zh-CN"/>
        </w:rPr>
        <w:t>代理机构对已发出的竞争性谈判文件进行必要澄清或者修改的，将在竞争性谈判文件要求提交响应文件截止时间</w:t>
      </w:r>
      <w:r>
        <w:rPr>
          <w:rFonts w:hint="eastAsia" w:ascii="宋体" w:hAnsi="宋体" w:cs="宋体"/>
          <w:color w:val="auto"/>
          <w:sz w:val="21"/>
          <w:szCs w:val="21"/>
          <w:highlight w:val="none"/>
        </w:rPr>
        <w:t>5</w:t>
      </w:r>
      <w:r>
        <w:rPr>
          <w:rFonts w:hint="eastAsia" w:ascii="宋体" w:hAnsi="宋体" w:cs="宋体"/>
          <w:color w:val="auto"/>
          <w:sz w:val="21"/>
          <w:szCs w:val="21"/>
          <w:highlight w:val="none"/>
          <w:lang w:val="zh-CN"/>
        </w:rPr>
        <w:t>日前，在</w:t>
      </w:r>
      <w:r>
        <w:rPr>
          <w:rFonts w:hint="eastAsia" w:ascii="宋体" w:hAnsi="宋体" w:cs="宋体"/>
          <w:color w:val="auto"/>
          <w:sz w:val="21"/>
          <w:szCs w:val="21"/>
          <w:highlight w:val="none"/>
        </w:rPr>
        <w:t>采购</w:t>
      </w:r>
      <w:r>
        <w:rPr>
          <w:rFonts w:hint="eastAsia" w:ascii="宋体" w:hAnsi="宋体" w:cs="宋体"/>
          <w:color w:val="auto"/>
          <w:sz w:val="21"/>
          <w:szCs w:val="21"/>
          <w:highlight w:val="none"/>
          <w:lang w:val="zh-CN"/>
        </w:rPr>
        <w:t>信息发布媒介上发布更正公告，请各</w:t>
      </w: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zh-CN"/>
        </w:rPr>
        <w:t>密切留意。该澄清或者修改的内容为竞争性谈判文件的组成部分。</w:t>
      </w:r>
    </w:p>
    <w:p w14:paraId="50D563A4">
      <w:pPr>
        <w:spacing w:line="360" w:lineRule="auto"/>
        <w:ind w:left="420" w:hanging="420" w:hangingChars="2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7.2</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项目特定情况下，</w:t>
      </w:r>
      <w:r>
        <w:rPr>
          <w:rFonts w:hint="eastAsia" w:ascii="宋体" w:hAnsi="宋体" w:cs="宋体"/>
          <w:color w:val="auto"/>
          <w:sz w:val="21"/>
          <w:szCs w:val="21"/>
          <w:highlight w:val="none"/>
        </w:rPr>
        <w:t>采购</w:t>
      </w:r>
      <w:r>
        <w:rPr>
          <w:rFonts w:hint="eastAsia" w:ascii="宋体" w:hAnsi="宋体" w:cs="宋体"/>
          <w:color w:val="auto"/>
          <w:sz w:val="21"/>
          <w:szCs w:val="21"/>
          <w:highlight w:val="none"/>
          <w:lang w:val="zh-CN"/>
        </w:rPr>
        <w:t>代理机构必须延长</w:t>
      </w:r>
      <w:r>
        <w:rPr>
          <w:rFonts w:hint="eastAsia" w:ascii="宋体" w:hAnsi="宋体" w:cs="宋体"/>
          <w:color w:val="auto"/>
          <w:sz w:val="21"/>
          <w:szCs w:val="21"/>
          <w:highlight w:val="none"/>
        </w:rPr>
        <w:t>响应文件提交</w:t>
      </w:r>
      <w:r>
        <w:rPr>
          <w:rFonts w:hint="eastAsia" w:ascii="宋体" w:hAnsi="宋体" w:cs="宋体"/>
          <w:color w:val="auto"/>
          <w:sz w:val="21"/>
          <w:szCs w:val="21"/>
          <w:highlight w:val="none"/>
          <w:lang w:val="zh-CN"/>
        </w:rPr>
        <w:t>截止时间和</w:t>
      </w:r>
      <w:r>
        <w:rPr>
          <w:rFonts w:hint="eastAsia" w:ascii="宋体" w:hAnsi="宋体" w:cs="宋体"/>
          <w:color w:val="auto"/>
          <w:sz w:val="21"/>
          <w:szCs w:val="21"/>
          <w:highlight w:val="none"/>
        </w:rPr>
        <w:t>开启</w:t>
      </w:r>
      <w:r>
        <w:rPr>
          <w:rFonts w:hint="eastAsia" w:ascii="宋体" w:hAnsi="宋体" w:cs="宋体"/>
          <w:color w:val="auto"/>
          <w:sz w:val="21"/>
          <w:szCs w:val="21"/>
          <w:highlight w:val="none"/>
          <w:lang w:val="zh-CN"/>
        </w:rPr>
        <w:t>时间时，将在竞争性谈判文件要求提交响应文件的截止时间前，在采购信息发布媒介上发布变更公告。</w:t>
      </w:r>
    </w:p>
    <w:p w14:paraId="255C5F2D">
      <w:pPr>
        <w:spacing w:line="360" w:lineRule="auto"/>
        <w:ind w:left="420" w:hanging="420" w:hangingChars="200"/>
        <w:jc w:val="both"/>
        <w:rPr>
          <w:rFonts w:ascii="宋体" w:hAnsi="宋体" w:cs="宋体"/>
          <w:color w:val="auto"/>
          <w:sz w:val="21"/>
          <w:szCs w:val="21"/>
          <w:highlight w:val="none"/>
        </w:rPr>
      </w:pPr>
      <w:r>
        <w:rPr>
          <w:rFonts w:hint="eastAsia" w:ascii="宋体" w:hAnsi="宋体" w:cs="宋体"/>
          <w:color w:val="auto"/>
          <w:sz w:val="21"/>
          <w:szCs w:val="21"/>
          <w:highlight w:val="none"/>
          <w:lang w:val="zh-CN"/>
        </w:rPr>
        <w:t>7.3</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竞争性谈判文件的修改、补充通知在广东省公共资源交易平台（ygp.gdzwfw.gov.cn）、中国招标投标公共服务平台（www.cebpubservice.com）、东莞市水务集团有限公司网（www.dgswjt.cn）、招标代理机构网站（www.gzjc.com.cn）公布，请各供应商密切留意。</w:t>
      </w:r>
    </w:p>
    <w:p w14:paraId="63BBF798">
      <w:pPr>
        <w:spacing w:line="360" w:lineRule="auto"/>
        <w:ind w:left="567" w:hanging="567"/>
        <w:jc w:val="both"/>
        <w:rPr>
          <w:rFonts w:ascii="宋体" w:hAnsi="宋体" w:cs="宋体"/>
          <w:color w:val="auto"/>
          <w:kern w:val="2"/>
          <w:sz w:val="21"/>
          <w:szCs w:val="21"/>
          <w:highlight w:val="none"/>
          <w:lang w:val="zh-CN"/>
        </w:rPr>
      </w:pPr>
    </w:p>
    <w:p w14:paraId="3D166F8A">
      <w:pPr>
        <w:pStyle w:val="5"/>
        <w:keepNext/>
        <w:keepLines/>
        <w:tabs>
          <w:tab w:val="left" w:pos="567"/>
        </w:tabs>
        <w:spacing w:line="360" w:lineRule="auto"/>
        <w:ind w:firstLine="211" w:firstLineChars="100"/>
        <w:jc w:val="both"/>
        <w:rPr>
          <w:rFonts w:ascii="宋体" w:hAnsi="宋体" w:eastAsia="宋体" w:cs="宋体"/>
          <w:b/>
          <w:bCs/>
          <w:color w:val="auto"/>
          <w:kern w:val="44"/>
          <w:sz w:val="21"/>
          <w:szCs w:val="21"/>
          <w:highlight w:val="none"/>
          <w:lang w:val="zh-CN"/>
        </w:rPr>
      </w:pPr>
      <w:bookmarkStart w:id="51" w:name="_Toc450662857"/>
      <w:bookmarkStart w:id="52" w:name="_Toc21924"/>
      <w:bookmarkStart w:id="53" w:name="_Toc521918074"/>
      <w:r>
        <w:rPr>
          <w:rFonts w:hint="eastAsia" w:ascii="宋体" w:hAnsi="宋体" w:eastAsia="宋体" w:cs="宋体"/>
          <w:b/>
          <w:bCs/>
          <w:color w:val="auto"/>
          <w:kern w:val="44"/>
          <w:sz w:val="21"/>
          <w:szCs w:val="21"/>
          <w:highlight w:val="none"/>
          <w:lang w:val="zh-CN"/>
        </w:rPr>
        <w:t>三、响应文件的编制</w:t>
      </w:r>
      <w:bookmarkEnd w:id="51"/>
      <w:bookmarkEnd w:id="52"/>
      <w:bookmarkEnd w:id="53"/>
    </w:p>
    <w:p w14:paraId="20C1DB80">
      <w:pPr>
        <w:tabs>
          <w:tab w:val="left" w:pos="675"/>
        </w:tabs>
        <w:spacing w:line="360" w:lineRule="auto"/>
        <w:ind w:left="567" w:hanging="567"/>
        <w:jc w:val="both"/>
        <w:outlineLvl w:val="2"/>
        <w:rPr>
          <w:rFonts w:ascii="宋体" w:hAnsi="宋体" w:cs="宋体"/>
          <w:color w:val="auto"/>
          <w:kern w:val="2"/>
          <w:sz w:val="21"/>
          <w:szCs w:val="21"/>
          <w:highlight w:val="none"/>
          <w:lang w:val="zh-CN"/>
        </w:rPr>
      </w:pPr>
      <w:bookmarkStart w:id="54" w:name="_Toc450662858"/>
      <w:bookmarkStart w:id="55" w:name="_Toc23623"/>
      <w:bookmarkStart w:id="56" w:name="_Toc521918075"/>
      <w:r>
        <w:rPr>
          <w:rFonts w:hint="eastAsia" w:ascii="宋体" w:hAnsi="宋体" w:cs="宋体"/>
          <w:color w:val="auto"/>
          <w:kern w:val="2"/>
          <w:sz w:val="21"/>
          <w:szCs w:val="21"/>
          <w:highlight w:val="none"/>
          <w:lang w:val="zh-CN"/>
        </w:rPr>
        <w:t>8</w:t>
      </w:r>
      <w:r>
        <w:rPr>
          <w:rFonts w:hint="eastAsia" w:ascii="宋体" w:hAnsi="宋体" w:cs="宋体"/>
          <w:color w:val="auto"/>
          <w:kern w:val="2"/>
          <w:sz w:val="21"/>
          <w:szCs w:val="21"/>
          <w:highlight w:val="none"/>
        </w:rPr>
        <w:t xml:space="preserve"> 响应文件</w:t>
      </w:r>
      <w:r>
        <w:rPr>
          <w:rFonts w:hint="eastAsia" w:ascii="宋体" w:hAnsi="宋体" w:cs="宋体"/>
          <w:color w:val="auto"/>
          <w:kern w:val="2"/>
          <w:sz w:val="21"/>
          <w:szCs w:val="21"/>
          <w:highlight w:val="none"/>
          <w:lang w:val="zh-CN"/>
        </w:rPr>
        <w:t>使用的文字及度量衡单位</w:t>
      </w:r>
      <w:bookmarkEnd w:id="54"/>
      <w:bookmarkEnd w:id="55"/>
      <w:bookmarkEnd w:id="56"/>
    </w:p>
    <w:p w14:paraId="480E7339">
      <w:pPr>
        <w:tabs>
          <w:tab w:val="left" w:pos="567"/>
        </w:tabs>
        <w:spacing w:line="360" w:lineRule="auto"/>
        <w:ind w:left="567" w:hanging="567"/>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8.1</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供应商的响应文件以及供应商与采购代理机构就有关</w:t>
      </w:r>
      <w:r>
        <w:rPr>
          <w:rFonts w:hint="eastAsia" w:ascii="宋体" w:hAnsi="宋体" w:cs="宋体"/>
          <w:color w:val="auto"/>
          <w:kern w:val="2"/>
          <w:sz w:val="21"/>
          <w:szCs w:val="21"/>
          <w:highlight w:val="none"/>
        </w:rPr>
        <w:t>谈判</w:t>
      </w:r>
      <w:r>
        <w:rPr>
          <w:rFonts w:hint="eastAsia" w:ascii="宋体" w:hAnsi="宋体" w:cs="宋体"/>
          <w:color w:val="auto"/>
          <w:kern w:val="2"/>
          <w:sz w:val="21"/>
          <w:szCs w:val="21"/>
          <w:highlight w:val="none"/>
          <w:lang w:val="zh-CN"/>
        </w:rPr>
        <w:t>的所有往来函电均应使用简体中文。</w:t>
      </w:r>
    </w:p>
    <w:p w14:paraId="6D67349C">
      <w:pPr>
        <w:tabs>
          <w:tab w:val="left" w:pos="567"/>
        </w:tabs>
        <w:spacing w:line="360" w:lineRule="auto"/>
        <w:ind w:left="567" w:hanging="567"/>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8.2</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响应文件使用的度量衡单位采用中华人民共和国法定计量单位。</w:t>
      </w:r>
    </w:p>
    <w:p w14:paraId="2B5A3BE2">
      <w:pPr>
        <w:spacing w:line="360" w:lineRule="auto"/>
        <w:ind w:left="420" w:hanging="420" w:hangingChars="200"/>
        <w:jc w:val="both"/>
        <w:rPr>
          <w:rFonts w:ascii="宋体" w:hAnsi="宋体" w:cs="宋体"/>
          <w:color w:val="auto"/>
          <w:sz w:val="21"/>
          <w:szCs w:val="21"/>
          <w:highlight w:val="none"/>
          <w:lang w:val="zh-CN"/>
        </w:rPr>
      </w:pPr>
    </w:p>
    <w:p w14:paraId="3FB826A4">
      <w:pPr>
        <w:tabs>
          <w:tab w:val="left" w:pos="675"/>
        </w:tabs>
        <w:spacing w:line="360" w:lineRule="auto"/>
        <w:ind w:left="567" w:hanging="567"/>
        <w:jc w:val="both"/>
        <w:outlineLvl w:val="2"/>
        <w:rPr>
          <w:rFonts w:ascii="宋体" w:hAnsi="宋体" w:cs="宋体"/>
          <w:color w:val="auto"/>
          <w:kern w:val="2"/>
          <w:sz w:val="21"/>
          <w:szCs w:val="21"/>
          <w:highlight w:val="none"/>
          <w:lang w:val="zh-CN"/>
        </w:rPr>
      </w:pPr>
      <w:bookmarkStart w:id="57" w:name="_Toc29655"/>
      <w:r>
        <w:rPr>
          <w:rFonts w:hint="eastAsia" w:ascii="宋体" w:hAnsi="宋体" w:cs="宋体"/>
          <w:color w:val="auto"/>
          <w:kern w:val="2"/>
          <w:sz w:val="21"/>
          <w:szCs w:val="21"/>
          <w:highlight w:val="none"/>
          <w:lang w:val="zh-CN"/>
        </w:rPr>
        <w:t>9</w:t>
      </w:r>
      <w:r>
        <w:rPr>
          <w:rFonts w:hint="eastAsia" w:ascii="宋体" w:hAnsi="宋体" w:cs="宋体"/>
          <w:color w:val="auto"/>
          <w:kern w:val="2"/>
          <w:sz w:val="21"/>
          <w:szCs w:val="21"/>
          <w:highlight w:val="none"/>
        </w:rPr>
        <w:t xml:space="preserve"> 响应文件</w:t>
      </w:r>
      <w:r>
        <w:rPr>
          <w:rFonts w:hint="eastAsia" w:ascii="宋体" w:hAnsi="宋体" w:cs="宋体"/>
          <w:color w:val="auto"/>
          <w:kern w:val="2"/>
          <w:sz w:val="21"/>
          <w:szCs w:val="21"/>
          <w:highlight w:val="none"/>
          <w:lang w:val="zh-CN"/>
        </w:rPr>
        <w:t>的组成</w:t>
      </w:r>
      <w:bookmarkEnd w:id="57"/>
    </w:p>
    <w:p w14:paraId="16AF3DBE">
      <w:pPr>
        <w:spacing w:line="360" w:lineRule="auto"/>
        <w:ind w:left="422" w:hanging="422" w:hangingChars="200"/>
        <w:jc w:val="both"/>
        <w:rPr>
          <w:rFonts w:ascii="宋体" w:hAnsi="宋体" w:cs="宋体"/>
          <w:color w:val="auto"/>
          <w:sz w:val="21"/>
          <w:szCs w:val="21"/>
          <w:highlight w:val="none"/>
          <w:lang w:val="zh-CN"/>
        </w:rPr>
      </w:pPr>
      <w:r>
        <w:rPr>
          <w:rFonts w:hint="eastAsia" w:ascii="宋体" w:hAnsi="宋体" w:cs="宋体"/>
          <w:b/>
          <w:bCs/>
          <w:color w:val="auto"/>
          <w:sz w:val="21"/>
          <w:szCs w:val="21"/>
          <w:highlight w:val="none"/>
        </w:rPr>
        <w:t>9.1</w:t>
      </w:r>
      <w:r>
        <w:rPr>
          <w:rFonts w:hint="eastAsia" w:ascii="宋体" w:hAnsi="宋体" w:cs="宋体"/>
          <w:color w:val="auto"/>
          <w:sz w:val="21"/>
          <w:szCs w:val="21"/>
          <w:highlight w:val="none"/>
        </w:rPr>
        <w:t xml:space="preserve"> 响应文件的组成：</w:t>
      </w:r>
      <w:r>
        <w:rPr>
          <w:rFonts w:hint="eastAsia" w:ascii="宋体" w:hAnsi="宋体" w:cs="宋体"/>
          <w:b/>
          <w:bCs/>
          <w:color w:val="auto"/>
          <w:sz w:val="21"/>
          <w:szCs w:val="21"/>
          <w:highlight w:val="none"/>
          <w:u w:val="single"/>
          <w:lang w:val="zh-CN"/>
        </w:rPr>
        <w:t>商务文件、技术文件由</w:t>
      </w:r>
      <w:r>
        <w:rPr>
          <w:rFonts w:hint="eastAsia" w:ascii="宋体" w:hAnsi="宋体" w:cs="宋体"/>
          <w:b/>
          <w:bCs/>
          <w:color w:val="auto"/>
          <w:sz w:val="21"/>
          <w:szCs w:val="21"/>
          <w:highlight w:val="none"/>
          <w:u w:val="single"/>
        </w:rPr>
        <w:t>供应商</w:t>
      </w:r>
      <w:r>
        <w:rPr>
          <w:rFonts w:hint="eastAsia" w:ascii="宋体" w:hAnsi="宋体" w:cs="宋体"/>
          <w:b/>
          <w:bCs/>
          <w:color w:val="auto"/>
          <w:sz w:val="21"/>
          <w:szCs w:val="21"/>
          <w:highlight w:val="none"/>
          <w:u w:val="single"/>
          <w:lang w:val="zh-CN"/>
        </w:rPr>
        <w:t>根据各自文件的实际情况决定是否分册装订，</w:t>
      </w:r>
      <w:r>
        <w:rPr>
          <w:rFonts w:hint="eastAsia" w:ascii="宋体" w:hAnsi="宋体" w:cs="宋体"/>
          <w:b/>
          <w:bCs/>
          <w:color w:val="auto"/>
          <w:sz w:val="21"/>
          <w:szCs w:val="21"/>
          <w:highlight w:val="none"/>
          <w:u w:val="single"/>
        </w:rPr>
        <w:t>竞争性谈判</w:t>
      </w:r>
      <w:r>
        <w:rPr>
          <w:rFonts w:hint="eastAsia" w:ascii="宋体" w:hAnsi="宋体" w:cs="宋体"/>
          <w:b/>
          <w:bCs/>
          <w:color w:val="auto"/>
          <w:sz w:val="21"/>
          <w:szCs w:val="21"/>
          <w:highlight w:val="none"/>
          <w:u w:val="single"/>
          <w:lang w:val="zh-CN"/>
        </w:rPr>
        <w:t>文件不做限制</w:t>
      </w:r>
      <w:r>
        <w:rPr>
          <w:rFonts w:hint="eastAsia" w:ascii="宋体" w:hAnsi="宋体" w:cs="宋体"/>
          <w:color w:val="auto"/>
          <w:sz w:val="21"/>
          <w:szCs w:val="21"/>
          <w:highlight w:val="none"/>
          <w:lang w:val="zh-CN"/>
        </w:rPr>
        <w:t>。</w:t>
      </w:r>
    </w:p>
    <w:p w14:paraId="5BE06588">
      <w:pPr>
        <w:spacing w:line="360" w:lineRule="auto"/>
        <w:ind w:left="422" w:hanging="422" w:hangingChars="200"/>
        <w:jc w:val="both"/>
        <w:rPr>
          <w:rFonts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9.</w:t>
      </w:r>
      <w:r>
        <w:rPr>
          <w:rFonts w:hint="eastAsia" w:ascii="宋体" w:hAnsi="宋体" w:cs="宋体"/>
          <w:b/>
          <w:bCs/>
          <w:color w:val="auto"/>
          <w:sz w:val="21"/>
          <w:szCs w:val="21"/>
          <w:highlight w:val="none"/>
        </w:rPr>
        <w:t xml:space="preserve">1.1 </w:t>
      </w:r>
      <w:r>
        <w:rPr>
          <w:rFonts w:hint="eastAsia" w:ascii="宋体" w:hAnsi="宋体" w:cs="宋体"/>
          <w:b/>
          <w:bCs/>
          <w:color w:val="auto"/>
          <w:sz w:val="21"/>
          <w:szCs w:val="21"/>
          <w:highlight w:val="none"/>
          <w:lang w:val="zh-CN"/>
        </w:rPr>
        <w:t>商务文件：</w:t>
      </w:r>
    </w:p>
    <w:p w14:paraId="4AA4057F">
      <w:pPr>
        <w:spacing w:line="360" w:lineRule="auto"/>
        <w:ind w:left="422" w:hanging="422" w:hangingChars="200"/>
        <w:jc w:val="both"/>
        <w:rPr>
          <w:rFonts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 xml:space="preserve"> </w:t>
      </w:r>
      <w:r>
        <w:rPr>
          <w:rFonts w:hint="eastAsia" w:ascii="宋体" w:hAnsi="宋体" w:cs="宋体"/>
          <w:b/>
          <w:bCs/>
          <w:color w:val="auto"/>
          <w:sz w:val="21"/>
          <w:szCs w:val="21"/>
          <w:highlight w:val="none"/>
        </w:rPr>
        <w:t xml:space="preserve">   </w:t>
      </w:r>
      <w:r>
        <w:rPr>
          <w:rFonts w:hint="eastAsia" w:ascii="宋体" w:hAnsi="宋体" w:cs="宋体"/>
          <w:b/>
          <w:bCs/>
          <w:color w:val="auto"/>
          <w:sz w:val="21"/>
          <w:szCs w:val="21"/>
          <w:highlight w:val="none"/>
          <w:lang w:val="zh-CN"/>
        </w:rPr>
        <w:t>目录：</w:t>
      </w:r>
    </w:p>
    <w:p w14:paraId="1173B2FB">
      <w:pPr>
        <w:spacing w:line="360" w:lineRule="auto"/>
        <w:ind w:left="420" w:hanging="420" w:hangingChars="2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cs="宋体"/>
          <w:color w:val="auto"/>
          <w:sz w:val="21"/>
          <w:szCs w:val="21"/>
          <w:highlight w:val="none"/>
        </w:rPr>
        <w:t>响应函</w:t>
      </w:r>
      <w:r>
        <w:rPr>
          <w:rFonts w:hint="eastAsia" w:ascii="宋体" w:hAnsi="宋体" w:cs="宋体"/>
          <w:color w:val="auto"/>
          <w:sz w:val="21"/>
          <w:szCs w:val="21"/>
          <w:highlight w:val="none"/>
          <w:lang w:val="zh-CN"/>
        </w:rPr>
        <w:t>；</w:t>
      </w:r>
    </w:p>
    <w:p w14:paraId="1EA5F27F">
      <w:pPr>
        <w:spacing w:line="360" w:lineRule="auto"/>
        <w:ind w:left="420" w:hanging="420" w:hangingChars="2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（2）响应承诺书；</w:t>
      </w:r>
    </w:p>
    <w:p w14:paraId="5F54A529">
      <w:pPr>
        <w:spacing w:line="360" w:lineRule="auto"/>
        <w:ind w:left="420" w:hanging="420" w:hangingChars="2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3</w:t>
      </w:r>
      <w:r>
        <w:rPr>
          <w:rFonts w:hint="eastAsia" w:ascii="宋体" w:hAnsi="宋体" w:cs="宋体"/>
          <w:color w:val="auto"/>
          <w:sz w:val="21"/>
          <w:szCs w:val="21"/>
          <w:highlight w:val="none"/>
          <w:lang w:val="zh-CN"/>
        </w:rPr>
        <w:t>）首</w:t>
      </w:r>
      <w:r>
        <w:rPr>
          <w:rFonts w:hint="eastAsia" w:ascii="宋体" w:hAnsi="宋体" w:cs="宋体"/>
          <w:color w:val="auto"/>
          <w:sz w:val="21"/>
          <w:szCs w:val="21"/>
          <w:highlight w:val="none"/>
        </w:rPr>
        <w:t>轮</w:t>
      </w:r>
      <w:r>
        <w:rPr>
          <w:rFonts w:hint="eastAsia" w:ascii="宋体" w:hAnsi="宋体" w:cs="宋体"/>
          <w:color w:val="auto"/>
          <w:sz w:val="21"/>
          <w:szCs w:val="21"/>
          <w:highlight w:val="none"/>
          <w:lang w:val="zh-CN"/>
        </w:rPr>
        <w:t>报价表；</w:t>
      </w:r>
    </w:p>
    <w:p w14:paraId="4D510A7C">
      <w:pPr>
        <w:spacing w:line="360" w:lineRule="auto"/>
        <w:ind w:left="420" w:hanging="420" w:hangingChars="2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4</w:t>
      </w:r>
      <w:r>
        <w:rPr>
          <w:rFonts w:hint="eastAsia" w:ascii="宋体" w:hAnsi="宋体" w:cs="宋体"/>
          <w:color w:val="auto"/>
          <w:sz w:val="21"/>
          <w:szCs w:val="21"/>
          <w:highlight w:val="none"/>
          <w:lang w:val="zh-CN"/>
        </w:rPr>
        <w:t>）供应商资格证明文件：</w:t>
      </w:r>
    </w:p>
    <w:p w14:paraId="390C02CD">
      <w:pPr>
        <w:spacing w:line="360" w:lineRule="auto"/>
        <w:ind w:left="507" w:leftChars="80" w:hanging="315" w:hangingChars="150"/>
        <w:jc w:val="both"/>
        <w:rPr>
          <w:rFonts w:ascii="宋体" w:hAnsi="宋体" w:cs="宋体"/>
          <w:color w:val="auto"/>
          <w:sz w:val="21"/>
          <w:szCs w:val="21"/>
          <w:highlight w:val="none"/>
        </w:rPr>
      </w:pPr>
      <w:r>
        <w:rPr>
          <w:rFonts w:hint="eastAsia" w:ascii="宋体" w:hAnsi="宋体" w:cs="宋体"/>
          <w:color w:val="auto"/>
          <w:sz w:val="21"/>
          <w:szCs w:val="21"/>
          <w:highlight w:val="none"/>
        </w:rPr>
        <w:t>4.1 多证合一营业执照（或事业单位法人证书）复印件；</w:t>
      </w:r>
    </w:p>
    <w:p w14:paraId="1CD43E74">
      <w:pPr>
        <w:spacing w:line="360" w:lineRule="auto"/>
        <w:ind w:left="507" w:leftChars="80" w:hanging="315" w:hangingChars="150"/>
        <w:jc w:val="both"/>
        <w:rPr>
          <w:rFonts w:ascii="宋体" w:hAnsi="宋体" w:cs="宋体"/>
          <w:color w:val="auto"/>
          <w:sz w:val="21"/>
          <w:szCs w:val="21"/>
          <w:highlight w:val="none"/>
        </w:rPr>
      </w:pPr>
      <w:r>
        <w:rPr>
          <w:rFonts w:hint="eastAsia" w:ascii="宋体" w:hAnsi="宋体" w:cs="宋体"/>
          <w:color w:val="auto"/>
          <w:sz w:val="21"/>
          <w:szCs w:val="21"/>
          <w:highlight w:val="none"/>
        </w:rPr>
        <w:t>4.2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p>
    <w:p w14:paraId="156CA2AA">
      <w:pPr>
        <w:spacing w:line="360" w:lineRule="auto"/>
        <w:ind w:left="507" w:leftChars="80" w:hanging="315" w:hangingChars="150"/>
        <w:jc w:val="both"/>
        <w:rPr>
          <w:rFonts w:ascii="宋体" w:hAnsi="宋体" w:cs="宋体"/>
          <w:color w:val="auto"/>
          <w:sz w:val="21"/>
          <w:szCs w:val="21"/>
          <w:highlight w:val="none"/>
        </w:rPr>
      </w:pPr>
      <w:r>
        <w:rPr>
          <w:rFonts w:hint="eastAsia" w:ascii="宋体" w:hAnsi="宋体" w:cs="宋体"/>
          <w:color w:val="auto"/>
          <w:sz w:val="21"/>
          <w:szCs w:val="21"/>
          <w:highlight w:val="none"/>
        </w:rPr>
        <w:t>4.3 法定代表人身份证明书和法定代表人授权书原件（法定代表人谈判时只需提供法定代表人身份证明书，委托他人为谈判代表或签署响应文件时需同时提供法定代表人授权书）；</w:t>
      </w:r>
    </w:p>
    <w:p w14:paraId="03A901EB">
      <w:pPr>
        <w:spacing w:line="360" w:lineRule="auto"/>
        <w:ind w:left="507" w:leftChars="80" w:hanging="315" w:hangingChars="150"/>
        <w:jc w:val="both"/>
        <w:rPr>
          <w:rFonts w:ascii="宋体" w:hAnsi="宋体" w:cs="宋体"/>
          <w:color w:val="auto"/>
          <w:sz w:val="21"/>
          <w:szCs w:val="21"/>
          <w:highlight w:val="none"/>
        </w:rPr>
      </w:pPr>
      <w:r>
        <w:rPr>
          <w:rFonts w:hint="eastAsia" w:ascii="宋体" w:hAnsi="宋体" w:cs="宋体"/>
          <w:color w:val="auto"/>
          <w:sz w:val="21"/>
          <w:szCs w:val="21"/>
          <w:highlight w:val="none"/>
        </w:rPr>
        <w:t>4.4  资格条件【（1）供应商在广东电力交易中心注册且具备交易资格的售电公司（需提供广东电力交易中心平台“市场信息披露-经营主体-售电公司基本信息”界面中显示本售电公司的截图作为佐证材料）；</w:t>
      </w:r>
    </w:p>
    <w:p w14:paraId="05BB43A8">
      <w:pPr>
        <w:spacing w:line="360" w:lineRule="auto"/>
        <w:ind w:left="507" w:leftChars="80" w:hanging="315" w:hangingChars="150"/>
        <w:jc w:val="both"/>
        <w:rPr>
          <w:color w:val="auto"/>
          <w:highlight w:val="none"/>
        </w:rPr>
      </w:pPr>
      <w:r>
        <w:rPr>
          <w:rFonts w:hint="eastAsia" w:ascii="宋体" w:hAnsi="宋体" w:cs="宋体"/>
          <w:color w:val="auto"/>
          <w:sz w:val="21"/>
          <w:szCs w:val="21"/>
          <w:highlight w:val="none"/>
        </w:rPr>
        <w:t>（2）供应商（售电公司）2022年1月1日以来（合同签订日期为2022年1月1日或以后）任意一个自然年内累计具有50亿千瓦时或以上的电量购买业绩；（须提供业绩证明材料：能显示购买方为本售电公司、签订时间和交易电量满足要求的合同；如“无合同”或“合同不能显示满足要求内容”的，须在官方电力交易平台上截图，截图能显示平台名称、合约时间、买入方和交易买入的电量）。】；</w:t>
      </w:r>
    </w:p>
    <w:p w14:paraId="7C1F28BE">
      <w:pPr>
        <w:spacing w:line="360" w:lineRule="auto"/>
        <w:ind w:left="507" w:leftChars="80" w:hanging="315" w:hangingChars="150"/>
        <w:jc w:val="both"/>
        <w:rPr>
          <w:rFonts w:ascii="宋体" w:hAnsi="宋体" w:cs="宋体"/>
          <w:color w:val="auto"/>
          <w:sz w:val="21"/>
          <w:szCs w:val="21"/>
          <w:highlight w:val="none"/>
        </w:rPr>
      </w:pPr>
      <w:r>
        <w:rPr>
          <w:rFonts w:hint="eastAsia" w:ascii="宋体" w:hAnsi="宋体" w:cs="宋体"/>
          <w:color w:val="auto"/>
          <w:sz w:val="21"/>
          <w:szCs w:val="21"/>
          <w:highlight w:val="none"/>
        </w:rPr>
        <w:t>4.5 最近3年供应商牵涉的其他（失信和违法）处罚说明；</w:t>
      </w:r>
    </w:p>
    <w:p w14:paraId="526B0160">
      <w:pPr>
        <w:spacing w:line="360" w:lineRule="auto"/>
        <w:ind w:left="420" w:hanging="420" w:hangingChars="2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5</w:t>
      </w:r>
      <w:r>
        <w:rPr>
          <w:rFonts w:hint="eastAsia" w:ascii="宋体" w:hAnsi="宋体" w:cs="宋体"/>
          <w:color w:val="auto"/>
          <w:sz w:val="21"/>
          <w:szCs w:val="21"/>
          <w:highlight w:val="none"/>
          <w:lang w:val="zh-CN"/>
        </w:rPr>
        <w:t>）供应商基本情况</w:t>
      </w:r>
      <w:r>
        <w:rPr>
          <w:rFonts w:hint="eastAsia" w:ascii="宋体" w:hAnsi="宋体" w:cs="宋体"/>
          <w:color w:val="auto"/>
          <w:sz w:val="21"/>
          <w:szCs w:val="21"/>
          <w:highlight w:val="none"/>
        </w:rPr>
        <w:t>一览表</w:t>
      </w:r>
      <w:r>
        <w:rPr>
          <w:rFonts w:hint="eastAsia" w:ascii="宋体" w:hAnsi="宋体" w:cs="宋体"/>
          <w:color w:val="auto"/>
          <w:sz w:val="21"/>
          <w:szCs w:val="21"/>
          <w:highlight w:val="none"/>
          <w:lang w:val="zh-CN"/>
        </w:rPr>
        <w:t>；</w:t>
      </w:r>
    </w:p>
    <w:p w14:paraId="6E209F8E">
      <w:pPr>
        <w:spacing w:line="360" w:lineRule="auto"/>
        <w:ind w:left="420" w:hanging="420" w:hangingChars="2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6</w:t>
      </w:r>
      <w:r>
        <w:rPr>
          <w:rFonts w:hint="eastAsia" w:ascii="宋体" w:hAnsi="宋体" w:cs="宋体"/>
          <w:color w:val="auto"/>
          <w:sz w:val="21"/>
          <w:szCs w:val="21"/>
          <w:highlight w:val="none"/>
          <w:lang w:val="zh-CN"/>
        </w:rPr>
        <w:t>）合同条款</w:t>
      </w:r>
      <w:r>
        <w:rPr>
          <w:rFonts w:hint="eastAsia" w:ascii="宋体" w:hAnsi="宋体" w:cs="宋体"/>
          <w:color w:val="auto"/>
          <w:sz w:val="21"/>
          <w:szCs w:val="21"/>
          <w:highlight w:val="none"/>
        </w:rPr>
        <w:t>响应程度（合同条款偏离表）</w:t>
      </w:r>
      <w:r>
        <w:rPr>
          <w:rFonts w:hint="eastAsia" w:ascii="宋体" w:hAnsi="宋体" w:cs="宋体"/>
          <w:color w:val="auto"/>
          <w:sz w:val="21"/>
          <w:szCs w:val="21"/>
          <w:highlight w:val="none"/>
          <w:lang w:val="zh-CN"/>
        </w:rPr>
        <w:t>；</w:t>
      </w:r>
    </w:p>
    <w:p w14:paraId="74960910">
      <w:pPr>
        <w:spacing w:line="360" w:lineRule="auto"/>
        <w:ind w:left="420" w:hanging="420" w:hangingChars="2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7</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响应保证金汇入</w:t>
      </w:r>
      <w:r>
        <w:rPr>
          <w:rFonts w:hint="eastAsia" w:ascii="宋体" w:hAnsi="宋体" w:cs="宋体"/>
          <w:color w:val="auto"/>
          <w:sz w:val="21"/>
          <w:szCs w:val="21"/>
          <w:highlight w:val="none"/>
          <w:lang w:val="zh-CN"/>
        </w:rPr>
        <w:t>情况</w:t>
      </w:r>
      <w:r>
        <w:rPr>
          <w:rFonts w:hint="eastAsia" w:ascii="宋体" w:hAnsi="宋体" w:cs="宋体"/>
          <w:color w:val="auto"/>
          <w:sz w:val="21"/>
          <w:szCs w:val="21"/>
          <w:highlight w:val="none"/>
        </w:rPr>
        <w:t>说明</w:t>
      </w:r>
      <w:r>
        <w:rPr>
          <w:rFonts w:hint="eastAsia" w:ascii="宋体" w:hAnsi="宋体" w:cs="宋体"/>
          <w:color w:val="auto"/>
          <w:sz w:val="21"/>
          <w:szCs w:val="21"/>
          <w:highlight w:val="none"/>
          <w:lang w:val="zh-CN"/>
        </w:rPr>
        <w:t>；</w:t>
      </w:r>
    </w:p>
    <w:p w14:paraId="3AE69C08">
      <w:pPr>
        <w:spacing w:line="360" w:lineRule="auto"/>
        <w:ind w:left="630" w:hanging="630" w:hangingChars="300"/>
        <w:jc w:val="both"/>
        <w:rPr>
          <w:rFonts w:ascii="宋体" w:hAnsi="宋体" w:cs="宋体"/>
          <w:color w:val="auto"/>
          <w:sz w:val="21"/>
          <w:szCs w:val="21"/>
          <w:highlight w:val="none"/>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8</w:t>
      </w:r>
      <w:r>
        <w:rPr>
          <w:rFonts w:hint="eastAsia" w:ascii="宋体" w:hAnsi="宋体" w:cs="宋体"/>
          <w:color w:val="auto"/>
          <w:sz w:val="21"/>
          <w:szCs w:val="21"/>
          <w:highlight w:val="none"/>
          <w:lang w:val="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p>
    <w:p w14:paraId="3BFCA411">
      <w:pPr>
        <w:spacing w:line="360" w:lineRule="auto"/>
        <w:ind w:left="422" w:hanging="422" w:hangingChars="200"/>
        <w:jc w:val="both"/>
        <w:rPr>
          <w:color w:val="auto"/>
          <w:highlight w:val="none"/>
          <w:lang w:val="zh-CN"/>
        </w:rPr>
      </w:pPr>
      <w:r>
        <w:rPr>
          <w:rFonts w:hint="eastAsia" w:ascii="宋体" w:hAnsi="宋体" w:cs="宋体"/>
          <w:b/>
          <w:bCs/>
          <w:color w:val="auto"/>
          <w:sz w:val="21"/>
          <w:szCs w:val="21"/>
          <w:highlight w:val="none"/>
          <w:lang w:val="zh-CN"/>
        </w:rPr>
        <w:t>9.</w:t>
      </w:r>
      <w:r>
        <w:rPr>
          <w:rFonts w:hint="eastAsia" w:ascii="宋体" w:hAnsi="宋体" w:cs="宋体"/>
          <w:b/>
          <w:bCs/>
          <w:color w:val="auto"/>
          <w:sz w:val="21"/>
          <w:szCs w:val="21"/>
          <w:highlight w:val="none"/>
        </w:rPr>
        <w:t xml:space="preserve">1.2 </w:t>
      </w:r>
      <w:r>
        <w:rPr>
          <w:rFonts w:hint="eastAsia" w:ascii="宋体" w:hAnsi="宋体" w:cs="宋体"/>
          <w:b/>
          <w:bCs/>
          <w:color w:val="auto"/>
          <w:sz w:val="21"/>
          <w:szCs w:val="21"/>
          <w:highlight w:val="none"/>
          <w:lang w:val="zh-CN"/>
        </w:rPr>
        <w:t>技术文件：</w:t>
      </w:r>
    </w:p>
    <w:p w14:paraId="662EECC0">
      <w:pPr>
        <w:spacing w:line="360" w:lineRule="auto"/>
        <w:ind w:left="422" w:leftChars="88" w:hanging="211" w:hangingChars="100"/>
        <w:jc w:val="both"/>
        <w:rPr>
          <w:rFonts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 xml:space="preserve"> </w:t>
      </w:r>
      <w:r>
        <w:rPr>
          <w:rFonts w:hint="eastAsia" w:ascii="宋体" w:hAnsi="宋体" w:cs="宋体"/>
          <w:b/>
          <w:bCs/>
          <w:color w:val="auto"/>
          <w:sz w:val="21"/>
          <w:szCs w:val="21"/>
          <w:highlight w:val="none"/>
        </w:rPr>
        <w:t xml:space="preserve"> </w:t>
      </w:r>
      <w:r>
        <w:rPr>
          <w:rFonts w:hint="eastAsia" w:ascii="宋体" w:hAnsi="宋体" w:cs="宋体"/>
          <w:b/>
          <w:bCs/>
          <w:color w:val="auto"/>
          <w:sz w:val="21"/>
          <w:szCs w:val="21"/>
          <w:highlight w:val="none"/>
          <w:lang w:val="zh-CN"/>
        </w:rPr>
        <w:t>目录：</w:t>
      </w:r>
    </w:p>
    <w:p w14:paraId="313D7404">
      <w:pPr>
        <w:spacing w:line="360" w:lineRule="auto"/>
        <w:ind w:left="420" w:hanging="420" w:hangingChars="2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）用户需求响应</w:t>
      </w:r>
      <w:r>
        <w:rPr>
          <w:rFonts w:hint="eastAsia" w:ascii="宋体" w:hAnsi="宋体" w:cs="宋体"/>
          <w:color w:val="auto"/>
          <w:sz w:val="21"/>
          <w:szCs w:val="21"/>
          <w:highlight w:val="none"/>
        </w:rPr>
        <w:t>程度（即用户需求偏离表格式）</w:t>
      </w:r>
      <w:r>
        <w:rPr>
          <w:rFonts w:hint="eastAsia" w:ascii="宋体" w:hAnsi="宋体" w:cs="宋体"/>
          <w:color w:val="auto"/>
          <w:sz w:val="21"/>
          <w:szCs w:val="21"/>
          <w:highlight w:val="none"/>
          <w:lang w:val="zh-CN"/>
        </w:rPr>
        <w:t>；</w:t>
      </w:r>
    </w:p>
    <w:p w14:paraId="1D98975F">
      <w:pPr>
        <w:spacing w:line="360" w:lineRule="auto"/>
        <w:ind w:left="76" w:leftChars="-12" w:hanging="105" w:hangingChars="50"/>
        <w:rPr>
          <w:rFonts w:ascii="宋体" w:hAnsi="宋体" w:cs="宋体"/>
          <w:color w:val="auto"/>
          <w:sz w:val="21"/>
          <w:szCs w:val="21"/>
          <w:highlight w:val="none"/>
        </w:rPr>
      </w:pPr>
      <w:r>
        <w:rPr>
          <w:rFonts w:hint="eastAsia" w:ascii="宋体" w:hAnsi="宋体" w:cs="宋体"/>
          <w:color w:val="auto"/>
          <w:sz w:val="21"/>
          <w:szCs w:val="21"/>
          <w:highlight w:val="none"/>
        </w:rPr>
        <w:t>（2）服务计划及应急保障；</w:t>
      </w:r>
    </w:p>
    <w:p w14:paraId="01F3C9CB">
      <w:pPr>
        <w:spacing w:line="360" w:lineRule="auto"/>
        <w:ind w:left="286" w:leftChars="-12" w:hanging="315" w:hangingChars="150"/>
        <w:rPr>
          <w:rFonts w:ascii="宋体" w:hAnsi="宋体" w:cs="宋体"/>
          <w:color w:val="auto"/>
          <w:sz w:val="21"/>
          <w:szCs w:val="21"/>
          <w:highlight w:val="none"/>
        </w:rPr>
      </w:pPr>
      <w:r>
        <w:rPr>
          <w:rFonts w:hint="eastAsia" w:ascii="宋体" w:hAnsi="宋体" w:cs="宋体"/>
          <w:color w:val="auto"/>
          <w:sz w:val="21"/>
          <w:szCs w:val="21"/>
          <w:highlight w:val="none"/>
        </w:rPr>
        <w:t>（3）用户需求要求提交的其他技术资料；</w:t>
      </w:r>
    </w:p>
    <w:p w14:paraId="00911FA8">
      <w:pPr>
        <w:spacing w:line="360" w:lineRule="auto"/>
        <w:ind w:left="76" w:leftChars="-12" w:hanging="105" w:hangingChars="50"/>
        <w:rPr>
          <w:rFonts w:ascii="宋体" w:hAnsi="宋体" w:cs="宋体"/>
          <w:color w:val="auto"/>
          <w:sz w:val="21"/>
          <w:szCs w:val="21"/>
          <w:highlight w:val="none"/>
        </w:rPr>
      </w:pPr>
      <w:r>
        <w:rPr>
          <w:rFonts w:hint="eastAsia" w:ascii="宋体" w:hAnsi="宋体" w:cs="宋体"/>
          <w:color w:val="auto"/>
          <w:sz w:val="21"/>
          <w:szCs w:val="21"/>
          <w:highlight w:val="none"/>
        </w:rPr>
        <w:t>（4）响应供应商认为有必要提供的其它材料（不做强制要求）。</w:t>
      </w:r>
    </w:p>
    <w:p w14:paraId="5A781845">
      <w:pPr>
        <w:spacing w:line="360" w:lineRule="auto"/>
        <w:jc w:val="both"/>
        <w:rPr>
          <w:rFonts w:ascii="宋体" w:hAnsi="宋体" w:cs="宋体"/>
          <w:b/>
          <w:bCs/>
          <w:color w:val="auto"/>
          <w:kern w:val="2"/>
          <w:sz w:val="21"/>
          <w:szCs w:val="21"/>
          <w:highlight w:val="none"/>
          <w:lang w:val="zh-CN"/>
        </w:rPr>
      </w:pPr>
      <w:r>
        <w:rPr>
          <w:rFonts w:hint="eastAsia" w:ascii="宋体" w:hAnsi="宋体" w:cs="宋体"/>
          <w:b/>
          <w:bCs/>
          <w:color w:val="auto"/>
          <w:kern w:val="2"/>
          <w:sz w:val="21"/>
          <w:szCs w:val="21"/>
          <w:highlight w:val="none"/>
          <w:lang w:val="zh-CN"/>
        </w:rPr>
        <w:t>9.</w:t>
      </w:r>
      <w:r>
        <w:rPr>
          <w:rFonts w:hint="eastAsia" w:ascii="宋体" w:hAnsi="宋体" w:cs="宋体"/>
          <w:b/>
          <w:bCs/>
          <w:color w:val="auto"/>
          <w:kern w:val="2"/>
          <w:sz w:val="21"/>
          <w:szCs w:val="21"/>
          <w:highlight w:val="none"/>
        </w:rPr>
        <w:t xml:space="preserve">1.3 </w:t>
      </w:r>
      <w:r>
        <w:rPr>
          <w:rFonts w:hint="eastAsia" w:ascii="宋体" w:hAnsi="宋体" w:cs="宋体"/>
          <w:b/>
          <w:bCs/>
          <w:color w:val="auto"/>
          <w:kern w:val="2"/>
          <w:sz w:val="21"/>
          <w:szCs w:val="21"/>
          <w:highlight w:val="none"/>
          <w:lang w:val="zh-CN"/>
        </w:rPr>
        <w:t>响应文件电子文件</w:t>
      </w:r>
      <w:r>
        <w:rPr>
          <w:rFonts w:hint="eastAsia" w:ascii="宋体" w:hAnsi="宋体" w:cs="宋体"/>
          <w:bCs/>
          <w:color w:val="auto"/>
          <w:kern w:val="2"/>
          <w:sz w:val="21"/>
          <w:szCs w:val="21"/>
          <w:highlight w:val="none"/>
          <w:lang w:val="zh-CN"/>
        </w:rPr>
        <w:t>（详细要求见本篇第17.5款）</w:t>
      </w:r>
    </w:p>
    <w:p w14:paraId="4C47EE4B">
      <w:pPr>
        <w:spacing w:line="360" w:lineRule="auto"/>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）签字、盖章后的响应文件扫描版PDF格式电子文件。</w:t>
      </w:r>
    </w:p>
    <w:p w14:paraId="7E8D9B2B">
      <w:pPr>
        <w:tabs>
          <w:tab w:val="left" w:pos="567"/>
        </w:tabs>
        <w:spacing w:line="360" w:lineRule="auto"/>
        <w:ind w:left="420" w:hanging="420" w:hanging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9.</w:t>
      </w:r>
      <w:r>
        <w:rPr>
          <w:rFonts w:hint="eastAsia" w:ascii="宋体" w:hAnsi="宋体" w:cs="宋体"/>
          <w:color w:val="auto"/>
          <w:kern w:val="2"/>
          <w:sz w:val="21"/>
          <w:szCs w:val="21"/>
          <w:highlight w:val="none"/>
        </w:rPr>
        <w:t>2</w:t>
      </w:r>
      <w:r>
        <w:rPr>
          <w:rFonts w:hint="eastAsia" w:ascii="宋体" w:hAnsi="宋体" w:cs="宋体"/>
          <w:bCs/>
          <w:color w:val="auto"/>
          <w:kern w:val="2"/>
          <w:sz w:val="21"/>
          <w:szCs w:val="21"/>
          <w:highlight w:val="none"/>
        </w:rPr>
        <w:t xml:space="preserve"> 供应商按照响应</w:t>
      </w:r>
      <w:r>
        <w:rPr>
          <w:rFonts w:hint="eastAsia" w:ascii="宋体" w:hAnsi="宋体" w:cs="宋体"/>
          <w:bCs/>
          <w:color w:val="auto"/>
          <w:kern w:val="2"/>
          <w:sz w:val="21"/>
          <w:szCs w:val="21"/>
          <w:highlight w:val="none"/>
          <w:lang w:val="zh-CN"/>
        </w:rPr>
        <w:t>文件</w:t>
      </w:r>
      <w:r>
        <w:rPr>
          <w:rFonts w:hint="eastAsia" w:ascii="宋体" w:hAnsi="宋体" w:cs="宋体"/>
          <w:bCs/>
          <w:color w:val="auto"/>
          <w:kern w:val="2"/>
          <w:sz w:val="21"/>
          <w:szCs w:val="21"/>
          <w:highlight w:val="none"/>
        </w:rPr>
        <w:t>的组成目录编制响应文件应包括上述内容，但不限于上述内容。响应文件提供了相关格式的，严格按照竞争性谈判文件的要求编制，响应文件未含格式的，供应商自行编制。响应文件编制中要求的复印件、照片可为该资料扫描件的打印件。</w:t>
      </w:r>
    </w:p>
    <w:p w14:paraId="1986BE5A">
      <w:pPr>
        <w:tabs>
          <w:tab w:val="left" w:pos="567"/>
        </w:tabs>
        <w:spacing w:line="360" w:lineRule="auto"/>
        <w:ind w:left="420" w:hanging="420" w:hanging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9.</w:t>
      </w:r>
      <w:r>
        <w:rPr>
          <w:rFonts w:hint="eastAsia" w:ascii="宋体" w:hAnsi="宋体" w:cs="宋体"/>
          <w:color w:val="auto"/>
          <w:kern w:val="2"/>
          <w:sz w:val="21"/>
          <w:szCs w:val="21"/>
          <w:highlight w:val="none"/>
        </w:rPr>
        <w:t>3</w:t>
      </w:r>
      <w:r>
        <w:rPr>
          <w:rFonts w:hint="eastAsia" w:ascii="宋体" w:hAnsi="宋体" w:cs="宋体"/>
          <w:b/>
          <w:color w:val="auto"/>
          <w:kern w:val="2"/>
          <w:sz w:val="21"/>
          <w:szCs w:val="21"/>
          <w:highlight w:val="none"/>
        </w:rPr>
        <w:t xml:space="preserve"> </w:t>
      </w:r>
      <w:r>
        <w:rPr>
          <w:rFonts w:hint="eastAsia" w:ascii="宋体" w:hAnsi="宋体" w:cs="宋体"/>
          <w:b/>
          <w:color w:val="auto"/>
          <w:kern w:val="2"/>
          <w:sz w:val="21"/>
          <w:szCs w:val="21"/>
          <w:highlight w:val="none"/>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宋体" w:hAnsi="宋体" w:cs="宋体"/>
          <w:b/>
          <w:color w:val="auto"/>
          <w:kern w:val="2"/>
          <w:sz w:val="21"/>
          <w:szCs w:val="21"/>
          <w:highlight w:val="none"/>
          <w:u w:val="single"/>
        </w:rPr>
        <w:t>响应文件</w:t>
      </w:r>
      <w:r>
        <w:rPr>
          <w:rFonts w:hint="eastAsia" w:ascii="宋体" w:hAnsi="宋体" w:cs="宋体"/>
          <w:b/>
          <w:color w:val="auto"/>
          <w:kern w:val="2"/>
          <w:sz w:val="21"/>
          <w:szCs w:val="21"/>
          <w:highlight w:val="none"/>
          <w:u w:val="single"/>
          <w:lang w:val="zh-CN"/>
        </w:rPr>
        <w:t>无效，或评审时因无效证明材料不得分，或拒绝接受</w:t>
      </w:r>
      <w:r>
        <w:rPr>
          <w:rFonts w:hint="eastAsia" w:ascii="宋体" w:hAnsi="宋体" w:cs="宋体"/>
          <w:b/>
          <w:color w:val="auto"/>
          <w:kern w:val="2"/>
          <w:sz w:val="21"/>
          <w:szCs w:val="21"/>
          <w:highlight w:val="none"/>
          <w:u w:val="single"/>
        </w:rPr>
        <w:t>谈判</w:t>
      </w:r>
      <w:r>
        <w:rPr>
          <w:rFonts w:hint="eastAsia" w:ascii="宋体" w:hAnsi="宋体" w:cs="宋体"/>
          <w:b/>
          <w:color w:val="auto"/>
          <w:kern w:val="2"/>
          <w:sz w:val="21"/>
          <w:szCs w:val="21"/>
          <w:highlight w:val="none"/>
          <w:u w:val="single"/>
          <w:lang w:val="zh-CN"/>
        </w:rPr>
        <w:t>的风险。</w:t>
      </w:r>
    </w:p>
    <w:p w14:paraId="614154BD">
      <w:pPr>
        <w:spacing w:line="360" w:lineRule="auto"/>
        <w:ind w:left="540" w:hanging="15"/>
        <w:jc w:val="both"/>
        <w:rPr>
          <w:rFonts w:ascii="宋体" w:hAnsi="宋体" w:cs="宋体"/>
          <w:color w:val="auto"/>
          <w:kern w:val="2"/>
          <w:sz w:val="21"/>
          <w:szCs w:val="21"/>
          <w:highlight w:val="none"/>
          <w:lang w:val="zh-CN"/>
        </w:rPr>
      </w:pPr>
    </w:p>
    <w:p w14:paraId="225CD2E5">
      <w:pPr>
        <w:tabs>
          <w:tab w:val="left" w:pos="567"/>
        </w:tabs>
        <w:spacing w:line="360" w:lineRule="auto"/>
        <w:ind w:left="567" w:hanging="567"/>
        <w:jc w:val="both"/>
        <w:outlineLvl w:val="2"/>
        <w:rPr>
          <w:rFonts w:ascii="宋体" w:hAnsi="宋体" w:cs="宋体"/>
          <w:color w:val="auto"/>
          <w:kern w:val="2"/>
          <w:sz w:val="21"/>
          <w:szCs w:val="21"/>
          <w:highlight w:val="none"/>
          <w:lang w:val="zh-CN"/>
        </w:rPr>
      </w:pPr>
      <w:bookmarkStart w:id="58" w:name="_Toc4080"/>
      <w:bookmarkStart w:id="59" w:name="_Toc450662860"/>
      <w:bookmarkStart w:id="60" w:name="_Toc521918077"/>
      <w:r>
        <w:rPr>
          <w:rFonts w:hint="eastAsia" w:ascii="宋体" w:hAnsi="宋体" w:cs="宋体"/>
          <w:color w:val="auto"/>
          <w:kern w:val="2"/>
          <w:sz w:val="21"/>
          <w:szCs w:val="21"/>
          <w:highlight w:val="none"/>
          <w:lang w:val="zh-CN"/>
        </w:rPr>
        <w:t>10</w:t>
      </w:r>
      <w:r>
        <w:rPr>
          <w:rFonts w:hint="eastAsia" w:ascii="宋体" w:hAnsi="宋体" w:cs="宋体"/>
          <w:color w:val="auto"/>
          <w:kern w:val="2"/>
          <w:sz w:val="21"/>
          <w:szCs w:val="21"/>
          <w:highlight w:val="none"/>
        </w:rPr>
        <w:t xml:space="preserve"> </w:t>
      </w:r>
      <w:bookmarkEnd w:id="58"/>
      <w:bookmarkEnd w:id="59"/>
      <w:bookmarkEnd w:id="60"/>
      <w:r>
        <w:rPr>
          <w:rFonts w:hint="eastAsia" w:ascii="宋体" w:hAnsi="宋体" w:cs="宋体"/>
          <w:color w:val="auto"/>
          <w:kern w:val="2"/>
          <w:sz w:val="21"/>
          <w:szCs w:val="21"/>
          <w:highlight w:val="none"/>
        </w:rPr>
        <w:t>响应函</w:t>
      </w:r>
    </w:p>
    <w:p w14:paraId="5E1354CF">
      <w:pPr>
        <w:spacing w:line="360" w:lineRule="auto"/>
        <w:ind w:left="540" w:hanging="15"/>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供应商应完整填写响应文件格式中规定的</w:t>
      </w:r>
      <w:r>
        <w:rPr>
          <w:rFonts w:hint="eastAsia" w:ascii="宋体" w:hAnsi="宋体" w:cs="宋体"/>
          <w:color w:val="auto"/>
          <w:kern w:val="2"/>
          <w:sz w:val="21"/>
          <w:szCs w:val="21"/>
          <w:highlight w:val="none"/>
        </w:rPr>
        <w:t>响应函</w:t>
      </w:r>
      <w:r>
        <w:rPr>
          <w:rFonts w:hint="eastAsia" w:ascii="宋体" w:hAnsi="宋体" w:cs="宋体"/>
          <w:color w:val="auto"/>
          <w:kern w:val="2"/>
          <w:sz w:val="21"/>
          <w:szCs w:val="21"/>
          <w:highlight w:val="none"/>
          <w:lang w:val="zh-CN"/>
        </w:rPr>
        <w:t>。</w:t>
      </w:r>
    </w:p>
    <w:p w14:paraId="26A97D31">
      <w:pPr>
        <w:spacing w:line="360" w:lineRule="auto"/>
        <w:ind w:left="540" w:hanging="15"/>
        <w:jc w:val="both"/>
        <w:rPr>
          <w:rFonts w:ascii="宋体" w:hAnsi="宋体" w:cs="宋体"/>
          <w:color w:val="auto"/>
          <w:kern w:val="2"/>
          <w:sz w:val="21"/>
          <w:szCs w:val="21"/>
          <w:highlight w:val="none"/>
          <w:lang w:val="zh-CN"/>
        </w:rPr>
      </w:pPr>
    </w:p>
    <w:p w14:paraId="4F347B2B">
      <w:pPr>
        <w:tabs>
          <w:tab w:val="left" w:pos="567"/>
        </w:tabs>
        <w:spacing w:line="360" w:lineRule="auto"/>
        <w:ind w:left="567" w:hanging="567"/>
        <w:jc w:val="both"/>
        <w:outlineLvl w:val="2"/>
        <w:rPr>
          <w:rFonts w:ascii="宋体" w:hAnsi="宋体" w:cs="宋体"/>
          <w:color w:val="auto"/>
          <w:sz w:val="21"/>
          <w:szCs w:val="21"/>
          <w:highlight w:val="none"/>
        </w:rPr>
      </w:pPr>
      <w:bookmarkStart w:id="61" w:name="_Toc450662861"/>
      <w:bookmarkStart w:id="62" w:name="_Toc521918078"/>
      <w:bookmarkStart w:id="63" w:name="_Toc9144"/>
      <w:r>
        <w:rPr>
          <w:rFonts w:hint="eastAsia" w:ascii="宋体" w:hAnsi="宋体" w:cs="宋体"/>
          <w:bCs/>
          <w:color w:val="auto"/>
          <w:kern w:val="2"/>
          <w:sz w:val="21"/>
          <w:szCs w:val="21"/>
          <w:highlight w:val="none"/>
          <w:lang w:val="zh-CN"/>
        </w:rPr>
        <w:t>11</w:t>
      </w:r>
      <w:bookmarkEnd w:id="61"/>
      <w:bookmarkEnd w:id="62"/>
      <w:r>
        <w:rPr>
          <w:rFonts w:hint="eastAsia" w:ascii="宋体" w:hAnsi="宋体" w:cs="宋体"/>
          <w:bCs/>
          <w:color w:val="auto"/>
          <w:kern w:val="2"/>
          <w:sz w:val="21"/>
          <w:szCs w:val="21"/>
          <w:highlight w:val="none"/>
        </w:rPr>
        <w:t xml:space="preserve"> </w:t>
      </w:r>
      <w:r>
        <w:rPr>
          <w:rFonts w:hint="eastAsia" w:ascii="宋体" w:hAnsi="宋体" w:cs="宋体"/>
          <w:bCs/>
          <w:color w:val="auto"/>
          <w:kern w:val="2"/>
          <w:sz w:val="21"/>
          <w:szCs w:val="21"/>
          <w:highlight w:val="none"/>
          <w:lang w:val="zh-CN"/>
        </w:rPr>
        <w:t>响应报价</w:t>
      </w:r>
      <w:bookmarkEnd w:id="63"/>
    </w:p>
    <w:p w14:paraId="2B660D92">
      <w:pPr>
        <w:tabs>
          <w:tab w:val="left" w:pos="142"/>
        </w:tabs>
        <w:spacing w:line="360" w:lineRule="auto"/>
        <w:ind w:left="532" w:hanging="532"/>
        <w:jc w:val="both"/>
        <w:rPr>
          <w:rFonts w:ascii="宋体" w:hAnsi="宋体" w:cs="宋体"/>
          <w:b/>
          <w:color w:val="auto"/>
          <w:sz w:val="21"/>
          <w:szCs w:val="21"/>
          <w:highlight w:val="none"/>
          <w:lang w:val="zh-CN"/>
        </w:rPr>
      </w:pPr>
      <w:r>
        <w:rPr>
          <w:rFonts w:hint="eastAsia" w:ascii="宋体" w:hAnsi="宋体" w:cs="宋体"/>
          <w:b/>
          <w:bCs/>
          <w:color w:val="auto"/>
          <w:kern w:val="2"/>
          <w:sz w:val="21"/>
          <w:szCs w:val="21"/>
          <w:highlight w:val="none"/>
          <w:lang w:val="zh-CN"/>
        </w:rPr>
        <w:t xml:space="preserve">11.1 </w:t>
      </w:r>
      <w:r>
        <w:rPr>
          <w:rFonts w:hint="eastAsia" w:ascii="宋体" w:hAnsi="宋体" w:cs="宋体"/>
          <w:b/>
          <w:bCs/>
          <w:color w:val="auto"/>
          <w:kern w:val="2"/>
          <w:sz w:val="21"/>
          <w:szCs w:val="21"/>
          <w:highlight w:val="none"/>
          <w:u w:val="single"/>
        </w:rPr>
        <w:t>本项目最终报价只允许有一个报价价格，任何有选择的或不是固定价的响应报价将不予接受，作为非实质性响应报价而予以拒绝。供应商不得以超出企业自身成本的价格报价</w:t>
      </w:r>
      <w:r>
        <w:rPr>
          <w:rFonts w:hint="eastAsia" w:ascii="宋体" w:hAnsi="宋体" w:cs="宋体"/>
          <w:b/>
          <w:bCs/>
          <w:color w:val="auto"/>
          <w:kern w:val="2"/>
          <w:sz w:val="21"/>
          <w:szCs w:val="21"/>
          <w:highlight w:val="none"/>
        </w:rPr>
        <w:t>。</w:t>
      </w:r>
      <w:r>
        <w:rPr>
          <w:rFonts w:hint="eastAsia" w:ascii="宋体" w:hAnsi="宋体" w:cs="宋体"/>
          <w:b/>
          <w:color w:val="auto"/>
          <w:sz w:val="21"/>
          <w:szCs w:val="21"/>
          <w:highlight w:val="none"/>
          <w:u w:val="single"/>
          <w:lang w:val="zh-CN"/>
        </w:rPr>
        <w:t>若</w:t>
      </w:r>
      <w:r>
        <w:rPr>
          <w:rFonts w:hint="eastAsia" w:ascii="宋体" w:hAnsi="宋体" w:cs="宋体"/>
          <w:b/>
          <w:color w:val="auto"/>
          <w:sz w:val="21"/>
          <w:szCs w:val="21"/>
          <w:highlight w:val="none"/>
          <w:u w:val="single"/>
        </w:rPr>
        <w:t>供应商</w:t>
      </w:r>
      <w:r>
        <w:rPr>
          <w:rFonts w:hint="eastAsia" w:ascii="宋体" w:hAnsi="宋体" w:cs="宋体"/>
          <w:b/>
          <w:color w:val="auto"/>
          <w:sz w:val="21"/>
          <w:szCs w:val="21"/>
          <w:highlight w:val="none"/>
          <w:u w:val="single"/>
          <w:lang w:val="zh-CN"/>
        </w:rPr>
        <w:t>出现不合理报价，有可能影响服务质量和不能诚信履约的，</w:t>
      </w:r>
      <w:r>
        <w:rPr>
          <w:rFonts w:hint="eastAsia" w:ascii="宋体" w:hAnsi="宋体" w:cs="宋体"/>
          <w:b/>
          <w:color w:val="auto"/>
          <w:sz w:val="21"/>
          <w:szCs w:val="21"/>
          <w:highlight w:val="none"/>
          <w:u w:val="single"/>
        </w:rPr>
        <w:t>谈判小组</w:t>
      </w:r>
      <w:r>
        <w:rPr>
          <w:rFonts w:hint="eastAsia" w:ascii="宋体" w:hAnsi="宋体" w:cs="宋体"/>
          <w:b/>
          <w:color w:val="auto"/>
          <w:sz w:val="21"/>
          <w:szCs w:val="21"/>
          <w:highlight w:val="none"/>
          <w:u w:val="single"/>
          <w:lang w:val="zh-CN"/>
        </w:rPr>
        <w:t>将要求该</w:t>
      </w:r>
      <w:r>
        <w:rPr>
          <w:rFonts w:hint="eastAsia" w:ascii="宋体" w:hAnsi="宋体" w:cs="宋体"/>
          <w:b/>
          <w:color w:val="auto"/>
          <w:sz w:val="21"/>
          <w:szCs w:val="21"/>
          <w:highlight w:val="none"/>
          <w:u w:val="single"/>
        </w:rPr>
        <w:t>供应商</w:t>
      </w:r>
      <w:r>
        <w:rPr>
          <w:rFonts w:hint="eastAsia" w:ascii="宋体" w:hAnsi="宋体" w:cs="宋体"/>
          <w:b/>
          <w:color w:val="auto"/>
          <w:sz w:val="21"/>
          <w:szCs w:val="21"/>
          <w:highlight w:val="none"/>
          <w:u w:val="single"/>
          <w:lang w:val="zh-CN"/>
        </w:rPr>
        <w:t>作出书面说明并提供相关证明材料，以确定</w:t>
      </w:r>
      <w:r>
        <w:rPr>
          <w:rFonts w:hint="eastAsia" w:ascii="宋体" w:hAnsi="宋体" w:cs="宋体"/>
          <w:b/>
          <w:color w:val="auto"/>
          <w:sz w:val="21"/>
          <w:szCs w:val="21"/>
          <w:highlight w:val="none"/>
          <w:u w:val="single"/>
        </w:rPr>
        <w:t>供应商</w:t>
      </w:r>
      <w:r>
        <w:rPr>
          <w:rFonts w:hint="eastAsia" w:ascii="宋体" w:hAnsi="宋体" w:cs="宋体"/>
          <w:b/>
          <w:color w:val="auto"/>
          <w:sz w:val="21"/>
          <w:szCs w:val="21"/>
          <w:highlight w:val="none"/>
          <w:u w:val="single"/>
          <w:lang w:val="zh-CN"/>
        </w:rPr>
        <w:t>是否以超出企业成本价报价。若</w:t>
      </w:r>
      <w:r>
        <w:rPr>
          <w:rFonts w:hint="eastAsia" w:ascii="宋体" w:hAnsi="宋体" w:cs="宋体"/>
          <w:b/>
          <w:color w:val="auto"/>
          <w:sz w:val="21"/>
          <w:szCs w:val="21"/>
          <w:highlight w:val="none"/>
          <w:u w:val="single"/>
        </w:rPr>
        <w:t>供应商</w:t>
      </w:r>
      <w:r>
        <w:rPr>
          <w:rFonts w:hint="eastAsia" w:ascii="宋体" w:hAnsi="宋体" w:cs="宋体"/>
          <w:b/>
          <w:color w:val="auto"/>
          <w:sz w:val="21"/>
          <w:szCs w:val="21"/>
          <w:highlight w:val="none"/>
          <w:u w:val="single"/>
          <w:lang w:val="zh-CN"/>
        </w:rPr>
        <w:t>不能合理说明或不能提供相关证明材料的，</w:t>
      </w:r>
      <w:r>
        <w:rPr>
          <w:rFonts w:hint="eastAsia" w:ascii="宋体" w:hAnsi="宋体" w:cs="宋体"/>
          <w:b/>
          <w:color w:val="auto"/>
          <w:sz w:val="21"/>
          <w:szCs w:val="21"/>
          <w:highlight w:val="none"/>
          <w:u w:val="single"/>
        </w:rPr>
        <w:t>谈判小组</w:t>
      </w:r>
      <w:r>
        <w:rPr>
          <w:rFonts w:hint="eastAsia" w:ascii="宋体" w:hAnsi="宋体" w:cs="宋体"/>
          <w:b/>
          <w:color w:val="auto"/>
          <w:sz w:val="21"/>
          <w:szCs w:val="21"/>
          <w:highlight w:val="none"/>
          <w:u w:val="single"/>
          <w:lang w:val="zh-CN"/>
        </w:rPr>
        <w:t>将认定其</w:t>
      </w:r>
      <w:r>
        <w:rPr>
          <w:rFonts w:hint="eastAsia" w:ascii="宋体" w:hAnsi="宋体" w:cs="宋体"/>
          <w:b/>
          <w:color w:val="auto"/>
          <w:sz w:val="21"/>
          <w:szCs w:val="21"/>
          <w:highlight w:val="none"/>
          <w:u w:val="single"/>
        </w:rPr>
        <w:t>响应</w:t>
      </w:r>
      <w:r>
        <w:rPr>
          <w:rFonts w:hint="eastAsia" w:ascii="宋体" w:hAnsi="宋体" w:cs="宋体"/>
          <w:b/>
          <w:color w:val="auto"/>
          <w:sz w:val="21"/>
          <w:szCs w:val="21"/>
          <w:highlight w:val="none"/>
          <w:u w:val="single"/>
          <w:lang w:val="zh-CN"/>
        </w:rPr>
        <w:t>报价超出成本，同时否决其</w:t>
      </w:r>
      <w:r>
        <w:rPr>
          <w:rFonts w:hint="eastAsia" w:ascii="宋体" w:hAnsi="宋体" w:cs="宋体"/>
          <w:b/>
          <w:color w:val="auto"/>
          <w:sz w:val="21"/>
          <w:szCs w:val="21"/>
          <w:highlight w:val="none"/>
          <w:u w:val="single"/>
        </w:rPr>
        <w:t>递交的响应文件</w:t>
      </w:r>
      <w:r>
        <w:rPr>
          <w:rFonts w:hint="eastAsia" w:ascii="宋体" w:hAnsi="宋体" w:cs="宋体"/>
          <w:b/>
          <w:color w:val="auto"/>
          <w:sz w:val="21"/>
          <w:szCs w:val="21"/>
          <w:highlight w:val="none"/>
          <w:lang w:val="zh-CN"/>
        </w:rPr>
        <w:t>。</w:t>
      </w:r>
    </w:p>
    <w:p w14:paraId="05235191">
      <w:pPr>
        <w:tabs>
          <w:tab w:val="left" w:pos="142"/>
        </w:tabs>
        <w:spacing w:line="360" w:lineRule="auto"/>
        <w:ind w:left="538" w:leftChars="206" w:hanging="44" w:hangingChars="21"/>
        <w:jc w:val="both"/>
        <w:rPr>
          <w:rFonts w:ascii="宋体" w:hAnsi="宋体" w:cs="宋体"/>
          <w:b/>
          <w:bCs/>
          <w:color w:val="auto"/>
          <w:kern w:val="2"/>
          <w:sz w:val="21"/>
          <w:szCs w:val="21"/>
          <w:highlight w:val="none"/>
          <w:lang w:val="zh-CN"/>
        </w:rPr>
      </w:pPr>
      <w:r>
        <w:rPr>
          <w:rFonts w:hint="eastAsia" w:ascii="宋体" w:hAnsi="宋体" w:cs="宋体"/>
          <w:b/>
          <w:bCs/>
          <w:color w:val="auto"/>
          <w:kern w:val="2"/>
          <w:sz w:val="21"/>
          <w:szCs w:val="21"/>
          <w:highlight w:val="none"/>
          <w:lang w:val="zh-CN"/>
        </w:rPr>
        <w:t>对是否超出企业成本价报价的事宜有争议的</w:t>
      </w:r>
      <w:r>
        <w:rPr>
          <w:rFonts w:hint="eastAsia" w:ascii="宋体" w:hAnsi="宋体" w:cs="宋体"/>
          <w:b/>
          <w:bCs/>
          <w:color w:val="auto"/>
          <w:kern w:val="2"/>
          <w:sz w:val="21"/>
          <w:szCs w:val="21"/>
          <w:highlight w:val="none"/>
        </w:rPr>
        <w:t>响应</w:t>
      </w:r>
      <w:r>
        <w:rPr>
          <w:rFonts w:hint="eastAsia" w:ascii="宋体" w:hAnsi="宋体" w:cs="宋体"/>
          <w:b/>
          <w:bCs/>
          <w:color w:val="auto"/>
          <w:kern w:val="2"/>
          <w:sz w:val="21"/>
          <w:szCs w:val="21"/>
          <w:highlight w:val="none"/>
          <w:lang w:val="zh-CN"/>
        </w:rPr>
        <w:t>文件，</w:t>
      </w:r>
      <w:r>
        <w:rPr>
          <w:rFonts w:hint="eastAsia" w:ascii="宋体" w:hAnsi="宋体" w:cs="宋体"/>
          <w:b/>
          <w:bCs/>
          <w:color w:val="auto"/>
          <w:kern w:val="2"/>
          <w:sz w:val="21"/>
          <w:szCs w:val="21"/>
          <w:highlight w:val="none"/>
        </w:rPr>
        <w:t>谈判小组</w:t>
      </w:r>
      <w:r>
        <w:rPr>
          <w:rFonts w:hint="eastAsia" w:ascii="宋体" w:hAnsi="宋体" w:cs="宋体"/>
          <w:b/>
          <w:bCs/>
          <w:color w:val="auto"/>
          <w:kern w:val="2"/>
          <w:sz w:val="21"/>
          <w:szCs w:val="21"/>
          <w:highlight w:val="none"/>
          <w:lang w:val="zh-CN"/>
        </w:rPr>
        <w:t>成员将以记名方式表决，</w:t>
      </w:r>
      <w:r>
        <w:rPr>
          <w:rFonts w:hint="eastAsia" w:ascii="宋体" w:hAnsi="宋体" w:cs="宋体"/>
          <w:b/>
          <w:bCs/>
          <w:color w:val="auto"/>
          <w:kern w:val="2"/>
          <w:sz w:val="21"/>
          <w:szCs w:val="21"/>
          <w:highlight w:val="none"/>
        </w:rPr>
        <w:t>根据少数服从</w:t>
      </w:r>
      <w:r>
        <w:rPr>
          <w:rFonts w:hint="eastAsia" w:ascii="宋体" w:hAnsi="宋体" w:cs="宋体"/>
          <w:b/>
          <w:bCs/>
          <w:color w:val="auto"/>
          <w:kern w:val="2"/>
          <w:sz w:val="21"/>
          <w:szCs w:val="21"/>
          <w:highlight w:val="none"/>
          <w:lang w:val="zh-CN"/>
        </w:rPr>
        <w:t>多数</w:t>
      </w:r>
      <w:r>
        <w:rPr>
          <w:rFonts w:hint="eastAsia" w:ascii="宋体" w:hAnsi="宋体" w:cs="宋体"/>
          <w:b/>
          <w:bCs/>
          <w:color w:val="auto"/>
          <w:kern w:val="2"/>
          <w:sz w:val="21"/>
          <w:szCs w:val="21"/>
          <w:highlight w:val="none"/>
        </w:rPr>
        <w:t>的原则，获多数表决通过</w:t>
      </w:r>
      <w:r>
        <w:rPr>
          <w:rFonts w:hint="eastAsia" w:ascii="宋体" w:hAnsi="宋体" w:cs="宋体"/>
          <w:b/>
          <w:bCs/>
          <w:color w:val="auto"/>
          <w:kern w:val="2"/>
          <w:sz w:val="21"/>
          <w:szCs w:val="21"/>
          <w:highlight w:val="none"/>
          <w:lang w:val="zh-CN"/>
        </w:rPr>
        <w:t>的</w:t>
      </w:r>
      <w:r>
        <w:rPr>
          <w:rFonts w:hint="eastAsia" w:ascii="宋体" w:hAnsi="宋体" w:cs="宋体"/>
          <w:b/>
          <w:bCs/>
          <w:color w:val="auto"/>
          <w:kern w:val="2"/>
          <w:sz w:val="21"/>
          <w:szCs w:val="21"/>
          <w:highlight w:val="none"/>
        </w:rPr>
        <w:t>供应商</w:t>
      </w:r>
      <w:r>
        <w:rPr>
          <w:rFonts w:hint="eastAsia" w:ascii="宋体" w:hAnsi="宋体" w:cs="宋体"/>
          <w:b/>
          <w:bCs/>
          <w:color w:val="auto"/>
          <w:kern w:val="2"/>
          <w:sz w:val="21"/>
          <w:szCs w:val="21"/>
          <w:highlight w:val="none"/>
          <w:lang w:val="zh-CN"/>
        </w:rPr>
        <w:t>才有资格进入下一阶段的评审，否则将按无效</w:t>
      </w:r>
      <w:r>
        <w:rPr>
          <w:rFonts w:hint="eastAsia" w:ascii="宋体" w:hAnsi="宋体" w:cs="宋体"/>
          <w:b/>
          <w:bCs/>
          <w:color w:val="auto"/>
          <w:kern w:val="2"/>
          <w:sz w:val="21"/>
          <w:szCs w:val="21"/>
          <w:highlight w:val="none"/>
        </w:rPr>
        <w:t>响应</w:t>
      </w:r>
      <w:r>
        <w:rPr>
          <w:rFonts w:hint="eastAsia" w:ascii="宋体" w:hAnsi="宋体" w:cs="宋体"/>
          <w:b/>
          <w:bCs/>
          <w:color w:val="auto"/>
          <w:kern w:val="2"/>
          <w:sz w:val="21"/>
          <w:szCs w:val="21"/>
          <w:highlight w:val="none"/>
          <w:lang w:val="zh-CN"/>
        </w:rPr>
        <w:t>处理。</w:t>
      </w:r>
    </w:p>
    <w:p w14:paraId="36FCCBA4">
      <w:pPr>
        <w:tabs>
          <w:tab w:val="left" w:pos="142"/>
        </w:tabs>
        <w:spacing w:line="360" w:lineRule="auto"/>
        <w:ind w:left="533" w:hanging="533"/>
        <w:jc w:val="both"/>
        <w:rPr>
          <w:rFonts w:ascii="宋体" w:hAnsi="宋体" w:cs="宋体"/>
          <w:color w:val="auto"/>
          <w:kern w:val="2"/>
          <w:sz w:val="21"/>
          <w:szCs w:val="21"/>
          <w:highlight w:val="none"/>
        </w:rPr>
      </w:pPr>
      <w:r>
        <w:rPr>
          <w:rFonts w:hint="eastAsia" w:ascii="宋体" w:hAnsi="宋体" w:cs="宋体"/>
          <w:b/>
          <w:bCs/>
          <w:color w:val="auto"/>
          <w:kern w:val="2"/>
          <w:sz w:val="21"/>
          <w:szCs w:val="21"/>
          <w:highlight w:val="none"/>
          <w:lang w:val="zh-CN"/>
        </w:rPr>
        <w:t xml:space="preserve">11.2 </w:t>
      </w:r>
      <w:r>
        <w:rPr>
          <w:rFonts w:hint="eastAsia" w:ascii="宋体" w:hAnsi="宋体" w:cs="宋体"/>
          <w:b/>
          <w:color w:val="auto"/>
          <w:kern w:val="2"/>
          <w:sz w:val="21"/>
          <w:szCs w:val="21"/>
          <w:highlight w:val="none"/>
          <w:u w:val="single"/>
          <w:lang w:val="zh-CN"/>
        </w:rPr>
        <w:t>本项目</w:t>
      </w:r>
      <w:r>
        <w:rPr>
          <w:rFonts w:hint="eastAsia" w:ascii="宋体" w:hAnsi="宋体" w:cs="宋体"/>
          <w:b/>
          <w:color w:val="auto"/>
          <w:kern w:val="2"/>
          <w:sz w:val="21"/>
          <w:szCs w:val="21"/>
          <w:highlight w:val="none"/>
          <w:u w:val="single"/>
        </w:rPr>
        <w:t>响应</w:t>
      </w:r>
      <w:r>
        <w:rPr>
          <w:rFonts w:hint="eastAsia" w:ascii="宋体" w:hAnsi="宋体" w:cs="宋体"/>
          <w:b/>
          <w:color w:val="auto"/>
          <w:kern w:val="2"/>
          <w:sz w:val="21"/>
          <w:szCs w:val="21"/>
          <w:highlight w:val="none"/>
          <w:u w:val="single"/>
          <w:lang w:val="zh-CN"/>
        </w:rPr>
        <w:t>报价为含税价，符合《中华人民共和国增值税暂行条例》（国务院令第691号修订版）的规定</w:t>
      </w:r>
      <w:r>
        <w:rPr>
          <w:rFonts w:hint="eastAsia" w:ascii="宋体" w:hAnsi="宋体" w:cs="宋体"/>
          <w:color w:val="auto"/>
          <w:kern w:val="2"/>
          <w:sz w:val="21"/>
          <w:szCs w:val="21"/>
          <w:highlight w:val="none"/>
          <w:lang w:val="zh-CN"/>
        </w:rPr>
        <w:t>。本采购项目的电费税额由采购人承担。</w:t>
      </w:r>
    </w:p>
    <w:p w14:paraId="1B1D339D">
      <w:pPr>
        <w:tabs>
          <w:tab w:val="left" w:pos="142"/>
        </w:tabs>
        <w:spacing w:line="360" w:lineRule="auto"/>
        <w:ind w:left="533" w:hanging="533"/>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 xml:space="preserve">11.3 </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cs="宋体"/>
          <w:color w:val="auto"/>
          <w:kern w:val="2"/>
          <w:sz w:val="21"/>
          <w:szCs w:val="21"/>
          <w:highlight w:val="none"/>
          <w:lang w:val="zh-CN"/>
        </w:rPr>
        <w:t>第11.2款</w:t>
      </w:r>
      <w:r>
        <w:rPr>
          <w:rFonts w:hint="eastAsia" w:ascii="宋体" w:hAnsi="宋体" w:cs="宋体"/>
          <w:color w:val="auto"/>
          <w:kern w:val="2"/>
          <w:sz w:val="21"/>
          <w:szCs w:val="21"/>
          <w:highlight w:val="none"/>
          <w:lang w:val="zh-CN"/>
        </w:rPr>
        <w:fldChar w:fldCharType="end"/>
      </w:r>
      <w:r>
        <w:rPr>
          <w:rFonts w:hint="eastAsia" w:ascii="宋体" w:hAnsi="宋体" w:cs="宋体"/>
          <w:color w:val="auto"/>
          <w:kern w:val="2"/>
          <w:sz w:val="21"/>
          <w:szCs w:val="21"/>
          <w:highlight w:val="none"/>
          <w:lang w:val="zh-CN"/>
        </w:rPr>
        <w:t>所报的价格分项仅供</w:t>
      </w:r>
      <w:r>
        <w:rPr>
          <w:rFonts w:hint="eastAsia" w:ascii="宋体" w:hAnsi="宋体" w:cs="宋体"/>
          <w:color w:val="auto"/>
          <w:kern w:val="2"/>
          <w:sz w:val="21"/>
          <w:szCs w:val="21"/>
          <w:highlight w:val="none"/>
        </w:rPr>
        <w:t>谈判小组</w:t>
      </w:r>
      <w:r>
        <w:rPr>
          <w:rFonts w:hint="eastAsia" w:ascii="宋体" w:hAnsi="宋体" w:cs="宋体"/>
          <w:color w:val="auto"/>
          <w:kern w:val="2"/>
          <w:sz w:val="21"/>
          <w:szCs w:val="21"/>
          <w:highlight w:val="none"/>
          <w:lang w:val="zh-CN"/>
        </w:rPr>
        <w:t>评审时使用；在任何情况下不限制</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以不同的条件</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的权利。</w:t>
      </w:r>
    </w:p>
    <w:p w14:paraId="4A51CA21">
      <w:pPr>
        <w:tabs>
          <w:tab w:val="left" w:pos="142"/>
        </w:tabs>
        <w:spacing w:line="360" w:lineRule="auto"/>
        <w:ind w:left="533" w:hanging="533"/>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11.4 在合同期间，</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 xml:space="preserve">报价不随国家政策或法规、标准、市场因素及采购数量的变化而进行调整。 </w:t>
      </w:r>
    </w:p>
    <w:p w14:paraId="3EC42164">
      <w:pPr>
        <w:tabs>
          <w:tab w:val="left" w:pos="142"/>
        </w:tabs>
        <w:spacing w:line="360" w:lineRule="auto"/>
        <w:ind w:left="533" w:hanging="533"/>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 xml:space="preserve">11.5 </w:t>
      </w:r>
      <w:r>
        <w:rPr>
          <w:rFonts w:hint="eastAsia" w:ascii="宋体" w:hAnsi="宋体" w:cs="宋体"/>
          <w:b/>
          <w:bCs/>
          <w:color w:val="auto"/>
          <w:kern w:val="2"/>
          <w:sz w:val="21"/>
          <w:szCs w:val="21"/>
          <w:highlight w:val="none"/>
          <w:u w:val="single"/>
          <w:lang w:val="zh-CN"/>
        </w:rPr>
        <w:t>合同项下，</w:t>
      </w:r>
      <w:r>
        <w:rPr>
          <w:rFonts w:hint="eastAsia" w:ascii="宋体" w:hAnsi="宋体" w:cs="宋体"/>
          <w:b/>
          <w:bCs/>
          <w:color w:val="auto"/>
          <w:kern w:val="2"/>
          <w:sz w:val="21"/>
          <w:szCs w:val="21"/>
          <w:highlight w:val="none"/>
          <w:u w:val="single"/>
        </w:rPr>
        <w:t>采购</w:t>
      </w:r>
      <w:r>
        <w:rPr>
          <w:rFonts w:hint="eastAsia" w:ascii="宋体" w:hAnsi="宋体" w:cs="宋体"/>
          <w:b/>
          <w:bCs/>
          <w:color w:val="auto"/>
          <w:kern w:val="2"/>
          <w:sz w:val="21"/>
          <w:szCs w:val="21"/>
          <w:highlight w:val="none"/>
          <w:u w:val="single"/>
          <w:lang w:val="zh-CN"/>
        </w:rPr>
        <w:t>人需要的相关服务所需的费用，</w:t>
      </w:r>
      <w:r>
        <w:rPr>
          <w:rFonts w:hint="eastAsia" w:ascii="宋体" w:hAnsi="宋体" w:cs="宋体"/>
          <w:b/>
          <w:bCs/>
          <w:color w:val="auto"/>
          <w:kern w:val="2"/>
          <w:sz w:val="21"/>
          <w:szCs w:val="21"/>
          <w:highlight w:val="none"/>
          <w:u w:val="single"/>
        </w:rPr>
        <w:t>供应商</w:t>
      </w:r>
      <w:r>
        <w:rPr>
          <w:rFonts w:hint="eastAsia" w:ascii="宋体" w:hAnsi="宋体" w:cs="宋体"/>
          <w:b/>
          <w:bCs/>
          <w:color w:val="auto"/>
          <w:kern w:val="2"/>
          <w:sz w:val="21"/>
          <w:szCs w:val="21"/>
          <w:highlight w:val="none"/>
          <w:u w:val="single"/>
          <w:lang w:val="zh-CN"/>
        </w:rPr>
        <w:t>都应计入</w:t>
      </w:r>
      <w:r>
        <w:rPr>
          <w:rFonts w:hint="eastAsia" w:ascii="宋体" w:hAnsi="宋体" w:cs="宋体"/>
          <w:b/>
          <w:bCs/>
          <w:color w:val="auto"/>
          <w:kern w:val="2"/>
          <w:sz w:val="21"/>
          <w:szCs w:val="21"/>
          <w:highlight w:val="none"/>
          <w:u w:val="single"/>
        </w:rPr>
        <w:t>响应</w:t>
      </w:r>
      <w:r>
        <w:rPr>
          <w:rFonts w:hint="eastAsia" w:ascii="宋体" w:hAnsi="宋体" w:cs="宋体"/>
          <w:b/>
          <w:bCs/>
          <w:color w:val="auto"/>
          <w:kern w:val="2"/>
          <w:sz w:val="21"/>
          <w:szCs w:val="21"/>
          <w:highlight w:val="none"/>
          <w:u w:val="single"/>
          <w:lang w:val="zh-CN"/>
        </w:rPr>
        <w:t>报价</w:t>
      </w:r>
      <w:r>
        <w:rPr>
          <w:rFonts w:hint="eastAsia" w:ascii="宋体" w:hAnsi="宋体" w:cs="宋体"/>
          <w:b/>
          <w:bCs/>
          <w:color w:val="auto"/>
          <w:kern w:val="2"/>
          <w:sz w:val="21"/>
          <w:szCs w:val="21"/>
          <w:highlight w:val="none"/>
          <w:lang w:val="zh-CN"/>
        </w:rPr>
        <w:t>。</w:t>
      </w:r>
    </w:p>
    <w:p w14:paraId="0541C529">
      <w:pPr>
        <w:tabs>
          <w:tab w:val="left" w:pos="142"/>
        </w:tabs>
        <w:spacing w:line="360" w:lineRule="auto"/>
        <w:ind w:left="533" w:hanging="533"/>
        <w:jc w:val="both"/>
        <w:rPr>
          <w:rFonts w:ascii="宋体" w:hAnsi="宋体" w:cs="宋体"/>
          <w:color w:val="auto"/>
          <w:kern w:val="2"/>
          <w:sz w:val="21"/>
          <w:szCs w:val="21"/>
          <w:highlight w:val="none"/>
          <w:u w:val="single"/>
        </w:rPr>
      </w:pPr>
      <w:r>
        <w:rPr>
          <w:rFonts w:hint="eastAsia" w:ascii="宋体" w:hAnsi="宋体" w:cs="宋体"/>
          <w:color w:val="auto"/>
          <w:kern w:val="2"/>
          <w:sz w:val="21"/>
          <w:szCs w:val="21"/>
          <w:highlight w:val="none"/>
          <w:lang w:val="zh-CN"/>
        </w:rPr>
        <w:t xml:space="preserve">11.6 </w:t>
      </w:r>
      <w:r>
        <w:rPr>
          <w:rFonts w:hint="eastAsia" w:ascii="宋体" w:hAnsi="宋体" w:cs="宋体"/>
          <w:color w:val="auto"/>
          <w:kern w:val="2"/>
          <w:sz w:val="21"/>
          <w:szCs w:val="21"/>
          <w:highlight w:val="none"/>
          <w:u w:val="single"/>
        </w:rPr>
        <w:t>本项目交易模式：按照“固定价格+联动价格+浮动费用”的模式参与交易并签订零售合同，其中：①</w:t>
      </w:r>
      <w:r>
        <w:rPr>
          <w:rFonts w:hint="eastAsia" w:ascii="宋体" w:hAnsi="宋体" w:cs="宋体"/>
          <w:b/>
          <w:bCs/>
          <w:color w:val="auto"/>
          <w:kern w:val="2"/>
          <w:sz w:val="21"/>
          <w:szCs w:val="21"/>
          <w:highlight w:val="none"/>
          <w:u w:val="single"/>
        </w:rPr>
        <w:t>用电方实际用电量的80%</w:t>
      </w:r>
      <w:r>
        <w:rPr>
          <w:rFonts w:hint="eastAsia" w:ascii="宋体" w:hAnsi="宋体" w:cs="宋体"/>
          <w:color w:val="auto"/>
          <w:kern w:val="2"/>
          <w:sz w:val="21"/>
          <w:szCs w:val="21"/>
          <w:highlight w:val="none"/>
          <w:u w:val="single"/>
        </w:rPr>
        <w:t>采用“2025年度零售交易全市场用户‘固定价格’模式部分的签约均价-中标下浮单价”与“403.67厘/千瓦时”二者间的较低值；②</w:t>
      </w:r>
      <w:r>
        <w:rPr>
          <w:rFonts w:hint="eastAsia" w:ascii="宋体" w:hAnsi="宋体" w:cs="宋体"/>
          <w:b/>
          <w:bCs/>
          <w:color w:val="auto"/>
          <w:kern w:val="2"/>
          <w:sz w:val="21"/>
          <w:szCs w:val="21"/>
          <w:highlight w:val="none"/>
          <w:u w:val="single"/>
        </w:rPr>
        <w:t>用电方实际用电量的20%</w:t>
      </w:r>
      <w:r>
        <w:rPr>
          <w:rFonts w:hint="eastAsia" w:ascii="宋体" w:hAnsi="宋体" w:cs="宋体"/>
          <w:color w:val="auto"/>
          <w:kern w:val="2"/>
          <w:sz w:val="21"/>
          <w:szCs w:val="21"/>
          <w:highlight w:val="none"/>
          <w:u w:val="single"/>
        </w:rPr>
        <w:t>为“联动价格”模式部分，采用日前市场月度综合价（含批发市场分摊费用）；③</w:t>
      </w:r>
      <w:r>
        <w:rPr>
          <w:rFonts w:hint="eastAsia" w:ascii="宋体" w:hAnsi="宋体" w:cs="宋体"/>
          <w:b/>
          <w:bCs/>
          <w:color w:val="auto"/>
          <w:kern w:val="2"/>
          <w:sz w:val="21"/>
          <w:szCs w:val="21"/>
          <w:highlight w:val="none"/>
          <w:u w:val="single"/>
        </w:rPr>
        <w:t>浮动费用</w:t>
      </w:r>
      <w:r>
        <w:rPr>
          <w:rFonts w:hint="eastAsia" w:ascii="宋体" w:hAnsi="宋体" w:cs="宋体"/>
          <w:color w:val="auto"/>
          <w:kern w:val="2"/>
          <w:sz w:val="21"/>
          <w:szCs w:val="21"/>
          <w:highlight w:val="none"/>
          <w:u w:val="single"/>
        </w:rPr>
        <w:t>为0，即不计收浮动费用。</w:t>
      </w:r>
    </w:p>
    <w:p w14:paraId="4735627A">
      <w:pPr>
        <w:tabs>
          <w:tab w:val="left" w:pos="142"/>
        </w:tabs>
        <w:spacing w:line="360" w:lineRule="auto"/>
        <w:ind w:left="626" w:leftChars="261" w:firstLine="401" w:firstLineChars="191"/>
        <w:jc w:val="both"/>
        <w:rPr>
          <w:rFonts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其中“日前市场月度综合价”以广东电力交易中心每月公布数据为准。售电方承担用电方100%偏差考核电费及交易中心收取的交易手续费。2025年电力交易手续费全部由售电方承担。用电方不承担申报电量偏差考核的一切后果。因偏差电量而产生的考核电费全部由售电方自行承担。</w:t>
      </w:r>
    </w:p>
    <w:p w14:paraId="660FBF14">
      <w:pPr>
        <w:tabs>
          <w:tab w:val="left" w:pos="142"/>
        </w:tabs>
        <w:spacing w:line="360" w:lineRule="auto"/>
        <w:ind w:left="533" w:hanging="533"/>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11.7 供应商应按“2025年度零售交易全市场用户‘固定价格’模式部分的签约均价”的下浮单价（单位：厘/千瓦时）报价，</w:t>
      </w:r>
      <w:r>
        <w:rPr>
          <w:rFonts w:hint="eastAsia" w:ascii="宋体" w:hAnsi="宋体" w:cs="宋体"/>
          <w:b/>
          <w:bCs/>
          <w:color w:val="auto"/>
          <w:kern w:val="2"/>
          <w:sz w:val="21"/>
          <w:szCs w:val="21"/>
          <w:highlight w:val="none"/>
          <w:lang w:val="zh-CN"/>
        </w:rPr>
        <w:t>最低限价为</w:t>
      </w:r>
      <w:r>
        <w:rPr>
          <w:rFonts w:ascii="宋体" w:hAnsi="宋体" w:cs="宋体"/>
          <w:b/>
          <w:bCs/>
          <w:color w:val="auto"/>
          <w:kern w:val="2"/>
          <w:sz w:val="21"/>
          <w:szCs w:val="21"/>
          <w:highlight w:val="none"/>
          <w:lang w:val="zh-CN"/>
        </w:rPr>
        <w:t>0.00</w:t>
      </w:r>
      <w:r>
        <w:rPr>
          <w:rFonts w:hint="eastAsia" w:ascii="宋体" w:hAnsi="宋体" w:cs="宋体"/>
          <w:b/>
          <w:bCs/>
          <w:color w:val="auto"/>
          <w:kern w:val="2"/>
          <w:sz w:val="21"/>
          <w:szCs w:val="21"/>
          <w:highlight w:val="none"/>
          <w:lang w:val="zh-CN"/>
        </w:rPr>
        <w:t>厘/千瓦时，即下浮单价应报价为</w:t>
      </w:r>
      <w:r>
        <w:rPr>
          <w:rFonts w:ascii="宋体" w:hAnsi="宋体" w:cs="宋体"/>
          <w:b/>
          <w:bCs/>
          <w:color w:val="auto"/>
          <w:kern w:val="2"/>
          <w:sz w:val="21"/>
          <w:szCs w:val="21"/>
          <w:highlight w:val="none"/>
          <w:lang w:val="zh-CN"/>
        </w:rPr>
        <w:t>0.00</w:t>
      </w:r>
      <w:r>
        <w:rPr>
          <w:rFonts w:hint="eastAsia" w:ascii="宋体" w:hAnsi="宋体" w:cs="宋体"/>
          <w:b/>
          <w:bCs/>
          <w:color w:val="auto"/>
          <w:kern w:val="2"/>
          <w:sz w:val="21"/>
          <w:szCs w:val="21"/>
          <w:highlight w:val="none"/>
          <w:lang w:val="zh-CN"/>
        </w:rPr>
        <w:t>或正值</w:t>
      </w:r>
      <w:r>
        <w:rPr>
          <w:rFonts w:hint="eastAsia" w:ascii="宋体" w:hAnsi="宋体" w:cs="宋体"/>
          <w:color w:val="auto"/>
          <w:kern w:val="2"/>
          <w:sz w:val="21"/>
          <w:szCs w:val="21"/>
          <w:highlight w:val="none"/>
          <w:lang w:val="zh-CN"/>
        </w:rPr>
        <w:t>。</w:t>
      </w:r>
    </w:p>
    <w:p w14:paraId="05225D87">
      <w:pPr>
        <w:tabs>
          <w:tab w:val="left" w:pos="142"/>
        </w:tabs>
        <w:spacing w:line="360" w:lineRule="auto"/>
        <w:ind w:left="703" w:leftChars="293" w:firstLine="369" w:firstLineChars="176"/>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供应商未按本文件要求进行下浮单价报价的，该供应商的响应文件将被视为无效响应。</w:t>
      </w:r>
      <w:r>
        <w:rPr>
          <w:rFonts w:hint="eastAsia" w:ascii="宋体" w:hAnsi="宋体" w:cs="宋体"/>
          <w:b/>
          <w:color w:val="auto"/>
          <w:kern w:val="2"/>
          <w:sz w:val="21"/>
          <w:szCs w:val="21"/>
          <w:highlight w:val="none"/>
          <w:lang w:val="zh-CN"/>
        </w:rPr>
        <w:t>报价保留小数点后两位</w:t>
      </w:r>
      <w:r>
        <w:rPr>
          <w:rFonts w:hint="eastAsia" w:ascii="宋体" w:hAnsi="宋体" w:cs="宋体"/>
          <w:color w:val="auto"/>
          <w:kern w:val="2"/>
          <w:sz w:val="21"/>
          <w:szCs w:val="21"/>
          <w:highlight w:val="none"/>
          <w:lang w:val="zh-CN"/>
        </w:rPr>
        <w:t>，否则</w:t>
      </w:r>
      <w:r>
        <w:rPr>
          <w:rFonts w:hint="eastAsia" w:ascii="宋体" w:hAnsi="宋体" w:cs="宋体"/>
          <w:color w:val="auto"/>
          <w:kern w:val="2"/>
          <w:sz w:val="21"/>
          <w:szCs w:val="21"/>
          <w:highlight w:val="none"/>
        </w:rPr>
        <w:t>谈判小组</w:t>
      </w:r>
      <w:r>
        <w:rPr>
          <w:rFonts w:hint="eastAsia" w:ascii="宋体" w:hAnsi="宋体" w:cs="宋体"/>
          <w:color w:val="auto"/>
          <w:kern w:val="2"/>
          <w:sz w:val="21"/>
          <w:szCs w:val="21"/>
          <w:highlight w:val="none"/>
          <w:lang w:val="zh-CN"/>
        </w:rPr>
        <w:t>会按去“尾”或补“零”的方式进行修正为保留小数点后两位，供应商须接受被修正后的报价（例：如下浮单价为</w:t>
      </w:r>
      <w:r>
        <w:rPr>
          <w:rFonts w:hint="eastAsia" w:ascii="宋体" w:hAnsi="宋体" w:cs="宋体"/>
          <w:color w:val="auto"/>
          <w:kern w:val="2"/>
          <w:sz w:val="21"/>
          <w:szCs w:val="21"/>
          <w:highlight w:val="none"/>
        </w:rPr>
        <w:t>12</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345</w:t>
      </w:r>
      <w:r>
        <w:rPr>
          <w:rFonts w:hint="eastAsia" w:ascii="宋体" w:hAnsi="宋体" w:cs="宋体"/>
          <w:color w:val="auto"/>
          <w:kern w:val="2"/>
          <w:sz w:val="21"/>
          <w:szCs w:val="21"/>
          <w:highlight w:val="none"/>
          <w:lang w:val="zh-CN"/>
        </w:rPr>
        <w:t>厘/千瓦时，则被修正为</w:t>
      </w:r>
      <w:r>
        <w:rPr>
          <w:rFonts w:hint="eastAsia" w:ascii="宋体" w:hAnsi="宋体" w:cs="宋体"/>
          <w:color w:val="auto"/>
          <w:kern w:val="2"/>
          <w:sz w:val="21"/>
          <w:szCs w:val="21"/>
          <w:highlight w:val="none"/>
        </w:rPr>
        <w:t>12</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34</w:t>
      </w:r>
      <w:r>
        <w:rPr>
          <w:rFonts w:hint="eastAsia" w:ascii="宋体" w:hAnsi="宋体" w:cs="宋体"/>
          <w:color w:val="auto"/>
          <w:kern w:val="2"/>
          <w:sz w:val="21"/>
          <w:szCs w:val="21"/>
          <w:highlight w:val="none"/>
          <w:lang w:val="zh-CN"/>
        </w:rPr>
        <w:t>厘/千瓦时；如下浮单价为</w:t>
      </w:r>
      <w:r>
        <w:rPr>
          <w:rFonts w:hint="eastAsia" w:ascii="宋体" w:hAnsi="宋体" w:cs="宋体"/>
          <w:color w:val="auto"/>
          <w:kern w:val="2"/>
          <w:sz w:val="21"/>
          <w:szCs w:val="21"/>
          <w:highlight w:val="none"/>
        </w:rPr>
        <w:t>12.3</w:t>
      </w:r>
      <w:r>
        <w:rPr>
          <w:rFonts w:hint="eastAsia" w:ascii="宋体" w:hAnsi="宋体" w:cs="宋体"/>
          <w:color w:val="auto"/>
          <w:kern w:val="2"/>
          <w:sz w:val="21"/>
          <w:szCs w:val="21"/>
          <w:highlight w:val="none"/>
          <w:lang w:val="zh-CN"/>
        </w:rPr>
        <w:t>厘/千瓦时，则被修正为</w:t>
      </w:r>
      <w:r>
        <w:rPr>
          <w:rFonts w:hint="eastAsia" w:ascii="宋体" w:hAnsi="宋体" w:cs="宋体"/>
          <w:color w:val="auto"/>
          <w:kern w:val="2"/>
          <w:sz w:val="21"/>
          <w:szCs w:val="21"/>
          <w:highlight w:val="none"/>
        </w:rPr>
        <w:t>12.30</w:t>
      </w:r>
      <w:r>
        <w:rPr>
          <w:rFonts w:hint="eastAsia" w:ascii="宋体" w:hAnsi="宋体" w:cs="宋体"/>
          <w:color w:val="auto"/>
          <w:kern w:val="2"/>
          <w:sz w:val="21"/>
          <w:szCs w:val="21"/>
          <w:highlight w:val="none"/>
          <w:lang w:val="zh-CN"/>
        </w:rPr>
        <w:t>厘/千瓦时）。</w:t>
      </w:r>
    </w:p>
    <w:p w14:paraId="126AAFCE">
      <w:pPr>
        <w:tabs>
          <w:tab w:val="left" w:pos="142"/>
        </w:tabs>
        <w:spacing w:line="360" w:lineRule="auto"/>
        <w:ind w:left="532" w:hanging="532"/>
        <w:jc w:val="both"/>
        <w:rPr>
          <w:rFonts w:ascii="宋体" w:hAnsi="宋体" w:cs="宋体"/>
          <w:b/>
          <w:bCs/>
          <w:color w:val="auto"/>
          <w:sz w:val="21"/>
          <w:highlight w:val="none"/>
          <w:u w:val="single"/>
        </w:rPr>
      </w:pPr>
    </w:p>
    <w:p w14:paraId="21E72850">
      <w:pPr>
        <w:spacing w:line="360" w:lineRule="auto"/>
        <w:ind w:left="567" w:hanging="567"/>
        <w:jc w:val="both"/>
        <w:outlineLvl w:val="2"/>
        <w:rPr>
          <w:rFonts w:ascii="宋体" w:hAnsi="宋体" w:cs="宋体"/>
          <w:b/>
          <w:bCs/>
          <w:color w:val="auto"/>
          <w:kern w:val="2"/>
          <w:sz w:val="21"/>
          <w:szCs w:val="21"/>
          <w:highlight w:val="none"/>
          <w:lang w:val="zh-CN"/>
        </w:rPr>
      </w:pPr>
      <w:bookmarkStart w:id="64" w:name="_Toc16084"/>
      <w:bookmarkStart w:id="65" w:name="_Toc450662862"/>
      <w:bookmarkStart w:id="66" w:name="_Toc521918079"/>
      <w:r>
        <w:rPr>
          <w:rFonts w:hint="eastAsia" w:ascii="宋体" w:hAnsi="宋体" w:cs="宋体"/>
          <w:b/>
          <w:bCs/>
          <w:color w:val="auto"/>
          <w:kern w:val="2"/>
          <w:sz w:val="21"/>
          <w:szCs w:val="21"/>
          <w:highlight w:val="none"/>
          <w:lang w:val="zh-CN"/>
        </w:rPr>
        <w:t>12</w:t>
      </w:r>
      <w:r>
        <w:rPr>
          <w:rFonts w:hint="eastAsia" w:ascii="宋体" w:hAnsi="宋体" w:cs="宋体"/>
          <w:b/>
          <w:bCs/>
          <w:color w:val="auto"/>
          <w:kern w:val="2"/>
          <w:sz w:val="21"/>
          <w:szCs w:val="21"/>
          <w:highlight w:val="none"/>
        </w:rPr>
        <w:t xml:space="preserve"> </w:t>
      </w:r>
      <w:r>
        <w:rPr>
          <w:rFonts w:hint="eastAsia" w:ascii="宋体" w:hAnsi="宋体" w:cs="宋体"/>
          <w:b/>
          <w:bCs/>
          <w:color w:val="auto"/>
          <w:kern w:val="2"/>
          <w:sz w:val="21"/>
          <w:szCs w:val="21"/>
          <w:highlight w:val="none"/>
          <w:lang w:val="zh-CN"/>
        </w:rPr>
        <w:t>响应报价货币</w:t>
      </w:r>
      <w:bookmarkEnd w:id="64"/>
      <w:bookmarkEnd w:id="65"/>
      <w:bookmarkEnd w:id="66"/>
    </w:p>
    <w:p w14:paraId="3C023A90">
      <w:pPr>
        <w:spacing w:line="360" w:lineRule="auto"/>
        <w:ind w:left="540" w:hanging="15"/>
        <w:jc w:val="both"/>
        <w:rPr>
          <w:rFonts w:ascii="宋体" w:hAnsi="宋体" w:cs="宋体"/>
          <w:b/>
          <w:bCs/>
          <w:color w:val="auto"/>
          <w:kern w:val="2"/>
          <w:sz w:val="21"/>
          <w:szCs w:val="21"/>
          <w:highlight w:val="none"/>
          <w:lang w:val="zh-CN"/>
        </w:rPr>
      </w:pPr>
      <w:r>
        <w:rPr>
          <w:rFonts w:hint="eastAsia" w:ascii="宋体" w:hAnsi="宋体" w:cs="宋体"/>
          <w:b/>
          <w:bCs/>
          <w:color w:val="auto"/>
          <w:kern w:val="2"/>
          <w:sz w:val="21"/>
          <w:szCs w:val="21"/>
          <w:highlight w:val="none"/>
          <w:u w:val="single"/>
          <w:lang w:val="zh-CN"/>
        </w:rPr>
        <w:t>响应报价表上的价格须以人民币报价，以其它货币标价的报价将予以拒绝</w:t>
      </w:r>
      <w:r>
        <w:rPr>
          <w:rFonts w:hint="eastAsia" w:ascii="宋体" w:hAnsi="宋体" w:cs="宋体"/>
          <w:b/>
          <w:bCs/>
          <w:color w:val="auto"/>
          <w:kern w:val="2"/>
          <w:sz w:val="21"/>
          <w:szCs w:val="21"/>
          <w:highlight w:val="none"/>
          <w:lang w:val="zh-CN"/>
        </w:rPr>
        <w:t>。</w:t>
      </w:r>
    </w:p>
    <w:p w14:paraId="3C8D7450">
      <w:pPr>
        <w:spacing w:line="360" w:lineRule="auto"/>
        <w:ind w:left="540" w:hanging="15"/>
        <w:jc w:val="both"/>
        <w:rPr>
          <w:rFonts w:ascii="宋体" w:hAnsi="宋体" w:cs="宋体"/>
          <w:color w:val="auto"/>
          <w:kern w:val="2"/>
          <w:sz w:val="21"/>
          <w:szCs w:val="21"/>
          <w:highlight w:val="none"/>
          <w:lang w:val="zh-CN"/>
        </w:rPr>
      </w:pPr>
    </w:p>
    <w:p w14:paraId="19B3FE47">
      <w:pPr>
        <w:tabs>
          <w:tab w:val="left" w:pos="570"/>
        </w:tabs>
        <w:spacing w:line="360" w:lineRule="auto"/>
        <w:ind w:left="567" w:hanging="567"/>
        <w:jc w:val="both"/>
        <w:outlineLvl w:val="2"/>
        <w:rPr>
          <w:rFonts w:ascii="宋体" w:hAnsi="宋体" w:cs="宋体"/>
          <w:color w:val="auto"/>
          <w:kern w:val="2"/>
          <w:sz w:val="21"/>
          <w:szCs w:val="21"/>
          <w:highlight w:val="none"/>
          <w:lang w:val="zh-CN"/>
        </w:rPr>
      </w:pPr>
      <w:bookmarkStart w:id="67" w:name="_Toc450662863"/>
      <w:bookmarkStart w:id="68" w:name="_Toc32276"/>
      <w:bookmarkStart w:id="69" w:name="_Toc521918080"/>
      <w:r>
        <w:rPr>
          <w:rFonts w:hint="eastAsia" w:ascii="宋体" w:hAnsi="宋体" w:cs="宋体"/>
          <w:color w:val="auto"/>
          <w:kern w:val="2"/>
          <w:sz w:val="21"/>
          <w:szCs w:val="21"/>
          <w:highlight w:val="none"/>
          <w:lang w:val="zh-CN"/>
        </w:rPr>
        <w:t>13</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证明供应商的合格性和资格的声明文件</w:t>
      </w:r>
      <w:bookmarkEnd w:id="67"/>
      <w:bookmarkEnd w:id="68"/>
      <w:bookmarkEnd w:id="69"/>
    </w:p>
    <w:p w14:paraId="292E9BC6">
      <w:pPr>
        <w:tabs>
          <w:tab w:val="left" w:pos="567"/>
        </w:tabs>
        <w:spacing w:line="360" w:lineRule="auto"/>
        <w:ind w:left="567" w:hanging="567"/>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13.1</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根据第2条、第13.2款规定，供应商须提交证明其有资格进行</w:t>
      </w:r>
      <w:r>
        <w:rPr>
          <w:rFonts w:hint="eastAsia" w:ascii="宋体" w:hAnsi="宋体" w:cs="宋体"/>
          <w:color w:val="auto"/>
          <w:kern w:val="2"/>
          <w:sz w:val="21"/>
          <w:szCs w:val="21"/>
          <w:highlight w:val="none"/>
        </w:rPr>
        <w:t>谈判</w:t>
      </w:r>
      <w:r>
        <w:rPr>
          <w:rFonts w:hint="eastAsia" w:ascii="宋体" w:hAnsi="宋体" w:cs="宋体"/>
          <w:color w:val="auto"/>
          <w:kern w:val="2"/>
          <w:sz w:val="21"/>
          <w:szCs w:val="21"/>
          <w:highlight w:val="none"/>
          <w:lang w:val="zh-CN"/>
        </w:rPr>
        <w:t>和有能力履行合同的文件，</w:t>
      </w:r>
    </w:p>
    <w:p w14:paraId="7C1AB452">
      <w:pPr>
        <w:tabs>
          <w:tab w:val="left" w:pos="567"/>
        </w:tabs>
        <w:spacing w:line="360" w:lineRule="auto"/>
        <w:ind w:left="528" w:leftChars="22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作为响应文件的一部分。</w:t>
      </w:r>
    </w:p>
    <w:p w14:paraId="2784B33D">
      <w:pPr>
        <w:spacing w:line="360" w:lineRule="auto"/>
        <w:ind w:left="567" w:hanging="567"/>
        <w:jc w:val="both"/>
        <w:rPr>
          <w:rFonts w:ascii="宋体" w:hAnsi="宋体" w:cs="宋体"/>
          <w:color w:val="auto"/>
          <w:kern w:val="2"/>
          <w:sz w:val="21"/>
          <w:szCs w:val="21"/>
          <w:highlight w:val="none"/>
          <w:vertAlign w:val="superscript"/>
          <w:lang w:val="zh-CN"/>
        </w:rPr>
      </w:pPr>
      <w:r>
        <w:rPr>
          <w:rFonts w:hint="eastAsia" w:ascii="宋体" w:hAnsi="宋体" w:cs="宋体"/>
          <w:color w:val="auto"/>
          <w:kern w:val="2"/>
          <w:sz w:val="21"/>
          <w:szCs w:val="21"/>
          <w:highlight w:val="none"/>
          <w:lang w:val="zh-CN"/>
        </w:rPr>
        <w:t>13.2</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供应商提供的履行合同的资格声明文件应符合：</w:t>
      </w:r>
    </w:p>
    <w:p w14:paraId="28DCF1F8">
      <w:pPr>
        <w:spacing w:line="360" w:lineRule="auto"/>
        <w:ind w:left="563" w:hanging="562" w:hangingChars="268"/>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（1）符合</w:t>
      </w:r>
      <w:r>
        <w:rPr>
          <w:rFonts w:hint="eastAsia" w:ascii="宋体" w:hAnsi="宋体" w:cs="宋体"/>
          <w:color w:val="auto"/>
          <w:kern w:val="2"/>
          <w:sz w:val="21"/>
          <w:szCs w:val="21"/>
          <w:highlight w:val="none"/>
        </w:rPr>
        <w:t>竞争性谈判文件合格供应商应</w:t>
      </w:r>
      <w:r>
        <w:rPr>
          <w:rFonts w:hint="eastAsia" w:ascii="宋体" w:hAnsi="宋体" w:cs="宋体"/>
          <w:color w:val="auto"/>
          <w:kern w:val="2"/>
          <w:sz w:val="21"/>
          <w:szCs w:val="21"/>
          <w:highlight w:val="none"/>
          <w:lang w:val="zh-CN"/>
        </w:rPr>
        <w:t>当具备的条件；</w:t>
      </w:r>
    </w:p>
    <w:p w14:paraId="3F3B8385">
      <w:pPr>
        <w:spacing w:line="360" w:lineRule="auto"/>
        <w:ind w:left="839" w:leftChars="1" w:hanging="837" w:hangingChars="399"/>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（2）</w:t>
      </w:r>
      <w:r>
        <w:rPr>
          <w:rFonts w:hint="eastAsia" w:ascii="宋体" w:hAnsi="宋体" w:cs="宋体"/>
          <w:color w:val="auto"/>
          <w:sz w:val="21"/>
          <w:szCs w:val="21"/>
          <w:highlight w:val="none"/>
        </w:rPr>
        <w:t>供应商</w:t>
      </w:r>
      <w:r>
        <w:rPr>
          <w:rFonts w:hint="eastAsia" w:ascii="宋体" w:hAnsi="宋体" w:cs="宋体"/>
          <w:color w:val="auto"/>
          <w:kern w:val="2"/>
          <w:sz w:val="21"/>
          <w:szCs w:val="21"/>
          <w:highlight w:val="none"/>
          <w:lang w:val="zh-CN"/>
        </w:rPr>
        <w:t>具有履行本项目所必须的证明文件；</w:t>
      </w:r>
    </w:p>
    <w:p w14:paraId="693169A5">
      <w:pPr>
        <w:spacing w:line="360" w:lineRule="auto"/>
        <w:ind w:left="839" w:leftChars="1" w:hanging="837" w:hangingChars="399"/>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（3）供应商证明其相应资格符合或优于竞争性谈判文件要求的其它文件。</w:t>
      </w:r>
    </w:p>
    <w:p w14:paraId="27AEC119">
      <w:pPr>
        <w:tabs>
          <w:tab w:val="left" w:pos="142"/>
        </w:tabs>
        <w:spacing w:line="360" w:lineRule="auto"/>
        <w:ind w:left="532" w:hanging="532"/>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13.3</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供应商根据竞争性谈判文件载明的</w:t>
      </w:r>
      <w:r>
        <w:rPr>
          <w:rFonts w:hint="eastAsia" w:ascii="宋体" w:hAnsi="宋体" w:cs="宋体"/>
          <w:color w:val="auto"/>
          <w:kern w:val="2"/>
          <w:sz w:val="21"/>
          <w:szCs w:val="21"/>
          <w:highlight w:val="none"/>
        </w:rPr>
        <w:t>相关</w:t>
      </w:r>
      <w:r>
        <w:rPr>
          <w:rFonts w:hint="eastAsia" w:ascii="宋体" w:hAnsi="宋体" w:cs="宋体"/>
          <w:color w:val="auto"/>
          <w:kern w:val="2"/>
          <w:sz w:val="21"/>
          <w:szCs w:val="21"/>
          <w:highlight w:val="none"/>
          <w:lang w:val="zh-CN"/>
        </w:rPr>
        <w:t>服务要求的实际情况，拟在</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后将</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项目的非主体、</w:t>
      </w:r>
    </w:p>
    <w:p w14:paraId="7632B3F8">
      <w:pPr>
        <w:tabs>
          <w:tab w:val="left" w:pos="142"/>
        </w:tabs>
        <w:spacing w:line="360" w:lineRule="auto"/>
        <w:ind w:left="528" w:leftChars="22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非关键性专业工作交由他人完成的，应当在响应文件中载明，并提供</w:t>
      </w:r>
      <w:r>
        <w:rPr>
          <w:rFonts w:hint="eastAsia" w:ascii="宋体" w:hAnsi="宋体" w:cs="宋体"/>
          <w:color w:val="auto"/>
          <w:kern w:val="2"/>
          <w:sz w:val="21"/>
          <w:szCs w:val="21"/>
          <w:highlight w:val="none"/>
        </w:rPr>
        <w:t>他</w:t>
      </w:r>
      <w:r>
        <w:rPr>
          <w:rFonts w:hint="eastAsia" w:ascii="宋体" w:hAnsi="宋体" w:cs="宋体"/>
          <w:color w:val="auto"/>
          <w:kern w:val="2"/>
          <w:sz w:val="21"/>
          <w:szCs w:val="21"/>
          <w:highlight w:val="none"/>
          <w:lang w:val="zh-CN"/>
        </w:rPr>
        <w:t>人的资质、能力证明材料。</w:t>
      </w:r>
    </w:p>
    <w:p w14:paraId="122F33C6">
      <w:pPr>
        <w:tabs>
          <w:tab w:val="left" w:pos="142"/>
        </w:tabs>
        <w:spacing w:line="360" w:lineRule="auto"/>
        <w:ind w:left="532" w:hanging="532"/>
        <w:jc w:val="both"/>
        <w:rPr>
          <w:rFonts w:ascii="宋体" w:hAnsi="宋体" w:cs="宋体"/>
          <w:color w:val="auto"/>
          <w:kern w:val="2"/>
          <w:sz w:val="21"/>
          <w:szCs w:val="21"/>
          <w:highlight w:val="none"/>
        </w:rPr>
      </w:pPr>
    </w:p>
    <w:p w14:paraId="37E1DE04">
      <w:pPr>
        <w:tabs>
          <w:tab w:val="left" w:pos="567"/>
        </w:tabs>
        <w:spacing w:line="360" w:lineRule="auto"/>
        <w:ind w:left="567" w:hanging="567"/>
        <w:jc w:val="both"/>
        <w:outlineLvl w:val="2"/>
        <w:rPr>
          <w:rFonts w:ascii="宋体" w:hAnsi="宋体" w:cs="宋体"/>
          <w:color w:val="auto"/>
          <w:kern w:val="2"/>
          <w:sz w:val="21"/>
          <w:szCs w:val="21"/>
          <w:highlight w:val="none"/>
          <w:lang w:val="zh-CN"/>
        </w:rPr>
      </w:pPr>
      <w:bookmarkStart w:id="70" w:name="_Toc450662864"/>
      <w:bookmarkStart w:id="71" w:name="_Toc4809"/>
      <w:bookmarkStart w:id="72" w:name="_Toc521918081"/>
      <w:r>
        <w:rPr>
          <w:rFonts w:hint="eastAsia" w:ascii="宋体" w:hAnsi="宋体" w:cs="宋体"/>
          <w:color w:val="auto"/>
          <w:kern w:val="2"/>
          <w:sz w:val="21"/>
          <w:szCs w:val="21"/>
          <w:highlight w:val="none"/>
          <w:lang w:val="zh-CN"/>
        </w:rPr>
        <w:t>14</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证明服务的合格性并符合竞争性谈判文件规定的声明文件</w:t>
      </w:r>
      <w:bookmarkEnd w:id="70"/>
      <w:bookmarkEnd w:id="71"/>
      <w:bookmarkEnd w:id="72"/>
    </w:p>
    <w:p w14:paraId="6F0F03EF">
      <w:pPr>
        <w:tabs>
          <w:tab w:val="left" w:pos="567"/>
        </w:tabs>
        <w:spacing w:line="360" w:lineRule="auto"/>
        <w:ind w:left="567" w:hanging="567"/>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14.1</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根据第9条规定，供应商须提交证明其拟供服务的合格性并符合竞争性谈判文件规定的声明文</w:t>
      </w:r>
    </w:p>
    <w:p w14:paraId="2E16E8C7">
      <w:pPr>
        <w:tabs>
          <w:tab w:val="left" w:pos="567"/>
        </w:tabs>
        <w:spacing w:line="360" w:lineRule="auto"/>
        <w:ind w:left="528" w:leftChars="22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件，作为响应文件的一部分。</w:t>
      </w:r>
    </w:p>
    <w:p w14:paraId="3FECE4FF">
      <w:pPr>
        <w:tabs>
          <w:tab w:val="left" w:pos="142"/>
        </w:tabs>
        <w:spacing w:line="360" w:lineRule="auto"/>
        <w:ind w:left="532" w:hanging="532"/>
        <w:jc w:val="both"/>
        <w:rPr>
          <w:rFonts w:ascii="宋体" w:hAnsi="宋体" w:cs="宋体"/>
          <w:color w:val="auto"/>
          <w:sz w:val="21"/>
          <w:szCs w:val="21"/>
          <w:highlight w:val="none"/>
          <w:lang w:val="zh-CN"/>
        </w:rPr>
      </w:pPr>
      <w:r>
        <w:rPr>
          <w:rFonts w:hint="eastAsia" w:ascii="宋体" w:hAnsi="宋体" w:cs="宋体"/>
          <w:color w:val="auto"/>
          <w:kern w:val="2"/>
          <w:sz w:val="21"/>
          <w:szCs w:val="21"/>
          <w:highlight w:val="none"/>
          <w:lang w:val="zh-CN"/>
        </w:rPr>
        <w:t>14.2</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证明服务与竞争性谈判文件的要求相一致的文件可以是文字资料、图纸和数据资料。</w:t>
      </w:r>
    </w:p>
    <w:p w14:paraId="7E19E825">
      <w:pPr>
        <w:tabs>
          <w:tab w:val="left" w:pos="567"/>
        </w:tabs>
        <w:spacing w:line="360" w:lineRule="auto"/>
        <w:ind w:left="567" w:hanging="567"/>
        <w:jc w:val="both"/>
        <w:rPr>
          <w:rFonts w:ascii="宋体" w:hAnsi="宋体" w:cs="宋体"/>
          <w:b/>
          <w:color w:val="auto"/>
          <w:kern w:val="2"/>
          <w:sz w:val="21"/>
          <w:szCs w:val="21"/>
          <w:highlight w:val="none"/>
          <w:u w:val="single"/>
          <w:lang w:val="zh-CN"/>
        </w:rPr>
      </w:pPr>
      <w:r>
        <w:rPr>
          <w:rFonts w:hint="eastAsia" w:ascii="宋体" w:hAnsi="宋体" w:cs="宋体"/>
          <w:color w:val="auto"/>
          <w:kern w:val="2"/>
          <w:sz w:val="21"/>
          <w:szCs w:val="21"/>
          <w:highlight w:val="none"/>
          <w:lang w:val="zh-CN"/>
        </w:rPr>
        <w:t xml:space="preserve">14.3 </w:t>
      </w:r>
      <w:r>
        <w:rPr>
          <w:rFonts w:hint="eastAsia" w:ascii="宋体" w:hAnsi="宋体" w:cs="宋体"/>
          <w:b/>
          <w:color w:val="auto"/>
          <w:kern w:val="2"/>
          <w:sz w:val="21"/>
          <w:szCs w:val="21"/>
          <w:highlight w:val="none"/>
          <w:u w:val="single"/>
          <w:lang w:val="zh-CN"/>
        </w:rPr>
        <w:t>为说明第14.2款的规定，供应商应注意本竞争性谈判文件在《用户需求书》中对服务要求</w:t>
      </w:r>
      <w:r>
        <w:rPr>
          <w:rFonts w:hint="eastAsia" w:ascii="宋体" w:hAnsi="宋体" w:cs="宋体"/>
          <w:b/>
          <w:color w:val="auto"/>
          <w:kern w:val="2"/>
          <w:sz w:val="21"/>
          <w:szCs w:val="21"/>
          <w:highlight w:val="none"/>
          <w:u w:val="single"/>
        </w:rPr>
        <w:t>的</w:t>
      </w:r>
      <w:r>
        <w:rPr>
          <w:rFonts w:hint="eastAsia" w:ascii="宋体" w:hAnsi="宋体" w:cs="宋体"/>
          <w:b/>
          <w:color w:val="auto"/>
          <w:kern w:val="2"/>
          <w:sz w:val="21"/>
          <w:szCs w:val="21"/>
          <w:highlight w:val="none"/>
          <w:u w:val="single"/>
          <w:lang w:val="zh-CN"/>
        </w:rPr>
        <w:t>说</w:t>
      </w:r>
    </w:p>
    <w:p w14:paraId="42EBC7A8">
      <w:pPr>
        <w:tabs>
          <w:tab w:val="left" w:pos="567"/>
        </w:tabs>
        <w:spacing w:line="360" w:lineRule="auto"/>
        <w:ind w:left="528" w:leftChars="220"/>
        <w:jc w:val="both"/>
        <w:rPr>
          <w:rFonts w:ascii="宋体" w:hAnsi="宋体" w:cs="宋体"/>
          <w:b/>
          <w:color w:val="auto"/>
          <w:kern w:val="2"/>
          <w:sz w:val="21"/>
          <w:szCs w:val="21"/>
          <w:highlight w:val="none"/>
          <w:lang w:val="zh-CN"/>
        </w:rPr>
      </w:pPr>
      <w:r>
        <w:rPr>
          <w:rFonts w:hint="eastAsia" w:ascii="宋体" w:hAnsi="宋体" w:cs="宋体"/>
          <w:b/>
          <w:color w:val="auto"/>
          <w:kern w:val="2"/>
          <w:sz w:val="21"/>
          <w:szCs w:val="21"/>
          <w:highlight w:val="none"/>
          <w:u w:val="single"/>
          <w:lang w:val="zh-CN"/>
        </w:rPr>
        <w:t>明只是概括性的，不能理解为所需要的全部服务的要求，供应商应按国家、行业相关技术标准、规范和以往的服务经验，合格优质的完成采购内容和包含的全部服务。凡标有“★”的地方均被视为重要的技术</w:t>
      </w:r>
      <w:r>
        <w:rPr>
          <w:rFonts w:hint="eastAsia" w:ascii="宋体" w:hAnsi="宋体" w:cs="宋体"/>
          <w:b/>
          <w:color w:val="auto"/>
          <w:kern w:val="2"/>
          <w:sz w:val="21"/>
          <w:szCs w:val="21"/>
          <w:highlight w:val="none"/>
          <w:u w:val="single"/>
        </w:rPr>
        <w:t>指标</w:t>
      </w:r>
      <w:r>
        <w:rPr>
          <w:rFonts w:hint="eastAsia" w:ascii="宋体" w:hAnsi="宋体" w:cs="宋体"/>
          <w:b/>
          <w:color w:val="auto"/>
          <w:kern w:val="2"/>
          <w:sz w:val="21"/>
          <w:szCs w:val="21"/>
          <w:highlight w:val="none"/>
          <w:u w:val="single"/>
          <w:lang w:val="zh-CN"/>
        </w:rPr>
        <w:t>要求或</w:t>
      </w:r>
      <w:r>
        <w:rPr>
          <w:rFonts w:hint="eastAsia" w:ascii="宋体" w:hAnsi="宋体" w:cs="宋体"/>
          <w:b/>
          <w:color w:val="auto"/>
          <w:kern w:val="2"/>
          <w:sz w:val="21"/>
          <w:szCs w:val="21"/>
          <w:highlight w:val="none"/>
          <w:u w:val="single"/>
        </w:rPr>
        <w:t>性能</w:t>
      </w:r>
      <w:r>
        <w:rPr>
          <w:rFonts w:hint="eastAsia" w:ascii="宋体" w:hAnsi="宋体" w:cs="宋体"/>
          <w:b/>
          <w:color w:val="auto"/>
          <w:kern w:val="2"/>
          <w:sz w:val="21"/>
          <w:szCs w:val="21"/>
          <w:highlight w:val="none"/>
          <w:u w:val="single"/>
          <w:lang w:val="zh-CN"/>
        </w:rPr>
        <w:t>要求。供应商要特别加以注意，必须对此回答并完全满足这些要求，否则若有一项带“★”的条款未响应或不满足，将按无效</w:t>
      </w:r>
      <w:r>
        <w:rPr>
          <w:rFonts w:hint="eastAsia" w:ascii="宋体" w:hAnsi="宋体" w:cs="宋体"/>
          <w:b/>
          <w:color w:val="auto"/>
          <w:kern w:val="2"/>
          <w:sz w:val="21"/>
          <w:szCs w:val="21"/>
          <w:highlight w:val="none"/>
          <w:u w:val="single"/>
        </w:rPr>
        <w:t>响应</w:t>
      </w:r>
      <w:r>
        <w:rPr>
          <w:rFonts w:hint="eastAsia" w:ascii="宋体" w:hAnsi="宋体" w:cs="宋体"/>
          <w:b/>
          <w:color w:val="auto"/>
          <w:kern w:val="2"/>
          <w:sz w:val="21"/>
          <w:szCs w:val="21"/>
          <w:highlight w:val="none"/>
          <w:u w:val="single"/>
          <w:lang w:val="zh-CN"/>
        </w:rPr>
        <w:t>处理。</w:t>
      </w:r>
    </w:p>
    <w:p w14:paraId="6A574761">
      <w:pPr>
        <w:tabs>
          <w:tab w:val="left" w:pos="567"/>
        </w:tabs>
        <w:spacing w:line="360" w:lineRule="auto"/>
        <w:ind w:left="567" w:hanging="567"/>
        <w:jc w:val="both"/>
        <w:rPr>
          <w:rFonts w:ascii="宋体" w:hAnsi="宋体" w:cs="宋体"/>
          <w:b/>
          <w:color w:val="auto"/>
          <w:kern w:val="2"/>
          <w:sz w:val="21"/>
          <w:szCs w:val="21"/>
          <w:highlight w:val="none"/>
          <w:lang w:val="zh-CN"/>
        </w:rPr>
      </w:pPr>
    </w:p>
    <w:p w14:paraId="315A3BCA">
      <w:pPr>
        <w:tabs>
          <w:tab w:val="left" w:pos="567"/>
        </w:tabs>
        <w:spacing w:line="360" w:lineRule="auto"/>
        <w:ind w:left="567" w:hanging="567"/>
        <w:jc w:val="both"/>
        <w:outlineLvl w:val="2"/>
        <w:rPr>
          <w:rFonts w:ascii="宋体" w:hAnsi="宋体" w:cs="宋体"/>
          <w:b/>
          <w:bCs/>
          <w:color w:val="auto"/>
          <w:kern w:val="2"/>
          <w:sz w:val="21"/>
          <w:szCs w:val="21"/>
          <w:highlight w:val="none"/>
          <w:lang w:val="zh-CN"/>
        </w:rPr>
      </w:pPr>
      <w:bookmarkStart w:id="73" w:name="_Toc521918082"/>
      <w:bookmarkStart w:id="74" w:name="_Toc4281"/>
      <w:r>
        <w:rPr>
          <w:rFonts w:hint="eastAsia" w:ascii="宋体" w:hAnsi="宋体" w:cs="宋体"/>
          <w:bCs/>
          <w:color w:val="auto"/>
          <w:kern w:val="2"/>
          <w:sz w:val="21"/>
          <w:szCs w:val="21"/>
          <w:highlight w:val="none"/>
          <w:lang w:val="zh-CN"/>
        </w:rPr>
        <w:t>15</w:t>
      </w:r>
      <w:r>
        <w:rPr>
          <w:rFonts w:hint="eastAsia" w:ascii="宋体" w:hAnsi="宋体" w:cs="宋体"/>
          <w:bCs/>
          <w:color w:val="auto"/>
          <w:kern w:val="2"/>
          <w:sz w:val="21"/>
          <w:szCs w:val="21"/>
          <w:highlight w:val="none"/>
        </w:rPr>
        <w:t xml:space="preserve"> </w:t>
      </w:r>
      <w:bookmarkEnd w:id="73"/>
      <w:r>
        <w:rPr>
          <w:rFonts w:hint="eastAsia" w:ascii="宋体" w:hAnsi="宋体" w:cs="宋体"/>
          <w:bCs/>
          <w:color w:val="auto"/>
          <w:kern w:val="2"/>
          <w:sz w:val="21"/>
          <w:szCs w:val="21"/>
          <w:highlight w:val="none"/>
        </w:rPr>
        <w:t>响应保证金</w:t>
      </w:r>
      <w:bookmarkEnd w:id="74"/>
    </w:p>
    <w:p w14:paraId="6DB48F45">
      <w:pPr>
        <w:pStyle w:val="107"/>
        <w:ind w:left="528" w:leftChars="220"/>
        <w:jc w:val="both"/>
        <w:rPr>
          <w:rFonts w:ascii="宋体" w:hAnsi="宋体" w:cs="宋体"/>
          <w:color w:val="auto"/>
          <w:sz w:val="21"/>
          <w:szCs w:val="21"/>
          <w:highlight w:val="none"/>
          <w:lang w:val="zh-CN"/>
        </w:rPr>
      </w:pPr>
      <w:bookmarkStart w:id="75" w:name="_Toc450662865"/>
      <w:bookmarkStart w:id="76" w:name="_Toc521918083"/>
      <w:r>
        <w:rPr>
          <w:rFonts w:hint="eastAsia" w:ascii="宋体" w:hAnsi="宋体" w:cs="宋体"/>
          <w:color w:val="auto"/>
          <w:sz w:val="21"/>
          <w:szCs w:val="21"/>
          <w:highlight w:val="none"/>
          <w:lang w:val="zh-CN"/>
        </w:rPr>
        <w:t>15.1</w:t>
      </w:r>
      <w:r>
        <w:rPr>
          <w:rFonts w:hint="eastAsia" w:ascii="宋体" w:hAnsi="宋体" w:cs="宋体"/>
          <w:color w:val="auto"/>
          <w:sz w:val="21"/>
          <w:szCs w:val="21"/>
          <w:highlight w:val="none"/>
        </w:rPr>
        <w:t xml:space="preserve"> </w:t>
      </w:r>
      <w:r>
        <w:rPr>
          <w:rFonts w:hint="eastAsia" w:ascii="宋体" w:hAnsi="宋体" w:cs="宋体"/>
          <w:b/>
          <w:bCs w:val="0"/>
          <w:color w:val="auto"/>
          <w:sz w:val="21"/>
          <w:szCs w:val="21"/>
          <w:highlight w:val="none"/>
          <w:u w:val="single"/>
        </w:rPr>
        <w:t>供应商响应</w:t>
      </w:r>
      <w:r>
        <w:rPr>
          <w:rFonts w:hint="eastAsia" w:ascii="宋体" w:hAnsi="宋体" w:cs="宋体"/>
          <w:b/>
          <w:bCs w:val="0"/>
          <w:color w:val="auto"/>
          <w:sz w:val="21"/>
          <w:szCs w:val="21"/>
          <w:highlight w:val="none"/>
          <w:u w:val="single"/>
          <w:lang w:val="zh-CN"/>
        </w:rPr>
        <w:t>须附有</w:t>
      </w:r>
      <w:r>
        <w:rPr>
          <w:rFonts w:hint="eastAsia" w:ascii="宋体" w:hAnsi="宋体" w:cs="宋体"/>
          <w:b/>
          <w:bCs w:val="0"/>
          <w:color w:val="auto"/>
          <w:sz w:val="21"/>
          <w:szCs w:val="21"/>
          <w:highlight w:val="none"/>
          <w:u w:val="single"/>
        </w:rPr>
        <w:t>响应保证金110</w:t>
      </w:r>
      <w:r>
        <w:rPr>
          <w:rFonts w:hint="eastAsia" w:ascii="宋体" w:hAnsi="宋体" w:cs="宋体"/>
          <w:b/>
          <w:bCs w:val="0"/>
          <w:color w:val="auto"/>
          <w:sz w:val="21"/>
          <w:szCs w:val="21"/>
          <w:highlight w:val="none"/>
          <w:u w:val="single"/>
          <w:lang w:val="zh-CN"/>
        </w:rPr>
        <w:t>,</w:t>
      </w:r>
      <w:r>
        <w:rPr>
          <w:rFonts w:hint="eastAsia" w:ascii="宋体" w:hAnsi="宋体" w:cs="宋体"/>
          <w:b/>
          <w:bCs w:val="0"/>
          <w:color w:val="auto"/>
          <w:sz w:val="21"/>
          <w:szCs w:val="21"/>
          <w:highlight w:val="none"/>
          <w:u w:val="single"/>
        </w:rPr>
        <w:t>0</w:t>
      </w:r>
      <w:r>
        <w:rPr>
          <w:rFonts w:hint="eastAsia" w:ascii="宋体" w:hAnsi="宋体" w:cs="宋体"/>
          <w:b/>
          <w:bCs w:val="0"/>
          <w:color w:val="auto"/>
          <w:sz w:val="21"/>
          <w:szCs w:val="21"/>
          <w:highlight w:val="none"/>
          <w:u w:val="single"/>
          <w:lang w:val="zh-CN"/>
        </w:rPr>
        <w:t>00.00元（大写：</w:t>
      </w:r>
      <w:r>
        <w:rPr>
          <w:rFonts w:hint="eastAsia" w:ascii="宋体" w:hAnsi="宋体" w:cs="宋体"/>
          <w:b/>
          <w:bCs w:val="0"/>
          <w:color w:val="auto"/>
          <w:sz w:val="21"/>
          <w:szCs w:val="21"/>
          <w:highlight w:val="none"/>
          <w:u w:val="single"/>
        </w:rPr>
        <w:t>壹拾壹万元整</w:t>
      </w:r>
      <w:r>
        <w:rPr>
          <w:rFonts w:hint="eastAsia" w:ascii="宋体" w:hAnsi="宋体" w:cs="宋体"/>
          <w:b/>
          <w:bCs w:val="0"/>
          <w:color w:val="auto"/>
          <w:sz w:val="21"/>
          <w:szCs w:val="21"/>
          <w:highlight w:val="none"/>
          <w:u w:val="single"/>
          <w:lang w:val="zh-CN"/>
        </w:rPr>
        <w:t>）。</w:t>
      </w:r>
    </w:p>
    <w:p w14:paraId="42E93092">
      <w:pPr>
        <w:pStyle w:val="107"/>
        <w:jc w:val="both"/>
        <w:rPr>
          <w:rFonts w:ascii="宋体" w:hAnsi="宋体" w:cs="宋体"/>
          <w:b/>
          <w:bCs w:val="0"/>
          <w:color w:val="auto"/>
          <w:sz w:val="21"/>
          <w:szCs w:val="21"/>
          <w:highlight w:val="none"/>
          <w:u w:val="single"/>
          <w:lang w:val="zh-CN"/>
        </w:rPr>
      </w:pPr>
      <w:r>
        <w:rPr>
          <w:rFonts w:hint="eastAsia" w:ascii="宋体" w:hAnsi="宋体" w:cs="宋体"/>
          <w:color w:val="auto"/>
          <w:sz w:val="21"/>
          <w:szCs w:val="21"/>
          <w:highlight w:val="none"/>
          <w:lang w:val="zh-CN"/>
        </w:rPr>
        <w:t>15.2</w:t>
      </w:r>
      <w:r>
        <w:rPr>
          <w:rFonts w:hint="eastAsia" w:ascii="宋体" w:hAnsi="宋体" w:cs="宋体"/>
          <w:color w:val="auto"/>
          <w:sz w:val="21"/>
          <w:szCs w:val="21"/>
          <w:highlight w:val="none"/>
        </w:rPr>
        <w:t xml:space="preserve"> 供应商</w:t>
      </w:r>
      <w:r>
        <w:rPr>
          <w:rFonts w:hint="eastAsia" w:ascii="宋体" w:hAnsi="宋体" w:cs="宋体"/>
          <w:color w:val="auto"/>
          <w:sz w:val="21"/>
          <w:szCs w:val="21"/>
          <w:highlight w:val="none"/>
          <w:lang w:val="zh-CN"/>
        </w:rPr>
        <w:t>应按要求提交</w:t>
      </w:r>
      <w:r>
        <w:rPr>
          <w:rFonts w:hint="eastAsia" w:ascii="宋体" w:hAnsi="宋体" w:cs="宋体"/>
          <w:color w:val="auto"/>
          <w:sz w:val="21"/>
          <w:szCs w:val="21"/>
          <w:highlight w:val="none"/>
        </w:rPr>
        <w:t>响应保证金</w:t>
      </w:r>
      <w:r>
        <w:rPr>
          <w:rFonts w:hint="eastAsia" w:ascii="宋体" w:hAnsi="宋体" w:cs="宋体"/>
          <w:color w:val="auto"/>
          <w:sz w:val="21"/>
          <w:szCs w:val="21"/>
          <w:highlight w:val="none"/>
          <w:lang w:val="zh-CN"/>
        </w:rPr>
        <w:t>，</w:t>
      </w:r>
      <w:r>
        <w:rPr>
          <w:rFonts w:hint="eastAsia" w:ascii="宋体" w:hAnsi="宋体" w:cs="宋体"/>
          <w:b/>
          <w:bCs w:val="0"/>
          <w:color w:val="auto"/>
          <w:sz w:val="21"/>
          <w:szCs w:val="21"/>
          <w:highlight w:val="none"/>
          <w:u w:val="single"/>
        </w:rPr>
        <w:t>供应商</w:t>
      </w:r>
      <w:r>
        <w:rPr>
          <w:rFonts w:hint="eastAsia" w:ascii="宋体" w:hAnsi="宋体" w:cs="宋体"/>
          <w:b/>
          <w:bCs w:val="0"/>
          <w:color w:val="auto"/>
          <w:sz w:val="21"/>
          <w:szCs w:val="21"/>
          <w:highlight w:val="none"/>
          <w:u w:val="single"/>
          <w:lang w:val="zh-CN"/>
        </w:rPr>
        <w:t>必须通过本单位银行基本账户采用银行转账、电汇形</w:t>
      </w:r>
    </w:p>
    <w:p w14:paraId="06F9171A">
      <w:pPr>
        <w:pStyle w:val="107"/>
        <w:ind w:left="528" w:leftChars="220"/>
        <w:jc w:val="both"/>
        <w:rPr>
          <w:rFonts w:ascii="宋体" w:hAnsi="宋体" w:cs="宋体"/>
          <w:color w:val="auto"/>
          <w:sz w:val="21"/>
          <w:szCs w:val="21"/>
          <w:highlight w:val="none"/>
          <w:lang w:val="zh-CN"/>
        </w:rPr>
      </w:pPr>
      <w:r>
        <w:rPr>
          <w:rFonts w:hint="eastAsia" w:ascii="宋体" w:hAnsi="宋体" w:cs="宋体"/>
          <w:b/>
          <w:bCs w:val="0"/>
          <w:color w:val="auto"/>
          <w:sz w:val="21"/>
          <w:szCs w:val="21"/>
          <w:highlight w:val="none"/>
          <w:u w:val="single"/>
          <w:lang w:val="zh-CN"/>
        </w:rPr>
        <w:t>式缴交，</w:t>
      </w:r>
      <w:r>
        <w:rPr>
          <w:rFonts w:hint="eastAsia" w:ascii="宋体" w:hAnsi="宋体" w:cs="宋体"/>
          <w:b/>
          <w:bCs w:val="0"/>
          <w:color w:val="auto"/>
          <w:sz w:val="21"/>
          <w:szCs w:val="21"/>
          <w:highlight w:val="none"/>
          <w:u w:val="single"/>
        </w:rPr>
        <w:t>供应商</w:t>
      </w:r>
      <w:r>
        <w:rPr>
          <w:rFonts w:hint="eastAsia" w:ascii="宋体" w:hAnsi="宋体" w:cs="宋体"/>
          <w:b/>
          <w:bCs w:val="0"/>
          <w:color w:val="auto"/>
          <w:sz w:val="21"/>
          <w:szCs w:val="21"/>
          <w:highlight w:val="none"/>
          <w:u w:val="single"/>
          <w:lang w:val="zh-CN"/>
        </w:rPr>
        <w:t>与交款人名称必须一致，非</w:t>
      </w:r>
      <w:r>
        <w:rPr>
          <w:rFonts w:hint="eastAsia" w:ascii="宋体" w:hAnsi="宋体" w:cs="宋体"/>
          <w:b/>
          <w:bCs w:val="0"/>
          <w:color w:val="auto"/>
          <w:sz w:val="21"/>
          <w:szCs w:val="21"/>
          <w:highlight w:val="none"/>
          <w:u w:val="single"/>
        </w:rPr>
        <w:t>供应商</w:t>
      </w:r>
      <w:r>
        <w:rPr>
          <w:rFonts w:hint="eastAsia" w:ascii="宋体" w:hAnsi="宋体" w:cs="宋体"/>
          <w:b/>
          <w:bCs w:val="0"/>
          <w:color w:val="auto"/>
          <w:sz w:val="21"/>
          <w:szCs w:val="21"/>
          <w:highlight w:val="none"/>
          <w:u w:val="single"/>
          <w:lang w:val="zh-CN"/>
        </w:rPr>
        <w:t>缴纳的或未通过其基本账户提交的</w:t>
      </w:r>
      <w:r>
        <w:rPr>
          <w:rFonts w:hint="eastAsia" w:ascii="宋体" w:hAnsi="宋体" w:cs="宋体"/>
          <w:b/>
          <w:bCs w:val="0"/>
          <w:color w:val="auto"/>
          <w:sz w:val="21"/>
          <w:szCs w:val="21"/>
          <w:highlight w:val="none"/>
          <w:u w:val="single"/>
        </w:rPr>
        <w:t>响应保证金</w:t>
      </w:r>
      <w:r>
        <w:rPr>
          <w:rFonts w:hint="eastAsia" w:ascii="宋体" w:hAnsi="宋体" w:cs="宋体"/>
          <w:b/>
          <w:bCs w:val="0"/>
          <w:color w:val="auto"/>
          <w:sz w:val="21"/>
          <w:szCs w:val="21"/>
          <w:highlight w:val="none"/>
          <w:u w:val="single"/>
          <w:lang w:val="zh-CN"/>
        </w:rPr>
        <w:t>无效</w:t>
      </w:r>
      <w:r>
        <w:rPr>
          <w:rFonts w:hint="eastAsia" w:ascii="宋体" w:hAnsi="宋体" w:cs="宋体"/>
          <w:b/>
          <w:bCs w:val="0"/>
          <w:color w:val="auto"/>
          <w:sz w:val="21"/>
          <w:szCs w:val="21"/>
          <w:highlight w:val="none"/>
          <w:lang w:val="zh-CN"/>
        </w:rPr>
        <w:t>。</w:t>
      </w:r>
    </w:p>
    <w:p w14:paraId="1CF7ED8E">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15.3 提交</w:t>
      </w:r>
      <w:r>
        <w:rPr>
          <w:rFonts w:hint="eastAsia" w:ascii="宋体" w:hAnsi="宋体" w:cs="宋体"/>
          <w:color w:val="auto"/>
          <w:sz w:val="21"/>
          <w:szCs w:val="21"/>
          <w:highlight w:val="none"/>
        </w:rPr>
        <w:t>响应保证金</w:t>
      </w:r>
      <w:r>
        <w:rPr>
          <w:rFonts w:hint="eastAsia" w:ascii="宋体" w:hAnsi="宋体" w:cs="宋体"/>
          <w:color w:val="auto"/>
          <w:sz w:val="21"/>
          <w:szCs w:val="21"/>
          <w:highlight w:val="none"/>
          <w:lang w:val="zh-CN"/>
        </w:rPr>
        <w:t>时应符合下列规定：</w:t>
      </w:r>
    </w:p>
    <w:p w14:paraId="6E612165">
      <w:pPr>
        <w:pStyle w:val="107"/>
        <w:ind w:left="960" w:leftChars="4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必须通过本单位基本账户采用银行转账、电汇方式提交，且在递交</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文件截止时间前到</w:t>
      </w:r>
    </w:p>
    <w:p w14:paraId="1F4B2477">
      <w:pPr>
        <w:pStyle w:val="107"/>
        <w:ind w:left="528" w:leftChars="22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达以下账户上。</w:t>
      </w:r>
    </w:p>
    <w:p w14:paraId="20C2BDFA">
      <w:pPr>
        <w:pStyle w:val="107"/>
        <w:ind w:left="960" w:leftChars="4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开户名称：东莞市水务集团有限公司</w:t>
      </w:r>
    </w:p>
    <w:p w14:paraId="69FEE401">
      <w:pPr>
        <w:pStyle w:val="107"/>
        <w:ind w:left="960" w:leftChars="4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开户银行：东莞农村商业银行中心支行</w:t>
      </w:r>
    </w:p>
    <w:p w14:paraId="727DDF70">
      <w:pPr>
        <w:pStyle w:val="107"/>
        <w:ind w:left="528" w:leftChars="220" w:firstLine="420" w:firstLineChars="200"/>
        <w:jc w:val="both"/>
        <w:rPr>
          <w:rFonts w:ascii="宋体" w:hAnsi="宋体" w:cs="宋体"/>
          <w:b/>
          <w:bCs w:val="0"/>
          <w:color w:val="auto"/>
          <w:sz w:val="21"/>
          <w:szCs w:val="21"/>
          <w:highlight w:val="none"/>
          <w:u w:val="single"/>
        </w:rPr>
      </w:pPr>
      <w:r>
        <w:rPr>
          <w:rFonts w:hint="eastAsia" w:ascii="宋体" w:hAnsi="宋体" w:cs="宋体"/>
          <w:color w:val="auto"/>
          <w:sz w:val="21"/>
          <w:szCs w:val="21"/>
          <w:highlight w:val="none"/>
          <w:lang w:val="zh-CN"/>
        </w:rPr>
        <w:t>银行账号：380010190010046195</w:t>
      </w:r>
    </w:p>
    <w:p w14:paraId="61F1CD29">
      <w:pPr>
        <w:pStyle w:val="107"/>
        <w:ind w:left="528" w:leftChars="220"/>
        <w:jc w:val="both"/>
        <w:rPr>
          <w:rFonts w:ascii="宋体" w:hAnsi="宋体" w:cs="宋体"/>
          <w:b/>
          <w:bCs w:val="0"/>
          <w:color w:val="auto"/>
          <w:sz w:val="21"/>
          <w:szCs w:val="21"/>
          <w:highlight w:val="none"/>
          <w:lang w:val="zh-CN"/>
        </w:rPr>
      </w:pPr>
      <w:r>
        <w:rPr>
          <w:rFonts w:hint="eastAsia" w:ascii="宋体" w:hAnsi="宋体" w:cs="宋体"/>
          <w:b/>
          <w:bCs w:val="0"/>
          <w:color w:val="auto"/>
          <w:sz w:val="21"/>
          <w:szCs w:val="21"/>
          <w:highlight w:val="none"/>
          <w:u w:val="single"/>
        </w:rPr>
        <w:t>响应保证金</w:t>
      </w:r>
      <w:r>
        <w:rPr>
          <w:rFonts w:hint="eastAsia" w:ascii="宋体" w:hAnsi="宋体" w:cs="宋体"/>
          <w:b/>
          <w:bCs w:val="0"/>
          <w:color w:val="auto"/>
          <w:sz w:val="21"/>
          <w:szCs w:val="21"/>
          <w:highlight w:val="none"/>
          <w:u w:val="single"/>
          <w:lang w:val="zh-CN"/>
        </w:rPr>
        <w:t>未按规定时间到达指定账户或提交金额不足的，将被视为无效</w:t>
      </w:r>
      <w:r>
        <w:rPr>
          <w:rFonts w:hint="eastAsia" w:ascii="宋体" w:hAnsi="宋体" w:cs="宋体"/>
          <w:b/>
          <w:bCs w:val="0"/>
          <w:color w:val="auto"/>
          <w:sz w:val="21"/>
          <w:szCs w:val="21"/>
          <w:highlight w:val="none"/>
          <w:u w:val="single"/>
        </w:rPr>
        <w:t>响应保证金</w:t>
      </w:r>
      <w:r>
        <w:rPr>
          <w:rFonts w:hint="eastAsia" w:ascii="宋体" w:hAnsi="宋体" w:cs="宋体"/>
          <w:b/>
          <w:bCs w:val="0"/>
          <w:color w:val="auto"/>
          <w:sz w:val="21"/>
          <w:szCs w:val="21"/>
          <w:highlight w:val="none"/>
          <w:lang w:val="zh-CN"/>
        </w:rPr>
        <w:t>。</w:t>
      </w:r>
    </w:p>
    <w:p w14:paraId="1458994E">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xml:space="preserve">15.4 </w:t>
      </w:r>
      <w:r>
        <w:rPr>
          <w:rFonts w:hint="eastAsia" w:ascii="宋体" w:hAnsi="宋体" w:cs="宋体"/>
          <w:b/>
          <w:bCs w:val="0"/>
          <w:color w:val="auto"/>
          <w:sz w:val="21"/>
          <w:szCs w:val="21"/>
          <w:highlight w:val="none"/>
          <w:u w:val="single"/>
          <w:lang w:val="zh-CN"/>
        </w:rPr>
        <w:t>任何未按第15.1款、第15.2款、第15.3款规定提交</w:t>
      </w:r>
      <w:r>
        <w:rPr>
          <w:rFonts w:hint="eastAsia" w:ascii="宋体" w:hAnsi="宋体" w:cs="宋体"/>
          <w:b/>
          <w:bCs w:val="0"/>
          <w:color w:val="auto"/>
          <w:sz w:val="21"/>
          <w:szCs w:val="21"/>
          <w:highlight w:val="none"/>
          <w:u w:val="single"/>
        </w:rPr>
        <w:t>响应保证金</w:t>
      </w:r>
      <w:r>
        <w:rPr>
          <w:rFonts w:hint="eastAsia" w:ascii="宋体" w:hAnsi="宋体" w:cs="宋体"/>
          <w:b/>
          <w:bCs w:val="0"/>
          <w:color w:val="auto"/>
          <w:sz w:val="21"/>
          <w:szCs w:val="21"/>
          <w:highlight w:val="none"/>
          <w:u w:val="single"/>
          <w:lang w:val="zh-CN"/>
        </w:rPr>
        <w:t>的</w:t>
      </w:r>
      <w:r>
        <w:rPr>
          <w:rFonts w:hint="eastAsia" w:ascii="宋体" w:hAnsi="宋体" w:cs="宋体"/>
          <w:b/>
          <w:bCs w:val="0"/>
          <w:color w:val="auto"/>
          <w:sz w:val="21"/>
          <w:szCs w:val="21"/>
          <w:highlight w:val="none"/>
          <w:u w:val="single"/>
        </w:rPr>
        <w:t>响应</w:t>
      </w:r>
      <w:r>
        <w:rPr>
          <w:rFonts w:hint="eastAsia" w:ascii="宋体" w:hAnsi="宋体" w:cs="宋体"/>
          <w:b/>
          <w:bCs w:val="0"/>
          <w:color w:val="auto"/>
          <w:sz w:val="21"/>
          <w:szCs w:val="21"/>
          <w:highlight w:val="none"/>
          <w:u w:val="single"/>
          <w:lang w:val="zh-CN"/>
        </w:rPr>
        <w:t>，将被视为无效</w:t>
      </w:r>
      <w:r>
        <w:rPr>
          <w:rFonts w:hint="eastAsia" w:ascii="宋体" w:hAnsi="宋体" w:cs="宋体"/>
          <w:b/>
          <w:bCs w:val="0"/>
          <w:color w:val="auto"/>
          <w:sz w:val="21"/>
          <w:szCs w:val="21"/>
          <w:highlight w:val="none"/>
          <w:u w:val="single"/>
        </w:rPr>
        <w:t>响应</w:t>
      </w:r>
      <w:r>
        <w:rPr>
          <w:rFonts w:hint="eastAsia" w:ascii="宋体" w:hAnsi="宋体" w:cs="宋体"/>
          <w:b/>
          <w:bCs w:val="0"/>
          <w:color w:val="auto"/>
          <w:sz w:val="21"/>
          <w:szCs w:val="21"/>
          <w:highlight w:val="none"/>
          <w:lang w:val="zh-CN"/>
        </w:rPr>
        <w:t>。</w:t>
      </w:r>
    </w:p>
    <w:p w14:paraId="25FDFF08">
      <w:pPr>
        <w:pStyle w:val="107"/>
        <w:ind w:left="528" w:leftChars="220"/>
        <w:jc w:val="both"/>
        <w:rPr>
          <w:rFonts w:ascii="宋体" w:hAnsi="宋体" w:cs="宋体"/>
          <w:b/>
          <w:bCs w:val="0"/>
          <w:color w:val="auto"/>
          <w:sz w:val="21"/>
          <w:szCs w:val="21"/>
          <w:highlight w:val="none"/>
          <w:lang w:val="zh-CN"/>
        </w:rPr>
      </w:pPr>
      <w:r>
        <w:rPr>
          <w:rFonts w:hint="eastAsia" w:ascii="宋体" w:hAnsi="宋体" w:cs="宋体"/>
          <w:b/>
          <w:bCs w:val="0"/>
          <w:color w:val="auto"/>
          <w:sz w:val="21"/>
          <w:szCs w:val="21"/>
          <w:highlight w:val="none"/>
          <w:u w:val="single"/>
          <w:lang w:val="zh-CN"/>
        </w:rPr>
        <w:t>为更快捷将</w:t>
      </w:r>
      <w:r>
        <w:rPr>
          <w:rFonts w:hint="eastAsia" w:ascii="宋体" w:hAnsi="宋体" w:cs="宋体"/>
          <w:b/>
          <w:bCs w:val="0"/>
          <w:color w:val="auto"/>
          <w:sz w:val="21"/>
          <w:szCs w:val="21"/>
          <w:highlight w:val="none"/>
          <w:u w:val="single"/>
        </w:rPr>
        <w:t>响应保证金</w:t>
      </w:r>
      <w:r>
        <w:rPr>
          <w:rFonts w:hint="eastAsia" w:ascii="宋体" w:hAnsi="宋体" w:cs="宋体"/>
          <w:b/>
          <w:bCs w:val="0"/>
          <w:color w:val="auto"/>
          <w:sz w:val="21"/>
          <w:szCs w:val="21"/>
          <w:highlight w:val="none"/>
          <w:u w:val="single"/>
          <w:lang w:val="zh-CN"/>
        </w:rPr>
        <w:t>关联到本项目，</w:t>
      </w:r>
      <w:r>
        <w:rPr>
          <w:rFonts w:hint="eastAsia" w:ascii="宋体" w:hAnsi="宋体" w:cs="宋体"/>
          <w:b/>
          <w:bCs w:val="0"/>
          <w:color w:val="auto"/>
          <w:sz w:val="21"/>
          <w:szCs w:val="21"/>
          <w:highlight w:val="none"/>
          <w:u w:val="single"/>
        </w:rPr>
        <w:t>供应商</w:t>
      </w:r>
      <w:r>
        <w:rPr>
          <w:rFonts w:hint="eastAsia" w:ascii="宋体" w:hAnsi="宋体" w:cs="宋体"/>
          <w:b/>
          <w:bCs w:val="0"/>
          <w:color w:val="auto"/>
          <w:sz w:val="21"/>
          <w:szCs w:val="21"/>
          <w:highlight w:val="none"/>
          <w:u w:val="single"/>
          <w:lang w:val="zh-CN"/>
        </w:rPr>
        <w:t>应在转账时注明</w:t>
      </w:r>
      <w:r>
        <w:rPr>
          <w:rFonts w:hint="eastAsia" w:ascii="宋体" w:hAnsi="宋体" w:cs="宋体"/>
          <w:b/>
          <w:bCs w:val="0"/>
          <w:color w:val="auto"/>
          <w:sz w:val="21"/>
          <w:szCs w:val="21"/>
          <w:highlight w:val="none"/>
          <w:u w:val="single"/>
        </w:rPr>
        <w:t>采购</w:t>
      </w:r>
      <w:r>
        <w:rPr>
          <w:rFonts w:hint="eastAsia" w:ascii="宋体" w:hAnsi="宋体" w:cs="宋体"/>
          <w:b/>
          <w:bCs w:val="0"/>
          <w:color w:val="auto"/>
          <w:sz w:val="21"/>
          <w:szCs w:val="21"/>
          <w:highlight w:val="none"/>
          <w:u w:val="single"/>
          <w:lang w:val="zh-CN"/>
        </w:rPr>
        <w:t>编号及号，否则因此导致的无法识别</w:t>
      </w:r>
      <w:r>
        <w:rPr>
          <w:rFonts w:hint="eastAsia" w:ascii="宋体" w:hAnsi="宋体" w:cs="宋体"/>
          <w:b/>
          <w:bCs w:val="0"/>
          <w:color w:val="auto"/>
          <w:sz w:val="21"/>
          <w:szCs w:val="21"/>
          <w:highlight w:val="none"/>
          <w:u w:val="single"/>
        </w:rPr>
        <w:t>响应保证金</w:t>
      </w:r>
      <w:r>
        <w:rPr>
          <w:rFonts w:hint="eastAsia" w:ascii="宋体" w:hAnsi="宋体" w:cs="宋体"/>
          <w:b/>
          <w:bCs w:val="0"/>
          <w:color w:val="auto"/>
          <w:sz w:val="21"/>
          <w:szCs w:val="21"/>
          <w:highlight w:val="none"/>
          <w:u w:val="single"/>
          <w:lang w:val="zh-CN"/>
        </w:rPr>
        <w:t>对应项目及等不利后果将由供应商承担</w:t>
      </w:r>
      <w:r>
        <w:rPr>
          <w:rFonts w:hint="eastAsia" w:ascii="宋体" w:hAnsi="宋体" w:cs="宋体"/>
          <w:b/>
          <w:bCs w:val="0"/>
          <w:color w:val="auto"/>
          <w:sz w:val="21"/>
          <w:szCs w:val="21"/>
          <w:highlight w:val="none"/>
          <w:lang w:val="zh-CN"/>
        </w:rPr>
        <w:t>。</w:t>
      </w:r>
    </w:p>
    <w:p w14:paraId="1C2DAA81">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15.5 未</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val="zh-CN"/>
        </w:rPr>
        <w:t>的</w:t>
      </w: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zh-CN"/>
        </w:rPr>
        <w:t>的</w:t>
      </w:r>
      <w:r>
        <w:rPr>
          <w:rFonts w:hint="eastAsia" w:ascii="宋体" w:hAnsi="宋体" w:cs="宋体"/>
          <w:color w:val="auto"/>
          <w:sz w:val="21"/>
          <w:szCs w:val="21"/>
          <w:highlight w:val="none"/>
        </w:rPr>
        <w:t>响应保证金</w:t>
      </w:r>
      <w:r>
        <w:rPr>
          <w:rFonts w:hint="eastAsia" w:ascii="宋体" w:hAnsi="宋体" w:cs="宋体"/>
          <w:color w:val="auto"/>
          <w:sz w:val="21"/>
          <w:szCs w:val="21"/>
          <w:highlight w:val="none"/>
          <w:lang w:val="zh-CN"/>
        </w:rPr>
        <w:t>，最迟应在本项目的书面合同签订后5日内，按照其</w:t>
      </w:r>
      <w:r>
        <w:rPr>
          <w:rFonts w:hint="eastAsia" w:ascii="宋体" w:hAnsi="宋体" w:cs="宋体"/>
          <w:color w:val="auto"/>
          <w:sz w:val="21"/>
          <w:szCs w:val="21"/>
          <w:highlight w:val="none"/>
        </w:rPr>
        <w:t>响应保证金</w:t>
      </w:r>
    </w:p>
    <w:p w14:paraId="1EF2CD1D">
      <w:pPr>
        <w:pStyle w:val="107"/>
        <w:ind w:left="528" w:leftChars="22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支付凭证上注明的收款人名称和账号予以退还，除非</w:t>
      </w:r>
      <w:r>
        <w:rPr>
          <w:rFonts w:hint="eastAsia" w:ascii="宋体" w:hAnsi="宋体" w:cs="宋体"/>
          <w:color w:val="auto"/>
          <w:sz w:val="21"/>
          <w:szCs w:val="21"/>
          <w:highlight w:val="none"/>
        </w:rPr>
        <w:t>响应保证金</w:t>
      </w:r>
      <w:r>
        <w:rPr>
          <w:rFonts w:hint="eastAsia" w:ascii="宋体" w:hAnsi="宋体" w:cs="宋体"/>
          <w:color w:val="auto"/>
          <w:sz w:val="21"/>
          <w:szCs w:val="21"/>
          <w:highlight w:val="none"/>
          <w:lang w:val="zh-CN"/>
        </w:rPr>
        <w:t>有效期已延长。</w:t>
      </w:r>
    </w:p>
    <w:p w14:paraId="63B3987E">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xml:space="preserve">15.6 </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val="zh-CN"/>
        </w:rPr>
        <w:t>人的</w:t>
      </w:r>
      <w:r>
        <w:rPr>
          <w:rFonts w:hint="eastAsia" w:ascii="宋体" w:hAnsi="宋体" w:cs="宋体"/>
          <w:color w:val="auto"/>
          <w:sz w:val="21"/>
          <w:szCs w:val="21"/>
          <w:highlight w:val="none"/>
        </w:rPr>
        <w:t>响应保证金</w:t>
      </w:r>
      <w:r>
        <w:rPr>
          <w:rFonts w:hint="eastAsia" w:ascii="宋体" w:hAnsi="宋体" w:cs="宋体"/>
          <w:color w:val="auto"/>
          <w:sz w:val="21"/>
          <w:szCs w:val="21"/>
          <w:highlight w:val="none"/>
          <w:lang w:val="zh-CN"/>
        </w:rPr>
        <w:t>，满足下列要求，并最迟应在本项目的书面合同签订后5日内退还。</w:t>
      </w:r>
    </w:p>
    <w:p w14:paraId="7BEDF422">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val="zh-CN"/>
        </w:rPr>
        <w:t>人提交了履约担保；</w:t>
      </w:r>
    </w:p>
    <w:p w14:paraId="72BBBECD">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（2）在</w:t>
      </w:r>
      <w:r>
        <w:rPr>
          <w:rFonts w:hint="eastAsia" w:ascii="宋体" w:hAnsi="宋体" w:cs="宋体"/>
          <w:color w:val="auto"/>
          <w:sz w:val="21"/>
          <w:szCs w:val="21"/>
          <w:highlight w:val="none"/>
        </w:rPr>
        <w:t>谈判</w:t>
      </w:r>
      <w:r>
        <w:rPr>
          <w:rFonts w:hint="eastAsia" w:ascii="宋体" w:hAnsi="宋体" w:cs="宋体"/>
          <w:color w:val="auto"/>
          <w:sz w:val="21"/>
          <w:szCs w:val="21"/>
          <w:highlight w:val="none"/>
          <w:lang w:val="zh-CN"/>
        </w:rPr>
        <w:t>过程中不存在违反本</w:t>
      </w:r>
      <w:r>
        <w:rPr>
          <w:rFonts w:hint="eastAsia" w:ascii="宋体" w:hAnsi="宋体" w:cs="宋体"/>
          <w:color w:val="auto"/>
          <w:sz w:val="21"/>
          <w:szCs w:val="21"/>
          <w:highlight w:val="none"/>
        </w:rPr>
        <w:t>竞争性谈判</w:t>
      </w:r>
      <w:r>
        <w:rPr>
          <w:rFonts w:hint="eastAsia" w:ascii="宋体" w:hAnsi="宋体" w:cs="宋体"/>
          <w:color w:val="auto"/>
          <w:sz w:val="21"/>
          <w:szCs w:val="21"/>
          <w:highlight w:val="none"/>
          <w:lang w:val="zh-CN"/>
        </w:rPr>
        <w:t>文件</w:t>
      </w:r>
      <w:r>
        <w:rPr>
          <w:rFonts w:hint="eastAsia" w:ascii="宋体" w:hAnsi="宋体" w:cs="宋体"/>
          <w:color w:val="auto"/>
          <w:sz w:val="21"/>
          <w:szCs w:val="21"/>
          <w:highlight w:val="none"/>
        </w:rPr>
        <w:t>或</w:t>
      </w:r>
      <w:r>
        <w:rPr>
          <w:rFonts w:hint="eastAsia" w:ascii="宋体" w:hAnsi="宋体" w:cs="宋体"/>
          <w:color w:val="auto"/>
          <w:sz w:val="21"/>
          <w:szCs w:val="21"/>
          <w:highlight w:val="none"/>
          <w:lang w:val="zh-CN"/>
        </w:rPr>
        <w:t>有关法律、法规、规章相关规定的行为。</w:t>
      </w:r>
    </w:p>
    <w:p w14:paraId="2793A174">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15.7 若发生下列情况，</w:t>
      </w:r>
      <w:r>
        <w:rPr>
          <w:rFonts w:hint="eastAsia" w:ascii="宋体" w:hAnsi="宋体" w:cs="宋体"/>
          <w:color w:val="auto"/>
          <w:sz w:val="21"/>
          <w:szCs w:val="21"/>
          <w:highlight w:val="none"/>
        </w:rPr>
        <w:t>采购</w:t>
      </w:r>
      <w:r>
        <w:rPr>
          <w:rFonts w:hint="eastAsia" w:ascii="宋体" w:hAnsi="宋体" w:cs="宋体"/>
          <w:color w:val="auto"/>
          <w:sz w:val="21"/>
          <w:szCs w:val="21"/>
          <w:highlight w:val="none"/>
          <w:lang w:val="zh-CN"/>
        </w:rPr>
        <w:t>人在书面通知</w:t>
      </w: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zh-CN"/>
        </w:rPr>
        <w:t>（或</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val="zh-CN"/>
        </w:rPr>
        <w:t>人）后有权不予退还</w:t>
      </w:r>
      <w:r>
        <w:rPr>
          <w:rFonts w:hint="eastAsia" w:ascii="宋体" w:hAnsi="宋体" w:cs="宋体"/>
          <w:color w:val="auto"/>
          <w:sz w:val="21"/>
          <w:szCs w:val="21"/>
          <w:highlight w:val="none"/>
        </w:rPr>
        <w:t>响应保证金</w:t>
      </w:r>
      <w:r>
        <w:rPr>
          <w:rFonts w:hint="eastAsia" w:ascii="宋体" w:hAnsi="宋体" w:cs="宋体"/>
          <w:color w:val="auto"/>
          <w:sz w:val="21"/>
          <w:szCs w:val="21"/>
          <w:highlight w:val="none"/>
          <w:lang w:val="zh-CN"/>
        </w:rPr>
        <w:t>：</w:t>
      </w:r>
    </w:p>
    <w:p w14:paraId="65A5B708">
      <w:pPr>
        <w:pStyle w:val="107"/>
        <w:ind w:left="528" w:leftChars="22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如果</w:t>
      </w: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zh-CN"/>
        </w:rPr>
        <w:t>（或</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val="zh-CN"/>
        </w:rPr>
        <w:t>人）：</w:t>
      </w:r>
    </w:p>
    <w:p w14:paraId="216B8A38">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zh-CN"/>
        </w:rPr>
        <w:t>在规定的</w:t>
      </w:r>
      <w:r>
        <w:rPr>
          <w:rFonts w:hint="eastAsia" w:ascii="宋体" w:hAnsi="宋体" w:cs="宋体"/>
          <w:color w:val="auto"/>
          <w:sz w:val="21"/>
          <w:szCs w:val="21"/>
          <w:highlight w:val="none"/>
        </w:rPr>
        <w:t>递交响应文件</w:t>
      </w:r>
      <w:r>
        <w:rPr>
          <w:rFonts w:hint="eastAsia" w:ascii="宋体" w:hAnsi="宋体" w:cs="宋体"/>
          <w:color w:val="auto"/>
          <w:sz w:val="21"/>
          <w:szCs w:val="21"/>
          <w:highlight w:val="none"/>
          <w:lang w:val="zh-CN"/>
        </w:rPr>
        <w:t>截止时间后至</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有效期满之前撤销或修改其</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w:t>
      </w:r>
    </w:p>
    <w:p w14:paraId="35A257CB">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val="zh-CN"/>
        </w:rPr>
        <w:t>人未能在规定期限内提交履约担保；</w:t>
      </w:r>
    </w:p>
    <w:p w14:paraId="300ECB3B">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（3）未根据第34条规定签署合同；</w:t>
      </w:r>
    </w:p>
    <w:p w14:paraId="42977106">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（4）将</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val="zh-CN"/>
        </w:rPr>
        <w:t>项目转让给他人，或者在</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文件中未说明，且未经</w:t>
      </w:r>
      <w:r>
        <w:rPr>
          <w:rFonts w:hint="eastAsia" w:ascii="宋体" w:hAnsi="宋体" w:cs="宋体"/>
          <w:color w:val="auto"/>
          <w:sz w:val="21"/>
          <w:szCs w:val="21"/>
          <w:highlight w:val="none"/>
        </w:rPr>
        <w:t>采购</w:t>
      </w:r>
      <w:r>
        <w:rPr>
          <w:rFonts w:hint="eastAsia" w:ascii="宋体" w:hAnsi="宋体" w:cs="宋体"/>
          <w:color w:val="auto"/>
          <w:sz w:val="21"/>
          <w:szCs w:val="21"/>
          <w:highlight w:val="none"/>
          <w:lang w:val="zh-CN"/>
        </w:rPr>
        <w:t>人同意，将</w:t>
      </w:r>
      <w:r>
        <w:rPr>
          <w:rFonts w:hint="eastAsia" w:ascii="宋体" w:hAnsi="宋体" w:cs="宋体"/>
          <w:color w:val="auto"/>
          <w:sz w:val="21"/>
          <w:szCs w:val="21"/>
          <w:highlight w:val="none"/>
        </w:rPr>
        <w:t>成交</w:t>
      </w:r>
      <w:r>
        <w:rPr>
          <w:rFonts w:hint="eastAsia" w:ascii="宋体" w:hAnsi="宋体" w:cs="宋体"/>
          <w:color w:val="auto"/>
          <w:sz w:val="21"/>
          <w:szCs w:val="21"/>
          <w:highlight w:val="none"/>
          <w:lang w:val="zh-CN"/>
        </w:rPr>
        <w:t>项目的合同的</w:t>
      </w:r>
    </w:p>
    <w:p w14:paraId="46D7BDCF">
      <w:pPr>
        <w:pStyle w:val="107"/>
        <w:ind w:left="528" w:leftChars="22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权利义务转让给第三方的；</w:t>
      </w:r>
    </w:p>
    <w:p w14:paraId="5D9984BD">
      <w:pPr>
        <w:pStyle w:val="107"/>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（5）提供虚假</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文件或虚假补充文件的，或违反有关法律、法规、规章相关规定的行为。</w:t>
      </w:r>
    </w:p>
    <w:p w14:paraId="65863EFE">
      <w:pPr>
        <w:pStyle w:val="107"/>
        <w:jc w:val="both"/>
        <w:rPr>
          <w:rFonts w:ascii="宋体" w:hAnsi="宋体" w:cs="宋体"/>
          <w:color w:val="auto"/>
          <w:highlight w:val="none"/>
          <w:lang w:val="zh-CN"/>
        </w:rPr>
      </w:pPr>
    </w:p>
    <w:p w14:paraId="6A2B8B89">
      <w:pPr>
        <w:tabs>
          <w:tab w:val="left" w:pos="567"/>
        </w:tabs>
        <w:spacing w:line="360" w:lineRule="auto"/>
        <w:ind w:left="567" w:hanging="567"/>
        <w:jc w:val="both"/>
        <w:outlineLvl w:val="2"/>
        <w:rPr>
          <w:rFonts w:ascii="宋体" w:hAnsi="宋体" w:cs="宋体"/>
          <w:color w:val="auto"/>
          <w:kern w:val="2"/>
          <w:sz w:val="21"/>
          <w:szCs w:val="21"/>
          <w:highlight w:val="none"/>
          <w:lang w:val="zh-CN"/>
        </w:rPr>
      </w:pPr>
      <w:bookmarkStart w:id="77" w:name="_Toc2159"/>
      <w:r>
        <w:rPr>
          <w:rFonts w:hint="eastAsia" w:ascii="宋体" w:hAnsi="宋体" w:cs="宋体"/>
          <w:color w:val="auto"/>
          <w:kern w:val="2"/>
          <w:sz w:val="21"/>
          <w:szCs w:val="21"/>
          <w:highlight w:val="none"/>
          <w:lang w:val="zh-CN"/>
        </w:rPr>
        <w:t>16</w:t>
      </w:r>
      <w:r>
        <w:rPr>
          <w:rFonts w:hint="eastAsia" w:ascii="宋体" w:hAnsi="宋体" w:cs="宋体"/>
          <w:color w:val="auto"/>
          <w:kern w:val="2"/>
          <w:sz w:val="21"/>
          <w:szCs w:val="21"/>
          <w:highlight w:val="none"/>
        </w:rPr>
        <w:t xml:space="preserve"> 响应</w:t>
      </w:r>
      <w:r>
        <w:rPr>
          <w:rFonts w:hint="eastAsia" w:ascii="宋体" w:hAnsi="宋体" w:cs="宋体"/>
          <w:color w:val="auto"/>
          <w:kern w:val="2"/>
          <w:sz w:val="21"/>
          <w:szCs w:val="21"/>
          <w:highlight w:val="none"/>
          <w:lang w:val="zh-CN"/>
        </w:rPr>
        <w:t>有效期</w:t>
      </w:r>
      <w:bookmarkEnd w:id="75"/>
      <w:bookmarkEnd w:id="76"/>
      <w:bookmarkEnd w:id="77"/>
    </w:p>
    <w:p w14:paraId="2394EAE0">
      <w:pPr>
        <w:tabs>
          <w:tab w:val="left" w:pos="567"/>
        </w:tabs>
        <w:spacing w:line="360" w:lineRule="auto"/>
        <w:ind w:left="525" w:hanging="525" w:hangingChars="250"/>
        <w:jc w:val="both"/>
        <w:rPr>
          <w:rFonts w:ascii="宋体" w:hAnsi="宋体" w:cs="宋体"/>
          <w:b/>
          <w:bCs/>
          <w:color w:val="auto"/>
          <w:kern w:val="2"/>
          <w:sz w:val="21"/>
          <w:szCs w:val="21"/>
          <w:highlight w:val="none"/>
          <w:lang w:val="zh-CN"/>
        </w:rPr>
      </w:pPr>
      <w:r>
        <w:rPr>
          <w:rFonts w:hint="eastAsia" w:ascii="宋体" w:hAnsi="宋体" w:cs="宋体"/>
          <w:color w:val="auto"/>
          <w:kern w:val="2"/>
          <w:sz w:val="21"/>
          <w:szCs w:val="21"/>
          <w:highlight w:val="none"/>
          <w:lang w:val="zh-CN"/>
        </w:rPr>
        <w:t>16.1</w:t>
      </w:r>
      <w:r>
        <w:rPr>
          <w:rFonts w:hint="eastAsia" w:ascii="宋体" w:hAnsi="宋体" w:cs="宋体"/>
          <w:color w:val="auto"/>
          <w:kern w:val="2"/>
          <w:sz w:val="21"/>
          <w:szCs w:val="21"/>
          <w:highlight w:val="none"/>
        </w:rPr>
        <w:t xml:space="preserve"> </w:t>
      </w:r>
      <w:r>
        <w:rPr>
          <w:rFonts w:hint="eastAsia" w:ascii="宋体" w:hAnsi="宋体" w:cs="宋体"/>
          <w:b/>
          <w:bCs/>
          <w:color w:val="auto"/>
          <w:kern w:val="2"/>
          <w:sz w:val="21"/>
          <w:szCs w:val="21"/>
          <w:highlight w:val="none"/>
          <w:u w:val="single"/>
          <w:lang w:val="zh-CN"/>
        </w:rPr>
        <w:t>响应文件将在递交响应文件截止时间届满后90日内有效。</w:t>
      </w:r>
      <w:r>
        <w:rPr>
          <w:rFonts w:hint="eastAsia" w:ascii="宋体" w:hAnsi="宋体" w:cs="宋体"/>
          <w:b/>
          <w:bCs/>
          <w:color w:val="auto"/>
          <w:kern w:val="2"/>
          <w:sz w:val="21"/>
          <w:szCs w:val="21"/>
          <w:highlight w:val="none"/>
          <w:u w:val="single"/>
        </w:rPr>
        <w:t>响应</w:t>
      </w:r>
      <w:r>
        <w:rPr>
          <w:rFonts w:hint="eastAsia" w:ascii="宋体" w:hAnsi="宋体" w:cs="宋体"/>
          <w:b/>
          <w:bCs/>
          <w:color w:val="auto"/>
          <w:kern w:val="2"/>
          <w:sz w:val="21"/>
          <w:szCs w:val="21"/>
          <w:highlight w:val="none"/>
          <w:u w:val="single"/>
          <w:lang w:val="zh-CN"/>
        </w:rPr>
        <w:t>有效期比规定时间短的</w:t>
      </w:r>
      <w:r>
        <w:rPr>
          <w:rFonts w:hint="eastAsia" w:ascii="宋体" w:hAnsi="宋体" w:cs="宋体"/>
          <w:b/>
          <w:bCs/>
          <w:color w:val="auto"/>
          <w:kern w:val="2"/>
          <w:sz w:val="21"/>
          <w:szCs w:val="21"/>
          <w:highlight w:val="none"/>
          <w:u w:val="single"/>
        </w:rPr>
        <w:t>按无效响应文件处理</w:t>
      </w:r>
      <w:r>
        <w:rPr>
          <w:rFonts w:hint="eastAsia" w:ascii="宋体" w:hAnsi="宋体" w:cs="宋体"/>
          <w:b/>
          <w:bCs/>
          <w:color w:val="auto"/>
          <w:kern w:val="2"/>
          <w:sz w:val="21"/>
          <w:szCs w:val="21"/>
          <w:highlight w:val="none"/>
          <w:lang w:val="zh-CN"/>
        </w:rPr>
        <w:t>。</w:t>
      </w:r>
    </w:p>
    <w:p w14:paraId="230360A1">
      <w:pPr>
        <w:spacing w:line="360" w:lineRule="auto"/>
        <w:ind w:left="567" w:hanging="567"/>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16.2</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成交人的响应文件作为合同附件，合同失效时同时失效。</w:t>
      </w:r>
    </w:p>
    <w:p w14:paraId="539EBE61">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16.3</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在特殊情况下，采购代理机构可于</w:t>
      </w:r>
      <w:r>
        <w:rPr>
          <w:rFonts w:hint="eastAsia" w:ascii="宋体" w:hAnsi="宋体" w:cs="宋体"/>
          <w:color w:val="auto"/>
          <w:kern w:val="2"/>
          <w:sz w:val="21"/>
          <w:szCs w:val="21"/>
          <w:highlight w:val="none"/>
        </w:rPr>
        <w:t>响应文件</w:t>
      </w:r>
      <w:r>
        <w:rPr>
          <w:rFonts w:hint="eastAsia" w:ascii="宋体" w:hAnsi="宋体" w:cs="宋体"/>
          <w:color w:val="auto"/>
          <w:kern w:val="2"/>
          <w:sz w:val="21"/>
          <w:szCs w:val="21"/>
          <w:highlight w:val="none"/>
          <w:lang w:val="zh-CN"/>
        </w:rPr>
        <w:t>有效期满之前要求供应商同意延长</w:t>
      </w:r>
      <w:r>
        <w:rPr>
          <w:rFonts w:hint="eastAsia" w:ascii="宋体" w:hAnsi="宋体" w:cs="宋体"/>
          <w:color w:val="auto"/>
          <w:kern w:val="2"/>
          <w:sz w:val="21"/>
          <w:szCs w:val="21"/>
          <w:highlight w:val="none"/>
        </w:rPr>
        <w:t>响应文件</w:t>
      </w:r>
      <w:r>
        <w:rPr>
          <w:rFonts w:hint="eastAsia" w:ascii="宋体" w:hAnsi="宋体" w:cs="宋体"/>
          <w:color w:val="auto"/>
          <w:kern w:val="2"/>
          <w:sz w:val="21"/>
          <w:szCs w:val="21"/>
          <w:highlight w:val="none"/>
          <w:lang w:val="zh-CN"/>
        </w:rPr>
        <w:t>有效期。要求与答复均应为书面形式往来。供应商可以拒绝上述要求，</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人将退还其</w:t>
      </w:r>
      <w:r>
        <w:rPr>
          <w:rFonts w:hint="eastAsia" w:ascii="宋体" w:hAnsi="宋体" w:cs="宋体"/>
          <w:color w:val="auto"/>
          <w:kern w:val="2"/>
          <w:sz w:val="21"/>
          <w:szCs w:val="21"/>
          <w:highlight w:val="none"/>
        </w:rPr>
        <w:t>响应保证金</w:t>
      </w:r>
      <w:r>
        <w:rPr>
          <w:rFonts w:hint="eastAsia" w:ascii="宋体" w:hAnsi="宋体" w:cs="宋体"/>
          <w:color w:val="auto"/>
          <w:kern w:val="2"/>
          <w:sz w:val="21"/>
          <w:szCs w:val="21"/>
          <w:highlight w:val="none"/>
          <w:lang w:val="zh-CN"/>
        </w:rPr>
        <w:t>。对于同意该要求的</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，既不要求也不允许其修改</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文件，但将要求其相应延长</w:t>
      </w:r>
      <w:r>
        <w:rPr>
          <w:rFonts w:hint="eastAsia" w:ascii="宋体" w:hAnsi="宋体" w:cs="宋体"/>
          <w:color w:val="auto"/>
          <w:kern w:val="2"/>
          <w:sz w:val="21"/>
          <w:szCs w:val="21"/>
          <w:highlight w:val="none"/>
        </w:rPr>
        <w:t>响应保证金</w:t>
      </w:r>
      <w:r>
        <w:rPr>
          <w:rFonts w:hint="eastAsia" w:ascii="宋体" w:hAnsi="宋体" w:cs="宋体"/>
          <w:color w:val="auto"/>
          <w:kern w:val="2"/>
          <w:sz w:val="21"/>
          <w:szCs w:val="21"/>
          <w:highlight w:val="none"/>
          <w:lang w:val="zh-CN"/>
        </w:rPr>
        <w:t>的有效期。第15条</w:t>
      </w:r>
      <w:r>
        <w:rPr>
          <w:rFonts w:hint="eastAsia" w:ascii="宋体" w:hAnsi="宋体" w:cs="宋体"/>
          <w:color w:val="auto"/>
          <w:kern w:val="2"/>
          <w:sz w:val="21"/>
          <w:szCs w:val="21"/>
          <w:highlight w:val="none"/>
        </w:rPr>
        <w:t>响应保证金</w:t>
      </w:r>
      <w:r>
        <w:rPr>
          <w:rFonts w:hint="eastAsia" w:ascii="宋体" w:hAnsi="宋体" w:cs="宋体"/>
          <w:color w:val="auto"/>
          <w:kern w:val="2"/>
          <w:sz w:val="21"/>
          <w:szCs w:val="21"/>
          <w:highlight w:val="none"/>
          <w:lang w:val="zh-CN"/>
        </w:rPr>
        <w:t>的有关规定在</w:t>
      </w:r>
      <w:r>
        <w:rPr>
          <w:rFonts w:hint="eastAsia" w:ascii="宋体" w:hAnsi="宋体" w:cs="宋体"/>
          <w:color w:val="auto"/>
          <w:kern w:val="2"/>
          <w:sz w:val="21"/>
          <w:szCs w:val="21"/>
          <w:highlight w:val="none"/>
        </w:rPr>
        <w:t>响应保证金</w:t>
      </w:r>
      <w:r>
        <w:rPr>
          <w:rFonts w:hint="eastAsia" w:ascii="宋体" w:hAnsi="宋体" w:cs="宋体"/>
          <w:color w:val="auto"/>
          <w:kern w:val="2"/>
          <w:sz w:val="21"/>
          <w:szCs w:val="21"/>
          <w:highlight w:val="none"/>
          <w:lang w:val="zh-CN"/>
        </w:rPr>
        <w:t>延长期内仍适用。</w:t>
      </w:r>
    </w:p>
    <w:p w14:paraId="0BFA6A6E">
      <w:pPr>
        <w:spacing w:line="360" w:lineRule="auto"/>
        <w:ind w:left="567" w:hanging="567"/>
        <w:jc w:val="both"/>
        <w:rPr>
          <w:rFonts w:ascii="宋体" w:hAnsi="宋体" w:cs="宋体"/>
          <w:color w:val="auto"/>
          <w:kern w:val="2"/>
          <w:sz w:val="21"/>
          <w:szCs w:val="21"/>
          <w:highlight w:val="none"/>
          <w:lang w:val="zh-CN"/>
        </w:rPr>
      </w:pPr>
    </w:p>
    <w:p w14:paraId="20D1B39D">
      <w:pPr>
        <w:tabs>
          <w:tab w:val="left" w:pos="567"/>
        </w:tabs>
        <w:spacing w:line="360" w:lineRule="auto"/>
        <w:ind w:left="567" w:hanging="567"/>
        <w:jc w:val="both"/>
        <w:outlineLvl w:val="2"/>
        <w:rPr>
          <w:rFonts w:ascii="宋体" w:hAnsi="宋体" w:cs="宋体"/>
          <w:color w:val="auto"/>
          <w:kern w:val="2"/>
          <w:sz w:val="21"/>
          <w:szCs w:val="21"/>
          <w:highlight w:val="none"/>
          <w:lang w:val="zh-CN"/>
        </w:rPr>
      </w:pPr>
      <w:bookmarkStart w:id="78" w:name="_Toc521918084"/>
      <w:bookmarkStart w:id="79" w:name="_Toc7081"/>
      <w:bookmarkStart w:id="80" w:name="_Toc450662866"/>
      <w:r>
        <w:rPr>
          <w:rFonts w:hint="eastAsia" w:ascii="宋体" w:hAnsi="宋体" w:cs="宋体"/>
          <w:color w:val="auto"/>
          <w:kern w:val="2"/>
          <w:sz w:val="21"/>
          <w:szCs w:val="21"/>
          <w:highlight w:val="none"/>
          <w:lang w:val="zh-CN"/>
        </w:rPr>
        <w:t>17</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响应文件的式样和签署</w:t>
      </w:r>
      <w:bookmarkEnd w:id="78"/>
      <w:bookmarkEnd w:id="79"/>
      <w:bookmarkEnd w:id="80"/>
    </w:p>
    <w:p w14:paraId="27E4439C">
      <w:pPr>
        <w:tabs>
          <w:tab w:val="left" w:pos="567"/>
        </w:tabs>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17.1</w:t>
      </w:r>
      <w:r>
        <w:rPr>
          <w:rFonts w:hint="eastAsia" w:ascii="宋体" w:hAnsi="宋体" w:cs="宋体"/>
          <w:color w:val="auto"/>
          <w:kern w:val="2"/>
          <w:sz w:val="21"/>
          <w:szCs w:val="21"/>
          <w:highlight w:val="none"/>
        </w:rPr>
        <w:t xml:space="preserve"> </w:t>
      </w:r>
      <w:r>
        <w:rPr>
          <w:rFonts w:hint="eastAsia" w:ascii="宋体" w:hAnsi="宋体" w:cs="宋体"/>
          <w:b/>
          <w:color w:val="auto"/>
          <w:kern w:val="2"/>
          <w:sz w:val="21"/>
          <w:szCs w:val="21"/>
          <w:highlight w:val="none"/>
          <w:u w:val="single"/>
          <w:lang w:val="zh-CN"/>
        </w:rPr>
        <w:t>供应商应准备一份响应文件电子文件、一份正本和</w:t>
      </w:r>
      <w:r>
        <w:rPr>
          <w:rFonts w:hint="eastAsia" w:ascii="宋体" w:hAnsi="宋体" w:cs="宋体"/>
          <w:b/>
          <w:color w:val="auto"/>
          <w:kern w:val="2"/>
          <w:sz w:val="21"/>
          <w:szCs w:val="21"/>
          <w:highlight w:val="none"/>
          <w:u w:val="single"/>
        </w:rPr>
        <w:t>五</w:t>
      </w:r>
      <w:r>
        <w:rPr>
          <w:rFonts w:hint="eastAsia" w:ascii="宋体" w:hAnsi="宋体" w:cs="宋体"/>
          <w:b/>
          <w:color w:val="auto"/>
          <w:kern w:val="2"/>
          <w:sz w:val="21"/>
          <w:szCs w:val="21"/>
          <w:highlight w:val="none"/>
          <w:u w:val="single"/>
          <w:lang w:val="zh-CN"/>
        </w:rPr>
        <w:t>份副本“响应文件”</w:t>
      </w:r>
      <w:r>
        <w:rPr>
          <w:rFonts w:hint="eastAsia" w:ascii="宋体" w:hAnsi="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7B028CA3">
      <w:pPr>
        <w:tabs>
          <w:tab w:val="left" w:pos="567"/>
        </w:tabs>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17.2</w:t>
      </w:r>
      <w:r>
        <w:rPr>
          <w:rFonts w:hint="eastAsia" w:ascii="宋体" w:hAnsi="宋体" w:cs="宋体"/>
          <w:color w:val="auto"/>
          <w:kern w:val="2"/>
          <w:sz w:val="21"/>
          <w:szCs w:val="21"/>
          <w:highlight w:val="none"/>
        </w:rPr>
        <w:t xml:space="preserve"> </w:t>
      </w:r>
      <w:r>
        <w:rPr>
          <w:rFonts w:hint="eastAsia" w:ascii="宋体" w:hAnsi="宋体" w:cs="宋体"/>
          <w:bCs/>
          <w:color w:val="auto"/>
          <w:kern w:val="2"/>
          <w:sz w:val="21"/>
          <w:szCs w:val="21"/>
          <w:highlight w:val="none"/>
          <w:lang w:val="zh-CN"/>
        </w:rPr>
        <w:t>响应文件正本和副本须打印或用不褪色墨水书写，竞争性谈判文件提供的格式文件或响应文件中</w:t>
      </w:r>
      <w:r>
        <w:rPr>
          <w:rFonts w:hint="eastAsia" w:ascii="宋体" w:hAnsi="宋体" w:cs="宋体"/>
          <w:color w:val="auto"/>
          <w:kern w:val="2"/>
          <w:sz w:val="21"/>
          <w:szCs w:val="21"/>
          <w:highlight w:val="none"/>
          <w:lang w:val="zh-CN"/>
        </w:rPr>
        <w:t>明确要求签署的，</w:t>
      </w:r>
      <w:r>
        <w:rPr>
          <w:rFonts w:hint="eastAsia" w:ascii="宋体" w:hAnsi="宋体" w:cs="宋体"/>
          <w:color w:val="auto"/>
          <w:kern w:val="2"/>
          <w:sz w:val="21"/>
          <w:szCs w:val="21"/>
          <w:highlight w:val="none"/>
        </w:rPr>
        <w:t>由供应商法定代表人或其授权代表签字（或盖私章），后者须将“法定代表人授权书”以书面形式附在响应文件中。副本文件可由正本文件复印而成。</w:t>
      </w:r>
    </w:p>
    <w:p w14:paraId="2BDA48AB">
      <w:pPr>
        <w:spacing w:line="360" w:lineRule="auto"/>
        <w:ind w:left="525" w:hanging="525" w:hangingChars="250"/>
        <w:jc w:val="both"/>
        <w:rPr>
          <w:rFonts w:ascii="宋体" w:hAnsi="宋体" w:cs="宋体"/>
          <w:bCs/>
          <w:color w:val="auto"/>
          <w:kern w:val="2"/>
          <w:sz w:val="21"/>
          <w:szCs w:val="21"/>
          <w:highlight w:val="none"/>
          <w:lang w:val="zh-CN"/>
        </w:rPr>
      </w:pPr>
      <w:r>
        <w:rPr>
          <w:rFonts w:hint="eastAsia" w:ascii="宋体" w:hAnsi="宋体" w:cs="宋体"/>
          <w:color w:val="auto"/>
          <w:kern w:val="2"/>
          <w:sz w:val="21"/>
          <w:szCs w:val="21"/>
          <w:highlight w:val="none"/>
          <w:lang w:val="zh-CN"/>
        </w:rPr>
        <w:t>17.3</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除供应商对错处作必要修改外，响应文件中不许有加行、涂抹或改写。</w:t>
      </w:r>
      <w:r>
        <w:rPr>
          <w:rFonts w:hint="eastAsia" w:ascii="宋体" w:hAnsi="宋体" w:cs="宋体"/>
          <w:bCs/>
          <w:color w:val="auto"/>
          <w:kern w:val="2"/>
          <w:sz w:val="21"/>
          <w:szCs w:val="21"/>
          <w:highlight w:val="none"/>
          <w:lang w:val="zh-CN"/>
        </w:rPr>
        <w:t>若有修改须由签署响应文件的人进行签字（或盖私章），并加盖供应商法人公章。</w:t>
      </w:r>
    </w:p>
    <w:p w14:paraId="7022A0E9">
      <w:pPr>
        <w:spacing w:line="360" w:lineRule="auto"/>
        <w:ind w:left="525" w:hanging="525" w:hangingChars="250"/>
        <w:jc w:val="both"/>
        <w:rPr>
          <w:rFonts w:ascii="宋体" w:hAnsi="宋体" w:cs="宋体"/>
          <w:b/>
          <w:bCs/>
          <w:color w:val="auto"/>
          <w:kern w:val="2"/>
          <w:sz w:val="21"/>
          <w:szCs w:val="21"/>
          <w:highlight w:val="none"/>
          <w:u w:val="single"/>
          <w:lang w:val="zh-CN"/>
        </w:rPr>
      </w:pPr>
      <w:r>
        <w:rPr>
          <w:rFonts w:hint="eastAsia" w:ascii="宋体" w:hAnsi="宋体" w:cs="宋体"/>
          <w:color w:val="auto"/>
          <w:kern w:val="2"/>
          <w:sz w:val="21"/>
          <w:szCs w:val="21"/>
          <w:highlight w:val="none"/>
          <w:lang w:val="zh-CN"/>
        </w:rPr>
        <w:t>17.4 响应文件的封面应注明“项目名称、采购编号、</w:t>
      </w:r>
      <w:r>
        <w:rPr>
          <w:rFonts w:hint="eastAsia" w:ascii="宋体" w:hAnsi="宋体" w:cs="宋体"/>
          <w:color w:val="auto"/>
          <w:kern w:val="2"/>
          <w:sz w:val="21"/>
          <w:szCs w:val="21"/>
          <w:highlight w:val="none"/>
        </w:rPr>
        <w:t>号、</w:t>
      </w:r>
      <w:r>
        <w:rPr>
          <w:rFonts w:hint="eastAsia" w:ascii="宋体" w:hAnsi="宋体" w:cs="宋体"/>
          <w:color w:val="auto"/>
          <w:kern w:val="2"/>
          <w:sz w:val="21"/>
          <w:szCs w:val="21"/>
          <w:highlight w:val="none"/>
          <w:lang w:val="zh-CN"/>
        </w:rPr>
        <w:t>供应商名称、</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日期等”。</w:t>
      </w:r>
    </w:p>
    <w:p w14:paraId="7B83EDD9">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17.5</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电子文件：电子文件不可设置密码，用DVD或CD-R光盘</w:t>
      </w:r>
      <w:r>
        <w:rPr>
          <w:rFonts w:hint="eastAsia" w:ascii="宋体" w:hAnsi="宋体" w:cs="宋体"/>
          <w:color w:val="auto"/>
          <w:kern w:val="2"/>
          <w:sz w:val="21"/>
          <w:szCs w:val="21"/>
          <w:highlight w:val="none"/>
        </w:rPr>
        <w:t>或U盘</w:t>
      </w:r>
      <w:r>
        <w:rPr>
          <w:rFonts w:hint="eastAsia" w:ascii="宋体" w:hAnsi="宋体" w:cs="宋体"/>
          <w:color w:val="auto"/>
          <w:kern w:val="2"/>
          <w:sz w:val="21"/>
          <w:szCs w:val="21"/>
          <w:highlight w:val="none"/>
          <w:lang w:val="zh-CN"/>
        </w:rPr>
        <w:t>储存 ，并</w:t>
      </w:r>
      <w:r>
        <w:rPr>
          <w:rFonts w:hint="eastAsia" w:ascii="宋体" w:hAnsi="宋体" w:cs="宋体"/>
          <w:color w:val="auto"/>
          <w:kern w:val="2"/>
          <w:sz w:val="21"/>
          <w:szCs w:val="21"/>
          <w:highlight w:val="none"/>
        </w:rPr>
        <w:t>独立</w:t>
      </w:r>
      <w:r>
        <w:rPr>
          <w:rFonts w:hint="eastAsia" w:ascii="宋体" w:hAnsi="宋体" w:cs="宋体"/>
          <w:color w:val="auto"/>
          <w:kern w:val="2"/>
          <w:sz w:val="21"/>
          <w:szCs w:val="21"/>
          <w:highlight w:val="none"/>
          <w:lang w:val="zh-CN"/>
        </w:rPr>
        <w:t>密封（电子文件的包装封面需注明项目名称、采购编号、</w:t>
      </w:r>
      <w:r>
        <w:rPr>
          <w:rFonts w:hint="eastAsia" w:ascii="宋体" w:hAnsi="宋体" w:cs="宋体"/>
          <w:color w:val="auto"/>
          <w:kern w:val="2"/>
          <w:sz w:val="21"/>
          <w:szCs w:val="21"/>
          <w:highlight w:val="none"/>
        </w:rPr>
        <w:t>号、</w:t>
      </w:r>
      <w:r>
        <w:rPr>
          <w:rFonts w:hint="eastAsia" w:ascii="宋体" w:hAnsi="宋体" w:cs="宋体"/>
          <w:color w:val="auto"/>
          <w:kern w:val="2"/>
          <w:sz w:val="21"/>
          <w:szCs w:val="21"/>
          <w:highlight w:val="none"/>
          <w:lang w:val="zh-CN"/>
        </w:rPr>
        <w:t>供应商名称，并加盖供应商法人公章）。</w:t>
      </w:r>
    </w:p>
    <w:p w14:paraId="0F488A8E">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17.6</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电报、电传、传真的</w:t>
      </w:r>
      <w:r>
        <w:rPr>
          <w:rFonts w:hint="eastAsia" w:ascii="宋体" w:hAnsi="宋体" w:cs="宋体"/>
          <w:color w:val="auto"/>
          <w:kern w:val="2"/>
          <w:sz w:val="21"/>
          <w:szCs w:val="21"/>
          <w:highlight w:val="none"/>
        </w:rPr>
        <w:t>响应文件</w:t>
      </w:r>
      <w:r>
        <w:rPr>
          <w:rFonts w:hint="eastAsia" w:ascii="宋体" w:hAnsi="宋体" w:cs="宋体"/>
          <w:color w:val="auto"/>
          <w:kern w:val="2"/>
          <w:sz w:val="21"/>
          <w:szCs w:val="21"/>
          <w:highlight w:val="none"/>
          <w:lang w:val="zh-CN"/>
        </w:rPr>
        <w:t>概不接受。</w:t>
      </w:r>
      <w:bookmarkStart w:id="81" w:name="_Toc450662867"/>
    </w:p>
    <w:p w14:paraId="6CF832A3">
      <w:pPr>
        <w:spacing w:line="360" w:lineRule="auto"/>
        <w:ind w:left="567" w:hanging="567"/>
        <w:jc w:val="both"/>
        <w:rPr>
          <w:rFonts w:ascii="宋体" w:hAnsi="宋体" w:cs="宋体"/>
          <w:color w:val="auto"/>
          <w:kern w:val="2"/>
          <w:sz w:val="21"/>
          <w:szCs w:val="21"/>
          <w:highlight w:val="none"/>
          <w:lang w:val="zh-CN"/>
        </w:rPr>
      </w:pPr>
    </w:p>
    <w:p w14:paraId="08BB9B3E">
      <w:pPr>
        <w:pStyle w:val="5"/>
        <w:keepNext/>
        <w:keepLines/>
        <w:tabs>
          <w:tab w:val="left" w:pos="567"/>
        </w:tabs>
        <w:spacing w:line="360" w:lineRule="auto"/>
        <w:ind w:firstLine="211" w:firstLineChars="100"/>
        <w:jc w:val="both"/>
        <w:rPr>
          <w:rFonts w:ascii="宋体" w:hAnsi="宋体" w:eastAsia="宋体" w:cs="宋体"/>
          <w:b/>
          <w:bCs/>
          <w:color w:val="auto"/>
          <w:kern w:val="44"/>
          <w:sz w:val="21"/>
          <w:szCs w:val="21"/>
          <w:highlight w:val="none"/>
          <w:lang w:val="zh-CN"/>
        </w:rPr>
      </w:pPr>
      <w:bookmarkStart w:id="82" w:name="_Toc521918085"/>
      <w:bookmarkStart w:id="83" w:name="_Toc17947"/>
      <w:r>
        <w:rPr>
          <w:rFonts w:hint="eastAsia" w:ascii="宋体" w:hAnsi="宋体" w:eastAsia="宋体" w:cs="宋体"/>
          <w:b/>
          <w:bCs/>
          <w:color w:val="auto"/>
          <w:kern w:val="44"/>
          <w:sz w:val="21"/>
          <w:szCs w:val="21"/>
          <w:highlight w:val="none"/>
          <w:lang w:val="zh-CN"/>
        </w:rPr>
        <w:t>四、响应文件的递交</w:t>
      </w:r>
      <w:bookmarkEnd w:id="81"/>
      <w:bookmarkEnd w:id="82"/>
      <w:bookmarkEnd w:id="83"/>
    </w:p>
    <w:p w14:paraId="203F4F19">
      <w:pPr>
        <w:tabs>
          <w:tab w:val="left" w:pos="567"/>
        </w:tabs>
        <w:spacing w:line="360" w:lineRule="auto"/>
        <w:ind w:left="525" w:hanging="525" w:hangingChars="250"/>
        <w:jc w:val="both"/>
        <w:outlineLvl w:val="2"/>
        <w:rPr>
          <w:rFonts w:ascii="宋体" w:hAnsi="宋体" w:cs="宋体"/>
          <w:color w:val="auto"/>
          <w:kern w:val="2"/>
          <w:sz w:val="21"/>
          <w:szCs w:val="21"/>
          <w:highlight w:val="none"/>
          <w:lang w:val="zh-CN"/>
        </w:rPr>
      </w:pPr>
      <w:bookmarkStart w:id="84" w:name="_Toc521918086"/>
      <w:bookmarkStart w:id="85" w:name="_Toc24791"/>
      <w:bookmarkStart w:id="86" w:name="_Toc450662868"/>
      <w:r>
        <w:rPr>
          <w:rFonts w:hint="eastAsia" w:ascii="宋体" w:hAnsi="宋体" w:cs="宋体"/>
          <w:color w:val="auto"/>
          <w:kern w:val="2"/>
          <w:sz w:val="21"/>
          <w:szCs w:val="21"/>
          <w:highlight w:val="none"/>
          <w:lang w:val="zh-CN"/>
        </w:rPr>
        <w:t>18</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响应文件的密封和标记</w:t>
      </w:r>
      <w:bookmarkEnd w:id="84"/>
      <w:bookmarkEnd w:id="85"/>
      <w:bookmarkEnd w:id="86"/>
    </w:p>
    <w:p w14:paraId="37CA470D">
      <w:pPr>
        <w:tabs>
          <w:tab w:val="left" w:pos="567"/>
        </w:tabs>
        <w:spacing w:line="360" w:lineRule="auto"/>
        <w:ind w:left="525" w:right="18"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18.1</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供应商应将所有正本和副本响应文件（本处不含响应文件电子文件）密封在不透明的外层封装中。</w:t>
      </w:r>
    </w:p>
    <w:p w14:paraId="661496CF">
      <w:pPr>
        <w:spacing w:line="360" w:lineRule="auto"/>
        <w:ind w:left="525" w:right="18"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18.</w:t>
      </w:r>
      <w:r>
        <w:rPr>
          <w:rFonts w:hint="eastAsia" w:ascii="宋体" w:hAnsi="宋体" w:cs="宋体"/>
          <w:color w:val="auto"/>
          <w:kern w:val="2"/>
          <w:sz w:val="21"/>
          <w:szCs w:val="21"/>
          <w:highlight w:val="none"/>
        </w:rPr>
        <w:t xml:space="preserve">2 </w:t>
      </w:r>
      <w:r>
        <w:rPr>
          <w:rFonts w:hint="eastAsia" w:ascii="宋体" w:hAnsi="宋体" w:cs="宋体"/>
          <w:color w:val="auto"/>
          <w:kern w:val="2"/>
          <w:sz w:val="21"/>
          <w:szCs w:val="21"/>
          <w:highlight w:val="none"/>
          <w:lang w:val="zh-CN"/>
        </w:rPr>
        <w:t>响应文件密封封装标记：</w:t>
      </w:r>
    </w:p>
    <w:p w14:paraId="3EEA8247">
      <w:pPr>
        <w:spacing w:line="360" w:lineRule="auto"/>
        <w:ind w:left="525" w:right="3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（1）外层密封封装表面应正确注明项目名称、</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编号、号、</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名称、并注明</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文件递交截止时间之前不得开封（在封口位置的封条上标注注明），封口位置的封条上须加盖</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法人公章；</w:t>
      </w:r>
    </w:p>
    <w:p w14:paraId="4594BA08">
      <w:pPr>
        <w:spacing w:line="360" w:lineRule="auto"/>
        <w:ind w:left="525" w:right="3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（2）</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文件已密封但不按前述标志封包，由此而引起的提前开封或错放责任由</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承担；</w:t>
      </w:r>
    </w:p>
    <w:p w14:paraId="75B18F62">
      <w:pPr>
        <w:spacing w:line="360" w:lineRule="auto"/>
        <w:ind w:left="525" w:right="3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（3）不足以造成</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文件可以从外包装内散出而导致</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文件泄密的，不认定为</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文件未密封。</w:t>
      </w:r>
    </w:p>
    <w:p w14:paraId="37D69192">
      <w:pPr>
        <w:tabs>
          <w:tab w:val="left" w:pos="567"/>
        </w:tabs>
        <w:spacing w:line="360" w:lineRule="auto"/>
        <w:ind w:left="525" w:right="18"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18.</w:t>
      </w:r>
      <w:r>
        <w:rPr>
          <w:rFonts w:hint="eastAsia" w:ascii="宋体" w:hAnsi="宋体" w:cs="宋体"/>
          <w:color w:val="auto"/>
          <w:kern w:val="2"/>
          <w:sz w:val="21"/>
          <w:szCs w:val="21"/>
          <w:highlight w:val="none"/>
        </w:rPr>
        <w:t xml:space="preserve">3 </w:t>
      </w:r>
      <w:r>
        <w:rPr>
          <w:rFonts w:hint="eastAsia" w:ascii="宋体" w:hAnsi="宋体" w:cs="宋体"/>
          <w:b/>
          <w:bCs/>
          <w:color w:val="auto"/>
          <w:kern w:val="2"/>
          <w:sz w:val="21"/>
          <w:szCs w:val="21"/>
          <w:highlight w:val="none"/>
          <w:u w:val="single"/>
          <w:lang w:val="zh-CN"/>
        </w:rPr>
        <w:t>如果密封封装未按本款规定密封和标记，采购代理机构对响应文件的误投或提前拆封不负责任。对由此造成提前开封的响应文件，采购代理机构予以拒绝，并退回供应商</w:t>
      </w:r>
      <w:r>
        <w:rPr>
          <w:rFonts w:hint="eastAsia" w:ascii="宋体" w:hAnsi="宋体" w:cs="宋体"/>
          <w:b/>
          <w:bCs/>
          <w:color w:val="auto"/>
          <w:kern w:val="2"/>
          <w:sz w:val="21"/>
          <w:szCs w:val="21"/>
          <w:highlight w:val="none"/>
          <w:lang w:val="zh-CN"/>
        </w:rPr>
        <w:t>。</w:t>
      </w:r>
    </w:p>
    <w:p w14:paraId="3D9B6854">
      <w:pPr>
        <w:spacing w:line="360" w:lineRule="auto"/>
        <w:ind w:left="523" w:leftChars="-1" w:right="18"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18.</w:t>
      </w:r>
      <w:r>
        <w:rPr>
          <w:rFonts w:hint="eastAsia" w:ascii="宋体" w:hAnsi="宋体" w:cs="宋体"/>
          <w:color w:val="auto"/>
          <w:kern w:val="2"/>
          <w:sz w:val="21"/>
          <w:szCs w:val="21"/>
          <w:highlight w:val="none"/>
        </w:rPr>
        <w:t>4</w:t>
      </w:r>
      <w:r>
        <w:rPr>
          <w:rFonts w:hint="eastAsia" w:ascii="宋体" w:hAnsi="宋体" w:cs="宋体"/>
          <w:color w:val="auto"/>
          <w:kern w:val="2"/>
          <w:sz w:val="21"/>
          <w:szCs w:val="21"/>
          <w:highlight w:val="none"/>
          <w:lang w:val="zh-CN"/>
        </w:rPr>
        <w:t xml:space="preserve"> </w:t>
      </w:r>
      <w:r>
        <w:rPr>
          <w:rFonts w:hint="eastAsia" w:ascii="宋体" w:hAnsi="宋体" w:cs="宋体"/>
          <w:color w:val="auto"/>
          <w:kern w:val="2"/>
          <w:sz w:val="21"/>
          <w:szCs w:val="21"/>
          <w:highlight w:val="none"/>
        </w:rPr>
        <w:t>开启响应文件</w:t>
      </w:r>
      <w:r>
        <w:rPr>
          <w:rFonts w:hint="eastAsia" w:ascii="宋体" w:hAnsi="宋体" w:cs="宋体"/>
          <w:color w:val="auto"/>
          <w:kern w:val="2"/>
          <w:sz w:val="21"/>
          <w:szCs w:val="21"/>
          <w:highlight w:val="none"/>
          <w:lang w:val="zh-CN"/>
        </w:rPr>
        <w:t>前，由供应商代表（第一位递交响应文件的供应商代表及主动自愿参与检查的供应商代表）和采购人代表将对所有的响应文件的密封性进行检查，并签署进行确认。</w:t>
      </w:r>
    </w:p>
    <w:p w14:paraId="0DFE33A3">
      <w:pPr>
        <w:spacing w:line="360" w:lineRule="auto"/>
        <w:ind w:left="523" w:leftChars="-1" w:right="18" w:hanging="525" w:hangingChars="250"/>
        <w:jc w:val="both"/>
        <w:rPr>
          <w:rFonts w:ascii="宋体" w:hAnsi="宋体" w:cs="宋体"/>
          <w:color w:val="auto"/>
          <w:kern w:val="2"/>
          <w:sz w:val="21"/>
          <w:szCs w:val="21"/>
          <w:highlight w:val="none"/>
          <w:lang w:val="zh-CN"/>
        </w:rPr>
      </w:pPr>
    </w:p>
    <w:p w14:paraId="6C0FB4E0">
      <w:pPr>
        <w:tabs>
          <w:tab w:val="left" w:pos="567"/>
        </w:tabs>
        <w:spacing w:line="360" w:lineRule="auto"/>
        <w:ind w:left="525" w:hanging="525" w:hangingChars="250"/>
        <w:jc w:val="both"/>
        <w:outlineLvl w:val="2"/>
        <w:rPr>
          <w:rFonts w:ascii="宋体" w:hAnsi="宋体" w:cs="宋体"/>
          <w:color w:val="auto"/>
          <w:kern w:val="2"/>
          <w:sz w:val="21"/>
          <w:szCs w:val="21"/>
          <w:highlight w:val="none"/>
          <w:lang w:val="zh-CN"/>
        </w:rPr>
      </w:pPr>
      <w:bookmarkStart w:id="87" w:name="_Toc521918087"/>
      <w:bookmarkStart w:id="88" w:name="_Toc450662869"/>
      <w:bookmarkStart w:id="89" w:name="_Toc12058"/>
      <w:r>
        <w:rPr>
          <w:rFonts w:hint="eastAsia" w:ascii="宋体" w:hAnsi="宋体" w:cs="宋体"/>
          <w:color w:val="auto"/>
          <w:kern w:val="2"/>
          <w:sz w:val="21"/>
          <w:szCs w:val="21"/>
          <w:highlight w:val="none"/>
          <w:lang w:val="zh-CN"/>
        </w:rPr>
        <w:t>19</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递交响应文件的截止日期</w:t>
      </w:r>
      <w:bookmarkEnd w:id="87"/>
      <w:bookmarkEnd w:id="88"/>
      <w:bookmarkEnd w:id="89"/>
    </w:p>
    <w:p w14:paraId="319AEC36">
      <w:pPr>
        <w:tabs>
          <w:tab w:val="left" w:pos="567"/>
        </w:tabs>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19.1</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采购代理机构收到响应文件的时间不得迟于第一篇“竞争性谈判</w:t>
      </w:r>
      <w:r>
        <w:rPr>
          <w:rFonts w:hint="eastAsia" w:ascii="宋体" w:hAnsi="宋体" w:cs="宋体"/>
          <w:color w:val="auto"/>
          <w:kern w:val="2"/>
          <w:sz w:val="21"/>
          <w:szCs w:val="21"/>
          <w:highlight w:val="none"/>
        </w:rPr>
        <w:t>公告</w:t>
      </w:r>
      <w:r>
        <w:rPr>
          <w:rFonts w:hint="eastAsia" w:ascii="宋体" w:hAnsi="宋体" w:cs="宋体"/>
          <w:color w:val="auto"/>
          <w:kern w:val="2"/>
          <w:sz w:val="21"/>
          <w:szCs w:val="21"/>
          <w:highlight w:val="none"/>
          <w:lang w:val="zh-CN"/>
        </w:rPr>
        <w:t>”中规定的截止时间。</w:t>
      </w:r>
    </w:p>
    <w:p w14:paraId="1F64B0C1">
      <w:pPr>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19.2</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采购代理机构可按照第7条的规定修改竞争性谈判文件并酌情延长递交响应文件的截止时间，因此，已规定的采购代理机构和供应商的一切权利和义务将按延期后的递交响应文件截止时间履行。</w:t>
      </w:r>
    </w:p>
    <w:p w14:paraId="74DDAD7C">
      <w:pPr>
        <w:spacing w:line="360" w:lineRule="auto"/>
        <w:ind w:left="567" w:hanging="567"/>
        <w:jc w:val="both"/>
        <w:rPr>
          <w:rFonts w:ascii="宋体" w:hAnsi="宋体" w:cs="宋体"/>
          <w:color w:val="auto"/>
          <w:kern w:val="2"/>
          <w:sz w:val="21"/>
          <w:szCs w:val="21"/>
          <w:highlight w:val="none"/>
          <w:lang w:val="zh-CN"/>
        </w:rPr>
      </w:pPr>
    </w:p>
    <w:p w14:paraId="775551EC">
      <w:pPr>
        <w:tabs>
          <w:tab w:val="left" w:pos="567"/>
        </w:tabs>
        <w:spacing w:line="360" w:lineRule="auto"/>
        <w:ind w:left="567" w:hanging="567"/>
        <w:jc w:val="both"/>
        <w:outlineLvl w:val="2"/>
        <w:rPr>
          <w:rFonts w:ascii="宋体" w:hAnsi="宋体" w:cs="宋体"/>
          <w:color w:val="auto"/>
          <w:highlight w:val="none"/>
        </w:rPr>
      </w:pPr>
      <w:bookmarkStart w:id="90" w:name="_Toc450662870"/>
      <w:bookmarkStart w:id="91" w:name="_Toc521918088"/>
      <w:bookmarkStart w:id="92" w:name="_Toc25310"/>
      <w:r>
        <w:rPr>
          <w:rFonts w:hint="eastAsia" w:ascii="宋体" w:hAnsi="宋体" w:cs="宋体"/>
          <w:color w:val="auto"/>
          <w:kern w:val="2"/>
          <w:sz w:val="21"/>
          <w:szCs w:val="21"/>
          <w:highlight w:val="none"/>
          <w:lang w:val="zh-CN"/>
        </w:rPr>
        <w:t>20</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迟交的</w:t>
      </w:r>
      <w:bookmarkEnd w:id="90"/>
      <w:bookmarkEnd w:id="91"/>
      <w:r>
        <w:rPr>
          <w:rFonts w:hint="eastAsia" w:ascii="宋体" w:hAnsi="宋体" w:cs="宋体"/>
          <w:color w:val="auto"/>
          <w:kern w:val="2"/>
          <w:sz w:val="21"/>
          <w:szCs w:val="21"/>
          <w:highlight w:val="none"/>
          <w:lang w:val="zh-CN"/>
        </w:rPr>
        <w:t>响应文件</w:t>
      </w:r>
      <w:bookmarkEnd w:id="92"/>
    </w:p>
    <w:p w14:paraId="1F34CFE2">
      <w:pPr>
        <w:spacing w:line="360" w:lineRule="auto"/>
        <w:ind w:firstLine="525" w:firstLine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根据第19条规定，采购代理机构将拒绝任何晚于递交响应文件的截止时间交到的响应文件。</w:t>
      </w:r>
    </w:p>
    <w:p w14:paraId="4817E266">
      <w:pPr>
        <w:spacing w:line="360" w:lineRule="auto"/>
        <w:ind w:firstLine="525" w:firstLineChars="250"/>
        <w:jc w:val="both"/>
        <w:rPr>
          <w:rFonts w:ascii="宋体" w:hAnsi="宋体" w:cs="宋体"/>
          <w:color w:val="auto"/>
          <w:kern w:val="2"/>
          <w:sz w:val="21"/>
          <w:szCs w:val="21"/>
          <w:highlight w:val="none"/>
          <w:lang w:val="zh-CN"/>
        </w:rPr>
      </w:pPr>
    </w:p>
    <w:p w14:paraId="57553FF7">
      <w:pPr>
        <w:tabs>
          <w:tab w:val="left" w:pos="567"/>
        </w:tabs>
        <w:spacing w:line="360" w:lineRule="auto"/>
        <w:ind w:left="567" w:hanging="567"/>
        <w:jc w:val="both"/>
        <w:outlineLvl w:val="2"/>
        <w:rPr>
          <w:rFonts w:ascii="宋体" w:hAnsi="宋体" w:cs="宋体"/>
          <w:color w:val="auto"/>
          <w:kern w:val="2"/>
          <w:sz w:val="21"/>
          <w:szCs w:val="21"/>
          <w:highlight w:val="none"/>
          <w:lang w:val="zh-CN"/>
        </w:rPr>
      </w:pPr>
      <w:bookmarkStart w:id="93" w:name="_Toc15896"/>
      <w:bookmarkStart w:id="94" w:name="_Toc521918089"/>
      <w:bookmarkStart w:id="95" w:name="_Toc450662871"/>
      <w:r>
        <w:rPr>
          <w:rFonts w:hint="eastAsia" w:ascii="宋体" w:hAnsi="宋体" w:cs="宋体"/>
          <w:color w:val="auto"/>
          <w:kern w:val="2"/>
          <w:sz w:val="21"/>
          <w:szCs w:val="21"/>
          <w:highlight w:val="none"/>
          <w:lang w:val="zh-CN"/>
        </w:rPr>
        <w:t>21</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响应文件的修改和撤回</w:t>
      </w:r>
      <w:bookmarkEnd w:id="93"/>
      <w:bookmarkEnd w:id="94"/>
      <w:bookmarkEnd w:id="95"/>
    </w:p>
    <w:p w14:paraId="7C83C98F">
      <w:pPr>
        <w:tabs>
          <w:tab w:val="left" w:pos="567"/>
        </w:tabs>
        <w:spacing w:line="360" w:lineRule="auto"/>
        <w:ind w:left="525" w:right="18"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21.1</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供应商在提交响应文件后可对其响应文件进行修改或撤回，但采购代理机构须在提交响应文件截止日期前收到该修改或撤回的书面通知。</w:t>
      </w:r>
    </w:p>
    <w:p w14:paraId="66D86331">
      <w:pPr>
        <w:spacing w:line="360" w:lineRule="auto"/>
        <w:ind w:left="525" w:right="18"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21.2</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供应商对响应文件的修改或撤回的通知应按第17条和第18条规定进行准备、密封、标注和递送。</w:t>
      </w:r>
    </w:p>
    <w:p w14:paraId="16622C8A">
      <w:pPr>
        <w:spacing w:line="360" w:lineRule="auto"/>
        <w:ind w:left="525" w:right="18"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21.3</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递交响应文件截止时间后不得修改响应文件。</w:t>
      </w:r>
    </w:p>
    <w:p w14:paraId="4F536686">
      <w:pPr>
        <w:spacing w:line="360" w:lineRule="auto"/>
        <w:ind w:left="525" w:right="18" w:hanging="525" w:hangingChars="25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lang w:val="zh-CN"/>
        </w:rPr>
        <w:t>21.4</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供应商不得在递交响应文件截止时间起至第16条规定的响应文件有效期期满前撤销响应文件</w:t>
      </w:r>
      <w:r>
        <w:rPr>
          <w:rFonts w:hint="eastAsia" w:ascii="宋体" w:hAnsi="宋体" w:cs="宋体"/>
          <w:color w:val="auto"/>
          <w:sz w:val="21"/>
          <w:szCs w:val="21"/>
          <w:highlight w:val="none"/>
        </w:rPr>
        <w:t>。否则采购人将按15.7款（1）规定不予退还其响应保证金。</w:t>
      </w:r>
    </w:p>
    <w:p w14:paraId="4D910BF4">
      <w:pPr>
        <w:spacing w:line="360" w:lineRule="auto"/>
        <w:ind w:left="525" w:right="18" w:hanging="525" w:hangingChars="250"/>
        <w:jc w:val="both"/>
        <w:rPr>
          <w:rFonts w:ascii="宋体" w:hAnsi="宋体" w:cs="宋体"/>
          <w:color w:val="auto"/>
          <w:kern w:val="2"/>
          <w:sz w:val="21"/>
          <w:szCs w:val="21"/>
          <w:highlight w:val="none"/>
          <w:lang w:val="zh-CN"/>
        </w:rPr>
      </w:pPr>
    </w:p>
    <w:p w14:paraId="50847159">
      <w:pPr>
        <w:pStyle w:val="5"/>
        <w:keepNext/>
        <w:keepLines/>
        <w:tabs>
          <w:tab w:val="left" w:pos="567"/>
        </w:tabs>
        <w:spacing w:line="360" w:lineRule="auto"/>
        <w:ind w:firstLine="211" w:firstLineChars="100"/>
        <w:jc w:val="both"/>
        <w:rPr>
          <w:rFonts w:ascii="宋体" w:hAnsi="宋体" w:eastAsia="宋体" w:cs="宋体"/>
          <w:b/>
          <w:bCs/>
          <w:color w:val="auto"/>
          <w:kern w:val="44"/>
          <w:sz w:val="21"/>
          <w:szCs w:val="21"/>
          <w:highlight w:val="none"/>
        </w:rPr>
      </w:pPr>
      <w:bookmarkStart w:id="96" w:name="_Toc4687"/>
      <w:bookmarkStart w:id="97" w:name="_Toc521918090"/>
      <w:bookmarkStart w:id="98" w:name="_Toc450662872"/>
      <w:r>
        <w:rPr>
          <w:rFonts w:hint="eastAsia" w:ascii="宋体" w:hAnsi="宋体" w:eastAsia="宋体" w:cs="宋体"/>
          <w:b/>
          <w:bCs/>
          <w:color w:val="auto"/>
          <w:kern w:val="44"/>
          <w:sz w:val="21"/>
          <w:szCs w:val="21"/>
          <w:highlight w:val="none"/>
          <w:lang w:val="zh-CN"/>
        </w:rPr>
        <w:t>五、</w:t>
      </w:r>
      <w:bookmarkEnd w:id="96"/>
      <w:bookmarkEnd w:id="97"/>
      <w:bookmarkEnd w:id="98"/>
      <w:r>
        <w:rPr>
          <w:rFonts w:hint="eastAsia" w:ascii="宋体" w:hAnsi="宋体" w:eastAsia="宋体" w:cs="宋体"/>
          <w:b/>
          <w:bCs/>
          <w:color w:val="auto"/>
          <w:kern w:val="44"/>
          <w:sz w:val="21"/>
          <w:szCs w:val="21"/>
          <w:highlight w:val="none"/>
        </w:rPr>
        <w:t>竞争性谈判流程</w:t>
      </w:r>
    </w:p>
    <w:p w14:paraId="03FD37C8">
      <w:pPr>
        <w:widowControl/>
        <w:kinsoku w:val="0"/>
        <w:snapToGrid w:val="0"/>
        <w:spacing w:line="360" w:lineRule="auto"/>
        <w:textAlignment w:val="baseline"/>
        <w:outlineLvl w:val="2"/>
        <w:rPr>
          <w:rFonts w:ascii="宋体" w:hAnsi="宋体" w:cs="宋体"/>
          <w:color w:val="auto"/>
          <w:sz w:val="21"/>
          <w:szCs w:val="21"/>
          <w:highlight w:val="none"/>
        </w:rPr>
      </w:pPr>
      <w:bookmarkStart w:id="99" w:name="bookmark30"/>
      <w:bookmarkEnd w:id="99"/>
      <w:bookmarkStart w:id="100" w:name="_Toc18346"/>
      <w:bookmarkStart w:id="101" w:name="_Toc160099458"/>
      <w:bookmarkStart w:id="102" w:name="_Toc486167688"/>
      <w:bookmarkStart w:id="103" w:name="_Toc144_WPSOffice_Level3"/>
      <w:bookmarkStart w:id="104" w:name="_Toc450662873"/>
      <w:bookmarkStart w:id="105" w:name="_Toc466882019"/>
      <w:bookmarkStart w:id="106" w:name="_Toc465358971"/>
      <w:r>
        <w:rPr>
          <w:rFonts w:ascii="宋体" w:hAnsi="宋体" w:cs="宋体"/>
          <w:color w:val="auto"/>
          <w:spacing w:val="8"/>
          <w:sz w:val="21"/>
          <w:szCs w:val="21"/>
          <w:highlight w:val="none"/>
        </w:rPr>
        <w:t>22响应文件密封性检查</w:t>
      </w:r>
    </w:p>
    <w:p w14:paraId="24519BF8">
      <w:pPr>
        <w:widowControl/>
        <w:kinsoku w:val="0"/>
        <w:snapToGrid w:val="0"/>
        <w:spacing w:line="360" w:lineRule="auto"/>
        <w:textAlignment w:val="baseline"/>
        <w:outlineLvl w:val="2"/>
        <w:rPr>
          <w:rFonts w:ascii="宋体" w:hAnsi="宋体" w:cs="宋体"/>
          <w:color w:val="auto"/>
          <w:spacing w:val="8"/>
          <w:sz w:val="21"/>
          <w:szCs w:val="21"/>
          <w:highlight w:val="none"/>
        </w:rPr>
      </w:pPr>
      <w:r>
        <w:rPr>
          <w:rFonts w:ascii="宋体" w:hAnsi="宋体" w:cs="宋体"/>
          <w:color w:val="auto"/>
          <w:spacing w:val="8"/>
          <w:sz w:val="21"/>
          <w:szCs w:val="21"/>
          <w:highlight w:val="none"/>
        </w:rPr>
        <w:t>22.1采购代理机构在供应商代表自愿出席的情况下，在第一篇“竞争性</w:t>
      </w:r>
      <w:r>
        <w:rPr>
          <w:rFonts w:hint="eastAsia" w:ascii="宋体" w:hAnsi="宋体" w:cs="宋体"/>
          <w:color w:val="auto"/>
          <w:spacing w:val="8"/>
          <w:sz w:val="21"/>
          <w:szCs w:val="21"/>
          <w:highlight w:val="none"/>
        </w:rPr>
        <w:t>谈判</w:t>
      </w:r>
      <w:r>
        <w:rPr>
          <w:rFonts w:ascii="宋体" w:hAnsi="宋体" w:cs="宋体"/>
          <w:color w:val="auto"/>
          <w:spacing w:val="8"/>
          <w:sz w:val="21"/>
          <w:szCs w:val="21"/>
          <w:highlight w:val="none"/>
        </w:rPr>
        <w:t>公告”规定的地点和时 间进行响应文件密封性检查，出席代表需登记以示出席。</w:t>
      </w:r>
    </w:p>
    <w:p w14:paraId="69D9484A">
      <w:pPr>
        <w:widowControl/>
        <w:kinsoku w:val="0"/>
        <w:snapToGrid w:val="0"/>
        <w:spacing w:line="360" w:lineRule="auto"/>
        <w:textAlignment w:val="baseline"/>
        <w:outlineLvl w:val="2"/>
        <w:rPr>
          <w:rFonts w:ascii="宋体" w:hAnsi="宋体" w:cs="宋体"/>
          <w:color w:val="auto"/>
          <w:spacing w:val="8"/>
          <w:sz w:val="21"/>
          <w:szCs w:val="21"/>
          <w:highlight w:val="none"/>
        </w:rPr>
      </w:pPr>
      <w:r>
        <w:rPr>
          <w:rFonts w:ascii="宋体" w:hAnsi="宋体" w:cs="宋体"/>
          <w:color w:val="auto"/>
          <w:spacing w:val="8"/>
          <w:sz w:val="21"/>
          <w:szCs w:val="21"/>
          <w:highlight w:val="none"/>
        </w:rPr>
        <w:t>22.2供应商对响应文件密封性检查有异议的，应当在密封性检查现场提出，采购代理机构应当当场作出答复，并制作记录。</w:t>
      </w:r>
    </w:p>
    <w:p w14:paraId="4FB73EDC">
      <w:pPr>
        <w:widowControl/>
        <w:kinsoku w:val="0"/>
        <w:snapToGrid w:val="0"/>
        <w:spacing w:line="360" w:lineRule="auto"/>
        <w:textAlignment w:val="baseline"/>
        <w:outlineLvl w:val="2"/>
        <w:rPr>
          <w:rFonts w:ascii="宋体" w:hAnsi="宋体" w:cs="宋体"/>
          <w:color w:val="auto"/>
          <w:spacing w:val="8"/>
          <w:sz w:val="21"/>
          <w:szCs w:val="21"/>
          <w:highlight w:val="none"/>
        </w:rPr>
      </w:pPr>
      <w:r>
        <w:rPr>
          <w:rFonts w:ascii="宋体" w:hAnsi="宋体" w:cs="宋体"/>
          <w:color w:val="auto"/>
          <w:spacing w:val="8"/>
          <w:sz w:val="21"/>
          <w:szCs w:val="21"/>
          <w:highlight w:val="none"/>
        </w:rPr>
        <w:t>22.3采购代理机构将做密封性检查记录，记录包括第22.2款发生的异议及答复的全部内容</w:t>
      </w:r>
    </w:p>
    <w:p w14:paraId="43F3610D">
      <w:pPr>
        <w:widowControl/>
        <w:kinsoku w:val="0"/>
        <w:snapToGrid w:val="0"/>
        <w:spacing w:line="360" w:lineRule="auto"/>
        <w:textAlignment w:val="baseline"/>
        <w:outlineLvl w:val="2"/>
        <w:rPr>
          <w:rFonts w:ascii="宋体" w:hAnsi="宋体" w:cs="宋体"/>
          <w:color w:val="auto"/>
          <w:spacing w:val="8"/>
          <w:sz w:val="21"/>
          <w:szCs w:val="21"/>
          <w:highlight w:val="none"/>
        </w:rPr>
      </w:pPr>
      <w:r>
        <w:rPr>
          <w:rFonts w:ascii="宋体" w:hAnsi="宋体" w:cs="宋体"/>
          <w:color w:val="auto"/>
          <w:spacing w:val="8"/>
          <w:sz w:val="21"/>
          <w:szCs w:val="21"/>
          <w:highlight w:val="none"/>
        </w:rPr>
        <w:t>23</w:t>
      </w:r>
      <w:r>
        <w:rPr>
          <w:rFonts w:hint="eastAsia" w:ascii="宋体" w:hAnsi="宋体" w:cs="宋体"/>
          <w:color w:val="auto"/>
          <w:spacing w:val="8"/>
          <w:sz w:val="21"/>
          <w:szCs w:val="21"/>
          <w:highlight w:val="none"/>
        </w:rPr>
        <w:t>谈判</w:t>
      </w:r>
      <w:r>
        <w:rPr>
          <w:rFonts w:ascii="宋体" w:hAnsi="宋体" w:cs="宋体"/>
          <w:color w:val="auto"/>
          <w:spacing w:val="8"/>
          <w:sz w:val="21"/>
          <w:szCs w:val="21"/>
          <w:highlight w:val="none"/>
        </w:rPr>
        <w:t>过程的保密性</w:t>
      </w:r>
    </w:p>
    <w:p w14:paraId="6ADF1579">
      <w:pPr>
        <w:widowControl/>
        <w:kinsoku w:val="0"/>
        <w:snapToGrid w:val="0"/>
        <w:spacing w:line="360" w:lineRule="auto"/>
        <w:textAlignment w:val="baseline"/>
        <w:outlineLvl w:val="2"/>
        <w:rPr>
          <w:rFonts w:ascii="宋体" w:hAnsi="宋体" w:cs="宋体"/>
          <w:color w:val="auto"/>
          <w:spacing w:val="8"/>
          <w:sz w:val="21"/>
          <w:szCs w:val="21"/>
          <w:highlight w:val="none"/>
        </w:rPr>
      </w:pPr>
      <w:r>
        <w:rPr>
          <w:rFonts w:ascii="宋体" w:hAnsi="宋体" w:cs="宋体"/>
          <w:color w:val="auto"/>
          <w:spacing w:val="8"/>
          <w:sz w:val="21"/>
          <w:szCs w:val="21"/>
          <w:highlight w:val="none"/>
        </w:rPr>
        <w:t>23.1递交响应文件后，直至向成交人授予合同时止，凡与审查、澄清、</w:t>
      </w:r>
      <w:r>
        <w:rPr>
          <w:rFonts w:hint="eastAsia" w:ascii="宋体" w:hAnsi="宋体" w:cs="宋体"/>
          <w:color w:val="auto"/>
          <w:spacing w:val="8"/>
          <w:sz w:val="21"/>
          <w:szCs w:val="21"/>
          <w:highlight w:val="none"/>
        </w:rPr>
        <w:t>谈判</w:t>
      </w:r>
      <w:r>
        <w:rPr>
          <w:rFonts w:ascii="宋体" w:hAnsi="宋体" w:cs="宋体"/>
          <w:color w:val="auto"/>
          <w:spacing w:val="8"/>
          <w:sz w:val="21"/>
          <w:szCs w:val="21"/>
          <w:highlight w:val="none"/>
        </w:rPr>
        <w:t>、评估和比较响应报价 的有关资料以及意见等，均不得向供应商及与</w:t>
      </w:r>
      <w:r>
        <w:rPr>
          <w:rFonts w:hint="eastAsia" w:ascii="宋体" w:hAnsi="宋体" w:cs="宋体"/>
          <w:color w:val="auto"/>
          <w:spacing w:val="8"/>
          <w:sz w:val="21"/>
          <w:szCs w:val="21"/>
          <w:highlight w:val="none"/>
        </w:rPr>
        <w:t>谈判</w:t>
      </w:r>
      <w:r>
        <w:rPr>
          <w:rFonts w:ascii="宋体" w:hAnsi="宋体" w:cs="宋体"/>
          <w:color w:val="auto"/>
          <w:spacing w:val="8"/>
          <w:sz w:val="21"/>
          <w:szCs w:val="21"/>
          <w:highlight w:val="none"/>
        </w:rPr>
        <w:t>无关的其他人透露，否则追究有关当事人的 法律责任。</w:t>
      </w:r>
    </w:p>
    <w:p w14:paraId="0B47B66D">
      <w:pPr>
        <w:widowControl/>
        <w:kinsoku w:val="0"/>
        <w:snapToGrid w:val="0"/>
        <w:spacing w:line="360" w:lineRule="auto"/>
        <w:textAlignment w:val="baseline"/>
        <w:outlineLvl w:val="2"/>
        <w:rPr>
          <w:rFonts w:ascii="宋体" w:hAnsi="宋体" w:cs="宋体"/>
          <w:color w:val="auto"/>
          <w:spacing w:val="8"/>
          <w:sz w:val="21"/>
          <w:szCs w:val="21"/>
          <w:highlight w:val="none"/>
        </w:rPr>
      </w:pPr>
      <w:r>
        <w:rPr>
          <w:rFonts w:ascii="宋体" w:hAnsi="宋体" w:cs="宋体"/>
          <w:color w:val="auto"/>
          <w:spacing w:val="8"/>
          <w:sz w:val="21"/>
          <w:szCs w:val="21"/>
          <w:highlight w:val="none"/>
        </w:rPr>
        <w:t>23.2在</w:t>
      </w:r>
      <w:r>
        <w:rPr>
          <w:rFonts w:hint="eastAsia" w:ascii="宋体" w:hAnsi="宋体" w:cs="宋体"/>
          <w:color w:val="auto"/>
          <w:spacing w:val="8"/>
          <w:sz w:val="21"/>
          <w:szCs w:val="21"/>
          <w:highlight w:val="none"/>
        </w:rPr>
        <w:t>谈判</w:t>
      </w:r>
      <w:r>
        <w:rPr>
          <w:rFonts w:ascii="宋体" w:hAnsi="宋体" w:cs="宋体"/>
          <w:color w:val="auto"/>
          <w:spacing w:val="8"/>
          <w:sz w:val="21"/>
          <w:szCs w:val="21"/>
          <w:highlight w:val="none"/>
        </w:rPr>
        <w:t>过程中，如果供应商试图在响应文件审查、澄清、</w:t>
      </w:r>
      <w:r>
        <w:rPr>
          <w:rFonts w:hint="eastAsia" w:ascii="宋体" w:hAnsi="宋体" w:cs="宋体"/>
          <w:color w:val="auto"/>
          <w:spacing w:val="8"/>
          <w:sz w:val="21"/>
          <w:szCs w:val="21"/>
          <w:highlight w:val="none"/>
        </w:rPr>
        <w:t>谈判</w:t>
      </w:r>
      <w:r>
        <w:rPr>
          <w:rFonts w:ascii="宋体" w:hAnsi="宋体" w:cs="宋体"/>
          <w:color w:val="auto"/>
          <w:spacing w:val="8"/>
          <w:sz w:val="21"/>
          <w:szCs w:val="21"/>
          <w:highlight w:val="none"/>
        </w:rPr>
        <w:t>、比较及授予合同方面向采购代 理机构和采购人施加任何影响，其响应文件将被拒绝。</w:t>
      </w:r>
    </w:p>
    <w:bookmarkEnd w:id="100"/>
    <w:bookmarkEnd w:id="101"/>
    <w:bookmarkEnd w:id="102"/>
    <w:bookmarkEnd w:id="103"/>
    <w:bookmarkEnd w:id="104"/>
    <w:p w14:paraId="592E23A0">
      <w:pPr>
        <w:tabs>
          <w:tab w:val="left" w:pos="567"/>
        </w:tabs>
        <w:spacing w:line="360" w:lineRule="auto"/>
        <w:ind w:left="327" w:leftChars="-100" w:right="17" w:rightChars="7" w:hanging="567"/>
        <w:rPr>
          <w:rFonts w:ascii="宋体" w:hAnsi="宋体" w:cs="宋体"/>
          <w:color w:val="auto"/>
          <w:sz w:val="21"/>
          <w:szCs w:val="21"/>
          <w:highlight w:val="none"/>
          <w:lang w:val="zh-CN"/>
        </w:rPr>
      </w:pPr>
    </w:p>
    <w:p w14:paraId="5A199B86">
      <w:pPr>
        <w:tabs>
          <w:tab w:val="left" w:pos="567"/>
        </w:tabs>
        <w:spacing w:line="360" w:lineRule="auto"/>
        <w:ind w:left="327" w:leftChars="-100" w:hanging="567"/>
        <w:outlineLvl w:val="2"/>
        <w:rPr>
          <w:rFonts w:ascii="宋体" w:hAnsi="宋体" w:cs="宋体"/>
          <w:color w:val="auto"/>
          <w:sz w:val="21"/>
          <w:szCs w:val="21"/>
          <w:highlight w:val="none"/>
          <w:lang w:val="zh-CN"/>
        </w:rPr>
      </w:pPr>
      <w:bookmarkStart w:id="107" w:name="_Toc3667"/>
      <w:bookmarkStart w:id="108" w:name="_Toc15565_WPSOffice_Level3"/>
      <w:bookmarkStart w:id="109" w:name="_Toc450662875"/>
      <w:bookmarkStart w:id="110" w:name="_Toc160099460"/>
      <w:bookmarkStart w:id="111" w:name="_Toc486167690"/>
      <w:r>
        <w:rPr>
          <w:rFonts w:hint="eastAsia" w:ascii="宋体" w:hAnsi="宋体" w:cs="宋体"/>
          <w:color w:val="auto"/>
          <w:sz w:val="21"/>
          <w:szCs w:val="21"/>
          <w:highlight w:val="none"/>
          <w:lang w:val="zh-CN"/>
        </w:rPr>
        <w:t>24</w:t>
      </w:r>
      <w:r>
        <w:rPr>
          <w:rFonts w:ascii="宋体" w:hAnsi="宋体" w:cs="宋体"/>
          <w:color w:val="auto"/>
          <w:sz w:val="21"/>
          <w:szCs w:val="21"/>
          <w:highlight w:val="none"/>
          <w:lang w:val="zh-CN"/>
        </w:rPr>
        <w:t xml:space="preserve"> </w:t>
      </w:r>
      <w:r>
        <w:rPr>
          <w:rFonts w:hint="eastAsia" w:ascii="宋体" w:hAnsi="宋体" w:cs="宋体"/>
          <w:color w:val="auto"/>
          <w:sz w:val="21"/>
          <w:szCs w:val="21"/>
          <w:highlight w:val="none"/>
          <w:lang w:val="zh-CN"/>
        </w:rPr>
        <w:t>谈判小组</w:t>
      </w:r>
      <w:bookmarkEnd w:id="107"/>
      <w:bookmarkEnd w:id="108"/>
      <w:bookmarkEnd w:id="109"/>
      <w:bookmarkEnd w:id="110"/>
      <w:bookmarkEnd w:id="111"/>
    </w:p>
    <w:p w14:paraId="23703AD3">
      <w:pPr>
        <w:tabs>
          <w:tab w:val="left" w:pos="567"/>
        </w:tabs>
        <w:spacing w:line="360" w:lineRule="auto"/>
        <w:ind w:left="327" w:leftChars="-100" w:hanging="56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24.1</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组建谈判小组。谈判小组的成员在评审过程中必须严格遵守国家及地方招标投标的有关规定。</w:t>
      </w:r>
    </w:p>
    <w:p w14:paraId="238D6DA5">
      <w:pPr>
        <w:spacing w:line="360" w:lineRule="auto"/>
        <w:ind w:left="327" w:leftChars="-100" w:hanging="56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24.2</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谈判小组依法根据谈判文件的规定，进行响应文件的评审、得出评审结果，并向采购人推荐成交候选人。</w:t>
      </w:r>
    </w:p>
    <w:p w14:paraId="03B4273D">
      <w:pPr>
        <w:spacing w:line="360" w:lineRule="auto"/>
        <w:ind w:left="327" w:leftChars="-100" w:hanging="567"/>
        <w:rPr>
          <w:rFonts w:ascii="宋体" w:hAnsi="宋体" w:cs="宋体"/>
          <w:color w:val="auto"/>
          <w:sz w:val="21"/>
          <w:szCs w:val="21"/>
          <w:highlight w:val="none"/>
          <w:lang w:val="zh-CN"/>
        </w:rPr>
      </w:pPr>
    </w:p>
    <w:p w14:paraId="31520FE6">
      <w:pPr>
        <w:tabs>
          <w:tab w:val="left" w:pos="567"/>
        </w:tabs>
        <w:spacing w:line="360" w:lineRule="auto"/>
        <w:ind w:left="327" w:leftChars="-100" w:hanging="567"/>
        <w:outlineLvl w:val="2"/>
        <w:rPr>
          <w:rFonts w:ascii="宋体" w:hAnsi="宋体" w:cs="宋体"/>
          <w:b/>
          <w:color w:val="auto"/>
          <w:sz w:val="21"/>
          <w:szCs w:val="21"/>
          <w:highlight w:val="none"/>
          <w:lang w:val="zh-CN"/>
        </w:rPr>
      </w:pPr>
      <w:bookmarkStart w:id="112" w:name="_Toc486167691"/>
      <w:bookmarkStart w:id="113" w:name="_Toc450662876"/>
      <w:bookmarkStart w:id="114" w:name="_Toc28910_WPSOffice_Level3"/>
      <w:bookmarkStart w:id="115" w:name="_Toc1588"/>
      <w:bookmarkStart w:id="116" w:name="_Toc160099461"/>
      <w:r>
        <w:rPr>
          <w:rFonts w:hint="eastAsia" w:ascii="宋体" w:hAnsi="宋体" w:cs="宋体"/>
          <w:b/>
          <w:color w:val="auto"/>
          <w:sz w:val="21"/>
          <w:szCs w:val="21"/>
          <w:highlight w:val="none"/>
          <w:lang w:val="zh-CN"/>
        </w:rPr>
        <w:t>25</w:t>
      </w:r>
      <w:r>
        <w:rPr>
          <w:rFonts w:ascii="宋体" w:hAnsi="宋体" w:cs="宋体"/>
          <w:b/>
          <w:color w:val="auto"/>
          <w:sz w:val="21"/>
          <w:szCs w:val="21"/>
          <w:highlight w:val="none"/>
          <w:lang w:val="zh-CN"/>
        </w:rPr>
        <w:t xml:space="preserve"> </w:t>
      </w:r>
      <w:r>
        <w:rPr>
          <w:rFonts w:hint="eastAsia" w:ascii="宋体" w:hAnsi="宋体" w:cs="宋体"/>
          <w:b/>
          <w:color w:val="auto"/>
          <w:sz w:val="21"/>
          <w:szCs w:val="21"/>
          <w:highlight w:val="none"/>
          <w:lang w:val="zh-CN"/>
        </w:rPr>
        <w:t>响应文件的初审</w:t>
      </w:r>
      <w:bookmarkEnd w:id="112"/>
      <w:bookmarkEnd w:id="113"/>
      <w:bookmarkEnd w:id="114"/>
      <w:bookmarkEnd w:id="115"/>
      <w:bookmarkEnd w:id="116"/>
    </w:p>
    <w:p w14:paraId="3438C1FF">
      <w:pPr>
        <w:spacing w:line="360" w:lineRule="auto"/>
        <w:ind w:left="327" w:leftChars="-100" w:hanging="567"/>
        <w:rPr>
          <w:rFonts w:ascii="宋体" w:hAnsi="宋体" w:cs="宋体"/>
          <w:b/>
          <w:color w:val="auto"/>
          <w:sz w:val="21"/>
          <w:szCs w:val="21"/>
          <w:highlight w:val="none"/>
        </w:rPr>
      </w:pPr>
      <w:r>
        <w:rPr>
          <w:rFonts w:hint="eastAsia" w:ascii="宋体" w:hAnsi="宋体" w:cs="宋体"/>
          <w:b/>
          <w:color w:val="auto"/>
          <w:sz w:val="21"/>
          <w:szCs w:val="21"/>
          <w:highlight w:val="none"/>
          <w:lang w:val="zh-CN"/>
        </w:rPr>
        <w:t>25.1 资格性检查：依据法律法规和谈判文件的规定，对响应文件中的资格证明、响应保证金等进行审查，以确定响应供应商是否具备响应资格。</w:t>
      </w:r>
    </w:p>
    <w:p w14:paraId="00772C82">
      <w:pPr>
        <w:spacing w:line="360" w:lineRule="auto"/>
        <w:ind w:left="300" w:leftChars="-100" w:hanging="540"/>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25.2 符合性检查：依据谈判文件的规定，从响应文件的有效性、完整性和对谈判文件的响应程度进行审查，以确定是否对谈判文件的实质性要求作出响应。</w:t>
      </w:r>
    </w:p>
    <w:p w14:paraId="76F314AC">
      <w:pPr>
        <w:spacing w:line="360" w:lineRule="auto"/>
        <w:ind w:left="300" w:leftChars="-100" w:hanging="540"/>
        <w:rPr>
          <w:rFonts w:ascii="宋体" w:hAnsi="宋体" w:cs="宋体"/>
          <w:b/>
          <w:color w:val="auto"/>
          <w:sz w:val="21"/>
          <w:szCs w:val="21"/>
          <w:highlight w:val="none"/>
          <w:lang w:val="zh-CN"/>
        </w:rPr>
      </w:pPr>
    </w:p>
    <w:p w14:paraId="666CF315">
      <w:pPr>
        <w:tabs>
          <w:tab w:val="left" w:pos="525"/>
        </w:tabs>
        <w:spacing w:line="360" w:lineRule="auto"/>
        <w:ind w:left="327" w:leftChars="-100" w:hanging="567"/>
        <w:outlineLvl w:val="2"/>
        <w:rPr>
          <w:rFonts w:ascii="宋体" w:hAnsi="宋体" w:cs="宋体"/>
          <w:color w:val="auto"/>
          <w:sz w:val="21"/>
          <w:szCs w:val="21"/>
          <w:highlight w:val="none"/>
          <w:lang w:val="zh-CN"/>
        </w:rPr>
      </w:pPr>
      <w:bookmarkStart w:id="117" w:name="_Toc486167692"/>
      <w:bookmarkStart w:id="118" w:name="_Toc450662877"/>
      <w:bookmarkStart w:id="119" w:name="_Toc338_WPSOffice_Level3"/>
      <w:bookmarkStart w:id="120" w:name="_Toc7031"/>
      <w:bookmarkStart w:id="121" w:name="_Toc160099462"/>
      <w:r>
        <w:rPr>
          <w:rFonts w:hint="eastAsia" w:ascii="宋体" w:hAnsi="宋体" w:cs="宋体"/>
          <w:color w:val="auto"/>
          <w:sz w:val="21"/>
          <w:szCs w:val="21"/>
          <w:highlight w:val="none"/>
          <w:lang w:val="zh-CN"/>
        </w:rPr>
        <w:t>26</w:t>
      </w:r>
      <w:r>
        <w:rPr>
          <w:rFonts w:ascii="宋体" w:hAnsi="宋体" w:cs="宋体"/>
          <w:color w:val="auto"/>
          <w:sz w:val="21"/>
          <w:szCs w:val="21"/>
          <w:highlight w:val="none"/>
          <w:lang w:val="zh-CN"/>
        </w:rPr>
        <w:t xml:space="preserve"> </w:t>
      </w:r>
      <w:r>
        <w:rPr>
          <w:rFonts w:hint="eastAsia" w:ascii="宋体" w:hAnsi="宋体" w:cs="宋体"/>
          <w:color w:val="auto"/>
          <w:sz w:val="21"/>
          <w:szCs w:val="21"/>
          <w:highlight w:val="none"/>
          <w:lang w:val="zh-CN"/>
        </w:rPr>
        <w:t>响应文件的澄清</w:t>
      </w:r>
      <w:bookmarkEnd w:id="117"/>
      <w:bookmarkEnd w:id="118"/>
      <w:bookmarkEnd w:id="119"/>
      <w:bookmarkEnd w:id="120"/>
      <w:bookmarkEnd w:id="121"/>
    </w:p>
    <w:p w14:paraId="7CB667E2">
      <w:pPr>
        <w:spacing w:line="360" w:lineRule="auto"/>
        <w:ind w:left="285" w:leftChars="-100" w:hanging="525" w:hangingChars="25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26.1 对响应文件中含义不明确、同类问题表述不一致或者有明显文字和计算错误的内容，谈判小组可以书面形式（应当由谈判小组专家签字）要求响应供应商作出必要的澄清、说明或者纠正。响应供应商的澄清、说明或者补正应当采用书面形式，由其授权的代表签字，并不得超出响应文件的范围或者改变响应文件的实质性内容。</w:t>
      </w:r>
    </w:p>
    <w:p w14:paraId="7CBC4195">
      <w:pPr>
        <w:spacing w:line="360" w:lineRule="auto"/>
        <w:ind w:left="300" w:leftChars="-100" w:right="17" w:rightChars="7" w:hanging="540"/>
        <w:rPr>
          <w:rFonts w:ascii="宋体" w:hAnsi="宋体" w:cs="宋体"/>
          <w:color w:val="auto"/>
          <w:sz w:val="21"/>
          <w:szCs w:val="21"/>
          <w:highlight w:val="none"/>
          <w:lang w:val="zh-CN"/>
        </w:rPr>
      </w:pPr>
      <w:r>
        <w:rPr>
          <w:rFonts w:ascii="宋体" w:hAnsi="宋体" w:cs="宋体"/>
          <w:color w:val="auto"/>
          <w:sz w:val="21"/>
          <w:szCs w:val="21"/>
          <w:highlight w:val="none"/>
          <w:lang w:val="zh-CN"/>
        </w:rPr>
        <w:t>26.2</w:t>
      </w:r>
      <w:bookmarkStart w:id="122" w:name="_Toc450662879"/>
      <w:r>
        <w:rPr>
          <w:rFonts w:hint="eastAsia" w:ascii="宋体" w:hAnsi="宋体" w:cs="宋体"/>
          <w:color w:val="auto"/>
          <w:sz w:val="21"/>
          <w:szCs w:val="21"/>
          <w:highlight w:val="none"/>
        </w:rPr>
        <w:t xml:space="preserve"> 评审结果公示前</w:t>
      </w:r>
      <w:r>
        <w:rPr>
          <w:rFonts w:hint="eastAsia" w:ascii="宋体" w:hAnsi="宋体" w:cs="宋体"/>
          <w:color w:val="auto"/>
          <w:sz w:val="21"/>
          <w:szCs w:val="21"/>
          <w:highlight w:val="none"/>
          <w:lang w:val="zh-CN"/>
        </w:rPr>
        <w:t>，响应供应商法定代表人或法定代表人授权书列明的被授权人的联系电话应保持开机状态，以便在评审期间，谈判小组要求响应供应商对响应文件进行澄清时能够收到有关通知，否则视为响应供应商放弃澄清的权利，对谈判小组就该项内容的评审意见无异议。</w:t>
      </w:r>
    </w:p>
    <w:bookmarkEnd w:id="122"/>
    <w:p w14:paraId="5D2CF454">
      <w:pPr>
        <w:tabs>
          <w:tab w:val="left" w:pos="525"/>
        </w:tabs>
        <w:spacing w:line="360" w:lineRule="auto"/>
        <w:ind w:left="327" w:leftChars="-100" w:hanging="567"/>
        <w:outlineLvl w:val="2"/>
        <w:rPr>
          <w:rFonts w:ascii="宋体" w:hAnsi="宋体" w:cs="宋体"/>
          <w:color w:val="auto"/>
          <w:sz w:val="21"/>
          <w:szCs w:val="21"/>
          <w:highlight w:val="none"/>
          <w:lang w:val="zh-CN"/>
        </w:rPr>
      </w:pPr>
      <w:bookmarkStart w:id="123" w:name="_Toc522047355"/>
      <w:bookmarkStart w:id="124" w:name="_Toc18368_WPSOffice_Level3"/>
      <w:bookmarkStart w:id="125" w:name="_Toc521918096"/>
    </w:p>
    <w:p w14:paraId="20A61674">
      <w:pPr>
        <w:tabs>
          <w:tab w:val="left" w:pos="525"/>
        </w:tabs>
        <w:spacing w:line="360" w:lineRule="auto"/>
        <w:ind w:left="327" w:leftChars="-100" w:hanging="567"/>
        <w:outlineLvl w:val="2"/>
        <w:rPr>
          <w:rFonts w:ascii="宋体" w:hAnsi="宋体" w:cs="宋体"/>
          <w:color w:val="auto"/>
          <w:sz w:val="21"/>
          <w:szCs w:val="21"/>
          <w:highlight w:val="none"/>
          <w:lang w:val="zh-CN"/>
        </w:rPr>
      </w:pPr>
      <w:bookmarkStart w:id="126" w:name="_Toc160099463"/>
      <w:bookmarkStart w:id="127" w:name="_Toc1255"/>
      <w:r>
        <w:rPr>
          <w:rFonts w:hint="eastAsia" w:ascii="宋体" w:hAnsi="宋体" w:cs="宋体"/>
          <w:color w:val="auto"/>
          <w:sz w:val="21"/>
          <w:szCs w:val="21"/>
          <w:highlight w:val="none"/>
          <w:lang w:val="zh-CN"/>
        </w:rPr>
        <w:t>27</w:t>
      </w:r>
      <w:r>
        <w:rPr>
          <w:rFonts w:ascii="宋体" w:hAnsi="宋体" w:cs="宋体"/>
          <w:color w:val="auto"/>
          <w:sz w:val="21"/>
          <w:szCs w:val="21"/>
          <w:highlight w:val="none"/>
          <w:lang w:val="zh-CN"/>
        </w:rPr>
        <w:t xml:space="preserve"> </w:t>
      </w:r>
      <w:bookmarkEnd w:id="123"/>
      <w:bookmarkEnd w:id="124"/>
      <w:bookmarkEnd w:id="125"/>
      <w:r>
        <w:rPr>
          <w:rFonts w:hint="eastAsia" w:ascii="宋体" w:hAnsi="宋体" w:cs="宋体"/>
          <w:color w:val="auto"/>
          <w:sz w:val="21"/>
          <w:szCs w:val="21"/>
          <w:highlight w:val="none"/>
          <w:lang w:val="zh-CN"/>
        </w:rPr>
        <w:t>谈判</w:t>
      </w:r>
      <w:bookmarkEnd w:id="126"/>
      <w:bookmarkEnd w:id="127"/>
    </w:p>
    <w:p w14:paraId="1EB8351D">
      <w:pPr>
        <w:tabs>
          <w:tab w:val="left" w:pos="540"/>
        </w:tabs>
        <w:spacing w:line="360" w:lineRule="auto"/>
        <w:ind w:left="300" w:leftChars="-100" w:right="17" w:rightChars="7" w:hanging="54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27.1</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谈判小组所有成员应当集中与单一供应商分别进行谈判，并给予所有参加谈判的供应商平等的谈判机会。</w:t>
      </w:r>
    </w:p>
    <w:p w14:paraId="1BDA4C44">
      <w:pPr>
        <w:spacing w:line="360" w:lineRule="auto"/>
        <w:ind w:left="300" w:leftChars="-100" w:right="17" w:rightChars="7" w:hanging="54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27.2</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在谈判过程中，谈判小组可以根据谈判文件和谈判情况实质性变动采购需求中的技术、服务要求以及合同草案条款，但不得变动谈判文件中的其他内容。实质性变动的内容，须经采购人代表确认。</w:t>
      </w:r>
    </w:p>
    <w:p w14:paraId="20AC7F0F">
      <w:pPr>
        <w:spacing w:line="360" w:lineRule="auto"/>
        <w:ind w:left="300" w:leftChars="-100" w:right="17" w:rightChars="7" w:hanging="54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27.3</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对谈判文件作出的实质性变动是谈判文件的有效组成部分，谈判小组应当及时、同时通知所有参加谈判的供应商。</w:t>
      </w:r>
    </w:p>
    <w:p w14:paraId="14931853">
      <w:pPr>
        <w:spacing w:line="360" w:lineRule="auto"/>
        <w:ind w:left="300" w:leftChars="-100" w:right="17" w:rightChars="7" w:hanging="54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27.4</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供应商应当按照谈判文件的变动情况和谈判小组的要求进行最终报价或重新提交响应文件，并由其法定代表人或授权代表签字或者加盖公章。</w:t>
      </w:r>
    </w:p>
    <w:p w14:paraId="6A18F2A1">
      <w:pPr>
        <w:tabs>
          <w:tab w:val="left" w:pos="567"/>
        </w:tabs>
        <w:spacing w:line="360" w:lineRule="auto"/>
        <w:ind w:left="327" w:leftChars="-100" w:hanging="567"/>
        <w:rPr>
          <w:rFonts w:ascii="宋体" w:hAnsi="宋体" w:cs="宋体"/>
          <w:color w:val="auto"/>
          <w:sz w:val="21"/>
          <w:szCs w:val="21"/>
          <w:highlight w:val="none"/>
          <w:lang w:val="zh-CN"/>
        </w:rPr>
      </w:pPr>
      <w:bookmarkStart w:id="128" w:name="_Toc521918097"/>
      <w:bookmarkStart w:id="129" w:name="_Toc522047356"/>
    </w:p>
    <w:p w14:paraId="5A20F975">
      <w:pPr>
        <w:tabs>
          <w:tab w:val="left" w:pos="567"/>
        </w:tabs>
        <w:spacing w:line="360" w:lineRule="auto"/>
        <w:ind w:left="327" w:leftChars="-100" w:hanging="567"/>
        <w:outlineLvl w:val="2"/>
        <w:rPr>
          <w:rFonts w:ascii="宋体" w:hAnsi="宋体" w:cs="宋体"/>
          <w:color w:val="auto"/>
          <w:sz w:val="21"/>
          <w:szCs w:val="21"/>
          <w:highlight w:val="none"/>
          <w:lang w:val="zh-CN"/>
        </w:rPr>
      </w:pPr>
      <w:bookmarkStart w:id="130" w:name="_Toc21460_WPSOffice_Level3"/>
      <w:bookmarkStart w:id="131" w:name="_Toc11545"/>
      <w:bookmarkStart w:id="132" w:name="_Toc160099464"/>
      <w:r>
        <w:rPr>
          <w:rFonts w:hint="eastAsia" w:ascii="宋体" w:hAnsi="宋体" w:cs="宋体"/>
          <w:color w:val="auto"/>
          <w:sz w:val="21"/>
          <w:szCs w:val="21"/>
          <w:highlight w:val="none"/>
          <w:lang w:val="zh-CN"/>
        </w:rPr>
        <w:t>28</w:t>
      </w:r>
      <w:r>
        <w:rPr>
          <w:rFonts w:ascii="宋体" w:hAnsi="宋体" w:cs="宋体"/>
          <w:color w:val="auto"/>
          <w:sz w:val="21"/>
          <w:szCs w:val="21"/>
          <w:highlight w:val="none"/>
          <w:lang w:val="zh-CN"/>
        </w:rPr>
        <w:t xml:space="preserve"> </w:t>
      </w:r>
      <w:bookmarkEnd w:id="128"/>
      <w:bookmarkEnd w:id="129"/>
      <w:bookmarkEnd w:id="130"/>
      <w:r>
        <w:rPr>
          <w:rFonts w:hint="eastAsia" w:ascii="宋体" w:hAnsi="宋体" w:cs="宋体"/>
          <w:color w:val="auto"/>
          <w:sz w:val="21"/>
          <w:szCs w:val="21"/>
          <w:highlight w:val="none"/>
          <w:lang w:val="zh-CN"/>
        </w:rPr>
        <w:t>最后报价</w:t>
      </w:r>
      <w:bookmarkEnd w:id="131"/>
      <w:bookmarkEnd w:id="132"/>
    </w:p>
    <w:p w14:paraId="3E0ED7B8">
      <w:pPr>
        <w:tabs>
          <w:tab w:val="left" w:pos="567"/>
        </w:tabs>
        <w:spacing w:line="360" w:lineRule="auto"/>
        <w:ind w:left="327" w:leftChars="-100" w:hanging="56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28.1</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谈判结束后，谈判小组应当要求所有实质性响应的供应商在规定时间内提交最后报价。</w:t>
      </w:r>
      <w:r>
        <w:rPr>
          <w:rFonts w:hint="eastAsia" w:ascii="宋体" w:hAnsi="宋体" w:cs="宋体"/>
          <w:color w:val="auto"/>
          <w:sz w:val="21"/>
          <w:szCs w:val="21"/>
          <w:highlight w:val="none"/>
        </w:rPr>
        <w:t>每一轮报价不能高于前一轮报价。</w:t>
      </w:r>
      <w:r>
        <w:rPr>
          <w:rFonts w:hint="eastAsia" w:ascii="宋体" w:hAnsi="宋体" w:cs="宋体"/>
          <w:color w:val="auto"/>
          <w:sz w:val="21"/>
          <w:szCs w:val="21"/>
          <w:highlight w:val="none"/>
          <w:lang w:val="zh-CN"/>
        </w:rPr>
        <w:t>最后报价是供应商响应文件的有效组成部分。</w:t>
      </w:r>
    </w:p>
    <w:p w14:paraId="5A767BFE">
      <w:pPr>
        <w:tabs>
          <w:tab w:val="left" w:pos="360"/>
        </w:tabs>
        <w:spacing w:line="360" w:lineRule="auto"/>
        <w:ind w:left="300" w:leftChars="-100" w:right="50" w:rightChars="21" w:hanging="54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28.2 谈判结束后，已提交响应文件的供应商，</w:t>
      </w:r>
      <w:r>
        <w:rPr>
          <w:rFonts w:hint="eastAsia" w:ascii="宋体" w:hAnsi="宋体" w:cs="宋体"/>
          <w:b/>
          <w:bCs/>
          <w:color w:val="auto"/>
          <w:sz w:val="21"/>
          <w:szCs w:val="21"/>
          <w:highlight w:val="none"/>
          <w:lang w:val="zh-CN"/>
        </w:rPr>
        <w:t>如无实质性变动采购需求中的技术、服务要求以及合同草案条款的，</w:t>
      </w:r>
      <w:r>
        <w:rPr>
          <w:rFonts w:hint="eastAsia" w:ascii="宋体" w:hAnsi="宋体" w:cs="宋体"/>
          <w:b/>
          <w:bCs/>
          <w:color w:val="auto"/>
          <w:sz w:val="21"/>
          <w:szCs w:val="21"/>
          <w:highlight w:val="none"/>
        </w:rPr>
        <w:t>供应商若不参与二次报价环节的，则</w:t>
      </w:r>
      <w:r>
        <w:rPr>
          <w:rFonts w:hint="eastAsia" w:ascii="宋体" w:hAnsi="宋体" w:cs="宋体"/>
          <w:b/>
          <w:bCs/>
          <w:color w:val="auto"/>
          <w:sz w:val="21"/>
          <w:szCs w:val="21"/>
          <w:highlight w:val="none"/>
          <w:lang w:val="zh-CN"/>
        </w:rPr>
        <w:t>默认第一次报价为最后报价。</w:t>
      </w:r>
      <w:r>
        <w:rPr>
          <w:rFonts w:hint="eastAsia" w:ascii="宋体" w:hAnsi="宋体" w:cs="宋体"/>
          <w:color w:val="auto"/>
          <w:sz w:val="21"/>
          <w:szCs w:val="21"/>
          <w:highlight w:val="none"/>
          <w:lang w:val="zh-CN"/>
        </w:rPr>
        <w:t>如有实质性变动采购需求中的技术、服务要求以及合同草案条款的，在提交最后报价之前，供应商可以根据谈判情况退出谈判。</w:t>
      </w:r>
    </w:p>
    <w:p w14:paraId="0E7FAA6D">
      <w:pPr>
        <w:tabs>
          <w:tab w:val="left" w:pos="360"/>
        </w:tabs>
        <w:spacing w:line="360" w:lineRule="auto"/>
        <w:ind w:left="300" w:leftChars="-100" w:right="50" w:rightChars="21" w:hanging="540"/>
        <w:rPr>
          <w:rFonts w:ascii="宋体" w:hAnsi="宋体" w:cs="宋体"/>
          <w:b/>
          <w:bCs/>
          <w:color w:val="auto"/>
          <w:sz w:val="21"/>
          <w:szCs w:val="21"/>
          <w:highlight w:val="none"/>
        </w:rPr>
      </w:pPr>
      <w:r>
        <w:rPr>
          <w:rFonts w:hint="eastAsia" w:ascii="宋体" w:hAnsi="宋体" w:cs="宋体"/>
          <w:color w:val="auto"/>
          <w:sz w:val="21"/>
          <w:szCs w:val="21"/>
          <w:highlight w:val="none"/>
          <w:lang w:val="zh-CN"/>
        </w:rPr>
        <w:t>28.3</w:t>
      </w:r>
      <w:r>
        <w:rPr>
          <w:rFonts w:hint="eastAsia"/>
          <w:b/>
          <w:bCs/>
          <w:color w:val="auto"/>
          <w:sz w:val="21"/>
          <w:szCs w:val="21"/>
          <w:highlight w:val="none"/>
        </w:rPr>
        <w:t xml:space="preserve"> 若本次采购过程中有效响应供应商不足三个时，本项目竞争性谈判失败。</w:t>
      </w:r>
    </w:p>
    <w:p w14:paraId="52B9C155">
      <w:pPr>
        <w:tabs>
          <w:tab w:val="left" w:pos="525"/>
        </w:tabs>
        <w:spacing w:line="360" w:lineRule="auto"/>
        <w:ind w:left="327" w:leftChars="-100" w:hanging="567"/>
        <w:outlineLvl w:val="2"/>
        <w:rPr>
          <w:rFonts w:ascii="宋体" w:hAnsi="宋体" w:cs="宋体"/>
          <w:color w:val="auto"/>
          <w:sz w:val="21"/>
          <w:szCs w:val="21"/>
          <w:highlight w:val="none"/>
          <w:lang w:val="zh-CN"/>
        </w:rPr>
      </w:pPr>
      <w:bookmarkStart w:id="133" w:name="_Toc486167694"/>
      <w:bookmarkStart w:id="134" w:name="_Toc465358969"/>
      <w:bookmarkStart w:id="135" w:name="_Toc160099465"/>
      <w:bookmarkStart w:id="136" w:name="_Toc32498_WPSOffice_Level3"/>
      <w:bookmarkStart w:id="137" w:name="_Toc466882017"/>
      <w:bookmarkStart w:id="138" w:name="_Toc9839"/>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 xml:space="preserve">9 </w:t>
      </w:r>
      <w:r>
        <w:rPr>
          <w:rFonts w:hint="eastAsia" w:ascii="宋体" w:hAnsi="宋体" w:cs="宋体"/>
          <w:color w:val="auto"/>
          <w:sz w:val="21"/>
          <w:szCs w:val="21"/>
          <w:highlight w:val="none"/>
          <w:lang w:val="zh-CN"/>
        </w:rPr>
        <w:t>评审结果公</w:t>
      </w:r>
      <w:r>
        <w:rPr>
          <w:rFonts w:hint="eastAsia" w:ascii="宋体" w:hAnsi="宋体"/>
          <w:color w:val="auto"/>
          <w:sz w:val="21"/>
          <w:szCs w:val="21"/>
          <w:highlight w:val="none"/>
          <w:lang w:val="zh-CN"/>
        </w:rPr>
        <w:t>示</w:t>
      </w:r>
      <w:r>
        <w:rPr>
          <w:rFonts w:hint="eastAsia" w:ascii="宋体" w:hAnsi="宋体" w:cs="宋体"/>
          <w:color w:val="auto"/>
          <w:sz w:val="21"/>
          <w:szCs w:val="21"/>
          <w:highlight w:val="none"/>
          <w:lang w:val="zh-CN"/>
        </w:rPr>
        <w:t>及异议、投诉</w:t>
      </w:r>
      <w:bookmarkEnd w:id="133"/>
      <w:bookmarkEnd w:id="134"/>
      <w:bookmarkEnd w:id="135"/>
      <w:bookmarkEnd w:id="136"/>
      <w:bookmarkEnd w:id="137"/>
      <w:bookmarkEnd w:id="138"/>
    </w:p>
    <w:p w14:paraId="3B3ABA63">
      <w:pPr>
        <w:tabs>
          <w:tab w:val="left" w:pos="360"/>
        </w:tabs>
        <w:spacing w:line="360" w:lineRule="auto"/>
        <w:ind w:left="300" w:leftChars="-100" w:right="50" w:rightChars="21" w:hanging="54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9</w:t>
      </w:r>
      <w:r>
        <w:rPr>
          <w:rFonts w:hint="eastAsia" w:ascii="宋体" w:hAnsi="宋体" w:cs="宋体"/>
          <w:color w:val="auto"/>
          <w:sz w:val="21"/>
          <w:szCs w:val="21"/>
          <w:highlight w:val="none"/>
          <w:lang w:val="zh-CN"/>
        </w:rPr>
        <w:t>.1</w:t>
      </w:r>
      <w:r>
        <w:rPr>
          <w:rFonts w:ascii="宋体" w:hAnsi="宋体" w:cs="宋体"/>
          <w:color w:val="auto"/>
          <w:sz w:val="21"/>
          <w:szCs w:val="21"/>
          <w:highlight w:val="none"/>
          <w:lang w:val="zh-CN"/>
        </w:rPr>
        <w:t xml:space="preserve"> </w:t>
      </w:r>
      <w:r>
        <w:rPr>
          <w:rFonts w:hint="eastAsia" w:ascii="宋体" w:hAnsi="宋体"/>
          <w:color w:val="auto"/>
          <w:sz w:val="21"/>
          <w:szCs w:val="21"/>
          <w:highlight w:val="none"/>
          <w:lang w:val="zh-CN"/>
        </w:rPr>
        <w:t>采购代理机构将以书面形式通知响应供应商评审结果。响应供应商或者其他利害关系人对评审结果有异议的，应当在</w:t>
      </w:r>
      <w:r>
        <w:rPr>
          <w:rFonts w:hint="eastAsia" w:ascii="宋体" w:hAnsi="宋体"/>
          <w:color w:val="auto"/>
          <w:sz w:val="21"/>
          <w:szCs w:val="21"/>
          <w:highlight w:val="none"/>
        </w:rPr>
        <w:t>评审结果通知的规定时间内</w:t>
      </w:r>
      <w:r>
        <w:rPr>
          <w:rFonts w:hint="eastAsia" w:ascii="宋体" w:hAnsi="宋体"/>
          <w:color w:val="auto"/>
          <w:sz w:val="21"/>
          <w:szCs w:val="21"/>
          <w:highlight w:val="none"/>
          <w:lang w:val="zh-CN"/>
        </w:rPr>
        <w:t>向采购代理机构以书面形式提出，</w:t>
      </w:r>
      <w:r>
        <w:rPr>
          <w:rFonts w:ascii="宋体" w:hAnsi="宋体"/>
          <w:color w:val="auto"/>
          <w:sz w:val="21"/>
          <w:szCs w:val="21"/>
          <w:highlight w:val="none"/>
          <w:lang w:val="zh-CN"/>
        </w:rPr>
        <w:t>并</w:t>
      </w:r>
      <w:r>
        <w:rPr>
          <w:rFonts w:hint="eastAsia" w:ascii="宋体" w:hAnsi="宋体"/>
          <w:color w:val="auto"/>
          <w:sz w:val="21"/>
          <w:szCs w:val="21"/>
          <w:highlight w:val="none"/>
          <w:lang w:val="zh-CN"/>
        </w:rPr>
        <w:t>将完整的异议书面材料原件</w:t>
      </w:r>
      <w:r>
        <w:rPr>
          <w:rFonts w:ascii="宋体" w:hAnsi="宋体"/>
          <w:color w:val="auto"/>
          <w:sz w:val="21"/>
          <w:szCs w:val="21"/>
          <w:highlight w:val="none"/>
          <w:lang w:val="zh-CN"/>
        </w:rPr>
        <w:t>送</w:t>
      </w:r>
      <w:r>
        <w:rPr>
          <w:rFonts w:hint="eastAsia" w:ascii="宋体" w:hAnsi="宋体"/>
          <w:color w:val="auto"/>
          <w:sz w:val="21"/>
          <w:szCs w:val="21"/>
          <w:highlight w:val="none"/>
          <w:lang w:val="zh-CN"/>
        </w:rPr>
        <w:t>达采购代理机构，</w:t>
      </w:r>
      <w:r>
        <w:rPr>
          <w:rFonts w:ascii="宋体" w:hAnsi="宋体"/>
          <w:color w:val="auto"/>
          <w:sz w:val="21"/>
          <w:szCs w:val="21"/>
          <w:highlight w:val="none"/>
          <w:lang w:val="zh-CN"/>
        </w:rPr>
        <w:t>逾期则视为</w:t>
      </w:r>
      <w:r>
        <w:rPr>
          <w:rFonts w:hint="eastAsia" w:ascii="宋体" w:hAnsi="宋体"/>
          <w:color w:val="auto"/>
          <w:sz w:val="21"/>
          <w:szCs w:val="21"/>
          <w:highlight w:val="none"/>
          <w:lang w:val="zh-CN"/>
        </w:rPr>
        <w:t>对评审结果无异议。超出提交异议截止时间而提出的任何疑问，采购代理机构可不予答复</w:t>
      </w:r>
      <w:r>
        <w:rPr>
          <w:rFonts w:hint="eastAsia" w:ascii="宋体" w:hAnsi="宋体" w:cs="宋体"/>
          <w:color w:val="auto"/>
          <w:sz w:val="21"/>
          <w:szCs w:val="21"/>
          <w:highlight w:val="none"/>
          <w:lang w:val="zh-CN"/>
        </w:rPr>
        <w:t>。</w:t>
      </w:r>
    </w:p>
    <w:p w14:paraId="570D4001">
      <w:pPr>
        <w:snapToGrid w:val="0"/>
        <w:spacing w:line="360" w:lineRule="auto"/>
        <w:ind w:left="240" w:leftChars="100" w:firstLine="525" w:firstLineChars="250"/>
        <w:rPr>
          <w:rFonts w:ascii="宋体" w:hAnsi="宋体" w:cs="宋体"/>
          <w:color w:val="auto"/>
          <w:sz w:val="21"/>
          <w:szCs w:val="21"/>
          <w:highlight w:val="none"/>
          <w:lang w:val="zh-CN"/>
        </w:rPr>
      </w:pPr>
      <w:r>
        <w:rPr>
          <w:rFonts w:hint="eastAsia" w:ascii="宋体" w:hAnsi="宋体"/>
          <w:color w:val="auto"/>
          <w:sz w:val="21"/>
          <w:szCs w:val="21"/>
          <w:highlight w:val="none"/>
          <w:lang w:val="zh-CN"/>
        </w:rPr>
        <w:t>采购代理机构将拒收未能提供完整异议书面材料的异议，完整的异议书面材料必须同时包含：异议书（加盖法人</w:t>
      </w:r>
      <w:r>
        <w:rPr>
          <w:rFonts w:ascii="宋体" w:hAnsi="宋体"/>
          <w:color w:val="auto"/>
          <w:sz w:val="21"/>
          <w:szCs w:val="21"/>
          <w:highlight w:val="none"/>
          <w:lang w:val="zh-CN"/>
        </w:rPr>
        <w:t>公章</w:t>
      </w:r>
      <w:r>
        <w:rPr>
          <w:rFonts w:hint="eastAsia" w:ascii="宋体" w:hAnsi="宋体"/>
          <w:color w:val="auto"/>
          <w:sz w:val="21"/>
          <w:szCs w:val="21"/>
          <w:highlight w:val="none"/>
          <w:lang w:val="zh-CN"/>
        </w:rPr>
        <w:t>，并注明联系人、联系电话、联系地址）、授权提交异议的法定代表人授权书原件、反映异议人主体资格的营业执照复印件（加盖法人</w:t>
      </w:r>
      <w:r>
        <w:rPr>
          <w:rFonts w:ascii="宋体" w:hAnsi="宋体"/>
          <w:color w:val="auto"/>
          <w:sz w:val="21"/>
          <w:szCs w:val="21"/>
          <w:highlight w:val="none"/>
          <w:lang w:val="zh-CN"/>
        </w:rPr>
        <w:t>公章</w:t>
      </w:r>
      <w:r>
        <w:rPr>
          <w:rFonts w:hint="eastAsia" w:ascii="宋体" w:hAnsi="宋体"/>
          <w:color w:val="auto"/>
          <w:sz w:val="21"/>
          <w:szCs w:val="21"/>
          <w:highlight w:val="none"/>
          <w:lang w:val="zh-CN"/>
        </w:rPr>
        <w:t>）、以及合法来源的证据证明材料</w:t>
      </w:r>
      <w:r>
        <w:rPr>
          <w:rFonts w:hint="eastAsia" w:ascii="宋体" w:hAnsi="宋体" w:cs="宋体"/>
          <w:color w:val="auto"/>
          <w:sz w:val="21"/>
          <w:szCs w:val="21"/>
          <w:highlight w:val="none"/>
          <w:lang w:val="zh-CN"/>
        </w:rPr>
        <w:t>。</w:t>
      </w:r>
    </w:p>
    <w:p w14:paraId="325D509D">
      <w:pPr>
        <w:snapToGrid w:val="0"/>
        <w:spacing w:line="360" w:lineRule="auto"/>
        <w:ind w:left="289" w:leftChars="-100" w:hanging="529" w:hangingChars="25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9</w:t>
      </w:r>
      <w:r>
        <w:rPr>
          <w:rFonts w:hint="eastAsia" w:ascii="宋体" w:hAnsi="宋体" w:cs="宋体"/>
          <w:color w:val="auto"/>
          <w:sz w:val="21"/>
          <w:szCs w:val="21"/>
          <w:highlight w:val="none"/>
          <w:lang w:val="zh-CN"/>
        </w:rPr>
        <w:t>.2 响应供应商或者其他利害关系人认为采购活动不符合法律、行政法规规定的，可以自知道或者应当知道之日起10日内，按程序向采购人采购活动的监督部门投诉。投诉应当提供纸质投诉书及必要的证明材料。投诉书应当包括下列内容：</w:t>
      </w:r>
    </w:p>
    <w:p w14:paraId="40EA603E">
      <w:pPr>
        <w:snapToGrid w:val="0"/>
        <w:spacing w:line="360" w:lineRule="auto"/>
        <w:ind w:left="289" w:leftChars="-100" w:hanging="529" w:hangingChars="25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（一）投诉人和被投诉人的姓名或者名称、通讯地址、邮编、联系人及联系电话；</w:t>
      </w:r>
    </w:p>
    <w:p w14:paraId="7A7AEFC1">
      <w:pPr>
        <w:snapToGrid w:val="0"/>
        <w:spacing w:line="360" w:lineRule="auto"/>
        <w:ind w:left="289" w:leftChars="-100" w:hanging="529" w:hangingChars="25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（二）质疑和质疑答复情况说明及相关证明材料；</w:t>
      </w:r>
    </w:p>
    <w:p w14:paraId="594CB905">
      <w:pPr>
        <w:snapToGrid w:val="0"/>
        <w:spacing w:line="360" w:lineRule="auto"/>
        <w:ind w:left="289" w:leftChars="-100" w:hanging="529" w:hangingChars="25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（三）具体、明确的投诉事项和与投诉事项相关的投诉请求；</w:t>
      </w:r>
    </w:p>
    <w:p w14:paraId="6F62E309">
      <w:pPr>
        <w:snapToGrid w:val="0"/>
        <w:spacing w:line="360" w:lineRule="auto"/>
        <w:ind w:left="289" w:leftChars="-100" w:hanging="529" w:hangingChars="25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（四）事实依据；</w:t>
      </w:r>
    </w:p>
    <w:p w14:paraId="3FACB187">
      <w:pPr>
        <w:snapToGrid w:val="0"/>
        <w:spacing w:line="360" w:lineRule="auto"/>
        <w:ind w:left="289" w:leftChars="-100" w:hanging="529" w:hangingChars="25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（五）法律依据；</w:t>
      </w:r>
    </w:p>
    <w:p w14:paraId="5F235930">
      <w:pPr>
        <w:snapToGrid w:val="0"/>
        <w:spacing w:line="360" w:lineRule="auto"/>
        <w:ind w:left="289" w:leftChars="-100" w:hanging="529" w:hangingChars="25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（六）提起投诉的日期。</w:t>
      </w:r>
    </w:p>
    <w:p w14:paraId="6A217BC6">
      <w:pPr>
        <w:snapToGrid w:val="0"/>
        <w:spacing w:line="360" w:lineRule="auto"/>
        <w:ind w:left="289" w:leftChars="-100" w:hanging="529" w:hangingChars="25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xml:space="preserve">     投诉人为法人或者其他组织的，应当由法定代表人、主要负责人，或者其授权代表签字或者盖章，并加盖公章。</w:t>
      </w:r>
    </w:p>
    <w:p w14:paraId="21964601">
      <w:pPr>
        <w:snapToGrid w:val="0"/>
        <w:spacing w:line="360" w:lineRule="auto"/>
        <w:ind w:left="289" w:leftChars="-100" w:hanging="529" w:hangingChars="25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xml:space="preserve">    </w:t>
      </w:r>
      <w:r>
        <w:rPr>
          <w:rFonts w:ascii="宋体" w:hAnsi="宋体" w:cs="宋体"/>
          <w:color w:val="auto"/>
          <w:sz w:val="21"/>
          <w:szCs w:val="21"/>
          <w:highlight w:val="none"/>
          <w:lang w:val="zh-CN"/>
        </w:rPr>
        <w:t xml:space="preserve"> </w:t>
      </w:r>
      <w:r>
        <w:rPr>
          <w:rFonts w:hint="eastAsia" w:ascii="宋体" w:hAnsi="宋体" w:cs="宋体"/>
          <w:color w:val="auto"/>
          <w:sz w:val="21"/>
          <w:szCs w:val="21"/>
          <w:highlight w:val="none"/>
          <w:lang w:val="zh-CN"/>
        </w:rPr>
        <w:t>投诉人投诉的事项不得超出已质疑事项的范围，但基于质疑答复内容提出的投诉事项除外。</w:t>
      </w:r>
    </w:p>
    <w:p w14:paraId="1D085D7F">
      <w:pPr>
        <w:snapToGrid w:val="0"/>
        <w:spacing w:line="360" w:lineRule="auto"/>
        <w:ind w:left="289" w:leftChars="-100" w:hanging="529" w:hangingChars="25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 xml:space="preserve">    </w:t>
      </w:r>
      <w:r>
        <w:rPr>
          <w:rFonts w:ascii="宋体" w:hAnsi="宋体" w:cs="宋体"/>
          <w:color w:val="auto"/>
          <w:sz w:val="21"/>
          <w:szCs w:val="21"/>
          <w:highlight w:val="none"/>
          <w:lang w:val="zh-CN"/>
        </w:rPr>
        <w:t xml:space="preserve"> </w:t>
      </w:r>
      <w:r>
        <w:rPr>
          <w:rFonts w:hint="eastAsia" w:ascii="宋体" w:hAnsi="宋体" w:cs="宋体"/>
          <w:color w:val="auto"/>
          <w:sz w:val="21"/>
          <w:szCs w:val="21"/>
          <w:highlight w:val="none"/>
          <w:lang w:val="zh-CN"/>
        </w:rPr>
        <w:t>监督部门：东莞市水务集团有限公司，联系人：莫先生，联系电话：0769-28823251。</w:t>
      </w:r>
    </w:p>
    <w:p w14:paraId="64F78F66">
      <w:pPr>
        <w:snapToGrid w:val="0"/>
        <w:spacing w:line="360" w:lineRule="auto"/>
        <w:ind w:left="326" w:leftChars="100" w:hanging="86" w:hangingChars="41"/>
        <w:rPr>
          <w:rFonts w:ascii="宋体" w:hAnsi="宋体" w:cs="宋体"/>
          <w:color w:val="auto"/>
          <w:sz w:val="21"/>
          <w:szCs w:val="21"/>
          <w:highlight w:val="none"/>
          <w:lang w:val="zh-CN"/>
        </w:rPr>
      </w:pPr>
    </w:p>
    <w:p w14:paraId="08453A16">
      <w:pPr>
        <w:tabs>
          <w:tab w:val="left" w:pos="567"/>
        </w:tabs>
        <w:spacing w:line="360" w:lineRule="auto"/>
        <w:ind w:left="258" w:leftChars="-100" w:hanging="498" w:hangingChars="236"/>
        <w:outlineLvl w:val="2"/>
        <w:rPr>
          <w:rFonts w:ascii="宋体" w:hAnsi="宋体" w:cs="宋体"/>
          <w:b/>
          <w:color w:val="auto"/>
          <w:sz w:val="21"/>
          <w:szCs w:val="21"/>
          <w:highlight w:val="none"/>
          <w:lang w:val="zh-CN"/>
        </w:rPr>
      </w:pPr>
      <w:bookmarkStart w:id="139" w:name="_Toc1848_WPSOffice_Level3"/>
      <w:bookmarkStart w:id="140" w:name="_Toc486167695"/>
      <w:bookmarkStart w:id="141" w:name="_Toc466882018"/>
      <w:bookmarkStart w:id="142" w:name="_Toc465358970"/>
      <w:bookmarkStart w:id="143" w:name="_Toc18008"/>
      <w:bookmarkStart w:id="144" w:name="_Toc160099466"/>
      <w:r>
        <w:rPr>
          <w:rFonts w:hint="eastAsia" w:ascii="宋体" w:hAnsi="宋体" w:cs="宋体"/>
          <w:b/>
          <w:color w:val="auto"/>
          <w:sz w:val="21"/>
          <w:szCs w:val="21"/>
          <w:highlight w:val="none"/>
        </w:rPr>
        <w:t>30</w:t>
      </w:r>
      <w:r>
        <w:rPr>
          <w:rFonts w:hint="eastAsia" w:ascii="宋体" w:hAnsi="宋体" w:cs="宋体"/>
          <w:b/>
          <w:color w:val="auto"/>
          <w:sz w:val="21"/>
          <w:szCs w:val="21"/>
          <w:highlight w:val="none"/>
          <w:lang w:val="zh-CN"/>
        </w:rPr>
        <w:t xml:space="preserve"> 真实性审查</w:t>
      </w:r>
      <w:bookmarkEnd w:id="139"/>
      <w:bookmarkEnd w:id="140"/>
      <w:bookmarkEnd w:id="141"/>
      <w:bookmarkEnd w:id="142"/>
      <w:bookmarkEnd w:id="143"/>
      <w:bookmarkEnd w:id="144"/>
    </w:p>
    <w:p w14:paraId="62D22566">
      <w:pPr>
        <w:snapToGrid w:val="0"/>
        <w:spacing w:line="360" w:lineRule="auto"/>
        <w:ind w:left="291" w:leftChars="-100" w:hanging="531" w:hangingChars="252"/>
        <w:rPr>
          <w:rFonts w:ascii="宋体" w:hAnsi="宋体" w:cs="宋体"/>
          <w:b/>
          <w:color w:val="auto"/>
          <w:sz w:val="21"/>
          <w:szCs w:val="21"/>
          <w:highlight w:val="none"/>
        </w:rPr>
      </w:pPr>
      <w:r>
        <w:rPr>
          <w:rFonts w:hint="eastAsia" w:ascii="宋体" w:hAnsi="宋体" w:cs="宋体"/>
          <w:b/>
          <w:color w:val="auto"/>
          <w:sz w:val="21"/>
          <w:szCs w:val="21"/>
          <w:highlight w:val="none"/>
        </w:rPr>
        <w:t>30.1 在</w:t>
      </w:r>
      <w:r>
        <w:rPr>
          <w:rFonts w:hint="eastAsia" w:ascii="宋体" w:hAnsi="宋体"/>
          <w:b/>
          <w:color w:val="auto"/>
          <w:sz w:val="21"/>
          <w:szCs w:val="21"/>
          <w:highlight w:val="none"/>
        </w:rPr>
        <w:t>授予合同前，采购人（或其委托的采购代理机构）、或谈判小组有权组织对响应供应商的真实性审查。包括对响应供应商的资格证明文件、业绩证明文件、对谈判文件实质性条款响应文件、履约能力证明文件的原件真实性进行核查。采购人</w:t>
      </w:r>
      <w:r>
        <w:rPr>
          <w:rFonts w:hint="eastAsia" w:ascii="宋体" w:hAnsi="宋体"/>
          <w:b/>
          <w:color w:val="auto"/>
          <w:sz w:val="21"/>
          <w:szCs w:val="21"/>
          <w:highlight w:val="none"/>
          <w:lang w:val="zh-CN"/>
        </w:rPr>
        <w:t>如有需要，响应供应商有义务提供响应文件外其他相关证明资料原件（包括但不限于业绩合同对应的发票等）供采购人核查。</w:t>
      </w:r>
      <w:r>
        <w:rPr>
          <w:rFonts w:hint="eastAsia" w:ascii="宋体" w:hAnsi="宋体"/>
          <w:b/>
          <w:color w:val="auto"/>
          <w:sz w:val="21"/>
          <w:szCs w:val="21"/>
          <w:highlight w:val="none"/>
        </w:rPr>
        <w:t>若发现响应供应商提供虚假证明文件、虚假响应文件等弄虚作假行为的，或经审查确认其经营、财务状况发生较大变化（或者存在违法行为）导致无法按照响应文件的承诺履约的，或其明确表示不按照响应文件承诺履约的，等影响中标结果的行为，采购人有权按照谈判小组提出的成交候选人名单排序依次确定其他成交候选人为成交人或重新采购</w:t>
      </w:r>
      <w:r>
        <w:rPr>
          <w:rFonts w:hint="eastAsia" w:ascii="宋体" w:hAnsi="宋体" w:cs="宋体"/>
          <w:b/>
          <w:color w:val="auto"/>
          <w:sz w:val="21"/>
          <w:szCs w:val="21"/>
          <w:highlight w:val="none"/>
        </w:rPr>
        <w:t>。</w:t>
      </w:r>
    </w:p>
    <w:p w14:paraId="32F197DE">
      <w:pPr>
        <w:snapToGrid w:val="0"/>
        <w:spacing w:line="360" w:lineRule="auto"/>
        <w:ind w:left="291" w:leftChars="-100" w:hanging="531" w:hangingChars="252"/>
        <w:rPr>
          <w:rFonts w:ascii="宋体" w:hAnsi="宋体" w:cs="宋体"/>
          <w:b/>
          <w:color w:val="auto"/>
          <w:sz w:val="21"/>
          <w:szCs w:val="21"/>
          <w:highlight w:val="none"/>
        </w:rPr>
      </w:pPr>
      <w:r>
        <w:rPr>
          <w:rFonts w:hint="eastAsia" w:ascii="宋体" w:hAnsi="宋体" w:cs="宋体"/>
          <w:b/>
          <w:color w:val="auto"/>
          <w:sz w:val="21"/>
          <w:szCs w:val="21"/>
          <w:highlight w:val="none"/>
        </w:rPr>
        <w:t>30.2 响应供应商</w:t>
      </w:r>
      <w:r>
        <w:rPr>
          <w:rFonts w:hint="eastAsia" w:ascii="宋体" w:hAnsi="宋体"/>
          <w:b/>
          <w:color w:val="auto"/>
          <w:sz w:val="21"/>
          <w:szCs w:val="21"/>
          <w:highlight w:val="none"/>
        </w:rPr>
        <w:t>在采购人（或其委托的采购代理机构）、或谈判小组通知其提供</w:t>
      </w:r>
      <w:r>
        <w:rPr>
          <w:rFonts w:hint="eastAsia" w:ascii="宋体" w:hAnsi="宋体"/>
          <w:b/>
          <w:color w:val="auto"/>
          <w:sz w:val="21"/>
          <w:szCs w:val="21"/>
          <w:highlight w:val="none"/>
          <w:lang w:val="zh-CN"/>
        </w:rPr>
        <w:t>上述响应文件或响应文件外其他相关（包括但不限于业绩合同对应的发票等）的证明资料原件</w:t>
      </w:r>
      <w:r>
        <w:rPr>
          <w:rFonts w:hint="eastAsia" w:ascii="宋体" w:hAnsi="宋体"/>
          <w:b/>
          <w:color w:val="auto"/>
          <w:sz w:val="21"/>
          <w:szCs w:val="21"/>
          <w:highlight w:val="none"/>
        </w:rPr>
        <w:t>进行核查的要求后，未能在约定的时间内提供原件进行核查的，视为响应供应商无法提供真实的资料，采购人有权按照谈判小组提出的成交候选人名单排序依次确定其他成交候选人为成交人或重新采购</w:t>
      </w:r>
      <w:r>
        <w:rPr>
          <w:rFonts w:hint="eastAsia" w:ascii="宋体" w:hAnsi="宋体" w:cs="宋体"/>
          <w:b/>
          <w:color w:val="auto"/>
          <w:sz w:val="21"/>
          <w:szCs w:val="21"/>
          <w:highlight w:val="none"/>
        </w:rPr>
        <w:t>。</w:t>
      </w:r>
    </w:p>
    <w:p w14:paraId="795BE301">
      <w:pPr>
        <w:snapToGrid w:val="0"/>
        <w:spacing w:line="360" w:lineRule="auto"/>
        <w:ind w:left="291" w:leftChars="-100" w:hanging="531" w:hangingChars="252"/>
        <w:rPr>
          <w:rFonts w:ascii="宋体" w:hAnsi="宋体" w:cs="宋体"/>
          <w:b/>
          <w:color w:val="auto"/>
          <w:sz w:val="21"/>
          <w:szCs w:val="21"/>
          <w:highlight w:val="none"/>
        </w:rPr>
      </w:pPr>
      <w:r>
        <w:rPr>
          <w:rFonts w:hint="eastAsia" w:ascii="宋体" w:hAnsi="宋体" w:cs="宋体"/>
          <w:b/>
          <w:color w:val="auto"/>
          <w:sz w:val="21"/>
          <w:szCs w:val="21"/>
          <w:highlight w:val="none"/>
        </w:rPr>
        <w:t>30.3 若响应供应商在响应或履约过程中存在提供虚假材料、</w:t>
      </w:r>
      <w:r>
        <w:rPr>
          <w:rFonts w:ascii="宋体" w:hAnsi="宋体" w:cs="宋体"/>
          <w:b/>
          <w:color w:val="auto"/>
          <w:sz w:val="21"/>
          <w:szCs w:val="21"/>
          <w:highlight w:val="none"/>
        </w:rPr>
        <w:t>虚假响应</w:t>
      </w:r>
      <w:r>
        <w:rPr>
          <w:rFonts w:hint="eastAsia" w:ascii="宋体" w:hAnsi="宋体" w:cs="宋体"/>
          <w:b/>
          <w:color w:val="auto"/>
          <w:sz w:val="21"/>
          <w:szCs w:val="21"/>
          <w:highlight w:val="none"/>
        </w:rPr>
        <w:t>谈判文件要求等弄虚作假行为，</w:t>
      </w:r>
      <w:r>
        <w:rPr>
          <w:rFonts w:ascii="宋体" w:hAnsi="宋体" w:cs="宋体"/>
          <w:b/>
          <w:color w:val="auto"/>
          <w:sz w:val="21"/>
          <w:szCs w:val="21"/>
          <w:highlight w:val="none"/>
        </w:rPr>
        <w:t>或不按照响应文件承诺履约</w:t>
      </w:r>
      <w:r>
        <w:rPr>
          <w:rFonts w:hint="eastAsia" w:ascii="宋体" w:hAnsi="宋体" w:cs="宋体"/>
          <w:b/>
          <w:color w:val="auto"/>
          <w:sz w:val="21"/>
          <w:szCs w:val="21"/>
          <w:highlight w:val="none"/>
        </w:rPr>
        <w:t>或撤回响应或放弃中标资格或</w:t>
      </w:r>
      <w:r>
        <w:rPr>
          <w:rFonts w:ascii="宋体" w:hAnsi="宋体" w:cs="宋体"/>
          <w:b/>
          <w:color w:val="auto"/>
          <w:sz w:val="21"/>
          <w:szCs w:val="21"/>
          <w:highlight w:val="none"/>
        </w:rPr>
        <w:t>不按要求与采购人签订合同等影响中标结果的行为</w:t>
      </w:r>
      <w:r>
        <w:rPr>
          <w:rFonts w:hint="eastAsia" w:ascii="宋体" w:hAnsi="宋体" w:cs="宋体"/>
          <w:b/>
          <w:color w:val="auto"/>
          <w:sz w:val="21"/>
          <w:szCs w:val="21"/>
          <w:highlight w:val="none"/>
        </w:rPr>
        <w:t>，采购人有权将响应供应商纳入东莞市水务集团有限公司（含其全资子公司、控股公司、由其管理的参股公司）招标、采购、征集供应商或合作方采购的‘黑名单’中，因此导致响应供应商无法参与东莞市水务集团有限公司相关招标采购等活动的，由响应供应商自行承担全部后果。</w:t>
      </w:r>
    </w:p>
    <w:p w14:paraId="5520A8E1">
      <w:pPr>
        <w:snapToGrid w:val="0"/>
        <w:spacing w:line="360" w:lineRule="auto"/>
        <w:rPr>
          <w:rFonts w:ascii="宋体" w:hAnsi="宋体" w:cs="宋体"/>
          <w:color w:val="auto"/>
          <w:sz w:val="21"/>
          <w:szCs w:val="21"/>
          <w:highlight w:val="none"/>
        </w:rPr>
      </w:pPr>
    </w:p>
    <w:p w14:paraId="60FBA1F8">
      <w:pPr>
        <w:tabs>
          <w:tab w:val="left" w:pos="567"/>
        </w:tabs>
        <w:spacing w:line="360" w:lineRule="auto"/>
        <w:ind w:left="-2" w:leftChars="-59" w:hanging="140" w:hangingChars="67"/>
        <w:outlineLvl w:val="2"/>
        <w:rPr>
          <w:rFonts w:ascii="宋体" w:hAnsi="宋体" w:cs="宋体"/>
          <w:color w:val="auto"/>
          <w:sz w:val="21"/>
          <w:szCs w:val="21"/>
          <w:highlight w:val="none"/>
          <w:lang w:val="zh-CN"/>
        </w:rPr>
      </w:pPr>
      <w:bookmarkStart w:id="145" w:name="_Toc24015"/>
      <w:bookmarkStart w:id="146" w:name="_Toc486167696"/>
      <w:bookmarkStart w:id="147" w:name="_Toc10867_WPSOffice_Level3"/>
      <w:bookmarkStart w:id="148" w:name="_Toc160099467"/>
      <w:r>
        <w:rPr>
          <w:rFonts w:hint="eastAsia" w:ascii="宋体" w:hAnsi="宋体" w:cs="宋体"/>
          <w:color w:val="auto"/>
          <w:sz w:val="21"/>
          <w:szCs w:val="21"/>
          <w:highlight w:val="none"/>
        </w:rPr>
        <w:t>31</w:t>
      </w:r>
      <w:r>
        <w:rPr>
          <w:rFonts w:hint="eastAsia" w:ascii="宋体" w:hAnsi="宋体" w:cs="宋体"/>
          <w:color w:val="auto"/>
          <w:sz w:val="21"/>
          <w:szCs w:val="21"/>
          <w:highlight w:val="none"/>
          <w:lang w:val="zh-CN"/>
        </w:rPr>
        <w:t xml:space="preserve"> 谈判小组和采购人接受或拒绝任何响应或所有响应的权利</w:t>
      </w:r>
      <w:bookmarkEnd w:id="145"/>
      <w:bookmarkEnd w:id="146"/>
      <w:bookmarkEnd w:id="147"/>
      <w:bookmarkEnd w:id="148"/>
    </w:p>
    <w:p w14:paraId="308185F4">
      <w:pPr>
        <w:spacing w:line="360" w:lineRule="auto"/>
        <w:ind w:left="283" w:leftChars="118" w:firstLine="1"/>
        <w:rPr>
          <w:rFonts w:ascii="宋体" w:hAnsi="宋体" w:cs="宋体"/>
          <w:color w:val="auto"/>
          <w:sz w:val="21"/>
          <w:szCs w:val="21"/>
          <w:highlight w:val="none"/>
        </w:rPr>
      </w:pPr>
      <w:r>
        <w:rPr>
          <w:rFonts w:hint="eastAsia" w:ascii="宋体" w:hAnsi="宋体" w:cs="宋体"/>
          <w:color w:val="auto"/>
          <w:sz w:val="21"/>
          <w:szCs w:val="21"/>
          <w:highlight w:val="none"/>
        </w:rPr>
        <w:t>在授予合同前的任何时候，采购人仍保留接受或拒绝任何响应，宣布采购程序无效或拒绝所有响应的权利，无需向受影响的响应供应商承担任何责任。</w:t>
      </w:r>
    </w:p>
    <w:p w14:paraId="73FCB9D4">
      <w:pPr>
        <w:snapToGrid w:val="0"/>
        <w:spacing w:line="360" w:lineRule="auto"/>
        <w:ind w:left="293" w:leftChars="-158" w:hanging="672" w:hangingChars="320"/>
        <w:rPr>
          <w:rFonts w:ascii="宋体" w:hAnsi="宋体" w:cs="宋体"/>
          <w:color w:val="auto"/>
          <w:kern w:val="44"/>
          <w:sz w:val="21"/>
          <w:szCs w:val="21"/>
          <w:highlight w:val="none"/>
          <w:lang w:val="zh-CN"/>
        </w:rPr>
      </w:pPr>
    </w:p>
    <w:bookmarkEnd w:id="105"/>
    <w:bookmarkEnd w:id="106"/>
    <w:p w14:paraId="4171F233">
      <w:pPr>
        <w:snapToGrid w:val="0"/>
        <w:spacing w:line="360" w:lineRule="auto"/>
        <w:ind w:left="533" w:leftChars="-58" w:hanging="672" w:hangingChars="320"/>
        <w:jc w:val="both"/>
        <w:rPr>
          <w:rFonts w:ascii="宋体" w:hAnsi="宋体" w:cs="宋体"/>
          <w:color w:val="auto"/>
          <w:kern w:val="44"/>
          <w:sz w:val="21"/>
          <w:szCs w:val="21"/>
          <w:highlight w:val="none"/>
          <w:lang w:val="zh-CN"/>
        </w:rPr>
      </w:pPr>
      <w:bookmarkStart w:id="149" w:name="_Toc450662880"/>
    </w:p>
    <w:p w14:paraId="4B6575DA">
      <w:pPr>
        <w:pStyle w:val="5"/>
        <w:keepNext/>
        <w:keepLines/>
        <w:tabs>
          <w:tab w:val="left" w:pos="567"/>
        </w:tabs>
        <w:spacing w:line="360" w:lineRule="auto"/>
        <w:ind w:firstLine="211" w:firstLineChars="100"/>
        <w:jc w:val="both"/>
        <w:rPr>
          <w:rFonts w:ascii="宋体" w:hAnsi="宋体" w:eastAsia="宋体" w:cs="宋体"/>
          <w:b/>
          <w:bCs/>
          <w:color w:val="auto"/>
          <w:kern w:val="44"/>
          <w:sz w:val="21"/>
          <w:szCs w:val="21"/>
          <w:highlight w:val="none"/>
          <w:lang w:val="zh-CN"/>
        </w:rPr>
      </w:pPr>
      <w:bookmarkStart w:id="150" w:name="_Toc8453"/>
      <w:bookmarkStart w:id="151" w:name="_Toc521918101"/>
      <w:r>
        <w:rPr>
          <w:rFonts w:hint="eastAsia" w:ascii="宋体" w:hAnsi="宋体" w:eastAsia="宋体" w:cs="宋体"/>
          <w:b/>
          <w:bCs/>
          <w:color w:val="auto"/>
          <w:kern w:val="44"/>
          <w:sz w:val="21"/>
          <w:szCs w:val="21"/>
          <w:highlight w:val="none"/>
          <w:lang w:val="zh-CN"/>
        </w:rPr>
        <w:t>六、授予合同</w:t>
      </w:r>
      <w:bookmarkEnd w:id="149"/>
      <w:bookmarkEnd w:id="150"/>
      <w:bookmarkEnd w:id="151"/>
    </w:p>
    <w:p w14:paraId="0E67188C">
      <w:pPr>
        <w:tabs>
          <w:tab w:val="left" w:pos="567"/>
        </w:tabs>
        <w:spacing w:line="360" w:lineRule="auto"/>
        <w:ind w:left="567" w:hanging="567"/>
        <w:jc w:val="both"/>
        <w:outlineLvl w:val="2"/>
        <w:rPr>
          <w:rFonts w:ascii="宋体" w:hAnsi="宋体" w:cs="宋体"/>
          <w:color w:val="auto"/>
          <w:kern w:val="2"/>
          <w:sz w:val="21"/>
          <w:szCs w:val="21"/>
          <w:highlight w:val="none"/>
          <w:lang w:val="zh-CN"/>
        </w:rPr>
      </w:pPr>
      <w:bookmarkStart w:id="152" w:name="_Toc11525"/>
      <w:bookmarkStart w:id="153" w:name="_Toc450662881"/>
      <w:bookmarkStart w:id="154" w:name="_Toc521918102"/>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 xml:space="preserve">2 </w:t>
      </w:r>
      <w:r>
        <w:rPr>
          <w:rFonts w:hint="eastAsia" w:ascii="宋体" w:hAnsi="宋体" w:cs="宋体"/>
          <w:color w:val="auto"/>
          <w:kern w:val="2"/>
          <w:sz w:val="21"/>
          <w:szCs w:val="21"/>
          <w:highlight w:val="none"/>
          <w:lang w:val="zh-CN"/>
        </w:rPr>
        <w:t>授予合同的准则</w:t>
      </w:r>
      <w:bookmarkEnd w:id="152"/>
      <w:bookmarkEnd w:id="153"/>
      <w:bookmarkEnd w:id="154"/>
    </w:p>
    <w:p w14:paraId="24255900">
      <w:pPr>
        <w:tabs>
          <w:tab w:val="left" w:pos="645"/>
        </w:tabs>
        <w:spacing w:line="360" w:lineRule="auto"/>
        <w:ind w:left="540" w:right="51" w:hanging="54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zh-CN"/>
        </w:rPr>
        <w:t>.1</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除第2</w:t>
      </w:r>
      <w:r>
        <w:rPr>
          <w:rFonts w:hint="eastAsia" w:ascii="宋体" w:hAnsi="宋体" w:cs="宋体"/>
          <w:color w:val="auto"/>
          <w:kern w:val="2"/>
          <w:sz w:val="21"/>
          <w:szCs w:val="21"/>
          <w:highlight w:val="none"/>
        </w:rPr>
        <w:t>9</w:t>
      </w:r>
      <w:r>
        <w:rPr>
          <w:rFonts w:hint="eastAsia" w:ascii="宋体" w:hAnsi="宋体" w:cs="宋体"/>
          <w:color w:val="auto"/>
          <w:kern w:val="2"/>
          <w:sz w:val="21"/>
          <w:szCs w:val="21"/>
          <w:highlight w:val="none"/>
          <w:lang w:val="zh-CN"/>
        </w:rPr>
        <w:t>条、</w:t>
      </w:r>
      <w:r>
        <w:rPr>
          <w:rFonts w:hint="eastAsia" w:ascii="宋体" w:hAnsi="宋体" w:cs="宋体"/>
          <w:color w:val="auto"/>
          <w:kern w:val="2"/>
          <w:sz w:val="21"/>
          <w:szCs w:val="21"/>
          <w:highlight w:val="none"/>
        </w:rPr>
        <w:t>30</w:t>
      </w:r>
      <w:r>
        <w:rPr>
          <w:rFonts w:hint="eastAsia" w:ascii="宋体" w:hAnsi="宋体" w:cs="宋体"/>
          <w:color w:val="auto"/>
          <w:kern w:val="2"/>
          <w:sz w:val="21"/>
          <w:szCs w:val="21"/>
          <w:highlight w:val="none"/>
          <w:lang w:val="zh-CN"/>
        </w:rPr>
        <w:t>条</w:t>
      </w:r>
      <w:r>
        <w:rPr>
          <w:rFonts w:hint="eastAsia" w:ascii="宋体" w:hAnsi="宋体" w:cs="宋体"/>
          <w:color w:val="auto"/>
          <w:sz w:val="21"/>
          <w:szCs w:val="21"/>
          <w:highlight w:val="none"/>
        </w:rPr>
        <w:t>、31</w:t>
      </w:r>
      <w:r>
        <w:rPr>
          <w:rFonts w:hint="eastAsia" w:ascii="宋体" w:hAnsi="宋体" w:cs="宋体"/>
          <w:color w:val="auto"/>
          <w:kern w:val="2"/>
          <w:sz w:val="21"/>
          <w:szCs w:val="21"/>
          <w:highlight w:val="none"/>
          <w:lang w:val="zh-CN"/>
        </w:rPr>
        <w:t>条规定外，采购人将合同授予其响应文件符合竞争性谈判文件要求，并且能承诺履行合同，对采购人最为有利的供应商。</w:t>
      </w:r>
    </w:p>
    <w:p w14:paraId="47D419EF">
      <w:pPr>
        <w:numPr>
          <w:ilvl w:val="1"/>
          <w:numId w:val="0"/>
        </w:numPr>
        <w:tabs>
          <w:tab w:val="left" w:pos="540"/>
        </w:tabs>
        <w:spacing w:line="360" w:lineRule="auto"/>
        <w:ind w:left="540" w:right="51" w:hanging="54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zh-CN"/>
        </w:rPr>
        <w:t>.2 采购人依法按照评</w:t>
      </w:r>
      <w:r>
        <w:rPr>
          <w:rFonts w:hint="eastAsia" w:ascii="宋体" w:hAnsi="宋体" w:cs="宋体"/>
          <w:color w:val="auto"/>
          <w:kern w:val="2"/>
          <w:sz w:val="21"/>
          <w:szCs w:val="21"/>
          <w:highlight w:val="none"/>
        </w:rPr>
        <w:t>审</w:t>
      </w:r>
      <w:r>
        <w:rPr>
          <w:rFonts w:hint="eastAsia" w:ascii="宋体" w:hAnsi="宋体" w:cs="宋体"/>
          <w:color w:val="auto"/>
          <w:kern w:val="2"/>
          <w:sz w:val="21"/>
          <w:szCs w:val="21"/>
          <w:highlight w:val="none"/>
          <w:lang w:val="zh-CN"/>
        </w:rPr>
        <w:t>报告中推荐的成交候选人</w:t>
      </w:r>
      <w:r>
        <w:rPr>
          <w:rFonts w:hint="eastAsia" w:ascii="宋体" w:hAnsi="宋体" w:cs="宋体"/>
          <w:color w:val="auto"/>
          <w:kern w:val="2"/>
          <w:sz w:val="21"/>
          <w:szCs w:val="21"/>
          <w:highlight w:val="none"/>
        </w:rPr>
        <w:t>顺序确定</w:t>
      </w:r>
      <w:r>
        <w:rPr>
          <w:rFonts w:hint="eastAsia" w:ascii="宋体" w:hAnsi="宋体" w:cs="宋体"/>
          <w:color w:val="auto"/>
          <w:kern w:val="2"/>
          <w:sz w:val="21"/>
          <w:szCs w:val="21"/>
          <w:highlight w:val="none"/>
          <w:lang w:val="zh-CN"/>
        </w:rPr>
        <w:t>成交人。</w:t>
      </w:r>
    </w:p>
    <w:p w14:paraId="2EF3C3DC">
      <w:pPr>
        <w:tabs>
          <w:tab w:val="left" w:pos="645"/>
        </w:tabs>
        <w:autoSpaceDE/>
        <w:autoSpaceDN/>
        <w:adjustRightInd/>
        <w:spacing w:line="360" w:lineRule="auto"/>
        <w:ind w:left="540" w:right="51" w:hanging="540"/>
        <w:jc w:val="both"/>
        <w:rPr>
          <w:rFonts w:ascii="宋体" w:hAnsi="宋体" w:cs="宋体"/>
          <w:color w:val="auto"/>
          <w:kern w:val="2"/>
          <w:sz w:val="21"/>
          <w:szCs w:val="21"/>
          <w:highlight w:val="none"/>
          <w:lang w:val="zh-CN"/>
        </w:rPr>
      </w:pPr>
      <w:bookmarkStart w:id="155" w:name="_Toc450662886"/>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zh-CN"/>
        </w:rPr>
        <w:t>.3 因不可抗力或自身原因不能履行合同的、不按要求</w:t>
      </w:r>
      <w:r>
        <w:rPr>
          <w:rFonts w:hint="eastAsia" w:ascii="宋体" w:hAnsi="宋体" w:cs="宋体"/>
          <w:color w:val="auto"/>
          <w:kern w:val="2"/>
          <w:sz w:val="21"/>
          <w:szCs w:val="21"/>
          <w:highlight w:val="none"/>
        </w:rPr>
        <w:t>或约定时间内</w:t>
      </w:r>
      <w:r>
        <w:rPr>
          <w:rFonts w:hint="eastAsia" w:ascii="宋体" w:hAnsi="宋体" w:cs="宋体"/>
          <w:color w:val="auto"/>
          <w:kern w:val="2"/>
          <w:sz w:val="21"/>
          <w:szCs w:val="21"/>
          <w:highlight w:val="none"/>
          <w:lang w:val="zh-CN"/>
        </w:rPr>
        <w:t>与采购人签订合同、成交人放弃成交、成交资格被依法确认无效的，采购人可以按照谈判小组提出的成交候选人名单排序依次确定其他成交候选人为成交人或重新采购。</w:t>
      </w:r>
    </w:p>
    <w:p w14:paraId="58ADA730">
      <w:pPr>
        <w:snapToGrid w:val="0"/>
        <w:spacing w:line="360" w:lineRule="auto"/>
        <w:ind w:left="525" w:hanging="525" w:hangingChars="250"/>
        <w:jc w:val="both"/>
        <w:rPr>
          <w:rFonts w:ascii="宋体" w:hAnsi="宋体" w:cs="宋体"/>
          <w:color w:val="auto"/>
          <w:kern w:val="2"/>
          <w:sz w:val="21"/>
          <w:szCs w:val="21"/>
          <w:highlight w:val="none"/>
          <w:lang w:val="zh-CN"/>
        </w:rPr>
      </w:pPr>
    </w:p>
    <w:p w14:paraId="18F3B53B">
      <w:pPr>
        <w:tabs>
          <w:tab w:val="left" w:pos="567"/>
        </w:tabs>
        <w:autoSpaceDE/>
        <w:autoSpaceDN/>
        <w:adjustRightInd/>
        <w:spacing w:line="360" w:lineRule="auto"/>
        <w:ind w:left="567" w:hanging="567"/>
        <w:jc w:val="both"/>
        <w:outlineLvl w:val="2"/>
        <w:rPr>
          <w:rFonts w:ascii="宋体" w:hAnsi="宋体" w:cs="宋体"/>
          <w:color w:val="auto"/>
          <w:kern w:val="2"/>
          <w:sz w:val="21"/>
          <w:szCs w:val="21"/>
          <w:highlight w:val="none"/>
          <w:lang w:val="zh-CN"/>
        </w:rPr>
      </w:pPr>
      <w:bookmarkStart w:id="156" w:name="_Toc18984"/>
      <w:bookmarkStart w:id="157" w:name="_Toc6726_WPSOffice_Level3"/>
      <w:bookmarkStart w:id="158" w:name="_Toc14377"/>
      <w:bookmarkStart w:id="159" w:name="_Toc142508350"/>
      <w:bookmarkStart w:id="160" w:name="_Toc486167699"/>
      <w:bookmarkStart w:id="161" w:name="_Toc8196"/>
      <w:bookmarkStart w:id="162" w:name="_Toc28879"/>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3 成交</w:t>
      </w:r>
      <w:r>
        <w:rPr>
          <w:rFonts w:hint="eastAsia" w:ascii="宋体" w:hAnsi="宋体" w:cs="宋体"/>
          <w:color w:val="auto"/>
          <w:kern w:val="2"/>
          <w:sz w:val="21"/>
          <w:szCs w:val="21"/>
          <w:highlight w:val="none"/>
          <w:lang w:val="zh-CN"/>
        </w:rPr>
        <w:t>通知</w:t>
      </w:r>
      <w:bookmarkEnd w:id="156"/>
      <w:bookmarkEnd w:id="157"/>
      <w:bookmarkEnd w:id="158"/>
      <w:bookmarkEnd w:id="159"/>
      <w:bookmarkEnd w:id="160"/>
      <w:bookmarkEnd w:id="161"/>
      <w:bookmarkEnd w:id="162"/>
    </w:p>
    <w:p w14:paraId="587C5546">
      <w:pPr>
        <w:numPr>
          <w:ilvl w:val="1"/>
          <w:numId w:val="0"/>
        </w:numPr>
        <w:tabs>
          <w:tab w:val="left" w:pos="540"/>
        </w:tabs>
        <w:autoSpaceDE/>
        <w:autoSpaceDN/>
        <w:adjustRightInd/>
        <w:spacing w:line="360" w:lineRule="auto"/>
        <w:ind w:left="540" w:right="51" w:hanging="54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3</w:t>
      </w:r>
      <w:r>
        <w:rPr>
          <w:rFonts w:hint="eastAsia" w:ascii="宋体" w:hAnsi="宋体" w:cs="宋体"/>
          <w:color w:val="auto"/>
          <w:kern w:val="2"/>
          <w:sz w:val="21"/>
          <w:szCs w:val="21"/>
          <w:highlight w:val="none"/>
          <w:lang w:val="zh-CN"/>
        </w:rPr>
        <w:t>.1</w:t>
      </w:r>
      <w:r>
        <w:rPr>
          <w:rFonts w:hint="eastAsia" w:ascii="宋体" w:hAnsi="宋体" w:cs="宋体"/>
          <w:color w:val="auto"/>
          <w:kern w:val="2"/>
          <w:sz w:val="21"/>
          <w:szCs w:val="21"/>
          <w:highlight w:val="none"/>
          <w:lang w:val="zh-CN"/>
        </w:rPr>
        <w:tab/>
      </w:r>
      <w:r>
        <w:rPr>
          <w:rFonts w:hint="eastAsia" w:ascii="宋体" w:hAnsi="宋体" w:cs="宋体"/>
          <w:color w:val="auto"/>
          <w:kern w:val="2"/>
          <w:sz w:val="21"/>
          <w:szCs w:val="21"/>
          <w:highlight w:val="none"/>
          <w:lang w:val="zh-CN"/>
        </w:rPr>
        <w:t>采购代理机构向成交人发出书面通知，成交通知书是合同的一个组成部分。</w:t>
      </w:r>
    </w:p>
    <w:p w14:paraId="34E04B27">
      <w:pPr>
        <w:numPr>
          <w:ilvl w:val="255"/>
          <w:numId w:val="0"/>
        </w:numPr>
        <w:autoSpaceDE/>
        <w:autoSpaceDN/>
        <w:adjustRightInd/>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3</w:t>
      </w:r>
      <w:r>
        <w:rPr>
          <w:rFonts w:hint="eastAsia" w:ascii="宋体" w:hAnsi="宋体" w:cs="宋体"/>
          <w:color w:val="auto"/>
          <w:kern w:val="2"/>
          <w:sz w:val="21"/>
          <w:szCs w:val="21"/>
          <w:highlight w:val="none"/>
          <w:lang w:val="zh-CN"/>
        </w:rPr>
        <w:t>.2</w:t>
      </w:r>
      <w:r>
        <w:rPr>
          <w:rFonts w:hint="eastAsia" w:ascii="宋体" w:hAnsi="宋体" w:cs="宋体"/>
          <w:color w:val="auto"/>
          <w:kern w:val="2"/>
          <w:sz w:val="21"/>
          <w:szCs w:val="21"/>
          <w:highlight w:val="none"/>
          <w:lang w:val="zh-CN"/>
        </w:rPr>
        <w:tab/>
      </w:r>
      <w:r>
        <w:rPr>
          <w:rFonts w:hint="eastAsia" w:ascii="宋体" w:hAnsi="宋体" w:cs="宋体"/>
          <w:color w:val="auto"/>
          <w:kern w:val="2"/>
          <w:sz w:val="21"/>
          <w:szCs w:val="21"/>
          <w:highlight w:val="none"/>
          <w:lang w:val="zh-CN"/>
        </w:rPr>
        <w:t>采购代理机构向成交人发出书面通知的同时，采购代理机构通知落选的供应商其响应文件未被接受而不提原因。</w:t>
      </w:r>
    </w:p>
    <w:p w14:paraId="1BAFE027">
      <w:pPr>
        <w:snapToGrid w:val="0"/>
        <w:spacing w:line="360" w:lineRule="auto"/>
        <w:ind w:left="525" w:hanging="525" w:hangingChars="250"/>
        <w:jc w:val="both"/>
        <w:rPr>
          <w:rFonts w:ascii="宋体" w:hAnsi="宋体" w:cs="宋体"/>
          <w:color w:val="auto"/>
          <w:kern w:val="2"/>
          <w:sz w:val="21"/>
          <w:szCs w:val="21"/>
          <w:highlight w:val="none"/>
          <w:lang w:val="zh-CN"/>
        </w:rPr>
      </w:pPr>
    </w:p>
    <w:p w14:paraId="4536E87F">
      <w:pPr>
        <w:snapToGrid w:val="0"/>
        <w:spacing w:line="360" w:lineRule="auto"/>
        <w:ind w:left="525" w:hanging="525" w:hangingChars="250"/>
        <w:jc w:val="both"/>
        <w:rPr>
          <w:rFonts w:ascii="宋体" w:hAnsi="宋体" w:cs="宋体"/>
          <w:color w:val="auto"/>
          <w:kern w:val="2"/>
          <w:sz w:val="21"/>
          <w:szCs w:val="21"/>
          <w:highlight w:val="none"/>
          <w:lang w:val="zh-CN"/>
        </w:rPr>
      </w:pPr>
    </w:p>
    <w:p w14:paraId="6682300B">
      <w:pPr>
        <w:tabs>
          <w:tab w:val="left" w:pos="567"/>
        </w:tabs>
        <w:spacing w:line="360" w:lineRule="auto"/>
        <w:ind w:left="567" w:hanging="567"/>
        <w:jc w:val="both"/>
        <w:outlineLvl w:val="2"/>
        <w:rPr>
          <w:rFonts w:ascii="宋体" w:hAnsi="宋体" w:cs="宋体"/>
          <w:color w:val="auto"/>
          <w:kern w:val="2"/>
          <w:sz w:val="21"/>
          <w:szCs w:val="21"/>
          <w:highlight w:val="none"/>
          <w:lang w:val="zh-CN"/>
        </w:rPr>
      </w:pPr>
      <w:bookmarkStart w:id="163" w:name="_Toc29702"/>
      <w:bookmarkStart w:id="164" w:name="_Toc521918104"/>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 xml:space="preserve">4 </w:t>
      </w:r>
      <w:r>
        <w:rPr>
          <w:rFonts w:hint="eastAsia" w:ascii="宋体" w:hAnsi="宋体" w:cs="宋体"/>
          <w:color w:val="auto"/>
          <w:kern w:val="2"/>
          <w:sz w:val="21"/>
          <w:szCs w:val="21"/>
          <w:highlight w:val="none"/>
          <w:lang w:val="zh-CN"/>
        </w:rPr>
        <w:t>签署合同</w:t>
      </w:r>
      <w:bookmarkEnd w:id="155"/>
      <w:bookmarkEnd w:id="163"/>
      <w:bookmarkEnd w:id="164"/>
    </w:p>
    <w:p w14:paraId="2B7A0305">
      <w:pPr>
        <w:tabs>
          <w:tab w:val="left" w:pos="540"/>
        </w:tabs>
        <w:spacing w:line="360" w:lineRule="auto"/>
        <w:ind w:left="540" w:right="18" w:hanging="54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4</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 xml:space="preserve">1 </w:t>
      </w:r>
      <w:r>
        <w:rPr>
          <w:rFonts w:hint="eastAsia" w:ascii="宋体" w:hAnsi="宋体" w:cs="宋体"/>
          <w:b/>
          <w:color w:val="auto"/>
          <w:kern w:val="2"/>
          <w:sz w:val="21"/>
          <w:szCs w:val="21"/>
          <w:highlight w:val="none"/>
          <w:u w:val="single"/>
          <w:lang w:val="zh-CN"/>
        </w:rPr>
        <w:t>成交人在自成交通知书发出之日起</w:t>
      </w:r>
      <w:r>
        <w:rPr>
          <w:rFonts w:hint="eastAsia" w:ascii="宋体" w:hAnsi="宋体" w:cs="宋体"/>
          <w:b/>
          <w:color w:val="auto"/>
          <w:kern w:val="2"/>
          <w:sz w:val="21"/>
          <w:szCs w:val="21"/>
          <w:highlight w:val="none"/>
          <w:u w:val="single"/>
        </w:rPr>
        <w:t>30</w:t>
      </w:r>
      <w:r>
        <w:rPr>
          <w:rFonts w:hint="eastAsia" w:ascii="宋体" w:hAnsi="宋体" w:cs="宋体"/>
          <w:b/>
          <w:color w:val="auto"/>
          <w:kern w:val="2"/>
          <w:sz w:val="21"/>
          <w:szCs w:val="21"/>
          <w:highlight w:val="none"/>
          <w:u w:val="single"/>
          <w:lang w:val="zh-CN"/>
        </w:rPr>
        <w:t>日内，</w:t>
      </w:r>
      <w:r>
        <w:rPr>
          <w:rFonts w:hint="eastAsia" w:ascii="宋体" w:hAnsi="宋体" w:cs="宋体"/>
          <w:b/>
          <w:color w:val="auto"/>
          <w:kern w:val="2"/>
          <w:sz w:val="21"/>
          <w:szCs w:val="21"/>
          <w:highlight w:val="none"/>
          <w:u w:val="single"/>
        </w:rPr>
        <w:t>按照竞争性谈判文件和成交人的响应文件的约定</w:t>
      </w:r>
      <w:r>
        <w:rPr>
          <w:rFonts w:hint="eastAsia" w:ascii="宋体" w:hAnsi="宋体" w:cs="宋体"/>
          <w:color w:val="auto"/>
          <w:kern w:val="2"/>
          <w:sz w:val="21"/>
          <w:szCs w:val="21"/>
          <w:highlight w:val="none"/>
          <w:lang w:val="zh-CN"/>
        </w:rPr>
        <w:t>（详见用户需求书）</w:t>
      </w:r>
      <w:r>
        <w:rPr>
          <w:rFonts w:hint="eastAsia" w:ascii="宋体" w:hAnsi="宋体" w:cs="宋体"/>
          <w:b/>
          <w:color w:val="auto"/>
          <w:kern w:val="2"/>
          <w:sz w:val="21"/>
          <w:szCs w:val="21"/>
          <w:highlight w:val="none"/>
          <w:u w:val="single"/>
        </w:rPr>
        <w:t>，与采购人签订书面合同，具体签订方式以采购人通知为准。</w:t>
      </w:r>
      <w:r>
        <w:rPr>
          <w:rFonts w:hint="eastAsia" w:ascii="宋体" w:hAnsi="宋体" w:cs="宋体"/>
          <w:b/>
          <w:color w:val="auto"/>
          <w:kern w:val="2"/>
          <w:sz w:val="21"/>
          <w:szCs w:val="21"/>
          <w:highlight w:val="none"/>
          <w:u w:val="single"/>
          <w:lang w:val="zh-CN"/>
        </w:rPr>
        <w:t>否则采购人有权取消</w:t>
      </w:r>
      <w:r>
        <w:rPr>
          <w:rFonts w:hint="eastAsia" w:ascii="宋体" w:hAnsi="宋体" w:cs="宋体"/>
          <w:b/>
          <w:color w:val="auto"/>
          <w:kern w:val="2"/>
          <w:sz w:val="21"/>
          <w:szCs w:val="21"/>
          <w:highlight w:val="none"/>
          <w:u w:val="single"/>
        </w:rPr>
        <w:t>成交</w:t>
      </w:r>
      <w:r>
        <w:rPr>
          <w:rFonts w:hint="eastAsia" w:ascii="宋体" w:hAnsi="宋体" w:cs="宋体"/>
          <w:b/>
          <w:color w:val="auto"/>
          <w:kern w:val="2"/>
          <w:sz w:val="21"/>
          <w:szCs w:val="21"/>
          <w:highlight w:val="none"/>
          <w:u w:val="single"/>
          <w:lang w:val="zh-CN"/>
        </w:rPr>
        <w:t>资格并按竞争性谈判文件及法律、法规的规定进行处理</w:t>
      </w:r>
      <w:r>
        <w:rPr>
          <w:rFonts w:hint="eastAsia" w:ascii="宋体" w:hAnsi="宋体" w:cs="宋体"/>
          <w:color w:val="auto"/>
          <w:kern w:val="2"/>
          <w:sz w:val="21"/>
          <w:szCs w:val="21"/>
          <w:highlight w:val="none"/>
          <w:lang w:val="zh-CN"/>
        </w:rPr>
        <w:t>。</w:t>
      </w:r>
    </w:p>
    <w:p w14:paraId="02D29550">
      <w:p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4</w:t>
      </w:r>
      <w:r>
        <w:rPr>
          <w:rFonts w:hint="eastAsia" w:ascii="宋体" w:hAnsi="宋体" w:cs="宋体"/>
          <w:color w:val="auto"/>
          <w:kern w:val="2"/>
          <w:sz w:val="21"/>
          <w:szCs w:val="21"/>
          <w:highlight w:val="none"/>
          <w:lang w:val="zh-CN"/>
        </w:rPr>
        <w:t>.2 在签署合同前，采购人可对成交人响应报价表内的算术性错误的情况进行修正，修正原则为：</w:t>
      </w:r>
    </w:p>
    <w:p w14:paraId="63B6BDE8">
      <w:p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（1）当以数字表示的金额与以文字表示的金额不一致时，以文字表示的金额为准；</w:t>
      </w:r>
    </w:p>
    <w:p w14:paraId="74A04EB0">
      <w:p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zh-CN"/>
        </w:rPr>
        <w:t>）按前述修正原则排序依次进行修正至唯一值后的报价表经双方确认后，作为合同文件的组成部分。</w:t>
      </w:r>
    </w:p>
    <w:p w14:paraId="44F7ABE0">
      <w:pPr>
        <w:snapToGrid w:val="0"/>
        <w:spacing w:line="360" w:lineRule="auto"/>
        <w:ind w:left="523" w:leftChars="218" w:firstLine="42" w:firstLineChars="20"/>
        <w:jc w:val="both"/>
        <w:rPr>
          <w:rFonts w:ascii="宋体" w:hAnsi="宋体" w:cs="宋体"/>
          <w:color w:val="auto"/>
          <w:kern w:val="2"/>
          <w:sz w:val="21"/>
          <w:szCs w:val="21"/>
          <w:highlight w:val="none"/>
          <w:lang w:val="zh-CN"/>
        </w:rPr>
      </w:pPr>
    </w:p>
    <w:p w14:paraId="6C89869D">
      <w:pPr>
        <w:spacing w:line="360" w:lineRule="auto"/>
        <w:ind w:left="567" w:hanging="567"/>
        <w:jc w:val="both"/>
        <w:outlineLvl w:val="2"/>
        <w:rPr>
          <w:rFonts w:ascii="宋体" w:hAnsi="宋体" w:cs="宋体"/>
          <w:color w:val="auto"/>
          <w:kern w:val="2"/>
          <w:sz w:val="21"/>
          <w:szCs w:val="21"/>
          <w:highlight w:val="none"/>
          <w:lang w:val="zh-CN"/>
        </w:rPr>
      </w:pPr>
      <w:bookmarkStart w:id="165" w:name="_Toc51642383"/>
      <w:bookmarkStart w:id="166" w:name="_Toc11471"/>
      <w:bookmarkStart w:id="167" w:name="_Toc521918105"/>
      <w:bookmarkStart w:id="168" w:name="_Toc450662887"/>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 xml:space="preserve">5 </w:t>
      </w:r>
      <w:r>
        <w:rPr>
          <w:rFonts w:hint="eastAsia" w:ascii="宋体" w:hAnsi="宋体" w:cs="宋体"/>
          <w:color w:val="auto"/>
          <w:kern w:val="2"/>
          <w:sz w:val="21"/>
          <w:szCs w:val="21"/>
          <w:highlight w:val="none"/>
          <w:lang w:val="zh-CN"/>
        </w:rPr>
        <w:t>履约担保</w:t>
      </w:r>
      <w:bookmarkEnd w:id="165"/>
      <w:bookmarkEnd w:id="166"/>
    </w:p>
    <w:p w14:paraId="72FE37DB">
      <w:pPr>
        <w:numPr>
          <w:ilvl w:val="255"/>
          <w:numId w:val="0"/>
        </w:numPr>
        <w:snapToGrid w:val="0"/>
        <w:spacing w:line="360" w:lineRule="auto"/>
        <w:ind w:left="525" w:hanging="525" w:hangingChars="250"/>
        <w:jc w:val="both"/>
        <w:rPr>
          <w:rFonts w:ascii="宋体" w:hAnsi="宋体" w:cs="宋体"/>
          <w:b/>
          <w:bCs/>
          <w:color w:val="auto"/>
          <w:kern w:val="2"/>
          <w:sz w:val="21"/>
          <w:szCs w:val="21"/>
          <w:highlight w:val="none"/>
          <w:u w:val="single"/>
          <w:lang w:val="zh-CN"/>
        </w:rPr>
      </w:pPr>
      <w:r>
        <w:rPr>
          <w:rFonts w:hint="eastAsia" w:ascii="宋体" w:hAnsi="宋体" w:cs="宋体"/>
          <w:color w:val="auto"/>
          <w:kern w:val="2"/>
          <w:sz w:val="21"/>
          <w:szCs w:val="21"/>
          <w:highlight w:val="none"/>
          <w:lang w:val="zh-CN"/>
        </w:rPr>
        <w:t xml:space="preserve">35.1 </w:t>
      </w:r>
      <w:r>
        <w:rPr>
          <w:rFonts w:hint="eastAsia" w:ascii="宋体" w:hAnsi="宋体" w:cs="宋体"/>
          <w:b/>
          <w:bCs/>
          <w:color w:val="auto"/>
          <w:kern w:val="2"/>
          <w:sz w:val="21"/>
          <w:szCs w:val="21"/>
          <w:highlight w:val="none"/>
          <w:u w:val="single"/>
        </w:rPr>
        <w:t>成交</w:t>
      </w:r>
      <w:r>
        <w:rPr>
          <w:rFonts w:hint="eastAsia" w:ascii="宋体" w:hAnsi="宋体" w:cs="宋体"/>
          <w:b/>
          <w:bCs/>
          <w:color w:val="auto"/>
          <w:kern w:val="2"/>
          <w:sz w:val="21"/>
          <w:szCs w:val="21"/>
          <w:highlight w:val="none"/>
          <w:u w:val="single"/>
          <w:lang w:val="zh-CN"/>
        </w:rPr>
        <w:t>人应在签订</w:t>
      </w:r>
      <w:r>
        <w:rPr>
          <w:rFonts w:hint="eastAsia" w:ascii="宋体" w:hAnsi="宋体" w:cs="宋体"/>
          <w:b/>
          <w:color w:val="auto"/>
          <w:kern w:val="2"/>
          <w:sz w:val="21"/>
          <w:szCs w:val="21"/>
          <w:highlight w:val="none"/>
          <w:u w:val="single"/>
        </w:rPr>
        <w:t>（线下）</w:t>
      </w:r>
      <w:r>
        <w:rPr>
          <w:rFonts w:hint="eastAsia" w:ascii="宋体" w:hAnsi="宋体" w:cs="宋体"/>
          <w:b/>
          <w:bCs/>
          <w:color w:val="auto"/>
          <w:kern w:val="2"/>
          <w:sz w:val="21"/>
          <w:szCs w:val="21"/>
          <w:highlight w:val="none"/>
          <w:u w:val="single"/>
          <w:lang w:val="zh-CN"/>
        </w:rPr>
        <w:t>合同前，按本</w:t>
      </w:r>
      <w:r>
        <w:rPr>
          <w:rFonts w:hint="eastAsia" w:ascii="宋体" w:hAnsi="宋体" w:cs="宋体"/>
          <w:b/>
          <w:bCs/>
          <w:color w:val="auto"/>
          <w:kern w:val="2"/>
          <w:sz w:val="21"/>
          <w:szCs w:val="21"/>
          <w:highlight w:val="none"/>
          <w:u w:val="single"/>
        </w:rPr>
        <w:t>竞争性谈判</w:t>
      </w:r>
      <w:r>
        <w:rPr>
          <w:rFonts w:hint="eastAsia" w:ascii="宋体" w:hAnsi="宋体" w:cs="宋体"/>
          <w:b/>
          <w:bCs/>
          <w:color w:val="auto"/>
          <w:kern w:val="2"/>
          <w:sz w:val="21"/>
          <w:szCs w:val="21"/>
          <w:highlight w:val="none"/>
          <w:u w:val="single"/>
          <w:lang w:val="zh-CN"/>
        </w:rPr>
        <w:t>文件规定金额及形式要求，</w:t>
      </w:r>
      <w:r>
        <w:rPr>
          <w:rFonts w:hint="eastAsia" w:ascii="宋体" w:hAnsi="宋体" w:cs="宋体"/>
          <w:b/>
          <w:bCs/>
          <w:color w:val="auto"/>
          <w:kern w:val="2"/>
          <w:sz w:val="21"/>
          <w:szCs w:val="21"/>
          <w:highlight w:val="none"/>
          <w:u w:val="single"/>
        </w:rPr>
        <w:t>分别</w:t>
      </w:r>
      <w:r>
        <w:rPr>
          <w:rFonts w:hint="eastAsia" w:ascii="宋体" w:hAnsi="宋体" w:cs="宋体"/>
          <w:b/>
          <w:bCs/>
          <w:color w:val="auto"/>
          <w:kern w:val="2"/>
          <w:sz w:val="21"/>
          <w:szCs w:val="21"/>
          <w:highlight w:val="none"/>
          <w:u w:val="single"/>
          <w:lang w:val="zh-CN"/>
        </w:rPr>
        <w:t>向</w:t>
      </w:r>
      <w:r>
        <w:rPr>
          <w:rFonts w:hint="eastAsia" w:ascii="宋体" w:hAnsi="宋体" w:cs="宋体"/>
          <w:b/>
          <w:bCs/>
          <w:color w:val="auto"/>
          <w:kern w:val="2"/>
          <w:sz w:val="21"/>
          <w:szCs w:val="21"/>
          <w:highlight w:val="none"/>
          <w:u w:val="single"/>
        </w:rPr>
        <w:t>合同签订主体（详见用户需求书）</w:t>
      </w:r>
      <w:r>
        <w:rPr>
          <w:rFonts w:hint="eastAsia" w:ascii="宋体" w:hAnsi="宋体" w:cs="宋体"/>
          <w:b/>
          <w:bCs/>
          <w:color w:val="auto"/>
          <w:kern w:val="2"/>
          <w:sz w:val="21"/>
          <w:szCs w:val="21"/>
          <w:highlight w:val="none"/>
          <w:u w:val="single"/>
          <w:lang w:val="zh-CN"/>
        </w:rPr>
        <w:t>提交不可撤销的银行履约保函（或履约保证金或履约保证保险或担保公司履约担保书），作为履约担保（所需费用由</w:t>
      </w:r>
      <w:r>
        <w:rPr>
          <w:rFonts w:hint="eastAsia" w:ascii="宋体" w:hAnsi="宋体" w:cs="宋体"/>
          <w:b/>
          <w:bCs/>
          <w:color w:val="auto"/>
          <w:kern w:val="2"/>
          <w:sz w:val="21"/>
          <w:szCs w:val="21"/>
          <w:highlight w:val="none"/>
          <w:u w:val="single"/>
        </w:rPr>
        <w:t>成交</w:t>
      </w:r>
      <w:r>
        <w:rPr>
          <w:rFonts w:hint="eastAsia" w:ascii="宋体" w:hAnsi="宋体" w:cs="宋体"/>
          <w:b/>
          <w:bCs/>
          <w:color w:val="auto"/>
          <w:kern w:val="2"/>
          <w:sz w:val="21"/>
          <w:szCs w:val="21"/>
          <w:highlight w:val="none"/>
          <w:u w:val="single"/>
          <w:lang w:val="zh-CN"/>
        </w:rPr>
        <w:t>人自行承担），否则</w:t>
      </w:r>
      <w:r>
        <w:rPr>
          <w:rFonts w:hint="eastAsia" w:ascii="宋体" w:hAnsi="宋体" w:cs="宋体"/>
          <w:b/>
          <w:bCs/>
          <w:color w:val="auto"/>
          <w:kern w:val="2"/>
          <w:sz w:val="21"/>
          <w:szCs w:val="21"/>
          <w:highlight w:val="none"/>
          <w:u w:val="single"/>
        </w:rPr>
        <w:t>采购</w:t>
      </w:r>
      <w:r>
        <w:rPr>
          <w:rFonts w:hint="eastAsia" w:ascii="宋体" w:hAnsi="宋体" w:cs="宋体"/>
          <w:b/>
          <w:bCs/>
          <w:color w:val="auto"/>
          <w:kern w:val="2"/>
          <w:sz w:val="21"/>
          <w:szCs w:val="21"/>
          <w:highlight w:val="none"/>
          <w:u w:val="single"/>
          <w:lang w:val="zh-CN"/>
        </w:rPr>
        <w:t>人可有权取消</w:t>
      </w:r>
      <w:r>
        <w:rPr>
          <w:rFonts w:hint="eastAsia" w:ascii="宋体" w:hAnsi="宋体" w:cs="宋体"/>
          <w:b/>
          <w:bCs/>
          <w:color w:val="auto"/>
          <w:kern w:val="2"/>
          <w:sz w:val="21"/>
          <w:szCs w:val="21"/>
          <w:highlight w:val="none"/>
          <w:u w:val="single"/>
        </w:rPr>
        <w:t>成交</w:t>
      </w:r>
      <w:r>
        <w:rPr>
          <w:rFonts w:hint="eastAsia" w:ascii="宋体" w:hAnsi="宋体" w:cs="宋体"/>
          <w:b/>
          <w:bCs/>
          <w:color w:val="auto"/>
          <w:kern w:val="2"/>
          <w:sz w:val="21"/>
          <w:szCs w:val="21"/>
          <w:highlight w:val="none"/>
          <w:u w:val="single"/>
          <w:lang w:val="zh-CN"/>
        </w:rPr>
        <w:t>人的</w:t>
      </w:r>
      <w:r>
        <w:rPr>
          <w:rFonts w:hint="eastAsia" w:ascii="宋体" w:hAnsi="宋体" w:cs="宋体"/>
          <w:b/>
          <w:bCs/>
          <w:color w:val="auto"/>
          <w:kern w:val="2"/>
          <w:sz w:val="21"/>
          <w:szCs w:val="21"/>
          <w:highlight w:val="none"/>
          <w:u w:val="single"/>
        </w:rPr>
        <w:t>成交</w:t>
      </w:r>
      <w:r>
        <w:rPr>
          <w:rFonts w:hint="eastAsia" w:ascii="宋体" w:hAnsi="宋体" w:cs="宋体"/>
          <w:b/>
          <w:bCs/>
          <w:color w:val="auto"/>
          <w:kern w:val="2"/>
          <w:sz w:val="21"/>
          <w:szCs w:val="21"/>
          <w:highlight w:val="none"/>
          <w:u w:val="single"/>
          <w:lang w:val="zh-CN"/>
        </w:rPr>
        <w:t>资格，并不予退还其</w:t>
      </w:r>
      <w:r>
        <w:rPr>
          <w:rFonts w:hint="eastAsia" w:ascii="宋体" w:hAnsi="宋体" w:cs="宋体"/>
          <w:b/>
          <w:bCs/>
          <w:color w:val="auto"/>
          <w:kern w:val="2"/>
          <w:sz w:val="21"/>
          <w:szCs w:val="21"/>
          <w:highlight w:val="none"/>
          <w:u w:val="single"/>
        </w:rPr>
        <w:t>响应保证金</w:t>
      </w:r>
      <w:r>
        <w:rPr>
          <w:rFonts w:hint="eastAsia" w:ascii="宋体" w:hAnsi="宋体" w:cs="宋体"/>
          <w:b/>
          <w:bCs/>
          <w:color w:val="auto"/>
          <w:kern w:val="2"/>
          <w:sz w:val="21"/>
          <w:szCs w:val="21"/>
          <w:highlight w:val="none"/>
          <w:u w:val="single"/>
          <w:lang w:val="zh-CN"/>
        </w:rPr>
        <w:t>。履约担保的金额标准为：履约担保金额</w:t>
      </w:r>
      <w:r>
        <w:rPr>
          <w:rFonts w:hint="eastAsia" w:ascii="宋体" w:hAnsi="宋体" w:cs="宋体"/>
          <w:b/>
          <w:bCs/>
          <w:color w:val="auto"/>
          <w:kern w:val="2"/>
          <w:sz w:val="21"/>
          <w:szCs w:val="21"/>
          <w:highlight w:val="none"/>
          <w:u w:val="single"/>
        </w:rPr>
        <w:t>等于</w:t>
      </w:r>
      <w:r>
        <w:rPr>
          <w:rFonts w:hint="eastAsia" w:ascii="宋体" w:hAnsi="宋体" w:cs="宋体"/>
          <w:b/>
          <w:bCs/>
          <w:color w:val="auto"/>
          <w:kern w:val="2"/>
          <w:sz w:val="21"/>
          <w:szCs w:val="21"/>
          <w:highlight w:val="none"/>
          <w:u w:val="single"/>
          <w:lang w:val="zh-CN"/>
        </w:rPr>
        <w:t>本合同约定年交易电量中“固定价格”模式部分的电量*10厘/千瓦时，即XXX千瓦时*10厘/千瓦时。</w:t>
      </w:r>
    </w:p>
    <w:p w14:paraId="1DB1D275">
      <w:pPr>
        <w:numPr>
          <w:ilvl w:val="255"/>
          <w:numId w:val="0"/>
        </w:numPr>
        <w:snapToGrid w:val="0"/>
        <w:spacing w:line="360" w:lineRule="auto"/>
        <w:ind w:left="626" w:leftChars="261" w:firstLine="315" w:firstLineChars="1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合同履行过程中，</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人给</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人造成的损失超过履约担保数额的，</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人还应当对超过部分予以赔偿，</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人并依法追究</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人的相应责任。</w:t>
      </w:r>
    </w:p>
    <w:p w14:paraId="49E39CC2">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35.2 履约担保用于补偿</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人因</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人不能完全履行其合同义务而蒙受的损失或其他合同约定的事项。如发生下列任一情况时，</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人有权依合同追究违约责任外，同时有权提取履约担保并进行相应处理：</w:t>
      </w:r>
    </w:p>
    <w:p w14:paraId="3C01988A">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人将合同项下成交人的权利义务全部转让给第三方，或未经</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人书面同意将部分权利义务转让给第三方的，</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人有权没收其履约担保。</w:t>
      </w:r>
    </w:p>
    <w:p w14:paraId="2445CCB6">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（2）在合同履行期间，</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人怠于履行合同义务，经</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人通知或要求承担违约金后仍拒不改正的，</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人有权没收或适当扣除其履约担保。</w:t>
      </w:r>
    </w:p>
    <w:p w14:paraId="24CB2F25">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（3）在合同履行期间，因</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人服务质量问题造成损害、侵权损失（包括但不限于</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人经济损失、</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人所雇人员及第三人人身财产损失等）、拖欠原材料供应商货款或与其所雇用员工发生劳资纠纷、上访、闹事或其他影响</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人生产经营等情况而其未及时妥善处理的，</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人有权使用履约担保予以支付或作出相应处理，由此产生的一切法律后果由</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人承担。</w:t>
      </w:r>
    </w:p>
    <w:p w14:paraId="21DC6DCB">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（4）在合同履行期间，</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人违约产生的违约金、赔偿、罚款或其他应付费用等款项，</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人有权直接从未付款项中直接扣除或启用履约担保予以支付。</w:t>
      </w:r>
    </w:p>
    <w:p w14:paraId="206CC5F0">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（5）合同期内，</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人不能及时完成合同某项义务的，</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人有权提取履约担保用于处理该项工作。</w:t>
      </w:r>
    </w:p>
    <w:p w14:paraId="07F23CB7">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（6）其他根据本合同约定或法律规定，</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人可启用履约担保的情形。</w:t>
      </w:r>
    </w:p>
    <w:p w14:paraId="730FF89E">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35.3 履约担保应符合如下规定：</w:t>
      </w:r>
    </w:p>
    <w:p w14:paraId="46C1B1D2">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（1）出具履约保函的银行必须是境内支行一级以上机构，并经</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人同意，执行本款时所发生的费用由</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人承担。</w:t>
      </w:r>
    </w:p>
    <w:p w14:paraId="0FCF98D6">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（2）履约担保格式应采用</w:t>
      </w:r>
      <w:r>
        <w:rPr>
          <w:rFonts w:hint="eastAsia" w:ascii="宋体" w:hAnsi="宋体" w:cs="宋体"/>
          <w:color w:val="auto"/>
          <w:kern w:val="2"/>
          <w:sz w:val="21"/>
          <w:szCs w:val="21"/>
          <w:highlight w:val="none"/>
        </w:rPr>
        <w:t>竞争性谈判</w:t>
      </w:r>
      <w:r>
        <w:rPr>
          <w:rFonts w:hint="eastAsia" w:ascii="宋体" w:hAnsi="宋体" w:cs="宋体"/>
          <w:color w:val="auto"/>
          <w:kern w:val="2"/>
          <w:sz w:val="21"/>
          <w:szCs w:val="21"/>
          <w:highlight w:val="none"/>
          <w:lang w:val="zh-CN"/>
        </w:rPr>
        <w:t>文件中提供的（格式参见第五篇），</w:t>
      </w:r>
      <w:r>
        <w:rPr>
          <w:rFonts w:hint="eastAsia" w:ascii="宋体" w:hAnsi="宋体" w:cs="宋体"/>
          <w:color w:val="auto"/>
          <w:kern w:val="2"/>
          <w:sz w:val="21"/>
          <w:szCs w:val="21"/>
          <w:highlight w:val="none"/>
        </w:rPr>
        <w:t>供应商</w:t>
      </w:r>
      <w:r>
        <w:rPr>
          <w:rFonts w:hint="eastAsia" w:ascii="宋体" w:hAnsi="宋体" w:cs="宋体"/>
          <w:color w:val="auto"/>
          <w:kern w:val="2"/>
          <w:sz w:val="21"/>
          <w:szCs w:val="21"/>
          <w:highlight w:val="none"/>
          <w:lang w:val="zh-CN"/>
        </w:rPr>
        <w:t>如以履约保函（或履约保证保险或担保公司履约担保书）形式提供履约担保的，</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前应当自行向其拟申请开具保函的银行（或保险或担保）机构落实履约保函（或履约保证保险或担保公司履约担保书）格式情况，以确保能按本</w:t>
      </w:r>
      <w:r>
        <w:rPr>
          <w:rFonts w:hint="eastAsia" w:ascii="宋体" w:hAnsi="宋体" w:cs="宋体"/>
          <w:color w:val="auto"/>
          <w:kern w:val="2"/>
          <w:sz w:val="21"/>
          <w:szCs w:val="21"/>
          <w:highlight w:val="none"/>
        </w:rPr>
        <w:t>竞争性谈判</w:t>
      </w:r>
      <w:r>
        <w:rPr>
          <w:rFonts w:hint="eastAsia" w:ascii="宋体" w:hAnsi="宋体" w:cs="宋体"/>
          <w:color w:val="auto"/>
          <w:kern w:val="2"/>
          <w:sz w:val="21"/>
          <w:szCs w:val="21"/>
          <w:highlight w:val="none"/>
          <w:lang w:val="zh-CN"/>
        </w:rPr>
        <w:t>文件规定的格式提供保函。如使用其他格式的履约保函（或履约保证保险或担保公司履约担保书），须事先经</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人的书面同意。</w:t>
      </w:r>
    </w:p>
    <w:p w14:paraId="2A271186">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（3）提供担保的担保机构经济性质须为东莞市国有企业，或政府性融资担保机构（</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人须提供能证明其属于政府性融资担保机构的证明文件），并经</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人同意，执行本款时所发生的费用由</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人承担。如</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人合同条款接受担保公司预付款担保函的，对担保机构要求参照本条执行。</w:t>
      </w:r>
    </w:p>
    <w:p w14:paraId="37D81BF8">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（4）如果</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人提交的履约担保的有效期届满时间先于</w:t>
      </w:r>
      <w:r>
        <w:rPr>
          <w:rFonts w:hint="eastAsia" w:ascii="宋体" w:hAnsi="宋体" w:cs="宋体"/>
          <w:color w:val="auto"/>
          <w:kern w:val="2"/>
          <w:sz w:val="21"/>
          <w:szCs w:val="21"/>
          <w:highlight w:val="none"/>
        </w:rPr>
        <w:t>竞争性谈判</w:t>
      </w:r>
      <w:r>
        <w:rPr>
          <w:rFonts w:hint="eastAsia" w:ascii="宋体" w:hAnsi="宋体" w:cs="宋体"/>
          <w:color w:val="auto"/>
          <w:kern w:val="2"/>
          <w:sz w:val="21"/>
          <w:szCs w:val="21"/>
          <w:highlight w:val="none"/>
          <w:lang w:val="zh-CN"/>
        </w:rPr>
        <w:t>文件、合同文件要求的，</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人应在原提交的履约担保有效期届满前15日内，无条件办理符合</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人要求的履约担保延期手续，否则视为</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人违约，</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人有权在不可撤销银行履约保函或履约保证保险或担保公司履约担保书到期前向出具履约担保的机构提取履约担保金。在不可撤销银行履约保函（或履约保证保险或担保公司履约担保书）到期后</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人未按</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人要求重新提供的，</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人有权要求</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人以履约担保金额为限承担违约金，违约金可直接从未付采购合同费用中扣除。</w:t>
      </w:r>
    </w:p>
    <w:p w14:paraId="78B5CE36">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（5）在合同履行过程中，不论何种原因导致履约担保金数额不符合</w:t>
      </w:r>
      <w:r>
        <w:rPr>
          <w:rFonts w:hint="eastAsia" w:ascii="宋体" w:hAnsi="宋体" w:cs="宋体"/>
          <w:color w:val="auto"/>
          <w:kern w:val="2"/>
          <w:sz w:val="21"/>
          <w:szCs w:val="21"/>
          <w:highlight w:val="none"/>
        </w:rPr>
        <w:t>竞争性谈判</w:t>
      </w:r>
      <w:r>
        <w:rPr>
          <w:rFonts w:hint="eastAsia" w:ascii="宋体" w:hAnsi="宋体" w:cs="宋体"/>
          <w:color w:val="auto"/>
          <w:kern w:val="2"/>
          <w:sz w:val="21"/>
          <w:szCs w:val="21"/>
          <w:highlight w:val="none"/>
          <w:lang w:val="zh-CN"/>
        </w:rPr>
        <w:t>文件要求的，</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人应当在5日内予以补足。逾期不予补足的，</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人有权按需补足的金额要求</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人承担违约金，并要求限期补足。如</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人仍不补足的，</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人有权单方解除合同，违约金可直接从未付合同款或履约担保中扣除。</w:t>
      </w:r>
    </w:p>
    <w:p w14:paraId="71B4D4A4">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（6）不可撤销银行履约保函（或履约保证保险或担保公司履约担保书）应自合同签订之日起至合同期限届满并完成合同全部服务义务后二十八（28）日内保持有效。</w:t>
      </w:r>
    </w:p>
    <w:p w14:paraId="414E8E7D">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35.4 履约保证金应用本合同货币。</w:t>
      </w:r>
    </w:p>
    <w:p w14:paraId="7DBD3570">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 xml:space="preserve">35.5 </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人也可以按</w:t>
      </w:r>
      <w:r>
        <w:rPr>
          <w:rFonts w:hint="eastAsia" w:ascii="宋体" w:hAnsi="宋体" w:cs="宋体"/>
          <w:color w:val="auto"/>
          <w:kern w:val="2"/>
          <w:sz w:val="21"/>
          <w:szCs w:val="21"/>
          <w:highlight w:val="none"/>
        </w:rPr>
        <w:t>竞争性谈判</w:t>
      </w:r>
      <w:r>
        <w:rPr>
          <w:rFonts w:hint="eastAsia" w:ascii="宋体" w:hAnsi="宋体" w:cs="宋体"/>
          <w:color w:val="auto"/>
          <w:kern w:val="2"/>
          <w:sz w:val="21"/>
          <w:szCs w:val="21"/>
          <w:highlight w:val="none"/>
          <w:lang w:val="zh-CN"/>
        </w:rPr>
        <w:t>文件约定的额度和时间，向</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人交纳同等数额的履约保证金作为履约担保。如</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人提交的履约保证金是其分支机构以转账形式转入的，要提交</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人的法人书面授权，不接受由私人账户和其它单位转入的保证金，也不接受现金形式提交。履约保证金应以存入</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人指定的银行账户为准，成交通知书发出后采购人提供履约保证金账户信息。</w:t>
      </w:r>
    </w:p>
    <w:p w14:paraId="5EB7F655">
      <w:pPr>
        <w:numPr>
          <w:ilvl w:val="255"/>
          <w:numId w:val="0"/>
        </w:num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35.</w:t>
      </w:r>
      <w:r>
        <w:rPr>
          <w:rFonts w:hint="eastAsia" w:ascii="宋体" w:hAnsi="宋体" w:cs="宋体"/>
          <w:color w:val="auto"/>
          <w:kern w:val="2"/>
          <w:sz w:val="21"/>
          <w:szCs w:val="21"/>
          <w:highlight w:val="none"/>
        </w:rPr>
        <w:t>6</w:t>
      </w:r>
      <w:r>
        <w:rPr>
          <w:rFonts w:hint="eastAsia" w:ascii="宋体" w:hAnsi="宋体" w:cs="宋体"/>
          <w:color w:val="auto"/>
          <w:kern w:val="2"/>
          <w:sz w:val="21"/>
          <w:szCs w:val="21"/>
          <w:highlight w:val="none"/>
          <w:lang w:val="zh-CN"/>
        </w:rPr>
        <w:t xml:space="preserve"> </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人以履约保证金（银行转账形式）提供履约担保的在依法完成本项目的所有合同义务后，经</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人确认，</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人可向</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人提交退回履约担保的申请。</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人审核无异议后，办理履约担保退还手续，退回时一律以银行转账的形式无息退回到</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人的账户。</w:t>
      </w:r>
    </w:p>
    <w:bookmarkEnd w:id="167"/>
    <w:bookmarkEnd w:id="168"/>
    <w:p w14:paraId="52720367">
      <w:pPr>
        <w:tabs>
          <w:tab w:val="left" w:pos="360"/>
          <w:tab w:val="left" w:pos="4725"/>
        </w:tabs>
        <w:spacing w:line="360" w:lineRule="auto"/>
        <w:ind w:left="720" w:hanging="720" w:hangingChars="300"/>
        <w:jc w:val="both"/>
        <w:rPr>
          <w:rFonts w:ascii="宋体" w:hAnsi="宋体" w:cs="宋体"/>
          <w:color w:val="auto"/>
          <w:highlight w:val="none"/>
          <w:lang w:val="zh-CN"/>
        </w:rPr>
      </w:pPr>
    </w:p>
    <w:p w14:paraId="7AF96F2A">
      <w:pPr>
        <w:tabs>
          <w:tab w:val="left" w:pos="360"/>
        </w:tabs>
        <w:spacing w:line="360" w:lineRule="auto"/>
        <w:ind w:left="567" w:hanging="567"/>
        <w:jc w:val="both"/>
        <w:outlineLvl w:val="2"/>
        <w:rPr>
          <w:rFonts w:ascii="宋体" w:hAnsi="宋体" w:cs="宋体"/>
          <w:color w:val="auto"/>
          <w:kern w:val="2"/>
          <w:sz w:val="21"/>
          <w:szCs w:val="21"/>
          <w:highlight w:val="none"/>
          <w:lang w:val="zh-CN"/>
        </w:rPr>
      </w:pPr>
      <w:bookmarkStart w:id="169" w:name="_Toc28824"/>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 xml:space="preserve">6 </w:t>
      </w:r>
      <w:r>
        <w:rPr>
          <w:rFonts w:hint="eastAsia" w:ascii="宋体" w:hAnsi="宋体" w:cs="宋体"/>
          <w:color w:val="auto"/>
          <w:kern w:val="2"/>
          <w:sz w:val="21"/>
          <w:szCs w:val="21"/>
          <w:highlight w:val="none"/>
          <w:lang w:val="zh-CN"/>
        </w:rPr>
        <w:t>在合同履行中变更采购范围的权利</w:t>
      </w:r>
      <w:bookmarkEnd w:id="169"/>
    </w:p>
    <w:p w14:paraId="4E2A9BE9">
      <w:pPr>
        <w:snapToGrid w:val="0"/>
        <w:spacing w:line="360" w:lineRule="auto"/>
        <w:ind w:left="525" w:hanging="525" w:hangingChars="250"/>
        <w:jc w:val="both"/>
        <w:rPr>
          <w:rFonts w:ascii="宋体" w:hAnsi="宋体" w:cs="宋体"/>
          <w:color w:val="auto"/>
          <w:sz w:val="21"/>
          <w:szCs w:val="21"/>
          <w:highlight w:val="none"/>
        </w:rPr>
      </w:pPr>
      <w:bookmarkStart w:id="170" w:name="_Toc450662888"/>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6</w:t>
      </w:r>
      <w:r>
        <w:rPr>
          <w:rFonts w:hint="eastAsia" w:ascii="宋体" w:hAnsi="宋体" w:cs="宋体"/>
          <w:color w:val="auto"/>
          <w:kern w:val="2"/>
          <w:sz w:val="21"/>
          <w:szCs w:val="21"/>
          <w:highlight w:val="none"/>
          <w:lang w:val="zh-CN"/>
        </w:rPr>
        <w:t>.1 合同履行中，采购人在合同约定的采购范围内，采购人有权根据项目实际情况及有关法律法规、政策的规定对采购范围进行变更调整，变更采购范围后，供应商应遵照执行</w:t>
      </w:r>
      <w:r>
        <w:rPr>
          <w:rFonts w:hint="eastAsia" w:ascii="宋体" w:hAnsi="宋体" w:cs="宋体"/>
          <w:color w:val="auto"/>
          <w:sz w:val="21"/>
          <w:szCs w:val="21"/>
          <w:highlight w:val="none"/>
        </w:rPr>
        <w:t>。</w:t>
      </w:r>
    </w:p>
    <w:p w14:paraId="53AC2B03">
      <w:pPr>
        <w:spacing w:line="360" w:lineRule="auto"/>
        <w:ind w:left="598" w:leftChars="1" w:hanging="596" w:hangingChars="284"/>
        <w:jc w:val="both"/>
        <w:rPr>
          <w:rFonts w:ascii="宋体" w:hAnsi="宋体" w:cs="宋体"/>
          <w:color w:val="auto"/>
          <w:sz w:val="21"/>
          <w:szCs w:val="21"/>
          <w:highlight w:val="none"/>
        </w:rPr>
      </w:pPr>
    </w:p>
    <w:p w14:paraId="0EFAE51D">
      <w:pPr>
        <w:tabs>
          <w:tab w:val="left" w:pos="680"/>
        </w:tabs>
        <w:spacing w:line="360" w:lineRule="auto"/>
        <w:ind w:left="567" w:hanging="567"/>
        <w:jc w:val="both"/>
        <w:outlineLvl w:val="2"/>
        <w:rPr>
          <w:rFonts w:ascii="宋体" w:hAnsi="宋体" w:cs="宋体"/>
          <w:color w:val="auto"/>
          <w:kern w:val="2"/>
          <w:sz w:val="21"/>
          <w:szCs w:val="21"/>
          <w:highlight w:val="none"/>
          <w:lang w:val="zh-CN"/>
        </w:rPr>
      </w:pPr>
      <w:bookmarkStart w:id="171" w:name="_Toc521918107"/>
      <w:bookmarkStart w:id="172" w:name="_Toc31360"/>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7 代理</w:t>
      </w:r>
      <w:r>
        <w:rPr>
          <w:rFonts w:hint="eastAsia" w:ascii="宋体" w:hAnsi="宋体" w:cs="宋体"/>
          <w:color w:val="auto"/>
          <w:kern w:val="2"/>
          <w:sz w:val="21"/>
          <w:szCs w:val="21"/>
          <w:highlight w:val="none"/>
          <w:lang w:val="zh-CN"/>
        </w:rPr>
        <w:t>服务费</w:t>
      </w:r>
      <w:bookmarkEnd w:id="170"/>
      <w:bookmarkEnd w:id="171"/>
      <w:bookmarkEnd w:id="172"/>
    </w:p>
    <w:p w14:paraId="4A3446E7">
      <w:pPr>
        <w:spacing w:line="360" w:lineRule="auto"/>
        <w:ind w:right="18"/>
        <w:jc w:val="both"/>
        <w:rPr>
          <w:rFonts w:ascii="宋体" w:hAnsi="宋体" w:cs="宋体"/>
          <w:color w:val="auto"/>
          <w:kern w:val="2"/>
          <w:sz w:val="21"/>
          <w:szCs w:val="21"/>
          <w:highlight w:val="none"/>
        </w:rPr>
      </w:pPr>
      <w:r>
        <w:rPr>
          <w:rFonts w:hint="eastAsia" w:ascii="宋体" w:hAnsi="宋体" w:cs="宋体"/>
          <w:bCs/>
          <w:color w:val="auto"/>
          <w:kern w:val="2"/>
          <w:sz w:val="21"/>
          <w:szCs w:val="21"/>
          <w:highlight w:val="none"/>
        </w:rPr>
        <w:t xml:space="preserve">37.1 </w:t>
      </w:r>
      <w:r>
        <w:rPr>
          <w:rFonts w:hint="eastAsia" w:ascii="宋体" w:hAnsi="宋体" w:cs="宋体"/>
          <w:bCs/>
          <w:color w:val="auto"/>
          <w:kern w:val="2"/>
          <w:sz w:val="21"/>
          <w:szCs w:val="21"/>
          <w:highlight w:val="none"/>
          <w:lang w:val="zh-CN"/>
        </w:rPr>
        <w:t>本项目</w:t>
      </w:r>
      <w:r>
        <w:rPr>
          <w:rFonts w:hint="eastAsia" w:ascii="宋体" w:hAnsi="宋体" w:cs="宋体"/>
          <w:bCs/>
          <w:color w:val="auto"/>
          <w:kern w:val="2"/>
          <w:sz w:val="21"/>
          <w:szCs w:val="21"/>
          <w:highlight w:val="none"/>
        </w:rPr>
        <w:t>代理服务费由采购人向代理机构支付。</w:t>
      </w:r>
    </w:p>
    <w:p w14:paraId="5290DCB1">
      <w:pPr>
        <w:spacing w:line="360" w:lineRule="auto"/>
        <w:ind w:left="598" w:leftChars="1" w:hanging="596" w:hangingChars="284"/>
        <w:jc w:val="both"/>
        <w:rPr>
          <w:rFonts w:ascii="宋体" w:hAnsi="宋体" w:cs="宋体"/>
          <w:color w:val="auto"/>
          <w:sz w:val="21"/>
          <w:szCs w:val="21"/>
          <w:highlight w:val="none"/>
          <w:lang w:val="zh-CN"/>
        </w:rPr>
      </w:pPr>
      <w:bookmarkStart w:id="173" w:name="_Toc450662889"/>
      <w:bookmarkStart w:id="174" w:name="_Toc521918108"/>
    </w:p>
    <w:p w14:paraId="1A6F44CD">
      <w:pPr>
        <w:tabs>
          <w:tab w:val="left" w:pos="680"/>
        </w:tabs>
        <w:spacing w:line="360" w:lineRule="auto"/>
        <w:ind w:left="567" w:hanging="567"/>
        <w:jc w:val="both"/>
        <w:outlineLvl w:val="2"/>
        <w:rPr>
          <w:rFonts w:ascii="宋体" w:hAnsi="宋体" w:cs="宋体"/>
          <w:color w:val="auto"/>
          <w:kern w:val="2"/>
          <w:sz w:val="21"/>
          <w:szCs w:val="21"/>
          <w:highlight w:val="none"/>
          <w:lang w:val="zh-CN"/>
        </w:rPr>
      </w:pPr>
      <w:bookmarkStart w:id="175" w:name="_Toc15853"/>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 xml:space="preserve">8 </w:t>
      </w:r>
      <w:r>
        <w:rPr>
          <w:rFonts w:hint="eastAsia" w:ascii="宋体" w:hAnsi="宋体" w:cs="宋体"/>
          <w:color w:val="auto"/>
          <w:kern w:val="2"/>
          <w:sz w:val="21"/>
          <w:szCs w:val="21"/>
          <w:highlight w:val="none"/>
          <w:lang w:val="zh-CN"/>
        </w:rPr>
        <w:t>发票</w:t>
      </w:r>
      <w:bookmarkEnd w:id="173"/>
      <w:bookmarkEnd w:id="174"/>
      <w:bookmarkEnd w:id="175"/>
    </w:p>
    <w:p w14:paraId="39AF1F6D">
      <w:pPr>
        <w:snapToGrid w:val="0"/>
        <w:spacing w:line="360" w:lineRule="auto"/>
        <w:ind w:left="525" w:hanging="525" w:hangingChars="2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3</w:t>
      </w:r>
      <w:r>
        <w:rPr>
          <w:rFonts w:hint="eastAsia" w:ascii="宋体" w:hAnsi="宋体" w:cs="宋体"/>
          <w:color w:val="auto"/>
          <w:kern w:val="2"/>
          <w:sz w:val="21"/>
          <w:szCs w:val="21"/>
          <w:highlight w:val="none"/>
        </w:rPr>
        <w:t>8</w:t>
      </w:r>
      <w:r>
        <w:rPr>
          <w:rFonts w:hint="eastAsia" w:ascii="宋体" w:hAnsi="宋体" w:cs="宋体"/>
          <w:color w:val="auto"/>
          <w:kern w:val="2"/>
          <w:sz w:val="21"/>
          <w:szCs w:val="21"/>
          <w:highlight w:val="none"/>
          <w:lang w:val="zh-CN"/>
        </w:rPr>
        <w:t>.1 该项目获得成交的成交人在执行合同过程中，向采购人（或采购人控股公司或由采购人管理的</w:t>
      </w:r>
      <w:r>
        <w:rPr>
          <w:rFonts w:hint="eastAsia" w:ascii="宋体" w:hAnsi="宋体" w:cs="宋体"/>
          <w:color w:val="auto"/>
          <w:sz w:val="21"/>
          <w:szCs w:val="21"/>
          <w:highlight w:val="none"/>
        </w:rPr>
        <w:t>参股</w:t>
      </w:r>
      <w:r>
        <w:rPr>
          <w:rFonts w:hint="eastAsia" w:ascii="宋体" w:hAnsi="宋体" w:cs="宋体"/>
          <w:color w:val="auto"/>
          <w:kern w:val="2"/>
          <w:sz w:val="21"/>
          <w:szCs w:val="21"/>
          <w:highlight w:val="none"/>
          <w:lang w:val="zh-CN"/>
        </w:rPr>
        <w:t>公司、</w:t>
      </w:r>
      <w:r>
        <w:rPr>
          <w:rFonts w:hint="eastAsia" w:ascii="宋体" w:hAnsi="宋体" w:cs="宋体"/>
          <w:color w:val="auto"/>
          <w:kern w:val="2"/>
          <w:sz w:val="21"/>
          <w:szCs w:val="21"/>
          <w:highlight w:val="none"/>
        </w:rPr>
        <w:t>代管项目主体公司</w:t>
      </w:r>
      <w:r>
        <w:rPr>
          <w:rFonts w:hint="eastAsia" w:ascii="宋体" w:hAnsi="宋体" w:cs="宋体"/>
          <w:color w:val="auto"/>
          <w:kern w:val="2"/>
          <w:sz w:val="21"/>
          <w:szCs w:val="21"/>
          <w:highlight w:val="none"/>
          <w:lang w:val="zh-CN"/>
        </w:rPr>
        <w:t>）出具的发票必须是由成交人开具，不得以其他单位或个人名义出具，本项目成交人向采购人（或</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人控股公司或由</w:t>
      </w:r>
      <w:r>
        <w:rPr>
          <w:rFonts w:hint="eastAsia" w:ascii="宋体" w:hAnsi="宋体" w:cs="宋体"/>
          <w:color w:val="auto"/>
          <w:kern w:val="2"/>
          <w:sz w:val="21"/>
          <w:szCs w:val="21"/>
          <w:highlight w:val="none"/>
        </w:rPr>
        <w:t>采购</w:t>
      </w:r>
      <w:r>
        <w:rPr>
          <w:rFonts w:hint="eastAsia" w:ascii="宋体" w:hAnsi="宋体" w:cs="宋体"/>
          <w:color w:val="auto"/>
          <w:kern w:val="2"/>
          <w:sz w:val="21"/>
          <w:szCs w:val="21"/>
          <w:highlight w:val="none"/>
          <w:lang w:val="zh-CN"/>
        </w:rPr>
        <w:t>人管理的参股公司、代管项目主体公司）出具的发票类型为增值税</w:t>
      </w:r>
      <w:r>
        <w:rPr>
          <w:rFonts w:hint="eastAsia" w:ascii="宋体" w:hAnsi="宋体" w:cs="宋体"/>
          <w:color w:val="auto"/>
          <w:kern w:val="2"/>
          <w:sz w:val="21"/>
          <w:szCs w:val="21"/>
          <w:highlight w:val="none"/>
        </w:rPr>
        <w:t>专用</w:t>
      </w:r>
      <w:r>
        <w:rPr>
          <w:rFonts w:hint="eastAsia" w:ascii="宋体" w:hAnsi="宋体" w:cs="宋体"/>
          <w:color w:val="auto"/>
          <w:kern w:val="2"/>
          <w:sz w:val="21"/>
          <w:szCs w:val="21"/>
          <w:highlight w:val="none"/>
          <w:lang w:val="zh-CN"/>
        </w:rPr>
        <w:t>发票或增值税普通发票。</w:t>
      </w:r>
    </w:p>
    <w:p w14:paraId="0E555FDC">
      <w:pPr>
        <w:snapToGrid w:val="0"/>
        <w:spacing w:line="360" w:lineRule="auto"/>
        <w:ind w:left="600" w:hanging="600" w:hangingChars="250"/>
        <w:jc w:val="both"/>
        <w:rPr>
          <w:rFonts w:ascii="宋体" w:hAnsi="宋体" w:cs="宋体"/>
          <w:color w:val="auto"/>
          <w:highlight w:val="none"/>
          <w:lang w:val="zh-CN"/>
        </w:rPr>
      </w:pPr>
    </w:p>
    <w:p w14:paraId="7C4B246E">
      <w:pPr>
        <w:tabs>
          <w:tab w:val="left" w:pos="680"/>
        </w:tabs>
        <w:spacing w:line="360" w:lineRule="auto"/>
        <w:ind w:left="567" w:hanging="567"/>
        <w:jc w:val="both"/>
        <w:outlineLvl w:val="2"/>
        <w:rPr>
          <w:rFonts w:ascii="宋体" w:hAnsi="宋体" w:cs="宋体"/>
          <w:b/>
          <w:bCs/>
          <w:color w:val="auto"/>
          <w:kern w:val="2"/>
          <w:sz w:val="21"/>
          <w:szCs w:val="21"/>
          <w:highlight w:val="none"/>
          <w:lang w:val="zh-CN"/>
        </w:rPr>
      </w:pPr>
      <w:bookmarkStart w:id="176" w:name="_Toc142508356"/>
      <w:bookmarkStart w:id="177" w:name="_Toc27075"/>
      <w:bookmarkStart w:id="178" w:name="_Toc24547"/>
      <w:bookmarkStart w:id="179" w:name="_Toc28005"/>
      <w:bookmarkStart w:id="180" w:name="_Toc8619"/>
      <w:r>
        <w:rPr>
          <w:rFonts w:hint="eastAsia" w:ascii="宋体" w:hAnsi="宋体" w:cs="宋体"/>
          <w:b/>
          <w:bCs/>
          <w:color w:val="auto"/>
          <w:kern w:val="2"/>
          <w:sz w:val="21"/>
          <w:szCs w:val="21"/>
          <w:highlight w:val="none"/>
          <w:lang w:val="zh-CN"/>
        </w:rPr>
        <w:t>3</w:t>
      </w:r>
      <w:r>
        <w:rPr>
          <w:rFonts w:hint="eastAsia" w:ascii="宋体" w:hAnsi="宋体" w:cs="宋体"/>
          <w:b/>
          <w:bCs/>
          <w:color w:val="auto"/>
          <w:kern w:val="2"/>
          <w:sz w:val="21"/>
          <w:szCs w:val="21"/>
          <w:highlight w:val="none"/>
        </w:rPr>
        <w:t>9 采购</w:t>
      </w:r>
      <w:r>
        <w:rPr>
          <w:rFonts w:hint="eastAsia" w:ascii="宋体" w:hAnsi="宋体" w:cs="宋体"/>
          <w:b/>
          <w:bCs/>
          <w:color w:val="auto"/>
          <w:kern w:val="2"/>
          <w:sz w:val="21"/>
          <w:szCs w:val="21"/>
          <w:highlight w:val="none"/>
          <w:lang w:val="zh-CN"/>
        </w:rPr>
        <w:t>相关补充约定</w:t>
      </w:r>
      <w:bookmarkEnd w:id="176"/>
      <w:bookmarkEnd w:id="177"/>
      <w:bookmarkEnd w:id="178"/>
      <w:bookmarkEnd w:id="179"/>
      <w:bookmarkEnd w:id="180"/>
    </w:p>
    <w:p w14:paraId="69C181ED">
      <w:pPr>
        <w:autoSpaceDE/>
        <w:autoSpaceDN/>
        <w:adjustRightInd/>
        <w:snapToGrid w:val="0"/>
        <w:spacing w:line="360" w:lineRule="auto"/>
        <w:ind w:left="527" w:hanging="527" w:hangingChars="250"/>
        <w:jc w:val="both"/>
        <w:rPr>
          <w:rFonts w:ascii="宋体" w:hAnsi="宋体" w:cs="宋体"/>
          <w:color w:val="auto"/>
          <w:highlight w:val="none"/>
          <w:lang w:val="zh-CN"/>
        </w:rPr>
      </w:pPr>
      <w:r>
        <w:rPr>
          <w:rFonts w:hint="eastAsia" w:ascii="宋体" w:hAnsi="宋体" w:cs="宋体"/>
          <w:b/>
          <w:bCs/>
          <w:color w:val="auto"/>
          <w:kern w:val="2"/>
          <w:sz w:val="21"/>
          <w:szCs w:val="21"/>
          <w:highlight w:val="none"/>
        </w:rPr>
        <w:t>39</w:t>
      </w:r>
      <w:r>
        <w:rPr>
          <w:rFonts w:hint="eastAsia" w:ascii="宋体" w:hAnsi="宋体" w:cs="宋体"/>
          <w:b/>
          <w:bCs/>
          <w:color w:val="auto"/>
          <w:kern w:val="2"/>
          <w:sz w:val="21"/>
          <w:szCs w:val="21"/>
          <w:highlight w:val="none"/>
          <w:lang w:val="zh-CN"/>
        </w:rPr>
        <w:t>.1</w:t>
      </w:r>
      <w:r>
        <w:rPr>
          <w:rFonts w:hint="eastAsia" w:ascii="宋体" w:hAnsi="宋体" w:cs="宋体"/>
          <w:color w:val="auto"/>
          <w:kern w:val="2"/>
          <w:sz w:val="21"/>
          <w:szCs w:val="21"/>
          <w:highlight w:val="none"/>
          <w:lang w:val="zh-CN"/>
        </w:rPr>
        <w:tab/>
      </w:r>
      <w:r>
        <w:rPr>
          <w:rFonts w:hint="eastAsia" w:ascii="宋体" w:hAnsi="宋体" w:cs="宋体"/>
          <w:b/>
          <w:bCs/>
          <w:color w:val="auto"/>
          <w:kern w:val="2"/>
          <w:sz w:val="21"/>
          <w:szCs w:val="21"/>
          <w:highlight w:val="none"/>
          <w:u w:val="single"/>
          <w:lang w:val="zh-CN"/>
        </w:rPr>
        <w:t>本项目</w:t>
      </w:r>
      <w:r>
        <w:rPr>
          <w:rFonts w:hint="eastAsia" w:ascii="宋体" w:hAnsi="宋体" w:cs="宋体"/>
          <w:b/>
          <w:bCs/>
          <w:color w:val="auto"/>
          <w:kern w:val="2"/>
          <w:sz w:val="21"/>
          <w:szCs w:val="21"/>
          <w:highlight w:val="none"/>
          <w:u w:val="single"/>
        </w:rPr>
        <w:t>谈判</w:t>
      </w:r>
      <w:r>
        <w:rPr>
          <w:rFonts w:hint="eastAsia" w:ascii="宋体" w:hAnsi="宋体" w:cs="宋体"/>
          <w:b/>
          <w:bCs/>
          <w:color w:val="auto"/>
          <w:kern w:val="2"/>
          <w:sz w:val="21"/>
          <w:szCs w:val="21"/>
          <w:highlight w:val="none"/>
          <w:u w:val="single"/>
          <w:lang w:val="zh-CN"/>
        </w:rPr>
        <w:t>须知第2条所述行政处罚信息，以递交响应文件截止时间当天在“信用中国”网站（www.creditchina.gov.cn）查询结果为准，或以司法、仲裁机构等出具的生效文件予以认定,时间以认定文件的落款时间为准。</w:t>
      </w:r>
      <w:r>
        <w:rPr>
          <w:rFonts w:hint="eastAsia" w:ascii="宋体" w:hAnsi="宋体" w:cs="宋体"/>
          <w:b/>
          <w:bCs/>
          <w:color w:val="auto"/>
          <w:kern w:val="2"/>
          <w:sz w:val="21"/>
          <w:szCs w:val="21"/>
          <w:highlight w:val="none"/>
          <w:u w:val="single"/>
        </w:rPr>
        <w:t>谈判</w:t>
      </w:r>
      <w:r>
        <w:rPr>
          <w:rFonts w:hint="eastAsia" w:ascii="宋体" w:hAnsi="宋体" w:cs="宋体"/>
          <w:b/>
          <w:bCs/>
          <w:color w:val="auto"/>
          <w:kern w:val="2"/>
          <w:sz w:val="21"/>
          <w:szCs w:val="21"/>
          <w:highlight w:val="none"/>
          <w:u w:val="single"/>
          <w:lang w:val="zh-CN"/>
        </w:rPr>
        <w:t>结束后，有关</w:t>
      </w:r>
      <w:r>
        <w:rPr>
          <w:rFonts w:hint="eastAsia" w:ascii="宋体" w:hAnsi="宋体" w:cs="宋体"/>
          <w:b/>
          <w:bCs/>
          <w:color w:val="auto"/>
          <w:kern w:val="2"/>
          <w:sz w:val="21"/>
          <w:szCs w:val="21"/>
          <w:highlight w:val="none"/>
          <w:u w:val="single"/>
        </w:rPr>
        <w:t>响应供应商</w:t>
      </w:r>
      <w:r>
        <w:rPr>
          <w:rFonts w:hint="eastAsia" w:ascii="宋体" w:hAnsi="宋体" w:cs="宋体"/>
          <w:b/>
          <w:bCs/>
          <w:color w:val="auto"/>
          <w:kern w:val="2"/>
          <w:sz w:val="21"/>
          <w:szCs w:val="21"/>
          <w:highlight w:val="none"/>
          <w:u w:val="single"/>
          <w:lang w:val="zh-CN"/>
        </w:rPr>
        <w:t>的行政处罚信息，以递交响应文件截止时间当天查询结果为准；结果公示期间，如对有关</w:t>
      </w:r>
      <w:r>
        <w:rPr>
          <w:rFonts w:hint="eastAsia" w:ascii="宋体" w:hAnsi="宋体" w:cs="宋体"/>
          <w:b/>
          <w:bCs/>
          <w:color w:val="auto"/>
          <w:kern w:val="2"/>
          <w:sz w:val="21"/>
          <w:szCs w:val="21"/>
          <w:highlight w:val="none"/>
          <w:u w:val="single"/>
        </w:rPr>
        <w:t>响应供应商</w:t>
      </w:r>
      <w:r>
        <w:rPr>
          <w:rFonts w:hint="eastAsia" w:ascii="宋体" w:hAnsi="宋体" w:cs="宋体"/>
          <w:b/>
          <w:bCs/>
          <w:color w:val="auto"/>
          <w:kern w:val="2"/>
          <w:sz w:val="21"/>
          <w:szCs w:val="21"/>
          <w:highlight w:val="none"/>
          <w:u w:val="single"/>
          <w:lang w:val="zh-CN"/>
        </w:rPr>
        <w:t>的行政处罚信息存在异议，但不涉及第一</w:t>
      </w:r>
      <w:r>
        <w:rPr>
          <w:rFonts w:hint="eastAsia" w:ascii="宋体" w:hAnsi="宋体" w:cs="宋体"/>
          <w:b/>
          <w:bCs/>
          <w:color w:val="auto"/>
          <w:kern w:val="2"/>
          <w:sz w:val="21"/>
          <w:szCs w:val="21"/>
          <w:highlight w:val="none"/>
          <w:u w:val="single"/>
        </w:rPr>
        <w:t>成交</w:t>
      </w:r>
      <w:r>
        <w:rPr>
          <w:rFonts w:hint="eastAsia" w:ascii="宋体" w:hAnsi="宋体" w:cs="宋体"/>
          <w:b/>
          <w:bCs/>
          <w:color w:val="auto"/>
          <w:kern w:val="2"/>
          <w:sz w:val="21"/>
          <w:szCs w:val="21"/>
          <w:highlight w:val="none"/>
          <w:u w:val="single"/>
          <w:lang w:val="zh-CN"/>
        </w:rPr>
        <w:t>候选人的，视为对</w:t>
      </w:r>
      <w:r>
        <w:rPr>
          <w:rFonts w:hint="eastAsia" w:ascii="宋体" w:hAnsi="宋体" w:cs="宋体"/>
          <w:b/>
          <w:bCs/>
          <w:color w:val="auto"/>
          <w:kern w:val="2"/>
          <w:sz w:val="21"/>
          <w:szCs w:val="21"/>
          <w:highlight w:val="none"/>
          <w:u w:val="single"/>
        </w:rPr>
        <w:t>成交</w:t>
      </w:r>
      <w:r>
        <w:rPr>
          <w:rFonts w:hint="eastAsia" w:ascii="宋体" w:hAnsi="宋体" w:cs="宋体"/>
          <w:b/>
          <w:bCs/>
          <w:color w:val="auto"/>
          <w:kern w:val="2"/>
          <w:sz w:val="21"/>
          <w:szCs w:val="21"/>
          <w:highlight w:val="none"/>
          <w:u w:val="single"/>
          <w:lang w:val="zh-CN"/>
        </w:rPr>
        <w:t>结果没有造成实质影响</w:t>
      </w:r>
      <w:r>
        <w:rPr>
          <w:rFonts w:hint="eastAsia" w:ascii="宋体" w:hAnsi="宋体" w:cs="宋体"/>
          <w:b/>
          <w:bCs/>
          <w:color w:val="auto"/>
          <w:kern w:val="2"/>
          <w:sz w:val="21"/>
          <w:szCs w:val="21"/>
          <w:highlight w:val="none"/>
          <w:lang w:val="zh-CN"/>
        </w:rPr>
        <w:t>。</w:t>
      </w:r>
    </w:p>
    <w:p w14:paraId="3FA24594">
      <w:pPr>
        <w:snapToGrid w:val="0"/>
        <w:spacing w:line="360" w:lineRule="auto"/>
        <w:ind w:left="525" w:hanging="525" w:hangingChars="250"/>
        <w:jc w:val="both"/>
        <w:rPr>
          <w:rFonts w:ascii="宋体" w:hAnsi="宋体" w:cs="宋体"/>
          <w:color w:val="auto"/>
          <w:kern w:val="2"/>
          <w:sz w:val="21"/>
          <w:szCs w:val="21"/>
          <w:highlight w:val="none"/>
          <w:lang w:val="zh-CN"/>
        </w:rPr>
      </w:pPr>
    </w:p>
    <w:p w14:paraId="4C0856C7">
      <w:pPr>
        <w:tabs>
          <w:tab w:val="left" w:pos="680"/>
        </w:tabs>
        <w:spacing w:line="360" w:lineRule="auto"/>
        <w:ind w:left="567" w:hanging="567"/>
        <w:jc w:val="both"/>
        <w:outlineLvl w:val="2"/>
        <w:rPr>
          <w:rFonts w:ascii="宋体" w:hAnsi="宋体" w:cs="宋体"/>
          <w:color w:val="auto"/>
          <w:kern w:val="2"/>
          <w:sz w:val="21"/>
          <w:szCs w:val="21"/>
          <w:highlight w:val="none"/>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cols w:space="720" w:num="1"/>
          <w:titlePg/>
          <w:docGrid w:linePitch="326" w:charSpace="0"/>
        </w:sectPr>
      </w:pPr>
      <w:bookmarkStart w:id="181" w:name="_Toc521918109"/>
      <w:bookmarkStart w:id="182" w:name="_Toc23089"/>
      <w:r>
        <w:rPr>
          <w:rFonts w:hint="eastAsia" w:ascii="宋体" w:hAnsi="宋体" w:cs="宋体"/>
          <w:color w:val="auto"/>
          <w:kern w:val="2"/>
          <w:sz w:val="21"/>
          <w:szCs w:val="21"/>
          <w:highlight w:val="none"/>
        </w:rPr>
        <w:t xml:space="preserve">40 </w:t>
      </w:r>
      <w:r>
        <w:rPr>
          <w:rFonts w:hint="eastAsia" w:ascii="宋体" w:hAnsi="宋体" w:cs="宋体"/>
          <w:color w:val="auto"/>
          <w:kern w:val="2"/>
          <w:sz w:val="21"/>
          <w:szCs w:val="21"/>
          <w:highlight w:val="none"/>
          <w:lang w:val="zh-CN"/>
        </w:rPr>
        <w:t>本次采购活动的最终解释权归采购代理机构及采购人所有。</w:t>
      </w:r>
      <w:bookmarkEnd w:id="181"/>
      <w:bookmarkEnd w:id="182"/>
    </w:p>
    <w:p w14:paraId="65D6BFC9">
      <w:pPr>
        <w:pageBreakBefore/>
        <w:numPr>
          <w:ilvl w:val="0"/>
          <w:numId w:val="12"/>
        </w:numPr>
        <w:spacing w:line="360" w:lineRule="auto"/>
        <w:ind w:left="-195" w:leftChars="-100" w:hanging="45"/>
        <w:jc w:val="center"/>
        <w:outlineLvl w:val="0"/>
        <w:rPr>
          <w:rFonts w:ascii="宋体" w:hAnsi="宋体" w:cs="宋体"/>
          <w:b/>
          <w:bCs/>
          <w:color w:val="auto"/>
          <w:kern w:val="44"/>
          <w:sz w:val="32"/>
          <w:szCs w:val="32"/>
          <w:highlight w:val="none"/>
          <w:lang w:val="zh-CN"/>
        </w:rPr>
      </w:pPr>
      <w:bookmarkStart w:id="183" w:name="_Toc142508358"/>
      <w:bookmarkStart w:id="184" w:name="_Toc21446"/>
      <w:bookmarkStart w:id="185" w:name="_Toc450662891"/>
      <w:bookmarkStart w:id="186" w:name="_Toc5471"/>
      <w:bookmarkStart w:id="187" w:name="_Toc27939_WPSOffice_Level1"/>
      <w:bookmarkStart w:id="188" w:name="_Toc14879"/>
      <w:bookmarkStart w:id="189" w:name="_Toc10472"/>
      <w:bookmarkStart w:id="190" w:name="_Toc4386"/>
      <w:bookmarkStart w:id="191" w:name="_Toc486167706"/>
      <w:bookmarkStart w:id="192" w:name="_Toc19458"/>
      <w:bookmarkStart w:id="193" w:name="_Toc29178"/>
      <w:bookmarkStart w:id="194" w:name="_Toc447044479"/>
      <w:bookmarkStart w:id="195" w:name="_Toc447045090"/>
      <w:bookmarkStart w:id="196" w:name="_Toc521918112"/>
      <w:bookmarkStart w:id="197" w:name="_Toc447044603"/>
      <w:bookmarkStart w:id="198" w:name="_Toc489359498"/>
      <w:bookmarkStart w:id="199" w:name="_Toc523567019"/>
      <w:bookmarkStart w:id="200" w:name="_Toc20661"/>
      <w:r>
        <w:rPr>
          <w:rFonts w:hint="eastAsia" w:ascii="宋体" w:hAnsi="宋体" w:cs="宋体"/>
          <w:b/>
          <w:bCs/>
          <w:color w:val="auto"/>
          <w:kern w:val="44"/>
          <w:sz w:val="32"/>
          <w:szCs w:val="32"/>
          <w:highlight w:val="none"/>
          <w:lang w:val="zh-CN"/>
        </w:rPr>
        <w:t>用户需求书</w:t>
      </w:r>
      <w:bookmarkEnd w:id="183"/>
      <w:bookmarkEnd w:id="184"/>
      <w:bookmarkEnd w:id="185"/>
      <w:bookmarkEnd w:id="186"/>
      <w:bookmarkEnd w:id="187"/>
      <w:bookmarkEnd w:id="188"/>
      <w:bookmarkEnd w:id="189"/>
      <w:bookmarkEnd w:id="190"/>
      <w:bookmarkEnd w:id="191"/>
    </w:p>
    <w:p w14:paraId="7A885F14">
      <w:pPr>
        <w:spacing w:line="360" w:lineRule="auto"/>
        <w:ind w:firstLine="422" w:firstLineChars="200"/>
        <w:rPr>
          <w:rFonts w:ascii="宋体" w:hAnsi="宋体" w:cs="宋体"/>
          <w:b/>
          <w:color w:val="auto"/>
          <w:sz w:val="21"/>
          <w:szCs w:val="21"/>
          <w:highlight w:val="none"/>
        </w:rPr>
      </w:pPr>
      <w:r>
        <w:rPr>
          <w:rFonts w:hint="eastAsia" w:ascii="宋体" w:hAnsi="宋体" w:cs="宋体"/>
          <w:b/>
          <w:color w:val="auto"/>
          <w:kern w:val="2"/>
          <w:sz w:val="21"/>
          <w:szCs w:val="21"/>
          <w:highlight w:val="none"/>
        </w:rPr>
        <w:t>一、</w:t>
      </w:r>
      <w:r>
        <w:rPr>
          <w:rFonts w:hint="eastAsia" w:ascii="宋体" w:hAnsi="宋体" w:cs="宋体"/>
          <w:b/>
          <w:color w:val="auto"/>
          <w:sz w:val="21"/>
          <w:szCs w:val="21"/>
          <w:highlight w:val="none"/>
        </w:rPr>
        <w:t>项目规模</w:t>
      </w:r>
    </w:p>
    <w:p w14:paraId="5CB47308">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东莞市水务集团有限公司下设有多家直属企业，本次2025年直购电采购项目的参与范围主要为东莞市水务集团供水有限公司、东莞市水务集团净水有限公司及东莞市水务集团管网有限公司3家直属企业下的总共7个市场用户，具体如下表所示：</w:t>
      </w:r>
    </w:p>
    <w:tbl>
      <w:tblPr>
        <w:tblStyle w:val="5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4522"/>
        <w:gridCol w:w="3541"/>
      </w:tblGrid>
      <w:tr w14:paraId="6910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pct"/>
            <w:vAlign w:val="center"/>
          </w:tcPr>
          <w:p w14:paraId="11ADE1FC">
            <w:pPr>
              <w:pStyle w:val="2"/>
              <w:spacing w:line="360" w:lineRule="auto"/>
              <w:ind w:firstLine="422" w:firstLineChars="200"/>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直属企业名称</w:t>
            </w:r>
          </w:p>
        </w:tc>
        <w:tc>
          <w:tcPr>
            <w:tcW w:w="2180" w:type="pct"/>
            <w:vAlign w:val="center"/>
          </w:tcPr>
          <w:p w14:paraId="56C33F7C">
            <w:pPr>
              <w:pStyle w:val="2"/>
              <w:spacing w:line="360" w:lineRule="auto"/>
              <w:ind w:firstLine="422" w:firstLineChars="200"/>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市场用户（合同签订主体）</w:t>
            </w:r>
          </w:p>
        </w:tc>
        <w:tc>
          <w:tcPr>
            <w:tcW w:w="1707" w:type="pct"/>
            <w:vAlign w:val="center"/>
          </w:tcPr>
          <w:p w14:paraId="1B676811">
            <w:pPr>
              <w:pStyle w:val="2"/>
              <w:spacing w:line="360" w:lineRule="auto"/>
              <w:ind w:firstLine="422" w:firstLineChars="200"/>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2025年用电规模</w:t>
            </w:r>
          </w:p>
        </w:tc>
      </w:tr>
      <w:tr w14:paraId="1DAC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111" w:type="pct"/>
            <w:vMerge w:val="restart"/>
            <w:vAlign w:val="center"/>
          </w:tcPr>
          <w:p w14:paraId="2A2FDEBE">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东莞市水务集团供水有限公司</w:t>
            </w:r>
          </w:p>
        </w:tc>
        <w:tc>
          <w:tcPr>
            <w:tcW w:w="2180" w:type="pct"/>
            <w:vAlign w:val="center"/>
          </w:tcPr>
          <w:p w14:paraId="0980E90E">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东莞市水务集团供水有限公司</w:t>
            </w:r>
          </w:p>
        </w:tc>
        <w:tc>
          <w:tcPr>
            <w:tcW w:w="1707" w:type="pct"/>
            <w:vAlign w:val="center"/>
          </w:tcPr>
          <w:p w14:paraId="3179833F">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共29个结算户，总用电量约2.65亿千瓦时</w:t>
            </w:r>
          </w:p>
        </w:tc>
      </w:tr>
      <w:tr w14:paraId="5855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111" w:type="pct"/>
            <w:vMerge w:val="continue"/>
            <w:vAlign w:val="center"/>
          </w:tcPr>
          <w:p w14:paraId="0A5FA523">
            <w:pPr>
              <w:pStyle w:val="2"/>
              <w:spacing w:line="360" w:lineRule="auto"/>
              <w:ind w:firstLine="420" w:firstLineChars="200"/>
              <w:rPr>
                <w:rFonts w:ascii="宋体" w:hAnsi="宋体" w:eastAsia="宋体" w:cs="宋体"/>
                <w:b w:val="0"/>
                <w:bCs w:val="0"/>
                <w:color w:val="auto"/>
                <w:sz w:val="21"/>
                <w:szCs w:val="21"/>
                <w:highlight w:val="none"/>
                <w:lang w:val="en-US"/>
              </w:rPr>
            </w:pPr>
          </w:p>
        </w:tc>
        <w:tc>
          <w:tcPr>
            <w:tcW w:w="2180" w:type="pct"/>
            <w:vAlign w:val="center"/>
          </w:tcPr>
          <w:p w14:paraId="124EE345">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东莞市水务集团供水有限公司制水分公司</w:t>
            </w:r>
          </w:p>
        </w:tc>
        <w:tc>
          <w:tcPr>
            <w:tcW w:w="1707" w:type="pct"/>
            <w:vAlign w:val="center"/>
          </w:tcPr>
          <w:p w14:paraId="77718057">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共49个结算户，总用电量约1.02亿千瓦时</w:t>
            </w:r>
          </w:p>
        </w:tc>
      </w:tr>
      <w:tr w14:paraId="2441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111" w:type="pct"/>
            <w:vMerge w:val="restart"/>
            <w:vAlign w:val="center"/>
          </w:tcPr>
          <w:p w14:paraId="63E543E8">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东莞市水务集团净水有限公司</w:t>
            </w:r>
          </w:p>
        </w:tc>
        <w:tc>
          <w:tcPr>
            <w:tcW w:w="2180" w:type="pct"/>
            <w:vAlign w:val="center"/>
          </w:tcPr>
          <w:p w14:paraId="6D6B17CF">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东莞市石鼓净水有限公司</w:t>
            </w:r>
          </w:p>
        </w:tc>
        <w:tc>
          <w:tcPr>
            <w:tcW w:w="1707" w:type="pct"/>
            <w:vAlign w:val="center"/>
          </w:tcPr>
          <w:p w14:paraId="407D5C0E">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共40个结算户，总用电量约2.95亿千瓦时</w:t>
            </w:r>
          </w:p>
        </w:tc>
      </w:tr>
      <w:tr w14:paraId="70B4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111" w:type="pct"/>
            <w:vMerge w:val="continue"/>
            <w:vAlign w:val="center"/>
          </w:tcPr>
          <w:p w14:paraId="7C592AF4">
            <w:pPr>
              <w:pStyle w:val="2"/>
              <w:spacing w:line="360" w:lineRule="auto"/>
              <w:ind w:firstLine="420" w:firstLineChars="200"/>
              <w:rPr>
                <w:rFonts w:ascii="宋体" w:hAnsi="宋体" w:eastAsia="宋体" w:cs="宋体"/>
                <w:b w:val="0"/>
                <w:bCs w:val="0"/>
                <w:color w:val="auto"/>
                <w:sz w:val="21"/>
                <w:szCs w:val="21"/>
                <w:highlight w:val="none"/>
              </w:rPr>
            </w:pPr>
          </w:p>
        </w:tc>
        <w:tc>
          <w:tcPr>
            <w:tcW w:w="2180" w:type="pct"/>
            <w:vAlign w:val="center"/>
          </w:tcPr>
          <w:p w14:paraId="03D1D3BF">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东莞市樟村水质净化有限公司</w:t>
            </w:r>
          </w:p>
        </w:tc>
        <w:tc>
          <w:tcPr>
            <w:tcW w:w="1707" w:type="pct"/>
            <w:vAlign w:val="center"/>
          </w:tcPr>
          <w:p w14:paraId="23B4F8AA">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共1个结算户，总用电量约0.16亿千瓦时</w:t>
            </w:r>
          </w:p>
        </w:tc>
      </w:tr>
      <w:tr w14:paraId="2C7D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111" w:type="pct"/>
            <w:vMerge w:val="continue"/>
            <w:vAlign w:val="center"/>
          </w:tcPr>
          <w:p w14:paraId="53E14624">
            <w:pPr>
              <w:pStyle w:val="2"/>
              <w:spacing w:line="360" w:lineRule="auto"/>
              <w:ind w:firstLine="420" w:firstLineChars="200"/>
              <w:rPr>
                <w:rFonts w:ascii="宋体" w:hAnsi="宋体" w:eastAsia="宋体" w:cs="宋体"/>
                <w:b w:val="0"/>
                <w:bCs w:val="0"/>
                <w:color w:val="auto"/>
                <w:sz w:val="21"/>
                <w:szCs w:val="21"/>
                <w:highlight w:val="none"/>
              </w:rPr>
            </w:pPr>
          </w:p>
        </w:tc>
        <w:tc>
          <w:tcPr>
            <w:tcW w:w="2180" w:type="pct"/>
            <w:vAlign w:val="center"/>
          </w:tcPr>
          <w:p w14:paraId="044CC1C0">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东莞市清源净水科技有限公司</w:t>
            </w:r>
          </w:p>
        </w:tc>
        <w:tc>
          <w:tcPr>
            <w:tcW w:w="1707" w:type="pct"/>
            <w:vAlign w:val="center"/>
          </w:tcPr>
          <w:p w14:paraId="0FB1A118">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共1个结算户，总用电量约0.07亿千瓦时</w:t>
            </w:r>
          </w:p>
        </w:tc>
      </w:tr>
      <w:tr w14:paraId="2671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111" w:type="pct"/>
            <w:vMerge w:val="restart"/>
            <w:vAlign w:val="center"/>
          </w:tcPr>
          <w:p w14:paraId="71544C8E">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东莞市水务集团管网有限公司</w:t>
            </w:r>
          </w:p>
        </w:tc>
        <w:tc>
          <w:tcPr>
            <w:tcW w:w="2180" w:type="pct"/>
            <w:vAlign w:val="center"/>
          </w:tcPr>
          <w:p w14:paraId="4A09E822">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东莞市水务集团管网有限公司</w:t>
            </w:r>
          </w:p>
        </w:tc>
        <w:tc>
          <w:tcPr>
            <w:tcW w:w="1707" w:type="pct"/>
            <w:vAlign w:val="center"/>
          </w:tcPr>
          <w:p w14:paraId="791B46A0">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共1个结算户，总用电量约0.23亿千瓦时</w:t>
            </w:r>
          </w:p>
        </w:tc>
      </w:tr>
      <w:tr w14:paraId="6AEA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111" w:type="pct"/>
            <w:vMerge w:val="continue"/>
            <w:vAlign w:val="center"/>
          </w:tcPr>
          <w:p w14:paraId="67631432">
            <w:pPr>
              <w:pStyle w:val="2"/>
              <w:spacing w:line="360" w:lineRule="auto"/>
              <w:ind w:firstLine="420" w:firstLineChars="200"/>
              <w:rPr>
                <w:rFonts w:ascii="宋体" w:hAnsi="宋体" w:eastAsia="宋体" w:cs="宋体"/>
                <w:b w:val="0"/>
                <w:bCs w:val="0"/>
                <w:color w:val="auto"/>
                <w:sz w:val="21"/>
                <w:szCs w:val="21"/>
                <w:highlight w:val="none"/>
              </w:rPr>
            </w:pPr>
          </w:p>
        </w:tc>
        <w:tc>
          <w:tcPr>
            <w:tcW w:w="2180" w:type="pct"/>
            <w:vAlign w:val="center"/>
          </w:tcPr>
          <w:p w14:paraId="5F0AA837">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东莞市东泽水环境投资有限公司</w:t>
            </w:r>
          </w:p>
        </w:tc>
        <w:tc>
          <w:tcPr>
            <w:tcW w:w="1707" w:type="pct"/>
            <w:vAlign w:val="center"/>
          </w:tcPr>
          <w:p w14:paraId="36E42EF5">
            <w:pPr>
              <w:pStyle w:val="2"/>
              <w:spacing w:line="360" w:lineRule="auto"/>
              <w:ind w:firstLine="420" w:firstLineChars="200"/>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共1个结算户，总用电量约0.07亿千瓦时</w:t>
            </w:r>
          </w:p>
        </w:tc>
      </w:tr>
    </w:tbl>
    <w:p w14:paraId="35AD20AC">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各结算户分别有独立的用电编号</w:t>
      </w:r>
      <w:r>
        <w:rPr>
          <w:rFonts w:hint="eastAsia" w:ascii="宋体" w:hAnsi="宋体" w:cs="宋体"/>
          <w:color w:val="auto"/>
          <w:szCs w:val="21"/>
          <w:highlight w:val="none"/>
        </w:rPr>
        <w:t>，</w:t>
      </w:r>
      <w:r>
        <w:rPr>
          <w:rFonts w:hint="eastAsia" w:ascii="宋体" w:hAnsi="宋体" w:cs="宋体"/>
          <w:bCs/>
          <w:color w:val="auto"/>
          <w:sz w:val="21"/>
          <w:szCs w:val="21"/>
          <w:highlight w:val="none"/>
        </w:rPr>
        <w:t>东莞市水务集团供水有限公司、东莞市水务集团净水有限公司、东莞市水务集团管网有限公司2025年预计总用电量为约7.15亿千瓦时（以实际为准）。</w:t>
      </w:r>
    </w:p>
    <w:p w14:paraId="4DCB33BC">
      <w:pPr>
        <w:spacing w:line="360" w:lineRule="auto"/>
        <w:ind w:firstLine="422" w:firstLineChars="200"/>
        <w:rPr>
          <w:rFonts w:ascii="宋体" w:hAnsi="宋体" w:cs="宋体"/>
          <w:bCs/>
          <w:color w:val="auto"/>
          <w:sz w:val="21"/>
          <w:szCs w:val="21"/>
          <w:highlight w:val="none"/>
        </w:rPr>
      </w:pPr>
      <w:r>
        <w:rPr>
          <w:rFonts w:hint="eastAsia" w:ascii="宋体" w:hAnsi="宋体" w:cs="宋体"/>
          <w:b/>
          <w:color w:val="auto"/>
          <w:kern w:val="2"/>
          <w:sz w:val="21"/>
          <w:szCs w:val="21"/>
          <w:highlight w:val="none"/>
        </w:rPr>
        <w:t>二、</w:t>
      </w:r>
      <w:r>
        <w:rPr>
          <w:rFonts w:hint="eastAsia" w:ascii="宋体" w:hAnsi="宋体" w:cs="宋体"/>
          <w:b/>
          <w:color w:val="auto"/>
          <w:sz w:val="21"/>
          <w:szCs w:val="21"/>
          <w:highlight w:val="none"/>
        </w:rPr>
        <w:t>项目周期</w:t>
      </w:r>
      <w:r>
        <w:rPr>
          <w:rFonts w:hint="eastAsia" w:ascii="宋体" w:hAnsi="宋体" w:cs="宋体"/>
          <w:bCs/>
          <w:color w:val="auto"/>
          <w:sz w:val="21"/>
          <w:szCs w:val="21"/>
          <w:highlight w:val="none"/>
        </w:rPr>
        <w:t>：2025年1月1日至2025年12月31日。</w:t>
      </w:r>
    </w:p>
    <w:p w14:paraId="078C978E">
      <w:pPr>
        <w:spacing w:line="360" w:lineRule="auto"/>
        <w:ind w:firstLine="422" w:firstLineChars="200"/>
        <w:rPr>
          <w:rFonts w:ascii="宋体" w:hAnsi="宋体" w:cs="宋体"/>
          <w:bCs/>
          <w:color w:val="auto"/>
          <w:sz w:val="21"/>
          <w:szCs w:val="21"/>
          <w:highlight w:val="none"/>
        </w:rPr>
      </w:pPr>
      <w:r>
        <w:rPr>
          <w:rFonts w:hint="eastAsia" w:ascii="宋体" w:hAnsi="宋体" w:cs="宋体"/>
          <w:b/>
          <w:bCs/>
          <w:color w:val="auto"/>
          <w:sz w:val="21"/>
          <w:szCs w:val="21"/>
          <w:highlight w:val="none"/>
        </w:rPr>
        <w:t>三、用电方办理直购电交易资格的方式</w:t>
      </w:r>
    </w:p>
    <w:p w14:paraId="379ED769">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售电方应代理用电方参与广东电力交易中心零售市场交易；对于</w:t>
      </w:r>
      <w:r>
        <w:rPr>
          <w:rFonts w:hint="eastAsia" w:ascii="宋体" w:hAnsi="宋体" w:cs="宋体"/>
          <w:bCs/>
          <w:color w:val="auto"/>
          <w:sz w:val="21"/>
          <w:szCs w:val="21"/>
          <w:highlight w:val="none"/>
          <w:lang w:val="en-US" w:eastAsia="zh-CN"/>
        </w:rPr>
        <w:t>用</w:t>
      </w:r>
      <w:r>
        <w:rPr>
          <w:rFonts w:hint="eastAsia" w:ascii="宋体" w:hAnsi="宋体" w:cs="宋体"/>
          <w:bCs/>
          <w:color w:val="auto"/>
          <w:sz w:val="21"/>
          <w:szCs w:val="21"/>
          <w:highlight w:val="none"/>
        </w:rPr>
        <w:t>电方新增注册市场化用户的需求，售电方应无偿提供技术支持服务并协助用电方办理市场注册，并确保用电方新增的市场化用户取得广东电力交易中心零售市场交易资格。</w:t>
      </w:r>
    </w:p>
    <w:p w14:paraId="63BAB328">
      <w:pPr>
        <w:spacing w:line="360" w:lineRule="auto"/>
        <w:ind w:firstLine="422" w:firstLineChars="200"/>
        <w:rPr>
          <w:rFonts w:ascii="宋体" w:hAnsi="宋体" w:cs="宋体"/>
          <w:b/>
          <w:color w:val="auto"/>
          <w:sz w:val="21"/>
          <w:szCs w:val="21"/>
          <w:highlight w:val="none"/>
        </w:rPr>
      </w:pPr>
      <w:r>
        <w:rPr>
          <w:rFonts w:hint="eastAsia" w:ascii="宋体" w:hAnsi="宋体" w:cs="宋体"/>
          <w:b/>
          <w:color w:val="auto"/>
          <w:kern w:val="2"/>
          <w:sz w:val="21"/>
          <w:szCs w:val="21"/>
          <w:highlight w:val="none"/>
        </w:rPr>
        <w:t>四、</w:t>
      </w:r>
      <w:r>
        <w:rPr>
          <w:rFonts w:hint="eastAsia" w:ascii="宋体" w:hAnsi="宋体" w:cs="宋体"/>
          <w:b/>
          <w:color w:val="auto"/>
          <w:sz w:val="21"/>
          <w:szCs w:val="21"/>
          <w:highlight w:val="none"/>
        </w:rPr>
        <w:t>交易模式</w:t>
      </w:r>
    </w:p>
    <w:p w14:paraId="0C77E179">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按照“固定价格+联动价格</w:t>
      </w:r>
      <w:r>
        <w:rPr>
          <w:rFonts w:hint="eastAsia" w:ascii="宋体" w:hAnsi="宋体" w:cs="宋体"/>
          <w:color w:val="auto"/>
          <w:sz w:val="21"/>
          <w:szCs w:val="21"/>
          <w:highlight w:val="none"/>
        </w:rPr>
        <w:t>+浮动费用</w:t>
      </w:r>
      <w:r>
        <w:rPr>
          <w:rFonts w:hint="eastAsia" w:ascii="宋体" w:hAnsi="宋体" w:cs="宋体"/>
          <w:bCs/>
          <w:color w:val="auto"/>
          <w:sz w:val="21"/>
          <w:szCs w:val="21"/>
          <w:highlight w:val="none"/>
        </w:rPr>
        <w:t>”的模式参与交易并签订零售合同，其中：①用电方实际用电量的80%采用“2025年度零售交易全市场用户‘固定价格’模式部分的签约均价-中标下浮单价”与“403.67厘/千瓦时”二者间的较低值；②用电方实际用电量的20%为“联动价格”模式部分，采用日前市场月度综合价（含批发市场分摊费用）；③</w:t>
      </w:r>
      <w:r>
        <w:rPr>
          <w:rFonts w:hint="eastAsia" w:ascii="宋体" w:hAnsi="宋体" w:cs="宋体"/>
          <w:color w:val="auto"/>
          <w:sz w:val="21"/>
          <w:szCs w:val="21"/>
          <w:highlight w:val="none"/>
        </w:rPr>
        <w:t>浮动费用为0，即不计收浮动费用</w:t>
      </w:r>
      <w:r>
        <w:rPr>
          <w:rFonts w:hint="eastAsia" w:ascii="宋体" w:hAnsi="宋体" w:cs="宋体"/>
          <w:bCs/>
          <w:color w:val="auto"/>
          <w:sz w:val="21"/>
          <w:szCs w:val="21"/>
          <w:highlight w:val="none"/>
        </w:rPr>
        <w:t>。</w:t>
      </w:r>
    </w:p>
    <w:p w14:paraId="6E118D8F">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其中“日前市场月度综合价”以广东电力交易中心每月公布数据为准。售电方承担用电方100%偏差考核电费及交易中心收取的交易手续费。</w:t>
      </w:r>
      <w:r>
        <w:rPr>
          <w:rFonts w:hint="eastAsia" w:ascii="宋体" w:hAnsi="宋体" w:cs="宋体"/>
          <w:color w:val="auto"/>
          <w:sz w:val="21"/>
          <w:szCs w:val="21"/>
          <w:highlight w:val="none"/>
        </w:rPr>
        <w:t>2025年电力交易手续费全部由售电方承担。用电方不承担申报电量偏差考核的一切后果。因偏差电量而产生的考核电费全部由售电方自行承担。</w:t>
      </w:r>
    </w:p>
    <w:p w14:paraId="3270A667">
      <w:pPr>
        <w:numPr>
          <w:ilvl w:val="255"/>
          <w:numId w:val="0"/>
        </w:numPr>
        <w:spacing w:line="360" w:lineRule="auto"/>
        <w:ind w:firstLine="422" w:firstLineChars="200"/>
        <w:rPr>
          <w:rFonts w:ascii="宋体" w:hAnsi="宋体" w:cs="宋体"/>
          <w:b/>
          <w:color w:val="auto"/>
          <w:sz w:val="21"/>
          <w:szCs w:val="21"/>
          <w:highlight w:val="none"/>
        </w:rPr>
      </w:pPr>
      <w:r>
        <w:rPr>
          <w:rFonts w:hint="eastAsia" w:ascii="宋体" w:hAnsi="宋体" w:cs="宋体"/>
          <w:b/>
          <w:color w:val="auto"/>
          <w:kern w:val="2"/>
          <w:sz w:val="21"/>
          <w:szCs w:val="21"/>
          <w:highlight w:val="none"/>
        </w:rPr>
        <w:t>五、</w:t>
      </w:r>
      <w:r>
        <w:rPr>
          <w:rFonts w:hint="eastAsia" w:ascii="宋体" w:hAnsi="宋体" w:cs="宋体"/>
          <w:b/>
          <w:color w:val="auto"/>
          <w:sz w:val="21"/>
          <w:szCs w:val="21"/>
          <w:highlight w:val="none"/>
        </w:rPr>
        <w:t>采购方式</w:t>
      </w:r>
    </w:p>
    <w:p w14:paraId="26AC9636">
      <w:pPr>
        <w:numPr>
          <w:ilvl w:val="255"/>
          <w:numId w:val="0"/>
        </w:num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本采购项目由东莞市水务集团有限公司组织开展竞争性谈判以确定售电方；竞争性谈判过程中，售电方应按下浮单价（单位：厘/千瓦时）报价，最低限价为0厘/千瓦时，即下浮单价应报价为</w:t>
      </w:r>
      <w:r>
        <w:rPr>
          <w:rFonts w:ascii="宋体" w:hAnsi="宋体" w:cs="宋体"/>
          <w:bCs/>
          <w:color w:val="auto"/>
          <w:sz w:val="21"/>
          <w:szCs w:val="21"/>
          <w:highlight w:val="none"/>
        </w:rPr>
        <w:t>0.00</w:t>
      </w:r>
      <w:r>
        <w:rPr>
          <w:rFonts w:hint="eastAsia" w:ascii="宋体" w:hAnsi="宋体" w:cs="宋体"/>
          <w:bCs/>
          <w:color w:val="auto"/>
          <w:sz w:val="21"/>
          <w:szCs w:val="21"/>
          <w:highlight w:val="none"/>
        </w:rPr>
        <w:t>或正值（</w:t>
      </w:r>
      <w:r>
        <w:rPr>
          <w:rFonts w:hint="eastAsia" w:ascii="宋体" w:hAnsi="宋体" w:cs="宋体"/>
          <w:b/>
          <w:bCs w:val="0"/>
          <w:color w:val="auto"/>
          <w:sz w:val="21"/>
          <w:szCs w:val="21"/>
          <w:highlight w:val="none"/>
        </w:rPr>
        <w:t>报价保留小数点后两位</w:t>
      </w:r>
      <w:r>
        <w:rPr>
          <w:rFonts w:hint="eastAsia" w:ascii="宋体" w:hAnsi="宋体" w:cs="宋体"/>
          <w:bCs/>
          <w:color w:val="auto"/>
          <w:sz w:val="21"/>
          <w:szCs w:val="21"/>
          <w:highlight w:val="none"/>
        </w:rPr>
        <w:t>）。</w:t>
      </w:r>
    </w:p>
    <w:p w14:paraId="460B5275">
      <w:pPr>
        <w:spacing w:line="360" w:lineRule="auto"/>
        <w:ind w:firstLine="422" w:firstLineChars="200"/>
        <w:rPr>
          <w:rFonts w:ascii="宋体" w:hAnsi="宋体" w:cs="宋体"/>
          <w:bCs/>
          <w:color w:val="auto"/>
          <w:sz w:val="21"/>
          <w:szCs w:val="21"/>
          <w:highlight w:val="none"/>
        </w:rPr>
      </w:pPr>
      <w:r>
        <w:rPr>
          <w:rFonts w:hint="eastAsia" w:ascii="宋体" w:hAnsi="宋体" w:cs="宋体"/>
          <w:b/>
          <w:color w:val="auto"/>
          <w:kern w:val="2"/>
          <w:sz w:val="21"/>
          <w:szCs w:val="21"/>
          <w:highlight w:val="none"/>
        </w:rPr>
        <w:t>六、</w:t>
      </w:r>
      <w:r>
        <w:rPr>
          <w:rFonts w:hint="eastAsia" w:ascii="宋体" w:hAnsi="宋体" w:cs="宋体"/>
          <w:b/>
          <w:color w:val="auto"/>
          <w:sz w:val="21"/>
          <w:szCs w:val="21"/>
          <w:highlight w:val="none"/>
        </w:rPr>
        <w:t>签约方式</w:t>
      </w:r>
    </w:p>
    <w:p w14:paraId="3B673F3A">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分别单独签订独立的零售合同。本项目用电方共有东莞市水务集团供水有限公司、东莞市水务集团供水有限公司制水分公司、东莞市石鼓净水有限公司、东莞市樟村水质净化有限公司、东莞市清源净水科技有限公司、东莞市水务集团管网有限公司、东莞市东泽水环境投资有限公司7个市场用户（合同签订主体）。因此待售电方与用电方确立代理服务关系后，售电方应按用电方各签订主体分别与用电方签订独立的线上以及线下零售合同。</w:t>
      </w:r>
    </w:p>
    <w:p w14:paraId="02F15D0E">
      <w:pPr>
        <w:spacing w:line="360" w:lineRule="auto"/>
        <w:ind w:firstLine="422" w:firstLineChars="200"/>
        <w:rPr>
          <w:rFonts w:ascii="宋体" w:hAnsi="宋体" w:cs="宋体"/>
          <w:bCs/>
          <w:color w:val="auto"/>
          <w:sz w:val="21"/>
          <w:szCs w:val="21"/>
          <w:highlight w:val="none"/>
        </w:rPr>
      </w:pPr>
      <w:r>
        <w:rPr>
          <w:rFonts w:hint="eastAsia" w:ascii="宋体" w:hAnsi="宋体" w:cs="宋体"/>
          <w:b/>
          <w:color w:val="auto"/>
          <w:kern w:val="2"/>
          <w:sz w:val="21"/>
          <w:szCs w:val="21"/>
          <w:highlight w:val="none"/>
        </w:rPr>
        <w:t>七、</w:t>
      </w:r>
      <w:r>
        <w:rPr>
          <w:rFonts w:hint="eastAsia" w:ascii="宋体" w:hAnsi="宋体" w:cs="宋体"/>
          <w:b/>
          <w:color w:val="auto"/>
          <w:sz w:val="21"/>
          <w:szCs w:val="21"/>
          <w:highlight w:val="none"/>
        </w:rPr>
        <w:t>交易电量的确定方式</w:t>
      </w:r>
    </w:p>
    <w:p w14:paraId="008B926B">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按实际交易的电量进行结算。前述2025年预计用电量仅为用电方根据往年用电量估算，不作为用电方最终采购电量的保证，售电方不得因实际采购电量的减少或增加而要求用电方提供任何形式的补偿或赔偿。用电方按实际用电量进行结算，售电方测算并申报交易电量，电量偏差考核产生的处罚金额全部由售电方承担。</w:t>
      </w:r>
    </w:p>
    <w:p w14:paraId="057CCC6C">
      <w:pPr>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八、</w:t>
      </w:r>
      <w:r>
        <w:rPr>
          <w:rFonts w:hint="eastAsia" w:ascii="宋体" w:hAnsi="宋体" w:cs="宋体"/>
          <w:b/>
          <w:color w:val="auto"/>
          <w:sz w:val="21"/>
          <w:szCs w:val="21"/>
          <w:highlight w:val="none"/>
        </w:rPr>
        <w:t>用电交易其他事项</w:t>
      </w:r>
    </w:p>
    <w:p w14:paraId="1FBB0287">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kern w:val="2"/>
          <w:sz w:val="21"/>
          <w:szCs w:val="21"/>
          <w:highlight w:val="none"/>
        </w:rPr>
        <w:t>8.1、</w:t>
      </w:r>
      <w:r>
        <w:rPr>
          <w:rFonts w:hint="eastAsia" w:ascii="宋体" w:hAnsi="宋体" w:cs="宋体"/>
          <w:bCs/>
          <w:color w:val="auto"/>
          <w:sz w:val="21"/>
          <w:szCs w:val="21"/>
          <w:highlight w:val="none"/>
        </w:rPr>
        <w:t>售电方代理用电方进行交易前，用电方有权要求售电方将当期拟交易价格、拟交易电量和报价方式等交易信息通报给用电方知晓，售电方协助用电方全面熟悉售电交易流程及规则，交易完成后相关交易信息需按用电方需求提交给用电方留存。</w:t>
      </w:r>
    </w:p>
    <w:p w14:paraId="645CBDB4">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8.2电价变更服务。合同服务内，用电方可根据自身需求将符合变更条件的结算户由全平段电价变更至执行峰谷分时电价（或由执行峰谷分时电价变更至全平段电价），售电方应无偿提供技术支持服务并协助用电方办理变更；相关结算户变更后，售电方应正常履行合同，确保用电方全部实际用电量按合同约定参与直购电量交易，变更后的电费计算方式应按广东省能源局、国家能源局南方监管局关于2025年电力市场交易有关事项的通知或其它政策文件中关于峰谷电价的计费方式执行，否则按违约处理。</w:t>
      </w:r>
    </w:p>
    <w:p w14:paraId="54E68B70">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kern w:val="2"/>
          <w:sz w:val="21"/>
          <w:szCs w:val="21"/>
          <w:highlight w:val="none"/>
        </w:rPr>
        <w:t>8.3</w:t>
      </w:r>
      <w:r>
        <w:rPr>
          <w:rFonts w:hint="eastAsia" w:ascii="宋体" w:hAnsi="宋体" w:cs="宋体"/>
          <w:bCs/>
          <w:color w:val="auto"/>
          <w:sz w:val="21"/>
          <w:szCs w:val="21"/>
          <w:highlight w:val="none"/>
        </w:rPr>
        <w:t>合同期服务内，用电方可根据自身新增用电户购电需求新增结算户，并将部分或全部新增结算户后续各月度的全部实际用电量纳入本项目的直购电量交易范围，售电方应按合同约定的价格及结算方式履行合同，否则按违约处理。</w:t>
      </w:r>
    </w:p>
    <w:p w14:paraId="2B803ADB">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kern w:val="2"/>
          <w:sz w:val="21"/>
          <w:szCs w:val="21"/>
          <w:highlight w:val="none"/>
        </w:rPr>
        <w:t xml:space="preserve">8.4 </w:t>
      </w:r>
      <w:r>
        <w:rPr>
          <w:rFonts w:hint="eastAsia" w:ascii="宋体" w:hAnsi="宋体" w:cs="宋体"/>
          <w:bCs/>
          <w:color w:val="auto"/>
          <w:sz w:val="21"/>
          <w:szCs w:val="21"/>
          <w:highlight w:val="none"/>
        </w:rPr>
        <w:t>合同期服务内，用电方可根据自身情况将原属某一市场用户（合同签订主体）名下的结算户变更至另一市场用户（合同签订主体）名下，相关结算户变更后，售电方应正常履行合同，确保用电方全部实际用电量按合同约定参与直购电量交易，否则按违约处理。</w:t>
      </w:r>
    </w:p>
    <w:p w14:paraId="715E9E00">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kern w:val="2"/>
          <w:sz w:val="21"/>
          <w:szCs w:val="21"/>
          <w:highlight w:val="none"/>
        </w:rPr>
        <w:t xml:space="preserve">8.5 </w:t>
      </w:r>
      <w:r>
        <w:rPr>
          <w:rFonts w:hint="eastAsia" w:ascii="宋体" w:hAnsi="宋体" w:cs="宋体"/>
          <w:bCs/>
          <w:color w:val="auto"/>
          <w:sz w:val="21"/>
          <w:szCs w:val="21"/>
          <w:highlight w:val="none"/>
        </w:rPr>
        <w:t>合同期服务内，售电方向用电方无偿提供售电信息咨询服务。</w:t>
      </w:r>
    </w:p>
    <w:p w14:paraId="55E059EA">
      <w:pPr>
        <w:spacing w:line="360" w:lineRule="auto"/>
        <w:ind w:firstLine="420" w:firstLineChars="200"/>
        <w:rPr>
          <w:rFonts w:ascii="宋体" w:hAnsi="宋体" w:cs="宋体"/>
          <w:color w:val="auto"/>
          <w:szCs w:val="21"/>
          <w:highlight w:val="none"/>
        </w:rPr>
      </w:pPr>
      <w:r>
        <w:rPr>
          <w:rFonts w:hint="eastAsia" w:ascii="宋体" w:hAnsi="宋体" w:cs="宋体"/>
          <w:color w:val="auto"/>
          <w:kern w:val="2"/>
          <w:sz w:val="21"/>
          <w:szCs w:val="21"/>
          <w:highlight w:val="none"/>
        </w:rPr>
        <w:t xml:space="preserve">8.6 </w:t>
      </w:r>
      <w:r>
        <w:rPr>
          <w:rFonts w:hint="eastAsia" w:ascii="宋体" w:hAnsi="宋体" w:cs="宋体"/>
          <w:bCs/>
          <w:color w:val="auto"/>
          <w:sz w:val="21"/>
          <w:szCs w:val="21"/>
          <w:highlight w:val="none"/>
        </w:rPr>
        <w:t>合同到期后，用电方根据自身情况，可要求售电方继续按合同约定的双方责任和义务、价格、结算方式及履约担保方式继续服务不多于三个月整，售电方不得拒绝和变更合同内容，否则按违约处理。</w:t>
      </w:r>
    </w:p>
    <w:p w14:paraId="1AE63FD9">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2"/>
          <w:sz w:val="21"/>
          <w:szCs w:val="21"/>
          <w:highlight w:val="none"/>
        </w:rPr>
        <w:t xml:space="preserve">8.7 </w:t>
      </w:r>
      <w:r>
        <w:rPr>
          <w:rFonts w:hint="eastAsia" w:ascii="宋体" w:hAnsi="宋体" w:cs="宋体"/>
          <w:bCs/>
          <w:color w:val="auto"/>
          <w:sz w:val="21"/>
          <w:szCs w:val="21"/>
          <w:highlight w:val="none"/>
        </w:rPr>
        <w:t>在广东省能源局、国家能源局南方监管局关于2025年电力市场交易有关事项的通知或其它政策文件通知发布后，若相关文件所阐述的2025年度广东电力交易政策或交易模式与本项目采购结果出现偏差，用电方有权根据政策要求调整服务合同具体内容；若相关文件所阐述的2025年度广东电力交易政策或交易模式与本项目采购结果相悖、导致无法按本项目采购结果正常履行合同的，用电方有权作废本项目采购结果并终止本项目合同且不承担任何违约责任。</w:t>
      </w:r>
    </w:p>
    <w:p w14:paraId="0E2C3982">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8.8 因国家法律、法规发生变化或广东省能源局、国家能源局南方监管局出台有关电力交易市场新规定、规则，导致双方委托交易不能按照原合同约定正常履行时，用电方有权要求售电方向用电方提供维持原合同价格的新的委托合同，并负责在广东电力交易市场办理相应变更手续。</w:t>
      </w:r>
    </w:p>
    <w:p w14:paraId="51A6E341">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kern w:val="2"/>
          <w:sz w:val="21"/>
          <w:szCs w:val="21"/>
          <w:highlight w:val="none"/>
        </w:rPr>
        <w:t xml:space="preserve">8.9 </w:t>
      </w:r>
      <w:r>
        <w:rPr>
          <w:rFonts w:hint="eastAsia" w:ascii="宋体" w:hAnsi="宋体" w:cs="宋体"/>
          <w:bCs/>
          <w:color w:val="auto"/>
          <w:sz w:val="21"/>
          <w:szCs w:val="21"/>
          <w:highlight w:val="none"/>
        </w:rPr>
        <w:t>若存在单方无理由解除合同给对方造成损失的，违约方因此所取得的全部收益或利益均将归守约方，且应赔偿守约方的全部实际损失，包括可预期收益的损失。</w:t>
      </w:r>
    </w:p>
    <w:p w14:paraId="0A6902D8">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kern w:val="2"/>
          <w:sz w:val="21"/>
          <w:szCs w:val="21"/>
          <w:highlight w:val="none"/>
        </w:rPr>
        <w:t xml:space="preserve">8.10 </w:t>
      </w:r>
      <w:r>
        <w:rPr>
          <w:rFonts w:hint="eastAsia" w:ascii="宋体" w:hAnsi="宋体" w:cs="宋体"/>
          <w:bCs/>
          <w:color w:val="auto"/>
          <w:sz w:val="21"/>
          <w:szCs w:val="21"/>
          <w:highlight w:val="none"/>
        </w:rPr>
        <w:t>未经用电方书面同意，售电方不得把其在本项目合同书项下的权利和义务转让予第三方，及不得委托第三方处理。若售电方违反本条款，用电方有权提前解除本项目合同书，售电方须向用电方一次性支付违约金（大写）：叁拾万元整，（小写）：¥300000.00元，且须赔偿由此给用电方造成的损失，损失包括用电方按正常交易所应获收益及无法参与交易所产生的电量偏差考核金额。</w:t>
      </w:r>
    </w:p>
    <w:p w14:paraId="799EBDDB">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kern w:val="2"/>
          <w:sz w:val="21"/>
          <w:szCs w:val="21"/>
          <w:highlight w:val="none"/>
        </w:rPr>
        <w:t xml:space="preserve">8.11 </w:t>
      </w:r>
      <w:r>
        <w:rPr>
          <w:rFonts w:hint="eastAsia" w:ascii="宋体" w:hAnsi="宋体" w:cs="宋体"/>
          <w:bCs/>
          <w:color w:val="auto"/>
          <w:sz w:val="21"/>
          <w:szCs w:val="21"/>
          <w:highlight w:val="none"/>
        </w:rPr>
        <w:t>用电方、售电方因签署和履行本项目合同而获得的各项有关的信息，双方均负有严格的保密义务，未经一方书面同意，另一方不得向第三方泄露该资料和文件的全部或部分内容。如因违反保密义务给对方造成损失的，违约方因此所取得的全部收益或利益均将归守约方，且应赔偿守约方的全部实际损失，包括可预期收益的损失。</w:t>
      </w:r>
    </w:p>
    <w:p w14:paraId="59E66CE6">
      <w:pPr>
        <w:pStyle w:val="2"/>
        <w:spacing w:line="360" w:lineRule="auto"/>
        <w:ind w:firstLine="420" w:firstLineChars="200"/>
        <w:jc w:val="left"/>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8.12 本项目不接受联合体响应及代理单位响应，只允许售电公司直接响应。</w:t>
      </w:r>
    </w:p>
    <w:p w14:paraId="77EC9495">
      <w:pPr>
        <w:pStyle w:val="2"/>
        <w:spacing w:line="360" w:lineRule="auto"/>
        <w:ind w:firstLine="420" w:firstLineChars="200"/>
        <w:jc w:val="left"/>
        <w:rPr>
          <w:rFonts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8.13 本项目不接受合同分包。</w:t>
      </w:r>
    </w:p>
    <w:p w14:paraId="4A0D20F3">
      <w:pPr>
        <w:pStyle w:val="2"/>
        <w:spacing w:line="360" w:lineRule="auto"/>
        <w:ind w:firstLine="422" w:firstLineChars="200"/>
        <w:jc w:val="left"/>
        <w:rPr>
          <w:rFonts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rPr>
        <w:t xml:space="preserve">8.14 </w:t>
      </w:r>
      <w:r>
        <w:rPr>
          <w:rFonts w:hint="eastAsia" w:ascii="宋体" w:hAnsi="宋体" w:eastAsia="宋体" w:cs="宋体"/>
          <w:b w:val="0"/>
          <w:bCs w:val="0"/>
          <w:color w:val="auto"/>
          <w:sz w:val="21"/>
          <w:szCs w:val="21"/>
          <w:highlight w:val="none"/>
          <w:lang w:val="en-US"/>
        </w:rPr>
        <w:t>在2025年度电力交易市场交易窗口关闭前，完成代理关系确认及合同签订工作，保障采购人2025年电量交易顺利开展。</w:t>
      </w:r>
    </w:p>
    <w:bookmarkEnd w:id="192"/>
    <w:bookmarkEnd w:id="193"/>
    <w:bookmarkEnd w:id="194"/>
    <w:bookmarkEnd w:id="195"/>
    <w:bookmarkEnd w:id="196"/>
    <w:bookmarkEnd w:id="197"/>
    <w:bookmarkEnd w:id="198"/>
    <w:bookmarkEnd w:id="199"/>
    <w:bookmarkEnd w:id="200"/>
    <w:p w14:paraId="74B5D7D3">
      <w:pPr>
        <w:pageBreakBefore/>
        <w:tabs>
          <w:tab w:val="left" w:pos="1080"/>
        </w:tabs>
        <w:spacing w:line="360" w:lineRule="auto"/>
        <w:ind w:left="327" w:leftChars="-100" w:hanging="567"/>
        <w:jc w:val="center"/>
        <w:outlineLvl w:val="0"/>
        <w:rPr>
          <w:rFonts w:ascii="宋体" w:hAnsi="宋体" w:cs="宋体"/>
          <w:b/>
          <w:bCs/>
          <w:color w:val="auto"/>
          <w:kern w:val="44"/>
          <w:sz w:val="32"/>
          <w:szCs w:val="32"/>
          <w:highlight w:val="none"/>
          <w:lang w:val="zh-CN"/>
        </w:rPr>
      </w:pPr>
      <w:bookmarkStart w:id="201" w:name="_Toc486167707"/>
      <w:bookmarkStart w:id="202" w:name="_Toc16287"/>
      <w:bookmarkStart w:id="203" w:name="_Toc142508359"/>
      <w:bookmarkStart w:id="204" w:name="_Toc28077"/>
      <w:bookmarkStart w:id="205" w:name="_Toc10595"/>
      <w:bookmarkStart w:id="206" w:name="_Toc450662892"/>
      <w:bookmarkStart w:id="207" w:name="_Toc25251"/>
      <w:bookmarkStart w:id="208" w:name="_Toc20401"/>
      <w:bookmarkStart w:id="209" w:name="_Toc11281_WPSOffice_Level1"/>
      <w:bookmarkStart w:id="210" w:name="_Toc3093"/>
      <w:bookmarkStart w:id="211" w:name="_Toc20774"/>
      <w:bookmarkStart w:id="212" w:name="_Toc29174"/>
      <w:bookmarkStart w:id="213" w:name="_Toc521918113"/>
      <w:bookmarkStart w:id="214" w:name="_Toc450662895"/>
      <w:r>
        <w:rPr>
          <w:rFonts w:hint="eastAsia" w:ascii="宋体" w:hAnsi="宋体" w:cs="宋体"/>
          <w:b/>
          <w:bCs/>
          <w:color w:val="auto"/>
          <w:kern w:val="44"/>
          <w:sz w:val="32"/>
          <w:szCs w:val="32"/>
          <w:highlight w:val="none"/>
          <w:lang w:val="zh-CN"/>
        </w:rPr>
        <w:t>第四篇 合同条款格式</w:t>
      </w:r>
      <w:bookmarkEnd w:id="201"/>
      <w:bookmarkEnd w:id="202"/>
      <w:bookmarkEnd w:id="203"/>
      <w:bookmarkEnd w:id="204"/>
      <w:bookmarkEnd w:id="205"/>
      <w:bookmarkEnd w:id="206"/>
      <w:bookmarkEnd w:id="207"/>
      <w:bookmarkEnd w:id="208"/>
      <w:bookmarkEnd w:id="209"/>
    </w:p>
    <w:p w14:paraId="7F25B9C7">
      <w:pPr>
        <w:snapToGrid w:val="0"/>
        <w:spacing w:line="360" w:lineRule="auto"/>
        <w:jc w:val="center"/>
        <w:rPr>
          <w:rFonts w:ascii="宋体" w:hAnsi="宋体" w:cs="宋体"/>
          <w:color w:val="auto"/>
          <w:highlight w:val="none"/>
        </w:rPr>
      </w:pPr>
    </w:p>
    <w:p w14:paraId="6554F882">
      <w:pPr>
        <w:widowControl/>
        <w:spacing w:after="60"/>
        <w:rPr>
          <w:rFonts w:ascii="宋体" w:hAnsi="宋体" w:cs="宋体"/>
          <w:b/>
          <w:color w:val="auto"/>
          <w:sz w:val="21"/>
          <w:szCs w:val="21"/>
          <w:highlight w:val="none"/>
        </w:rPr>
      </w:pPr>
      <w:r>
        <w:rPr>
          <w:rFonts w:hint="eastAsia" w:ascii="宋体" w:hAnsi="宋体" w:cs="宋体"/>
          <w:color w:val="auto"/>
          <w:sz w:val="21"/>
          <w:szCs w:val="21"/>
          <w:highlight w:val="none"/>
        </w:rPr>
        <w:t>甲方：</w:t>
      </w:r>
      <w:r>
        <w:rPr>
          <w:rFonts w:hint="eastAsia" w:ascii="宋体" w:hAnsi="宋体" w:cs="宋体"/>
          <w:bCs/>
          <w:color w:val="auto"/>
          <w:sz w:val="21"/>
          <w:szCs w:val="21"/>
          <w:highlight w:val="none"/>
          <w:u w:val="thick"/>
        </w:rPr>
        <w:t>XXXXXXXXXX</w:t>
      </w:r>
      <w:r>
        <w:rPr>
          <w:rFonts w:hint="eastAsia" w:ascii="宋体" w:hAnsi="宋体" w:cs="宋体"/>
          <w:b/>
          <w:color w:val="auto"/>
          <w:sz w:val="21"/>
          <w:szCs w:val="21"/>
          <w:highlight w:val="none"/>
        </w:rPr>
        <w:t>（电力用户）</w:t>
      </w:r>
    </w:p>
    <w:p w14:paraId="07CE7EC1">
      <w:pPr>
        <w:spacing w:line="520" w:lineRule="exact"/>
        <w:rPr>
          <w:rFonts w:ascii="宋体" w:hAnsi="宋体" w:cs="宋体"/>
          <w:b/>
          <w:color w:val="auto"/>
          <w:sz w:val="21"/>
          <w:szCs w:val="21"/>
          <w:highlight w:val="none"/>
        </w:rPr>
      </w:pPr>
      <w:r>
        <w:rPr>
          <w:rFonts w:hint="eastAsia" w:ascii="宋体" w:hAnsi="宋体" w:cs="宋体"/>
          <w:color w:val="auto"/>
          <w:sz w:val="21"/>
          <w:szCs w:val="21"/>
          <w:highlight w:val="none"/>
        </w:rPr>
        <w:t>乙方：</w:t>
      </w:r>
      <w:r>
        <w:rPr>
          <w:rFonts w:hint="eastAsia" w:ascii="宋体" w:hAnsi="宋体" w:cs="宋体"/>
          <w:bCs/>
          <w:color w:val="auto"/>
          <w:sz w:val="21"/>
          <w:szCs w:val="21"/>
          <w:highlight w:val="none"/>
          <w:u w:val="thick"/>
        </w:rPr>
        <w:t>XXXXXXXXXX</w:t>
      </w:r>
      <w:r>
        <w:rPr>
          <w:rFonts w:hint="eastAsia" w:ascii="宋体" w:hAnsi="宋体" w:cs="宋体"/>
          <w:b/>
          <w:color w:val="auto"/>
          <w:sz w:val="21"/>
          <w:szCs w:val="21"/>
          <w:highlight w:val="none"/>
        </w:rPr>
        <w:t>（售电公司）</w:t>
      </w:r>
    </w:p>
    <w:p w14:paraId="17E15854">
      <w:pPr>
        <w:spacing w:line="520" w:lineRule="exact"/>
        <w:ind w:firstLine="420" w:firstLineChars="200"/>
        <w:rPr>
          <w:rFonts w:ascii="宋体" w:hAnsi="宋体" w:cs="宋体"/>
          <w:color w:val="auto"/>
          <w:sz w:val="21"/>
          <w:szCs w:val="21"/>
          <w:highlight w:val="none"/>
        </w:rPr>
      </w:pPr>
    </w:p>
    <w:p w14:paraId="3B065A6B">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甲、乙双方本着平等、自愿、公平和诚信的原则及根据《中华人民共和国民法典》和广东省能源局、国家能源局南方监管局关于2025年电力市场交易有关事项的通知文件和东莞市水务集团有限公司2025年直购电采购项目的采购结果，达成以下条款。</w:t>
      </w:r>
    </w:p>
    <w:p w14:paraId="7DC794C8">
      <w:pPr>
        <w:spacing w:line="520" w:lineRule="exact"/>
        <w:ind w:firstLine="211" w:firstLineChars="100"/>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一、服务内容</w:t>
      </w:r>
    </w:p>
    <w:p w14:paraId="6CA3BBA8">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1、具体项目服务内容详见本合同附件1：《东莞市水务集团有限公司2025年直购电采购项目用户需求书》。</w:t>
      </w:r>
    </w:p>
    <w:p w14:paraId="606317BC">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2、服务期限：2025年1月1日至2025年12月31日。</w:t>
      </w:r>
    </w:p>
    <w:p w14:paraId="5492834D">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3、服务费用：甲方除向电网经营企业缴交用电电费外，无需向乙方支付任何形式的服务费、佣金或任何其他费用。</w:t>
      </w:r>
    </w:p>
    <w:p w14:paraId="13C4126B">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4、甲方</w:t>
      </w:r>
      <w:r>
        <w:rPr>
          <w:rFonts w:hint="eastAsia" w:ascii="宋体" w:hAnsi="宋体" w:cs="宋体"/>
          <w:bCs/>
          <w:color w:val="auto"/>
          <w:sz w:val="21"/>
          <w:szCs w:val="21"/>
          <w:highlight w:val="none"/>
        </w:rPr>
        <w:t>办理直购电交易资格的方式：乙方应代理甲方参与广东电力交易中心零售市场交易；对于甲方新增注册市场化用户的需求，乙方应无偿提供技术支持服务并协助甲方办理市场注册，并确保甲方新增的市场化用户取得广东电力交易中心零售市场交易资格</w:t>
      </w:r>
      <w:r>
        <w:rPr>
          <w:rFonts w:hint="eastAsia" w:ascii="宋体" w:hAnsi="宋体" w:cs="宋体"/>
          <w:color w:val="auto"/>
          <w:sz w:val="21"/>
          <w:szCs w:val="21"/>
          <w:highlight w:val="none"/>
        </w:rPr>
        <w:t>。</w:t>
      </w:r>
    </w:p>
    <w:p w14:paraId="6403467F">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5、直购电交易模式：</w:t>
      </w:r>
    </w:p>
    <w:p w14:paraId="6CB455BE">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乙方代理甲方按照“固定价格+联动价格+浮动费用”的模式参与交易，其中：①甲方实际用电量的80%采用“2025年度零售交易全市场用户‘固定价格’模式部分的签约均价-中标下浮单价（XXX.XX厘/千瓦时）”与“甲方先行设定的封顶价格403.67厘/千瓦时”二者间的较低值；②甲方实际用电量的20%采用日前市场月度综合价（含批发市场分摊费用）；③浮动费用为0，即不计收浮动费用。</w:t>
      </w:r>
    </w:p>
    <w:p w14:paraId="5D4A5188">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6、交易电量的确定方式：</w:t>
      </w:r>
    </w:p>
    <w:p w14:paraId="0726C3D3">
      <w:pPr>
        <w:pStyle w:val="619"/>
        <w:spacing w:line="520" w:lineRule="exact"/>
        <w:ind w:firstLine="420"/>
        <w:jc w:val="both"/>
        <w:rPr>
          <w:rFonts w:ascii="宋体" w:hAnsi="宋体" w:cs="宋体"/>
          <w:color w:val="auto"/>
          <w:sz w:val="21"/>
          <w:szCs w:val="21"/>
          <w:highlight w:val="none"/>
        </w:rPr>
      </w:pPr>
      <w:r>
        <w:rPr>
          <w:rFonts w:hint="eastAsia" w:ascii="宋体" w:hAnsi="宋体" w:cs="宋体"/>
          <w:color w:val="auto"/>
          <w:sz w:val="21"/>
          <w:szCs w:val="21"/>
          <w:highlight w:val="none"/>
          <w:lang w:val="en-US"/>
        </w:rPr>
        <w:t>（1）甲方现有“</w:t>
      </w:r>
      <w:r>
        <w:rPr>
          <w:rFonts w:hint="eastAsia" w:ascii="宋体" w:hAnsi="宋体" w:cs="宋体"/>
          <w:bCs/>
          <w:color w:val="auto"/>
          <w:sz w:val="21"/>
          <w:szCs w:val="21"/>
          <w:highlight w:val="none"/>
          <w:u w:val="thick"/>
          <w:lang w:val="en-US"/>
        </w:rPr>
        <w:t>XXXXXXXXXX</w:t>
      </w:r>
      <w:r>
        <w:rPr>
          <w:rFonts w:hint="eastAsia" w:ascii="宋体" w:hAnsi="宋体" w:cs="宋体"/>
          <w:bCs/>
          <w:color w:val="auto"/>
          <w:sz w:val="21"/>
          <w:szCs w:val="21"/>
          <w:highlight w:val="none"/>
          <w:lang w:val="en-US"/>
        </w:rPr>
        <w:t>”市场用户（即线上及线下零售合同签订主体）</w:t>
      </w:r>
      <w:r>
        <w:rPr>
          <w:rFonts w:hint="eastAsia" w:ascii="宋体" w:hAnsi="宋体" w:cs="宋体"/>
          <w:color w:val="auto"/>
          <w:sz w:val="21"/>
          <w:szCs w:val="21"/>
          <w:highlight w:val="none"/>
          <w:lang w:val="en-US"/>
        </w:rPr>
        <w:t>，</w:t>
      </w:r>
      <w:r>
        <w:rPr>
          <w:rFonts w:hint="eastAsia" w:ascii="宋体" w:hAnsi="宋体" w:cs="宋体"/>
          <w:bCs/>
          <w:color w:val="auto"/>
          <w:sz w:val="21"/>
          <w:szCs w:val="21"/>
          <w:highlight w:val="none"/>
          <w:lang w:val="en-US"/>
        </w:rPr>
        <w:t>共计</w:t>
      </w:r>
      <w:r>
        <w:rPr>
          <w:rFonts w:hint="eastAsia" w:ascii="宋体" w:hAnsi="宋体" w:cs="宋体"/>
          <w:bCs/>
          <w:color w:val="auto"/>
          <w:sz w:val="21"/>
          <w:szCs w:val="21"/>
          <w:highlight w:val="none"/>
          <w:u w:val="thick"/>
          <w:lang w:val="en-US"/>
        </w:rPr>
        <w:t>XXX</w:t>
      </w:r>
      <w:r>
        <w:rPr>
          <w:rFonts w:hint="eastAsia" w:ascii="宋体" w:hAnsi="宋体" w:cs="宋体"/>
          <w:bCs/>
          <w:color w:val="auto"/>
          <w:sz w:val="21"/>
          <w:szCs w:val="21"/>
          <w:highlight w:val="none"/>
          <w:lang w:val="en-US"/>
        </w:rPr>
        <w:t>个结算户（以实际为准），</w:t>
      </w:r>
      <w:r>
        <w:rPr>
          <w:rFonts w:hint="eastAsia" w:ascii="宋体" w:hAnsi="宋体" w:cs="宋体"/>
          <w:color w:val="auto"/>
          <w:sz w:val="21"/>
          <w:szCs w:val="21"/>
          <w:highlight w:val="none"/>
          <w:lang w:val="en-US"/>
        </w:rPr>
        <w:t>预计2025年总用电量约为</w:t>
      </w:r>
      <w:r>
        <w:rPr>
          <w:rFonts w:hint="eastAsia" w:ascii="宋体" w:hAnsi="宋体" w:cs="宋体"/>
          <w:bCs/>
          <w:color w:val="auto"/>
          <w:sz w:val="21"/>
          <w:szCs w:val="21"/>
          <w:highlight w:val="none"/>
          <w:u w:val="thick"/>
          <w:lang w:val="en-US"/>
        </w:rPr>
        <w:t>XXX</w:t>
      </w:r>
      <w:r>
        <w:rPr>
          <w:rFonts w:hint="eastAsia" w:ascii="宋体" w:hAnsi="宋体" w:cs="宋体"/>
          <w:color w:val="auto"/>
          <w:sz w:val="21"/>
          <w:szCs w:val="21"/>
          <w:highlight w:val="none"/>
          <w:lang w:val="en-US"/>
        </w:rPr>
        <w:t>亿千瓦时</w:t>
      </w:r>
      <w:r>
        <w:rPr>
          <w:rFonts w:hint="eastAsia" w:ascii="宋体" w:hAnsi="宋体" w:cs="宋体"/>
          <w:bCs/>
          <w:color w:val="auto"/>
          <w:sz w:val="21"/>
          <w:szCs w:val="21"/>
          <w:highlight w:val="none"/>
          <w:lang w:val="en-US"/>
        </w:rPr>
        <w:t>（以实际为准）</w:t>
      </w:r>
      <w:r>
        <w:rPr>
          <w:rFonts w:hint="eastAsia" w:ascii="宋体" w:hAnsi="宋体" w:cs="宋体"/>
          <w:bCs/>
          <w:color w:val="auto"/>
          <w:sz w:val="21"/>
          <w:szCs w:val="21"/>
          <w:highlight w:val="none"/>
        </w:rPr>
        <w:t>；</w:t>
      </w:r>
      <w:r>
        <w:rPr>
          <w:rFonts w:hint="eastAsia" w:ascii="宋体" w:hAnsi="宋体" w:cs="宋体"/>
          <w:color w:val="auto"/>
          <w:sz w:val="21"/>
          <w:szCs w:val="21"/>
          <w:highlight w:val="none"/>
          <w:lang w:val="en-US"/>
        </w:rPr>
        <w:t>此外</w:t>
      </w:r>
      <w:r>
        <w:rPr>
          <w:rFonts w:hint="eastAsia" w:ascii="宋体" w:hAnsi="宋体" w:cs="宋体"/>
          <w:bCs/>
          <w:color w:val="auto"/>
          <w:sz w:val="21"/>
          <w:szCs w:val="21"/>
          <w:highlight w:val="none"/>
        </w:rPr>
        <w:t>，合同期内，</w:t>
      </w:r>
      <w:r>
        <w:rPr>
          <w:rFonts w:hint="eastAsia" w:ascii="宋体" w:hAnsi="宋体" w:cs="宋体"/>
          <w:bCs/>
          <w:color w:val="auto"/>
          <w:sz w:val="21"/>
          <w:szCs w:val="21"/>
          <w:highlight w:val="none"/>
          <w:lang w:val="en-US"/>
        </w:rPr>
        <w:t>甲方</w:t>
      </w:r>
      <w:r>
        <w:rPr>
          <w:rFonts w:hint="eastAsia" w:ascii="宋体" w:hAnsi="宋体" w:cs="宋体"/>
          <w:bCs/>
          <w:color w:val="auto"/>
          <w:sz w:val="21"/>
          <w:szCs w:val="21"/>
          <w:highlight w:val="none"/>
        </w:rPr>
        <w:t>可根据自身新增用电户购电需求新增结算户，并将部分或全部新增结算户后续各月度的全部实际用电量纳入本项目的直购电量交易范围，</w:t>
      </w:r>
      <w:r>
        <w:rPr>
          <w:rFonts w:hint="eastAsia" w:ascii="宋体" w:hAnsi="宋体" w:cs="宋体"/>
          <w:bCs/>
          <w:color w:val="auto"/>
          <w:sz w:val="21"/>
          <w:szCs w:val="21"/>
          <w:highlight w:val="none"/>
          <w:lang w:val="en-US"/>
        </w:rPr>
        <w:t>乙方</w:t>
      </w:r>
      <w:r>
        <w:rPr>
          <w:rFonts w:hint="eastAsia" w:ascii="宋体" w:hAnsi="宋体" w:cs="宋体"/>
          <w:bCs/>
          <w:color w:val="auto"/>
          <w:sz w:val="21"/>
          <w:szCs w:val="21"/>
          <w:highlight w:val="none"/>
        </w:rPr>
        <w:t>应按</w:t>
      </w:r>
      <w:r>
        <w:rPr>
          <w:rFonts w:hint="eastAsia" w:ascii="宋体" w:hAnsi="宋体" w:cs="宋体"/>
          <w:bCs/>
          <w:color w:val="auto"/>
          <w:sz w:val="21"/>
          <w:szCs w:val="21"/>
          <w:highlight w:val="none"/>
          <w:lang w:val="en-US"/>
        </w:rPr>
        <w:t>本</w:t>
      </w:r>
      <w:r>
        <w:rPr>
          <w:rFonts w:hint="eastAsia" w:ascii="宋体" w:hAnsi="宋体" w:cs="宋体"/>
          <w:bCs/>
          <w:color w:val="auto"/>
          <w:sz w:val="21"/>
          <w:szCs w:val="21"/>
          <w:highlight w:val="none"/>
        </w:rPr>
        <w:t>合同约定的价格及结算方式履行合同，否则按违约处理，乙方除应按本合同相关约定承担责任外，甲方还有权选择单方解除合同，且乙方须向甲方一次性支付违约金</w:t>
      </w:r>
      <w:r>
        <w:rPr>
          <w:rFonts w:hint="eastAsia" w:ascii="宋体" w:hAnsi="宋体" w:cs="宋体"/>
          <w:color w:val="auto"/>
          <w:sz w:val="21"/>
          <w:szCs w:val="21"/>
          <w:highlight w:val="none"/>
          <w:lang w:val="en-US"/>
        </w:rPr>
        <w:t>人民币</w:t>
      </w:r>
      <w:r>
        <w:rPr>
          <w:rFonts w:hint="eastAsia" w:ascii="宋体" w:hAnsi="宋体" w:cs="宋体"/>
          <w:color w:val="auto"/>
          <w:sz w:val="21"/>
          <w:szCs w:val="21"/>
          <w:highlight w:val="none"/>
        </w:rPr>
        <w:t>¥300000.00元（大写：人民币叁拾万元整）</w:t>
      </w:r>
      <w:r>
        <w:rPr>
          <w:rFonts w:hint="eastAsia" w:ascii="宋体" w:hAnsi="宋体" w:cs="宋体"/>
          <w:bCs/>
          <w:color w:val="auto"/>
          <w:sz w:val="21"/>
          <w:szCs w:val="21"/>
          <w:highlight w:val="none"/>
        </w:rPr>
        <w:t>，且须赔偿由此给甲方造成的一切损失</w:t>
      </w:r>
      <w:r>
        <w:rPr>
          <w:rFonts w:hint="eastAsia" w:ascii="宋体" w:hAnsi="宋体" w:cs="宋体"/>
          <w:color w:val="auto"/>
          <w:sz w:val="21"/>
          <w:szCs w:val="21"/>
          <w:highlight w:val="none"/>
        </w:rPr>
        <w:t>。</w:t>
      </w:r>
    </w:p>
    <w:p w14:paraId="75331AF7">
      <w:pPr>
        <w:pStyle w:val="619"/>
        <w:spacing w:line="520" w:lineRule="exact"/>
        <w:ind w:firstLine="420"/>
        <w:jc w:val="both"/>
        <w:rPr>
          <w:rFonts w:ascii="宋体" w:hAnsi="宋体" w:cs="宋体"/>
          <w:color w:val="auto"/>
          <w:sz w:val="21"/>
          <w:szCs w:val="21"/>
          <w:highlight w:val="none"/>
        </w:rPr>
      </w:pPr>
      <w:r>
        <w:rPr>
          <w:rFonts w:hint="eastAsia" w:ascii="宋体" w:hAnsi="宋体" w:cs="宋体"/>
          <w:color w:val="auto"/>
          <w:sz w:val="21"/>
          <w:szCs w:val="21"/>
          <w:highlight w:val="none"/>
          <w:lang w:val="en-US"/>
        </w:rPr>
        <w:t>（2）</w:t>
      </w:r>
      <w:r>
        <w:rPr>
          <w:rFonts w:hint="eastAsia" w:ascii="宋体" w:hAnsi="宋体" w:cs="宋体"/>
          <w:color w:val="auto"/>
          <w:sz w:val="21"/>
          <w:szCs w:val="21"/>
          <w:highlight w:val="none"/>
        </w:rPr>
        <w:t>按照甲方当月实际用电量进行结算，实际用电量以广东电力交易中心发布的数据为准。</w:t>
      </w:r>
    </w:p>
    <w:p w14:paraId="449E611A">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7、线上合同签约方式：甲方现有“</w:t>
      </w:r>
      <w:r>
        <w:rPr>
          <w:rFonts w:hint="eastAsia" w:ascii="宋体" w:hAnsi="宋体" w:cs="宋体"/>
          <w:bCs/>
          <w:color w:val="auto"/>
          <w:sz w:val="21"/>
          <w:szCs w:val="21"/>
          <w:highlight w:val="none"/>
          <w:u w:val="thick"/>
        </w:rPr>
        <w:t>XXXXXXXXXX</w:t>
      </w:r>
      <w:r>
        <w:rPr>
          <w:rFonts w:hint="eastAsia" w:ascii="宋体" w:hAnsi="宋体" w:cs="宋体"/>
          <w:bCs/>
          <w:color w:val="auto"/>
          <w:sz w:val="21"/>
          <w:szCs w:val="21"/>
          <w:highlight w:val="none"/>
        </w:rPr>
        <w:t>”市场用户（即线上零售合同签订主体）</w:t>
      </w:r>
      <w:r>
        <w:rPr>
          <w:rFonts w:hint="eastAsia" w:ascii="宋体" w:hAnsi="宋体" w:cs="宋体"/>
          <w:color w:val="auto"/>
          <w:sz w:val="21"/>
          <w:szCs w:val="21"/>
          <w:highlight w:val="none"/>
        </w:rPr>
        <w:t>，因此乙方应按甲方的“</w:t>
      </w:r>
      <w:r>
        <w:rPr>
          <w:rFonts w:hint="eastAsia" w:ascii="宋体" w:hAnsi="宋体" w:cs="宋体"/>
          <w:bCs/>
          <w:color w:val="auto"/>
          <w:sz w:val="21"/>
          <w:szCs w:val="21"/>
          <w:highlight w:val="none"/>
          <w:u w:val="thick"/>
        </w:rPr>
        <w:t>XXXXXXXXXX</w:t>
      </w:r>
      <w:r>
        <w:rPr>
          <w:rFonts w:hint="eastAsia" w:ascii="宋体" w:hAnsi="宋体" w:cs="宋体"/>
          <w:color w:val="auto"/>
          <w:sz w:val="21"/>
          <w:szCs w:val="21"/>
          <w:highlight w:val="none"/>
        </w:rPr>
        <w:t>”签订主体与甲方在广东电力交易中心平台签订独立的线上零售合同。具体线上合同签订要求，须遵循广东电力交易中心关于印发广东电力市场售电公司与电力用户零售交易合同(范本)相关通知的要求。</w:t>
      </w:r>
    </w:p>
    <w:p w14:paraId="0B000787">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8、</w:t>
      </w:r>
      <w:r>
        <w:rPr>
          <w:rFonts w:hint="eastAsia" w:ascii="宋体" w:hAnsi="宋体" w:cs="宋体"/>
          <w:bCs/>
          <w:color w:val="auto"/>
          <w:sz w:val="21"/>
          <w:szCs w:val="21"/>
          <w:highlight w:val="none"/>
        </w:rPr>
        <w:t>合同服务期内，甲方可根据自身需求将符合变更条件的结算户由全平段电价变更至执行峰谷分时电价（或由执行峰谷分时电价变更至全平段电价），乙方应无偿提供技术支持服务并协助甲方办理变更；相关结算户变更后，乙方应正常履行合同，确保甲方全部实际用电量按合同约定参与直购电量交易，变更后的电费计算方式应按广东省能源局、国家能源局南方监管局关于2025年电力市场交易有关事项的通知或其它政策文件中关于峰谷电价的计费方式执行，否则按违约处理，乙方除应按本合同相关约定承担责任外，甲方还有权选择单方解除合同，且乙方须向甲方一次性支付违约金</w:t>
      </w:r>
      <w:r>
        <w:rPr>
          <w:rFonts w:hint="eastAsia" w:ascii="宋体" w:hAnsi="宋体" w:cs="宋体"/>
          <w:color w:val="auto"/>
          <w:sz w:val="21"/>
          <w:szCs w:val="21"/>
          <w:highlight w:val="none"/>
        </w:rPr>
        <w:t>人民币¥300000.00元（大写：人民币叁拾万元整）</w:t>
      </w:r>
      <w:r>
        <w:rPr>
          <w:rFonts w:hint="eastAsia" w:ascii="宋体" w:hAnsi="宋体" w:cs="宋体"/>
          <w:bCs/>
          <w:color w:val="auto"/>
          <w:sz w:val="21"/>
          <w:szCs w:val="21"/>
          <w:highlight w:val="none"/>
        </w:rPr>
        <w:t>，且须赔偿由此给甲方造成的一切损失。</w:t>
      </w:r>
    </w:p>
    <w:p w14:paraId="1B2D7ACC">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9、目前广东省正进行售电侧试点改革，部分政策和交易规则会有所调整，以上服务与广东省政策有偏差的，按照广东省政策执行，如政策调整后严重影响到任何一方利益，双方应本着诚实、互惠互利的原则再次协商合作方式。</w:t>
      </w:r>
    </w:p>
    <w:p w14:paraId="3ACC92CA">
      <w:pPr>
        <w:spacing w:line="520" w:lineRule="exact"/>
        <w:ind w:firstLine="211" w:firstLineChars="100"/>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二、双方的责任和义务</w:t>
      </w:r>
    </w:p>
    <w:p w14:paraId="55282F71">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（一）甲方的责任和义务</w:t>
      </w:r>
    </w:p>
    <w:p w14:paraId="01B0D6A6">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1、甲方有权查阅与本合同有关的交易数据，在乙方的协助下全面熟悉售电交易流程及规则。</w:t>
      </w:r>
    </w:p>
    <w:p w14:paraId="7827548D">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2、本合同签订后，除出现法定情形、乙方违约等约定情形或双方协商一致、本合同依法解除的情况外，甲方在本合同约定交易周期内，不得与其他市场主体再次签订本合同约定电量的交易合同。</w:t>
      </w:r>
    </w:p>
    <w:p w14:paraId="17E3928C">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3、未经双方书面同意或出现法定情形外，不得泄露本合同内容。</w:t>
      </w:r>
    </w:p>
    <w:p w14:paraId="1079CFDE">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（二）乙方的责任和义务</w:t>
      </w:r>
    </w:p>
    <w:p w14:paraId="2C28244F">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1、乙方应尽最大努力协助甲方购买安全、可靠、廉价的电能。</w:t>
      </w:r>
    </w:p>
    <w:p w14:paraId="1B05A811">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2、乙方应及时向广东省交易中心递交当月甲方意向电量的材料，并完成电量申报。</w:t>
      </w:r>
    </w:p>
    <w:p w14:paraId="430D64F3">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乙方代理甲方进行交易前，甲方有权要求乙方将当期拟交易价格、交易电量和报价方式等交易信息通报给甲方知晓。乙方应在收到甲方发出的书面通知之日起三个工作日内，向甲方提供该通知中所要求的全部交易信息内容。</w:t>
      </w:r>
    </w:p>
    <w:p w14:paraId="73E690C5">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4、乙方应协助甲方全面熟悉售电交易流程及规则，交易完成后，甲方有权要求乙方将相关交易及结算信息提交给甲方留存。乙方应在收到甲方发出的书面通知之日起三个工作日内，向甲方提供该通知中所要求的全部交易信息内容。</w:t>
      </w:r>
    </w:p>
    <w:p w14:paraId="6F4CD53E">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5、在合同服务期内，乙方应向甲方免费提供售电信息咨询服务。乙方应当及时响应，于两个工作日内予以答复。</w:t>
      </w:r>
    </w:p>
    <w:p w14:paraId="719D9924">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6、未经双方书面同意或出现法定情形外，不得泄露本合同内容。</w:t>
      </w:r>
    </w:p>
    <w:p w14:paraId="4608F064">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7、</w:t>
      </w:r>
      <w:r>
        <w:rPr>
          <w:rFonts w:hint="eastAsia" w:ascii="宋体" w:hAnsi="宋体" w:cs="宋体"/>
          <w:bCs/>
          <w:color w:val="auto"/>
          <w:sz w:val="21"/>
          <w:szCs w:val="21"/>
          <w:highlight w:val="none"/>
        </w:rPr>
        <w:t>合同到期后，甲方根据自身情况，可要求乙方继续按合同规定的双方责任和义务、价格及结算方式以及履约担保方式继续服务不多于三个月整，乙方不得拒绝和变更合同内容，否则按违约处理。</w:t>
      </w:r>
    </w:p>
    <w:p w14:paraId="5FFAFEF9">
      <w:pPr>
        <w:spacing w:line="520" w:lineRule="exact"/>
        <w:ind w:firstLine="422" w:firstLineChars="200"/>
        <w:jc w:val="both"/>
        <w:rPr>
          <w:rFonts w:ascii="宋体" w:hAnsi="宋体" w:cs="宋体"/>
          <w:color w:val="auto"/>
          <w:sz w:val="21"/>
          <w:szCs w:val="21"/>
          <w:highlight w:val="none"/>
        </w:rPr>
      </w:pPr>
      <w:r>
        <w:rPr>
          <w:rFonts w:hint="eastAsia" w:ascii="宋体" w:hAnsi="宋体" w:cs="宋体"/>
          <w:b/>
          <w:bCs/>
          <w:color w:val="auto"/>
          <w:sz w:val="21"/>
          <w:szCs w:val="21"/>
          <w:highlight w:val="none"/>
        </w:rPr>
        <w:t>三、价格模式</w:t>
      </w:r>
    </w:p>
    <w:p w14:paraId="3B147DB5">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1、甲、乙双方同意按照“固定价格+联动价格+浮动费用”的价格模式执行合同，其中：①甲方实际用电量的80%按</w:t>
      </w:r>
      <w:r>
        <w:rPr>
          <w:rFonts w:hint="eastAsia" w:ascii="宋体" w:hAnsi="宋体" w:cs="宋体"/>
          <w:bCs/>
          <w:color w:val="auto"/>
          <w:sz w:val="21"/>
          <w:szCs w:val="21"/>
          <w:highlight w:val="none"/>
        </w:rPr>
        <w:t>“2025年度零售交易全市场用户‘固定价格’模式部分的签约均价</w:t>
      </w:r>
      <w:r>
        <w:rPr>
          <w:rFonts w:hint="eastAsia" w:ascii="宋体" w:hAnsi="宋体" w:cs="宋体"/>
          <w:color w:val="auto"/>
          <w:sz w:val="21"/>
          <w:szCs w:val="21"/>
          <w:highlight w:val="none"/>
        </w:rPr>
        <w:t>+下浮单价（</w:t>
      </w:r>
      <w:r>
        <w:rPr>
          <w:rFonts w:hint="eastAsia" w:ascii="宋体" w:hAnsi="宋体" w:cs="宋体"/>
          <w:bCs/>
          <w:color w:val="auto"/>
          <w:sz w:val="21"/>
          <w:szCs w:val="21"/>
          <w:highlight w:val="none"/>
        </w:rPr>
        <w:t>XXX.XX厘/千瓦时</w:t>
      </w:r>
      <w:r>
        <w:rPr>
          <w:rFonts w:hint="eastAsia" w:ascii="宋体" w:hAnsi="宋体" w:cs="宋体"/>
          <w:color w:val="auto"/>
          <w:sz w:val="21"/>
          <w:szCs w:val="21"/>
          <w:highlight w:val="none"/>
        </w:rPr>
        <w:t>）</w:t>
      </w:r>
      <w:r>
        <w:rPr>
          <w:rFonts w:hint="eastAsia" w:ascii="宋体" w:hAnsi="宋体" w:cs="宋体"/>
          <w:bCs/>
          <w:color w:val="auto"/>
          <w:sz w:val="21"/>
          <w:szCs w:val="21"/>
          <w:highlight w:val="none"/>
        </w:rPr>
        <w:t>”与“甲方先行设定的封顶价格403.67厘/千瓦时”二者间的较低值</w:t>
      </w:r>
      <w:r>
        <w:rPr>
          <w:rFonts w:hint="eastAsia" w:ascii="宋体" w:hAnsi="宋体" w:cs="宋体"/>
          <w:color w:val="auto"/>
          <w:sz w:val="21"/>
          <w:szCs w:val="21"/>
          <w:highlight w:val="none"/>
        </w:rPr>
        <w:t>结算；②甲方实际用电量的20%按</w:t>
      </w:r>
      <w:r>
        <w:rPr>
          <w:rFonts w:hint="eastAsia" w:ascii="宋体" w:hAnsi="宋体" w:cs="宋体"/>
          <w:bCs/>
          <w:color w:val="auto"/>
          <w:sz w:val="21"/>
          <w:szCs w:val="21"/>
          <w:highlight w:val="none"/>
        </w:rPr>
        <w:t>日前市场月度综合价</w:t>
      </w:r>
      <w:r>
        <w:rPr>
          <w:rFonts w:hint="eastAsia" w:ascii="宋体" w:hAnsi="宋体" w:cs="宋体"/>
          <w:color w:val="auto"/>
          <w:sz w:val="21"/>
          <w:szCs w:val="21"/>
          <w:highlight w:val="none"/>
        </w:rPr>
        <w:t>（含批发市场分摊费用）结算；③浮动费用为0，即不计收浮动费用。</w:t>
      </w:r>
    </w:p>
    <w:p w14:paraId="1C276E22">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其中“</w:t>
      </w:r>
      <w:r>
        <w:rPr>
          <w:rFonts w:hint="eastAsia" w:ascii="宋体" w:hAnsi="宋体" w:cs="宋体"/>
          <w:bCs/>
          <w:color w:val="auto"/>
          <w:sz w:val="21"/>
          <w:szCs w:val="21"/>
          <w:highlight w:val="none"/>
        </w:rPr>
        <w:t>日前市场月度综合价</w:t>
      </w:r>
      <w:r>
        <w:rPr>
          <w:rFonts w:hint="eastAsia" w:ascii="宋体" w:hAnsi="宋体" w:cs="宋体"/>
          <w:color w:val="auto"/>
          <w:sz w:val="21"/>
          <w:szCs w:val="21"/>
          <w:highlight w:val="none"/>
        </w:rPr>
        <w:t>”以广东电力交易中心每月公布数据为准。2025年电力交易手续费全部由乙方承担。甲方不承担申报电量偏差考核的一切后果。因偏差电量而产生的考核电费全部由乙方自行承担。</w:t>
      </w:r>
    </w:p>
    <w:p w14:paraId="2FB8DEFA">
      <w:pPr>
        <w:numPr>
          <w:ilvl w:val="0"/>
          <w:numId w:val="13"/>
        </w:num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东莞市水务集团有限公司2025年直购电采购项目用户需求书》中甲方2025年预计用电量及本合同约定的预计电量仅为甲方根据往年用电量的估算值，不作为甲方最终采购电量的保证，乙方不得因甲方实际采购电量的减少或增加而要求甲方提供任何形式的补偿或赔偿。</w:t>
      </w:r>
    </w:p>
    <w:p w14:paraId="624EE161">
      <w:pPr>
        <w:numPr>
          <w:ilvl w:val="0"/>
          <w:numId w:val="13"/>
        </w:numPr>
        <w:spacing w:line="520" w:lineRule="exact"/>
        <w:ind w:firstLine="420" w:firstLineChars="200"/>
        <w:jc w:val="both"/>
        <w:rPr>
          <w:rFonts w:ascii="宋体" w:hAnsi="宋体" w:cs="宋体"/>
          <w:color w:val="auto"/>
          <w:sz w:val="21"/>
          <w:szCs w:val="21"/>
          <w:highlight w:val="none"/>
        </w:rPr>
      </w:pPr>
      <w:r>
        <w:rPr>
          <w:rFonts w:hint="eastAsia" w:ascii="宋体" w:hAnsi="宋体" w:cs="宋体"/>
          <w:bCs/>
          <w:color w:val="auto"/>
          <w:sz w:val="21"/>
          <w:szCs w:val="21"/>
          <w:highlight w:val="none"/>
        </w:rPr>
        <w:t>合同服务期内，甲方可根据自身新增用电户购电需求新增结算户，并将部分或全部新增结算户后续各月度的全部实际用电量纳入本项目的直购电量交易范围，乙方应按本合同约定的价格及结算方式履行合同，否则按违约处理</w:t>
      </w:r>
      <w:r>
        <w:rPr>
          <w:rFonts w:hint="eastAsia" w:ascii="宋体" w:hAnsi="宋体" w:cs="宋体"/>
          <w:color w:val="auto"/>
          <w:sz w:val="21"/>
          <w:szCs w:val="21"/>
          <w:highlight w:val="none"/>
        </w:rPr>
        <w:t>，乙方须向甲方一次性支付违约金人民币¥300000.00元（大写：人民币叁拾万元整），且须赔偿由此给甲方造成的一切损失。损失包括甲方按正常交易所应获收益及无法参与交易所产生的电量偏差考核金额。</w:t>
      </w:r>
    </w:p>
    <w:p w14:paraId="072927CC">
      <w:pPr>
        <w:spacing w:line="520" w:lineRule="exact"/>
        <w:ind w:firstLine="422" w:firstLineChars="200"/>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四、结算</w:t>
      </w:r>
    </w:p>
    <w:p w14:paraId="50E8839E">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每月实际交易电量以乙方电力计量装置采集并推送至广东电力交易中心发布的实际用电量为准，甲方的电费结算方式为月度结算。电能计量装置的安装位置及其各项技术要求（含校验、异常处理等），均按甲方与电网经营企业签订的《供用电合同》执行。</w:t>
      </w:r>
    </w:p>
    <w:p w14:paraId="030E1B52">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按照甲方与电网经营企业所签署的《供用电合同》，甲方原有向电网经营企业缴交用电电费、计费方式以及结算流程均保持不变。甲方除向电网经营企业缴交用电电费外，不向乙方支付任何费用。甲方和乙方双方按照成交结果在交易系统中进行申报、确认，广东电力交易中心以双方在交易系统中申报、确认的模式和数据进行结算。</w:t>
      </w:r>
    </w:p>
    <w:p w14:paraId="4F3AC0E0">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3、甲方每月按照“固定价格+联动价格+浮动费用”模式支付电能量电费。当月交易次月结算或后续月份结算，具体结算时间和方式以广东电力交易中心最新通知为准。</w:t>
      </w:r>
    </w:p>
    <w:p w14:paraId="1C06320A">
      <w:pPr>
        <w:spacing w:line="520" w:lineRule="exact"/>
        <w:ind w:firstLine="422" w:firstLineChars="200"/>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五、合同变更</w:t>
      </w:r>
    </w:p>
    <w:p w14:paraId="34BA59E3">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因国家法律、法规发生变化或者政府有关部门、监管机构及其出台有关规定、规则，导致双方不能正常履行本合同时，双方应提前终止本合同并另行签订新合同。本合同的任何修改、补充、变更或另行签订新合同必须以书面的形式进行，双方法定代表人或授权代理人签字并加盖公司公章后方为有效。</w:t>
      </w:r>
    </w:p>
    <w:p w14:paraId="6C173267">
      <w:pPr>
        <w:spacing w:line="520" w:lineRule="exact"/>
        <w:ind w:firstLine="422" w:firstLineChars="200"/>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六、违约责任</w:t>
      </w:r>
    </w:p>
    <w:p w14:paraId="50F58A8F">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甲乙双方对因签署和履行本合同而获得的各项有关的信息，负有严格的保密义务，未经一方书面同意或出现法定情形，另一方不得擅自使用或向第三方泄露该资料和文件的全部或部分内容。如因违反保密义务给对方造成损失的，违约方因此所取得的全部收益或利益均将归守约方，且应赔偿守约方的全部实际损失，包括但不限于可预期收益的损失、律师费、诉讼费、担保费、鉴定费等。</w:t>
      </w:r>
    </w:p>
    <w:p w14:paraId="76D17493">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本合同签订后，甲方与电网企业签订的《供用电合同》继续有效；当《供用电合同》等其他合同约定的内容与本合同不一致时，应以《供用电合同》约定优先执行；若仍存在其他纠纷的，协商不成的按程序报广东电力市场管理委员会、法院协调。</w:t>
      </w:r>
    </w:p>
    <w:p w14:paraId="5C72296E">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未征得甲方书面同意，乙方不得将其在本合同项下的权利和义务转让予第三方，及不得委托第三方处理。若乙方违反本条款，甲方有权提前解除本合同，乙方须向甲方一次性支付违约金人民币¥300000.00元（大写：人民币叁拾万元整），且须赔偿由此给甲方造成的损失，损失包括甲方按正常交易所应获收益及无法参与交易所产生的电量偏差考核金额。</w:t>
      </w:r>
    </w:p>
    <w:p w14:paraId="22AC4EE2">
      <w:pPr>
        <w:pStyle w:val="619"/>
        <w:spacing w:line="520" w:lineRule="exact"/>
        <w:ind w:firstLine="420"/>
        <w:jc w:val="both"/>
        <w:rPr>
          <w:rFonts w:ascii="宋体" w:hAnsi="宋体" w:cs="宋体"/>
          <w:color w:val="auto"/>
          <w:sz w:val="21"/>
          <w:szCs w:val="21"/>
          <w:highlight w:val="none"/>
          <w:lang w:val="en-US"/>
        </w:rPr>
      </w:pPr>
      <w:r>
        <w:rPr>
          <w:rFonts w:hint="eastAsia" w:ascii="宋体" w:hAnsi="宋体" w:cs="宋体"/>
          <w:color w:val="auto"/>
          <w:sz w:val="21"/>
          <w:szCs w:val="21"/>
          <w:highlight w:val="none"/>
          <w:lang w:val="en-US"/>
        </w:rPr>
        <w:t>4、如因乙方原因，引发法律纠纷案件，并导致甲方被牵涉其中，成为需承担法律责任的诉讼参与方（无论是作为第三人或被告），或因法律纠纷对甲方造成社会负面影响的，则上述情形将被视为乙方违约，甲方即有权要求乙方</w:t>
      </w:r>
      <w:r>
        <w:rPr>
          <w:rFonts w:hint="eastAsia" w:ascii="宋体" w:hAnsi="宋体" w:cs="宋体"/>
          <w:color w:val="auto"/>
          <w:sz w:val="21"/>
          <w:szCs w:val="21"/>
          <w:highlight w:val="none"/>
        </w:rPr>
        <w:t>向甲方一次性支付违约金</w:t>
      </w:r>
      <w:r>
        <w:rPr>
          <w:rFonts w:hint="eastAsia" w:ascii="宋体" w:hAnsi="宋体" w:cs="宋体"/>
          <w:color w:val="auto"/>
          <w:sz w:val="21"/>
          <w:szCs w:val="21"/>
          <w:highlight w:val="none"/>
          <w:lang w:val="en-US"/>
        </w:rPr>
        <w:t>人民币</w:t>
      </w:r>
      <w:r>
        <w:rPr>
          <w:rFonts w:hint="eastAsia" w:ascii="宋体" w:hAnsi="宋体" w:cs="宋体"/>
          <w:color w:val="auto"/>
          <w:sz w:val="21"/>
          <w:szCs w:val="21"/>
          <w:highlight w:val="none"/>
        </w:rPr>
        <w:t>¥300000.00元（大写：人民币叁拾万元整）</w:t>
      </w:r>
      <w:r>
        <w:rPr>
          <w:rFonts w:hint="eastAsia" w:ascii="宋体" w:hAnsi="宋体" w:cs="宋体"/>
          <w:color w:val="auto"/>
          <w:sz w:val="21"/>
          <w:szCs w:val="21"/>
          <w:highlight w:val="none"/>
          <w:lang w:val="en-US"/>
        </w:rPr>
        <w:t>；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75AF97C">
      <w:pPr>
        <w:widowControl/>
        <w:spacing w:before="9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5、如因乙方自身过错导致未能履行合同约定的购电服务的，则视为乙方违约，甲方有权单方面解除合同或按本合同约定终止合同。乙方应按本合同约定的交易电量未完成部分*50厘/千瓦时的违约金赔偿甲方损失，乙方应在收到甲方合同解除或终止通知书之日起七个工作日内向甲方支付此违约赔偿金。</w:t>
      </w:r>
    </w:p>
    <w:p w14:paraId="0821EB88">
      <w:pPr>
        <w:spacing w:line="520" w:lineRule="exact"/>
        <w:ind w:firstLine="422" w:firstLineChars="200"/>
        <w:jc w:val="both"/>
        <w:rPr>
          <w:rFonts w:ascii="宋体" w:hAnsi="宋体" w:cs="宋体"/>
          <w:b/>
          <w:bCs/>
          <w:color w:val="auto"/>
          <w:sz w:val="21"/>
          <w:szCs w:val="21"/>
          <w:highlight w:val="none"/>
        </w:rPr>
      </w:pPr>
      <w:r>
        <w:rPr>
          <w:rFonts w:hint="eastAsia" w:ascii="宋体" w:hAnsi="宋体" w:cs="宋体"/>
          <w:b/>
          <w:bCs/>
          <w:snapToGrid w:val="0"/>
          <w:color w:val="auto"/>
          <w:sz w:val="21"/>
          <w:szCs w:val="21"/>
          <w:highlight w:val="none"/>
        </w:rPr>
        <w:t>七、不可抗力</w:t>
      </w:r>
    </w:p>
    <w:p w14:paraId="18557FF3">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1、不可抗力是发生合同当事人无法预见、无法预防、无法避免和无法控制的事件，以致不能履行或不能如期履行</w:t>
      </w:r>
      <w:r>
        <w:rPr>
          <w:rFonts w:hint="eastAsia" w:ascii="宋体" w:hAnsi="宋体" w:cs="宋体"/>
          <w:color w:val="auto"/>
          <w:sz w:val="21"/>
          <w:szCs w:val="21"/>
          <w:highlight w:val="none"/>
        </w:rPr>
        <w:t>本合同</w:t>
      </w:r>
      <w:r>
        <w:rPr>
          <w:rFonts w:hint="eastAsia" w:ascii="宋体" w:hAnsi="宋体" w:cs="宋体"/>
          <w:snapToGrid w:val="0"/>
          <w:color w:val="auto"/>
          <w:sz w:val="21"/>
          <w:szCs w:val="21"/>
          <w:highlight w:val="none"/>
        </w:rPr>
        <w:t>。不可抗力可以是自然灾害，如台风、洪水、地震等；可以是政府行为，如政策等。</w:t>
      </w:r>
    </w:p>
    <w:p w14:paraId="231A41F4">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2、若任何一方因不可抗力而不能履行</w:t>
      </w:r>
      <w:r>
        <w:rPr>
          <w:rFonts w:hint="eastAsia" w:ascii="宋体" w:hAnsi="宋体" w:cs="宋体"/>
          <w:color w:val="auto"/>
          <w:sz w:val="21"/>
          <w:szCs w:val="21"/>
          <w:highlight w:val="none"/>
        </w:rPr>
        <w:t>本合同</w:t>
      </w:r>
      <w:r>
        <w:rPr>
          <w:rFonts w:hint="eastAsia" w:ascii="宋体" w:hAnsi="宋体" w:cs="宋体"/>
          <w:snapToGrid w:val="0"/>
          <w:color w:val="auto"/>
          <w:sz w:val="21"/>
          <w:szCs w:val="21"/>
          <w:highlight w:val="none"/>
        </w:rPr>
        <w:t>，则该方应于五个自然日内书面通知另一方。该通知书应说明不可抗力的发生日期和预计持续的时间、事件性质、对该方履行</w:t>
      </w:r>
      <w:r>
        <w:rPr>
          <w:rFonts w:hint="eastAsia" w:ascii="宋体" w:hAnsi="宋体" w:cs="宋体"/>
          <w:color w:val="auto"/>
          <w:sz w:val="21"/>
          <w:szCs w:val="21"/>
          <w:highlight w:val="none"/>
        </w:rPr>
        <w:t>本合同</w:t>
      </w:r>
      <w:r>
        <w:rPr>
          <w:rFonts w:hint="eastAsia" w:ascii="宋体" w:hAnsi="宋体" w:cs="宋体"/>
          <w:snapToGrid w:val="0"/>
          <w:color w:val="auto"/>
          <w:sz w:val="21"/>
          <w:szCs w:val="21"/>
          <w:highlight w:val="none"/>
        </w:rPr>
        <w:t>的影响及该方为减少不可抗力影响所采取的措施。</w:t>
      </w:r>
    </w:p>
    <w:p w14:paraId="4160FBB7">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3、如果自不可抗力发生后，双方不能就继续履行</w:t>
      </w:r>
      <w:r>
        <w:rPr>
          <w:rFonts w:hint="eastAsia" w:ascii="宋体" w:hAnsi="宋体" w:cs="宋体"/>
          <w:color w:val="auto"/>
          <w:sz w:val="21"/>
          <w:szCs w:val="21"/>
          <w:highlight w:val="none"/>
        </w:rPr>
        <w:t>本合同</w:t>
      </w:r>
      <w:r>
        <w:rPr>
          <w:rFonts w:hint="eastAsia" w:ascii="宋体" w:hAnsi="宋体" w:cs="宋体"/>
          <w:snapToGrid w:val="0"/>
          <w:color w:val="auto"/>
          <w:sz w:val="21"/>
          <w:szCs w:val="21"/>
          <w:highlight w:val="none"/>
        </w:rPr>
        <w:t>的条件或解除本合同达成一致意见，任何一方有权书面通知另一方解除</w:t>
      </w:r>
      <w:r>
        <w:rPr>
          <w:rFonts w:hint="eastAsia" w:ascii="宋体" w:hAnsi="宋体" w:cs="宋体"/>
          <w:color w:val="auto"/>
          <w:sz w:val="21"/>
          <w:szCs w:val="21"/>
          <w:highlight w:val="none"/>
        </w:rPr>
        <w:t>本合同</w:t>
      </w:r>
      <w:r>
        <w:rPr>
          <w:rFonts w:hint="eastAsia" w:ascii="宋体" w:hAnsi="宋体" w:cs="宋体"/>
          <w:snapToGrid w:val="0"/>
          <w:color w:val="auto"/>
          <w:sz w:val="21"/>
          <w:szCs w:val="21"/>
          <w:highlight w:val="none"/>
        </w:rPr>
        <w:t>。</w:t>
      </w:r>
    </w:p>
    <w:p w14:paraId="40A57FA9">
      <w:pPr>
        <w:spacing w:line="520" w:lineRule="exact"/>
        <w:ind w:firstLine="422" w:firstLineChars="200"/>
        <w:jc w:val="both"/>
        <w:rPr>
          <w:rFonts w:ascii="宋体" w:hAnsi="宋体" w:cs="宋体"/>
          <w:b/>
          <w:bCs/>
          <w:snapToGrid w:val="0"/>
          <w:color w:val="auto"/>
          <w:sz w:val="21"/>
          <w:szCs w:val="21"/>
          <w:highlight w:val="none"/>
        </w:rPr>
      </w:pPr>
      <w:r>
        <w:rPr>
          <w:rFonts w:hint="eastAsia" w:ascii="宋体" w:hAnsi="宋体" w:cs="宋体"/>
          <w:b/>
          <w:bCs/>
          <w:snapToGrid w:val="0"/>
          <w:color w:val="auto"/>
          <w:sz w:val="21"/>
          <w:szCs w:val="21"/>
          <w:highlight w:val="none"/>
        </w:rPr>
        <w:t>八、履约担保</w:t>
      </w:r>
    </w:p>
    <w:p w14:paraId="281F4A9E">
      <w:pPr>
        <w:snapToGrid w:val="0"/>
        <w:spacing w:before="120" w:beforeLines="50" w:after="120" w:afterLines="5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乙方应当根据招标文件的规定在签订本合同前向甲方提供履约担保，履约担保形式及金额由乙方从以下方式中任选一种：</w:t>
      </w:r>
    </w:p>
    <w:p w14:paraId="537E492B">
      <w:pPr>
        <w:snapToGrid w:val="0"/>
        <w:spacing w:before="120" w:beforeLines="50" w:after="120" w:afterLines="5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□履约保证金（银行转账形式）金额为人民币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2EC9D22F">
      <w:pPr>
        <w:snapToGrid w:val="0"/>
        <w:spacing w:before="120" w:beforeLines="50" w:after="120" w:afterLines="5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□不可撤销银行履约保函金额为人民币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F912D91">
      <w:pPr>
        <w:snapToGrid w:val="0"/>
        <w:spacing w:before="120" w:beforeLines="50" w:after="120" w:afterLines="50"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□担保公司履约担保书金额为人民币</w:t>
      </w:r>
      <w:r>
        <w:rPr>
          <w:rFonts w:hint="eastAsia" w:ascii="宋体" w:hAnsi="宋体" w:cs="宋体"/>
          <w:color w:val="auto"/>
          <w:sz w:val="21"/>
          <w:szCs w:val="21"/>
          <w:highlight w:val="none"/>
          <w:u w:val="single"/>
        </w:rPr>
        <w:t xml:space="preserve">      ；</w:t>
      </w:r>
    </w:p>
    <w:p w14:paraId="4F8DDB02">
      <w:pPr>
        <w:adjustRightInd/>
        <w:spacing w:line="360" w:lineRule="auto"/>
        <w:ind w:firstLine="424" w:firstLineChars="177"/>
        <w:rPr>
          <w:rFonts w:ascii="宋体" w:hAnsi="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rPr>
        <w:t xml:space="preserve">履约保证保险金额为人民币   </w:t>
      </w:r>
      <w:r>
        <w:rPr>
          <w:rFonts w:ascii="宋体" w:hAnsi="宋体"/>
          <w:color w:val="auto"/>
          <w:szCs w:val="21"/>
          <w:highlight w:val="none"/>
          <w:u w:val="single"/>
        </w:rPr>
        <w:t xml:space="preserve">   </w:t>
      </w:r>
      <w:r>
        <w:rPr>
          <w:rFonts w:hint="eastAsia" w:ascii="宋体" w:hAnsi="宋体" w:cs="宋体"/>
          <w:color w:val="auto"/>
          <w:sz w:val="21"/>
          <w:szCs w:val="21"/>
          <w:highlight w:val="none"/>
        </w:rPr>
        <w:t>。</w:t>
      </w:r>
    </w:p>
    <w:p w14:paraId="1017B292">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1、乙方应当根据采购文件的规定在签订本合同前向甲方提供履约担保，履约担保形式为</w:t>
      </w: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rPr>
        <w:t>，金额为人民币¥</w:t>
      </w:r>
      <w:r>
        <w:rPr>
          <w:rFonts w:hint="eastAsia" w:ascii="宋体" w:hAnsi="宋体" w:cs="宋体"/>
          <w:snapToGrid w:val="0"/>
          <w:color w:val="auto"/>
          <w:sz w:val="21"/>
          <w:szCs w:val="21"/>
          <w:highlight w:val="none"/>
          <w:u w:val="single"/>
        </w:rPr>
        <w:t>XXXXXX</w:t>
      </w:r>
      <w:r>
        <w:rPr>
          <w:rFonts w:hint="eastAsia" w:ascii="宋体" w:hAnsi="宋体" w:cs="宋体"/>
          <w:snapToGrid w:val="0"/>
          <w:color w:val="auto"/>
          <w:sz w:val="21"/>
          <w:szCs w:val="21"/>
          <w:highlight w:val="none"/>
        </w:rPr>
        <w:t>（大写：人民币</w:t>
      </w:r>
      <w:r>
        <w:rPr>
          <w:rFonts w:hint="eastAsia" w:ascii="宋体" w:hAnsi="宋体" w:cs="宋体"/>
          <w:snapToGrid w:val="0"/>
          <w:color w:val="auto"/>
          <w:sz w:val="21"/>
          <w:szCs w:val="21"/>
          <w:highlight w:val="none"/>
          <w:u w:val="single"/>
        </w:rPr>
        <w:t>XXXXXX</w:t>
      </w:r>
      <w:r>
        <w:rPr>
          <w:rFonts w:hint="eastAsia" w:ascii="宋体" w:hAnsi="宋体" w:cs="宋体"/>
          <w:snapToGrid w:val="0"/>
          <w:color w:val="auto"/>
          <w:sz w:val="21"/>
          <w:szCs w:val="21"/>
          <w:highlight w:val="none"/>
        </w:rPr>
        <w:t>元整）。</w:t>
      </w:r>
    </w:p>
    <w:p w14:paraId="782A5284">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2、履约担保用于补偿甲方因乙方不能履行或不能完全履行其</w:t>
      </w:r>
      <w:r>
        <w:rPr>
          <w:rFonts w:hint="eastAsia" w:ascii="宋体" w:hAnsi="宋体" w:cs="宋体"/>
          <w:color w:val="auto"/>
          <w:sz w:val="21"/>
          <w:szCs w:val="21"/>
          <w:highlight w:val="none"/>
        </w:rPr>
        <w:t>本合同</w:t>
      </w:r>
      <w:r>
        <w:rPr>
          <w:rFonts w:hint="eastAsia" w:ascii="宋体" w:hAnsi="宋体" w:cs="宋体"/>
          <w:snapToGrid w:val="0"/>
          <w:color w:val="auto"/>
          <w:sz w:val="21"/>
          <w:szCs w:val="21"/>
          <w:highlight w:val="none"/>
        </w:rPr>
        <w:t>义务及其他约定的事项而蒙受的损失，如发生下列任一情况时，甲方除有权依</w:t>
      </w:r>
      <w:r>
        <w:rPr>
          <w:rFonts w:hint="eastAsia" w:ascii="宋体" w:hAnsi="宋体" w:cs="宋体"/>
          <w:color w:val="auto"/>
          <w:sz w:val="21"/>
          <w:szCs w:val="21"/>
          <w:highlight w:val="none"/>
        </w:rPr>
        <w:t>本合同</w:t>
      </w:r>
      <w:r>
        <w:rPr>
          <w:rFonts w:hint="eastAsia" w:ascii="宋体" w:hAnsi="宋体" w:cs="宋体"/>
          <w:snapToGrid w:val="0"/>
          <w:color w:val="auto"/>
          <w:sz w:val="21"/>
          <w:szCs w:val="21"/>
          <w:highlight w:val="none"/>
        </w:rPr>
        <w:t>追究乙方违约责任外，还有权提取履约担保并进行相应处理：</w:t>
      </w:r>
    </w:p>
    <w:p w14:paraId="0AAC9D19">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（1）乙方未经甲方书面同意，将</w:t>
      </w:r>
      <w:r>
        <w:rPr>
          <w:rFonts w:hint="eastAsia" w:ascii="宋体" w:hAnsi="宋体" w:cs="宋体"/>
          <w:color w:val="auto"/>
          <w:sz w:val="21"/>
          <w:szCs w:val="21"/>
          <w:highlight w:val="none"/>
        </w:rPr>
        <w:t>本合同</w:t>
      </w:r>
      <w:r>
        <w:rPr>
          <w:rFonts w:hint="eastAsia" w:ascii="宋体" w:hAnsi="宋体" w:cs="宋体"/>
          <w:snapToGrid w:val="0"/>
          <w:color w:val="auto"/>
          <w:sz w:val="21"/>
          <w:szCs w:val="21"/>
          <w:highlight w:val="none"/>
        </w:rPr>
        <w:t>的权利义务转让给第三方，或者将本</w:t>
      </w:r>
      <w:r>
        <w:rPr>
          <w:rFonts w:hint="eastAsia" w:ascii="宋体" w:hAnsi="宋体" w:cs="宋体"/>
          <w:color w:val="auto"/>
          <w:sz w:val="21"/>
          <w:szCs w:val="21"/>
          <w:highlight w:val="none"/>
        </w:rPr>
        <w:t>合同</w:t>
      </w:r>
      <w:r>
        <w:rPr>
          <w:rFonts w:hint="eastAsia" w:ascii="宋体" w:hAnsi="宋体" w:cs="宋体"/>
          <w:snapToGrid w:val="0"/>
          <w:color w:val="auto"/>
          <w:sz w:val="21"/>
          <w:szCs w:val="21"/>
          <w:highlight w:val="none"/>
        </w:rPr>
        <w:t>项目部分的权利义务转让给第三人的，甲方有权没收其履约担保。</w:t>
      </w:r>
    </w:p>
    <w:p w14:paraId="1B138766">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（2）在</w:t>
      </w:r>
      <w:r>
        <w:rPr>
          <w:rFonts w:hint="eastAsia" w:ascii="宋体" w:hAnsi="宋体" w:cs="宋体"/>
          <w:color w:val="auto"/>
          <w:sz w:val="21"/>
          <w:szCs w:val="21"/>
          <w:highlight w:val="none"/>
        </w:rPr>
        <w:t>本合同</w:t>
      </w:r>
      <w:r>
        <w:rPr>
          <w:rFonts w:hint="eastAsia" w:ascii="宋体" w:hAnsi="宋体" w:cs="宋体"/>
          <w:snapToGrid w:val="0"/>
          <w:color w:val="auto"/>
          <w:sz w:val="21"/>
          <w:szCs w:val="21"/>
          <w:highlight w:val="none"/>
        </w:rPr>
        <w:t>履行期间，乙方怠于履行</w:t>
      </w:r>
      <w:r>
        <w:rPr>
          <w:rFonts w:hint="eastAsia" w:ascii="宋体" w:hAnsi="宋体" w:cs="宋体"/>
          <w:color w:val="auto"/>
          <w:sz w:val="21"/>
          <w:szCs w:val="21"/>
          <w:highlight w:val="none"/>
        </w:rPr>
        <w:t>本合同</w:t>
      </w:r>
      <w:r>
        <w:rPr>
          <w:rFonts w:hint="eastAsia" w:ascii="宋体" w:hAnsi="宋体" w:cs="宋体"/>
          <w:snapToGrid w:val="0"/>
          <w:color w:val="auto"/>
          <w:sz w:val="21"/>
          <w:szCs w:val="21"/>
          <w:highlight w:val="none"/>
        </w:rPr>
        <w:t>义务，经甲方通知或要求承担约定的违约金后仍拒不改正的，甲方有权没收或适当扣除其履约担保。</w:t>
      </w:r>
    </w:p>
    <w:p w14:paraId="573E1A30">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（3）在</w:t>
      </w:r>
      <w:r>
        <w:rPr>
          <w:rFonts w:hint="eastAsia" w:ascii="宋体" w:hAnsi="宋体" w:cs="宋体"/>
          <w:color w:val="auto"/>
          <w:sz w:val="21"/>
          <w:szCs w:val="21"/>
          <w:highlight w:val="none"/>
        </w:rPr>
        <w:t>本合同</w:t>
      </w:r>
      <w:r>
        <w:rPr>
          <w:rFonts w:hint="eastAsia" w:ascii="宋体" w:hAnsi="宋体" w:cs="宋体"/>
          <w:snapToGrid w:val="0"/>
          <w:color w:val="auto"/>
          <w:sz w:val="21"/>
          <w:szCs w:val="21"/>
          <w:highlight w:val="none"/>
        </w:rPr>
        <w:t>履行期间，因乙方服务质量问题造成损害、侵权损失（包括但不限于甲方经济损失、第三人人身财产损失等）或其他影响甲方生产经营等情况而其未及时妥善处理的，甲方有权使用履约担保予以支付或作出其他相应处理，由此产生的一切法律后果由乙方承担。</w:t>
      </w:r>
    </w:p>
    <w:p w14:paraId="047F7DE1">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（4）在合同履行期间，乙方违约产生的违约金、赔偿、罚款或其他应付费用等款项，甲方有权直接使用履约担保予以支付。</w:t>
      </w:r>
    </w:p>
    <w:p w14:paraId="2A0CDD6F">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（5）合同期内，乙方不能及时完成合同某项义务的，甲方有权使用履约担保用于处理该项工作。</w:t>
      </w:r>
    </w:p>
    <w:p w14:paraId="4A97A3BF">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（6）其他根据本合同约定或法律规定，甲方可使用履约担保的情形。</w:t>
      </w:r>
    </w:p>
    <w:p w14:paraId="3671A79C">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3、在乙方完成本合同项下所有服务内容后二十八（28）个日历天内，甲方将履约担保余额无息退还乙方。</w:t>
      </w:r>
    </w:p>
    <w:p w14:paraId="4137E19D">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4、在本合同履行过程中，不论何种原因导致履约担保数额不符合本合同的要求的，乙方应当在5个日历天内予以补足。对于乙方未能如期补足的部分，自逾期之日起，乙方需每日向甲方支付违约金人民币¥5,000.00元（大写：人民币伍仟元整），若乙方在逾期期间内仍未补足的，甲方除继续按每日¥5,000.00元（大写：人民币伍仟元整）计收违约金外，还有权要求乙方限期补足。如乙方在甲方给予的限期内仍不补足的，甲方有权单方解除本合同，并将已累计的违约金直接从履约担保中扣除。</w:t>
      </w:r>
    </w:p>
    <w:p w14:paraId="17D72AFD">
      <w:pPr>
        <w:snapToGrid w:val="0"/>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5、因乙方违约而被甲方没收、扣除或启用全部或部分履约担保后，如本合同继续执行，则乙方须按本合同第八条第4款的规定在甲方限期内补足履约担保。</w:t>
      </w:r>
    </w:p>
    <w:p w14:paraId="3498F56A">
      <w:pPr>
        <w:spacing w:line="520" w:lineRule="exact"/>
        <w:ind w:firstLine="422" w:firstLineChars="200"/>
        <w:jc w:val="both"/>
        <w:rPr>
          <w:rFonts w:ascii="宋体" w:hAnsi="宋体" w:cs="宋体"/>
          <w:b/>
          <w:bCs/>
          <w:snapToGrid w:val="0"/>
          <w:color w:val="auto"/>
          <w:sz w:val="21"/>
          <w:szCs w:val="21"/>
          <w:highlight w:val="none"/>
        </w:rPr>
      </w:pPr>
      <w:r>
        <w:rPr>
          <w:rFonts w:hint="eastAsia" w:ascii="宋体" w:hAnsi="宋体" w:cs="宋体"/>
          <w:b/>
          <w:bCs/>
          <w:snapToGrid w:val="0"/>
          <w:color w:val="auto"/>
          <w:sz w:val="21"/>
          <w:szCs w:val="21"/>
          <w:highlight w:val="none"/>
        </w:rPr>
        <w:t>九、调解与诉讼</w:t>
      </w:r>
    </w:p>
    <w:p w14:paraId="6B0BC49D">
      <w:pPr>
        <w:spacing w:line="520" w:lineRule="exact"/>
        <w:ind w:firstLine="420" w:firstLineChars="200"/>
        <w:jc w:val="both"/>
        <w:rPr>
          <w:rFonts w:ascii="宋体" w:hAnsi="宋体" w:cs="宋体"/>
          <w:color w:val="auto"/>
          <w:sz w:val="21"/>
          <w:szCs w:val="21"/>
          <w:highlight w:val="none"/>
        </w:rPr>
      </w:pPr>
      <w:r>
        <w:rPr>
          <w:rFonts w:hint="eastAsia" w:ascii="宋体" w:hAnsi="宋体" w:cs="宋体"/>
          <w:snapToGrid w:val="0"/>
          <w:color w:val="auto"/>
          <w:sz w:val="21"/>
          <w:szCs w:val="21"/>
          <w:highlight w:val="none"/>
        </w:rPr>
        <w:t>凡因执行本合同所发生的与本合同有关的争议，双方应友好协商解决，也可提请电力监管机构和政府电力行业主管部门调解。协商、调解不成的，甲乙双方均可</w:t>
      </w:r>
      <w:r>
        <w:rPr>
          <w:rFonts w:hint="eastAsia" w:ascii="宋体" w:hAnsi="宋体" w:cs="宋体"/>
          <w:color w:val="auto"/>
          <w:sz w:val="21"/>
          <w:szCs w:val="21"/>
          <w:highlight w:val="none"/>
        </w:rPr>
        <w:t>向甲方住所地有管辖权的人民法院提起诉讼。</w:t>
      </w:r>
    </w:p>
    <w:p w14:paraId="3D82A476">
      <w:pPr>
        <w:spacing w:line="520" w:lineRule="exact"/>
        <w:ind w:firstLine="422" w:firstLineChars="200"/>
        <w:jc w:val="both"/>
        <w:rPr>
          <w:rFonts w:ascii="宋体" w:hAnsi="宋体" w:cs="宋体"/>
          <w:b/>
          <w:bCs/>
          <w:snapToGrid w:val="0"/>
          <w:color w:val="auto"/>
          <w:sz w:val="21"/>
          <w:szCs w:val="21"/>
          <w:highlight w:val="none"/>
        </w:rPr>
      </w:pPr>
      <w:r>
        <w:rPr>
          <w:rFonts w:hint="eastAsia" w:ascii="宋体" w:hAnsi="宋体" w:cs="宋体"/>
          <w:b/>
          <w:bCs/>
          <w:snapToGrid w:val="0"/>
          <w:color w:val="auto"/>
          <w:sz w:val="21"/>
          <w:szCs w:val="21"/>
          <w:highlight w:val="none"/>
        </w:rPr>
        <w:t>十、合同书生效期</w:t>
      </w:r>
    </w:p>
    <w:p w14:paraId="57EC0C39">
      <w:pPr>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本合同经双方法定代表人或授权代表签字并加盖公章或合同章后生效。</w:t>
      </w:r>
    </w:p>
    <w:p w14:paraId="159DB9E1">
      <w:pPr>
        <w:numPr>
          <w:ilvl w:val="0"/>
          <w:numId w:val="14"/>
        </w:numPr>
        <w:spacing w:line="520" w:lineRule="exact"/>
        <w:ind w:firstLine="422" w:firstLineChars="200"/>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售后服务</w:t>
      </w:r>
    </w:p>
    <w:p w14:paraId="5EF0B80A">
      <w:pPr>
        <w:spacing w:line="520" w:lineRule="exact"/>
        <w:ind w:firstLine="420" w:firstLineChars="200"/>
        <w:jc w:val="both"/>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合同到期后，甲方根据自身情况，可要求乙方继续按合同规定的双方责任和义务、价格及结算方式以及履约担保方式继续服务不多于三个月整，乙方不得拒绝和变更合同内容，否则按违约处理，乙方须向甲方一次性支付</w:t>
      </w:r>
      <w:r>
        <w:rPr>
          <w:rFonts w:hint="eastAsia" w:ascii="宋体" w:hAnsi="宋体" w:cs="宋体"/>
          <w:color w:val="auto"/>
          <w:sz w:val="21"/>
          <w:szCs w:val="21"/>
          <w:highlight w:val="none"/>
        </w:rPr>
        <w:t>违约金人民币¥300000.00元（大写：人民币叁拾万元整）</w:t>
      </w:r>
      <w:r>
        <w:rPr>
          <w:rFonts w:hint="eastAsia" w:ascii="宋体" w:hAnsi="宋体" w:cs="宋体"/>
          <w:snapToGrid w:val="0"/>
          <w:color w:val="auto"/>
          <w:sz w:val="21"/>
          <w:szCs w:val="21"/>
          <w:highlight w:val="none"/>
        </w:rPr>
        <w:t>，且须赔偿由此给甲方造成的一切损失，包括可预期收益的损失。</w:t>
      </w:r>
    </w:p>
    <w:p w14:paraId="53D14687">
      <w:pPr>
        <w:numPr>
          <w:ilvl w:val="0"/>
          <w:numId w:val="14"/>
        </w:numPr>
        <w:spacing w:line="520" w:lineRule="exact"/>
        <w:ind w:firstLine="422" w:firstLineChars="200"/>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附则</w:t>
      </w:r>
    </w:p>
    <w:p w14:paraId="1E8B7C4A">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1、因政府行为，如政策等原因，双方不能就继续履行合同的条件达成一致意见，经双方协商同意，可解除本合同。</w:t>
      </w:r>
    </w:p>
    <w:p w14:paraId="682BF527">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本合同及其补充协议（若有）与采购文件以及乙方的响应文件同具法律约束效力，如本合同及其补充协议（若有）与采购文件及乙方的响应文件有冲突，优先级为补充协议（若有）&gt;本合同&gt;采购文件&gt;响应文件；如补充协议（若有）、本合同、采购文件以及乙方的响应文件自身内容有冲突，甲乙双方同意以有利于甲方的约定/解释为准。</w:t>
      </w:r>
    </w:p>
    <w:p w14:paraId="7968C3F0">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3、本合同一式肆份，双方各执贰份，均具有同等法律效应。</w:t>
      </w:r>
    </w:p>
    <w:p w14:paraId="4331C82C">
      <w:pPr>
        <w:spacing w:line="520" w:lineRule="exact"/>
        <w:ind w:firstLine="420" w:firstLineChars="200"/>
        <w:rPr>
          <w:rFonts w:ascii="宋体" w:hAnsi="宋体" w:cs="宋体"/>
          <w:color w:val="auto"/>
          <w:sz w:val="21"/>
          <w:szCs w:val="21"/>
          <w:highlight w:val="none"/>
        </w:rPr>
      </w:pPr>
    </w:p>
    <w:p w14:paraId="67D90EBB">
      <w:pPr>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附件1：《东莞市水务集团有限公司2025年直购电采购项目用户需求书》</w:t>
      </w:r>
    </w:p>
    <w:p w14:paraId="0D171878">
      <w:pPr>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附件2：《廉洁协议书》</w:t>
      </w:r>
    </w:p>
    <w:p w14:paraId="4A1262B9">
      <w:pPr>
        <w:spacing w:line="520" w:lineRule="exact"/>
        <w:ind w:firstLine="420" w:firstLineChars="200"/>
        <w:rPr>
          <w:rFonts w:ascii="宋体" w:hAnsi="宋体" w:cs="宋体"/>
          <w:color w:val="auto"/>
          <w:sz w:val="21"/>
          <w:szCs w:val="21"/>
          <w:highlight w:val="none"/>
        </w:rPr>
      </w:pPr>
    </w:p>
    <w:p w14:paraId="3E6236B6">
      <w:pPr>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（以下无正文）</w:t>
      </w:r>
    </w:p>
    <w:p w14:paraId="58D9C659">
      <w:pPr>
        <w:pStyle w:val="619"/>
        <w:ind w:firstLine="420"/>
        <w:rPr>
          <w:rFonts w:ascii="宋体" w:hAnsi="宋体" w:cs="宋体"/>
          <w:color w:val="auto"/>
          <w:sz w:val="21"/>
          <w:szCs w:val="21"/>
          <w:highlight w:val="none"/>
        </w:rPr>
      </w:pPr>
    </w:p>
    <w:p w14:paraId="359B2331">
      <w:pPr>
        <w:pStyle w:val="619"/>
        <w:ind w:firstLine="420"/>
        <w:rPr>
          <w:rFonts w:ascii="宋体" w:hAnsi="宋体" w:cs="宋体"/>
          <w:color w:val="auto"/>
          <w:sz w:val="21"/>
          <w:szCs w:val="21"/>
          <w:highlight w:val="none"/>
        </w:rPr>
      </w:pPr>
    </w:p>
    <w:p w14:paraId="1BA1E6FE">
      <w:pPr>
        <w:pStyle w:val="619"/>
        <w:ind w:firstLine="0" w:firstLineChars="0"/>
        <w:rPr>
          <w:rFonts w:ascii="宋体" w:hAnsi="宋体" w:cs="宋体"/>
          <w:color w:val="auto"/>
          <w:sz w:val="21"/>
          <w:szCs w:val="21"/>
          <w:highlight w:val="none"/>
        </w:rPr>
      </w:pPr>
    </w:p>
    <w:p w14:paraId="2D277019">
      <w:pPr>
        <w:spacing w:line="520" w:lineRule="exact"/>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甲方：</w:t>
      </w:r>
      <w:r>
        <w:rPr>
          <w:rFonts w:hint="eastAsia" w:ascii="宋体" w:hAnsi="宋体" w:cs="宋体"/>
          <w:bCs/>
          <w:color w:val="auto"/>
          <w:sz w:val="21"/>
          <w:szCs w:val="21"/>
          <w:highlight w:val="none"/>
          <w:u w:val="thick"/>
        </w:rPr>
        <w:t>XXXXXXXX</w:t>
      </w:r>
      <w:r>
        <w:rPr>
          <w:rFonts w:hint="eastAsia" w:ascii="宋体" w:hAnsi="宋体" w:cs="宋体"/>
          <w:color w:val="auto"/>
          <w:sz w:val="21"/>
          <w:szCs w:val="21"/>
          <w:highlight w:val="none"/>
        </w:rPr>
        <w:t xml:space="preserve"> </w:t>
      </w:r>
    </w:p>
    <w:p w14:paraId="5D04300B">
      <w:pPr>
        <w:pStyle w:val="619"/>
        <w:ind w:firstLine="420"/>
        <w:rPr>
          <w:rFonts w:ascii="宋体" w:hAnsi="宋体" w:cs="宋体"/>
          <w:color w:val="auto"/>
          <w:sz w:val="21"/>
          <w:szCs w:val="21"/>
          <w:highlight w:val="none"/>
        </w:rPr>
      </w:pPr>
    </w:p>
    <w:p w14:paraId="04B40259">
      <w:pPr>
        <w:spacing w:line="520" w:lineRule="exact"/>
        <w:ind w:firstLine="420" w:firstLineChars="200"/>
        <w:contextualSpacing/>
        <w:rPr>
          <w:rFonts w:ascii="宋体" w:hAnsi="宋体" w:cs="宋体"/>
          <w:color w:val="auto"/>
          <w:spacing w:val="-10"/>
          <w:sz w:val="21"/>
          <w:szCs w:val="21"/>
          <w:highlight w:val="none"/>
        </w:rPr>
      </w:pPr>
      <w:r>
        <w:rPr>
          <w:rFonts w:hint="eastAsia" w:ascii="宋体" w:hAnsi="宋体" w:cs="宋体"/>
          <w:color w:val="auto"/>
          <w:sz w:val="21"/>
          <w:szCs w:val="21"/>
          <w:highlight w:val="none"/>
        </w:rPr>
        <w:t>法定代表人（或授权代表）</w:t>
      </w:r>
      <w:r>
        <w:rPr>
          <w:rFonts w:hint="eastAsia" w:ascii="宋体" w:hAnsi="宋体" w:cs="宋体"/>
          <w:color w:val="auto"/>
          <w:spacing w:val="16"/>
          <w:sz w:val="21"/>
          <w:szCs w:val="21"/>
          <w:highlight w:val="none"/>
        </w:rPr>
        <w:t>:</w:t>
      </w:r>
    </w:p>
    <w:p w14:paraId="08CAB679">
      <w:pPr>
        <w:pStyle w:val="619"/>
        <w:ind w:firstLine="0" w:firstLineChars="0"/>
        <w:rPr>
          <w:rFonts w:ascii="宋体" w:hAnsi="宋体" w:cs="宋体"/>
          <w:color w:val="auto"/>
          <w:sz w:val="21"/>
          <w:szCs w:val="21"/>
          <w:highlight w:val="none"/>
        </w:rPr>
      </w:pPr>
    </w:p>
    <w:p w14:paraId="63C704E4">
      <w:pPr>
        <w:spacing w:line="520" w:lineRule="exact"/>
        <w:ind w:firstLine="380" w:firstLineChars="200"/>
        <w:contextualSpacing/>
        <w:rPr>
          <w:rFonts w:ascii="宋体" w:hAnsi="宋体" w:cs="宋体"/>
          <w:color w:val="auto"/>
          <w:spacing w:val="-10"/>
          <w:sz w:val="21"/>
          <w:szCs w:val="21"/>
          <w:highlight w:val="none"/>
        </w:rPr>
      </w:pPr>
    </w:p>
    <w:p w14:paraId="65137CDC">
      <w:pPr>
        <w:pStyle w:val="2"/>
        <w:rPr>
          <w:rFonts w:ascii="宋体" w:hAnsi="宋体" w:eastAsia="宋体" w:cs="宋体"/>
          <w:color w:val="auto"/>
          <w:sz w:val="21"/>
          <w:szCs w:val="21"/>
          <w:highlight w:val="none"/>
        </w:rPr>
      </w:pPr>
    </w:p>
    <w:p w14:paraId="37AA028D">
      <w:pPr>
        <w:spacing w:line="520" w:lineRule="exact"/>
        <w:ind w:firstLine="420" w:firstLineChars="200"/>
        <w:contextualSpacing/>
        <w:rPr>
          <w:rFonts w:ascii="宋体" w:hAnsi="宋体" w:cs="宋体"/>
          <w:color w:val="auto"/>
          <w:spacing w:val="16"/>
          <w:sz w:val="21"/>
          <w:szCs w:val="21"/>
          <w:highlight w:val="none"/>
          <w:u w:val="single"/>
        </w:rPr>
      </w:pPr>
      <w:r>
        <w:rPr>
          <w:rFonts w:hint="eastAsia" w:ascii="宋体" w:hAnsi="宋体" w:cs="宋体"/>
          <w:color w:val="auto"/>
          <w:sz w:val="21"/>
          <w:szCs w:val="21"/>
          <w:highlight w:val="none"/>
        </w:rPr>
        <w:t>乙方：</w:t>
      </w:r>
      <w:r>
        <w:rPr>
          <w:rFonts w:hint="eastAsia" w:ascii="宋体" w:hAnsi="宋体" w:cs="宋体"/>
          <w:bCs/>
          <w:color w:val="auto"/>
          <w:sz w:val="21"/>
          <w:szCs w:val="21"/>
          <w:highlight w:val="none"/>
          <w:u w:val="thick"/>
        </w:rPr>
        <w:t>XXXXXXX</w:t>
      </w:r>
    </w:p>
    <w:p w14:paraId="1030B404">
      <w:pPr>
        <w:spacing w:line="520" w:lineRule="exact"/>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法定代表人（或授权代表）:</w:t>
      </w:r>
    </w:p>
    <w:p w14:paraId="3776BA4C">
      <w:pPr>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合同签订地点：</w:t>
      </w:r>
    </w:p>
    <w:p w14:paraId="60D5BBF7">
      <w:pPr>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合同签订时间：    年   月   日</w:t>
      </w:r>
    </w:p>
    <w:p w14:paraId="0298E214">
      <w:pPr>
        <w:rPr>
          <w:rFonts w:ascii="宋体" w:hAnsi="宋体" w:cs="宋体"/>
          <w:color w:val="auto"/>
          <w:sz w:val="21"/>
          <w:szCs w:val="21"/>
          <w:highlight w:val="none"/>
        </w:rPr>
      </w:pPr>
      <w:r>
        <w:rPr>
          <w:rFonts w:hint="eastAsia" w:ascii="宋体" w:hAnsi="宋体" w:cs="宋体"/>
          <w:color w:val="auto"/>
          <w:sz w:val="21"/>
          <w:szCs w:val="21"/>
          <w:highlight w:val="none"/>
        </w:rPr>
        <w:br w:type="page"/>
      </w:r>
    </w:p>
    <w:p w14:paraId="3E25C998">
      <w:pPr>
        <w:spacing w:line="58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附件2:</w:t>
      </w:r>
    </w:p>
    <w:p w14:paraId="4AB3AC21">
      <w:pPr>
        <w:spacing w:line="580" w:lineRule="exact"/>
        <w:ind w:firstLine="3040" w:firstLineChars="950"/>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廉洁协议书</w:t>
      </w:r>
    </w:p>
    <w:p w14:paraId="69DF4BA5">
      <w:pPr>
        <w:spacing w:line="360" w:lineRule="auto"/>
        <w:rPr>
          <w:rFonts w:ascii="宋体" w:hAnsi="宋体" w:cs="宋体"/>
          <w:color w:val="auto"/>
          <w:sz w:val="21"/>
          <w:szCs w:val="21"/>
          <w:highlight w:val="none"/>
        </w:rPr>
      </w:pPr>
    </w:p>
    <w:p w14:paraId="3665FB18">
      <w:pPr>
        <w:spacing w:line="520" w:lineRule="exact"/>
        <w:jc w:val="both"/>
        <w:rPr>
          <w:rFonts w:ascii="宋体" w:hAnsi="宋体" w:cs="宋体"/>
          <w:color w:val="auto"/>
          <w:sz w:val="21"/>
          <w:szCs w:val="21"/>
          <w:highlight w:val="none"/>
          <w:u w:val="single"/>
        </w:rPr>
      </w:pPr>
      <w:r>
        <w:rPr>
          <w:rFonts w:hint="eastAsia" w:ascii="宋体" w:hAnsi="宋体" w:cs="宋体"/>
          <w:color w:val="auto"/>
          <w:sz w:val="21"/>
          <w:szCs w:val="21"/>
          <w:highlight w:val="none"/>
          <w:lang w:bidi="ar"/>
        </w:rPr>
        <w:t>项目名称：东莞市水务集团有限公司2025年直购电采购项目（招标编号：     ）</w:t>
      </w:r>
    </w:p>
    <w:p w14:paraId="015E8EC1">
      <w:pPr>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 xml:space="preserve">甲方（电力用户）： </w:t>
      </w:r>
    </w:p>
    <w:p w14:paraId="23973D15">
      <w:pPr>
        <w:spacing w:line="520" w:lineRule="exact"/>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乙方（售电公司）：</w:t>
      </w:r>
    </w:p>
    <w:p w14:paraId="7C0F2698">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C4883FF">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第一条  甲乙双方的权利和义务</w:t>
      </w:r>
    </w:p>
    <w:p w14:paraId="34FCD016">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（一）严格遵守党和国家有关法律法规等有关廉洁从业规定。</w:t>
      </w:r>
    </w:p>
    <w:p w14:paraId="61C7BEF9">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（二）严格执行本项目的合同文件，自觉按合同办事。</w:t>
      </w:r>
    </w:p>
    <w:p w14:paraId="46F62E46">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6D5A08C5">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（四）建立健全廉洁制度，开展廉洁教育，设立廉洁监督公示牌，公布举报电话，监督并认真查处违法违纪行为。</w:t>
      </w:r>
    </w:p>
    <w:p w14:paraId="320F6980">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（五）发现对方在业务活动中有违反廉洁规定的行为，有及时提醒对方纠正的权利和义务。</w:t>
      </w:r>
    </w:p>
    <w:p w14:paraId="144F17C3">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（六）发现对方严重违反本协议义务条款的行为，有向其上级有关部门举报、建议给予处理并要求告知处理结果的权利。</w:t>
      </w:r>
    </w:p>
    <w:p w14:paraId="394F5986">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第二条  甲方的义务</w:t>
      </w:r>
    </w:p>
    <w:p w14:paraId="342A40AC">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（一）甲方及其工作人员不得索要或接受乙方的礼金、有价证券和贵重物品，不得在乙方报销任何应由甲方或个人支付的费用。</w:t>
      </w:r>
    </w:p>
    <w:p w14:paraId="53FFDBE7">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（二）甲方工作人员不得参加乙方安排的高消费宴请和娱乐活动；不得接受乙方提供的通讯工具、交通工具和高档办公用品。</w:t>
      </w:r>
    </w:p>
    <w:p w14:paraId="19A40975">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（三）甲方及其工作人员不得要求或者接受乙方为其住房装修、婚丧嫁娶活动、家属或亲友的工作安排以及出国出境、旅游等提供方便。</w:t>
      </w:r>
    </w:p>
    <w:p w14:paraId="450B8D7E">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（四）甲方工作人员不得向乙方介绍其家属或者亲友（包括家属或亲友开办的公司企业）从事于本项目涉及的经济业务活动。</w:t>
      </w:r>
    </w:p>
    <w:p w14:paraId="673FF942">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（五）甲方及其工作人员不得以任何理由向乙方推荐分包单位，不得要求乙方购买合同规定外的材料和设备。</w:t>
      </w:r>
    </w:p>
    <w:p w14:paraId="1C4A34B1">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（六）甲方及其工作人员不得进行违反廉洁规定的其他活动。</w:t>
      </w:r>
    </w:p>
    <w:p w14:paraId="65D42A5D">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176A173E">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第三条  乙方义务</w:t>
      </w:r>
    </w:p>
    <w:p w14:paraId="5C0A56C0">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（一）乙方不得以任何理由向甲方及其工作人员馈赠礼金、有价证券、贵重礼品，或报销应由甲方单位或个人支付的任何费用。</w:t>
      </w:r>
    </w:p>
    <w:p w14:paraId="13AEEA8E">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（二）乙方及其工作人员不得以考察、参观、洽谈业务、签订合同等的借口邀请甲方及其工作人员参加高消费的宴请、娱乐和健身等活动。</w:t>
      </w:r>
    </w:p>
    <w:p w14:paraId="38690528">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（三）乙方不得为甲方单位和个人购置或提供通讯工具、交通工具和高档办公用品等。</w:t>
      </w:r>
    </w:p>
    <w:p w14:paraId="2FF79285">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（四）乙方及其工作人员不得为甲方工作人员购买、装修、维修私人住房、汽车等。</w:t>
      </w:r>
    </w:p>
    <w:p w14:paraId="47BCBAA1">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（五）乙方及其工作人员不得为甲方工作人员的婚丧嫁娶、家属或亲友的工作安排，及出国出境提供方便以及报销任何私人消费的费用。</w:t>
      </w:r>
    </w:p>
    <w:p w14:paraId="2E5082D0">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（六）乙方及其工作人员不得进行影响甲方及其工作人员公正执行合同和履行职务的其他活动。</w:t>
      </w:r>
    </w:p>
    <w:p w14:paraId="61B7349C">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C6A36B6">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第四条  违约责任</w:t>
      </w:r>
    </w:p>
    <w:p w14:paraId="21C1CF7E">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（一）甲方违反本协议第一、第二条给乙方单位造成经济损失的，应予以赔偿。</w:t>
      </w:r>
    </w:p>
    <w:p w14:paraId="2341D36A">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（二）乙方违反本协议第一、第三条给甲方单位造成经济损失的，应予以赔偿。</w:t>
      </w:r>
    </w:p>
    <w:p w14:paraId="2F585DA7">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第五条  监督检查</w:t>
      </w:r>
    </w:p>
    <w:p w14:paraId="6C0DA8D5">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甲乙双方的廉洁从业行为由双方或双方上级单位的纪检、监察负责监督，对本协议履行情况进行检查。</w:t>
      </w:r>
    </w:p>
    <w:p w14:paraId="6312D30F">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第六条  举报信访受理</w:t>
      </w:r>
    </w:p>
    <w:p w14:paraId="6437E500">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 一) 举报受理部门: 东莞市水务集团有限公司纪检监察部。</w:t>
      </w:r>
    </w:p>
    <w:p w14:paraId="4F59292F">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(二)举报电话: ( 0769 ) 23076092</w:t>
      </w:r>
    </w:p>
    <w:p w14:paraId="2A8DD767">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(三) 举报邮箱:jcsi@dgswit.cn.</w:t>
      </w:r>
    </w:p>
    <w:p w14:paraId="1E8D5067">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 xml:space="preserve">( 四) 信访地址: 广东省东莞市东城街道育华路 1 号 </w:t>
      </w:r>
    </w:p>
    <w:p w14:paraId="2E524BEC">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第七条  其他</w:t>
      </w:r>
    </w:p>
    <w:p w14:paraId="263761AC">
      <w:pPr>
        <w:spacing w:line="520" w:lineRule="exact"/>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本协议有效期为甲乙双方法定代表人或负责人签字并盖章之日起至该工程/采购项目竣工验收完毕，质保期/服务期满后止。本协议一式</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份，甲、乙双方各执</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份，甲、乙双方上级主管部门各执</w:t>
      </w:r>
      <w:r>
        <w:rPr>
          <w:rFonts w:hint="eastAsia" w:ascii="宋体" w:hAnsi="宋体" w:cs="宋体"/>
          <w:color w:val="auto"/>
          <w:sz w:val="21"/>
          <w:szCs w:val="21"/>
          <w:highlight w:val="none"/>
          <w:u w:val="single"/>
          <w:lang w:bidi="ar"/>
        </w:rPr>
        <w:t xml:space="preserve">   </w:t>
      </w:r>
      <w:r>
        <w:rPr>
          <w:rFonts w:hint="eastAsia" w:ascii="宋体" w:hAnsi="宋体" w:cs="宋体"/>
          <w:color w:val="auto"/>
          <w:sz w:val="21"/>
          <w:szCs w:val="21"/>
          <w:highlight w:val="none"/>
          <w:lang w:bidi="ar"/>
        </w:rPr>
        <w:t>份。</w:t>
      </w:r>
    </w:p>
    <w:p w14:paraId="35AABB28">
      <w:pPr>
        <w:spacing w:before="48" w:beforeLines="20" w:after="48" w:afterLines="2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 xml:space="preserve"> </w:t>
      </w:r>
    </w:p>
    <w:p w14:paraId="71DAC5CB">
      <w:pPr>
        <w:spacing w:before="48" w:beforeLines="20" w:after="48" w:afterLines="2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 xml:space="preserve">甲方（盖章）：                   乙方（盖章）： </w:t>
      </w:r>
    </w:p>
    <w:p w14:paraId="70E2FBE6">
      <w:pPr>
        <w:spacing w:before="48" w:beforeLines="20" w:after="48" w:afterLines="2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 xml:space="preserve"> </w:t>
      </w:r>
    </w:p>
    <w:p w14:paraId="4EE689D6">
      <w:pPr>
        <w:spacing w:before="48" w:beforeLines="20" w:after="48" w:afterLines="2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法定代表（或负责）人：          法定代表人：</w:t>
      </w:r>
    </w:p>
    <w:p w14:paraId="7D42A424">
      <w:pPr>
        <w:spacing w:before="48" w:beforeLines="20" w:after="48" w:afterLines="2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 xml:space="preserve"> </w:t>
      </w:r>
    </w:p>
    <w:p w14:paraId="009FEB46">
      <w:pPr>
        <w:spacing w:before="48" w:beforeLines="20" w:after="48" w:afterLines="2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甲方代表：                      乙方代表：</w:t>
      </w:r>
    </w:p>
    <w:p w14:paraId="12118904">
      <w:pPr>
        <w:spacing w:before="48" w:beforeLines="20" w:after="48" w:afterLines="2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 xml:space="preserve"> </w:t>
      </w:r>
    </w:p>
    <w:p w14:paraId="45C214DA">
      <w:pPr>
        <w:autoSpaceDN/>
        <w:adjustRightInd/>
        <w:spacing w:before="48" w:beforeLines="20" w:after="48" w:afterLines="20" w:line="360" w:lineRule="auto"/>
        <w:jc w:val="both"/>
        <w:rPr>
          <w:rFonts w:ascii="宋体" w:hAnsi="宋体" w:cs="宋体"/>
          <w:color w:val="auto"/>
          <w:sz w:val="21"/>
          <w:szCs w:val="21"/>
          <w:highlight w:val="none"/>
        </w:rPr>
      </w:pPr>
      <w:r>
        <w:rPr>
          <w:rFonts w:hint="eastAsia" w:ascii="宋体" w:hAnsi="宋体" w:cs="宋体"/>
          <w:color w:val="auto"/>
          <w:sz w:val="21"/>
          <w:szCs w:val="21"/>
          <w:highlight w:val="none"/>
          <w:lang w:bidi="ar"/>
        </w:rPr>
        <w:t>签订日期：    年  月  日         年  月  日</w:t>
      </w:r>
    </w:p>
    <w:p w14:paraId="41A6CF97">
      <w:pPr>
        <w:pStyle w:val="619"/>
        <w:ind w:firstLine="420"/>
        <w:jc w:val="both"/>
        <w:rPr>
          <w:rFonts w:ascii="宋体" w:hAnsi="宋体" w:cs="宋体"/>
          <w:color w:val="auto"/>
          <w:sz w:val="21"/>
          <w:szCs w:val="21"/>
          <w:highlight w:val="none"/>
        </w:rPr>
      </w:pPr>
    </w:p>
    <w:p w14:paraId="3776B4AA">
      <w:pPr>
        <w:snapToGrid w:val="0"/>
        <w:spacing w:line="360" w:lineRule="auto"/>
        <w:jc w:val="center"/>
        <w:rPr>
          <w:rFonts w:ascii="宋体" w:hAnsi="宋体" w:cs="宋体"/>
          <w:color w:val="auto"/>
          <w:highlight w:val="none"/>
        </w:rPr>
      </w:pPr>
    </w:p>
    <w:p w14:paraId="5FFDAB4F">
      <w:pPr>
        <w:snapToGrid w:val="0"/>
        <w:spacing w:line="360" w:lineRule="auto"/>
        <w:jc w:val="center"/>
        <w:rPr>
          <w:rFonts w:ascii="宋体" w:hAnsi="宋体" w:cs="宋体"/>
          <w:color w:val="auto"/>
          <w:highlight w:val="none"/>
        </w:rPr>
      </w:pPr>
    </w:p>
    <w:bookmarkEnd w:id="210"/>
    <w:p w14:paraId="21A1CF77">
      <w:pPr>
        <w:rPr>
          <w:rFonts w:ascii="宋体" w:hAnsi="宋体" w:cs="宋体"/>
          <w:b/>
          <w:bCs/>
          <w:color w:val="auto"/>
          <w:sz w:val="32"/>
          <w:szCs w:val="32"/>
          <w:highlight w:val="none"/>
          <w:lang w:val="zh-CN"/>
        </w:rPr>
      </w:pPr>
      <w:bookmarkStart w:id="215" w:name="_Toc142508360"/>
      <w:bookmarkStart w:id="216" w:name="_Toc13867"/>
      <w:bookmarkStart w:id="217" w:name="_Toc17044"/>
      <w:bookmarkStart w:id="218" w:name="_Toc512353083"/>
      <w:bookmarkStart w:id="219" w:name="_Toc25564"/>
      <w:bookmarkStart w:id="220" w:name="_Toc7741"/>
      <w:bookmarkStart w:id="221" w:name="_Toc24427_WPSOffice_Level1"/>
      <w:bookmarkStart w:id="222" w:name="_Toc30025"/>
      <w:r>
        <w:rPr>
          <w:rFonts w:hint="eastAsia" w:ascii="宋体" w:hAnsi="宋体" w:cs="宋体"/>
          <w:b/>
          <w:bCs/>
          <w:color w:val="auto"/>
          <w:sz w:val="32"/>
          <w:szCs w:val="32"/>
          <w:highlight w:val="none"/>
          <w:lang w:val="zh-CN"/>
        </w:rPr>
        <w:br w:type="page"/>
      </w:r>
    </w:p>
    <w:p w14:paraId="57A0D2EF">
      <w:pPr>
        <w:pageBreakBefore/>
        <w:spacing w:before="120" w:beforeLines="50" w:after="120" w:afterLines="50" w:line="360" w:lineRule="auto"/>
        <w:ind w:firstLine="640"/>
        <w:jc w:val="center"/>
        <w:outlineLvl w:val="0"/>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第五篇 相关保函格式</w:t>
      </w:r>
      <w:bookmarkEnd w:id="215"/>
      <w:bookmarkEnd w:id="216"/>
      <w:bookmarkEnd w:id="217"/>
      <w:bookmarkEnd w:id="218"/>
      <w:bookmarkEnd w:id="219"/>
      <w:bookmarkEnd w:id="220"/>
      <w:bookmarkEnd w:id="221"/>
      <w:bookmarkEnd w:id="222"/>
      <w:bookmarkStart w:id="223" w:name="_Toc447044604"/>
      <w:bookmarkStart w:id="224" w:name="_Toc447044480"/>
      <w:bookmarkStart w:id="225" w:name="_Toc447045091"/>
    </w:p>
    <w:p w14:paraId="4FC8F856">
      <w:pPr>
        <w:spacing w:after="120" w:afterLines="50" w:line="360" w:lineRule="auto"/>
        <w:rPr>
          <w:rFonts w:ascii="宋体" w:hAnsi="宋体" w:cs="宋体"/>
          <w:b/>
          <w:color w:val="auto"/>
          <w:sz w:val="28"/>
          <w:szCs w:val="28"/>
          <w:highlight w:val="none"/>
        </w:rPr>
      </w:pPr>
      <w:bookmarkStart w:id="226" w:name="_Toc26521_WPSOffice_Level2"/>
      <w:r>
        <w:rPr>
          <w:rFonts w:hint="eastAsia" w:ascii="宋体" w:hAnsi="宋体" w:cs="宋体"/>
          <w:b/>
          <w:color w:val="auto"/>
          <w:sz w:val="28"/>
          <w:szCs w:val="28"/>
          <w:highlight w:val="none"/>
        </w:rPr>
        <w:t>一、不可撤销银行履约保函格式</w:t>
      </w:r>
      <w:bookmarkEnd w:id="223"/>
      <w:bookmarkEnd w:id="224"/>
      <w:bookmarkEnd w:id="225"/>
      <w:bookmarkEnd w:id="226"/>
    </w:p>
    <w:p w14:paraId="6BEBC917">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不可撤销银行履约保函</w:t>
      </w:r>
    </w:p>
    <w:p w14:paraId="4F8E6CFE">
      <w:pPr>
        <w:widowControl/>
        <w:spacing w:line="360" w:lineRule="auto"/>
        <w:rPr>
          <w:rFonts w:ascii="宋体" w:hAnsi="宋体" w:cs="宋体"/>
          <w:color w:val="auto"/>
          <w:szCs w:val="21"/>
          <w:highlight w:val="none"/>
        </w:rPr>
      </w:pPr>
    </w:p>
    <w:p w14:paraId="25F82D02">
      <w:pPr>
        <w:spacing w:line="360" w:lineRule="auto"/>
        <w:ind w:firstLine="6300"/>
        <w:rPr>
          <w:rFonts w:ascii="宋体" w:hAnsi="宋体" w:cs="宋体"/>
          <w:color w:val="auto"/>
          <w:sz w:val="21"/>
          <w:szCs w:val="21"/>
          <w:highlight w:val="none"/>
          <w:u w:val="single"/>
        </w:rPr>
      </w:pPr>
      <w:r>
        <w:rPr>
          <w:rFonts w:hint="eastAsia" w:ascii="宋体" w:hAnsi="宋体" w:cs="宋体"/>
          <w:color w:val="auto"/>
          <w:sz w:val="21"/>
          <w:szCs w:val="21"/>
          <w:highlight w:val="none"/>
        </w:rPr>
        <w:t>银行编号：</w:t>
      </w:r>
    </w:p>
    <w:p w14:paraId="3CE36C4F">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b/>
          <w:color w:val="auto"/>
          <w:sz w:val="21"/>
          <w:szCs w:val="21"/>
          <w:highlight w:val="none"/>
          <w:u w:val="single"/>
        </w:rPr>
        <w:t xml:space="preserve">                    </w:t>
      </w:r>
      <w:r>
        <w:rPr>
          <w:rFonts w:hint="eastAsia" w:ascii="宋体" w:hAnsi="宋体" w:cs="宋体"/>
          <w:color w:val="auto"/>
          <w:sz w:val="21"/>
          <w:szCs w:val="21"/>
          <w:highlight w:val="none"/>
        </w:rPr>
        <w:t>（下称“受益人”）</w:t>
      </w:r>
    </w:p>
    <w:p w14:paraId="7BBEF095">
      <w:pPr>
        <w:widowControl/>
        <w:spacing w:line="360" w:lineRule="auto"/>
        <w:ind w:firstLine="567" w:firstLineChars="270"/>
        <w:rPr>
          <w:rFonts w:ascii="宋体" w:hAnsi="宋体" w:cs="宋体"/>
          <w:color w:val="auto"/>
          <w:sz w:val="21"/>
          <w:szCs w:val="21"/>
          <w:highlight w:val="none"/>
        </w:rPr>
      </w:pPr>
      <w:r>
        <w:rPr>
          <w:rFonts w:hint="eastAsia" w:ascii="宋体" w:hAnsi="宋体" w:cs="宋体"/>
          <w:color w:val="auto"/>
          <w:sz w:val="21"/>
          <w:szCs w:val="21"/>
          <w:highlight w:val="none"/>
        </w:rPr>
        <w:t>鉴于</w:t>
      </w:r>
      <w:r>
        <w:rPr>
          <w:rFonts w:hint="eastAsia" w:ascii="宋体" w:hAnsi="宋体" w:cs="宋体"/>
          <w:color w:val="auto"/>
          <w:sz w:val="21"/>
          <w:szCs w:val="21"/>
          <w:highlight w:val="none"/>
          <w:u w:val="single"/>
        </w:rPr>
        <w:t xml:space="preserve">  （申请人的名称与地址）  </w:t>
      </w:r>
      <w:r>
        <w:rPr>
          <w:rFonts w:hint="eastAsia" w:ascii="宋体" w:hAnsi="宋体" w:cs="宋体"/>
          <w:color w:val="auto"/>
          <w:sz w:val="21"/>
          <w:szCs w:val="21"/>
          <w:highlight w:val="none"/>
        </w:rPr>
        <w:t>（下称“申请人”），已保证按拟签订的</w:t>
      </w:r>
      <w:r>
        <w:rPr>
          <w:rFonts w:hint="eastAsia" w:ascii="宋体" w:hAnsi="宋体" w:cs="宋体"/>
          <w:color w:val="auto"/>
          <w:sz w:val="21"/>
          <w:szCs w:val="21"/>
          <w:highlight w:val="none"/>
          <w:u w:val="single"/>
        </w:rPr>
        <w:t xml:space="preserve"> 项目名称       （采购编号：         ）</w:t>
      </w:r>
      <w:r>
        <w:rPr>
          <w:rFonts w:hint="eastAsia" w:ascii="宋体" w:hAnsi="宋体" w:cs="宋体"/>
          <w:color w:val="auto"/>
          <w:sz w:val="21"/>
          <w:szCs w:val="21"/>
          <w:highlight w:val="none"/>
        </w:rPr>
        <w:t>合同（竞争性谈判文件）中规定的义务履行合同。</w:t>
      </w:r>
    </w:p>
    <w:p w14:paraId="672074D2">
      <w:pPr>
        <w:widowControl/>
        <w:spacing w:line="360" w:lineRule="auto"/>
        <w:ind w:firstLine="567" w:firstLineChars="270"/>
        <w:rPr>
          <w:rFonts w:ascii="宋体" w:hAnsi="宋体" w:cs="宋体"/>
          <w:color w:val="auto"/>
          <w:sz w:val="21"/>
          <w:szCs w:val="21"/>
          <w:highlight w:val="none"/>
        </w:rPr>
      </w:pPr>
      <w:r>
        <w:rPr>
          <w:rFonts w:hint="eastAsia" w:ascii="宋体" w:hAnsi="宋体" w:cs="宋体"/>
          <w:color w:val="auto"/>
          <w:sz w:val="21"/>
          <w:szCs w:val="21"/>
          <w:highlight w:val="none"/>
        </w:rPr>
        <w:t>根据上述合同（竞争性谈判文件）规定，申请人应向受益人提供一份金额为人民币（大写）</w:t>
      </w:r>
      <w:r>
        <w:rPr>
          <w:rFonts w:hint="eastAsia" w:ascii="宋体" w:hAnsi="宋体" w:cs="宋体"/>
          <w:color w:val="auto"/>
          <w:sz w:val="21"/>
          <w:szCs w:val="21"/>
          <w:highlight w:val="none"/>
          <w:u w:val="single"/>
        </w:rPr>
        <w:t xml:space="preserve">      （RMB元）</w:t>
      </w:r>
      <w:r>
        <w:rPr>
          <w:rFonts w:hint="eastAsia" w:ascii="宋体" w:hAnsi="宋体" w:cs="宋体"/>
          <w:color w:val="auto"/>
          <w:sz w:val="21"/>
          <w:szCs w:val="21"/>
          <w:highlight w:val="none"/>
        </w:rPr>
        <w:t>的无条件、不可撤销银行履约保函，作为申请人履行上述合同的担保。</w:t>
      </w:r>
    </w:p>
    <w:p w14:paraId="632E7D52">
      <w:pPr>
        <w:widowControl/>
        <w:spacing w:line="360" w:lineRule="auto"/>
        <w:ind w:firstLine="567" w:firstLineChars="270"/>
        <w:rPr>
          <w:rFonts w:ascii="宋体" w:hAnsi="宋体" w:cs="宋体"/>
          <w:color w:val="auto"/>
          <w:sz w:val="21"/>
          <w:szCs w:val="21"/>
          <w:highlight w:val="none"/>
        </w:rPr>
      </w:pPr>
      <w:r>
        <w:rPr>
          <w:rFonts w:hint="eastAsia" w:ascii="宋体" w:hAnsi="宋体" w:cs="宋体"/>
          <w:color w:val="auto"/>
          <w:sz w:val="21"/>
          <w:szCs w:val="21"/>
          <w:highlight w:val="none"/>
        </w:rPr>
        <w:t>我方</w:t>
      </w:r>
      <w:r>
        <w:rPr>
          <w:rFonts w:hint="eastAsia" w:ascii="宋体" w:hAnsi="宋体" w:cs="宋体"/>
          <w:color w:val="auto"/>
          <w:sz w:val="21"/>
          <w:szCs w:val="21"/>
          <w:highlight w:val="none"/>
          <w:u w:val="single"/>
        </w:rPr>
        <w:t xml:space="preserve">     （银行名称）</w:t>
      </w:r>
      <w:r>
        <w:rPr>
          <w:rFonts w:hint="eastAsia" w:ascii="宋体" w:hAnsi="宋体" w:cs="宋体"/>
          <w:color w:val="auto"/>
          <w:sz w:val="21"/>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098A9540">
      <w:pPr>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在向我行提出要求前，我行将不坚持要求受益人首先向申请人提出上述款项的索赔。</w:t>
      </w:r>
    </w:p>
    <w:p w14:paraId="248C5F4A">
      <w:pPr>
        <w:widowControl/>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83065B6">
      <w:pPr>
        <w:widowControl/>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本保函应自合同签订之日起至合同期限届满并完成合同全部服务义务后二十八（28）日内保持有效。</w:t>
      </w:r>
    </w:p>
    <w:p w14:paraId="33BACA10">
      <w:pPr>
        <w:widowControl/>
        <w:spacing w:line="360" w:lineRule="auto"/>
        <w:ind w:firstLine="437"/>
        <w:rPr>
          <w:rFonts w:ascii="宋体" w:hAnsi="宋体" w:cs="宋体"/>
          <w:color w:val="auto"/>
          <w:sz w:val="21"/>
          <w:szCs w:val="21"/>
          <w:highlight w:val="none"/>
        </w:rPr>
      </w:pPr>
    </w:p>
    <w:p w14:paraId="1FE6A493">
      <w:pPr>
        <w:widowControl/>
        <w:spacing w:line="360" w:lineRule="auto"/>
        <w:ind w:firstLine="2520" w:firstLineChars="1200"/>
        <w:rPr>
          <w:rFonts w:ascii="宋体" w:hAnsi="宋体" w:cs="宋体"/>
          <w:color w:val="auto"/>
          <w:sz w:val="21"/>
          <w:szCs w:val="21"/>
          <w:highlight w:val="none"/>
          <w:u w:val="single"/>
        </w:rPr>
      </w:pPr>
      <w:r>
        <w:rPr>
          <w:rFonts w:hint="eastAsia" w:ascii="宋体" w:hAnsi="宋体" w:cs="宋体"/>
          <w:color w:val="auto"/>
          <w:sz w:val="21"/>
          <w:szCs w:val="21"/>
          <w:highlight w:val="none"/>
        </w:rPr>
        <w:t>担 保 银 行：</w:t>
      </w:r>
      <w:r>
        <w:rPr>
          <w:rFonts w:hint="eastAsia" w:ascii="宋体" w:hAnsi="宋体" w:cs="宋体"/>
          <w:color w:val="auto"/>
          <w:sz w:val="21"/>
          <w:szCs w:val="21"/>
          <w:highlight w:val="none"/>
          <w:u w:val="single"/>
        </w:rPr>
        <w:t xml:space="preserve">          银行全称          (盖章)   </w:t>
      </w:r>
    </w:p>
    <w:p w14:paraId="6E44704B">
      <w:pPr>
        <w:widowControl/>
        <w:spacing w:line="360" w:lineRule="auto"/>
        <w:ind w:firstLine="2520" w:firstLineChars="1200"/>
        <w:rPr>
          <w:rFonts w:ascii="宋体" w:hAnsi="宋体" w:cs="宋体"/>
          <w:color w:val="auto"/>
          <w:sz w:val="21"/>
          <w:szCs w:val="21"/>
          <w:highlight w:val="none"/>
        </w:rPr>
      </w:pPr>
      <w:r>
        <w:rPr>
          <w:rFonts w:hint="eastAsia" w:ascii="宋体" w:hAnsi="宋体" w:cs="宋体"/>
          <w:color w:val="auto"/>
          <w:sz w:val="21"/>
          <w:szCs w:val="21"/>
          <w:highlight w:val="none"/>
        </w:rPr>
        <w:t>法定代表人或其授权的代表人：</w:t>
      </w:r>
      <w:r>
        <w:rPr>
          <w:rFonts w:hint="eastAsia" w:ascii="宋体" w:hAnsi="宋体" w:cs="宋体"/>
          <w:color w:val="auto"/>
          <w:sz w:val="21"/>
          <w:szCs w:val="21"/>
          <w:highlight w:val="none"/>
          <w:u w:val="single"/>
        </w:rPr>
        <w:t xml:space="preserve">       (职务)         </w:t>
      </w:r>
    </w:p>
    <w:p w14:paraId="5294E5BB">
      <w:pPr>
        <w:widowControl/>
        <w:spacing w:line="360" w:lineRule="auto"/>
        <w:ind w:firstLine="5502" w:firstLineChars="262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(姓名)         </w:t>
      </w:r>
    </w:p>
    <w:p w14:paraId="353E13C5">
      <w:pPr>
        <w:widowControl/>
        <w:spacing w:line="360" w:lineRule="auto"/>
        <w:ind w:firstLine="5502" w:firstLineChars="262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       (签章)         </w:t>
      </w:r>
    </w:p>
    <w:p w14:paraId="2989486E">
      <w:pPr>
        <w:spacing w:line="360" w:lineRule="auto"/>
        <w:ind w:left="840" w:firstLine="420" w:firstLineChars="200"/>
        <w:rPr>
          <w:rFonts w:ascii="宋体" w:hAnsi="宋体" w:cs="宋体"/>
          <w:color w:val="auto"/>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12AC71F7">
      <w:pPr>
        <w:widowControl/>
        <w:spacing w:line="360" w:lineRule="auto"/>
        <w:ind w:firstLine="2520" w:firstLineChars="1200"/>
        <w:rPr>
          <w:rFonts w:ascii="宋体" w:hAnsi="宋体" w:cs="宋体"/>
          <w:color w:val="auto"/>
          <w:sz w:val="21"/>
          <w:szCs w:val="21"/>
          <w:highlight w:val="none"/>
        </w:rPr>
      </w:pPr>
      <w:r>
        <w:rPr>
          <w:rFonts w:hint="eastAsia" w:ascii="宋体" w:hAnsi="宋体" w:cs="宋体"/>
          <w:color w:val="auto"/>
          <w:sz w:val="21"/>
          <w:szCs w:val="21"/>
          <w:highlight w:val="none"/>
        </w:rPr>
        <w:t>履约保函真实性核对联系人及办公电话：</w:t>
      </w:r>
      <w:r>
        <w:rPr>
          <w:rFonts w:hint="eastAsia" w:ascii="宋体" w:hAnsi="宋体" w:cs="宋体"/>
          <w:color w:val="auto"/>
          <w:sz w:val="21"/>
          <w:szCs w:val="21"/>
          <w:highlight w:val="none"/>
          <w:u w:val="single"/>
        </w:rPr>
        <w:t xml:space="preserve">                </w:t>
      </w:r>
    </w:p>
    <w:p w14:paraId="52354128">
      <w:pPr>
        <w:spacing w:line="360" w:lineRule="auto"/>
        <w:ind w:right="420" w:rightChars="175"/>
        <w:rPr>
          <w:rFonts w:ascii="宋体" w:hAnsi="宋体" w:cs="宋体"/>
          <w:color w:val="auto"/>
          <w:szCs w:val="21"/>
          <w:highlight w:val="none"/>
        </w:rPr>
        <w:sectPr>
          <w:footerReference r:id="rId9" w:type="first"/>
          <w:footerReference r:id="rId8" w:type="default"/>
          <w:pgSz w:w="12240" w:h="15840"/>
          <w:pgMar w:top="1191" w:right="1043" w:bottom="1191" w:left="1043" w:header="720" w:footer="720" w:gutter="0"/>
          <w:cols w:space="720" w:num="1"/>
          <w:titlePg/>
          <w:docGrid w:linePitch="326" w:charSpace="0"/>
        </w:sectPr>
      </w:pPr>
    </w:p>
    <w:p w14:paraId="25A1511C">
      <w:pPr>
        <w:rPr>
          <w:rFonts w:ascii="宋体" w:hAnsi="宋体" w:cs="宋体"/>
          <w:b/>
          <w:color w:val="auto"/>
          <w:sz w:val="28"/>
          <w:szCs w:val="28"/>
          <w:highlight w:val="none"/>
        </w:rPr>
      </w:pPr>
      <w:r>
        <w:rPr>
          <w:rFonts w:hint="eastAsia" w:ascii="宋体" w:hAnsi="宋体" w:cs="宋体"/>
          <w:b/>
          <w:color w:val="auto"/>
          <w:sz w:val="28"/>
          <w:szCs w:val="28"/>
          <w:highlight w:val="none"/>
        </w:rPr>
        <w:t>二、履约保证保险凭证格式</w:t>
      </w:r>
    </w:p>
    <w:p w14:paraId="38B158A5">
      <w:pPr>
        <w:jc w:val="center"/>
        <w:rPr>
          <w:rFonts w:ascii="宋体" w:hAnsi="宋体" w:cs="宋体"/>
          <w:b/>
          <w:color w:val="auto"/>
          <w:sz w:val="30"/>
          <w:szCs w:val="30"/>
          <w:highlight w:val="none"/>
        </w:rPr>
      </w:pPr>
    </w:p>
    <w:p w14:paraId="06A271A2">
      <w:pPr>
        <w:jc w:val="center"/>
        <w:rPr>
          <w:rFonts w:ascii="宋体" w:hAnsi="宋体" w:cs="宋体"/>
          <w:b/>
          <w:color w:val="auto"/>
          <w:sz w:val="30"/>
          <w:szCs w:val="30"/>
          <w:highlight w:val="none"/>
        </w:rPr>
      </w:pPr>
      <w:r>
        <w:rPr>
          <w:rFonts w:hint="eastAsia" w:ascii="宋体" w:hAnsi="宋体" w:cs="宋体"/>
          <w:b/>
          <w:color w:val="auto"/>
          <w:sz w:val="30"/>
          <w:szCs w:val="30"/>
          <w:highlight w:val="none"/>
        </w:rPr>
        <w:t>履约保证保险凭证</w:t>
      </w:r>
    </w:p>
    <w:p w14:paraId="20EE1677">
      <w:pPr>
        <w:spacing w:line="360" w:lineRule="auto"/>
        <w:ind w:firstLine="437"/>
        <w:jc w:val="center"/>
        <w:rPr>
          <w:rFonts w:ascii="宋体" w:hAnsi="宋体" w:cs="宋体"/>
          <w:color w:val="auto"/>
          <w:sz w:val="21"/>
          <w:szCs w:val="21"/>
          <w:highlight w:val="none"/>
        </w:rPr>
      </w:pPr>
      <w:r>
        <w:rPr>
          <w:rFonts w:hint="eastAsia" w:ascii="宋体" w:hAnsi="宋体" w:cs="宋体"/>
          <w:color w:val="auto"/>
          <w:szCs w:val="21"/>
          <w:highlight w:val="none"/>
        </w:rPr>
        <w:t xml:space="preserve">          </w:t>
      </w:r>
      <w:r>
        <w:rPr>
          <w:rFonts w:hint="eastAsia" w:ascii="宋体" w:hAnsi="宋体" w:cs="宋体"/>
          <w:color w:val="auto"/>
          <w:sz w:val="21"/>
          <w:szCs w:val="21"/>
          <w:highlight w:val="none"/>
        </w:rPr>
        <w:t xml:space="preserve">                            </w:t>
      </w:r>
    </w:p>
    <w:p w14:paraId="68E09910">
      <w:pPr>
        <w:spacing w:line="360" w:lineRule="auto"/>
        <w:ind w:firstLine="437"/>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编号：</w:t>
      </w:r>
    </w:p>
    <w:p w14:paraId="0B5CDFBF">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b/>
          <w:color w:val="auto"/>
          <w:sz w:val="21"/>
          <w:szCs w:val="21"/>
          <w:highlight w:val="none"/>
          <w:u w:val="single"/>
        </w:rPr>
        <w:t xml:space="preserve">                    </w:t>
      </w:r>
      <w:r>
        <w:rPr>
          <w:rFonts w:hint="eastAsia" w:ascii="宋体" w:hAnsi="宋体" w:cs="宋体"/>
          <w:color w:val="auto"/>
          <w:sz w:val="21"/>
          <w:szCs w:val="21"/>
          <w:highlight w:val="none"/>
        </w:rPr>
        <w:t xml:space="preserve">（下称“受益人”）： </w:t>
      </w:r>
    </w:p>
    <w:p w14:paraId="05004934">
      <w:pPr>
        <w:spacing w:line="360" w:lineRule="auto"/>
        <w:ind w:firstLine="437"/>
        <w:rPr>
          <w:rFonts w:ascii="宋体" w:hAnsi="宋体" w:cs="宋体"/>
          <w:color w:val="auto"/>
          <w:sz w:val="21"/>
          <w:szCs w:val="21"/>
          <w:highlight w:val="none"/>
        </w:rPr>
      </w:pPr>
    </w:p>
    <w:p w14:paraId="770506CF">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鉴于</w:t>
      </w:r>
      <w:r>
        <w:rPr>
          <w:rFonts w:hint="eastAsia" w:ascii="宋体" w:hAnsi="宋体" w:cs="宋体"/>
          <w:b/>
          <w:color w:val="auto"/>
          <w:sz w:val="21"/>
          <w:szCs w:val="21"/>
          <w:highlight w:val="none"/>
          <w:u w:val="single"/>
        </w:rPr>
        <w:t xml:space="preserve">                    </w:t>
      </w:r>
      <w:r>
        <w:rPr>
          <w:rFonts w:hint="eastAsia" w:ascii="宋体" w:hAnsi="宋体" w:cs="宋体"/>
          <w:color w:val="auto"/>
          <w:sz w:val="21"/>
          <w:szCs w:val="21"/>
          <w:highlight w:val="none"/>
        </w:rPr>
        <w:t>（下称“申请人”）已与贵方签订了</w:t>
      </w:r>
      <w:r>
        <w:rPr>
          <w:rFonts w:hint="eastAsia" w:ascii="宋体" w:hAnsi="宋体" w:cs="宋体"/>
          <w:color w:val="auto"/>
          <w:sz w:val="21"/>
          <w:szCs w:val="21"/>
          <w:highlight w:val="none"/>
          <w:u w:val="single"/>
        </w:rPr>
        <w:t xml:space="preserve">         项目（采购编号：        ）</w:t>
      </w:r>
      <w:r>
        <w:rPr>
          <w:rFonts w:hint="eastAsia" w:ascii="宋体" w:hAnsi="宋体" w:cs="宋体"/>
          <w:color w:val="auto"/>
          <w:sz w:val="21"/>
          <w:szCs w:val="21"/>
          <w:highlight w:val="none"/>
        </w:rPr>
        <w:t xml:space="preserve">合同。我方已接受申请人的请求，并出具《履约保证保险》保险单。 </w:t>
      </w:r>
    </w:p>
    <w:p w14:paraId="16E338E0">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 xml:space="preserve">一、保证保险金额 </w:t>
      </w:r>
    </w:p>
    <w:p w14:paraId="26099EA7">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我方承担的履约保证保险的保险金额（最高限额）为人民币（大写）</w:t>
      </w:r>
      <w:r>
        <w:rPr>
          <w:rFonts w:hint="eastAsia" w:ascii="宋体" w:hAnsi="宋体" w:cs="宋体"/>
          <w:b/>
          <w:color w:val="auto"/>
          <w:sz w:val="21"/>
          <w:szCs w:val="21"/>
          <w:highlight w:val="none"/>
          <w:u w:val="single"/>
        </w:rPr>
        <w:t xml:space="preserve">                </w:t>
      </w:r>
      <w:r>
        <w:rPr>
          <w:rFonts w:hint="eastAsia" w:ascii="宋体" w:hAnsi="宋体" w:cs="宋体"/>
          <w:color w:val="auto"/>
          <w:sz w:val="21"/>
          <w:szCs w:val="21"/>
          <w:highlight w:val="none"/>
        </w:rPr>
        <w:t>元 （¥</w:t>
      </w:r>
      <w:r>
        <w:rPr>
          <w:rFonts w:hint="eastAsia" w:ascii="宋体" w:hAnsi="宋体" w:cs="宋体"/>
          <w:b/>
          <w:color w:val="auto"/>
          <w:sz w:val="21"/>
          <w:szCs w:val="21"/>
          <w:highlight w:val="none"/>
          <w:u w:val="single"/>
        </w:rPr>
        <w:t xml:space="preserve">               </w:t>
      </w:r>
      <w:r>
        <w:rPr>
          <w:rFonts w:hint="eastAsia" w:ascii="宋体" w:hAnsi="宋体" w:cs="宋体"/>
          <w:color w:val="auto"/>
          <w:sz w:val="21"/>
          <w:szCs w:val="21"/>
          <w:highlight w:val="none"/>
        </w:rPr>
        <w:t xml:space="preserve"> ）。 </w:t>
      </w:r>
    </w:p>
    <w:p w14:paraId="5A1825C3">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 xml:space="preserve">二、保证保险的责任范围 </w:t>
      </w:r>
    </w:p>
    <w:p w14:paraId="6B6D9369">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在保险期间内，申请人因自身原因未按照与贵方签订的</w:t>
      </w:r>
      <w:r>
        <w:rPr>
          <w:rFonts w:hint="eastAsia" w:ascii="宋体" w:hAnsi="宋体" w:cs="宋体"/>
          <w:color w:val="auto"/>
          <w:sz w:val="21"/>
          <w:szCs w:val="21"/>
          <w:highlight w:val="none"/>
          <w:u w:val="single"/>
        </w:rPr>
        <w:t xml:space="preserve">         项目（采购编号：        ）</w:t>
      </w:r>
      <w:r>
        <w:rPr>
          <w:rFonts w:hint="eastAsia" w:ascii="宋体" w:hAnsi="宋体" w:cs="宋体"/>
          <w:color w:val="auto"/>
          <w:sz w:val="21"/>
          <w:szCs w:val="21"/>
          <w:highlight w:val="none"/>
        </w:rPr>
        <w:t xml:space="preserve">合同履行相关义务，给贵方造成损失的，贵方可向我方提出索赔，我方按照保险合同的约定承担损失赔偿责任。 </w:t>
      </w:r>
    </w:p>
    <w:p w14:paraId="65BD20B9">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 xml:space="preserve">三、代偿的安排 </w:t>
      </w:r>
    </w:p>
    <w:p w14:paraId="239D4388">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3348894">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 xml:space="preserve">四、生效时间 </w:t>
      </w:r>
    </w:p>
    <w:p w14:paraId="71687D3D">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 xml:space="preserve">本保险凭证自我方法定代表人（或其授权代理人）签字并加盖保险承保章之日起生效。 </w:t>
      </w:r>
    </w:p>
    <w:p w14:paraId="50998771">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五、其他</w:t>
      </w:r>
    </w:p>
    <w:p w14:paraId="2CEDE4AD">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本履约保证保险应自合同签订之日起至合同期限届满并完成合同全部服务义务后二十八（28）日内保持有效。</w:t>
      </w:r>
    </w:p>
    <w:p w14:paraId="3D6A8688">
      <w:pPr>
        <w:rPr>
          <w:rFonts w:ascii="宋体" w:hAnsi="宋体" w:cs="宋体"/>
          <w:color w:val="auto"/>
          <w:sz w:val="21"/>
          <w:szCs w:val="21"/>
          <w:highlight w:val="none"/>
        </w:rPr>
      </w:pPr>
    </w:p>
    <w:p w14:paraId="3AB7E666">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 xml:space="preserve">附：《XXX 保险有限公司履约保证保险（X 款）条款》及保单 </w:t>
      </w:r>
    </w:p>
    <w:p w14:paraId="3C0EAC79">
      <w:pPr>
        <w:spacing w:line="360" w:lineRule="auto"/>
        <w:ind w:firstLine="437"/>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19FB7A7F">
      <w:pPr>
        <w:spacing w:line="360" w:lineRule="auto"/>
        <w:ind w:firstLine="437"/>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保险人：（盖章）</w:t>
      </w:r>
    </w:p>
    <w:p w14:paraId="5F971A20">
      <w:pPr>
        <w:spacing w:line="360" w:lineRule="auto"/>
        <w:ind w:firstLine="437"/>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法定代表人或授权代理人：________ </w:t>
      </w:r>
    </w:p>
    <w:p w14:paraId="42D21C1C">
      <w:pPr>
        <w:spacing w:line="360" w:lineRule="auto"/>
        <w:ind w:firstLine="437"/>
        <w:jc w:val="right"/>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4C1C0218">
      <w:pPr>
        <w:spacing w:line="360" w:lineRule="auto"/>
        <w:ind w:firstLine="437"/>
        <w:jc w:val="center"/>
        <w:rPr>
          <w:rFonts w:ascii="宋体" w:hAnsi="宋体" w:cs="宋体"/>
          <w:color w:val="auto"/>
          <w:szCs w:val="21"/>
          <w:highlight w:val="none"/>
        </w:rPr>
        <w:sectPr>
          <w:footerReference r:id="rId11" w:type="first"/>
          <w:footerReference r:id="rId10" w:type="default"/>
          <w:pgSz w:w="12240" w:h="15840"/>
          <w:pgMar w:top="1191" w:right="1043" w:bottom="1191" w:left="1043" w:header="720" w:footer="720" w:gutter="0"/>
          <w:cols w:space="720" w:num="1"/>
          <w:titlePg/>
          <w:docGrid w:linePitch="326" w:charSpace="0"/>
        </w:sectPr>
      </w:pPr>
      <w:r>
        <w:rPr>
          <w:rFonts w:hint="eastAsia" w:ascii="宋体" w:hAnsi="宋体" w:cs="宋体"/>
          <w:color w:val="auto"/>
          <w:sz w:val="21"/>
          <w:szCs w:val="21"/>
          <w:highlight w:val="none"/>
        </w:rPr>
        <w:t xml:space="preserve">                 履约保证保险真实性核对联系人及办公电话：</w:t>
      </w:r>
      <w:r>
        <w:rPr>
          <w:rFonts w:hint="eastAsia" w:ascii="宋体" w:hAnsi="宋体" w:cs="宋体"/>
          <w:color w:val="auto"/>
          <w:sz w:val="21"/>
          <w:szCs w:val="21"/>
          <w:highlight w:val="none"/>
          <w:u w:val="single"/>
        </w:rPr>
        <w:t xml:space="preserve">                  </w:t>
      </w:r>
    </w:p>
    <w:p w14:paraId="71F27987">
      <w:pPr>
        <w:spacing w:after="120" w:afterLines="50"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三、担保公司履约担保书格式</w:t>
      </w:r>
    </w:p>
    <w:p w14:paraId="7E2D157E">
      <w:pPr>
        <w:jc w:val="center"/>
        <w:rPr>
          <w:rFonts w:ascii="宋体" w:hAnsi="宋体" w:cs="宋体"/>
          <w:b/>
          <w:color w:val="auto"/>
          <w:sz w:val="30"/>
          <w:szCs w:val="30"/>
          <w:highlight w:val="none"/>
        </w:rPr>
      </w:pPr>
      <w:r>
        <w:rPr>
          <w:rFonts w:hint="eastAsia" w:ascii="宋体" w:hAnsi="宋体" w:cs="宋体"/>
          <w:b/>
          <w:color w:val="auto"/>
          <w:sz w:val="30"/>
          <w:szCs w:val="30"/>
          <w:highlight w:val="none"/>
        </w:rPr>
        <w:t>担保公司履约担保书</w:t>
      </w:r>
    </w:p>
    <w:p w14:paraId="229E80E1">
      <w:pPr>
        <w:widowControl/>
        <w:spacing w:before="100" w:beforeAutospacing="1" w:after="100" w:afterAutospacing="1" w:line="360" w:lineRule="auto"/>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b/>
          <w:color w:val="auto"/>
          <w:sz w:val="21"/>
          <w:szCs w:val="21"/>
          <w:highlight w:val="none"/>
          <w:u w:val="single"/>
        </w:rPr>
        <w:t xml:space="preserve">                    </w:t>
      </w:r>
      <w:r>
        <w:rPr>
          <w:rFonts w:hint="eastAsia" w:ascii="宋体" w:hAnsi="宋体" w:cs="宋体"/>
          <w:color w:val="auto"/>
          <w:sz w:val="21"/>
          <w:szCs w:val="21"/>
          <w:highlight w:val="none"/>
        </w:rPr>
        <w:t>（下称“受益人”）</w:t>
      </w:r>
    </w:p>
    <w:p w14:paraId="35C30630">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鉴于</w:t>
      </w:r>
      <w:r>
        <w:rPr>
          <w:rFonts w:hint="eastAsia" w:ascii="宋体" w:hAnsi="宋体" w:cs="宋体"/>
          <w:color w:val="auto"/>
          <w:sz w:val="21"/>
          <w:szCs w:val="21"/>
          <w:highlight w:val="none"/>
          <w:u w:val="single"/>
        </w:rPr>
        <w:t xml:space="preserve">  （申请人的名称与地址）  </w:t>
      </w:r>
      <w:r>
        <w:rPr>
          <w:rFonts w:hint="eastAsia" w:ascii="宋体" w:hAnsi="宋体" w:cs="宋体"/>
          <w:color w:val="auto"/>
          <w:sz w:val="21"/>
          <w:szCs w:val="21"/>
          <w:highlight w:val="none"/>
        </w:rPr>
        <w:t>（下称“申请人”），已保证按拟签订的</w:t>
      </w:r>
      <w:r>
        <w:rPr>
          <w:rFonts w:hint="eastAsia" w:ascii="宋体" w:hAnsi="宋体" w:cs="宋体"/>
          <w:color w:val="auto"/>
          <w:sz w:val="21"/>
          <w:szCs w:val="21"/>
          <w:highlight w:val="none"/>
          <w:u w:val="single"/>
        </w:rPr>
        <w:t xml:space="preserve">          项目（采购编号：        ）</w:t>
      </w:r>
      <w:r>
        <w:rPr>
          <w:rFonts w:hint="eastAsia" w:ascii="宋体" w:hAnsi="宋体" w:cs="宋体"/>
          <w:color w:val="auto"/>
          <w:sz w:val="21"/>
          <w:szCs w:val="21"/>
          <w:highlight w:val="none"/>
        </w:rPr>
        <w:t>合同（竞争性谈判文件）中规定的义务履行合同。</w:t>
      </w:r>
    </w:p>
    <w:p w14:paraId="15D14019">
      <w:pPr>
        <w:widowControl/>
        <w:spacing w:line="360" w:lineRule="auto"/>
        <w:ind w:firstLine="567" w:firstLineChars="270"/>
        <w:rPr>
          <w:rFonts w:ascii="宋体" w:hAnsi="宋体" w:cs="宋体"/>
          <w:color w:val="auto"/>
          <w:sz w:val="21"/>
          <w:szCs w:val="21"/>
          <w:highlight w:val="none"/>
        </w:rPr>
      </w:pPr>
      <w:r>
        <w:rPr>
          <w:rFonts w:hint="eastAsia" w:ascii="宋体" w:hAnsi="宋体" w:cs="宋体"/>
          <w:color w:val="auto"/>
          <w:sz w:val="21"/>
          <w:szCs w:val="21"/>
          <w:highlight w:val="none"/>
        </w:rPr>
        <w:t>根据上述合同（竞争性谈判文件）规定，申请人应向受益人提供一份金额为人民币（大写）</w:t>
      </w:r>
      <w:r>
        <w:rPr>
          <w:rFonts w:hint="eastAsia" w:ascii="宋体" w:hAnsi="宋体" w:cs="宋体"/>
          <w:color w:val="auto"/>
          <w:sz w:val="21"/>
          <w:szCs w:val="21"/>
          <w:highlight w:val="none"/>
          <w:u w:val="single"/>
        </w:rPr>
        <w:t xml:space="preserve">     （RMB元）</w:t>
      </w:r>
      <w:r>
        <w:rPr>
          <w:rFonts w:hint="eastAsia" w:ascii="宋体" w:hAnsi="宋体" w:cs="宋体"/>
          <w:color w:val="auto"/>
          <w:sz w:val="21"/>
          <w:szCs w:val="21"/>
          <w:highlight w:val="none"/>
        </w:rPr>
        <w:t>的无条件、</w:t>
      </w:r>
      <w:r>
        <w:rPr>
          <w:rFonts w:hint="eastAsia" w:ascii="宋体" w:hAnsi="宋体" w:cs="宋体"/>
          <w:bCs/>
          <w:color w:val="auto"/>
          <w:sz w:val="21"/>
          <w:szCs w:val="21"/>
          <w:highlight w:val="none"/>
        </w:rPr>
        <w:t>不可撤销</w:t>
      </w:r>
      <w:r>
        <w:rPr>
          <w:rFonts w:hint="eastAsia" w:ascii="宋体" w:hAnsi="宋体" w:cs="宋体"/>
          <w:color w:val="auto"/>
          <w:sz w:val="21"/>
          <w:szCs w:val="21"/>
          <w:highlight w:val="none"/>
        </w:rPr>
        <w:t>履约担保，作为申请人履行上述合同的担保，</w:t>
      </w:r>
      <w:r>
        <w:rPr>
          <w:rFonts w:hint="eastAsia" w:ascii="宋体" w:hAnsi="宋体" w:cs="宋体"/>
          <w:color w:val="auto"/>
          <w:sz w:val="21"/>
          <w:szCs w:val="21"/>
          <w:highlight w:val="none"/>
          <w:lang w:eastAsia="zh-Hans"/>
        </w:rPr>
        <w:t>我方</w:t>
      </w:r>
      <w:r>
        <w:rPr>
          <w:rFonts w:hint="eastAsia" w:ascii="宋体" w:hAnsi="宋体" w:cs="宋体"/>
          <w:color w:val="auto"/>
          <w:sz w:val="21"/>
          <w:szCs w:val="21"/>
          <w:highlight w:val="none"/>
          <w:u w:val="single"/>
        </w:rPr>
        <w:t xml:space="preserve">  （担保公司名称）  </w:t>
      </w:r>
      <w:r>
        <w:rPr>
          <w:rFonts w:hint="eastAsia" w:ascii="宋体" w:hAnsi="宋体" w:cs="宋体"/>
          <w:color w:val="auto"/>
          <w:sz w:val="21"/>
          <w:szCs w:val="21"/>
          <w:highlight w:val="none"/>
        </w:rPr>
        <w:t>在</w:t>
      </w:r>
      <w:r>
        <w:rPr>
          <w:rFonts w:hint="eastAsia" w:ascii="宋体" w:hAnsi="宋体" w:cs="宋体"/>
          <w:color w:val="auto"/>
          <w:sz w:val="21"/>
          <w:szCs w:val="21"/>
          <w:highlight w:val="none"/>
          <w:lang w:eastAsia="zh-Hans"/>
        </w:rPr>
        <w:t>本合同项下的保证责任为连带责任保证</w:t>
      </w:r>
      <w:r>
        <w:rPr>
          <w:rFonts w:hint="eastAsia" w:ascii="宋体" w:hAnsi="宋体" w:cs="宋体"/>
          <w:color w:val="auto"/>
          <w:sz w:val="21"/>
          <w:szCs w:val="21"/>
          <w:highlight w:val="none"/>
        </w:rPr>
        <w:t>。</w:t>
      </w:r>
    </w:p>
    <w:p w14:paraId="1794BEB3">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我方</w:t>
      </w:r>
      <w:r>
        <w:rPr>
          <w:rFonts w:hint="eastAsia" w:ascii="宋体" w:hAnsi="宋体" w:cs="宋体"/>
          <w:color w:val="auto"/>
          <w:sz w:val="21"/>
          <w:szCs w:val="21"/>
          <w:highlight w:val="none"/>
          <w:u w:val="single"/>
        </w:rPr>
        <w:t xml:space="preserve">  （担保公司名称）  </w:t>
      </w:r>
      <w:r>
        <w:rPr>
          <w:rFonts w:hint="eastAsia" w:ascii="宋体" w:hAnsi="宋体" w:cs="宋体"/>
          <w:color w:val="auto"/>
          <w:sz w:val="21"/>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406494AC">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6DA85470">
      <w:pPr>
        <w:spacing w:line="360" w:lineRule="auto"/>
        <w:ind w:firstLine="437"/>
        <w:rPr>
          <w:rFonts w:ascii="宋体" w:hAnsi="宋体" w:cs="宋体"/>
          <w:color w:val="auto"/>
          <w:sz w:val="21"/>
          <w:szCs w:val="21"/>
          <w:highlight w:val="none"/>
        </w:rPr>
      </w:pPr>
      <w:r>
        <w:rPr>
          <w:rFonts w:hint="eastAsia" w:ascii="宋体" w:hAnsi="宋体" w:cs="宋体"/>
          <w:color w:val="auto"/>
          <w:sz w:val="21"/>
          <w:szCs w:val="21"/>
          <w:highlight w:val="none"/>
        </w:rPr>
        <w:t>本保函应自合同签订之日起至合同期限届满并完成合同全部服务义务后二十八（28）日内保持有效。</w:t>
      </w:r>
    </w:p>
    <w:p w14:paraId="6DBC313D">
      <w:pPr>
        <w:spacing w:line="360" w:lineRule="auto"/>
        <w:rPr>
          <w:rFonts w:ascii="宋体" w:hAnsi="宋体" w:cs="宋体"/>
          <w:color w:val="auto"/>
          <w:sz w:val="21"/>
          <w:szCs w:val="21"/>
          <w:highlight w:val="none"/>
        </w:rPr>
      </w:pPr>
    </w:p>
    <w:p w14:paraId="67B9E85E">
      <w:pPr>
        <w:spacing w:line="360" w:lineRule="auto"/>
        <w:ind w:firstLine="3990" w:firstLineChars="1900"/>
        <w:rPr>
          <w:rFonts w:ascii="宋体" w:hAnsi="宋体" w:cs="宋体"/>
          <w:color w:val="auto"/>
          <w:sz w:val="21"/>
          <w:szCs w:val="21"/>
          <w:highlight w:val="none"/>
        </w:rPr>
      </w:pPr>
      <w:r>
        <w:rPr>
          <w:rFonts w:hint="eastAsia" w:ascii="宋体" w:hAnsi="宋体" w:cs="宋体"/>
          <w:color w:val="auto"/>
          <w:sz w:val="21"/>
          <w:szCs w:val="21"/>
          <w:highlight w:val="none"/>
        </w:rPr>
        <w:t>法定代表人或其授权的代理人：（签字或盖私章）</w:t>
      </w:r>
    </w:p>
    <w:p w14:paraId="62145E0D">
      <w:pPr>
        <w:spacing w:line="360" w:lineRule="auto"/>
        <w:ind w:firstLine="3990" w:firstLineChars="1900"/>
        <w:rPr>
          <w:rFonts w:ascii="宋体" w:hAnsi="宋体" w:cs="宋体"/>
          <w:color w:val="auto"/>
          <w:sz w:val="21"/>
          <w:szCs w:val="21"/>
          <w:highlight w:val="none"/>
        </w:rPr>
      </w:pPr>
      <w:r>
        <w:rPr>
          <w:rFonts w:hint="eastAsia" w:ascii="宋体" w:hAnsi="宋体" w:cs="宋体"/>
          <w:color w:val="auto"/>
          <w:sz w:val="21"/>
          <w:szCs w:val="21"/>
          <w:highlight w:val="none"/>
        </w:rPr>
        <w:t>担保公司盖章：</w:t>
      </w:r>
    </w:p>
    <w:p w14:paraId="4268F4E2">
      <w:pPr>
        <w:spacing w:line="360" w:lineRule="auto"/>
        <w:ind w:firstLine="3990" w:firstLineChars="1900"/>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4F876BFA">
      <w:pPr>
        <w:spacing w:line="360" w:lineRule="auto"/>
        <w:ind w:firstLine="3990" w:firstLineChars="1900"/>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1946228D">
      <w:pPr>
        <w:spacing w:line="360" w:lineRule="auto"/>
        <w:ind w:firstLine="3990" w:firstLineChars="1900"/>
        <w:rPr>
          <w:rFonts w:ascii="宋体" w:hAnsi="宋体" w:cs="宋体"/>
          <w:color w:val="auto"/>
          <w:sz w:val="21"/>
          <w:szCs w:val="21"/>
          <w:highlight w:val="none"/>
        </w:rPr>
      </w:pPr>
      <w:r>
        <w:rPr>
          <w:rFonts w:hint="eastAsia" w:ascii="宋体" w:hAnsi="宋体" w:cs="宋体"/>
          <w:color w:val="auto"/>
          <w:sz w:val="21"/>
          <w:szCs w:val="21"/>
          <w:highlight w:val="none"/>
        </w:rPr>
        <w:t>日期：    年   月   日</w:t>
      </w:r>
    </w:p>
    <w:p w14:paraId="21B0EF3A">
      <w:pPr>
        <w:widowControl/>
        <w:spacing w:line="360" w:lineRule="auto"/>
        <w:ind w:firstLine="3990" w:firstLineChars="1900"/>
        <w:rPr>
          <w:rFonts w:ascii="宋体" w:hAnsi="宋体" w:cs="宋体"/>
          <w:color w:val="auto"/>
          <w:szCs w:val="21"/>
          <w:highlight w:val="none"/>
        </w:rPr>
        <w:sectPr>
          <w:footerReference r:id="rId13" w:type="first"/>
          <w:footerReference r:id="rId12" w:type="default"/>
          <w:pgSz w:w="12240" w:h="15840"/>
          <w:pgMar w:top="1191" w:right="1043" w:bottom="1191" w:left="1043" w:header="720" w:footer="720" w:gutter="0"/>
          <w:cols w:space="720" w:num="1"/>
          <w:titlePg/>
          <w:docGrid w:linePitch="326" w:charSpace="0"/>
        </w:sectPr>
      </w:pPr>
      <w:r>
        <w:rPr>
          <w:rFonts w:hint="eastAsia" w:ascii="宋体" w:hAnsi="宋体" w:cs="宋体"/>
          <w:color w:val="auto"/>
          <w:sz w:val="21"/>
          <w:szCs w:val="21"/>
          <w:highlight w:val="none"/>
        </w:rPr>
        <w:t>履约担保书真实性核对联系人及办公电话：</w:t>
      </w:r>
    </w:p>
    <w:bookmarkEnd w:id="211"/>
    <w:bookmarkEnd w:id="212"/>
    <w:p w14:paraId="79145AB2">
      <w:pPr>
        <w:pageBreakBefore/>
        <w:spacing w:line="360" w:lineRule="auto"/>
        <w:jc w:val="center"/>
        <w:outlineLvl w:val="0"/>
        <w:rPr>
          <w:rFonts w:ascii="宋体" w:hAnsi="宋体"/>
          <w:b/>
          <w:bCs/>
          <w:color w:val="auto"/>
          <w:kern w:val="44"/>
          <w:sz w:val="32"/>
          <w:szCs w:val="32"/>
          <w:highlight w:val="none"/>
          <w:lang w:val="zh-CN"/>
        </w:rPr>
      </w:pPr>
      <w:bookmarkStart w:id="227" w:name="_Toc26684"/>
      <w:r>
        <w:rPr>
          <w:rFonts w:hint="eastAsia" w:ascii="宋体" w:hAnsi="宋体"/>
          <w:b/>
          <w:bCs/>
          <w:color w:val="auto"/>
          <w:kern w:val="44"/>
          <w:sz w:val="32"/>
          <w:szCs w:val="32"/>
          <w:highlight w:val="none"/>
          <w:lang w:val="zh-CN"/>
        </w:rPr>
        <w:t>第</w:t>
      </w:r>
      <w:r>
        <w:rPr>
          <w:rFonts w:hint="eastAsia" w:ascii="宋体" w:hAnsi="宋体"/>
          <w:b/>
          <w:bCs/>
          <w:color w:val="auto"/>
          <w:kern w:val="44"/>
          <w:sz w:val="32"/>
          <w:szCs w:val="32"/>
          <w:highlight w:val="none"/>
        </w:rPr>
        <w:t>六</w:t>
      </w:r>
      <w:r>
        <w:rPr>
          <w:rFonts w:hint="eastAsia" w:ascii="宋体" w:hAnsi="宋体"/>
          <w:b/>
          <w:bCs/>
          <w:color w:val="auto"/>
          <w:kern w:val="44"/>
          <w:sz w:val="32"/>
          <w:szCs w:val="32"/>
          <w:highlight w:val="none"/>
          <w:lang w:val="zh-CN"/>
        </w:rPr>
        <w:t>篇</w:t>
      </w:r>
      <w:r>
        <w:rPr>
          <w:rFonts w:hint="eastAsia" w:ascii="宋体" w:hAnsi="宋体"/>
          <w:b/>
          <w:bCs/>
          <w:color w:val="auto"/>
          <w:kern w:val="44"/>
          <w:sz w:val="32"/>
          <w:szCs w:val="32"/>
          <w:highlight w:val="none"/>
        </w:rPr>
        <w:t xml:space="preserve"> </w:t>
      </w:r>
      <w:r>
        <w:rPr>
          <w:rFonts w:hint="eastAsia" w:ascii="宋体" w:hAnsi="宋体"/>
          <w:b/>
          <w:bCs/>
          <w:color w:val="auto"/>
          <w:kern w:val="44"/>
          <w:sz w:val="32"/>
          <w:szCs w:val="32"/>
          <w:highlight w:val="none"/>
          <w:lang w:val="zh-CN"/>
        </w:rPr>
        <w:t>响应文件格式</w:t>
      </w:r>
      <w:bookmarkEnd w:id="213"/>
      <w:bookmarkEnd w:id="214"/>
      <w:bookmarkEnd w:id="227"/>
    </w:p>
    <w:p w14:paraId="1CE85E6B">
      <w:pPr>
        <w:pStyle w:val="24"/>
        <w:spacing w:line="360" w:lineRule="auto"/>
        <w:ind w:left="648"/>
        <w:jc w:val="center"/>
        <w:rPr>
          <w:rFonts w:ascii="宋体" w:hAnsi="宋体" w:eastAsia="宋体" w:cs="宋体"/>
          <w:color w:val="auto"/>
          <w:sz w:val="84"/>
          <w:highlight w:val="none"/>
        </w:rPr>
      </w:pPr>
      <w:bookmarkStart w:id="228" w:name="_Toc9074"/>
      <w:bookmarkStart w:id="229" w:name="_Toc521918114"/>
      <w:bookmarkStart w:id="230" w:name="_Toc27736"/>
      <w:bookmarkStart w:id="231" w:name="_Toc79146596"/>
      <w:bookmarkStart w:id="232" w:name="_Toc490169461"/>
      <w:bookmarkStart w:id="233" w:name="_Toc54334003"/>
      <w:bookmarkStart w:id="234" w:name="_Toc497746558"/>
      <w:bookmarkStart w:id="235" w:name="_Toc22486"/>
      <w:bookmarkStart w:id="236" w:name="_Toc495907130"/>
      <w:bookmarkStart w:id="237" w:name="_Toc5098067"/>
      <w:bookmarkStart w:id="238" w:name="_Toc19008822"/>
      <w:bookmarkStart w:id="239" w:name="_Toc1123949"/>
      <w:bookmarkStart w:id="240" w:name="_Toc56076622"/>
    </w:p>
    <w:p w14:paraId="197AFD2D">
      <w:pPr>
        <w:pStyle w:val="24"/>
        <w:spacing w:line="360" w:lineRule="auto"/>
        <w:ind w:left="648"/>
        <w:jc w:val="center"/>
        <w:rPr>
          <w:rFonts w:ascii="宋体" w:hAnsi="宋体" w:eastAsia="宋体" w:cs="宋体"/>
          <w:color w:val="auto"/>
          <w:sz w:val="44"/>
          <w:szCs w:val="44"/>
          <w:highlight w:val="none"/>
        </w:rPr>
      </w:pPr>
    </w:p>
    <w:p w14:paraId="1E4F53B5">
      <w:pPr>
        <w:pStyle w:val="24"/>
        <w:spacing w:line="360" w:lineRule="auto"/>
        <w:ind w:left="648"/>
        <w:jc w:val="center"/>
        <w:rPr>
          <w:rFonts w:ascii="宋体" w:hAnsi="宋体" w:eastAsia="宋体" w:cs="宋体"/>
          <w:color w:val="auto"/>
          <w:sz w:val="44"/>
          <w:szCs w:val="44"/>
          <w:highlight w:val="none"/>
        </w:rPr>
      </w:pPr>
    </w:p>
    <w:p w14:paraId="644B0E9C">
      <w:pPr>
        <w:pStyle w:val="24"/>
        <w:spacing w:line="360" w:lineRule="auto"/>
        <w:ind w:left="648"/>
        <w:jc w:val="center"/>
        <w:rPr>
          <w:rFonts w:ascii="宋体" w:hAnsi="宋体" w:eastAsia="宋体" w:cs="宋体"/>
          <w:color w:val="auto"/>
          <w:sz w:val="44"/>
          <w:szCs w:val="44"/>
          <w:highlight w:val="none"/>
        </w:rPr>
      </w:pPr>
    </w:p>
    <w:p w14:paraId="2E7C57EE">
      <w:pPr>
        <w:pStyle w:val="24"/>
        <w:spacing w:line="360" w:lineRule="auto"/>
        <w:ind w:left="648"/>
        <w:jc w:val="center"/>
        <w:rPr>
          <w:rFonts w:ascii="宋体" w:hAnsi="宋体" w:eastAsia="宋体" w:cs="宋体"/>
          <w:color w:val="auto"/>
          <w:sz w:val="44"/>
          <w:szCs w:val="44"/>
          <w:highlight w:val="none"/>
        </w:rPr>
      </w:pPr>
    </w:p>
    <w:p w14:paraId="73461675">
      <w:pPr>
        <w:pStyle w:val="24"/>
        <w:spacing w:line="360" w:lineRule="auto"/>
        <w:ind w:left="648"/>
        <w:jc w:val="center"/>
        <w:rPr>
          <w:rFonts w:ascii="宋体" w:hAnsi="宋体" w:eastAsia="宋体" w:cs="宋体"/>
          <w:color w:val="auto"/>
          <w:sz w:val="44"/>
          <w:szCs w:val="44"/>
          <w:highlight w:val="none"/>
        </w:rPr>
      </w:pPr>
    </w:p>
    <w:p w14:paraId="62D86DE7">
      <w:pPr>
        <w:pStyle w:val="24"/>
        <w:spacing w:line="360" w:lineRule="auto"/>
        <w:ind w:left="648"/>
        <w:jc w:val="center"/>
        <w:rPr>
          <w:rFonts w:ascii="宋体" w:hAnsi="宋体" w:eastAsia="宋体" w:cs="宋体"/>
          <w:color w:val="auto"/>
          <w:sz w:val="44"/>
          <w:szCs w:val="44"/>
          <w:highlight w:val="none"/>
        </w:rPr>
      </w:pPr>
    </w:p>
    <w:p w14:paraId="23FD2A3C">
      <w:pPr>
        <w:pStyle w:val="24"/>
        <w:spacing w:line="360" w:lineRule="auto"/>
        <w:ind w:left="648"/>
        <w:jc w:val="center"/>
        <w:rPr>
          <w:rFonts w:ascii="宋体" w:hAnsi="宋体" w:eastAsia="宋体" w:cs="宋体"/>
          <w:color w:val="auto"/>
          <w:sz w:val="44"/>
          <w:szCs w:val="44"/>
          <w:highlight w:val="none"/>
        </w:rPr>
      </w:pPr>
    </w:p>
    <w:p w14:paraId="424A082E">
      <w:pPr>
        <w:pStyle w:val="24"/>
        <w:spacing w:line="360" w:lineRule="auto"/>
        <w:ind w:left="648"/>
        <w:jc w:val="center"/>
        <w:rPr>
          <w:rFonts w:ascii="宋体" w:hAnsi="宋体" w:eastAsia="宋体" w:cs="宋体"/>
          <w:color w:val="auto"/>
          <w:sz w:val="44"/>
          <w:szCs w:val="44"/>
          <w:highlight w:val="none"/>
        </w:rPr>
      </w:pPr>
    </w:p>
    <w:p w14:paraId="2D289205">
      <w:pPr>
        <w:pStyle w:val="24"/>
        <w:spacing w:line="360" w:lineRule="auto"/>
        <w:ind w:left="648"/>
        <w:jc w:val="center"/>
        <w:rPr>
          <w:rFonts w:ascii="宋体" w:hAnsi="宋体" w:eastAsia="宋体" w:cs="宋体"/>
          <w:color w:val="auto"/>
          <w:sz w:val="44"/>
          <w:szCs w:val="44"/>
          <w:highlight w:val="none"/>
        </w:rPr>
      </w:pPr>
    </w:p>
    <w:p w14:paraId="0876A455">
      <w:pPr>
        <w:pStyle w:val="24"/>
        <w:spacing w:line="360" w:lineRule="auto"/>
        <w:ind w:left="648"/>
        <w:jc w:val="center"/>
        <w:rPr>
          <w:rFonts w:ascii="宋体" w:hAnsi="宋体" w:eastAsia="宋体" w:cs="宋体"/>
          <w:color w:val="auto"/>
          <w:sz w:val="44"/>
          <w:szCs w:val="44"/>
          <w:highlight w:val="none"/>
        </w:rPr>
      </w:pPr>
    </w:p>
    <w:p w14:paraId="4A8B148A">
      <w:pPr>
        <w:pStyle w:val="24"/>
        <w:spacing w:line="360" w:lineRule="auto"/>
        <w:ind w:left="648"/>
        <w:jc w:val="center"/>
        <w:rPr>
          <w:rFonts w:ascii="宋体" w:hAnsi="宋体" w:eastAsia="宋体" w:cs="宋体"/>
          <w:color w:val="auto"/>
          <w:sz w:val="44"/>
          <w:szCs w:val="44"/>
          <w:highlight w:val="none"/>
        </w:rPr>
      </w:pPr>
    </w:p>
    <w:p w14:paraId="549FCCCC">
      <w:pPr>
        <w:pStyle w:val="24"/>
        <w:spacing w:line="360" w:lineRule="auto"/>
        <w:ind w:left="648"/>
        <w:jc w:val="center"/>
        <w:rPr>
          <w:rFonts w:ascii="宋体" w:hAnsi="宋体" w:eastAsia="宋体" w:cs="宋体"/>
          <w:color w:val="auto"/>
          <w:sz w:val="44"/>
          <w:szCs w:val="44"/>
          <w:highlight w:val="none"/>
        </w:rPr>
      </w:pPr>
    </w:p>
    <w:p w14:paraId="11807FB6">
      <w:pPr>
        <w:pStyle w:val="24"/>
        <w:spacing w:line="360" w:lineRule="auto"/>
        <w:ind w:left="648"/>
        <w:jc w:val="center"/>
        <w:rPr>
          <w:rFonts w:ascii="宋体" w:hAnsi="宋体" w:eastAsia="宋体" w:cs="宋体"/>
          <w:color w:val="auto"/>
          <w:sz w:val="44"/>
          <w:szCs w:val="44"/>
          <w:highlight w:val="none"/>
        </w:rPr>
      </w:pPr>
    </w:p>
    <w:p w14:paraId="09B0152E">
      <w:pPr>
        <w:pStyle w:val="2"/>
        <w:jc w:val="both"/>
        <w:rPr>
          <w:color w:val="auto"/>
          <w:highlight w:val="none"/>
          <w:lang w:val="en-US"/>
        </w:rPr>
      </w:pPr>
    </w:p>
    <w:p w14:paraId="432931B2">
      <w:pPr>
        <w:pStyle w:val="3"/>
        <w:ind w:firstLine="843"/>
        <w:rPr>
          <w:color w:val="auto"/>
          <w:highlight w:val="none"/>
          <w:lang w:val="en-US"/>
        </w:rPr>
      </w:pPr>
    </w:p>
    <w:p w14:paraId="1E64450B">
      <w:pPr>
        <w:pStyle w:val="24"/>
        <w:spacing w:line="360" w:lineRule="auto"/>
        <w:ind w:left="648"/>
        <w:jc w:val="center"/>
        <w:rPr>
          <w:rFonts w:ascii="宋体" w:hAnsi="宋体" w:eastAsia="宋体" w:cs="宋体"/>
          <w:color w:val="auto"/>
          <w:sz w:val="84"/>
          <w:szCs w:val="84"/>
          <w:highlight w:val="none"/>
        </w:rPr>
      </w:pPr>
      <w:r>
        <w:rPr>
          <w:rFonts w:hint="eastAsia" w:ascii="宋体" w:hAnsi="宋体" w:eastAsia="宋体" w:cs="宋体"/>
          <w:color w:val="auto"/>
          <w:sz w:val="84"/>
          <w:szCs w:val="84"/>
          <w:highlight w:val="none"/>
        </w:rPr>
        <w:t>响 应 文 件</w:t>
      </w:r>
    </w:p>
    <w:p w14:paraId="07B98680">
      <w:pPr>
        <w:pStyle w:val="24"/>
        <w:spacing w:line="360" w:lineRule="auto"/>
        <w:ind w:left="648"/>
        <w:rPr>
          <w:rFonts w:ascii="宋体" w:hAnsi="宋体" w:eastAsia="宋体" w:cs="宋体"/>
          <w:color w:val="auto"/>
          <w:highlight w:val="none"/>
        </w:rPr>
      </w:pPr>
    </w:p>
    <w:p w14:paraId="73698542">
      <w:pPr>
        <w:pStyle w:val="24"/>
        <w:spacing w:line="360" w:lineRule="auto"/>
        <w:ind w:left="648"/>
        <w:rPr>
          <w:rFonts w:ascii="宋体" w:hAnsi="宋体" w:eastAsia="宋体" w:cs="宋体"/>
          <w:color w:val="auto"/>
          <w:highlight w:val="none"/>
        </w:rPr>
      </w:pPr>
    </w:p>
    <w:p w14:paraId="322A2DFD">
      <w:pPr>
        <w:pStyle w:val="24"/>
        <w:spacing w:line="360" w:lineRule="auto"/>
        <w:ind w:left="648"/>
        <w:rPr>
          <w:rFonts w:ascii="宋体" w:hAnsi="宋体" w:eastAsia="宋体" w:cs="宋体"/>
          <w:color w:val="auto"/>
          <w:highlight w:val="none"/>
        </w:rPr>
      </w:pPr>
    </w:p>
    <w:p w14:paraId="173303E0">
      <w:pPr>
        <w:pStyle w:val="24"/>
        <w:spacing w:line="360" w:lineRule="auto"/>
        <w:ind w:left="648"/>
        <w:rPr>
          <w:rFonts w:ascii="宋体" w:hAnsi="宋体" w:eastAsia="宋体" w:cs="宋体"/>
          <w:color w:val="auto"/>
          <w:highlight w:val="none"/>
        </w:rPr>
      </w:pPr>
    </w:p>
    <w:p w14:paraId="1B286E5C">
      <w:pPr>
        <w:pStyle w:val="24"/>
        <w:spacing w:line="360" w:lineRule="auto"/>
        <w:ind w:left="648"/>
        <w:rPr>
          <w:rFonts w:ascii="宋体" w:hAnsi="宋体" w:eastAsia="宋体" w:cs="宋体"/>
          <w:color w:val="auto"/>
          <w:highlight w:val="none"/>
        </w:rPr>
      </w:pPr>
    </w:p>
    <w:p w14:paraId="791E8BEC">
      <w:pPr>
        <w:pStyle w:val="24"/>
        <w:spacing w:line="360" w:lineRule="auto"/>
        <w:ind w:left="648"/>
        <w:rPr>
          <w:rFonts w:ascii="宋体" w:hAnsi="宋体" w:eastAsia="宋体" w:cs="宋体"/>
          <w:color w:val="auto"/>
          <w:highlight w:val="none"/>
        </w:rPr>
      </w:pPr>
    </w:p>
    <w:p w14:paraId="23EAC809">
      <w:pPr>
        <w:pStyle w:val="24"/>
        <w:spacing w:line="360" w:lineRule="auto"/>
        <w:ind w:left="648"/>
        <w:rPr>
          <w:rFonts w:ascii="宋体" w:hAnsi="宋体" w:eastAsia="宋体" w:cs="宋体"/>
          <w:color w:val="auto"/>
          <w:highlight w:val="none"/>
        </w:rPr>
      </w:pPr>
    </w:p>
    <w:p w14:paraId="0108B8F2">
      <w:pPr>
        <w:pStyle w:val="24"/>
        <w:spacing w:line="360" w:lineRule="auto"/>
        <w:ind w:left="648"/>
        <w:rPr>
          <w:rFonts w:ascii="宋体" w:hAnsi="宋体" w:eastAsia="宋体" w:cs="宋体"/>
          <w:color w:val="auto"/>
          <w:highlight w:val="none"/>
        </w:rPr>
      </w:pPr>
    </w:p>
    <w:p w14:paraId="46ABCDD1">
      <w:pPr>
        <w:pStyle w:val="24"/>
        <w:spacing w:line="360" w:lineRule="auto"/>
        <w:ind w:left="648"/>
        <w:rPr>
          <w:rFonts w:ascii="宋体" w:hAnsi="宋体" w:eastAsia="宋体" w:cs="宋体"/>
          <w:color w:val="auto"/>
          <w:highlight w:val="none"/>
        </w:rPr>
      </w:pPr>
    </w:p>
    <w:p w14:paraId="4803A3B8">
      <w:pPr>
        <w:pStyle w:val="24"/>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采购编号：</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广建咨询（东招）2024-0149号</w:t>
      </w:r>
      <w:r>
        <w:rPr>
          <w:rFonts w:hint="eastAsia" w:ascii="宋体" w:hAnsi="宋体" w:eastAsia="宋体" w:cs="宋体"/>
          <w:color w:val="auto"/>
          <w:sz w:val="30"/>
          <w:highlight w:val="none"/>
          <w:u w:val="single"/>
        </w:rPr>
        <w:t xml:space="preserve"> </w:t>
      </w:r>
    </w:p>
    <w:p w14:paraId="4EAC9226">
      <w:pPr>
        <w:pStyle w:val="24"/>
        <w:spacing w:line="360" w:lineRule="auto"/>
        <w:ind w:left="648"/>
        <w:rPr>
          <w:rFonts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东莞市水务集团有限公司2025年直购电采购项目</w:t>
      </w:r>
    </w:p>
    <w:p w14:paraId="4D6FA082">
      <w:pPr>
        <w:pStyle w:val="24"/>
        <w:spacing w:line="360" w:lineRule="auto"/>
        <w:ind w:left="648"/>
        <w:rPr>
          <w:rFonts w:ascii="宋体" w:hAnsi="宋体" w:eastAsia="宋体" w:cs="宋体"/>
          <w:color w:val="auto"/>
          <w:sz w:val="30"/>
          <w:highlight w:val="none"/>
          <w:u w:val="single"/>
        </w:rPr>
      </w:pPr>
      <w:r>
        <w:rPr>
          <w:rFonts w:hint="eastAsia" w:ascii="宋体" w:hAnsi="宋体" w:eastAsia="宋体" w:cs="宋体"/>
          <w:color w:val="auto"/>
          <w:sz w:val="30"/>
          <w:highlight w:val="none"/>
        </w:rPr>
        <w:t>响应文件内容：</w:t>
      </w:r>
      <w:r>
        <w:rPr>
          <w:rFonts w:hint="eastAsia" w:ascii="宋体" w:hAnsi="宋体" w:eastAsia="宋体" w:cs="宋体"/>
          <w:color w:val="auto"/>
          <w:sz w:val="30"/>
          <w:highlight w:val="none"/>
          <w:u w:val="single"/>
        </w:rPr>
        <w:t xml:space="preserve"> 响应文件商务部分 </w:t>
      </w:r>
    </w:p>
    <w:p w14:paraId="4E6D79DC">
      <w:pPr>
        <w:pStyle w:val="24"/>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采购人：</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东莞市水务集团有限公司</w:t>
      </w:r>
      <w:r>
        <w:rPr>
          <w:rFonts w:hint="eastAsia" w:ascii="宋体" w:hAnsi="宋体" w:eastAsia="宋体" w:cs="宋体"/>
          <w:color w:val="auto"/>
          <w:sz w:val="30"/>
          <w:highlight w:val="none"/>
          <w:u w:val="single"/>
        </w:rPr>
        <w:t xml:space="preserve"> </w:t>
      </w:r>
    </w:p>
    <w:p w14:paraId="58E8D692">
      <w:pPr>
        <w:pStyle w:val="24"/>
        <w:spacing w:line="360" w:lineRule="auto"/>
        <w:ind w:left="648"/>
        <w:rPr>
          <w:rFonts w:ascii="宋体" w:hAnsi="宋体" w:eastAsia="宋体" w:cs="宋体"/>
          <w:color w:val="auto"/>
          <w:sz w:val="30"/>
          <w:highlight w:val="none"/>
          <w:u w:val="single"/>
        </w:rPr>
      </w:pPr>
      <w:r>
        <w:rPr>
          <w:rFonts w:hint="eastAsia" w:ascii="宋体" w:hAnsi="宋体" w:eastAsia="宋体" w:cs="宋体"/>
          <w:color w:val="auto"/>
          <w:sz w:val="30"/>
          <w:highlight w:val="none"/>
        </w:rPr>
        <w:t>供应商：</w:t>
      </w:r>
      <w:r>
        <w:rPr>
          <w:rFonts w:hint="eastAsia" w:ascii="宋体" w:hAnsi="宋体" w:eastAsia="宋体" w:cs="宋体"/>
          <w:color w:val="auto"/>
          <w:sz w:val="30"/>
          <w:highlight w:val="none"/>
          <w:u w:val="single"/>
        </w:rPr>
        <w:t xml:space="preserve">                        </w:t>
      </w:r>
    </w:p>
    <w:p w14:paraId="777C7D39">
      <w:pPr>
        <w:pStyle w:val="24"/>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DDCD9E8">
      <w:pPr>
        <w:rPr>
          <w:color w:val="auto"/>
          <w:highlight w:val="none"/>
        </w:rPr>
      </w:pPr>
    </w:p>
    <w:p w14:paraId="1CA09032">
      <w:pPr>
        <w:rPr>
          <w:color w:val="auto"/>
          <w:highlight w:val="none"/>
        </w:rPr>
      </w:pPr>
    </w:p>
    <w:p w14:paraId="56C88BD4">
      <w:pPr>
        <w:rPr>
          <w:color w:val="auto"/>
          <w:highlight w:val="none"/>
        </w:rPr>
      </w:pPr>
    </w:p>
    <w:p w14:paraId="66A930A9">
      <w:pPr>
        <w:rPr>
          <w:color w:val="auto"/>
          <w:highlight w:val="none"/>
        </w:rPr>
      </w:pPr>
    </w:p>
    <w:p w14:paraId="03BCABC6">
      <w:pPr>
        <w:rPr>
          <w:color w:val="auto"/>
          <w:highlight w:val="none"/>
        </w:rPr>
      </w:pPr>
    </w:p>
    <w:p w14:paraId="78167F60">
      <w:pPr>
        <w:rPr>
          <w:color w:val="auto"/>
          <w:highlight w:val="none"/>
        </w:rPr>
      </w:pPr>
    </w:p>
    <w:p w14:paraId="12218BC6">
      <w:pPr>
        <w:jc w:val="both"/>
        <w:rPr>
          <w:b/>
          <w:bCs/>
          <w:color w:val="auto"/>
          <w:sz w:val="21"/>
          <w:szCs w:val="21"/>
          <w:highlight w:val="none"/>
        </w:rPr>
      </w:pPr>
    </w:p>
    <w:p w14:paraId="2BFBF52F">
      <w:pPr>
        <w:pageBreakBefore/>
        <w:rPr>
          <w:rFonts w:ascii="宋体" w:hAnsi="宋体" w:cs="宋体"/>
          <w:b/>
          <w:color w:val="auto"/>
          <w:sz w:val="32"/>
          <w:szCs w:val="32"/>
          <w:highlight w:val="none"/>
        </w:rPr>
      </w:pPr>
      <w:r>
        <w:rPr>
          <w:rFonts w:hint="eastAsia" w:ascii="宋体" w:hAnsi="宋体" w:cs="宋体"/>
          <w:b/>
          <w:color w:val="auto"/>
          <w:sz w:val="32"/>
          <w:szCs w:val="32"/>
          <w:highlight w:val="none"/>
        </w:rPr>
        <w:t>一、响应函格式</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7BF9E622">
      <w:pPr>
        <w:spacing w:line="360" w:lineRule="auto"/>
        <w:jc w:val="center"/>
        <w:rPr>
          <w:rFonts w:ascii="宋体" w:hAnsi="宋体" w:cs="宋体"/>
          <w:b/>
          <w:bCs/>
          <w:color w:val="auto"/>
          <w:kern w:val="2"/>
          <w:sz w:val="30"/>
          <w:szCs w:val="30"/>
          <w:highlight w:val="none"/>
        </w:rPr>
      </w:pPr>
      <w:r>
        <w:rPr>
          <w:rFonts w:hint="eastAsia" w:ascii="宋体" w:hAnsi="宋体" w:cs="宋体"/>
          <w:b/>
          <w:bCs/>
          <w:color w:val="auto"/>
          <w:kern w:val="2"/>
          <w:sz w:val="30"/>
          <w:szCs w:val="30"/>
          <w:highlight w:val="none"/>
        </w:rPr>
        <w:t xml:space="preserve">响  应 </w:t>
      </w:r>
      <w:r>
        <w:rPr>
          <w:rFonts w:hint="eastAsia" w:ascii="宋体" w:hAnsi="宋体" w:cs="宋体"/>
          <w:b/>
          <w:bCs/>
          <w:color w:val="auto"/>
          <w:kern w:val="2"/>
          <w:sz w:val="30"/>
          <w:szCs w:val="30"/>
          <w:highlight w:val="none"/>
          <w:lang w:val="zh-CN"/>
        </w:rPr>
        <w:t xml:space="preserve"> 函</w:t>
      </w:r>
    </w:p>
    <w:p w14:paraId="3CFEB34B">
      <w:pPr>
        <w:spacing w:line="360" w:lineRule="auto"/>
        <w:jc w:val="both"/>
        <w:rPr>
          <w:rFonts w:ascii="宋体" w:hAnsi="宋体" w:cs="宋体"/>
          <w:color w:val="auto"/>
          <w:kern w:val="2"/>
          <w:sz w:val="21"/>
          <w:szCs w:val="21"/>
          <w:highlight w:val="none"/>
          <w:lang w:val="zh-CN"/>
        </w:rPr>
      </w:pPr>
    </w:p>
    <w:p w14:paraId="1231115A">
      <w:pPr>
        <w:spacing w:line="360" w:lineRule="auto"/>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致：东莞市水务集团有限公司</w:t>
      </w:r>
    </w:p>
    <w:p w14:paraId="7F7359A5">
      <w:pPr>
        <w:spacing w:line="360" w:lineRule="auto"/>
        <w:jc w:val="both"/>
        <w:rPr>
          <w:rFonts w:ascii="宋体" w:hAnsi="宋体" w:cs="宋体"/>
          <w:color w:val="auto"/>
          <w:kern w:val="2"/>
          <w:sz w:val="21"/>
          <w:szCs w:val="21"/>
          <w:highlight w:val="none"/>
        </w:rPr>
      </w:pPr>
    </w:p>
    <w:p w14:paraId="074318BD">
      <w:pPr>
        <w:wordWrap w:val="0"/>
        <w:spacing w:line="360" w:lineRule="auto"/>
        <w:ind w:firstLine="420"/>
        <w:rPr>
          <w:rFonts w:ascii="宋体" w:hAnsi="宋体" w:cs="宋体"/>
          <w:color w:val="auto"/>
          <w:sz w:val="21"/>
          <w:szCs w:val="21"/>
          <w:highlight w:val="none"/>
          <w:lang w:val="zh-CN"/>
        </w:rPr>
      </w:pPr>
      <w:r>
        <w:rPr>
          <w:rFonts w:hint="eastAsia" w:ascii="宋体" w:hAnsi="宋体" w:cs="宋体"/>
          <w:color w:val="auto"/>
          <w:kern w:val="2"/>
          <w:sz w:val="21"/>
          <w:szCs w:val="21"/>
          <w:highlight w:val="none"/>
          <w:lang w:val="zh-CN"/>
        </w:rPr>
        <w:t>根据贵方为</w:t>
      </w:r>
      <w:r>
        <w:rPr>
          <w:rFonts w:hint="eastAsia" w:ascii="宋体" w:hAnsi="宋体" w:cs="宋体"/>
          <w:color w:val="auto"/>
          <w:sz w:val="21"/>
          <w:szCs w:val="21"/>
          <w:highlight w:val="none"/>
          <w:u w:val="single"/>
        </w:rPr>
        <w:t>东莞市水务集团有限公司2025年直购电采购项目</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采购</w:t>
      </w:r>
      <w:r>
        <w:rPr>
          <w:rFonts w:hint="eastAsia" w:ascii="宋体" w:hAnsi="宋体" w:cs="宋体"/>
          <w:color w:val="auto"/>
          <w:sz w:val="21"/>
          <w:szCs w:val="21"/>
          <w:highlight w:val="none"/>
          <w:lang w:val="zh-CN"/>
        </w:rPr>
        <w:t>编号：</w:t>
      </w:r>
      <w:r>
        <w:rPr>
          <w:rFonts w:hint="eastAsia" w:ascii="宋体" w:hAnsi="宋体" w:cs="宋体"/>
          <w:color w:val="auto"/>
          <w:sz w:val="21"/>
          <w:szCs w:val="21"/>
          <w:highlight w:val="none"/>
          <w:u w:val="single"/>
        </w:rPr>
        <w:t>广建咨询（东招）2024-0149号</w:t>
      </w:r>
      <w:r>
        <w:rPr>
          <w:rFonts w:hint="eastAsia" w:ascii="宋体" w:hAnsi="宋体" w:cs="宋体"/>
          <w:color w:val="auto"/>
          <w:sz w:val="21"/>
          <w:szCs w:val="21"/>
          <w:highlight w:val="none"/>
          <w:lang w:val="zh-CN"/>
        </w:rPr>
        <w:t>)的</w:t>
      </w:r>
      <w:r>
        <w:rPr>
          <w:rFonts w:hint="eastAsia" w:ascii="宋体" w:hAnsi="宋体" w:cs="宋体"/>
          <w:color w:val="auto"/>
          <w:sz w:val="21"/>
          <w:szCs w:val="21"/>
          <w:highlight w:val="none"/>
        </w:rPr>
        <w:t>谈判公告</w:t>
      </w:r>
      <w:r>
        <w:rPr>
          <w:rFonts w:hint="eastAsia" w:ascii="宋体" w:hAnsi="宋体" w:cs="宋体"/>
          <w:color w:val="auto"/>
          <w:sz w:val="21"/>
          <w:szCs w:val="21"/>
          <w:highlight w:val="none"/>
          <w:lang w:val="zh-CN"/>
        </w:rPr>
        <w:t>，我方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zh-CN"/>
        </w:rPr>
        <w:t>（</w:t>
      </w:r>
      <w:r>
        <w:rPr>
          <w:rFonts w:hint="eastAsia" w:ascii="宋体" w:hAnsi="宋体" w:cs="宋体"/>
          <w:color w:val="auto"/>
          <w:sz w:val="21"/>
          <w:szCs w:val="21"/>
          <w:highlight w:val="none"/>
          <w:u w:val="single"/>
        </w:rPr>
        <w:t>供应商</w:t>
      </w:r>
      <w:r>
        <w:rPr>
          <w:rFonts w:hint="eastAsia" w:ascii="宋体" w:hAnsi="宋体" w:cs="宋体"/>
          <w:color w:val="auto"/>
          <w:sz w:val="21"/>
          <w:szCs w:val="21"/>
          <w:highlight w:val="none"/>
          <w:u w:val="single"/>
          <w:lang w:val="zh-CN"/>
        </w:rPr>
        <w:t>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lang w:val="zh-CN"/>
        </w:rPr>
        <w:t>作为供应商正式授权</w:t>
      </w:r>
      <w:r>
        <w:rPr>
          <w:rFonts w:hint="eastAsia" w:ascii="宋体" w:hAnsi="宋体" w:cs="宋体"/>
          <w:color w:val="auto"/>
          <w:sz w:val="21"/>
          <w:szCs w:val="21"/>
          <w:highlight w:val="none"/>
          <w:u w:val="single"/>
          <w:lang w:val="zh-CN"/>
        </w:rPr>
        <w:t>　 （授权代表全名，职务）</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lang w:val="zh-CN"/>
        </w:rPr>
        <w:t>代表我方进行有关本次</w:t>
      </w:r>
      <w:r>
        <w:rPr>
          <w:rFonts w:hint="eastAsia" w:ascii="宋体" w:hAnsi="宋体" w:cs="宋体"/>
          <w:color w:val="auto"/>
          <w:sz w:val="21"/>
          <w:szCs w:val="21"/>
          <w:highlight w:val="none"/>
        </w:rPr>
        <w:t>竞争性谈判</w:t>
      </w:r>
      <w:r>
        <w:rPr>
          <w:rFonts w:hint="eastAsia" w:ascii="宋体" w:hAnsi="宋体" w:cs="宋体"/>
          <w:color w:val="auto"/>
          <w:sz w:val="21"/>
          <w:szCs w:val="21"/>
          <w:highlight w:val="none"/>
          <w:lang w:val="zh-CN"/>
        </w:rPr>
        <w:t>的一切事宜。</w:t>
      </w:r>
    </w:p>
    <w:p w14:paraId="3418BFA3">
      <w:pPr>
        <w:spacing w:line="360" w:lineRule="auto"/>
        <w:ind w:firstLine="42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在此提交的响应文件，包括如下等内容，并已单独密封封装：</w:t>
      </w:r>
    </w:p>
    <w:p w14:paraId="347C93CD">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响应文件电子文件</w:t>
      </w:r>
      <w:r>
        <w:rPr>
          <w:rFonts w:hint="eastAsia" w:ascii="宋体" w:hAnsi="宋体" w:cs="宋体"/>
          <w:color w:val="auto"/>
          <w:kern w:val="2"/>
          <w:sz w:val="21"/>
          <w:szCs w:val="21"/>
          <w:highlight w:val="none"/>
          <w:lang w:val="zh-CN"/>
        </w:rPr>
        <w:t>【        份】；</w:t>
      </w:r>
    </w:p>
    <w:p w14:paraId="2A3EF32B">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（二）响应文件（正本</w:t>
      </w:r>
      <w:r>
        <w:rPr>
          <w:rFonts w:hint="eastAsia" w:ascii="宋体" w:hAnsi="宋体" w:cs="宋体"/>
          <w:color w:val="auto"/>
          <w:kern w:val="2"/>
          <w:sz w:val="21"/>
          <w:szCs w:val="21"/>
          <w:highlight w:val="none"/>
          <w:u w:val="single"/>
          <w:lang w:val="zh-CN"/>
        </w:rPr>
        <w:t xml:space="preserve">       </w:t>
      </w:r>
      <w:r>
        <w:rPr>
          <w:rFonts w:hint="eastAsia" w:ascii="宋体" w:hAnsi="宋体" w:cs="宋体"/>
          <w:color w:val="auto"/>
          <w:kern w:val="2"/>
          <w:sz w:val="21"/>
          <w:szCs w:val="21"/>
          <w:highlight w:val="none"/>
          <w:lang w:val="zh-CN"/>
        </w:rPr>
        <w:t>份，副本</w:t>
      </w:r>
      <w:r>
        <w:rPr>
          <w:rFonts w:hint="eastAsia" w:ascii="宋体" w:hAnsi="宋体" w:cs="宋体"/>
          <w:color w:val="auto"/>
          <w:kern w:val="2"/>
          <w:sz w:val="21"/>
          <w:szCs w:val="21"/>
          <w:highlight w:val="none"/>
          <w:u w:val="single"/>
          <w:lang w:val="zh-CN"/>
        </w:rPr>
        <w:t xml:space="preserve">       </w:t>
      </w:r>
      <w:r>
        <w:rPr>
          <w:rFonts w:hint="eastAsia" w:ascii="宋体" w:hAnsi="宋体" w:cs="宋体"/>
          <w:color w:val="auto"/>
          <w:kern w:val="2"/>
          <w:sz w:val="21"/>
          <w:szCs w:val="21"/>
          <w:highlight w:val="none"/>
          <w:lang w:val="zh-CN"/>
        </w:rPr>
        <w:t>份）；</w:t>
      </w:r>
    </w:p>
    <w:p w14:paraId="4C038E57">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我方已完全明白竞争性谈判文件的所有条款要求，并重申以下几点：</w:t>
      </w:r>
    </w:p>
    <w:p w14:paraId="3F7871A7">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（—）我方决定参加采购编号</w:t>
      </w:r>
      <w:r>
        <w:rPr>
          <w:rFonts w:hint="eastAsia" w:ascii="宋体" w:hAnsi="宋体" w:cs="宋体"/>
          <w:color w:val="auto"/>
          <w:szCs w:val="21"/>
          <w:highlight w:val="none"/>
          <w:lang w:val="zh-CN"/>
        </w:rPr>
        <w:t>为</w:t>
      </w:r>
      <w:r>
        <w:rPr>
          <w:rFonts w:hint="eastAsia" w:ascii="宋体" w:hAnsi="宋体" w:cs="宋体"/>
          <w:color w:val="auto"/>
          <w:sz w:val="21"/>
          <w:szCs w:val="21"/>
          <w:highlight w:val="none"/>
          <w:u w:val="single"/>
        </w:rPr>
        <w:t>广建咨询（东招）2024-0149号</w:t>
      </w:r>
      <w:r>
        <w:rPr>
          <w:rFonts w:hint="eastAsia" w:ascii="宋体" w:hAnsi="宋体" w:cs="宋体"/>
          <w:color w:val="auto"/>
          <w:sz w:val="21"/>
          <w:szCs w:val="21"/>
          <w:highlight w:val="none"/>
          <w:lang w:val="zh-CN"/>
        </w:rPr>
        <w:t>的</w:t>
      </w:r>
      <w:r>
        <w:rPr>
          <w:rFonts w:hint="eastAsia" w:ascii="宋体" w:hAnsi="宋体" w:cs="宋体"/>
          <w:color w:val="auto"/>
          <w:kern w:val="2"/>
          <w:sz w:val="21"/>
          <w:szCs w:val="21"/>
          <w:highlight w:val="none"/>
        </w:rPr>
        <w:t>谈判</w:t>
      </w:r>
      <w:r>
        <w:rPr>
          <w:rFonts w:hint="eastAsia" w:ascii="宋体" w:hAnsi="宋体" w:cs="宋体"/>
          <w:color w:val="auto"/>
          <w:kern w:val="2"/>
          <w:sz w:val="21"/>
          <w:szCs w:val="21"/>
          <w:highlight w:val="none"/>
          <w:lang w:val="zh-CN"/>
        </w:rPr>
        <w:t>；</w:t>
      </w:r>
    </w:p>
    <w:p w14:paraId="0AACE98A">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（二）本响应文件的有效期自递交响应文件截止</w:t>
      </w:r>
      <w:r>
        <w:rPr>
          <w:rFonts w:hint="eastAsia" w:ascii="宋体" w:hAnsi="宋体" w:cs="宋体"/>
          <w:color w:val="auto"/>
          <w:kern w:val="2"/>
          <w:sz w:val="21"/>
          <w:szCs w:val="21"/>
          <w:highlight w:val="none"/>
        </w:rPr>
        <w:t>时间届满</w:t>
      </w:r>
      <w:r>
        <w:rPr>
          <w:rFonts w:hint="eastAsia" w:ascii="宋体" w:hAnsi="宋体" w:cs="宋体"/>
          <w:color w:val="auto"/>
          <w:kern w:val="2"/>
          <w:sz w:val="21"/>
          <w:szCs w:val="21"/>
          <w:highlight w:val="none"/>
          <w:lang w:val="zh-CN"/>
        </w:rPr>
        <w:t>后90日有效，如</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，有效期将延至合同终止日为止；</w:t>
      </w:r>
    </w:p>
    <w:p w14:paraId="26880CC1">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（三）我方已详细研究了竞争性谈判文件的所有内容包括修正文（如有）和所有已提供的参考资料以及有关附件并完全明白，我方放弃在此方面提出含糊意见或误解的一切权力；</w:t>
      </w:r>
    </w:p>
    <w:p w14:paraId="4C5E15BD">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（四）我方明白并愿意在规定的递交响应文件截止时间和日期之后，</w:t>
      </w:r>
      <w:r>
        <w:rPr>
          <w:rFonts w:hint="eastAsia" w:ascii="宋体" w:hAnsi="宋体" w:cs="宋体"/>
          <w:color w:val="auto"/>
          <w:kern w:val="2"/>
          <w:sz w:val="21"/>
          <w:szCs w:val="21"/>
          <w:highlight w:val="none"/>
        </w:rPr>
        <w:t>响应文件</w:t>
      </w:r>
      <w:r>
        <w:rPr>
          <w:rFonts w:hint="eastAsia" w:ascii="宋体" w:hAnsi="宋体" w:cs="宋体"/>
          <w:color w:val="auto"/>
          <w:kern w:val="2"/>
          <w:sz w:val="21"/>
          <w:szCs w:val="21"/>
          <w:highlight w:val="none"/>
          <w:lang w:val="zh-CN"/>
        </w:rPr>
        <w:t>有效期之内撤回</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rPr>
        <w:t>则按无效响应处理或取消成交资格</w:t>
      </w:r>
      <w:r>
        <w:rPr>
          <w:rFonts w:hint="eastAsia" w:ascii="宋体" w:hAnsi="宋体" w:cs="宋体"/>
          <w:color w:val="auto"/>
          <w:kern w:val="2"/>
          <w:sz w:val="21"/>
          <w:szCs w:val="21"/>
          <w:highlight w:val="none"/>
          <w:lang w:val="zh-CN"/>
        </w:rPr>
        <w:t>；</w:t>
      </w:r>
    </w:p>
    <w:p w14:paraId="5074D464">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（五）我方同意按照贵方可能提出的要求而提供与</w:t>
      </w:r>
      <w:r>
        <w:rPr>
          <w:rFonts w:hint="eastAsia" w:ascii="宋体" w:hAnsi="宋体" w:cs="宋体"/>
          <w:color w:val="auto"/>
          <w:kern w:val="2"/>
          <w:sz w:val="21"/>
          <w:szCs w:val="21"/>
          <w:highlight w:val="none"/>
        </w:rPr>
        <w:t>响应文件</w:t>
      </w:r>
      <w:r>
        <w:rPr>
          <w:rFonts w:hint="eastAsia" w:ascii="宋体" w:hAnsi="宋体" w:cs="宋体"/>
          <w:color w:val="auto"/>
          <w:kern w:val="2"/>
          <w:sz w:val="21"/>
          <w:szCs w:val="21"/>
          <w:highlight w:val="none"/>
          <w:lang w:val="zh-CN"/>
        </w:rPr>
        <w:t>有关的任何其它数据或信息；</w:t>
      </w:r>
    </w:p>
    <w:p w14:paraId="2D04ED46">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（六）我方理解贵方不一定接受最低报价或任何贵方可能收到的报价；</w:t>
      </w:r>
    </w:p>
    <w:p w14:paraId="310F7451">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（七）我方如果成交，将保证履行竞争性谈判文件以及竞争性谈判文件修改书（如有）中的全部责任和义务，按质、按量、按期完成《合同书》中的全部任务；</w:t>
      </w:r>
    </w:p>
    <w:p w14:paraId="38EE11C1">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（八）保证响应文件中所有资料均真实有效，否则按无效</w:t>
      </w:r>
      <w:r>
        <w:rPr>
          <w:rFonts w:hint="eastAsia" w:ascii="宋体" w:hAnsi="宋体" w:cs="宋体"/>
          <w:color w:val="auto"/>
          <w:kern w:val="2"/>
          <w:sz w:val="21"/>
          <w:szCs w:val="21"/>
          <w:highlight w:val="none"/>
        </w:rPr>
        <w:t>响应</w:t>
      </w:r>
      <w:r>
        <w:rPr>
          <w:rFonts w:hint="eastAsia" w:ascii="宋体" w:hAnsi="宋体" w:cs="宋体"/>
          <w:color w:val="auto"/>
          <w:kern w:val="2"/>
          <w:sz w:val="21"/>
          <w:szCs w:val="21"/>
          <w:highlight w:val="none"/>
          <w:lang w:val="zh-CN"/>
        </w:rPr>
        <w:t>处理或可取消成交资格，并愿意接受按弄虚作假骗取成交的有关规定进行处理，</w:t>
      </w:r>
      <w:r>
        <w:rPr>
          <w:rFonts w:hint="eastAsia" w:ascii="宋体" w:hAnsi="宋体" w:cs="宋体"/>
          <w:color w:val="auto"/>
          <w:kern w:val="2"/>
          <w:sz w:val="21"/>
          <w:szCs w:val="21"/>
          <w:highlight w:val="none"/>
        </w:rPr>
        <w:t>并不予退还我方响应保证金</w:t>
      </w:r>
      <w:r>
        <w:rPr>
          <w:rFonts w:hint="eastAsia" w:ascii="宋体" w:hAnsi="宋体" w:cs="宋体"/>
          <w:color w:val="auto"/>
          <w:kern w:val="2"/>
          <w:sz w:val="21"/>
          <w:szCs w:val="21"/>
          <w:highlight w:val="none"/>
          <w:lang w:val="zh-CN"/>
        </w:rPr>
        <w:t>；</w:t>
      </w:r>
    </w:p>
    <w:p w14:paraId="202BFA26">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（九）若我方</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后，我方一定按照竞争性谈判文件的要求和响应文件的承诺签订和履行合同，否则贵方可取消我方</w:t>
      </w:r>
      <w:r>
        <w:rPr>
          <w:rFonts w:hint="eastAsia" w:ascii="宋体" w:hAnsi="宋体" w:cs="宋体"/>
          <w:color w:val="auto"/>
          <w:kern w:val="2"/>
          <w:sz w:val="21"/>
          <w:szCs w:val="21"/>
          <w:highlight w:val="none"/>
        </w:rPr>
        <w:t>成交</w:t>
      </w:r>
      <w:r>
        <w:rPr>
          <w:rFonts w:hint="eastAsia" w:ascii="宋体" w:hAnsi="宋体" w:cs="宋体"/>
          <w:color w:val="auto"/>
          <w:kern w:val="2"/>
          <w:sz w:val="21"/>
          <w:szCs w:val="21"/>
          <w:highlight w:val="none"/>
          <w:lang w:val="zh-CN"/>
        </w:rPr>
        <w:t>资格，</w:t>
      </w:r>
      <w:r>
        <w:rPr>
          <w:rFonts w:hint="eastAsia" w:ascii="宋体" w:hAnsi="宋体" w:cs="宋体"/>
          <w:color w:val="auto"/>
          <w:kern w:val="2"/>
          <w:sz w:val="21"/>
          <w:szCs w:val="21"/>
          <w:highlight w:val="none"/>
        </w:rPr>
        <w:t>并依法不予退还我方响应保证金或履约担保，</w:t>
      </w:r>
      <w:r>
        <w:rPr>
          <w:rFonts w:hint="eastAsia" w:ascii="宋体" w:hAnsi="宋体" w:cs="宋体"/>
          <w:color w:val="auto"/>
          <w:kern w:val="2"/>
          <w:sz w:val="21"/>
          <w:szCs w:val="21"/>
          <w:highlight w:val="none"/>
          <w:lang w:val="zh-CN"/>
        </w:rPr>
        <w:t>我方愿意接受违约</w:t>
      </w:r>
      <w:r>
        <w:rPr>
          <w:rFonts w:hint="eastAsia" w:ascii="宋体" w:hAnsi="宋体" w:cs="宋体"/>
          <w:color w:val="auto"/>
          <w:kern w:val="2"/>
          <w:sz w:val="21"/>
          <w:szCs w:val="21"/>
          <w:highlight w:val="none"/>
        </w:rPr>
        <w:t>处罚</w:t>
      </w:r>
      <w:r>
        <w:rPr>
          <w:rFonts w:hint="eastAsia" w:ascii="宋体" w:hAnsi="宋体" w:cs="宋体"/>
          <w:color w:val="auto"/>
          <w:kern w:val="2"/>
          <w:sz w:val="21"/>
          <w:szCs w:val="21"/>
          <w:highlight w:val="none"/>
          <w:lang w:val="zh-CN"/>
        </w:rPr>
        <w:t>；</w:t>
      </w:r>
    </w:p>
    <w:p w14:paraId="52283FE5">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（十）若我方获得成交后，核查出响应文件内容前后不一致，我方愿按最高标准的承诺履约义务；</w:t>
      </w:r>
    </w:p>
    <w:p w14:paraId="6D2827F4">
      <w:pPr>
        <w:spacing w:line="360" w:lineRule="auto"/>
        <w:ind w:firstLine="420" w:firstLine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（十一）所有与本</w:t>
      </w:r>
      <w:r>
        <w:rPr>
          <w:rFonts w:hint="eastAsia" w:ascii="宋体" w:hAnsi="宋体" w:cs="宋体"/>
          <w:color w:val="auto"/>
          <w:kern w:val="2"/>
          <w:sz w:val="21"/>
          <w:szCs w:val="21"/>
          <w:highlight w:val="none"/>
        </w:rPr>
        <w:t>次竞争性谈判</w:t>
      </w:r>
      <w:r>
        <w:rPr>
          <w:rFonts w:hint="eastAsia" w:ascii="宋体" w:hAnsi="宋体" w:cs="宋体"/>
          <w:color w:val="auto"/>
          <w:kern w:val="2"/>
          <w:sz w:val="21"/>
          <w:szCs w:val="21"/>
          <w:highlight w:val="none"/>
          <w:lang w:val="zh-CN"/>
        </w:rPr>
        <w:t>有关的函件请发往下列地址：</w:t>
      </w:r>
    </w:p>
    <w:p w14:paraId="3891ADD5">
      <w:pPr>
        <w:spacing w:line="360" w:lineRule="auto"/>
        <w:ind w:firstLine="840" w:firstLineChars="400"/>
        <w:jc w:val="both"/>
        <w:rPr>
          <w:rFonts w:ascii="宋体" w:hAnsi="宋体" w:cs="宋体"/>
          <w:color w:val="auto"/>
          <w:kern w:val="2"/>
          <w:sz w:val="21"/>
          <w:szCs w:val="21"/>
          <w:highlight w:val="none"/>
          <w:u w:val="single"/>
          <w:lang w:val="zh-CN"/>
        </w:rPr>
      </w:pPr>
      <w:r>
        <w:rPr>
          <w:rFonts w:hint="eastAsia" w:ascii="宋体" w:hAnsi="宋体" w:cs="宋体"/>
          <w:color w:val="auto"/>
          <w:kern w:val="2"/>
          <w:sz w:val="21"/>
          <w:szCs w:val="21"/>
          <w:highlight w:val="none"/>
          <w:lang w:val="zh-CN"/>
        </w:rPr>
        <w:t>地  　址：　　　　　　　　　　　</w:t>
      </w:r>
      <w:r>
        <w:rPr>
          <w:rFonts w:hint="eastAsia" w:ascii="宋体" w:hAnsi="宋体" w:cs="宋体"/>
          <w:color w:val="auto"/>
          <w:kern w:val="2"/>
          <w:sz w:val="21"/>
          <w:szCs w:val="21"/>
          <w:highlight w:val="none"/>
          <w:lang w:val="zh-CN"/>
        </w:rPr>
        <w:tab/>
      </w:r>
      <w:r>
        <w:rPr>
          <w:rFonts w:hint="eastAsia" w:ascii="宋体" w:hAnsi="宋体" w:cs="宋体"/>
          <w:color w:val="auto"/>
          <w:kern w:val="2"/>
          <w:sz w:val="21"/>
          <w:szCs w:val="21"/>
          <w:highlight w:val="none"/>
          <w:lang w:val="zh-CN"/>
        </w:rPr>
        <w:tab/>
      </w:r>
      <w:r>
        <w:rPr>
          <w:rFonts w:hint="eastAsia" w:ascii="宋体" w:hAnsi="宋体" w:cs="宋体"/>
          <w:color w:val="auto"/>
          <w:kern w:val="2"/>
          <w:sz w:val="21"/>
          <w:szCs w:val="21"/>
          <w:highlight w:val="none"/>
          <w:lang w:val="zh-CN"/>
        </w:rPr>
        <w:t>邮政编码：</w:t>
      </w:r>
      <w:r>
        <w:rPr>
          <w:rFonts w:hint="eastAsia" w:ascii="宋体" w:hAnsi="宋体" w:cs="宋体"/>
          <w:color w:val="auto"/>
          <w:kern w:val="2"/>
          <w:sz w:val="21"/>
          <w:szCs w:val="21"/>
          <w:highlight w:val="none"/>
          <w:u w:val="single"/>
          <w:lang w:val="zh-CN"/>
        </w:rPr>
        <w:t xml:space="preserve">　　　　　　　　　 　 </w:t>
      </w:r>
    </w:p>
    <w:p w14:paraId="47C69753">
      <w:pPr>
        <w:spacing w:line="360" w:lineRule="auto"/>
        <w:ind w:firstLine="840" w:firstLineChars="400"/>
        <w:jc w:val="both"/>
        <w:rPr>
          <w:rFonts w:ascii="宋体" w:hAnsi="宋体" w:cs="宋体"/>
          <w:color w:val="auto"/>
          <w:kern w:val="2"/>
          <w:sz w:val="21"/>
          <w:szCs w:val="21"/>
          <w:highlight w:val="none"/>
          <w:u w:val="single"/>
          <w:lang w:val="zh-CN"/>
        </w:rPr>
      </w:pPr>
      <w:r>
        <w:rPr>
          <w:rFonts w:hint="eastAsia" w:ascii="宋体" w:hAnsi="宋体" w:cs="宋体"/>
          <w:color w:val="auto"/>
          <w:kern w:val="2"/>
          <w:sz w:val="21"/>
          <w:szCs w:val="21"/>
          <w:highlight w:val="none"/>
          <w:lang w:val="zh-CN"/>
        </w:rPr>
        <w:t>电　　话：　　　　　　　　　　　</w:t>
      </w:r>
      <w:r>
        <w:rPr>
          <w:rFonts w:hint="eastAsia" w:ascii="宋体" w:hAnsi="宋体" w:cs="宋体"/>
          <w:color w:val="auto"/>
          <w:kern w:val="2"/>
          <w:sz w:val="21"/>
          <w:szCs w:val="21"/>
          <w:highlight w:val="none"/>
          <w:lang w:val="zh-CN"/>
        </w:rPr>
        <w:tab/>
      </w:r>
      <w:r>
        <w:rPr>
          <w:rFonts w:hint="eastAsia" w:ascii="宋体" w:hAnsi="宋体" w:cs="宋体"/>
          <w:color w:val="auto"/>
          <w:kern w:val="2"/>
          <w:sz w:val="21"/>
          <w:szCs w:val="21"/>
          <w:highlight w:val="none"/>
          <w:lang w:val="zh-CN"/>
        </w:rPr>
        <w:tab/>
      </w:r>
      <w:r>
        <w:rPr>
          <w:rFonts w:hint="eastAsia" w:ascii="宋体" w:hAnsi="宋体" w:cs="宋体"/>
          <w:color w:val="auto"/>
          <w:kern w:val="2"/>
          <w:sz w:val="21"/>
          <w:szCs w:val="21"/>
          <w:highlight w:val="none"/>
          <w:lang w:val="zh-CN"/>
        </w:rPr>
        <w:t>传　　真：</w:t>
      </w:r>
      <w:r>
        <w:rPr>
          <w:rFonts w:hint="eastAsia" w:ascii="宋体" w:hAnsi="宋体" w:cs="宋体"/>
          <w:color w:val="auto"/>
          <w:kern w:val="2"/>
          <w:sz w:val="21"/>
          <w:szCs w:val="21"/>
          <w:highlight w:val="none"/>
          <w:u w:val="single"/>
          <w:lang w:val="zh-CN"/>
        </w:rPr>
        <w:t>　　　　　　　　　　　</w:t>
      </w:r>
    </w:p>
    <w:p w14:paraId="28A827EA">
      <w:pPr>
        <w:spacing w:line="360" w:lineRule="auto"/>
        <w:ind w:firstLine="840" w:firstLineChars="4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网    站：                      电子邮箱：</w:t>
      </w:r>
      <w:r>
        <w:rPr>
          <w:rFonts w:hint="eastAsia" w:ascii="宋体" w:hAnsi="宋体" w:cs="宋体"/>
          <w:color w:val="auto"/>
          <w:kern w:val="2"/>
          <w:sz w:val="21"/>
          <w:szCs w:val="21"/>
          <w:highlight w:val="none"/>
          <w:u w:val="single"/>
          <w:lang w:val="zh-CN"/>
        </w:rPr>
        <w:t xml:space="preserve">                      </w:t>
      </w:r>
    </w:p>
    <w:p w14:paraId="561010E7">
      <w:pPr>
        <w:spacing w:line="360" w:lineRule="auto"/>
        <w:ind w:firstLine="840" w:firstLineChars="400"/>
        <w:jc w:val="both"/>
        <w:rPr>
          <w:rFonts w:ascii="宋体" w:hAnsi="宋体" w:cs="宋体"/>
          <w:color w:val="auto"/>
          <w:kern w:val="2"/>
          <w:sz w:val="21"/>
          <w:szCs w:val="21"/>
          <w:highlight w:val="none"/>
          <w:u w:val="single"/>
          <w:lang w:val="zh-CN"/>
        </w:rPr>
      </w:pPr>
      <w:r>
        <w:rPr>
          <w:rFonts w:hint="eastAsia" w:ascii="宋体" w:hAnsi="宋体" w:cs="宋体"/>
          <w:color w:val="auto"/>
          <w:kern w:val="2"/>
          <w:sz w:val="21"/>
          <w:szCs w:val="21"/>
          <w:highlight w:val="none"/>
          <w:lang w:val="zh-CN"/>
        </w:rPr>
        <w:t>代表姓名：　　　　　　　　　　　职　　务：</w:t>
      </w:r>
      <w:r>
        <w:rPr>
          <w:rFonts w:hint="eastAsia" w:ascii="宋体" w:hAnsi="宋体" w:cs="宋体"/>
          <w:color w:val="auto"/>
          <w:kern w:val="2"/>
          <w:sz w:val="21"/>
          <w:szCs w:val="21"/>
          <w:highlight w:val="none"/>
          <w:u w:val="single"/>
          <w:lang w:val="zh-CN"/>
        </w:rPr>
        <w:t xml:space="preserve">　　　　　　　　　　 </w:t>
      </w:r>
    </w:p>
    <w:p w14:paraId="4165400A">
      <w:pPr>
        <w:spacing w:line="360" w:lineRule="auto"/>
        <w:ind w:left="631" w:leftChars="88" w:hanging="420" w:hangingChars="200"/>
        <w:jc w:val="both"/>
        <w:rPr>
          <w:rFonts w:ascii="宋体" w:hAnsi="宋体" w:cs="宋体"/>
          <w:color w:val="auto"/>
          <w:kern w:val="2"/>
          <w:sz w:val="21"/>
          <w:szCs w:val="21"/>
          <w:highlight w:val="none"/>
          <w:u w:val="single"/>
          <w:lang w:val="zh-CN"/>
        </w:rPr>
      </w:pPr>
    </w:p>
    <w:p w14:paraId="64569C78">
      <w:pPr>
        <w:spacing w:line="360" w:lineRule="auto"/>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ab/>
      </w:r>
      <w:r>
        <w:rPr>
          <w:rFonts w:hint="eastAsia" w:ascii="宋体" w:hAnsi="宋体" w:cs="宋体"/>
          <w:color w:val="auto"/>
          <w:kern w:val="2"/>
          <w:sz w:val="21"/>
          <w:szCs w:val="21"/>
          <w:highlight w:val="none"/>
          <w:lang w:val="zh-CN"/>
        </w:rPr>
        <w:tab/>
      </w:r>
      <w:r>
        <w:rPr>
          <w:rFonts w:hint="eastAsia" w:ascii="宋体" w:hAnsi="宋体" w:cs="宋体"/>
          <w:color w:val="auto"/>
          <w:kern w:val="2"/>
          <w:sz w:val="21"/>
          <w:szCs w:val="21"/>
          <w:highlight w:val="none"/>
          <w:lang w:val="zh-CN"/>
        </w:rPr>
        <w:t xml:space="preserve">                       </w:t>
      </w:r>
    </w:p>
    <w:p w14:paraId="69BD8374">
      <w:pPr>
        <w:spacing w:line="360" w:lineRule="auto"/>
        <w:ind w:right="17" w:firstLine="4935" w:firstLineChars="235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 xml:space="preserve"> </w:t>
      </w:r>
    </w:p>
    <w:p w14:paraId="2668ED82">
      <w:pPr>
        <w:spacing w:line="360" w:lineRule="auto"/>
        <w:ind w:firstLine="5040" w:firstLineChars="2400"/>
        <w:jc w:val="both"/>
        <w:rPr>
          <w:rFonts w:ascii="宋体" w:hAnsi="宋体" w:cs="宋体"/>
          <w:color w:val="auto"/>
          <w:kern w:val="2"/>
          <w:sz w:val="21"/>
          <w:highlight w:val="none"/>
          <w:u w:val="single"/>
        </w:rPr>
      </w:pPr>
      <w:r>
        <w:rPr>
          <w:rFonts w:hint="eastAsia" w:ascii="宋体" w:hAnsi="宋体" w:cs="宋体"/>
          <w:color w:val="auto"/>
          <w:kern w:val="2"/>
          <w:sz w:val="21"/>
          <w:highlight w:val="none"/>
          <w:lang w:val="zh-CN"/>
        </w:rPr>
        <w:t>供应商：（加盖供应商法人公章）</w:t>
      </w:r>
    </w:p>
    <w:p w14:paraId="226C4B14">
      <w:pPr>
        <w:spacing w:line="360" w:lineRule="auto"/>
        <w:ind w:firstLine="5040" w:firstLineChars="240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 xml:space="preserve">法定代表人或其授权代表签名（或盖私章）：    </w:t>
      </w:r>
    </w:p>
    <w:p w14:paraId="2F88F03E">
      <w:pPr>
        <w:spacing w:line="360" w:lineRule="auto"/>
        <w:ind w:firstLine="5040" w:firstLineChars="2400"/>
        <w:jc w:val="both"/>
        <w:rPr>
          <w:rFonts w:ascii="宋体" w:hAnsi="宋体" w:cs="宋体"/>
          <w:color w:val="auto"/>
          <w:kern w:val="2"/>
          <w:highlight w:val="none"/>
          <w:lang w:val="zh-CN"/>
        </w:rPr>
      </w:pPr>
      <w:r>
        <w:rPr>
          <w:rFonts w:hint="eastAsia" w:ascii="宋体" w:hAnsi="宋体" w:cs="宋体"/>
          <w:color w:val="auto"/>
          <w:kern w:val="2"/>
          <w:sz w:val="21"/>
          <w:highlight w:val="none"/>
          <w:lang w:val="zh-CN"/>
        </w:rPr>
        <w:t>日</w:t>
      </w:r>
      <w:r>
        <w:rPr>
          <w:rFonts w:hint="eastAsia" w:ascii="宋体" w:hAnsi="宋体" w:cs="宋体"/>
          <w:color w:val="auto"/>
          <w:kern w:val="2"/>
          <w:sz w:val="21"/>
          <w:highlight w:val="none"/>
        </w:rPr>
        <w:t xml:space="preserve">  </w:t>
      </w:r>
      <w:r>
        <w:rPr>
          <w:rFonts w:hint="eastAsia" w:ascii="宋体" w:hAnsi="宋体" w:cs="宋体"/>
          <w:color w:val="auto"/>
          <w:kern w:val="2"/>
          <w:sz w:val="21"/>
          <w:highlight w:val="none"/>
          <w:lang w:val="zh-CN"/>
        </w:rPr>
        <w:t>期：</w:t>
      </w:r>
      <w:r>
        <w:rPr>
          <w:rFonts w:hint="eastAsia" w:ascii="宋体" w:hAnsi="宋体" w:cs="宋体"/>
          <w:color w:val="auto"/>
          <w:kern w:val="2"/>
          <w:sz w:val="21"/>
          <w:highlight w:val="none"/>
          <w:u w:val="single"/>
          <w:lang w:val="zh-CN"/>
        </w:rPr>
        <w:t xml:space="preserve">   </w:t>
      </w:r>
      <w:r>
        <w:rPr>
          <w:rFonts w:hint="eastAsia" w:ascii="宋体" w:hAnsi="宋体" w:cs="宋体"/>
          <w:color w:val="auto"/>
          <w:kern w:val="2"/>
          <w:sz w:val="21"/>
          <w:highlight w:val="none"/>
          <w:lang w:val="zh-CN"/>
        </w:rPr>
        <w:t>年</w:t>
      </w:r>
      <w:r>
        <w:rPr>
          <w:rFonts w:hint="eastAsia" w:ascii="宋体" w:hAnsi="宋体" w:cs="宋体"/>
          <w:color w:val="auto"/>
          <w:kern w:val="2"/>
          <w:sz w:val="21"/>
          <w:highlight w:val="none"/>
          <w:u w:val="single"/>
          <w:lang w:val="zh-CN"/>
        </w:rPr>
        <w:t xml:space="preserve">    </w:t>
      </w:r>
      <w:r>
        <w:rPr>
          <w:rFonts w:hint="eastAsia" w:ascii="宋体" w:hAnsi="宋体" w:cs="宋体"/>
          <w:color w:val="auto"/>
          <w:kern w:val="2"/>
          <w:sz w:val="21"/>
          <w:highlight w:val="none"/>
          <w:lang w:val="zh-CN"/>
        </w:rPr>
        <w:t>月</w:t>
      </w:r>
      <w:r>
        <w:rPr>
          <w:rFonts w:hint="eastAsia" w:ascii="宋体" w:hAnsi="宋体" w:cs="宋体"/>
          <w:color w:val="auto"/>
          <w:kern w:val="2"/>
          <w:sz w:val="21"/>
          <w:highlight w:val="none"/>
          <w:u w:val="single"/>
          <w:lang w:val="zh-CN"/>
        </w:rPr>
        <w:t xml:space="preserve">   </w:t>
      </w:r>
      <w:r>
        <w:rPr>
          <w:rFonts w:hint="eastAsia" w:ascii="宋体" w:hAnsi="宋体" w:cs="宋体"/>
          <w:color w:val="auto"/>
          <w:kern w:val="2"/>
          <w:sz w:val="21"/>
          <w:highlight w:val="none"/>
          <w:lang w:val="zh-CN"/>
        </w:rPr>
        <w:t xml:space="preserve">日 </w:t>
      </w:r>
    </w:p>
    <w:p w14:paraId="33755A48">
      <w:pPr>
        <w:spacing w:line="360" w:lineRule="auto"/>
        <w:ind w:right="17" w:firstLine="4935" w:firstLineChars="2350"/>
        <w:jc w:val="both"/>
        <w:rPr>
          <w:rFonts w:ascii="宋体" w:hAnsi="宋体" w:cs="宋体"/>
          <w:color w:val="auto"/>
          <w:kern w:val="2"/>
          <w:sz w:val="21"/>
          <w:szCs w:val="21"/>
          <w:highlight w:val="none"/>
          <w:lang w:val="zh-CN"/>
        </w:rPr>
      </w:pPr>
    </w:p>
    <w:p w14:paraId="38155B3E">
      <w:pPr>
        <w:spacing w:line="360" w:lineRule="auto"/>
        <w:ind w:right="17" w:firstLine="4935" w:firstLineChars="2350"/>
        <w:jc w:val="both"/>
        <w:rPr>
          <w:rFonts w:ascii="宋体" w:hAnsi="宋体" w:cs="宋体"/>
          <w:color w:val="auto"/>
          <w:kern w:val="2"/>
          <w:sz w:val="21"/>
          <w:szCs w:val="21"/>
          <w:highlight w:val="none"/>
          <w:lang w:val="zh-CN"/>
        </w:rPr>
      </w:pPr>
    </w:p>
    <w:p w14:paraId="265A2042">
      <w:pPr>
        <w:spacing w:line="360" w:lineRule="auto"/>
        <w:ind w:right="17" w:firstLine="4935" w:firstLineChars="2350"/>
        <w:jc w:val="both"/>
        <w:rPr>
          <w:rFonts w:ascii="宋体" w:hAnsi="宋体" w:cs="宋体"/>
          <w:color w:val="auto"/>
          <w:kern w:val="2"/>
          <w:sz w:val="21"/>
          <w:szCs w:val="21"/>
          <w:highlight w:val="none"/>
          <w:lang w:val="zh-CN"/>
        </w:rPr>
      </w:pPr>
    </w:p>
    <w:p w14:paraId="6A94496F">
      <w:pPr>
        <w:spacing w:line="360" w:lineRule="auto"/>
        <w:ind w:right="17" w:firstLine="4935" w:firstLineChars="2350"/>
        <w:jc w:val="both"/>
        <w:rPr>
          <w:rFonts w:ascii="宋体" w:hAnsi="宋体" w:cs="宋体"/>
          <w:color w:val="auto"/>
          <w:kern w:val="2"/>
          <w:sz w:val="21"/>
          <w:szCs w:val="21"/>
          <w:highlight w:val="none"/>
          <w:lang w:val="zh-CN"/>
        </w:rPr>
      </w:pPr>
    </w:p>
    <w:p w14:paraId="55D20FC6">
      <w:pPr>
        <w:rPr>
          <w:rFonts w:ascii="宋体" w:hAnsi="宋体" w:cs="宋体"/>
          <w:b/>
          <w:color w:val="auto"/>
          <w:sz w:val="32"/>
          <w:szCs w:val="32"/>
          <w:highlight w:val="none"/>
        </w:rPr>
      </w:pPr>
      <w:r>
        <w:rPr>
          <w:rFonts w:hint="eastAsia" w:ascii="宋体" w:hAnsi="宋体" w:cs="宋体"/>
          <w:color w:val="auto"/>
          <w:highlight w:val="none"/>
        </w:rPr>
        <w:br w:type="page"/>
      </w:r>
      <w:bookmarkStart w:id="241" w:name="_Toc495907131"/>
      <w:bookmarkStart w:id="242" w:name="_Toc15830"/>
      <w:bookmarkStart w:id="243" w:name="_Toc79146597"/>
      <w:bookmarkStart w:id="244" w:name="_Toc497746559"/>
      <w:bookmarkStart w:id="245" w:name="_Toc19008823"/>
      <w:bookmarkStart w:id="246" w:name="_Toc56076623"/>
      <w:bookmarkStart w:id="247" w:name="_Toc490169462"/>
      <w:bookmarkStart w:id="248" w:name="_Toc14924"/>
      <w:bookmarkStart w:id="249" w:name="_Toc1123950"/>
      <w:bookmarkStart w:id="250" w:name="_Toc521918115"/>
      <w:bookmarkStart w:id="251" w:name="_Toc12121"/>
      <w:bookmarkStart w:id="252" w:name="_Toc5098068"/>
      <w:bookmarkStart w:id="253" w:name="_Toc54334004"/>
      <w:r>
        <w:rPr>
          <w:rFonts w:hint="eastAsia" w:ascii="宋体" w:hAnsi="宋体" w:cs="宋体"/>
          <w:b/>
          <w:color w:val="auto"/>
          <w:sz w:val="32"/>
          <w:szCs w:val="32"/>
          <w:highlight w:val="none"/>
        </w:rPr>
        <w:t>二、响应承诺书格式</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76B400B5">
      <w:pPr>
        <w:jc w:val="center"/>
        <w:rPr>
          <w:rFonts w:ascii="宋体" w:hAnsi="宋体" w:cs="宋体"/>
          <w:b/>
          <w:color w:val="auto"/>
          <w:sz w:val="32"/>
          <w:szCs w:val="32"/>
          <w:highlight w:val="none"/>
        </w:rPr>
      </w:pPr>
      <w:r>
        <w:rPr>
          <w:rFonts w:hint="eastAsia" w:ascii="宋体" w:hAnsi="宋体" w:cs="宋体"/>
          <w:b/>
          <w:color w:val="auto"/>
          <w:sz w:val="21"/>
          <w:szCs w:val="21"/>
          <w:highlight w:val="none"/>
        </w:rPr>
        <w:cr/>
      </w:r>
      <w:r>
        <w:rPr>
          <w:rFonts w:hint="eastAsia" w:ascii="宋体" w:hAnsi="宋体" w:cs="宋体"/>
          <w:b/>
          <w:color w:val="auto"/>
          <w:sz w:val="30"/>
          <w:szCs w:val="30"/>
          <w:highlight w:val="none"/>
        </w:rPr>
        <w:t>响应承诺书</w:t>
      </w:r>
    </w:p>
    <w:p w14:paraId="728C2187">
      <w:pPr>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w:t>
      </w:r>
      <w:r>
        <w:rPr>
          <w:rFonts w:hint="eastAsia" w:ascii="宋体" w:hAnsi="宋体" w:cs="宋体"/>
          <w:color w:val="auto"/>
          <w:sz w:val="21"/>
          <w:szCs w:val="21"/>
          <w:highlight w:val="none"/>
          <w:u w:val="single"/>
        </w:rPr>
        <w:t xml:space="preserve">   （供应商名称）   </w:t>
      </w:r>
      <w:r>
        <w:rPr>
          <w:rFonts w:hint="eastAsia" w:ascii="宋体" w:hAnsi="宋体" w:cs="宋体"/>
          <w:color w:val="auto"/>
          <w:sz w:val="21"/>
          <w:szCs w:val="21"/>
          <w:highlight w:val="none"/>
        </w:rPr>
        <w:t>已完整阅读了</w:t>
      </w:r>
      <w:r>
        <w:rPr>
          <w:rFonts w:hint="eastAsia" w:ascii="宋体" w:hAnsi="宋体" w:cs="宋体"/>
          <w:color w:val="auto"/>
          <w:sz w:val="21"/>
          <w:szCs w:val="21"/>
          <w:highlight w:val="none"/>
          <w:u w:val="single"/>
        </w:rPr>
        <w:t>东莞市水务集团有限公司2025年直购电采购项目</w:t>
      </w:r>
      <w:r>
        <w:rPr>
          <w:rFonts w:hint="eastAsia" w:ascii="宋体" w:hAnsi="宋体" w:cs="宋体"/>
          <w:color w:val="auto"/>
          <w:sz w:val="21"/>
          <w:szCs w:val="21"/>
          <w:highlight w:val="none"/>
        </w:rPr>
        <w:t>（采购编号：</w:t>
      </w:r>
      <w:r>
        <w:rPr>
          <w:rFonts w:hint="eastAsia" w:ascii="宋体" w:hAnsi="宋体" w:cs="宋体"/>
          <w:color w:val="auto"/>
          <w:sz w:val="21"/>
          <w:szCs w:val="21"/>
          <w:highlight w:val="none"/>
          <w:u w:val="single"/>
          <w:lang w:val="zh-CN"/>
        </w:rPr>
        <w:t>广建咨询（东招）2024-0149号</w:t>
      </w:r>
      <w:r>
        <w:rPr>
          <w:rFonts w:hint="eastAsia" w:ascii="宋体" w:hAnsi="宋体" w:cs="宋体"/>
          <w:color w:val="auto"/>
          <w:sz w:val="21"/>
          <w:szCs w:val="21"/>
          <w:highlight w:val="none"/>
        </w:rPr>
        <w:t>）竞争性谈判文件的所有内容（包括澄清，以及所有已提供的参考资料和有关附件），并完全理解上述文件所表达的意思，该项目递交响应文件时间截止后，我方承诺不再对上述文件内容进行询问或异议。</w:t>
      </w:r>
    </w:p>
    <w:p w14:paraId="04EF28F7">
      <w:pPr>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我方承诺，若我方存在通过弄虚作假、虚假响应竞争性谈判文件要求等手段骗取成交的，采购人有权或协助主管部门认定我方严重失信的不良行为，纳入相关企业信用“黑名单”，限制我方参与依法必须招标项目的投标，并向行政主管部门报送结果。同时，采购人有权根据《关于对环境保护领域失信生产经营单位及其有关人员开展联合惩戒的合作备忘录》等规定，通过“信用中国”网站向社会公示我方的失信行为，实现“一处失信、处处受限”。</w:t>
      </w:r>
    </w:p>
    <w:p w14:paraId="66033504">
      <w:pPr>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我方在谈判或履行本合同过程中存在提供虚假材料、虚假响应竞争性谈判文件要求等弄虚作假行为，或未能根据竞争性谈判文件谈判须知第29.2款约定按时提供原件核查的，因此导致我方无法参与东莞市水务集团有限公司相关采购活动的，由我方自行承担全部后果。</w:t>
      </w:r>
    </w:p>
    <w:p w14:paraId="2415B784">
      <w:pPr>
        <w:spacing w:line="360" w:lineRule="auto"/>
        <w:ind w:firstLine="420" w:firstLineChars="200"/>
        <w:rPr>
          <w:rFonts w:ascii="宋体" w:hAnsi="宋体" w:cs="宋体"/>
          <w:color w:val="auto"/>
          <w:sz w:val="21"/>
          <w:szCs w:val="21"/>
          <w:highlight w:val="none"/>
        </w:rPr>
      </w:pPr>
    </w:p>
    <w:p w14:paraId="702E0D5B">
      <w:pPr>
        <w:spacing w:line="360" w:lineRule="auto"/>
        <w:ind w:firstLine="480" w:firstLineChars="200"/>
        <w:rPr>
          <w:rFonts w:ascii="宋体" w:hAnsi="宋体" w:cs="宋体"/>
          <w:color w:val="auto"/>
          <w:highlight w:val="none"/>
        </w:rPr>
      </w:pPr>
    </w:p>
    <w:p w14:paraId="31C3440F">
      <w:pPr>
        <w:spacing w:line="360" w:lineRule="auto"/>
        <w:rPr>
          <w:rFonts w:ascii="宋体" w:hAnsi="宋体" w:cs="宋体"/>
          <w:color w:val="auto"/>
          <w:highlight w:val="none"/>
        </w:rPr>
      </w:pPr>
    </w:p>
    <w:p w14:paraId="2B16D1C9">
      <w:pPr>
        <w:spacing w:line="360" w:lineRule="auto"/>
        <w:rPr>
          <w:rFonts w:ascii="宋体" w:hAnsi="宋体" w:cs="宋体"/>
          <w:color w:val="auto"/>
          <w:highlight w:val="none"/>
        </w:rPr>
      </w:pPr>
    </w:p>
    <w:p w14:paraId="257AD9CC">
      <w:pPr>
        <w:spacing w:line="360" w:lineRule="auto"/>
        <w:ind w:firstLine="4252" w:firstLineChars="2025"/>
        <w:jc w:val="both"/>
        <w:rPr>
          <w:rFonts w:ascii="宋体" w:hAnsi="宋体" w:cs="宋体"/>
          <w:color w:val="auto"/>
          <w:kern w:val="2"/>
          <w:sz w:val="21"/>
          <w:highlight w:val="none"/>
          <w:u w:val="single"/>
        </w:rPr>
      </w:pPr>
      <w:r>
        <w:rPr>
          <w:rFonts w:hint="eastAsia" w:ascii="宋体" w:hAnsi="宋体" w:cs="宋体"/>
          <w:color w:val="auto"/>
          <w:kern w:val="2"/>
          <w:sz w:val="21"/>
          <w:highlight w:val="none"/>
          <w:lang w:val="zh-CN"/>
        </w:rPr>
        <w:t>供应商：（加盖供应商法人公章）</w:t>
      </w:r>
    </w:p>
    <w:p w14:paraId="75022F6A">
      <w:pPr>
        <w:spacing w:line="360" w:lineRule="auto"/>
        <w:ind w:firstLine="4252" w:firstLineChars="2025"/>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法定代表人或其授权代表签名（或盖私章）：</w:t>
      </w:r>
    </w:p>
    <w:p w14:paraId="6FE1DA35">
      <w:pPr>
        <w:spacing w:line="360" w:lineRule="auto"/>
        <w:ind w:firstLine="4252" w:firstLineChars="2025"/>
        <w:jc w:val="both"/>
        <w:rPr>
          <w:rFonts w:ascii="宋体" w:hAnsi="宋体" w:cs="宋体"/>
          <w:color w:val="auto"/>
          <w:kern w:val="2"/>
          <w:highlight w:val="none"/>
          <w:lang w:val="zh-CN"/>
        </w:rPr>
      </w:pPr>
      <w:r>
        <w:rPr>
          <w:rFonts w:hint="eastAsia" w:ascii="宋体" w:hAnsi="宋体" w:cs="宋体"/>
          <w:color w:val="auto"/>
          <w:kern w:val="2"/>
          <w:sz w:val="21"/>
          <w:highlight w:val="none"/>
          <w:lang w:val="zh-CN"/>
        </w:rPr>
        <w:t>日</w:t>
      </w:r>
      <w:r>
        <w:rPr>
          <w:rFonts w:hint="eastAsia" w:ascii="宋体" w:hAnsi="宋体" w:cs="宋体"/>
          <w:color w:val="auto"/>
          <w:kern w:val="2"/>
          <w:sz w:val="21"/>
          <w:highlight w:val="none"/>
        </w:rPr>
        <w:t xml:space="preserve">  </w:t>
      </w:r>
      <w:r>
        <w:rPr>
          <w:rFonts w:hint="eastAsia" w:ascii="宋体" w:hAnsi="宋体" w:cs="宋体"/>
          <w:color w:val="auto"/>
          <w:kern w:val="2"/>
          <w:sz w:val="21"/>
          <w:highlight w:val="none"/>
          <w:lang w:val="zh-CN"/>
        </w:rPr>
        <w:t>期：</w:t>
      </w:r>
      <w:r>
        <w:rPr>
          <w:rFonts w:hint="eastAsia" w:ascii="宋体" w:hAnsi="宋体" w:cs="宋体"/>
          <w:color w:val="auto"/>
          <w:kern w:val="2"/>
          <w:sz w:val="21"/>
          <w:highlight w:val="none"/>
          <w:u w:val="single"/>
          <w:lang w:val="zh-CN"/>
        </w:rPr>
        <w:t xml:space="preserve">   </w:t>
      </w:r>
      <w:r>
        <w:rPr>
          <w:rFonts w:hint="eastAsia" w:ascii="宋体" w:hAnsi="宋体" w:cs="宋体"/>
          <w:color w:val="auto"/>
          <w:kern w:val="2"/>
          <w:sz w:val="21"/>
          <w:highlight w:val="none"/>
          <w:lang w:val="zh-CN"/>
        </w:rPr>
        <w:t>年</w:t>
      </w:r>
      <w:r>
        <w:rPr>
          <w:rFonts w:hint="eastAsia" w:ascii="宋体" w:hAnsi="宋体" w:cs="宋体"/>
          <w:color w:val="auto"/>
          <w:kern w:val="2"/>
          <w:sz w:val="21"/>
          <w:highlight w:val="none"/>
          <w:u w:val="single"/>
          <w:lang w:val="zh-CN"/>
        </w:rPr>
        <w:t xml:space="preserve">    </w:t>
      </w:r>
      <w:r>
        <w:rPr>
          <w:rFonts w:hint="eastAsia" w:ascii="宋体" w:hAnsi="宋体" w:cs="宋体"/>
          <w:color w:val="auto"/>
          <w:kern w:val="2"/>
          <w:sz w:val="21"/>
          <w:highlight w:val="none"/>
          <w:lang w:val="zh-CN"/>
        </w:rPr>
        <w:t>月</w:t>
      </w:r>
      <w:r>
        <w:rPr>
          <w:rFonts w:hint="eastAsia" w:ascii="宋体" w:hAnsi="宋体" w:cs="宋体"/>
          <w:color w:val="auto"/>
          <w:kern w:val="2"/>
          <w:sz w:val="21"/>
          <w:highlight w:val="none"/>
          <w:u w:val="single"/>
          <w:lang w:val="zh-CN"/>
        </w:rPr>
        <w:t xml:space="preserve">   </w:t>
      </w:r>
      <w:r>
        <w:rPr>
          <w:rFonts w:hint="eastAsia" w:ascii="宋体" w:hAnsi="宋体" w:cs="宋体"/>
          <w:color w:val="auto"/>
          <w:kern w:val="2"/>
          <w:sz w:val="21"/>
          <w:highlight w:val="none"/>
          <w:lang w:val="zh-CN"/>
        </w:rPr>
        <w:t xml:space="preserve">日 </w:t>
      </w:r>
    </w:p>
    <w:p w14:paraId="467D2840">
      <w:pPr>
        <w:rPr>
          <w:rFonts w:ascii="宋体" w:hAnsi="宋体" w:cs="宋体"/>
          <w:color w:val="auto"/>
          <w:highlight w:val="none"/>
        </w:rPr>
      </w:pPr>
      <w:bookmarkStart w:id="254" w:name="_Toc311032584"/>
      <w:bookmarkStart w:id="255" w:name="_Toc326768876"/>
      <w:bookmarkStart w:id="256" w:name="_Toc316896755"/>
      <w:r>
        <w:rPr>
          <w:rFonts w:hint="eastAsia" w:ascii="宋体" w:hAnsi="宋体" w:cs="宋体"/>
          <w:color w:val="auto"/>
          <w:highlight w:val="none"/>
        </w:rPr>
        <w:br w:type="page"/>
      </w:r>
    </w:p>
    <w:p w14:paraId="4A7E08F9">
      <w:pPr>
        <w:pageBreakBefore/>
        <w:spacing w:line="360" w:lineRule="auto"/>
        <w:rPr>
          <w:rFonts w:ascii="宋体" w:hAnsi="宋体" w:cs="宋体"/>
          <w:b/>
          <w:color w:val="auto"/>
          <w:sz w:val="32"/>
          <w:szCs w:val="32"/>
          <w:highlight w:val="none"/>
        </w:rPr>
      </w:pPr>
      <w:bookmarkStart w:id="257" w:name="_Toc495907132"/>
      <w:bookmarkStart w:id="258" w:name="_Toc54334005"/>
      <w:bookmarkStart w:id="259" w:name="_Toc1123951"/>
      <w:bookmarkStart w:id="260" w:name="_Toc497746560"/>
      <w:bookmarkStart w:id="261" w:name="_Toc19008824"/>
      <w:bookmarkStart w:id="262" w:name="_Toc56076624"/>
      <w:bookmarkStart w:id="263" w:name="_Toc79146598"/>
      <w:bookmarkStart w:id="264" w:name="_Toc521918116"/>
      <w:bookmarkStart w:id="265" w:name="_Toc490169463"/>
      <w:bookmarkStart w:id="266" w:name="_Toc5098069"/>
      <w:bookmarkStart w:id="267" w:name="_Toc19153"/>
      <w:bookmarkStart w:id="268" w:name="_Toc16943"/>
      <w:bookmarkStart w:id="269" w:name="_Toc8924"/>
      <w:r>
        <w:rPr>
          <w:rFonts w:hint="eastAsia" w:ascii="宋体" w:hAnsi="宋体" w:cs="宋体"/>
          <w:b/>
          <w:color w:val="auto"/>
          <w:sz w:val="32"/>
          <w:szCs w:val="32"/>
          <w:highlight w:val="none"/>
        </w:rPr>
        <w:t>三、首轮报价表格式</w:t>
      </w:r>
      <w:bookmarkEnd w:id="257"/>
      <w:bookmarkEnd w:id="258"/>
      <w:bookmarkEnd w:id="259"/>
      <w:bookmarkEnd w:id="260"/>
      <w:bookmarkEnd w:id="261"/>
      <w:bookmarkEnd w:id="262"/>
      <w:bookmarkEnd w:id="263"/>
      <w:bookmarkEnd w:id="264"/>
      <w:bookmarkEnd w:id="265"/>
      <w:bookmarkEnd w:id="266"/>
      <w:bookmarkEnd w:id="267"/>
      <w:bookmarkEnd w:id="268"/>
      <w:bookmarkEnd w:id="269"/>
    </w:p>
    <w:p w14:paraId="602B1D9C">
      <w:pPr>
        <w:spacing w:line="360" w:lineRule="auto"/>
        <w:rPr>
          <w:rFonts w:ascii="宋体" w:hAnsi="宋体" w:cs="宋体"/>
          <w:b/>
          <w:bCs/>
          <w:color w:val="auto"/>
          <w:kern w:val="2"/>
          <w:sz w:val="30"/>
          <w:szCs w:val="30"/>
          <w:highlight w:val="none"/>
          <w:lang w:val="zh-CN"/>
        </w:rPr>
      </w:pPr>
      <w:bookmarkStart w:id="270" w:name="_Toc140596926"/>
      <w:bookmarkStart w:id="271" w:name="_Toc15425"/>
      <w:bookmarkStart w:id="272" w:name="_Toc102860416"/>
      <w:bookmarkStart w:id="273" w:name="_Toc142508367"/>
      <w:bookmarkStart w:id="274" w:name="_Toc1294"/>
      <w:bookmarkStart w:id="275" w:name="_Toc94107207"/>
      <w:bookmarkStart w:id="276" w:name="_Toc104991873"/>
      <w:bookmarkStart w:id="277" w:name="_Toc2395_WPSOffice_Level3"/>
      <w:bookmarkStart w:id="278" w:name="_Toc102860072"/>
      <w:bookmarkStart w:id="279" w:name="_Toc24175"/>
      <w:bookmarkStart w:id="280" w:name="_Toc532576763"/>
      <w:bookmarkStart w:id="281" w:name="_Toc521918117"/>
      <w:bookmarkStart w:id="282" w:name="_Toc521576296"/>
      <w:bookmarkStart w:id="283" w:name="_Toc521918314"/>
      <w:bookmarkStart w:id="284" w:name="_Toc522047376"/>
      <w:bookmarkStart w:id="285" w:name="_Toc519153435"/>
      <w:r>
        <w:rPr>
          <w:rFonts w:hint="eastAsia" w:ascii="宋体" w:hAnsi="宋体" w:cs="宋体"/>
          <w:b/>
          <w:bCs/>
          <w:color w:val="auto"/>
          <w:kern w:val="2"/>
          <w:sz w:val="30"/>
          <w:szCs w:val="30"/>
          <w:highlight w:val="none"/>
          <w:lang w:val="zh-CN"/>
        </w:rPr>
        <w:t xml:space="preserve">4.1 </w:t>
      </w:r>
      <w:r>
        <w:rPr>
          <w:rFonts w:hint="eastAsia" w:ascii="宋体" w:hAnsi="宋体" w:cs="宋体"/>
          <w:b/>
          <w:bCs/>
          <w:color w:val="auto"/>
          <w:kern w:val="2"/>
          <w:sz w:val="30"/>
          <w:szCs w:val="30"/>
          <w:highlight w:val="none"/>
        </w:rPr>
        <w:t>首轮</w:t>
      </w:r>
      <w:r>
        <w:rPr>
          <w:rFonts w:hint="eastAsia" w:ascii="宋体" w:hAnsi="宋体" w:cs="宋体"/>
          <w:b/>
          <w:bCs/>
          <w:color w:val="auto"/>
          <w:kern w:val="2"/>
          <w:sz w:val="30"/>
          <w:szCs w:val="30"/>
          <w:highlight w:val="none"/>
          <w:lang w:val="zh-CN"/>
        </w:rPr>
        <w:t>报价表</w:t>
      </w:r>
      <w:bookmarkEnd w:id="270"/>
      <w:bookmarkEnd w:id="271"/>
      <w:bookmarkEnd w:id="272"/>
      <w:bookmarkEnd w:id="273"/>
      <w:bookmarkEnd w:id="274"/>
      <w:bookmarkEnd w:id="275"/>
      <w:bookmarkEnd w:id="276"/>
      <w:bookmarkEnd w:id="277"/>
      <w:bookmarkEnd w:id="278"/>
      <w:bookmarkEnd w:id="279"/>
    </w:p>
    <w:p w14:paraId="711BCBC0">
      <w:pPr>
        <w:spacing w:line="360" w:lineRule="auto"/>
        <w:jc w:val="center"/>
        <w:rPr>
          <w:rFonts w:ascii="宋体" w:hAnsi="宋体" w:cs="宋体"/>
          <w:b/>
          <w:bCs/>
          <w:color w:val="auto"/>
          <w:kern w:val="2"/>
          <w:sz w:val="30"/>
          <w:szCs w:val="30"/>
          <w:highlight w:val="none"/>
        </w:rPr>
      </w:pPr>
      <w:r>
        <w:rPr>
          <w:rFonts w:hint="eastAsia" w:ascii="宋体" w:hAnsi="宋体" w:cs="宋体"/>
          <w:b/>
          <w:bCs/>
          <w:color w:val="auto"/>
          <w:kern w:val="2"/>
          <w:sz w:val="30"/>
          <w:szCs w:val="30"/>
          <w:highlight w:val="none"/>
          <w:lang w:val="zh-CN"/>
        </w:rPr>
        <w:t>首轮报价</w:t>
      </w:r>
      <w:bookmarkEnd w:id="280"/>
      <w:bookmarkEnd w:id="281"/>
      <w:bookmarkEnd w:id="282"/>
      <w:bookmarkEnd w:id="283"/>
      <w:bookmarkEnd w:id="284"/>
      <w:bookmarkEnd w:id="285"/>
      <w:r>
        <w:rPr>
          <w:rFonts w:hint="eastAsia" w:ascii="宋体" w:hAnsi="宋体" w:cs="宋体"/>
          <w:b/>
          <w:bCs/>
          <w:color w:val="auto"/>
          <w:kern w:val="2"/>
          <w:sz w:val="30"/>
          <w:szCs w:val="30"/>
          <w:highlight w:val="none"/>
          <w:lang w:val="zh-CN"/>
        </w:rPr>
        <w:t>表</w:t>
      </w:r>
    </w:p>
    <w:p w14:paraId="52647C09">
      <w:pPr>
        <w:pStyle w:val="32"/>
        <w:spacing w:line="360" w:lineRule="auto"/>
        <w:ind w:left="1054" w:hanging="1054" w:hangingChars="5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rPr>
        <w:t>东莞市水务集团有限公司2025年直购电采购项目</w:t>
      </w:r>
    </w:p>
    <w:p w14:paraId="73F745B3">
      <w:pPr>
        <w:pStyle w:val="32"/>
        <w:spacing w:line="360" w:lineRule="auto"/>
        <w:rPr>
          <w:rFonts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采购编号：</w:t>
      </w:r>
      <w:r>
        <w:rPr>
          <w:rFonts w:hint="eastAsia" w:ascii="宋体" w:hAnsi="宋体" w:eastAsia="宋体" w:cs="宋体"/>
          <w:color w:val="auto"/>
          <w:sz w:val="21"/>
          <w:szCs w:val="21"/>
          <w:highlight w:val="none"/>
          <w:u w:val="single"/>
        </w:rPr>
        <w:t>广建咨询（东招）2024-0149号</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3566"/>
        <w:gridCol w:w="3833"/>
        <w:gridCol w:w="1193"/>
      </w:tblGrid>
      <w:tr w14:paraId="24AAD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74" w:type="pct"/>
            <w:tcBorders>
              <w:top w:val="single" w:color="auto" w:sz="4" w:space="0"/>
              <w:left w:val="single" w:color="auto" w:sz="4" w:space="0"/>
              <w:bottom w:val="single" w:color="auto" w:sz="4" w:space="0"/>
              <w:right w:val="single" w:color="auto" w:sz="4" w:space="0"/>
            </w:tcBorders>
            <w:vAlign w:val="center"/>
          </w:tcPr>
          <w:p w14:paraId="7039DB76">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919" w:type="pct"/>
            <w:tcBorders>
              <w:top w:val="single" w:color="auto" w:sz="4" w:space="0"/>
              <w:left w:val="single" w:color="auto" w:sz="4" w:space="0"/>
              <w:bottom w:val="single" w:color="auto" w:sz="4" w:space="0"/>
              <w:right w:val="single" w:color="auto" w:sz="4" w:space="0"/>
            </w:tcBorders>
            <w:vAlign w:val="center"/>
          </w:tcPr>
          <w:p w14:paraId="76A52C62">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2063" w:type="pct"/>
            <w:tcBorders>
              <w:top w:val="single" w:color="auto" w:sz="4" w:space="0"/>
              <w:left w:val="single" w:color="auto" w:sz="4" w:space="0"/>
              <w:bottom w:val="single" w:color="auto" w:sz="4" w:space="0"/>
              <w:right w:val="single" w:color="auto" w:sz="4" w:space="0"/>
            </w:tcBorders>
            <w:vAlign w:val="center"/>
          </w:tcPr>
          <w:p w14:paraId="39A4A8CF">
            <w:pPr>
              <w:jc w:val="center"/>
              <w:rPr>
                <w:rFonts w:ascii="宋体" w:hAnsi="宋体" w:cs="宋体"/>
                <w:b/>
                <w:color w:val="auto"/>
                <w:sz w:val="21"/>
                <w:szCs w:val="21"/>
                <w:highlight w:val="none"/>
              </w:rPr>
            </w:pPr>
            <w:r>
              <w:rPr>
                <w:rFonts w:hint="eastAsia" w:ascii="宋体" w:hAnsi="宋体" w:cs="宋体"/>
                <w:b/>
                <w:color w:val="auto"/>
                <w:sz w:val="21"/>
                <w:szCs w:val="21"/>
                <w:highlight w:val="none"/>
              </w:rPr>
              <w:t>下浮单价（“固定价格”模式部分的签约均价下浮单价：厘/千瓦时）</w:t>
            </w:r>
          </w:p>
        </w:tc>
        <w:tc>
          <w:tcPr>
            <w:tcW w:w="642" w:type="pct"/>
            <w:tcBorders>
              <w:top w:val="single" w:color="auto" w:sz="4" w:space="0"/>
              <w:left w:val="single" w:color="auto" w:sz="4" w:space="0"/>
              <w:bottom w:val="single" w:color="auto" w:sz="4" w:space="0"/>
              <w:right w:val="single" w:color="auto" w:sz="4" w:space="0"/>
            </w:tcBorders>
            <w:vAlign w:val="center"/>
          </w:tcPr>
          <w:p w14:paraId="7CECD4C1">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备注</w:t>
            </w:r>
          </w:p>
        </w:tc>
      </w:tr>
      <w:tr w14:paraId="185A4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74" w:type="pct"/>
            <w:tcBorders>
              <w:top w:val="single" w:color="auto" w:sz="4" w:space="0"/>
              <w:left w:val="single" w:color="auto" w:sz="4" w:space="0"/>
              <w:right w:val="single" w:color="auto" w:sz="4" w:space="0"/>
            </w:tcBorders>
            <w:vAlign w:val="center"/>
          </w:tcPr>
          <w:p w14:paraId="49C1688E">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919" w:type="pct"/>
            <w:tcBorders>
              <w:top w:val="single" w:color="auto" w:sz="4" w:space="0"/>
              <w:left w:val="single" w:color="auto" w:sz="4" w:space="0"/>
              <w:right w:val="single" w:color="auto" w:sz="4" w:space="0"/>
            </w:tcBorders>
            <w:vAlign w:val="center"/>
          </w:tcPr>
          <w:p w14:paraId="1BD4DD1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zh-CN"/>
              </w:rPr>
              <w:t>东莞市水务集团有限公司2025年直购电采购项目</w:t>
            </w:r>
          </w:p>
        </w:tc>
        <w:tc>
          <w:tcPr>
            <w:tcW w:w="2063" w:type="pct"/>
            <w:tcBorders>
              <w:top w:val="single" w:color="auto" w:sz="4" w:space="0"/>
              <w:left w:val="single" w:color="auto" w:sz="4" w:space="0"/>
              <w:right w:val="single" w:color="auto" w:sz="4" w:space="0"/>
            </w:tcBorders>
            <w:vAlign w:val="center"/>
          </w:tcPr>
          <w:p w14:paraId="5031819C">
            <w:pPr>
              <w:tabs>
                <w:tab w:val="left" w:pos="8610"/>
              </w:tabs>
              <w:spacing w:line="360" w:lineRule="auto"/>
              <w:rPr>
                <w:rFonts w:ascii="宋体" w:hAnsi="宋体" w:cs="宋体"/>
                <w:color w:val="auto"/>
                <w:sz w:val="21"/>
                <w:szCs w:val="21"/>
                <w:highlight w:val="none"/>
              </w:rPr>
            </w:pPr>
          </w:p>
        </w:tc>
        <w:tc>
          <w:tcPr>
            <w:tcW w:w="642" w:type="pct"/>
            <w:tcBorders>
              <w:top w:val="single" w:color="auto" w:sz="4" w:space="0"/>
              <w:left w:val="single" w:color="auto" w:sz="4" w:space="0"/>
              <w:right w:val="single" w:color="auto" w:sz="4" w:space="0"/>
            </w:tcBorders>
            <w:vAlign w:val="center"/>
          </w:tcPr>
          <w:p w14:paraId="16460C80">
            <w:pPr>
              <w:tabs>
                <w:tab w:val="left" w:pos="8610"/>
              </w:tabs>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下浮单价应报价为</w:t>
            </w:r>
            <w:r>
              <w:rPr>
                <w:rFonts w:ascii="宋体" w:hAnsi="宋体" w:cs="宋体"/>
                <w:color w:val="auto"/>
                <w:sz w:val="21"/>
                <w:szCs w:val="21"/>
                <w:highlight w:val="none"/>
              </w:rPr>
              <w:t>0.00</w:t>
            </w:r>
            <w:r>
              <w:rPr>
                <w:rFonts w:hint="eastAsia" w:ascii="宋体" w:hAnsi="宋体" w:cs="宋体"/>
                <w:color w:val="auto"/>
                <w:sz w:val="21"/>
                <w:szCs w:val="21"/>
                <w:highlight w:val="none"/>
              </w:rPr>
              <w:t>或正值</w:t>
            </w:r>
          </w:p>
        </w:tc>
      </w:tr>
    </w:tbl>
    <w:p w14:paraId="5986EBCD">
      <w:pPr>
        <w:spacing w:line="360" w:lineRule="auto"/>
        <w:rPr>
          <w:rFonts w:ascii="宋体" w:hAnsi="宋体" w:cs="宋体"/>
          <w:color w:val="auto"/>
          <w:sz w:val="21"/>
          <w:szCs w:val="21"/>
          <w:highlight w:val="none"/>
        </w:rPr>
      </w:pPr>
    </w:p>
    <w:p w14:paraId="2810FB5B">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2E878A68">
      <w:pPr>
        <w:snapToGrid w:val="0"/>
        <w:spacing w:line="360" w:lineRule="auto"/>
        <w:ind w:left="610" w:leftChars="18" w:hanging="567" w:hangingChars="27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b/>
          <w:color w:val="auto"/>
          <w:sz w:val="21"/>
          <w:szCs w:val="21"/>
          <w:highlight w:val="none"/>
          <w:u w:val="single"/>
        </w:rPr>
        <w:t>本项目响应报价为含税价，即为《中华人民共和国增值税暂行条例》（国务院令第691号修订版）规定的销售额</w:t>
      </w:r>
      <w:r>
        <w:rPr>
          <w:rFonts w:hint="eastAsia" w:ascii="宋体" w:hAnsi="宋体" w:cs="宋体"/>
          <w:color w:val="auto"/>
          <w:sz w:val="21"/>
          <w:szCs w:val="21"/>
          <w:highlight w:val="none"/>
        </w:rPr>
        <w:t>。</w:t>
      </w:r>
    </w:p>
    <w:p w14:paraId="20D5820A">
      <w:pPr>
        <w:snapToGrid w:val="0"/>
        <w:spacing w:line="360" w:lineRule="auto"/>
        <w:ind w:left="610" w:leftChars="18" w:hanging="567" w:hangingChars="270"/>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b/>
          <w:bCs/>
          <w:color w:val="auto"/>
          <w:sz w:val="21"/>
          <w:szCs w:val="21"/>
          <w:highlight w:val="none"/>
          <w:u w:val="single"/>
        </w:rPr>
        <w:t>供应商的响应下浮单价低于对应最低限价的，该供应商的响应文件将被视为无效响应</w:t>
      </w:r>
      <w:r>
        <w:rPr>
          <w:rFonts w:hint="eastAsia" w:ascii="宋体" w:hAnsi="宋体" w:cs="宋体"/>
          <w:b/>
          <w:bCs/>
          <w:color w:val="auto"/>
          <w:sz w:val="21"/>
          <w:szCs w:val="21"/>
          <w:highlight w:val="none"/>
        </w:rPr>
        <w:t>。</w:t>
      </w:r>
    </w:p>
    <w:p w14:paraId="39EA6D56">
      <w:pPr>
        <w:snapToGrid w:val="0"/>
        <w:spacing w:line="360" w:lineRule="auto"/>
        <w:ind w:left="610" w:leftChars="18" w:hanging="567" w:hangingChars="270"/>
        <w:rPr>
          <w:rFonts w:ascii="宋体" w:hAnsi="宋体" w:cs="宋体"/>
          <w:color w:val="auto"/>
          <w:sz w:val="21"/>
          <w:szCs w:val="21"/>
          <w:highlight w:val="none"/>
        </w:rPr>
      </w:pPr>
      <w:r>
        <w:rPr>
          <w:rFonts w:hint="eastAsia" w:ascii="宋体" w:hAnsi="宋体" w:cs="宋体"/>
          <w:color w:val="auto"/>
          <w:sz w:val="21"/>
          <w:szCs w:val="21"/>
          <w:highlight w:val="none"/>
        </w:rPr>
        <w:t>（3）本项目交易模式：按照“固定价格+联动价格+浮动费用”的模式参与交易并签订零售合同，其中：①用电方实际用电量的80%采用“2025年度零售交易全市场用户‘固定价格’模式部分的签约均价-中标下浮单价”与“403.67厘/千瓦时”二者间的较低值；②用电方实际用电量的20%为“联动价格”模式部分，采用日前市场月度综合价（含批发市场分摊费用）；③浮动费用为0，即不计收浮动费用。其中“日前市场月度综合价”以广东电力交易中心每月公布数据为准。售电方承担用电方100%偏差考核电费及交易中心收取的交易手续费。2025年电力交易手续费全部由售电方承担。用电方不承担申报电量偏差考核的一切后果。因偏差电量而产生的考核电费全部由售电方自行承担。</w:t>
      </w:r>
    </w:p>
    <w:p w14:paraId="71713C74">
      <w:pPr>
        <w:snapToGrid w:val="0"/>
        <w:spacing w:line="360" w:lineRule="auto"/>
        <w:ind w:left="610" w:leftChars="18" w:hanging="567" w:hangingChars="270"/>
        <w:rPr>
          <w:rFonts w:ascii="宋体" w:hAnsi="宋体" w:cs="宋体"/>
          <w:color w:val="auto"/>
          <w:sz w:val="21"/>
          <w:szCs w:val="21"/>
          <w:highlight w:val="none"/>
        </w:rPr>
      </w:pPr>
      <w:r>
        <w:rPr>
          <w:rFonts w:hint="eastAsia" w:ascii="宋体" w:hAnsi="宋体" w:cs="宋体"/>
          <w:color w:val="auto"/>
          <w:sz w:val="21"/>
          <w:szCs w:val="21"/>
          <w:highlight w:val="none"/>
        </w:rPr>
        <w:t>（4）供应商应按“2025年度零售交易全市场用户‘固定价格’模式部分的签约均价”的下浮单价（单位：厘/千瓦时）报价，最低限价为</w:t>
      </w:r>
      <w:r>
        <w:rPr>
          <w:rFonts w:ascii="宋体" w:hAnsi="宋体" w:cs="宋体"/>
          <w:color w:val="auto"/>
          <w:sz w:val="21"/>
          <w:szCs w:val="21"/>
          <w:highlight w:val="none"/>
        </w:rPr>
        <w:t>0.00</w:t>
      </w:r>
      <w:r>
        <w:rPr>
          <w:rFonts w:hint="eastAsia" w:ascii="宋体" w:hAnsi="宋体" w:cs="宋体"/>
          <w:color w:val="auto"/>
          <w:sz w:val="21"/>
          <w:szCs w:val="21"/>
          <w:highlight w:val="none"/>
        </w:rPr>
        <w:t>厘/千瓦时，即下浮单价应报价为</w:t>
      </w:r>
      <w:r>
        <w:rPr>
          <w:rFonts w:ascii="宋体" w:hAnsi="宋体" w:cs="宋体"/>
          <w:color w:val="auto"/>
          <w:sz w:val="21"/>
          <w:szCs w:val="21"/>
          <w:highlight w:val="none"/>
        </w:rPr>
        <w:t>0.00</w:t>
      </w:r>
      <w:r>
        <w:rPr>
          <w:rFonts w:hint="eastAsia" w:ascii="宋体" w:hAnsi="宋体" w:cs="宋体"/>
          <w:color w:val="auto"/>
          <w:sz w:val="21"/>
          <w:szCs w:val="21"/>
          <w:highlight w:val="none"/>
        </w:rPr>
        <w:t>或正值。供应商未按本文件要求进行下浮单价报价的，该供应商的响应文件将被视为无效响应。</w:t>
      </w:r>
      <w:r>
        <w:rPr>
          <w:rFonts w:hint="eastAsia" w:ascii="宋体" w:hAnsi="宋体" w:cs="宋体"/>
          <w:b/>
          <w:color w:val="auto"/>
          <w:sz w:val="21"/>
          <w:szCs w:val="21"/>
          <w:highlight w:val="none"/>
        </w:rPr>
        <w:t>报价保留小数点后两位</w:t>
      </w:r>
      <w:r>
        <w:rPr>
          <w:rFonts w:hint="eastAsia" w:ascii="宋体" w:hAnsi="宋体" w:cs="宋体"/>
          <w:color w:val="auto"/>
          <w:sz w:val="21"/>
          <w:szCs w:val="21"/>
          <w:highlight w:val="none"/>
        </w:rPr>
        <w:t>，否则谈判小组按去“尾”或补“零”的方式进行修正为保留小数点后两位，供应商须接受被修正后的报价（例：如下浮单价为12.345厘/千瓦时，则被修正为12.34厘/千瓦时；如下浮单价为12.3厘/千瓦时，则被修正为12.30厘/千瓦时）。</w:t>
      </w:r>
    </w:p>
    <w:p w14:paraId="20292188">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（5）响应文件的响应报价大写金额和小写金额不一致的，以大写金额为准。对不同文字文本响应文件的解释发生异议的，以中文文本为准。</w:t>
      </w:r>
    </w:p>
    <w:p w14:paraId="64F82DC1">
      <w:pPr>
        <w:snapToGrid w:val="0"/>
        <w:spacing w:line="360" w:lineRule="auto"/>
        <w:ind w:left="612" w:leftChars="18" w:hanging="569" w:hangingChars="270"/>
        <w:rPr>
          <w:rFonts w:ascii="宋体" w:hAnsi="宋体" w:cs="宋体"/>
          <w:b/>
          <w:bCs/>
          <w:color w:val="auto"/>
          <w:sz w:val="21"/>
          <w:szCs w:val="21"/>
          <w:highlight w:val="none"/>
          <w:u w:val="none"/>
          <w:lang w:val="zh-CN"/>
        </w:rPr>
      </w:pPr>
      <w:r>
        <w:rPr>
          <w:rFonts w:hint="eastAsia" w:ascii="宋体" w:hAnsi="宋体" w:cs="宋体"/>
          <w:b/>
          <w:bCs/>
          <w:color w:val="auto"/>
          <w:sz w:val="21"/>
          <w:szCs w:val="21"/>
          <w:highlight w:val="none"/>
          <w:u w:val="none"/>
          <w:lang w:val="zh-CN"/>
        </w:rPr>
        <w:t>（</w:t>
      </w:r>
      <w:r>
        <w:rPr>
          <w:rFonts w:hint="eastAsia" w:ascii="宋体" w:hAnsi="宋体" w:cs="宋体"/>
          <w:b/>
          <w:bCs/>
          <w:color w:val="auto"/>
          <w:sz w:val="21"/>
          <w:szCs w:val="21"/>
          <w:highlight w:val="none"/>
          <w:u w:val="none"/>
        </w:rPr>
        <w:t>6</w:t>
      </w:r>
      <w:r>
        <w:rPr>
          <w:rFonts w:hint="eastAsia" w:ascii="宋体" w:hAnsi="宋体" w:cs="宋体"/>
          <w:b/>
          <w:bCs/>
          <w:color w:val="auto"/>
          <w:sz w:val="21"/>
          <w:szCs w:val="21"/>
          <w:highlight w:val="none"/>
          <w:u w:val="none"/>
          <w:lang w:val="zh-CN"/>
        </w:rPr>
        <w:t>）本表编入</w:t>
      </w:r>
      <w:r>
        <w:rPr>
          <w:rFonts w:hint="eastAsia" w:ascii="宋体" w:hAnsi="宋体" w:cs="宋体"/>
          <w:b/>
          <w:bCs/>
          <w:color w:val="auto"/>
          <w:sz w:val="21"/>
          <w:szCs w:val="21"/>
          <w:highlight w:val="none"/>
          <w:u w:val="none"/>
        </w:rPr>
        <w:t>响应</w:t>
      </w:r>
      <w:r>
        <w:rPr>
          <w:rFonts w:hint="eastAsia" w:ascii="宋体" w:hAnsi="宋体" w:cs="宋体"/>
          <w:b/>
          <w:bCs/>
          <w:color w:val="auto"/>
          <w:sz w:val="21"/>
          <w:szCs w:val="21"/>
          <w:highlight w:val="none"/>
          <w:u w:val="none"/>
          <w:lang w:val="zh-CN"/>
        </w:rPr>
        <w:t>文件商务文件。</w:t>
      </w:r>
    </w:p>
    <w:p w14:paraId="20002CAB">
      <w:pPr>
        <w:snapToGrid w:val="0"/>
        <w:spacing w:line="340" w:lineRule="exact"/>
        <w:ind w:left="610" w:leftChars="18" w:hanging="567" w:hangingChars="270"/>
        <w:rPr>
          <w:rFonts w:ascii="宋体" w:hAnsi="宋体" w:cs="宋体"/>
          <w:bCs/>
          <w:color w:val="auto"/>
          <w:sz w:val="21"/>
          <w:szCs w:val="21"/>
          <w:highlight w:val="none"/>
          <w:lang w:val="zh-CN"/>
        </w:rPr>
      </w:pPr>
    </w:p>
    <w:p w14:paraId="41BE50A5">
      <w:pPr>
        <w:spacing w:line="360" w:lineRule="auto"/>
        <w:ind w:firstLine="4960" w:firstLineChars="2362"/>
        <w:rPr>
          <w:rFonts w:ascii="宋体" w:hAnsi="宋体" w:cs="宋体"/>
          <w:color w:val="auto"/>
          <w:sz w:val="21"/>
          <w:szCs w:val="21"/>
          <w:highlight w:val="none"/>
          <w:lang w:val="zh-CN"/>
        </w:rPr>
      </w:pP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zh-CN"/>
        </w:rPr>
        <w:t>：（加盖</w:t>
      </w: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zh-CN"/>
        </w:rPr>
        <w:t>法人公章）</w:t>
      </w:r>
    </w:p>
    <w:p w14:paraId="3D28B072">
      <w:pPr>
        <w:spacing w:line="360" w:lineRule="auto"/>
        <w:ind w:firstLine="4960" w:firstLineChars="236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法定代表人或其授权代表签名（或盖私章）：</w:t>
      </w:r>
    </w:p>
    <w:p w14:paraId="5D05CB78">
      <w:pPr>
        <w:spacing w:line="360" w:lineRule="auto"/>
        <w:ind w:firstLine="4960" w:firstLineChars="2362"/>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日期：   年   月   日</w:t>
      </w:r>
    </w:p>
    <w:p w14:paraId="425BB46D">
      <w:pPr>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br w:type="page"/>
      </w:r>
    </w:p>
    <w:p w14:paraId="6595AA56">
      <w:pPr>
        <w:pageBreakBefore/>
        <w:spacing w:line="360" w:lineRule="auto"/>
        <w:rPr>
          <w:rFonts w:ascii="宋体" w:hAnsi="宋体" w:cs="宋体"/>
          <w:b/>
          <w:color w:val="auto"/>
          <w:sz w:val="32"/>
          <w:szCs w:val="32"/>
          <w:highlight w:val="none"/>
        </w:rPr>
      </w:pPr>
      <w:bookmarkStart w:id="286" w:name="_Toc56076625"/>
      <w:bookmarkStart w:id="287" w:name="_Toc12569"/>
      <w:bookmarkStart w:id="288" w:name="_Toc8153"/>
      <w:bookmarkStart w:id="289" w:name="_Toc79146599"/>
      <w:bookmarkStart w:id="290" w:name="_Toc18720"/>
      <w:bookmarkStart w:id="291" w:name="_Toc54334008"/>
      <w:bookmarkStart w:id="292" w:name="_Toc497746561"/>
      <w:bookmarkStart w:id="293" w:name="_Toc495907133"/>
      <w:r>
        <w:rPr>
          <w:rFonts w:hint="eastAsia" w:ascii="宋体" w:hAnsi="宋体" w:cs="宋体"/>
          <w:b/>
          <w:color w:val="auto"/>
          <w:sz w:val="32"/>
          <w:szCs w:val="32"/>
          <w:highlight w:val="none"/>
        </w:rPr>
        <w:t>四、供应商资格证明文件</w:t>
      </w:r>
      <w:bookmarkEnd w:id="286"/>
      <w:bookmarkEnd w:id="287"/>
      <w:bookmarkEnd w:id="288"/>
      <w:bookmarkEnd w:id="289"/>
      <w:bookmarkEnd w:id="290"/>
      <w:bookmarkEnd w:id="291"/>
    </w:p>
    <w:p w14:paraId="39B4A05A">
      <w:pPr>
        <w:autoSpaceDE/>
        <w:autoSpaceDN/>
        <w:adjustRightInd/>
        <w:spacing w:before="120" w:after="120" w:line="360" w:lineRule="auto"/>
        <w:rPr>
          <w:rFonts w:ascii="宋体" w:hAnsi="宋体" w:cs="宋体"/>
          <w:b/>
          <w:color w:val="auto"/>
          <w:kern w:val="2"/>
          <w:sz w:val="30"/>
          <w:szCs w:val="30"/>
          <w:highlight w:val="none"/>
        </w:rPr>
      </w:pPr>
      <w:bookmarkStart w:id="294" w:name="_Toc5098071"/>
      <w:bookmarkStart w:id="295" w:name="_Toc38982592"/>
      <w:bookmarkStart w:id="296" w:name="_Toc54334009"/>
      <w:bookmarkStart w:id="297" w:name="_Toc19008826"/>
      <w:bookmarkStart w:id="298" w:name="_Toc56076626"/>
      <w:bookmarkStart w:id="299" w:name="_Toc522047382"/>
      <w:bookmarkStart w:id="300" w:name="_Toc532576766"/>
      <w:bookmarkStart w:id="301" w:name="_Toc521576302"/>
      <w:bookmarkStart w:id="302" w:name="_Toc519153441"/>
      <w:bookmarkStart w:id="303" w:name="_Toc521918320"/>
      <w:bookmarkStart w:id="304" w:name="_Toc79146600"/>
      <w:bookmarkStart w:id="305" w:name="_Toc40288701"/>
      <w:bookmarkStart w:id="306" w:name="_Toc1123953"/>
      <w:bookmarkStart w:id="307" w:name="_Toc521918123"/>
      <w:r>
        <w:rPr>
          <w:rFonts w:hint="eastAsia" w:ascii="宋体" w:hAnsi="宋体" w:cs="宋体"/>
          <w:b/>
          <w:color w:val="auto"/>
          <w:kern w:val="2"/>
          <w:sz w:val="30"/>
          <w:szCs w:val="30"/>
          <w:highlight w:val="none"/>
        </w:rPr>
        <w:t>4.1 多证合一营业执照（或事业单位法人证书）复印件</w:t>
      </w:r>
    </w:p>
    <w:p w14:paraId="617860E1">
      <w:pPr>
        <w:autoSpaceDE/>
        <w:autoSpaceDN/>
        <w:adjustRightInd/>
        <w:spacing w:before="120" w:after="120" w:line="360" w:lineRule="auto"/>
        <w:rPr>
          <w:rFonts w:ascii="宋体" w:hAnsi="宋体" w:cs="宋体"/>
          <w:b/>
          <w:color w:val="auto"/>
          <w:kern w:val="2"/>
          <w:sz w:val="30"/>
          <w:szCs w:val="30"/>
          <w:highlight w:val="none"/>
        </w:rPr>
      </w:pPr>
    </w:p>
    <w:p w14:paraId="62297CD1">
      <w:pPr>
        <w:pageBreakBefore/>
        <w:autoSpaceDE/>
        <w:autoSpaceDN/>
        <w:adjustRightInd/>
        <w:spacing w:before="120" w:after="120" w:line="360" w:lineRule="auto"/>
        <w:rPr>
          <w:rFonts w:ascii="宋体" w:hAnsi="宋体" w:cs="宋体"/>
          <w:b/>
          <w:color w:val="auto"/>
          <w:kern w:val="2"/>
          <w:sz w:val="30"/>
          <w:szCs w:val="30"/>
          <w:highlight w:val="none"/>
        </w:rPr>
      </w:pPr>
      <w:bookmarkStart w:id="308" w:name="_Toc521918126"/>
      <w:bookmarkStart w:id="309" w:name="_Toc521576305"/>
      <w:bookmarkStart w:id="310" w:name="_Toc5098073"/>
      <w:bookmarkStart w:id="311" w:name="_Toc532576769"/>
      <w:bookmarkStart w:id="312" w:name="_Toc522047385"/>
      <w:bookmarkStart w:id="313" w:name="_Toc1123955"/>
      <w:bookmarkStart w:id="314" w:name="_Toc521918323"/>
      <w:bookmarkStart w:id="315" w:name="_Toc519153444"/>
      <w:bookmarkStart w:id="316" w:name="_Toc19008829"/>
      <w:bookmarkStart w:id="317" w:name="_Toc54334011"/>
      <w:bookmarkStart w:id="318" w:name="_Toc40288703"/>
      <w:bookmarkStart w:id="319" w:name="_Toc79146602"/>
      <w:bookmarkStart w:id="320" w:name="_Toc56076628"/>
      <w:bookmarkStart w:id="321" w:name="_Toc38982594"/>
      <w:r>
        <w:rPr>
          <w:rFonts w:hint="eastAsia" w:ascii="宋体" w:hAnsi="宋体" w:cs="宋体"/>
          <w:b/>
          <w:color w:val="auto"/>
          <w:kern w:val="2"/>
          <w:sz w:val="30"/>
          <w:szCs w:val="30"/>
          <w:highlight w:val="none"/>
        </w:rPr>
        <w:t>4.2 开户许可证复印件（基本存款账户）</w:t>
      </w:r>
      <w:bookmarkEnd w:id="308"/>
      <w:bookmarkEnd w:id="309"/>
      <w:bookmarkEnd w:id="310"/>
      <w:bookmarkEnd w:id="311"/>
      <w:bookmarkEnd w:id="312"/>
      <w:bookmarkEnd w:id="313"/>
      <w:bookmarkEnd w:id="314"/>
      <w:bookmarkEnd w:id="315"/>
      <w:r>
        <w:rPr>
          <w:rFonts w:hint="eastAsia" w:ascii="宋体" w:hAnsi="宋体" w:cs="宋体"/>
          <w:b/>
          <w:color w:val="auto"/>
          <w:kern w:val="2"/>
          <w:sz w:val="30"/>
          <w:szCs w:val="30"/>
          <w:highlight w:val="none"/>
        </w:rPr>
        <w:t>复印件</w:t>
      </w:r>
      <w:bookmarkEnd w:id="316"/>
      <w:r>
        <w:rPr>
          <w:rFonts w:hint="eastAsia" w:ascii="宋体" w:hAnsi="宋体" w:cs="宋体"/>
          <w:b/>
          <w:color w:val="auto"/>
          <w:kern w:val="2"/>
          <w:sz w:val="30"/>
          <w:szCs w:val="30"/>
          <w:highlight w:val="none"/>
        </w:rPr>
        <w:t>，如供应商企业银行账户开户所在地区已取消企业银行账户许可，供应商应提供基本存款账户开户名称、开户银行、账号、编号等信息及相关备案证明（如有）或其他能证明其为基本存款账户的资料复印件</w:t>
      </w:r>
      <w:bookmarkEnd w:id="317"/>
      <w:bookmarkEnd w:id="318"/>
      <w:bookmarkEnd w:id="319"/>
      <w:bookmarkEnd w:id="320"/>
      <w:bookmarkEnd w:id="321"/>
    </w:p>
    <w:p w14:paraId="6CA63909">
      <w:pPr>
        <w:pageBreakBefore/>
        <w:autoSpaceDE/>
        <w:autoSpaceDN/>
        <w:adjustRightInd/>
        <w:spacing w:before="120" w:after="120" w:line="360" w:lineRule="auto"/>
        <w:rPr>
          <w:rFonts w:ascii="宋体" w:hAnsi="宋体" w:cs="宋体"/>
          <w:b/>
          <w:color w:val="auto"/>
          <w:kern w:val="2"/>
          <w:sz w:val="30"/>
          <w:szCs w:val="30"/>
          <w:highlight w:val="none"/>
        </w:rPr>
      </w:pPr>
      <w:r>
        <w:rPr>
          <w:rFonts w:hint="eastAsia" w:ascii="宋体" w:hAnsi="宋体" w:cs="宋体"/>
          <w:b/>
          <w:color w:val="auto"/>
          <w:kern w:val="2"/>
          <w:sz w:val="30"/>
          <w:szCs w:val="30"/>
          <w:highlight w:val="none"/>
        </w:rPr>
        <w:t xml:space="preserve">4.3 </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Pr>
          <w:rFonts w:hint="eastAsia" w:ascii="宋体" w:hAnsi="宋体" w:cs="宋体"/>
          <w:b/>
          <w:color w:val="auto"/>
          <w:kern w:val="2"/>
          <w:sz w:val="30"/>
          <w:szCs w:val="30"/>
          <w:highlight w:val="none"/>
        </w:rPr>
        <w:t>法定代表人身份证明书原件、法定代表人授权书原件格式（法定代表人谈判时只需提供法定代表人身份证明书，委托他人为谈判代表或签署响应文件时需同时提供法定代表人授权书）</w:t>
      </w:r>
    </w:p>
    <w:p w14:paraId="3FE709AD">
      <w:pPr>
        <w:autoSpaceDE/>
        <w:autoSpaceDN/>
        <w:adjustRightInd/>
        <w:spacing w:before="120" w:after="120" w:line="360" w:lineRule="auto"/>
        <w:ind w:firstLine="426" w:firstLineChars="202"/>
        <w:jc w:val="both"/>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（1）法定代表人身份</w:t>
      </w:r>
      <w:r>
        <w:rPr>
          <w:rFonts w:hint="eastAsia" w:ascii="宋体" w:hAnsi="宋体" w:cs="宋体"/>
          <w:b/>
          <w:color w:val="auto"/>
          <w:kern w:val="2"/>
          <w:sz w:val="21"/>
          <w:highlight w:val="none"/>
        </w:rPr>
        <w:t>证明书</w:t>
      </w:r>
      <w:r>
        <w:rPr>
          <w:rFonts w:hint="eastAsia" w:ascii="宋体" w:hAnsi="宋体" w:cs="宋体"/>
          <w:b/>
          <w:color w:val="auto"/>
          <w:kern w:val="2"/>
          <w:sz w:val="21"/>
          <w:szCs w:val="21"/>
          <w:highlight w:val="none"/>
        </w:rPr>
        <w:t>格式</w:t>
      </w:r>
    </w:p>
    <w:p w14:paraId="1D6B11FC">
      <w:pPr>
        <w:autoSpaceDE/>
        <w:autoSpaceDN/>
        <w:adjustRightInd/>
        <w:spacing w:before="120" w:after="120" w:line="360" w:lineRule="auto"/>
        <w:ind w:firstLine="608" w:firstLineChars="202"/>
        <w:jc w:val="center"/>
        <w:rPr>
          <w:rFonts w:ascii="宋体" w:hAnsi="宋体" w:cs="宋体"/>
          <w:b/>
          <w:color w:val="auto"/>
          <w:kern w:val="2"/>
          <w:sz w:val="30"/>
          <w:szCs w:val="30"/>
          <w:highlight w:val="none"/>
        </w:rPr>
      </w:pPr>
    </w:p>
    <w:p w14:paraId="2F9DA5BF">
      <w:pPr>
        <w:autoSpaceDE/>
        <w:autoSpaceDN/>
        <w:adjustRightInd/>
        <w:spacing w:before="120" w:after="120" w:line="360" w:lineRule="auto"/>
        <w:ind w:firstLine="608" w:firstLineChars="202"/>
        <w:jc w:val="center"/>
        <w:rPr>
          <w:rFonts w:ascii="宋体" w:hAnsi="宋体" w:cs="宋体"/>
          <w:b/>
          <w:bCs/>
          <w:color w:val="auto"/>
          <w:kern w:val="2"/>
          <w:sz w:val="30"/>
          <w:szCs w:val="30"/>
          <w:highlight w:val="none"/>
        </w:rPr>
      </w:pPr>
      <w:r>
        <w:rPr>
          <w:rFonts w:hint="eastAsia" w:ascii="宋体" w:hAnsi="宋体" w:cs="宋体"/>
          <w:b/>
          <w:color w:val="auto"/>
          <w:kern w:val="2"/>
          <w:sz w:val="30"/>
          <w:szCs w:val="30"/>
          <w:highlight w:val="none"/>
        </w:rPr>
        <w:t>法定代</w:t>
      </w:r>
      <w:bookmarkStart w:id="322" w:name="_Toc36971359"/>
      <w:bookmarkStart w:id="323" w:name="_Toc45995270"/>
      <w:r>
        <w:rPr>
          <w:rFonts w:hint="eastAsia" w:ascii="宋体" w:hAnsi="宋体" w:cs="宋体"/>
          <w:b/>
          <w:color w:val="auto"/>
          <w:kern w:val="2"/>
          <w:sz w:val="30"/>
          <w:szCs w:val="30"/>
          <w:highlight w:val="none"/>
        </w:rPr>
        <w:t>表人身份证明书</w:t>
      </w:r>
    </w:p>
    <w:p w14:paraId="4DEC68E0">
      <w:pPr>
        <w:autoSpaceDE/>
        <w:autoSpaceDN/>
        <w:adjustRightInd/>
        <w:spacing w:before="120" w:after="120" w:line="360" w:lineRule="auto"/>
        <w:ind w:firstLine="420" w:firstLineChars="200"/>
        <w:jc w:val="both"/>
        <w:rPr>
          <w:rFonts w:ascii="宋体" w:hAnsi="宋体" w:cs="宋体"/>
          <w:color w:val="auto"/>
          <w:kern w:val="2"/>
          <w:sz w:val="21"/>
          <w:highlight w:val="none"/>
        </w:rPr>
      </w:pPr>
      <w:r>
        <w:rPr>
          <w:rFonts w:hint="eastAsia" w:ascii="宋体" w:hAnsi="宋体" w:cs="宋体"/>
          <w:color w:val="auto"/>
          <w:kern w:val="2"/>
          <w:sz w:val="21"/>
          <w:highlight w:val="none"/>
          <w:u w:val="single"/>
        </w:rPr>
        <w:t xml:space="preserve">            </w:t>
      </w:r>
      <w:r>
        <w:rPr>
          <w:rFonts w:hint="eastAsia" w:ascii="宋体" w:hAnsi="宋体" w:cs="宋体"/>
          <w:color w:val="auto"/>
          <w:kern w:val="2"/>
          <w:sz w:val="21"/>
          <w:highlight w:val="none"/>
        </w:rPr>
        <w:t>先生</w:t>
      </w:r>
      <w:bookmarkEnd w:id="322"/>
      <w:bookmarkEnd w:id="323"/>
      <w:r>
        <w:rPr>
          <w:rFonts w:hint="eastAsia" w:ascii="宋体" w:hAnsi="宋体" w:cs="宋体"/>
          <w:color w:val="auto"/>
          <w:kern w:val="2"/>
          <w:sz w:val="21"/>
          <w:highlight w:val="none"/>
        </w:rPr>
        <w:t>／女士：现任我单位</w:t>
      </w:r>
      <w:r>
        <w:rPr>
          <w:rFonts w:hint="eastAsia" w:ascii="宋体" w:hAnsi="宋体" w:cs="宋体"/>
          <w:color w:val="auto"/>
          <w:kern w:val="2"/>
          <w:sz w:val="21"/>
          <w:highlight w:val="none"/>
          <w:u w:val="single"/>
        </w:rPr>
        <w:t xml:space="preserve">            </w:t>
      </w:r>
      <w:r>
        <w:rPr>
          <w:rFonts w:hint="eastAsia" w:ascii="宋体" w:hAnsi="宋体" w:cs="宋体"/>
          <w:color w:val="auto"/>
          <w:kern w:val="2"/>
          <w:sz w:val="21"/>
          <w:highlight w:val="none"/>
        </w:rPr>
        <w:t>职务，为法定代表人，特此证明。</w:t>
      </w:r>
    </w:p>
    <w:p w14:paraId="01804713">
      <w:pPr>
        <w:autoSpaceDE/>
        <w:autoSpaceDN/>
        <w:adjustRightInd/>
        <w:spacing w:before="120" w:after="120" w:line="360" w:lineRule="auto"/>
        <w:ind w:firstLine="424" w:firstLineChars="202"/>
        <w:jc w:val="both"/>
        <w:rPr>
          <w:rFonts w:ascii="宋体" w:hAnsi="宋体" w:cs="宋体"/>
          <w:color w:val="auto"/>
          <w:kern w:val="2"/>
          <w:sz w:val="21"/>
          <w:highlight w:val="none"/>
        </w:rPr>
      </w:pPr>
      <w:r>
        <w:rPr>
          <w:rFonts w:hint="eastAsia" w:ascii="宋体" w:hAnsi="宋体" w:cs="宋体"/>
          <w:color w:val="auto"/>
          <w:kern w:val="2"/>
          <w:sz w:val="21"/>
          <w:highlight w:val="none"/>
        </w:rPr>
        <w:t>有效日期：</w:t>
      </w:r>
      <w:r>
        <w:rPr>
          <w:rFonts w:hint="eastAsia" w:ascii="宋体" w:hAnsi="宋体" w:cs="宋体"/>
          <w:color w:val="auto"/>
          <w:kern w:val="2"/>
          <w:sz w:val="21"/>
          <w:highlight w:val="none"/>
          <w:u w:val="single"/>
        </w:rPr>
        <w:t xml:space="preserve">          </w:t>
      </w:r>
      <w:r>
        <w:rPr>
          <w:rFonts w:hint="eastAsia" w:ascii="宋体" w:hAnsi="宋体" w:cs="宋体"/>
          <w:color w:val="auto"/>
          <w:kern w:val="2"/>
          <w:sz w:val="21"/>
          <w:highlight w:val="none"/>
        </w:rPr>
        <w:t>签发日期：</w:t>
      </w:r>
      <w:r>
        <w:rPr>
          <w:rFonts w:hint="eastAsia" w:ascii="宋体" w:hAnsi="宋体" w:cs="宋体"/>
          <w:color w:val="auto"/>
          <w:kern w:val="2"/>
          <w:sz w:val="21"/>
          <w:highlight w:val="none"/>
          <w:u w:val="single"/>
        </w:rPr>
        <w:t xml:space="preserve">           </w:t>
      </w:r>
    </w:p>
    <w:p w14:paraId="31335462">
      <w:pPr>
        <w:autoSpaceDE/>
        <w:autoSpaceDN/>
        <w:adjustRightInd/>
        <w:spacing w:before="120" w:after="120" w:line="360" w:lineRule="auto"/>
        <w:ind w:firstLine="424" w:firstLineChars="202"/>
        <w:jc w:val="both"/>
        <w:rPr>
          <w:rFonts w:ascii="宋体" w:hAnsi="宋体" w:cs="宋体"/>
          <w:color w:val="auto"/>
          <w:kern w:val="2"/>
          <w:sz w:val="21"/>
          <w:highlight w:val="none"/>
          <w:u w:val="single"/>
        </w:rPr>
      </w:pPr>
      <w:r>
        <w:rPr>
          <w:rFonts w:hint="eastAsia" w:ascii="宋体" w:hAnsi="宋体" w:cs="宋体"/>
          <w:color w:val="auto"/>
          <w:kern w:val="2"/>
          <w:sz w:val="21"/>
          <w:highlight w:val="none"/>
        </w:rPr>
        <w:t>附：代表人性别：</w:t>
      </w:r>
      <w:r>
        <w:rPr>
          <w:rFonts w:hint="eastAsia" w:ascii="宋体" w:hAnsi="宋体" w:cs="宋体"/>
          <w:color w:val="auto"/>
          <w:kern w:val="2"/>
          <w:sz w:val="21"/>
          <w:highlight w:val="none"/>
          <w:u w:val="single"/>
        </w:rPr>
        <w:t xml:space="preserve">      </w:t>
      </w:r>
      <w:r>
        <w:rPr>
          <w:rFonts w:hint="eastAsia" w:ascii="宋体" w:hAnsi="宋体" w:cs="宋体"/>
          <w:color w:val="auto"/>
          <w:kern w:val="2"/>
          <w:sz w:val="21"/>
          <w:highlight w:val="none"/>
        </w:rPr>
        <w:t xml:space="preserve"> 年龄：</w:t>
      </w:r>
      <w:r>
        <w:rPr>
          <w:rFonts w:hint="eastAsia" w:ascii="宋体" w:hAnsi="宋体" w:cs="宋体"/>
          <w:color w:val="auto"/>
          <w:kern w:val="2"/>
          <w:sz w:val="21"/>
          <w:highlight w:val="none"/>
          <w:u w:val="single"/>
        </w:rPr>
        <w:t xml:space="preserve">         </w:t>
      </w:r>
      <w:r>
        <w:rPr>
          <w:rFonts w:hint="eastAsia" w:ascii="宋体" w:hAnsi="宋体" w:cs="宋体"/>
          <w:color w:val="auto"/>
          <w:kern w:val="2"/>
          <w:sz w:val="21"/>
          <w:highlight w:val="none"/>
        </w:rPr>
        <w:t>身份证号码：</w:t>
      </w:r>
      <w:r>
        <w:rPr>
          <w:rFonts w:hint="eastAsia" w:ascii="宋体" w:hAnsi="宋体" w:cs="宋体"/>
          <w:color w:val="auto"/>
          <w:kern w:val="2"/>
          <w:sz w:val="21"/>
          <w:highlight w:val="none"/>
          <w:u w:val="single"/>
        </w:rPr>
        <w:t xml:space="preserve">            </w:t>
      </w:r>
    </w:p>
    <w:p w14:paraId="1938FB16">
      <w:pPr>
        <w:autoSpaceDE/>
        <w:autoSpaceDN/>
        <w:adjustRightInd/>
        <w:spacing w:before="120" w:after="120" w:line="360" w:lineRule="auto"/>
        <w:ind w:firstLine="424" w:firstLineChars="202"/>
        <w:jc w:val="both"/>
        <w:rPr>
          <w:rFonts w:ascii="宋体" w:hAnsi="宋体" w:cs="宋体"/>
          <w:color w:val="auto"/>
          <w:kern w:val="2"/>
          <w:sz w:val="21"/>
          <w:highlight w:val="none"/>
        </w:rPr>
      </w:pPr>
      <w:r>
        <w:rPr>
          <w:rFonts w:hint="eastAsia" w:ascii="宋体" w:hAnsi="宋体" w:cs="宋体"/>
          <w:color w:val="auto"/>
          <w:kern w:val="2"/>
          <w:sz w:val="21"/>
          <w:highlight w:val="none"/>
        </w:rPr>
        <w:t>营业执照号码：</w:t>
      </w:r>
      <w:r>
        <w:rPr>
          <w:rFonts w:hint="eastAsia" w:ascii="宋体" w:hAnsi="宋体" w:cs="宋体"/>
          <w:color w:val="auto"/>
          <w:kern w:val="2"/>
          <w:sz w:val="21"/>
          <w:highlight w:val="none"/>
          <w:u w:val="single"/>
        </w:rPr>
        <w:t xml:space="preserve">           </w:t>
      </w:r>
      <w:r>
        <w:rPr>
          <w:rFonts w:hint="eastAsia" w:ascii="宋体" w:hAnsi="宋体" w:cs="宋体"/>
          <w:color w:val="auto"/>
          <w:kern w:val="2"/>
          <w:sz w:val="21"/>
          <w:highlight w:val="none"/>
        </w:rPr>
        <w:t xml:space="preserve">经济性质： </w:t>
      </w:r>
    </w:p>
    <w:p w14:paraId="3A0544E9">
      <w:pPr>
        <w:autoSpaceDE/>
        <w:autoSpaceDN/>
        <w:adjustRightInd/>
        <w:spacing w:before="120" w:after="120" w:line="360" w:lineRule="auto"/>
        <w:ind w:firstLine="424" w:firstLineChars="202"/>
        <w:jc w:val="both"/>
        <w:rPr>
          <w:rFonts w:ascii="宋体" w:hAnsi="宋体" w:cs="宋体"/>
          <w:color w:val="auto"/>
          <w:kern w:val="2"/>
          <w:sz w:val="21"/>
          <w:highlight w:val="none"/>
          <w:u w:val="single"/>
        </w:rPr>
      </w:pPr>
      <w:r>
        <w:rPr>
          <w:rFonts w:hint="eastAsia" w:ascii="宋体" w:hAnsi="宋体" w:cs="宋体"/>
          <w:color w:val="auto"/>
          <w:kern w:val="2"/>
          <w:sz w:val="21"/>
          <w:highlight w:val="none"/>
        </w:rPr>
        <w:t>主营（产）：</w:t>
      </w:r>
    </w:p>
    <w:p w14:paraId="77316C88">
      <w:pPr>
        <w:autoSpaceDE/>
        <w:autoSpaceDN/>
        <w:adjustRightInd/>
        <w:spacing w:before="120" w:after="120" w:line="360" w:lineRule="auto"/>
        <w:ind w:firstLine="424" w:firstLineChars="202"/>
        <w:jc w:val="both"/>
        <w:rPr>
          <w:rFonts w:ascii="宋体" w:hAnsi="宋体" w:cs="宋体"/>
          <w:color w:val="auto"/>
          <w:kern w:val="2"/>
          <w:sz w:val="21"/>
          <w:highlight w:val="none"/>
          <w:u w:val="single"/>
        </w:rPr>
      </w:pPr>
      <w:r>
        <w:rPr>
          <w:rFonts w:hint="eastAsia" w:ascii="宋体" w:hAnsi="宋体" w:cs="宋体"/>
          <w:color w:val="auto"/>
          <w:kern w:val="2"/>
          <w:sz w:val="21"/>
          <w:highlight w:val="none"/>
        </w:rPr>
        <w:t>兼营（产）：</w:t>
      </w:r>
    </w:p>
    <w:p w14:paraId="3E1D834F">
      <w:pPr>
        <w:autoSpaceDE/>
        <w:autoSpaceDN/>
        <w:adjustRightInd/>
        <w:spacing w:before="120" w:after="120" w:line="360" w:lineRule="auto"/>
        <w:ind w:firstLine="424" w:firstLineChars="202"/>
        <w:jc w:val="both"/>
        <w:rPr>
          <w:rFonts w:ascii="宋体" w:hAnsi="宋体" w:cs="宋体"/>
          <w:color w:val="auto"/>
          <w:kern w:val="2"/>
          <w:sz w:val="21"/>
          <w:highlight w:val="none"/>
        </w:rPr>
      </w:pPr>
      <w:r>
        <w:rPr>
          <w:rFonts w:hint="eastAsia" w:ascii="宋体" w:hAnsi="宋体" w:cs="宋体"/>
          <w:color w:val="auto"/>
          <w:kern w:val="2"/>
          <w:sz w:val="21"/>
          <w:highlight w:val="none"/>
        </w:rPr>
        <w:t xml:space="preserve">附 法定代表人身份证复印件 </w:t>
      </w:r>
    </w:p>
    <w:p w14:paraId="0D4348BE">
      <w:pPr>
        <w:autoSpaceDE/>
        <w:autoSpaceDN/>
        <w:adjustRightInd/>
        <w:spacing w:before="120" w:after="120" w:line="360" w:lineRule="auto"/>
        <w:ind w:left="629" w:firstLine="474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lang w:val="zh-CN"/>
        </w:rPr>
        <w:t>供应商：（加盖供应商法人公章）</w:t>
      </w:r>
    </w:p>
    <w:p w14:paraId="694A48BC">
      <w:pPr>
        <w:tabs>
          <w:tab w:val="left" w:pos="525"/>
        </w:tabs>
        <w:autoSpaceDE/>
        <w:autoSpaceDN/>
        <w:adjustRightInd/>
        <w:spacing w:before="120" w:after="120" w:line="360" w:lineRule="auto"/>
        <w:ind w:left="528" w:leftChars="220" w:firstLine="4857" w:firstLineChars="2313"/>
        <w:jc w:val="both"/>
        <w:rPr>
          <w:rFonts w:ascii="宋体" w:hAnsi="宋体" w:cs="宋体"/>
          <w:b/>
          <w:bCs/>
          <w:color w:val="auto"/>
          <w:kern w:val="2"/>
          <w:sz w:val="21"/>
          <w:szCs w:val="21"/>
          <w:highlight w:val="none"/>
          <w:lang w:val="zh-CN"/>
        </w:rPr>
      </w:pPr>
      <w:r>
        <w:rPr>
          <w:rFonts w:hint="eastAsia" w:ascii="宋体" w:hAnsi="宋体" w:cs="宋体"/>
          <w:color w:val="auto"/>
          <w:kern w:val="2"/>
          <w:sz w:val="21"/>
          <w:szCs w:val="21"/>
          <w:highlight w:val="none"/>
          <w:lang w:val="zh-CN"/>
        </w:rPr>
        <w:t>日</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期：</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年</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月</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日</w:t>
      </w:r>
      <w:r>
        <w:rPr>
          <w:rFonts w:hint="eastAsia" w:ascii="宋体" w:hAnsi="宋体" w:cs="宋体"/>
          <w:b/>
          <w:bCs/>
          <w:color w:val="auto"/>
          <w:kern w:val="2"/>
          <w:sz w:val="21"/>
          <w:szCs w:val="21"/>
          <w:highlight w:val="none"/>
          <w:lang w:val="zh-CN"/>
        </w:rPr>
        <w:t xml:space="preserve"> </w:t>
      </w:r>
    </w:p>
    <w:p w14:paraId="61D53879">
      <w:pPr>
        <w:rPr>
          <w:rFonts w:ascii="宋体" w:hAnsi="宋体" w:cs="宋体"/>
          <w:color w:val="auto"/>
          <w:kern w:val="2"/>
          <w:highlight w:val="none"/>
          <w:lang w:val="zh-CN"/>
        </w:rPr>
      </w:pPr>
      <w:r>
        <w:rPr>
          <w:rFonts w:hint="eastAsia" w:ascii="宋体" w:hAnsi="宋体" w:cs="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767F90"/>
                          <w:p w14:paraId="140883AB"/>
                          <w:p w14:paraId="25AFEE1F"/>
                          <w:p w14:paraId="694EDB2C"/>
                          <w:p w14:paraId="113B24DE">
                            <w:pPr>
                              <w:jc w:val="center"/>
                              <w:rPr>
                                <w:rFonts w:ascii="宋体" w:hAnsi="宋体"/>
                                <w:sz w:val="21"/>
                                <w:szCs w:val="21"/>
                              </w:rPr>
                            </w:pPr>
                            <w:r>
                              <w:rPr>
                                <w:rFonts w:hint="eastAsia" w:ascii="宋体" w:hAnsi="宋体"/>
                                <w:sz w:val="21"/>
                                <w:szCs w:val="21"/>
                              </w:rPr>
                              <w:t>法定代表人身份证反面</w:t>
                            </w:r>
                          </w:p>
                          <w:p w14:paraId="2502121F">
                            <w:pPr>
                              <w:jc w:val="center"/>
                              <w:rPr>
                                <w:sz w:val="21"/>
                                <w:szCs w:val="21"/>
                              </w:rPr>
                            </w:pPr>
                          </w:p>
                        </w:txbxContent>
                      </wps:txbx>
                      <wps:bodyPr upright="1"/>
                    </wps:wsp>
                  </a:graphicData>
                </a:graphic>
              </wp:anchor>
            </w:drawing>
          </mc:Choice>
          <mc:Fallback>
            <w:pict>
              <v:shape id="文本框 3"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DCMoWeDQIAADcEAAAOAAAAAAAA&#10;AAEAIAAAACgBAABkcnMvZTJvRG9jLnhtbFBLBQYAAAAABgAGAFkBAACnBQAAAAA=&#10;">
                <v:fill on="t" focussize="0,0"/>
                <v:stroke color="#000000" joinstyle="miter"/>
                <v:imagedata o:title=""/>
                <o:lock v:ext="edit" aspectratio="f"/>
                <v:textbox>
                  <w:txbxContent>
                    <w:p w14:paraId="23767F90"/>
                    <w:p w14:paraId="140883AB"/>
                    <w:p w14:paraId="25AFEE1F"/>
                    <w:p w14:paraId="694EDB2C"/>
                    <w:p w14:paraId="113B24DE">
                      <w:pPr>
                        <w:jc w:val="center"/>
                        <w:rPr>
                          <w:rFonts w:ascii="宋体" w:hAnsi="宋体"/>
                          <w:sz w:val="21"/>
                          <w:szCs w:val="21"/>
                        </w:rPr>
                      </w:pPr>
                      <w:r>
                        <w:rPr>
                          <w:rFonts w:hint="eastAsia" w:ascii="宋体" w:hAnsi="宋体"/>
                          <w:sz w:val="21"/>
                          <w:szCs w:val="21"/>
                        </w:rPr>
                        <w:t>法定代表人身份证反面</w:t>
                      </w:r>
                    </w:p>
                    <w:p w14:paraId="2502121F">
                      <w:pPr>
                        <w:jc w:val="center"/>
                        <w:rPr>
                          <w:sz w:val="21"/>
                          <w:szCs w:val="21"/>
                        </w:rPr>
                      </w:pPr>
                    </w:p>
                  </w:txbxContent>
                </v:textbox>
              </v:shape>
            </w:pict>
          </mc:Fallback>
        </mc:AlternateContent>
      </w:r>
      <w:r>
        <w:rPr>
          <w:rFonts w:hint="eastAsia" w:ascii="宋体" w:hAnsi="宋体" w:cs="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44C941"/>
                          <w:p w14:paraId="2EE98873"/>
                          <w:p w14:paraId="50246258"/>
                          <w:p w14:paraId="1EDD9726"/>
                          <w:p w14:paraId="35FC43BA">
                            <w:pPr>
                              <w:jc w:val="center"/>
                              <w:rPr>
                                <w:rFonts w:ascii="宋体" w:hAnsi="宋体"/>
                                <w:sz w:val="21"/>
                                <w:szCs w:val="21"/>
                              </w:rPr>
                            </w:pPr>
                            <w:r>
                              <w:rPr>
                                <w:rFonts w:hint="eastAsia" w:ascii="宋体" w:hAnsi="宋体"/>
                                <w:sz w:val="21"/>
                                <w:szCs w:val="21"/>
                              </w:rPr>
                              <w:t>法定代表人身份证正面</w:t>
                            </w:r>
                          </w:p>
                        </w:txbxContent>
                      </wps:txbx>
                      <wps:bodyPr upright="1"/>
                    </wps:wsp>
                  </a:graphicData>
                </a:graphic>
              </wp:anchor>
            </w:drawing>
          </mc:Choice>
          <mc:Fallback>
            <w:pict>
              <v:shape id="文本框 2"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M6n92AAAAAg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14:paraId="0944C941"/>
                    <w:p w14:paraId="2EE98873"/>
                    <w:p w14:paraId="50246258"/>
                    <w:p w14:paraId="1EDD9726"/>
                    <w:p w14:paraId="35FC43BA">
                      <w:pPr>
                        <w:jc w:val="center"/>
                        <w:rPr>
                          <w:rFonts w:ascii="宋体" w:hAnsi="宋体"/>
                          <w:sz w:val="21"/>
                          <w:szCs w:val="21"/>
                        </w:rPr>
                      </w:pPr>
                      <w:r>
                        <w:rPr>
                          <w:rFonts w:hint="eastAsia" w:ascii="宋体" w:hAnsi="宋体"/>
                          <w:sz w:val="21"/>
                          <w:szCs w:val="21"/>
                        </w:rPr>
                        <w:t>法定代表人身份证正面</w:t>
                      </w:r>
                    </w:p>
                  </w:txbxContent>
                </v:textbox>
              </v:shape>
            </w:pict>
          </mc:Fallback>
        </mc:AlternateContent>
      </w:r>
    </w:p>
    <w:p w14:paraId="4BE4748A">
      <w:pPr>
        <w:rPr>
          <w:rFonts w:ascii="宋体" w:hAnsi="宋体" w:cs="宋体"/>
          <w:color w:val="auto"/>
          <w:highlight w:val="none"/>
        </w:rPr>
      </w:pPr>
    </w:p>
    <w:p w14:paraId="1657B245">
      <w:pPr>
        <w:rPr>
          <w:rFonts w:ascii="宋体" w:hAnsi="宋体" w:cs="宋体"/>
          <w:color w:val="auto"/>
          <w:sz w:val="21"/>
          <w:highlight w:val="none"/>
          <w:lang w:val="zh-CN"/>
        </w:rPr>
      </w:pPr>
    </w:p>
    <w:p w14:paraId="3D5EB644">
      <w:pPr>
        <w:rPr>
          <w:rFonts w:ascii="宋体" w:hAnsi="宋体" w:cs="宋体"/>
          <w:color w:val="auto"/>
          <w:sz w:val="21"/>
          <w:highlight w:val="none"/>
          <w:lang w:val="zh-CN"/>
        </w:rPr>
      </w:pPr>
    </w:p>
    <w:p w14:paraId="75832731">
      <w:pPr>
        <w:rPr>
          <w:rFonts w:ascii="宋体" w:hAnsi="宋体" w:cs="宋体"/>
          <w:color w:val="auto"/>
          <w:sz w:val="21"/>
          <w:highlight w:val="none"/>
          <w:lang w:val="zh-CN"/>
        </w:rPr>
      </w:pPr>
    </w:p>
    <w:p w14:paraId="4383707F">
      <w:pPr>
        <w:rPr>
          <w:rFonts w:ascii="宋体" w:hAnsi="宋体" w:cs="宋体"/>
          <w:color w:val="auto"/>
          <w:sz w:val="21"/>
          <w:highlight w:val="none"/>
          <w:lang w:val="zh-CN"/>
        </w:rPr>
      </w:pPr>
    </w:p>
    <w:p w14:paraId="247F8EFB">
      <w:pPr>
        <w:rPr>
          <w:rFonts w:ascii="宋体" w:hAnsi="宋体" w:cs="宋体"/>
          <w:color w:val="auto"/>
          <w:sz w:val="21"/>
          <w:highlight w:val="none"/>
          <w:lang w:val="zh-CN"/>
        </w:rPr>
      </w:pPr>
    </w:p>
    <w:p w14:paraId="4C9CFAAA">
      <w:pPr>
        <w:rPr>
          <w:rFonts w:ascii="宋体" w:hAnsi="宋体" w:cs="宋体"/>
          <w:color w:val="auto"/>
          <w:sz w:val="21"/>
          <w:highlight w:val="none"/>
          <w:lang w:val="zh-CN"/>
        </w:rPr>
      </w:pPr>
    </w:p>
    <w:p w14:paraId="3D493089">
      <w:pPr>
        <w:rPr>
          <w:rFonts w:ascii="宋体" w:hAnsi="宋体" w:cs="宋体"/>
          <w:color w:val="auto"/>
          <w:sz w:val="21"/>
          <w:highlight w:val="none"/>
          <w:lang w:val="zh-CN"/>
        </w:rPr>
      </w:pPr>
    </w:p>
    <w:p w14:paraId="3BD7DD5F">
      <w:pPr>
        <w:rPr>
          <w:rFonts w:ascii="宋体" w:hAnsi="宋体" w:cs="宋体"/>
          <w:color w:val="auto"/>
          <w:sz w:val="21"/>
          <w:highlight w:val="none"/>
          <w:lang w:val="zh-CN"/>
        </w:rPr>
      </w:pPr>
    </w:p>
    <w:p w14:paraId="63546B0A">
      <w:pPr>
        <w:rPr>
          <w:rFonts w:ascii="宋体" w:hAnsi="宋体" w:cs="宋体"/>
          <w:color w:val="auto"/>
          <w:sz w:val="21"/>
          <w:highlight w:val="none"/>
          <w:lang w:val="zh-CN"/>
        </w:rPr>
      </w:pPr>
    </w:p>
    <w:p w14:paraId="389B3D31">
      <w:pPr>
        <w:rPr>
          <w:rFonts w:ascii="宋体" w:hAnsi="宋体" w:cs="宋体"/>
          <w:b/>
          <w:color w:val="auto"/>
          <w:sz w:val="21"/>
          <w:szCs w:val="21"/>
          <w:highlight w:val="none"/>
        </w:rPr>
      </w:pPr>
    </w:p>
    <w:p w14:paraId="3687637B">
      <w:pPr>
        <w:ind w:firstLine="105" w:firstLineChars="50"/>
        <w:rPr>
          <w:rFonts w:ascii="宋体" w:hAnsi="宋体" w:cs="宋体"/>
          <w:b/>
          <w:color w:val="auto"/>
          <w:sz w:val="21"/>
          <w:szCs w:val="21"/>
          <w:highlight w:val="none"/>
        </w:rPr>
      </w:pPr>
      <w:r>
        <w:rPr>
          <w:rFonts w:hint="eastAsia" w:ascii="宋体" w:hAnsi="宋体" w:cs="宋体"/>
          <w:b/>
          <w:color w:val="auto"/>
          <w:sz w:val="21"/>
          <w:szCs w:val="21"/>
          <w:highlight w:val="none"/>
        </w:rPr>
        <w:t>注：法定代表人身份证须在有效期限内。</w:t>
      </w:r>
      <w:r>
        <w:rPr>
          <w:rFonts w:hint="eastAsia" w:ascii="宋体" w:hAnsi="宋体" w:cs="宋体"/>
          <w:color w:val="auto"/>
          <w:sz w:val="21"/>
          <w:highlight w:val="none"/>
          <w:lang w:val="zh-CN"/>
        </w:rPr>
        <w:br w:type="page"/>
      </w:r>
      <w:bookmarkEnd w:id="254"/>
      <w:bookmarkEnd w:id="255"/>
      <w:bookmarkEnd w:id="256"/>
      <w:bookmarkStart w:id="324" w:name="_Toc495907134"/>
      <w:bookmarkStart w:id="325" w:name="_Toc519153442"/>
      <w:bookmarkStart w:id="326" w:name="_Toc490169464"/>
      <w:bookmarkStart w:id="327" w:name="_Toc521576303"/>
      <w:bookmarkStart w:id="328" w:name="_Toc532576767"/>
      <w:bookmarkStart w:id="329" w:name="_Toc522047383"/>
      <w:bookmarkStart w:id="330" w:name="_Toc521918124"/>
      <w:bookmarkStart w:id="331" w:name="_Toc497746562"/>
      <w:bookmarkStart w:id="332" w:name="_Toc521918321"/>
      <w:r>
        <w:rPr>
          <w:rFonts w:hint="eastAsia" w:ascii="宋体" w:hAnsi="宋体" w:cs="宋体"/>
          <w:color w:val="auto"/>
          <w:sz w:val="32"/>
          <w:szCs w:val="32"/>
          <w:highlight w:val="none"/>
          <w:lang w:val="zh-CN"/>
        </w:rPr>
        <w:t xml:space="preserve"> </w:t>
      </w:r>
      <w:bookmarkEnd w:id="324"/>
      <w:bookmarkEnd w:id="325"/>
      <w:bookmarkEnd w:id="326"/>
      <w:bookmarkEnd w:id="327"/>
      <w:bookmarkEnd w:id="328"/>
      <w:bookmarkEnd w:id="329"/>
      <w:bookmarkEnd w:id="330"/>
      <w:bookmarkEnd w:id="331"/>
      <w:bookmarkEnd w:id="332"/>
      <w:r>
        <w:rPr>
          <w:rFonts w:hint="eastAsia" w:ascii="宋体" w:hAnsi="宋体" w:cs="宋体"/>
          <w:b/>
          <w:color w:val="auto"/>
          <w:kern w:val="2"/>
          <w:sz w:val="21"/>
          <w:szCs w:val="21"/>
          <w:highlight w:val="none"/>
          <w:lang w:val="zh-CN"/>
        </w:rPr>
        <w:t>（2）</w:t>
      </w:r>
      <w:r>
        <w:rPr>
          <w:rFonts w:hint="eastAsia" w:ascii="宋体" w:hAnsi="宋体" w:cs="宋体"/>
          <w:b/>
          <w:bCs/>
          <w:color w:val="auto"/>
          <w:kern w:val="2"/>
          <w:sz w:val="21"/>
          <w:szCs w:val="21"/>
          <w:highlight w:val="none"/>
          <w:lang w:val="zh-CN"/>
        </w:rPr>
        <w:t>法定代表人授权书格式</w:t>
      </w:r>
    </w:p>
    <w:p w14:paraId="030047FE">
      <w:pPr>
        <w:rPr>
          <w:rFonts w:ascii="宋体" w:hAnsi="宋体" w:cs="宋体"/>
          <w:b/>
          <w:bCs/>
          <w:color w:val="auto"/>
          <w:kern w:val="2"/>
          <w:sz w:val="30"/>
          <w:szCs w:val="30"/>
          <w:highlight w:val="none"/>
          <w:lang w:val="zh-CN"/>
        </w:rPr>
      </w:pPr>
    </w:p>
    <w:p w14:paraId="3CD69ABD">
      <w:pPr>
        <w:spacing w:line="360" w:lineRule="auto"/>
        <w:jc w:val="center"/>
        <w:rPr>
          <w:rFonts w:ascii="宋体" w:hAnsi="宋体" w:cs="宋体"/>
          <w:b/>
          <w:bCs/>
          <w:color w:val="auto"/>
          <w:kern w:val="2"/>
          <w:sz w:val="30"/>
          <w:szCs w:val="30"/>
          <w:highlight w:val="none"/>
          <w:lang w:val="zh-CN"/>
        </w:rPr>
      </w:pPr>
      <w:r>
        <w:rPr>
          <w:rFonts w:hint="eastAsia" w:ascii="宋体" w:hAnsi="宋体" w:cs="宋体"/>
          <w:b/>
          <w:bCs/>
          <w:color w:val="auto"/>
          <w:kern w:val="2"/>
          <w:sz w:val="30"/>
          <w:szCs w:val="30"/>
          <w:highlight w:val="none"/>
          <w:lang w:val="zh-CN"/>
        </w:rPr>
        <w:t>法定代表人授权书</w:t>
      </w:r>
    </w:p>
    <w:p w14:paraId="0FFB18BC">
      <w:pPr>
        <w:spacing w:line="360" w:lineRule="auto"/>
        <w:jc w:val="center"/>
        <w:rPr>
          <w:rFonts w:ascii="宋体" w:hAnsi="宋体" w:cs="宋体"/>
          <w:color w:val="auto"/>
          <w:kern w:val="2"/>
          <w:sz w:val="21"/>
          <w:szCs w:val="28"/>
          <w:highlight w:val="none"/>
          <w:lang w:val="zh-CN"/>
        </w:rPr>
      </w:pPr>
    </w:p>
    <w:p w14:paraId="2EF0A722">
      <w:pPr>
        <w:autoSpaceDE/>
        <w:autoSpaceDN/>
        <w:adjustRightInd/>
        <w:spacing w:before="120" w:after="120" w:line="360" w:lineRule="auto"/>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致：东莞市水务集团有限公司</w:t>
      </w:r>
    </w:p>
    <w:p w14:paraId="61489E17">
      <w:pPr>
        <w:widowControl/>
        <w:spacing w:line="360" w:lineRule="auto"/>
        <w:ind w:firstLine="424" w:firstLineChars="202"/>
        <w:rPr>
          <w:rFonts w:ascii="宋体" w:hAnsi="宋体" w:cs="宋体"/>
          <w:color w:val="auto"/>
          <w:kern w:val="2"/>
          <w:sz w:val="21"/>
          <w:szCs w:val="21"/>
          <w:highlight w:val="none"/>
        </w:rPr>
      </w:pPr>
      <w:r>
        <w:rPr>
          <w:rFonts w:hint="eastAsia" w:ascii="宋体" w:hAnsi="宋体" w:cs="宋体"/>
          <w:color w:val="auto"/>
          <w:kern w:val="2"/>
          <w:sz w:val="21"/>
          <w:highlight w:val="none"/>
          <w:lang w:val="zh-CN"/>
        </w:rPr>
        <w:t>本授权书声明：注册于</w:t>
      </w:r>
      <w:r>
        <w:rPr>
          <w:rFonts w:hint="eastAsia" w:ascii="宋体" w:hAnsi="宋体" w:cs="宋体"/>
          <w:color w:val="auto"/>
          <w:kern w:val="2"/>
          <w:sz w:val="21"/>
          <w:highlight w:val="none"/>
          <w:u w:val="single"/>
          <w:lang w:val="zh-CN"/>
        </w:rPr>
        <w:t xml:space="preserve">   （供应商地址）</w:t>
      </w:r>
      <w:r>
        <w:rPr>
          <w:rFonts w:hint="eastAsia" w:ascii="宋体" w:hAnsi="宋体" w:cs="宋体"/>
          <w:color w:val="auto"/>
          <w:kern w:val="2"/>
          <w:sz w:val="21"/>
          <w:highlight w:val="none"/>
          <w:u w:val="single"/>
        </w:rPr>
        <w:t xml:space="preserve">  </w:t>
      </w:r>
      <w:r>
        <w:rPr>
          <w:rFonts w:hint="eastAsia" w:ascii="宋体" w:hAnsi="宋体" w:cs="宋体"/>
          <w:color w:val="auto"/>
          <w:kern w:val="2"/>
          <w:sz w:val="21"/>
          <w:highlight w:val="none"/>
          <w:lang w:val="zh-CN"/>
        </w:rPr>
        <w:t>的</w:t>
      </w:r>
      <w:r>
        <w:rPr>
          <w:rFonts w:hint="eastAsia" w:ascii="宋体" w:hAnsi="宋体" w:cs="宋体"/>
          <w:color w:val="auto"/>
          <w:kern w:val="2"/>
          <w:sz w:val="21"/>
          <w:highlight w:val="none"/>
          <w:u w:val="single"/>
          <w:lang w:val="zh-CN"/>
        </w:rPr>
        <w:t xml:space="preserve">  </w:t>
      </w:r>
      <w:r>
        <w:rPr>
          <w:rFonts w:hint="eastAsia" w:ascii="宋体" w:hAnsi="宋体" w:cs="宋体"/>
          <w:color w:val="auto"/>
          <w:kern w:val="2"/>
          <w:sz w:val="21"/>
          <w:highlight w:val="none"/>
          <w:u w:val="single"/>
        </w:rPr>
        <w:t xml:space="preserve"> </w:t>
      </w:r>
      <w:r>
        <w:rPr>
          <w:rFonts w:hint="eastAsia" w:ascii="宋体" w:hAnsi="宋体" w:cs="宋体"/>
          <w:color w:val="auto"/>
          <w:kern w:val="2"/>
          <w:sz w:val="21"/>
          <w:highlight w:val="none"/>
          <w:u w:val="single"/>
          <w:lang w:val="zh-CN"/>
        </w:rPr>
        <w:t>（供应商名称）</w:t>
      </w:r>
      <w:r>
        <w:rPr>
          <w:rFonts w:hint="eastAsia" w:ascii="宋体" w:hAnsi="宋体" w:cs="宋体"/>
          <w:color w:val="auto"/>
          <w:kern w:val="2"/>
          <w:sz w:val="21"/>
          <w:highlight w:val="none"/>
          <w:u w:val="single"/>
        </w:rPr>
        <w:t xml:space="preserve">  </w:t>
      </w:r>
      <w:r>
        <w:rPr>
          <w:rFonts w:hint="eastAsia" w:ascii="宋体" w:hAnsi="宋体" w:cs="宋体"/>
          <w:color w:val="auto"/>
          <w:kern w:val="2"/>
          <w:sz w:val="21"/>
          <w:highlight w:val="none"/>
          <w:lang w:val="zh-CN"/>
        </w:rPr>
        <w:t>在下面签字的</w:t>
      </w:r>
      <w:r>
        <w:rPr>
          <w:rFonts w:hint="eastAsia" w:ascii="宋体" w:hAnsi="宋体" w:cs="宋体"/>
          <w:color w:val="auto"/>
          <w:kern w:val="2"/>
          <w:sz w:val="21"/>
          <w:highlight w:val="none"/>
          <w:u w:val="single"/>
          <w:lang w:val="zh-CN"/>
        </w:rPr>
        <w:t xml:space="preserve">   （法定代表人姓名、职务、身份证号码）</w:t>
      </w:r>
      <w:r>
        <w:rPr>
          <w:rFonts w:hint="eastAsia" w:ascii="宋体" w:hAnsi="宋体" w:cs="宋体"/>
          <w:color w:val="auto"/>
          <w:kern w:val="2"/>
          <w:sz w:val="21"/>
          <w:highlight w:val="none"/>
          <w:u w:val="single"/>
        </w:rPr>
        <w:t xml:space="preserve">   </w:t>
      </w:r>
      <w:r>
        <w:rPr>
          <w:rFonts w:hint="eastAsia" w:ascii="宋体" w:hAnsi="宋体" w:cs="宋体"/>
          <w:color w:val="auto"/>
          <w:kern w:val="2"/>
          <w:sz w:val="21"/>
          <w:highlight w:val="none"/>
          <w:lang w:val="zh-CN"/>
        </w:rPr>
        <w:t>代表本公司授权在下面签字或盖私章的</w:t>
      </w:r>
      <w:r>
        <w:rPr>
          <w:rFonts w:hint="eastAsia" w:ascii="宋体" w:hAnsi="宋体" w:cs="宋体"/>
          <w:color w:val="auto"/>
          <w:kern w:val="2"/>
          <w:sz w:val="21"/>
          <w:highlight w:val="none"/>
          <w:u w:val="single"/>
          <w:lang w:val="zh-CN"/>
        </w:rPr>
        <w:t xml:space="preserve">  （被授权人的姓名、职务、身份证号码）</w:t>
      </w:r>
      <w:r>
        <w:rPr>
          <w:rFonts w:hint="eastAsia" w:ascii="宋体" w:hAnsi="宋体" w:cs="宋体"/>
          <w:color w:val="auto"/>
          <w:kern w:val="2"/>
          <w:sz w:val="21"/>
          <w:highlight w:val="none"/>
          <w:u w:val="single"/>
        </w:rPr>
        <w:t xml:space="preserve">   </w:t>
      </w:r>
      <w:r>
        <w:rPr>
          <w:rFonts w:hint="eastAsia" w:ascii="宋体" w:hAnsi="宋体" w:cs="宋体"/>
          <w:color w:val="auto"/>
          <w:kern w:val="2"/>
          <w:sz w:val="21"/>
          <w:highlight w:val="none"/>
          <w:lang w:val="zh-CN"/>
        </w:rPr>
        <w:t>为本公司的合法代表人，签署</w:t>
      </w:r>
      <w:r>
        <w:rPr>
          <w:rFonts w:hint="eastAsia" w:ascii="宋体" w:hAnsi="宋体" w:cs="宋体"/>
          <w:color w:val="auto"/>
          <w:sz w:val="21"/>
          <w:szCs w:val="21"/>
          <w:highlight w:val="none"/>
          <w:lang w:val="zh-CN"/>
        </w:rPr>
        <w:t>签署</w:t>
      </w:r>
      <w:r>
        <w:rPr>
          <w:rFonts w:hint="eastAsia" w:ascii="宋体" w:hAnsi="宋体" w:cs="宋体"/>
          <w:color w:val="auto"/>
          <w:sz w:val="21"/>
          <w:szCs w:val="21"/>
          <w:highlight w:val="none"/>
          <w:u w:val="single"/>
        </w:rPr>
        <w:t>东莞市水务集团有限公司2025年直购电采购项目</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采购</w:t>
      </w:r>
      <w:r>
        <w:rPr>
          <w:rFonts w:hint="eastAsia" w:ascii="宋体" w:hAnsi="宋体" w:cs="宋体"/>
          <w:color w:val="auto"/>
          <w:sz w:val="21"/>
          <w:szCs w:val="21"/>
          <w:highlight w:val="none"/>
          <w:lang w:val="zh-CN"/>
        </w:rPr>
        <w:t>编号：</w:t>
      </w:r>
      <w:r>
        <w:rPr>
          <w:rFonts w:hint="eastAsia" w:ascii="宋体" w:hAnsi="宋体" w:cs="宋体"/>
          <w:color w:val="auto"/>
          <w:sz w:val="21"/>
          <w:szCs w:val="21"/>
          <w:highlight w:val="none"/>
          <w:u w:val="single"/>
          <w:lang w:val="zh-CN"/>
        </w:rPr>
        <w:t>广建咨询（东招）2024-0149号</w:t>
      </w:r>
      <w:r>
        <w:rPr>
          <w:rFonts w:hint="eastAsia" w:ascii="宋体" w:hAnsi="宋体" w:cs="宋体"/>
          <w:color w:val="auto"/>
          <w:sz w:val="21"/>
          <w:szCs w:val="21"/>
          <w:highlight w:val="none"/>
          <w:lang w:val="zh-CN"/>
        </w:rPr>
        <w:t>）</w:t>
      </w:r>
      <w:r>
        <w:rPr>
          <w:rFonts w:hint="eastAsia" w:ascii="宋体" w:hAnsi="宋体" w:cs="宋体"/>
          <w:color w:val="auto"/>
          <w:kern w:val="2"/>
          <w:sz w:val="21"/>
          <w:szCs w:val="21"/>
          <w:highlight w:val="none"/>
          <w:lang w:val="zh-CN"/>
        </w:rPr>
        <w:t>的响应文件，</w:t>
      </w:r>
      <w:r>
        <w:rPr>
          <w:rFonts w:hint="eastAsia" w:ascii="宋体" w:hAnsi="宋体" w:cs="宋体"/>
          <w:color w:val="auto"/>
          <w:kern w:val="2"/>
          <w:sz w:val="21"/>
          <w:szCs w:val="21"/>
          <w:highlight w:val="none"/>
        </w:rPr>
        <w:t>代表我公司</w:t>
      </w:r>
      <w:r>
        <w:rPr>
          <w:rFonts w:hint="eastAsia" w:ascii="宋体" w:hAnsi="宋体" w:cs="宋体"/>
          <w:color w:val="auto"/>
          <w:kern w:val="2"/>
          <w:sz w:val="21"/>
          <w:highlight w:val="none"/>
          <w:lang w:val="zh-CN"/>
        </w:rPr>
        <w:t>递交响应文件、参与</w:t>
      </w:r>
      <w:r>
        <w:rPr>
          <w:rFonts w:hint="eastAsia" w:ascii="宋体" w:hAnsi="宋体" w:cs="宋体"/>
          <w:color w:val="auto"/>
          <w:kern w:val="2"/>
          <w:sz w:val="21"/>
          <w:highlight w:val="none"/>
        </w:rPr>
        <w:t>谈判</w:t>
      </w:r>
      <w:r>
        <w:rPr>
          <w:rFonts w:hint="eastAsia" w:ascii="宋体" w:hAnsi="宋体" w:cs="宋体"/>
          <w:color w:val="auto"/>
          <w:kern w:val="2"/>
          <w:sz w:val="21"/>
          <w:highlight w:val="none"/>
          <w:lang w:val="zh-CN"/>
        </w:rPr>
        <w:t>、代表我公司应谈判小组的要求对响应文件进行澄清、进行合同谈判、</w:t>
      </w:r>
      <w:r>
        <w:rPr>
          <w:rFonts w:hint="eastAsia" w:ascii="宋体" w:hAnsi="宋体" w:cs="宋体"/>
          <w:color w:val="auto"/>
          <w:kern w:val="2"/>
          <w:sz w:val="21"/>
          <w:highlight w:val="none"/>
        </w:rPr>
        <w:t>填报最终报价</w:t>
      </w:r>
      <w:r>
        <w:rPr>
          <w:rFonts w:hint="eastAsia" w:ascii="宋体" w:hAnsi="宋体" w:cs="宋体"/>
          <w:color w:val="auto"/>
          <w:kern w:val="2"/>
          <w:sz w:val="21"/>
          <w:highlight w:val="none"/>
          <w:lang w:val="zh-CN"/>
        </w:rPr>
        <w:t>和签署合同，以我公司的名义处理一切与之有关的事宜，</w:t>
      </w:r>
      <w:r>
        <w:rPr>
          <w:rFonts w:hint="eastAsia" w:ascii="宋体" w:hAnsi="宋体" w:cs="宋体"/>
          <w:color w:val="auto"/>
          <w:kern w:val="2"/>
          <w:sz w:val="21"/>
          <w:szCs w:val="21"/>
          <w:highlight w:val="none"/>
        </w:rPr>
        <w:t>我承认代理人全权代表我所签署的本项目响应文件的内容及</w:t>
      </w:r>
      <w:r>
        <w:rPr>
          <w:rFonts w:hint="eastAsia" w:ascii="宋体" w:hAnsi="宋体" w:cs="宋体"/>
          <w:color w:val="auto"/>
          <w:kern w:val="2"/>
          <w:sz w:val="21"/>
          <w:highlight w:val="none"/>
          <w:lang w:val="zh-CN"/>
        </w:rPr>
        <w:t>所进行的上述活动。</w:t>
      </w:r>
    </w:p>
    <w:p w14:paraId="39E5B0EC">
      <w:pPr>
        <w:autoSpaceDE/>
        <w:autoSpaceDN/>
        <w:adjustRightInd/>
        <w:spacing w:before="120" w:after="12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highlight w:val="none"/>
          <w:lang w:val="zh-CN"/>
        </w:rPr>
        <w:t>本授权书于</w:t>
      </w:r>
      <w:r>
        <w:rPr>
          <w:rFonts w:hint="eastAsia" w:ascii="宋体" w:hAnsi="宋体" w:cs="宋体"/>
          <w:color w:val="auto"/>
          <w:kern w:val="2"/>
          <w:sz w:val="21"/>
          <w:highlight w:val="none"/>
          <w:u w:val="single"/>
          <w:lang w:val="zh-CN"/>
        </w:rPr>
        <w:t xml:space="preserve">      </w:t>
      </w:r>
      <w:r>
        <w:rPr>
          <w:rFonts w:hint="eastAsia" w:ascii="宋体" w:hAnsi="宋体" w:cs="宋体"/>
          <w:color w:val="auto"/>
          <w:kern w:val="2"/>
          <w:sz w:val="21"/>
          <w:highlight w:val="none"/>
          <w:lang w:val="zh-CN"/>
        </w:rPr>
        <w:t>年</w:t>
      </w:r>
      <w:r>
        <w:rPr>
          <w:rFonts w:hint="eastAsia" w:ascii="宋体" w:hAnsi="宋体" w:cs="宋体"/>
          <w:color w:val="auto"/>
          <w:kern w:val="2"/>
          <w:sz w:val="21"/>
          <w:highlight w:val="none"/>
          <w:u w:val="single"/>
          <w:lang w:val="zh-CN"/>
        </w:rPr>
        <w:t xml:space="preserve">     </w:t>
      </w:r>
      <w:r>
        <w:rPr>
          <w:rFonts w:hint="eastAsia" w:ascii="宋体" w:hAnsi="宋体" w:cs="宋体"/>
          <w:color w:val="auto"/>
          <w:kern w:val="2"/>
          <w:sz w:val="21"/>
          <w:highlight w:val="none"/>
          <w:lang w:val="zh-CN"/>
        </w:rPr>
        <w:t>月</w:t>
      </w:r>
      <w:r>
        <w:rPr>
          <w:rFonts w:hint="eastAsia" w:ascii="宋体" w:hAnsi="宋体" w:cs="宋体"/>
          <w:color w:val="auto"/>
          <w:kern w:val="2"/>
          <w:sz w:val="21"/>
          <w:highlight w:val="none"/>
          <w:u w:val="single"/>
          <w:lang w:val="zh-CN"/>
        </w:rPr>
        <w:t xml:space="preserve">     </w:t>
      </w:r>
      <w:r>
        <w:rPr>
          <w:rFonts w:hint="eastAsia" w:ascii="宋体" w:hAnsi="宋体" w:cs="宋体"/>
          <w:color w:val="auto"/>
          <w:kern w:val="2"/>
          <w:sz w:val="21"/>
          <w:highlight w:val="none"/>
          <w:lang w:val="zh-CN"/>
        </w:rPr>
        <w:t>日签字生效，有效期至响应文件失效期止，</w:t>
      </w:r>
      <w:r>
        <w:rPr>
          <w:rFonts w:hint="eastAsia" w:ascii="宋体" w:hAnsi="宋体" w:cs="宋体"/>
          <w:color w:val="auto"/>
          <w:kern w:val="2"/>
          <w:sz w:val="21"/>
          <w:szCs w:val="21"/>
          <w:highlight w:val="none"/>
        </w:rPr>
        <w:t>代理人无转委托权，</w:t>
      </w:r>
      <w:r>
        <w:rPr>
          <w:rFonts w:hint="eastAsia" w:ascii="宋体" w:hAnsi="宋体" w:cs="宋体"/>
          <w:color w:val="auto"/>
          <w:kern w:val="2"/>
          <w:sz w:val="21"/>
          <w:highlight w:val="none"/>
          <w:lang w:val="zh-CN"/>
        </w:rPr>
        <w:t>特此声明。</w:t>
      </w:r>
    </w:p>
    <w:p w14:paraId="3BC11C09">
      <w:pPr>
        <w:autoSpaceDE/>
        <w:autoSpaceDN/>
        <w:adjustRightInd/>
        <w:spacing w:before="120" w:after="120" w:line="360" w:lineRule="auto"/>
        <w:ind w:firstLine="277" w:firstLineChars="132"/>
        <w:rPr>
          <w:rFonts w:ascii="宋体" w:hAnsi="宋体" w:cs="宋体"/>
          <w:color w:val="auto"/>
          <w:kern w:val="2"/>
          <w:sz w:val="21"/>
          <w:highlight w:val="none"/>
          <w:lang w:val="zh-CN"/>
        </w:rPr>
      </w:pPr>
    </w:p>
    <w:p w14:paraId="7A5D57FD">
      <w:pPr>
        <w:autoSpaceDE/>
        <w:autoSpaceDN/>
        <w:adjustRightInd/>
        <w:spacing w:before="120" w:after="120" w:line="360" w:lineRule="auto"/>
        <w:ind w:left="629" w:firstLine="425"/>
        <w:jc w:val="both"/>
        <w:rPr>
          <w:rFonts w:ascii="宋体" w:hAnsi="宋体" w:cs="宋体"/>
          <w:color w:val="auto"/>
          <w:kern w:val="2"/>
          <w:sz w:val="21"/>
          <w:highlight w:val="none"/>
        </w:rPr>
      </w:pPr>
    </w:p>
    <w:p w14:paraId="6A057321">
      <w:pPr>
        <w:autoSpaceDE/>
        <w:autoSpaceDN/>
        <w:adjustRightInd/>
        <w:spacing w:before="120" w:after="120" w:line="360" w:lineRule="auto"/>
        <w:ind w:firstLine="5103" w:firstLineChars="243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供应商：（加盖供应商法人公章）</w:t>
      </w:r>
    </w:p>
    <w:p w14:paraId="6E1E9A51">
      <w:pPr>
        <w:autoSpaceDE/>
        <w:autoSpaceDN/>
        <w:adjustRightInd/>
        <w:spacing w:before="120" w:after="120" w:line="360" w:lineRule="auto"/>
        <w:ind w:firstLine="5103" w:firstLineChars="243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供应商地址：</w:t>
      </w:r>
    </w:p>
    <w:p w14:paraId="271313C2">
      <w:pPr>
        <w:autoSpaceDE/>
        <w:autoSpaceDN/>
        <w:adjustRightInd/>
        <w:spacing w:before="120" w:after="120" w:line="360" w:lineRule="auto"/>
        <w:ind w:firstLine="5103" w:firstLineChars="243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法定代表人（签名或盖私章）：</w:t>
      </w:r>
    </w:p>
    <w:p w14:paraId="21E9B68C">
      <w:pPr>
        <w:autoSpaceDE/>
        <w:autoSpaceDN/>
        <w:adjustRightInd/>
        <w:spacing w:before="120" w:after="120" w:line="360" w:lineRule="auto"/>
        <w:ind w:firstLine="5103" w:firstLineChars="243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职　　　务：</w:t>
      </w:r>
    </w:p>
    <w:p w14:paraId="1E0CCDC3">
      <w:pPr>
        <w:autoSpaceDE/>
        <w:autoSpaceDN/>
        <w:adjustRightInd/>
        <w:spacing w:before="120" w:after="120" w:line="360" w:lineRule="auto"/>
        <w:ind w:firstLine="5103" w:firstLineChars="243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被授权人（签名或盖私章）：</w:t>
      </w:r>
    </w:p>
    <w:p w14:paraId="6C3E6E74">
      <w:pPr>
        <w:autoSpaceDE/>
        <w:autoSpaceDN/>
        <w:adjustRightInd/>
        <w:spacing w:before="120" w:after="120" w:line="360" w:lineRule="auto"/>
        <w:ind w:firstLine="5103" w:firstLineChars="243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职　　　务：</w:t>
      </w:r>
    </w:p>
    <w:p w14:paraId="32205652">
      <w:pPr>
        <w:autoSpaceDE/>
        <w:autoSpaceDN/>
        <w:adjustRightInd/>
        <w:spacing w:before="120" w:after="120" w:line="360" w:lineRule="auto"/>
        <w:ind w:firstLine="5103" w:firstLineChars="243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被授权人联系手机：</w:t>
      </w:r>
    </w:p>
    <w:p w14:paraId="1D9C5D23">
      <w:pPr>
        <w:autoSpaceDE/>
        <w:autoSpaceDN/>
        <w:adjustRightInd/>
        <w:spacing w:before="120" w:after="120" w:line="360" w:lineRule="auto"/>
        <w:ind w:firstLine="5103" w:firstLineChars="243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电 子 邮 箱：</w:t>
      </w:r>
    </w:p>
    <w:p w14:paraId="12ADB6EC">
      <w:pPr>
        <w:widowControl/>
        <w:adjustRightInd/>
        <w:spacing w:before="120" w:after="120" w:line="360" w:lineRule="auto"/>
        <w:ind w:right="893"/>
        <w:jc w:val="center"/>
        <w:textAlignment w:val="bottom"/>
        <w:rPr>
          <w:rFonts w:ascii="宋体" w:hAnsi="宋体" w:cs="宋体"/>
          <w:color w:val="auto"/>
          <w:kern w:val="2"/>
          <w:sz w:val="21"/>
          <w:highlight w:val="none"/>
          <w:lang w:val="zh-CN"/>
        </w:rPr>
      </w:pPr>
    </w:p>
    <w:p w14:paraId="2D4F3FD8">
      <w:pPr>
        <w:widowControl/>
        <w:adjustRightInd/>
        <w:spacing w:before="120" w:after="120" w:line="360" w:lineRule="auto"/>
        <w:ind w:right="893"/>
        <w:jc w:val="center"/>
        <w:textAlignment w:val="bottom"/>
        <w:rPr>
          <w:rFonts w:ascii="宋体" w:hAnsi="宋体" w:cs="宋体"/>
          <w:color w:val="auto"/>
          <w:kern w:val="2"/>
          <w:sz w:val="21"/>
          <w:highlight w:val="none"/>
          <w:lang w:val="zh-CN"/>
        </w:rPr>
      </w:pPr>
    </w:p>
    <w:p w14:paraId="54511F94">
      <w:pPr>
        <w:widowControl/>
        <w:adjustRightInd/>
        <w:spacing w:before="120" w:after="120" w:line="360" w:lineRule="auto"/>
        <w:ind w:right="893"/>
        <w:jc w:val="center"/>
        <w:textAlignment w:val="bottom"/>
        <w:rPr>
          <w:rFonts w:ascii="宋体" w:hAnsi="宋体" w:cs="宋体"/>
          <w:color w:val="auto"/>
          <w:kern w:val="2"/>
          <w:sz w:val="21"/>
          <w:highlight w:val="none"/>
          <w:lang w:val="zh-CN"/>
        </w:rPr>
      </w:pPr>
    </w:p>
    <w:p w14:paraId="47355000">
      <w:pPr>
        <w:widowControl/>
        <w:adjustRightInd/>
        <w:spacing w:before="120" w:after="120" w:line="360" w:lineRule="auto"/>
        <w:ind w:right="893"/>
        <w:jc w:val="center"/>
        <w:textAlignment w:val="bottom"/>
        <w:rPr>
          <w:rFonts w:ascii="宋体" w:hAnsi="宋体" w:cs="宋体"/>
          <w:color w:val="auto"/>
          <w:kern w:val="2"/>
          <w:sz w:val="21"/>
          <w:highlight w:val="none"/>
          <w:lang w:val="zh-CN"/>
        </w:rPr>
      </w:pPr>
    </w:p>
    <w:p w14:paraId="634AE4AB">
      <w:pPr>
        <w:widowControl/>
        <w:adjustRightInd/>
        <w:spacing w:before="120" w:after="120" w:line="360" w:lineRule="auto"/>
        <w:ind w:right="893"/>
        <w:textAlignment w:val="bottom"/>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附 法定代表人、被授权人身份证复印件</w:t>
      </w:r>
    </w:p>
    <w:p w14:paraId="4B3357B3">
      <w:pPr>
        <w:widowControl/>
        <w:adjustRightInd/>
        <w:spacing w:before="120" w:after="120" w:line="360" w:lineRule="auto"/>
        <w:ind w:right="893"/>
        <w:jc w:val="both"/>
        <w:textAlignment w:val="bottom"/>
        <w:rPr>
          <w:rFonts w:ascii="宋体" w:hAnsi="宋体" w:cs="宋体"/>
          <w:color w:val="auto"/>
          <w:sz w:val="21"/>
          <w:szCs w:val="21"/>
          <w:highlight w:val="none"/>
        </w:rPr>
      </w:pPr>
      <w:r>
        <w:rPr>
          <w:rFonts w:hint="eastAsia" w:ascii="宋体" w:hAnsi="宋体" w:cs="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3004820</wp:posOffset>
                </wp:positionH>
                <wp:positionV relativeFrom="paragraph">
                  <wp:posOffset>34290</wp:posOffset>
                </wp:positionV>
                <wp:extent cx="2743200" cy="1771015"/>
                <wp:effectExtent l="4445" t="4445" r="14605" b="15240"/>
                <wp:wrapNone/>
                <wp:docPr id="4" name="文本框 5"/>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B73461"/>
                          <w:p w14:paraId="69612655"/>
                          <w:p w14:paraId="4F087474"/>
                          <w:p w14:paraId="12685D5C"/>
                          <w:p w14:paraId="48D25662">
                            <w:pPr>
                              <w:jc w:val="center"/>
                              <w:rPr>
                                <w:rFonts w:ascii="宋体" w:hAnsi="宋体"/>
                                <w:kern w:val="2"/>
                                <w:sz w:val="21"/>
                              </w:rPr>
                            </w:pPr>
                            <w:r>
                              <w:rPr>
                                <w:rFonts w:hint="eastAsia" w:ascii="宋体" w:hAnsi="宋体"/>
                                <w:kern w:val="2"/>
                                <w:sz w:val="21"/>
                              </w:rPr>
                              <w:t>法定代表人身份证反面</w:t>
                            </w:r>
                          </w:p>
                        </w:txbxContent>
                      </wps:txbx>
                      <wps:bodyPr upright="1"/>
                    </wps:wsp>
                  </a:graphicData>
                </a:graphic>
              </wp:anchor>
            </w:drawing>
          </mc:Choice>
          <mc:Fallback>
            <w:pict>
              <v:shape id="文本框 5" o:spid="_x0000_s1026" o:spt="202" type="#_x0000_t202" style="position:absolute;left:0pt;margin-left:236.6pt;margin-top:2.7pt;height:139.45pt;width:216pt;z-index:251662336;mso-width-relative:page;mso-height-relative:page;" fillcolor="#FFFFFF" filled="t" stroked="t" coordsize="21600,21600" o:gfxdata="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2jzWtgAAAAJAQAADwAAAAAAAAABACAA&#10;AAAiAAAAZHJzL2Rvd25yZXYueG1sUEsBAhQAFAAAAAgAh07iQFEHt8ENAgAANwQAAA4AAAAAAAAA&#10;AQAgAAAAJwEAAGRycy9lMm9Eb2MueG1sUEsFBgAAAAAGAAYAWQEAAKYFAAAAAA==&#10;">
                <v:fill on="t" focussize="0,0"/>
                <v:stroke color="#000000" joinstyle="miter"/>
                <v:imagedata o:title=""/>
                <o:lock v:ext="edit" aspectratio="f"/>
                <v:textbox>
                  <w:txbxContent>
                    <w:p w14:paraId="22B73461"/>
                    <w:p w14:paraId="69612655"/>
                    <w:p w14:paraId="4F087474"/>
                    <w:p w14:paraId="12685D5C"/>
                    <w:p w14:paraId="48D25662">
                      <w:pPr>
                        <w:jc w:val="center"/>
                        <w:rPr>
                          <w:rFonts w:ascii="宋体" w:hAnsi="宋体"/>
                          <w:kern w:val="2"/>
                          <w:sz w:val="21"/>
                        </w:rPr>
                      </w:pPr>
                      <w:r>
                        <w:rPr>
                          <w:rFonts w:hint="eastAsia" w:ascii="宋体" w:hAnsi="宋体"/>
                          <w:kern w:val="2"/>
                          <w:sz w:val="21"/>
                        </w:rPr>
                        <w:t>法定代表人身份证反面</w:t>
                      </w:r>
                    </w:p>
                  </w:txbxContent>
                </v:textbox>
              </v:shape>
            </w:pict>
          </mc:Fallback>
        </mc:AlternateContent>
      </w:r>
      <w:r>
        <w:rPr>
          <w:rFonts w:hint="eastAsia" w:ascii="宋体" w:hAnsi="宋体" w:cs="宋体"/>
          <w:color w:val="auto"/>
          <w:kern w:val="2"/>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34290</wp:posOffset>
                </wp:positionV>
                <wp:extent cx="2743200" cy="1771015"/>
                <wp:effectExtent l="4445" t="4445" r="14605" b="15240"/>
                <wp:wrapNone/>
                <wp:docPr id="3" name="文本框 4"/>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A53C68"/>
                          <w:p w14:paraId="430B35B3"/>
                          <w:p w14:paraId="2017FEA7"/>
                          <w:p w14:paraId="5391125A"/>
                          <w:p w14:paraId="7F79DDAF">
                            <w:pPr>
                              <w:jc w:val="center"/>
                              <w:rPr>
                                <w:rFonts w:ascii="宋体" w:hAnsi="宋体"/>
                                <w:kern w:val="2"/>
                                <w:sz w:val="21"/>
                              </w:rPr>
                            </w:pPr>
                            <w:r>
                              <w:rPr>
                                <w:rFonts w:hint="eastAsia" w:ascii="宋体" w:hAnsi="宋体"/>
                                <w:kern w:val="2"/>
                                <w:sz w:val="21"/>
                              </w:rPr>
                              <w:t>法定代表人身份证正面</w:t>
                            </w:r>
                          </w:p>
                        </w:txbxContent>
                      </wps:txbx>
                      <wps:bodyPr upright="1"/>
                    </wps:wsp>
                  </a:graphicData>
                </a:graphic>
              </wp:anchor>
            </w:drawing>
          </mc:Choice>
          <mc:Fallback>
            <w:pict>
              <v:shape id="文本框 4" o:spid="_x0000_s1026" o:spt="202" type="#_x0000_t202" style="position:absolute;left:0pt;margin-left:1.85pt;margin-top:2.7pt;height:139.45pt;width:216pt;z-index:251661312;mso-width-relative:page;mso-height-relative:page;" fillcolor="#FFFFFF" filled="t" stroked="t" coordsize="21600,21600" o:gfxdata="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Vxgb9YAAAAHAQAADwAAAAAAAAABACAAAAAi&#10;AAAAZHJzL2Rvd25yZXYueG1sUEsBAhQAFAAAAAgAh07iQF7hwqkMAgAANwQAAA4AAAAAAAAAAQAg&#10;AAAAJQEAAGRycy9lMm9Eb2MueG1sUEsFBgAAAAAGAAYAWQEAAKMFAAAAAA==&#10;">
                <v:fill on="t" focussize="0,0"/>
                <v:stroke color="#000000" joinstyle="miter"/>
                <v:imagedata o:title=""/>
                <o:lock v:ext="edit" aspectratio="f"/>
                <v:textbox>
                  <w:txbxContent>
                    <w:p w14:paraId="29A53C68"/>
                    <w:p w14:paraId="430B35B3"/>
                    <w:p w14:paraId="2017FEA7"/>
                    <w:p w14:paraId="5391125A"/>
                    <w:p w14:paraId="7F79DDAF">
                      <w:pPr>
                        <w:jc w:val="center"/>
                        <w:rPr>
                          <w:rFonts w:ascii="宋体" w:hAnsi="宋体"/>
                          <w:kern w:val="2"/>
                          <w:sz w:val="21"/>
                        </w:rPr>
                      </w:pPr>
                      <w:r>
                        <w:rPr>
                          <w:rFonts w:hint="eastAsia" w:ascii="宋体" w:hAnsi="宋体"/>
                          <w:kern w:val="2"/>
                          <w:sz w:val="21"/>
                        </w:rPr>
                        <w:t>法定代表人身份证正面</w:t>
                      </w:r>
                    </w:p>
                  </w:txbxContent>
                </v:textbox>
              </v:shape>
            </w:pict>
          </mc:Fallback>
        </mc:AlternateContent>
      </w:r>
    </w:p>
    <w:p w14:paraId="0BB8573B">
      <w:pPr>
        <w:rPr>
          <w:rFonts w:ascii="宋体" w:hAnsi="宋体" w:cs="宋体"/>
          <w:color w:val="auto"/>
          <w:sz w:val="21"/>
          <w:szCs w:val="21"/>
          <w:highlight w:val="none"/>
        </w:rPr>
      </w:pPr>
    </w:p>
    <w:p w14:paraId="39F726CF">
      <w:pPr>
        <w:rPr>
          <w:rFonts w:ascii="宋体" w:hAnsi="宋体" w:cs="宋体"/>
          <w:color w:val="auto"/>
          <w:sz w:val="21"/>
          <w:szCs w:val="21"/>
          <w:highlight w:val="none"/>
        </w:rPr>
      </w:pPr>
    </w:p>
    <w:p w14:paraId="5998ABC3">
      <w:pPr>
        <w:rPr>
          <w:rFonts w:ascii="宋体" w:hAnsi="宋体" w:cs="宋体"/>
          <w:color w:val="auto"/>
          <w:sz w:val="21"/>
          <w:szCs w:val="21"/>
          <w:highlight w:val="none"/>
        </w:rPr>
      </w:pPr>
    </w:p>
    <w:p w14:paraId="51024C81">
      <w:pPr>
        <w:rPr>
          <w:rFonts w:ascii="宋体" w:hAnsi="宋体" w:cs="宋体"/>
          <w:color w:val="auto"/>
          <w:sz w:val="21"/>
          <w:szCs w:val="21"/>
          <w:highlight w:val="none"/>
        </w:rPr>
      </w:pPr>
    </w:p>
    <w:p w14:paraId="603DC395">
      <w:pPr>
        <w:rPr>
          <w:rFonts w:ascii="宋体" w:hAnsi="宋体" w:cs="宋体"/>
          <w:color w:val="auto"/>
          <w:sz w:val="21"/>
          <w:szCs w:val="21"/>
          <w:highlight w:val="none"/>
        </w:rPr>
      </w:pPr>
    </w:p>
    <w:p w14:paraId="3C851959">
      <w:pPr>
        <w:rPr>
          <w:rFonts w:ascii="宋体" w:hAnsi="宋体" w:cs="宋体"/>
          <w:color w:val="auto"/>
          <w:sz w:val="21"/>
          <w:szCs w:val="21"/>
          <w:highlight w:val="none"/>
        </w:rPr>
      </w:pPr>
    </w:p>
    <w:p w14:paraId="592A4C96">
      <w:pPr>
        <w:rPr>
          <w:rFonts w:ascii="宋体" w:hAnsi="宋体" w:cs="宋体"/>
          <w:color w:val="auto"/>
          <w:sz w:val="21"/>
          <w:szCs w:val="21"/>
          <w:highlight w:val="none"/>
        </w:rPr>
      </w:pPr>
    </w:p>
    <w:p w14:paraId="46C90DDA">
      <w:pPr>
        <w:rPr>
          <w:rFonts w:ascii="宋体" w:hAnsi="宋体" w:cs="宋体"/>
          <w:color w:val="auto"/>
          <w:sz w:val="21"/>
          <w:szCs w:val="21"/>
          <w:highlight w:val="none"/>
        </w:rPr>
      </w:pPr>
    </w:p>
    <w:p w14:paraId="2A254B99">
      <w:pPr>
        <w:rPr>
          <w:rFonts w:ascii="宋体" w:hAnsi="宋体" w:cs="宋体"/>
          <w:color w:val="auto"/>
          <w:sz w:val="21"/>
          <w:szCs w:val="21"/>
          <w:highlight w:val="none"/>
        </w:rPr>
      </w:pPr>
    </w:p>
    <w:p w14:paraId="73D1F988">
      <w:pPr>
        <w:rPr>
          <w:rFonts w:ascii="宋体" w:hAnsi="宋体" w:cs="宋体"/>
          <w:color w:val="auto"/>
          <w:sz w:val="21"/>
          <w:szCs w:val="21"/>
          <w:highlight w:val="none"/>
        </w:rPr>
      </w:pPr>
    </w:p>
    <w:p w14:paraId="595EC526">
      <w:pPr>
        <w:rPr>
          <w:rFonts w:ascii="宋体" w:hAnsi="宋体" w:cs="宋体"/>
          <w:color w:val="auto"/>
          <w:sz w:val="21"/>
          <w:szCs w:val="21"/>
          <w:highlight w:val="none"/>
        </w:rPr>
      </w:pPr>
    </w:p>
    <w:p w14:paraId="23BE2EA1">
      <w:pPr>
        <w:rPr>
          <w:rFonts w:ascii="宋体" w:hAnsi="宋体" w:cs="宋体"/>
          <w:color w:val="auto"/>
          <w:sz w:val="21"/>
          <w:szCs w:val="21"/>
          <w:highlight w:val="none"/>
        </w:rPr>
      </w:pPr>
    </w:p>
    <w:p w14:paraId="520F9893">
      <w:pPr>
        <w:rPr>
          <w:rFonts w:ascii="宋体" w:hAnsi="宋体" w:cs="宋体"/>
          <w:color w:val="auto"/>
          <w:sz w:val="21"/>
          <w:szCs w:val="21"/>
          <w:highlight w:val="none"/>
        </w:rPr>
      </w:pPr>
      <w:r>
        <w:rPr>
          <w:rFonts w:hint="eastAsia" w:ascii="宋体" w:hAnsi="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2985770</wp:posOffset>
                </wp:positionH>
                <wp:positionV relativeFrom="paragraph">
                  <wp:posOffset>163195</wp:posOffset>
                </wp:positionV>
                <wp:extent cx="2743200" cy="1771015"/>
                <wp:effectExtent l="4445" t="4445" r="14605" b="15240"/>
                <wp:wrapNone/>
                <wp:docPr id="6" name="文本框 7"/>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0E4598"/>
                          <w:p w14:paraId="0A90BE93">
                            <w:pPr>
                              <w:jc w:val="center"/>
                              <w:rPr>
                                <w:rFonts w:hAnsi="等线 Light"/>
                                <w:color w:val="FF0000"/>
                                <w:kern w:val="2"/>
                                <w:sz w:val="21"/>
                              </w:rPr>
                            </w:pPr>
                          </w:p>
                          <w:p w14:paraId="6DEBD0FC">
                            <w:pPr>
                              <w:jc w:val="center"/>
                              <w:rPr>
                                <w:rFonts w:hAnsi="等线 Light"/>
                                <w:color w:val="FF0000"/>
                                <w:kern w:val="2"/>
                                <w:sz w:val="21"/>
                              </w:rPr>
                            </w:pPr>
                          </w:p>
                          <w:p w14:paraId="0ABD4D9C">
                            <w:pPr>
                              <w:jc w:val="center"/>
                              <w:rPr>
                                <w:rFonts w:hAnsi="等线 Light"/>
                                <w:color w:val="FF0000"/>
                                <w:kern w:val="2"/>
                                <w:sz w:val="21"/>
                              </w:rPr>
                            </w:pPr>
                          </w:p>
                          <w:p w14:paraId="1B57091B">
                            <w:pPr>
                              <w:jc w:val="center"/>
                              <w:rPr>
                                <w:rFonts w:ascii="宋体" w:hAnsi="宋体"/>
                              </w:rPr>
                            </w:pPr>
                            <w:r>
                              <w:rPr>
                                <w:rFonts w:hint="eastAsia" w:ascii="宋体" w:hAnsi="宋体"/>
                                <w:kern w:val="2"/>
                                <w:sz w:val="21"/>
                              </w:rPr>
                              <w:t>被授权人身份证反面</w:t>
                            </w:r>
                          </w:p>
                          <w:p w14:paraId="75050375"/>
                          <w:p w14:paraId="5C62979D"/>
                        </w:txbxContent>
                      </wps:txbx>
                      <wps:bodyPr upright="1"/>
                    </wps:wsp>
                  </a:graphicData>
                </a:graphic>
              </wp:anchor>
            </w:drawing>
          </mc:Choice>
          <mc:Fallback>
            <w:pict>
              <v:shape id="文本框 7" o:spid="_x0000_s1026" o:spt="202" type="#_x0000_t202" style="position:absolute;left:0pt;margin-left:235.1pt;margin-top:12.85pt;height:139.45pt;width:216pt;z-index:251664384;mso-width-relative:page;mso-height-relative:page;" fillcolor="#FFFFFF" filled="t" stroked="t" coordsize="21600,21600" o:gfxdata="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B8QdoAAAAKAQAADwAAAAAAAAABACAA&#10;AAAiAAAAZHJzL2Rvd25yZXYueG1sUEsBAhQAFAAAAAgAh07iQGhEhc0LAgAANwQAAA4AAAAAAAAA&#10;AQAgAAAAKQEAAGRycy9lMm9Eb2MueG1sUEsFBgAAAAAGAAYAWQEAAKYFAAAAAA==&#10;">
                <v:fill on="t" focussize="0,0"/>
                <v:stroke color="#000000" joinstyle="miter"/>
                <v:imagedata o:title=""/>
                <o:lock v:ext="edit" aspectratio="f"/>
                <v:textbox>
                  <w:txbxContent>
                    <w:p w14:paraId="3C0E4598"/>
                    <w:p w14:paraId="0A90BE93">
                      <w:pPr>
                        <w:jc w:val="center"/>
                        <w:rPr>
                          <w:rFonts w:hAnsi="等线 Light"/>
                          <w:color w:val="FF0000"/>
                          <w:kern w:val="2"/>
                          <w:sz w:val="21"/>
                        </w:rPr>
                      </w:pPr>
                    </w:p>
                    <w:p w14:paraId="6DEBD0FC">
                      <w:pPr>
                        <w:jc w:val="center"/>
                        <w:rPr>
                          <w:rFonts w:hAnsi="等线 Light"/>
                          <w:color w:val="FF0000"/>
                          <w:kern w:val="2"/>
                          <w:sz w:val="21"/>
                        </w:rPr>
                      </w:pPr>
                    </w:p>
                    <w:p w14:paraId="0ABD4D9C">
                      <w:pPr>
                        <w:jc w:val="center"/>
                        <w:rPr>
                          <w:rFonts w:hAnsi="等线 Light"/>
                          <w:color w:val="FF0000"/>
                          <w:kern w:val="2"/>
                          <w:sz w:val="21"/>
                        </w:rPr>
                      </w:pPr>
                    </w:p>
                    <w:p w14:paraId="1B57091B">
                      <w:pPr>
                        <w:jc w:val="center"/>
                        <w:rPr>
                          <w:rFonts w:ascii="宋体" w:hAnsi="宋体"/>
                        </w:rPr>
                      </w:pPr>
                      <w:r>
                        <w:rPr>
                          <w:rFonts w:hint="eastAsia" w:ascii="宋体" w:hAnsi="宋体"/>
                          <w:kern w:val="2"/>
                          <w:sz w:val="21"/>
                        </w:rPr>
                        <w:t>被授权人身份证反面</w:t>
                      </w:r>
                    </w:p>
                    <w:p w14:paraId="75050375"/>
                    <w:p w14:paraId="5C62979D"/>
                  </w:txbxContent>
                </v:textbox>
              </v:shape>
            </w:pict>
          </mc:Fallback>
        </mc:AlternateContent>
      </w:r>
      <w:r>
        <w:rPr>
          <w:rFonts w:hint="eastAsia" w:ascii="宋体" w:hAnsi="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163195</wp:posOffset>
                </wp:positionV>
                <wp:extent cx="2743200" cy="1771015"/>
                <wp:effectExtent l="4445" t="4445" r="14605" b="15240"/>
                <wp:wrapNone/>
                <wp:docPr id="5" name="文本框 6"/>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85C6AA"/>
                          <w:p w14:paraId="59235620">
                            <w:pPr>
                              <w:jc w:val="center"/>
                              <w:rPr>
                                <w:rFonts w:hAnsi="等线 Light"/>
                                <w:color w:val="FF0000"/>
                                <w:kern w:val="2"/>
                                <w:sz w:val="21"/>
                              </w:rPr>
                            </w:pPr>
                          </w:p>
                          <w:p w14:paraId="3BABF8D2">
                            <w:pPr>
                              <w:jc w:val="center"/>
                              <w:rPr>
                                <w:rFonts w:hAnsi="等线 Light"/>
                                <w:color w:val="FF0000"/>
                                <w:kern w:val="2"/>
                                <w:sz w:val="21"/>
                              </w:rPr>
                            </w:pPr>
                          </w:p>
                          <w:p w14:paraId="4F75590B">
                            <w:pPr>
                              <w:jc w:val="center"/>
                              <w:rPr>
                                <w:rFonts w:hAnsi="等线 Light"/>
                                <w:color w:val="FF0000"/>
                                <w:kern w:val="2"/>
                                <w:sz w:val="21"/>
                              </w:rPr>
                            </w:pPr>
                          </w:p>
                          <w:p w14:paraId="63E5E325">
                            <w:pPr>
                              <w:jc w:val="center"/>
                              <w:rPr>
                                <w:rFonts w:ascii="宋体" w:hAnsi="宋体"/>
                              </w:rPr>
                            </w:pPr>
                            <w:r>
                              <w:rPr>
                                <w:rFonts w:hint="eastAsia" w:ascii="宋体" w:hAnsi="宋体"/>
                                <w:kern w:val="2"/>
                                <w:sz w:val="21"/>
                              </w:rPr>
                              <w:t>被授权人身份证正面</w:t>
                            </w:r>
                          </w:p>
                          <w:p w14:paraId="0547EEB7"/>
                          <w:p w14:paraId="339DA804"/>
                        </w:txbxContent>
                      </wps:txbx>
                      <wps:bodyPr upright="1"/>
                    </wps:wsp>
                  </a:graphicData>
                </a:graphic>
              </wp:anchor>
            </w:drawing>
          </mc:Choice>
          <mc:Fallback>
            <w:pict>
              <v:shape id="文本框 6" o:spid="_x0000_s1026" o:spt="202" type="#_x0000_t202" style="position:absolute;left:0pt;margin-left:1.1pt;margin-top:12.85pt;height:139.45pt;width:216pt;z-index:251665408;mso-width-relative:page;mso-height-relative:page;" fillcolor="#FFFFFF" filled="t" stroked="t" coordsize="21600,21600" o:gfxdata="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ZfjYAAAACAEAAA8AAAAAAAAAAQAgAAAA&#10;IgAAAGRycy9kb3ducmV2LnhtbFBLAQIUABQAAAAIAIdO4kBFJZdYCwIAADcEAAAOAAAAAAAAAAEA&#10;IAAAACcBAABkcnMvZTJvRG9jLnhtbFBLBQYAAAAABgAGAFkBAACkBQAAAAA=&#10;">
                <v:fill on="t" focussize="0,0"/>
                <v:stroke color="#000000" joinstyle="miter"/>
                <v:imagedata o:title=""/>
                <o:lock v:ext="edit" aspectratio="f"/>
                <v:textbox>
                  <w:txbxContent>
                    <w:p w14:paraId="5A85C6AA"/>
                    <w:p w14:paraId="59235620">
                      <w:pPr>
                        <w:jc w:val="center"/>
                        <w:rPr>
                          <w:rFonts w:hAnsi="等线 Light"/>
                          <w:color w:val="FF0000"/>
                          <w:kern w:val="2"/>
                          <w:sz w:val="21"/>
                        </w:rPr>
                      </w:pPr>
                    </w:p>
                    <w:p w14:paraId="3BABF8D2">
                      <w:pPr>
                        <w:jc w:val="center"/>
                        <w:rPr>
                          <w:rFonts w:hAnsi="等线 Light"/>
                          <w:color w:val="FF0000"/>
                          <w:kern w:val="2"/>
                          <w:sz w:val="21"/>
                        </w:rPr>
                      </w:pPr>
                    </w:p>
                    <w:p w14:paraId="4F75590B">
                      <w:pPr>
                        <w:jc w:val="center"/>
                        <w:rPr>
                          <w:rFonts w:hAnsi="等线 Light"/>
                          <w:color w:val="FF0000"/>
                          <w:kern w:val="2"/>
                          <w:sz w:val="21"/>
                        </w:rPr>
                      </w:pPr>
                    </w:p>
                    <w:p w14:paraId="63E5E325">
                      <w:pPr>
                        <w:jc w:val="center"/>
                        <w:rPr>
                          <w:rFonts w:ascii="宋体" w:hAnsi="宋体"/>
                        </w:rPr>
                      </w:pPr>
                      <w:r>
                        <w:rPr>
                          <w:rFonts w:hint="eastAsia" w:ascii="宋体" w:hAnsi="宋体"/>
                          <w:kern w:val="2"/>
                          <w:sz w:val="21"/>
                        </w:rPr>
                        <w:t>被授权人身份证正面</w:t>
                      </w:r>
                    </w:p>
                    <w:p w14:paraId="0547EEB7"/>
                    <w:p w14:paraId="339DA804"/>
                  </w:txbxContent>
                </v:textbox>
              </v:shape>
            </w:pict>
          </mc:Fallback>
        </mc:AlternateContent>
      </w:r>
    </w:p>
    <w:p w14:paraId="3B5D212F">
      <w:pPr>
        <w:pStyle w:val="73"/>
        <w:rPr>
          <w:rFonts w:ascii="宋体" w:hAnsi="宋体" w:cs="宋体"/>
          <w:color w:val="auto"/>
          <w:sz w:val="21"/>
          <w:szCs w:val="21"/>
          <w:highlight w:val="none"/>
        </w:rPr>
      </w:pPr>
    </w:p>
    <w:p w14:paraId="7ECEE37C">
      <w:pPr>
        <w:pStyle w:val="73"/>
        <w:rPr>
          <w:rFonts w:ascii="宋体" w:hAnsi="宋体" w:cs="宋体"/>
          <w:color w:val="auto"/>
          <w:sz w:val="21"/>
          <w:szCs w:val="21"/>
          <w:highlight w:val="none"/>
        </w:rPr>
      </w:pPr>
    </w:p>
    <w:p w14:paraId="61F9FCF6">
      <w:pPr>
        <w:pStyle w:val="73"/>
        <w:rPr>
          <w:rFonts w:ascii="宋体" w:hAnsi="宋体" w:cs="宋体"/>
          <w:color w:val="auto"/>
          <w:sz w:val="21"/>
          <w:szCs w:val="21"/>
          <w:highlight w:val="none"/>
        </w:rPr>
      </w:pPr>
    </w:p>
    <w:p w14:paraId="4E6A5F61">
      <w:pPr>
        <w:pStyle w:val="73"/>
        <w:rPr>
          <w:rFonts w:ascii="宋体" w:hAnsi="宋体" w:cs="宋体"/>
          <w:color w:val="auto"/>
          <w:sz w:val="21"/>
          <w:szCs w:val="21"/>
          <w:highlight w:val="none"/>
        </w:rPr>
      </w:pPr>
    </w:p>
    <w:p w14:paraId="61D9E94C">
      <w:pPr>
        <w:pStyle w:val="73"/>
        <w:rPr>
          <w:rFonts w:ascii="宋体" w:hAnsi="宋体" w:cs="宋体"/>
          <w:color w:val="auto"/>
          <w:sz w:val="21"/>
          <w:szCs w:val="21"/>
          <w:highlight w:val="none"/>
        </w:rPr>
      </w:pPr>
    </w:p>
    <w:p w14:paraId="7FD7F95F">
      <w:pPr>
        <w:pStyle w:val="73"/>
        <w:rPr>
          <w:rFonts w:ascii="宋体" w:hAnsi="宋体" w:cs="宋体"/>
          <w:color w:val="auto"/>
          <w:sz w:val="21"/>
          <w:szCs w:val="21"/>
          <w:highlight w:val="none"/>
        </w:rPr>
      </w:pPr>
    </w:p>
    <w:p w14:paraId="1B86BFE1">
      <w:pPr>
        <w:pStyle w:val="73"/>
        <w:rPr>
          <w:rFonts w:ascii="宋体" w:hAnsi="宋体" w:cs="宋体"/>
          <w:color w:val="auto"/>
          <w:sz w:val="21"/>
          <w:szCs w:val="21"/>
          <w:highlight w:val="none"/>
        </w:rPr>
      </w:pPr>
    </w:p>
    <w:p w14:paraId="1B7BD2B6">
      <w:pPr>
        <w:pStyle w:val="73"/>
        <w:rPr>
          <w:rFonts w:ascii="宋体" w:hAnsi="宋体" w:cs="宋体"/>
          <w:color w:val="auto"/>
          <w:sz w:val="21"/>
          <w:szCs w:val="21"/>
          <w:highlight w:val="none"/>
        </w:rPr>
      </w:pPr>
    </w:p>
    <w:p w14:paraId="784F5DE4">
      <w:pPr>
        <w:pStyle w:val="73"/>
        <w:rPr>
          <w:rFonts w:ascii="宋体" w:hAnsi="宋体" w:cs="宋体"/>
          <w:color w:val="auto"/>
          <w:sz w:val="21"/>
          <w:szCs w:val="21"/>
          <w:highlight w:val="none"/>
        </w:rPr>
      </w:pPr>
    </w:p>
    <w:p w14:paraId="17D1E280">
      <w:pPr>
        <w:pStyle w:val="73"/>
        <w:rPr>
          <w:rFonts w:ascii="宋体" w:hAnsi="宋体" w:cs="宋体"/>
          <w:color w:val="auto"/>
          <w:sz w:val="21"/>
          <w:szCs w:val="21"/>
          <w:highlight w:val="none"/>
        </w:rPr>
      </w:pPr>
    </w:p>
    <w:p w14:paraId="69EB06EA">
      <w:pPr>
        <w:pStyle w:val="73"/>
        <w:rPr>
          <w:rFonts w:ascii="宋体" w:hAnsi="宋体" w:cs="宋体"/>
          <w:color w:val="auto"/>
          <w:sz w:val="21"/>
          <w:szCs w:val="21"/>
          <w:highlight w:val="none"/>
        </w:rPr>
      </w:pPr>
    </w:p>
    <w:p w14:paraId="7875249C">
      <w:pPr>
        <w:tabs>
          <w:tab w:val="left" w:pos="567"/>
        </w:tabs>
        <w:spacing w:line="360" w:lineRule="auto"/>
        <w:rPr>
          <w:rFonts w:ascii="宋体" w:hAnsi="宋体" w:cs="宋体"/>
          <w:b/>
          <w:color w:val="auto"/>
          <w:sz w:val="21"/>
          <w:szCs w:val="21"/>
          <w:highlight w:val="none"/>
        </w:rPr>
      </w:pPr>
      <w:bookmarkStart w:id="333" w:name="_Toc521918125"/>
      <w:bookmarkStart w:id="334" w:name="_Toc519153443"/>
      <w:bookmarkStart w:id="335" w:name="_Toc521576304"/>
      <w:bookmarkStart w:id="336" w:name="_Toc521918322"/>
      <w:bookmarkStart w:id="337" w:name="_Toc522047384"/>
      <w:bookmarkStart w:id="338" w:name="_Toc495907135"/>
      <w:bookmarkStart w:id="339" w:name="_Toc490169465"/>
      <w:r>
        <w:rPr>
          <w:rFonts w:hint="eastAsia" w:ascii="宋体" w:hAnsi="宋体" w:cs="宋体"/>
          <w:b/>
          <w:color w:val="auto"/>
          <w:sz w:val="21"/>
          <w:szCs w:val="21"/>
          <w:highlight w:val="none"/>
        </w:rPr>
        <w:t>注：上述身份证须在有效期限内。</w:t>
      </w:r>
    </w:p>
    <w:p w14:paraId="7D53A9C9">
      <w:pPr>
        <w:tabs>
          <w:tab w:val="left" w:pos="567"/>
        </w:tabs>
        <w:spacing w:line="360" w:lineRule="auto"/>
        <w:ind w:left="567" w:hanging="567"/>
        <w:outlineLvl w:val="2"/>
        <w:rPr>
          <w:rFonts w:ascii="宋体" w:hAnsi="宋体" w:cs="宋体"/>
          <w:b/>
          <w:color w:val="auto"/>
          <w:sz w:val="21"/>
          <w:szCs w:val="21"/>
          <w:highlight w:val="none"/>
        </w:rPr>
        <w:sectPr>
          <w:headerReference r:id="rId14" w:type="first"/>
          <w:footerReference r:id="rId16" w:type="first"/>
          <w:footerReference r:id="rId15" w:type="default"/>
          <w:pgSz w:w="11907" w:h="16840"/>
          <w:pgMar w:top="1701" w:right="1418" w:bottom="851" w:left="1418" w:header="720" w:footer="720" w:gutter="0"/>
          <w:cols w:space="720" w:num="1"/>
          <w:titlePg/>
          <w:docGrid w:linePitch="326" w:charSpace="0"/>
        </w:sectPr>
      </w:pPr>
    </w:p>
    <w:bookmarkEnd w:id="333"/>
    <w:bookmarkEnd w:id="334"/>
    <w:bookmarkEnd w:id="335"/>
    <w:bookmarkEnd w:id="336"/>
    <w:bookmarkEnd w:id="337"/>
    <w:p w14:paraId="45333529">
      <w:pPr>
        <w:pageBreakBefore/>
        <w:spacing w:line="360" w:lineRule="auto"/>
        <w:rPr>
          <w:rFonts w:ascii="宋体" w:hAnsi="宋体" w:cs="宋体"/>
          <w:b/>
          <w:bCs/>
          <w:color w:val="auto"/>
          <w:sz w:val="28"/>
          <w:szCs w:val="28"/>
          <w:highlight w:val="none"/>
        </w:rPr>
      </w:pPr>
      <w:bookmarkStart w:id="340" w:name="_Toc32328"/>
      <w:bookmarkStart w:id="341" w:name="_Toc12400"/>
      <w:bookmarkStart w:id="342" w:name="_Toc15716"/>
      <w:r>
        <w:rPr>
          <w:rFonts w:hint="eastAsia" w:ascii="宋体" w:hAnsi="宋体" w:cs="宋体"/>
          <w:b/>
          <w:color w:val="auto"/>
          <w:sz w:val="30"/>
          <w:szCs w:val="30"/>
          <w:highlight w:val="none"/>
        </w:rPr>
        <w:t xml:space="preserve">4.4 </w:t>
      </w:r>
      <w:r>
        <w:rPr>
          <w:rFonts w:hint="eastAsia" w:ascii="宋体" w:hAnsi="宋体" w:cs="宋体"/>
          <w:b/>
          <w:bCs/>
          <w:color w:val="auto"/>
          <w:kern w:val="2"/>
          <w:sz w:val="32"/>
          <w:szCs w:val="32"/>
          <w:highlight w:val="none"/>
        </w:rPr>
        <w:t>资格条件</w:t>
      </w:r>
      <w:bookmarkEnd w:id="340"/>
      <w:bookmarkEnd w:id="341"/>
      <w:bookmarkEnd w:id="342"/>
      <w:r>
        <w:rPr>
          <w:rFonts w:hint="eastAsia" w:ascii="宋体" w:hAnsi="宋体" w:cs="宋体"/>
          <w:b/>
          <w:bCs/>
          <w:color w:val="auto"/>
          <w:sz w:val="28"/>
          <w:szCs w:val="28"/>
          <w:highlight w:val="none"/>
        </w:rPr>
        <w:t>（1）供应商在广东电力交易中心注册且具备交易资格的售电公司（需提供广东电力交易中心平台“市场信息披露-经营主体-售电公司基本信息”界面中显示本售电公司的截图作为佐证材料）；</w:t>
      </w:r>
    </w:p>
    <w:p w14:paraId="588B4F8B">
      <w:pPr>
        <w:rPr>
          <w:rFonts w:ascii="宋体" w:hAnsi="宋体" w:cs="宋体"/>
          <w:b/>
          <w:bCs/>
          <w:color w:val="auto"/>
          <w:sz w:val="18"/>
          <w:szCs w:val="18"/>
          <w:highlight w:val="none"/>
        </w:rPr>
      </w:pPr>
      <w:r>
        <w:rPr>
          <w:rFonts w:hint="eastAsia" w:ascii="宋体" w:hAnsi="宋体" w:cs="宋体"/>
          <w:b/>
          <w:bCs/>
          <w:color w:val="auto"/>
          <w:sz w:val="22"/>
          <w:szCs w:val="22"/>
          <w:highlight w:val="none"/>
        </w:rPr>
        <w:t>（截图示例）</w:t>
      </w:r>
      <w:r>
        <w:rPr>
          <w:rFonts w:ascii="宋体" w:hAnsi="宋体" w:cs="宋体"/>
          <w:b/>
          <w:bCs/>
          <w:color w:val="auto"/>
          <w:sz w:val="18"/>
          <w:szCs w:val="18"/>
          <w:highlight w:val="none"/>
        </w:rPr>
        <w:drawing>
          <wp:inline distT="0" distB="0" distL="114300" distR="114300">
            <wp:extent cx="5746115" cy="3404870"/>
            <wp:effectExtent l="0" t="0" r="6985" b="5080"/>
            <wp:docPr id="7" name="图片 7" descr="8d3ba6d21a22eb140fb6a3dde79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d3ba6d21a22eb140fb6a3dde792450"/>
                    <pic:cNvPicPr>
                      <a:picLocks noChangeAspect="1"/>
                    </pic:cNvPicPr>
                  </pic:nvPicPr>
                  <pic:blipFill>
                    <a:blip r:embed="rId18"/>
                    <a:stretch>
                      <a:fillRect/>
                    </a:stretch>
                  </pic:blipFill>
                  <pic:spPr>
                    <a:xfrm>
                      <a:off x="0" y="0"/>
                      <a:ext cx="5746115" cy="3404870"/>
                    </a:xfrm>
                    <a:prstGeom prst="rect">
                      <a:avLst/>
                    </a:prstGeom>
                  </pic:spPr>
                </pic:pic>
              </a:graphicData>
            </a:graphic>
          </wp:inline>
        </w:drawing>
      </w:r>
    </w:p>
    <w:p w14:paraId="737765AE">
      <w:pPr>
        <w:pageBreakBefore/>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2）供应商（售电公司）2022年1月1日以来（合同签订日期为2022年1月1日或以后）任意一个自然年内累计具有50亿千瓦时或以上的电量购买业绩；（须提供业绩证明材料：能显示购买方为本售电公司、签订时间和交易电量满足要求的合同；如“无合同”或“合同不能显示满足要求内容”的，须在官方电力交易平台上截图，截图能显示平台名称、合约时间、买入方和交易买入的电量）。</w:t>
      </w:r>
    </w:p>
    <w:p w14:paraId="4684AA6A">
      <w:pPr>
        <w:pageBreakBefore/>
        <w:tabs>
          <w:tab w:val="left" w:pos="567"/>
        </w:tabs>
        <w:spacing w:line="360" w:lineRule="auto"/>
        <w:rPr>
          <w:rFonts w:ascii="宋体" w:hAnsi="宋体" w:cs="宋体"/>
          <w:b/>
          <w:bCs/>
          <w:color w:val="auto"/>
          <w:sz w:val="32"/>
          <w:szCs w:val="32"/>
          <w:highlight w:val="none"/>
          <w:lang w:val="zh-CN"/>
        </w:rPr>
      </w:pPr>
      <w:bookmarkStart w:id="343" w:name="_Toc522047386"/>
      <w:bookmarkStart w:id="344" w:name="_Toc521918127"/>
      <w:bookmarkStart w:id="345" w:name="_Toc19008830"/>
      <w:bookmarkStart w:id="346" w:name="_Toc5098074"/>
      <w:bookmarkStart w:id="347" w:name="_Toc7508"/>
      <w:bookmarkStart w:id="348" w:name="_Toc54334012"/>
      <w:bookmarkStart w:id="349" w:name="_Toc56076629"/>
      <w:bookmarkStart w:id="350" w:name="_Toc40288704"/>
      <w:bookmarkStart w:id="351" w:name="_Toc521918324"/>
      <w:bookmarkStart w:id="352" w:name="_Toc1123957"/>
      <w:bookmarkStart w:id="353" w:name="_Toc38982595"/>
      <w:bookmarkStart w:id="354" w:name="_Toc532576770"/>
      <w:bookmarkStart w:id="355" w:name="_Toc521576306"/>
      <w:bookmarkStart w:id="356" w:name="_Toc21843"/>
      <w:bookmarkStart w:id="357" w:name="_Toc79146603"/>
      <w:bookmarkStart w:id="358" w:name="_Toc8121"/>
      <w:r>
        <w:rPr>
          <w:rFonts w:hint="eastAsia" w:ascii="宋体" w:hAnsi="宋体" w:cs="宋体"/>
          <w:b/>
          <w:color w:val="auto"/>
          <w:sz w:val="30"/>
          <w:szCs w:val="30"/>
          <w:highlight w:val="none"/>
        </w:rPr>
        <w:t>4.5 最近3年供应商牵涉的其他（失信和违法）处罚说明格式</w:t>
      </w:r>
    </w:p>
    <w:p w14:paraId="6A8A750E">
      <w:pPr>
        <w:spacing w:line="360" w:lineRule="auto"/>
        <w:jc w:val="center"/>
        <w:rPr>
          <w:rFonts w:ascii="宋体" w:hAnsi="宋体" w:cs="宋体"/>
          <w:color w:val="auto"/>
          <w:highlight w:val="none"/>
        </w:rPr>
      </w:pPr>
      <w:r>
        <w:rPr>
          <w:rFonts w:hint="eastAsia" w:ascii="宋体" w:hAnsi="宋体" w:cs="宋体"/>
          <w:b/>
          <w:color w:val="auto"/>
          <w:sz w:val="30"/>
          <w:szCs w:val="30"/>
          <w:highlight w:val="none"/>
        </w:rPr>
        <w:t>最近3年供应商牵涉的其他（失信和违法）</w:t>
      </w:r>
      <w:r>
        <w:rPr>
          <w:rFonts w:hint="eastAsia" w:ascii="宋体" w:hAnsi="宋体" w:cs="宋体"/>
          <w:b/>
          <w:bCs/>
          <w:color w:val="auto"/>
          <w:sz w:val="32"/>
          <w:szCs w:val="32"/>
          <w:highlight w:val="none"/>
          <w:lang w:val="zh-CN"/>
        </w:rPr>
        <w:t>处罚说明</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C51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CB97E0A">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事项名称</w:t>
            </w:r>
          </w:p>
        </w:tc>
        <w:tc>
          <w:tcPr>
            <w:tcW w:w="1417" w:type="dxa"/>
            <w:vAlign w:val="center"/>
          </w:tcPr>
          <w:p w14:paraId="53252B4F">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认定时间</w:t>
            </w:r>
          </w:p>
        </w:tc>
        <w:tc>
          <w:tcPr>
            <w:tcW w:w="2268" w:type="dxa"/>
          </w:tcPr>
          <w:p w14:paraId="53FB623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处罚期届满异常名录信息失效时间</w:t>
            </w:r>
          </w:p>
        </w:tc>
        <w:tc>
          <w:tcPr>
            <w:tcW w:w="1276" w:type="dxa"/>
            <w:vAlign w:val="center"/>
          </w:tcPr>
          <w:p w14:paraId="6DF2F29A">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14:paraId="399A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C319BF0">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是否被认定为失信被执行人</w:t>
            </w:r>
          </w:p>
        </w:tc>
        <w:tc>
          <w:tcPr>
            <w:tcW w:w="1417" w:type="dxa"/>
            <w:vAlign w:val="center"/>
          </w:tcPr>
          <w:p w14:paraId="6637FEFB">
            <w:pPr>
              <w:spacing w:line="360" w:lineRule="auto"/>
              <w:jc w:val="center"/>
              <w:rPr>
                <w:rFonts w:ascii="宋体" w:hAnsi="宋体" w:cs="宋体"/>
                <w:color w:val="auto"/>
                <w:sz w:val="21"/>
                <w:szCs w:val="21"/>
                <w:highlight w:val="none"/>
              </w:rPr>
            </w:pPr>
          </w:p>
        </w:tc>
        <w:tc>
          <w:tcPr>
            <w:tcW w:w="2268" w:type="dxa"/>
            <w:vAlign w:val="center"/>
          </w:tcPr>
          <w:p w14:paraId="0D3DD740">
            <w:pPr>
              <w:spacing w:line="360" w:lineRule="auto"/>
              <w:jc w:val="center"/>
              <w:rPr>
                <w:rFonts w:ascii="宋体" w:hAnsi="宋体" w:cs="宋体"/>
                <w:color w:val="auto"/>
                <w:sz w:val="21"/>
                <w:szCs w:val="21"/>
                <w:highlight w:val="none"/>
              </w:rPr>
            </w:pPr>
          </w:p>
        </w:tc>
        <w:tc>
          <w:tcPr>
            <w:tcW w:w="1276" w:type="dxa"/>
            <w:vAlign w:val="center"/>
          </w:tcPr>
          <w:p w14:paraId="18777397">
            <w:pPr>
              <w:spacing w:line="360" w:lineRule="auto"/>
              <w:jc w:val="center"/>
              <w:rPr>
                <w:rFonts w:ascii="宋体" w:hAnsi="宋体" w:cs="宋体"/>
                <w:color w:val="auto"/>
                <w:sz w:val="21"/>
                <w:szCs w:val="21"/>
                <w:highlight w:val="none"/>
              </w:rPr>
            </w:pPr>
          </w:p>
        </w:tc>
      </w:tr>
      <w:tr w14:paraId="15C3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A5643AF">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是否被认定为重大税收违法失信主体</w:t>
            </w:r>
          </w:p>
        </w:tc>
        <w:tc>
          <w:tcPr>
            <w:tcW w:w="1417" w:type="dxa"/>
            <w:vAlign w:val="center"/>
          </w:tcPr>
          <w:p w14:paraId="0A6F7DC0">
            <w:pPr>
              <w:spacing w:line="360" w:lineRule="auto"/>
              <w:jc w:val="center"/>
              <w:rPr>
                <w:rFonts w:ascii="宋体" w:hAnsi="宋体" w:cs="宋体"/>
                <w:color w:val="auto"/>
                <w:sz w:val="21"/>
                <w:szCs w:val="21"/>
                <w:highlight w:val="none"/>
              </w:rPr>
            </w:pPr>
          </w:p>
        </w:tc>
        <w:tc>
          <w:tcPr>
            <w:tcW w:w="2268" w:type="dxa"/>
            <w:vAlign w:val="center"/>
          </w:tcPr>
          <w:p w14:paraId="7237D4D0">
            <w:pPr>
              <w:spacing w:line="360" w:lineRule="auto"/>
              <w:jc w:val="center"/>
              <w:rPr>
                <w:rFonts w:ascii="宋体" w:hAnsi="宋体" w:cs="宋体"/>
                <w:color w:val="auto"/>
                <w:sz w:val="21"/>
                <w:szCs w:val="21"/>
                <w:highlight w:val="none"/>
              </w:rPr>
            </w:pPr>
          </w:p>
        </w:tc>
        <w:tc>
          <w:tcPr>
            <w:tcW w:w="1276" w:type="dxa"/>
            <w:vAlign w:val="center"/>
          </w:tcPr>
          <w:p w14:paraId="62EC13E4">
            <w:pPr>
              <w:spacing w:line="360" w:lineRule="auto"/>
              <w:jc w:val="center"/>
              <w:rPr>
                <w:rFonts w:ascii="宋体" w:hAnsi="宋体" w:cs="宋体"/>
                <w:color w:val="auto"/>
                <w:sz w:val="21"/>
                <w:szCs w:val="21"/>
                <w:highlight w:val="none"/>
              </w:rPr>
            </w:pPr>
          </w:p>
        </w:tc>
      </w:tr>
      <w:tr w14:paraId="2AC5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976C250">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是否被认定为政府采购严重违法失信行为记录名单</w:t>
            </w:r>
          </w:p>
        </w:tc>
        <w:tc>
          <w:tcPr>
            <w:tcW w:w="1417" w:type="dxa"/>
            <w:vAlign w:val="center"/>
          </w:tcPr>
          <w:p w14:paraId="7C0928E3">
            <w:pPr>
              <w:spacing w:line="360" w:lineRule="auto"/>
              <w:jc w:val="center"/>
              <w:rPr>
                <w:rFonts w:ascii="宋体" w:hAnsi="宋体" w:cs="宋体"/>
                <w:color w:val="auto"/>
                <w:sz w:val="21"/>
                <w:szCs w:val="21"/>
                <w:highlight w:val="none"/>
              </w:rPr>
            </w:pPr>
          </w:p>
        </w:tc>
        <w:tc>
          <w:tcPr>
            <w:tcW w:w="2268" w:type="dxa"/>
            <w:vAlign w:val="center"/>
          </w:tcPr>
          <w:p w14:paraId="067284A7">
            <w:pPr>
              <w:spacing w:line="360" w:lineRule="auto"/>
              <w:jc w:val="center"/>
              <w:rPr>
                <w:rFonts w:ascii="宋体" w:hAnsi="宋体" w:cs="宋体"/>
                <w:color w:val="auto"/>
                <w:sz w:val="21"/>
                <w:szCs w:val="21"/>
                <w:highlight w:val="none"/>
              </w:rPr>
            </w:pPr>
          </w:p>
        </w:tc>
        <w:tc>
          <w:tcPr>
            <w:tcW w:w="1276" w:type="dxa"/>
            <w:vAlign w:val="center"/>
          </w:tcPr>
          <w:p w14:paraId="7257BBA1">
            <w:pPr>
              <w:spacing w:line="360" w:lineRule="auto"/>
              <w:jc w:val="center"/>
              <w:rPr>
                <w:rFonts w:ascii="宋体" w:hAnsi="宋体" w:cs="宋体"/>
                <w:color w:val="auto"/>
                <w:sz w:val="21"/>
                <w:szCs w:val="21"/>
                <w:highlight w:val="none"/>
              </w:rPr>
            </w:pPr>
          </w:p>
        </w:tc>
      </w:tr>
    </w:tbl>
    <w:p w14:paraId="085B0D66">
      <w:pPr>
        <w:spacing w:line="360" w:lineRule="auto"/>
        <w:rPr>
          <w:rFonts w:ascii="宋体" w:hAnsi="宋体" w:cs="宋体"/>
          <w:color w:val="auto"/>
          <w:szCs w:val="21"/>
          <w:highlight w:val="none"/>
        </w:rPr>
      </w:pPr>
    </w:p>
    <w:p w14:paraId="281DAE90">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rPr>
        <w:t>备注：根据供应商及其不具有独立法人资格的分支机构的实际情况自行编写，无相关事项的，在 “认定时间”列填“无”；若受到相关处罚的应附处罚相关材料复印件；若出现相关处罚的处罚期满,但处罚公示没有及时更新的情况,供应商须提供相关材料(复印件)佐证，需原件备查</w:t>
      </w:r>
      <w:r>
        <w:rPr>
          <w:rFonts w:hint="eastAsia" w:ascii="宋体" w:hAnsi="宋体" w:cs="宋体"/>
          <w:color w:val="auto"/>
          <w:sz w:val="21"/>
          <w:szCs w:val="21"/>
          <w:highlight w:val="none"/>
          <w:lang w:val="zh-CN"/>
        </w:rPr>
        <w:t>。</w:t>
      </w:r>
    </w:p>
    <w:p w14:paraId="15BEA01C">
      <w:pPr>
        <w:ind w:right="-26" w:rightChars="-11"/>
        <w:rPr>
          <w:rFonts w:ascii="宋体" w:hAnsi="宋体" w:cs="宋体"/>
          <w:b/>
          <w:bCs/>
          <w:color w:val="auto"/>
          <w:sz w:val="21"/>
          <w:szCs w:val="21"/>
          <w:highlight w:val="none"/>
          <w:lang w:val="zh-CN"/>
        </w:rPr>
      </w:pPr>
    </w:p>
    <w:p w14:paraId="4D1104D3">
      <w:pPr>
        <w:spacing w:line="360" w:lineRule="auto"/>
        <w:jc w:val="center"/>
        <w:rPr>
          <w:rFonts w:ascii="宋体" w:hAnsi="宋体" w:cs="宋体"/>
          <w:color w:val="auto"/>
          <w:sz w:val="21"/>
          <w:szCs w:val="21"/>
          <w:highlight w:val="none"/>
        </w:rPr>
      </w:pPr>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20F2E467">
      <w:pPr>
        <w:spacing w:line="360" w:lineRule="auto"/>
        <w:rPr>
          <w:rFonts w:ascii="宋体" w:hAnsi="宋体" w:cs="宋体"/>
          <w:color w:val="auto"/>
          <w:sz w:val="21"/>
          <w:szCs w:val="21"/>
          <w:highlight w:val="none"/>
          <w:shd w:val="clear" w:color="auto" w:fill="FFFFFF"/>
        </w:rPr>
      </w:pPr>
    </w:p>
    <w:p w14:paraId="2130FD6A">
      <w:pPr>
        <w:spacing w:line="360" w:lineRule="auto"/>
        <w:jc w:val="center"/>
        <w:rPr>
          <w:rFonts w:ascii="宋体" w:hAnsi="宋体" w:cs="宋体"/>
          <w:color w:val="auto"/>
          <w:highlight w:val="none"/>
        </w:rPr>
      </w:pPr>
    </w:p>
    <w:p w14:paraId="6F76959C">
      <w:pPr>
        <w:autoSpaceDE/>
        <w:autoSpaceDN/>
        <w:adjustRightInd/>
        <w:spacing w:line="360" w:lineRule="auto"/>
        <w:ind w:right="420" w:firstLine="4410" w:firstLineChars="2100"/>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供应商：</w:t>
      </w:r>
      <w:r>
        <w:rPr>
          <w:rFonts w:hint="eastAsia" w:ascii="宋体" w:hAnsi="宋体" w:cs="宋体"/>
          <w:color w:val="auto"/>
          <w:sz w:val="21"/>
          <w:szCs w:val="21"/>
          <w:highlight w:val="none"/>
          <w:lang w:val="zh-CN"/>
        </w:rPr>
        <w:t>（加盖供应商法人公章）</w:t>
      </w:r>
    </w:p>
    <w:p w14:paraId="3356742A">
      <w:pPr>
        <w:spacing w:line="360" w:lineRule="auto"/>
        <w:ind w:right="896" w:firstLine="2835" w:firstLineChars="135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 xml:space="preserve">               日  期：   年  月  日</w:t>
      </w:r>
    </w:p>
    <w:p w14:paraId="16B337B7">
      <w:pPr>
        <w:spacing w:line="360" w:lineRule="auto"/>
        <w:rPr>
          <w:rFonts w:ascii="宋体" w:hAnsi="宋体" w:cs="宋体"/>
          <w:color w:val="auto"/>
          <w:kern w:val="2"/>
          <w:sz w:val="21"/>
          <w:szCs w:val="21"/>
          <w:highlight w:val="none"/>
          <w:lang w:val="zh-CN"/>
        </w:rPr>
      </w:pPr>
    </w:p>
    <w:p w14:paraId="471A729C">
      <w:pPr>
        <w:spacing w:line="360" w:lineRule="auto"/>
        <w:rPr>
          <w:rFonts w:ascii="宋体" w:hAnsi="宋体" w:cs="宋体"/>
          <w:color w:val="auto"/>
          <w:kern w:val="2"/>
          <w:sz w:val="21"/>
          <w:szCs w:val="21"/>
          <w:highlight w:val="none"/>
          <w:lang w:val="zh-CN"/>
        </w:rPr>
        <w:sectPr>
          <w:pgSz w:w="11907" w:h="16840"/>
          <w:pgMar w:top="1701" w:right="1418" w:bottom="851" w:left="1418" w:header="720" w:footer="720" w:gutter="0"/>
          <w:cols w:space="720" w:num="1"/>
          <w:titlePg/>
          <w:docGrid w:linePitch="326" w:charSpace="0"/>
        </w:sectPr>
      </w:pPr>
    </w:p>
    <w:bookmarkEnd w:id="338"/>
    <w:bookmarkEnd w:id="339"/>
    <w:p w14:paraId="1C676FDF">
      <w:pPr>
        <w:rPr>
          <w:rFonts w:ascii="宋体" w:hAnsi="宋体" w:cs="宋体"/>
          <w:b/>
          <w:color w:val="auto"/>
          <w:sz w:val="32"/>
          <w:szCs w:val="32"/>
          <w:highlight w:val="none"/>
        </w:rPr>
      </w:pPr>
      <w:bookmarkStart w:id="359" w:name="_Toc54342745"/>
      <w:bookmarkStart w:id="360" w:name="_Toc23120"/>
      <w:bookmarkStart w:id="361" w:name="_Toc193"/>
      <w:bookmarkStart w:id="362" w:name="_Toc1835"/>
      <w:bookmarkStart w:id="363" w:name="_Toc79146605"/>
      <w:bookmarkStart w:id="364" w:name="_Toc1123959"/>
      <w:bookmarkStart w:id="365" w:name="_Toc5098076"/>
      <w:bookmarkStart w:id="366" w:name="_Toc495907136"/>
      <w:bookmarkStart w:id="367" w:name="_Toc56076633"/>
      <w:bookmarkStart w:id="368" w:name="_Toc497746566"/>
      <w:bookmarkStart w:id="369" w:name="_Toc521918129"/>
      <w:bookmarkStart w:id="370" w:name="_Toc19008832"/>
      <w:bookmarkStart w:id="371" w:name="_Toc54334014"/>
      <w:bookmarkStart w:id="372" w:name="_Toc490169466"/>
      <w:r>
        <w:rPr>
          <w:rFonts w:hint="eastAsia" w:ascii="宋体" w:hAnsi="宋体" w:cs="宋体"/>
          <w:b/>
          <w:color w:val="auto"/>
          <w:kern w:val="2"/>
          <w:sz w:val="32"/>
          <w:szCs w:val="32"/>
          <w:highlight w:val="none"/>
        </w:rPr>
        <w:t>五</w:t>
      </w:r>
      <w:r>
        <w:rPr>
          <w:rFonts w:hint="eastAsia" w:ascii="宋体" w:hAnsi="宋体" w:cs="宋体"/>
          <w:b/>
          <w:color w:val="auto"/>
          <w:sz w:val="32"/>
          <w:szCs w:val="32"/>
          <w:highlight w:val="none"/>
        </w:rPr>
        <w:t>、供应商基本情况一览表</w:t>
      </w:r>
      <w:bookmarkEnd w:id="359"/>
      <w:bookmarkEnd w:id="360"/>
      <w:bookmarkEnd w:id="361"/>
      <w:bookmarkEnd w:id="362"/>
      <w:bookmarkEnd w:id="363"/>
    </w:p>
    <w:p w14:paraId="473B821F">
      <w:pPr>
        <w:spacing w:before="240" w:beforeLines="100" w:line="360" w:lineRule="auto"/>
        <w:jc w:val="center"/>
        <w:rPr>
          <w:rFonts w:ascii="宋体" w:hAnsi="宋体" w:cs="宋体"/>
          <w:b/>
          <w:bCs/>
          <w:color w:val="auto"/>
          <w:kern w:val="2"/>
          <w:sz w:val="30"/>
          <w:szCs w:val="30"/>
          <w:highlight w:val="none"/>
        </w:rPr>
      </w:pPr>
      <w:r>
        <w:rPr>
          <w:rFonts w:hint="eastAsia" w:ascii="宋体" w:hAnsi="宋体" w:cs="宋体"/>
          <w:b/>
          <w:bCs/>
          <w:color w:val="auto"/>
          <w:kern w:val="2"/>
          <w:sz w:val="30"/>
          <w:szCs w:val="30"/>
          <w:highlight w:val="none"/>
          <w:lang w:val="zh-CN"/>
        </w:rPr>
        <w:t>供应商基本情况一览表</w:t>
      </w:r>
    </w:p>
    <w:p w14:paraId="50FBBD5F">
      <w:pPr>
        <w:snapToGrid w:val="0"/>
        <w:spacing w:line="360" w:lineRule="auto"/>
        <w:ind w:firstLine="315" w:firstLineChars="150"/>
        <w:rPr>
          <w:rFonts w:ascii="宋体" w:hAnsi="宋体" w:cs="宋体"/>
          <w:color w:val="auto"/>
          <w:kern w:val="2"/>
          <w:sz w:val="21"/>
          <w:szCs w:val="21"/>
          <w:highlight w:val="none"/>
        </w:rPr>
      </w:pPr>
      <w:r>
        <w:rPr>
          <w:rFonts w:hint="eastAsia" w:ascii="宋体" w:hAnsi="宋体" w:cs="宋体"/>
          <w:color w:val="auto"/>
          <w:kern w:val="2"/>
          <w:sz w:val="21"/>
          <w:szCs w:val="21"/>
          <w:highlight w:val="none"/>
          <w:lang w:val="zh-CN"/>
        </w:rPr>
        <w:t>1、名称及概况：</w:t>
      </w:r>
    </w:p>
    <w:p w14:paraId="649CC4BE">
      <w:pPr>
        <w:autoSpaceDE/>
        <w:autoSpaceDN/>
        <w:snapToGrid w:val="0"/>
        <w:spacing w:line="360" w:lineRule="auto"/>
        <w:ind w:firstLine="210" w:firstLineChars="100"/>
        <w:rPr>
          <w:rFonts w:ascii="宋体" w:hAnsi="宋体" w:cs="宋体"/>
          <w:color w:val="auto"/>
          <w:kern w:val="2"/>
          <w:sz w:val="21"/>
          <w:highlight w:val="none"/>
          <w:u w:val="single"/>
        </w:rPr>
      </w:pPr>
      <w:r>
        <w:rPr>
          <w:rFonts w:hint="eastAsia" w:ascii="宋体" w:hAnsi="宋体" w:cs="宋体"/>
          <w:color w:val="auto"/>
          <w:kern w:val="2"/>
          <w:sz w:val="21"/>
          <w:highlight w:val="none"/>
          <w:lang w:val="zh-CN"/>
        </w:rPr>
        <w:t>（1）供应商名称：</w:t>
      </w:r>
      <w:r>
        <w:rPr>
          <w:rFonts w:hint="eastAsia" w:ascii="宋体" w:hAnsi="宋体" w:cs="宋体"/>
          <w:color w:val="auto"/>
          <w:kern w:val="2"/>
          <w:sz w:val="21"/>
          <w:highlight w:val="none"/>
          <w:u w:val="single"/>
        </w:rPr>
        <w:t xml:space="preserve">                                       </w:t>
      </w:r>
    </w:p>
    <w:p w14:paraId="6D34A80E">
      <w:pPr>
        <w:autoSpaceDE/>
        <w:autoSpaceDN/>
        <w:snapToGrid w:val="0"/>
        <w:spacing w:line="360" w:lineRule="auto"/>
        <w:ind w:firstLine="210" w:firstLineChars="100"/>
        <w:rPr>
          <w:rFonts w:ascii="宋体" w:hAnsi="宋体" w:cs="宋体"/>
          <w:color w:val="auto"/>
          <w:kern w:val="2"/>
          <w:sz w:val="21"/>
          <w:highlight w:val="none"/>
          <w:u w:val="single"/>
        </w:rPr>
      </w:pPr>
      <w:r>
        <w:rPr>
          <w:rFonts w:hint="eastAsia" w:ascii="宋体" w:hAnsi="宋体" w:cs="宋体"/>
          <w:color w:val="auto"/>
          <w:kern w:val="2"/>
          <w:sz w:val="21"/>
          <w:highlight w:val="none"/>
          <w:lang w:val="zh-CN"/>
        </w:rPr>
        <w:t>（2）总部地址：</w:t>
      </w:r>
      <w:r>
        <w:rPr>
          <w:rFonts w:hint="eastAsia" w:ascii="宋体" w:hAnsi="宋体" w:cs="宋体"/>
          <w:color w:val="auto"/>
          <w:kern w:val="2"/>
          <w:sz w:val="21"/>
          <w:highlight w:val="none"/>
          <w:u w:val="single"/>
        </w:rPr>
        <w:t xml:space="preserve">                                         </w:t>
      </w:r>
    </w:p>
    <w:p w14:paraId="182004AB">
      <w:pPr>
        <w:spacing w:line="360" w:lineRule="auto"/>
        <w:ind w:firstLine="735" w:firstLineChars="350"/>
        <w:jc w:val="both"/>
        <w:rPr>
          <w:rFonts w:ascii="宋体" w:hAnsi="宋体" w:cs="宋体"/>
          <w:color w:val="auto"/>
          <w:kern w:val="2"/>
          <w:sz w:val="21"/>
          <w:highlight w:val="none"/>
          <w:u w:val="single"/>
        </w:rPr>
      </w:pPr>
      <w:r>
        <w:rPr>
          <w:rFonts w:hint="eastAsia" w:ascii="宋体" w:hAnsi="宋体" w:cs="宋体"/>
          <w:color w:val="auto"/>
          <w:kern w:val="2"/>
          <w:sz w:val="21"/>
          <w:highlight w:val="none"/>
          <w:lang w:val="zh-CN"/>
        </w:rPr>
        <w:t>邮政编码：</w:t>
      </w:r>
      <w:r>
        <w:rPr>
          <w:rFonts w:hint="eastAsia" w:ascii="宋体" w:hAnsi="宋体" w:cs="宋体"/>
          <w:color w:val="auto"/>
          <w:kern w:val="2"/>
          <w:sz w:val="21"/>
          <w:highlight w:val="none"/>
          <w:u w:val="single"/>
        </w:rPr>
        <w:t xml:space="preserve">                                         </w:t>
      </w:r>
    </w:p>
    <w:p w14:paraId="1F5FD709">
      <w:pPr>
        <w:spacing w:line="360" w:lineRule="auto"/>
        <w:ind w:firstLine="735" w:firstLineChars="35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电话号码：_________________________________________</w:t>
      </w:r>
    </w:p>
    <w:p w14:paraId="3AC92F9D">
      <w:pPr>
        <w:spacing w:line="360" w:lineRule="auto"/>
        <w:ind w:firstLine="735" w:firstLineChars="35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传真号码：_________________________________________</w:t>
      </w:r>
    </w:p>
    <w:p w14:paraId="53346E7A">
      <w:pPr>
        <w:autoSpaceDE/>
        <w:autoSpaceDN/>
        <w:snapToGrid w:val="0"/>
        <w:spacing w:line="360" w:lineRule="auto"/>
        <w:ind w:firstLine="210" w:firstLineChars="100"/>
        <w:rPr>
          <w:rFonts w:ascii="宋体" w:hAnsi="宋体" w:cs="宋体"/>
          <w:color w:val="auto"/>
          <w:kern w:val="2"/>
          <w:sz w:val="21"/>
          <w:highlight w:val="none"/>
          <w:u w:val="single"/>
        </w:rPr>
      </w:pPr>
      <w:r>
        <w:rPr>
          <w:rFonts w:hint="eastAsia" w:ascii="宋体" w:hAnsi="宋体" w:cs="宋体"/>
          <w:color w:val="auto"/>
          <w:kern w:val="2"/>
          <w:sz w:val="21"/>
          <w:highlight w:val="none"/>
          <w:lang w:val="zh-CN"/>
        </w:rPr>
        <w:t>（3）成立</w:t>
      </w:r>
      <w:r>
        <w:rPr>
          <w:rFonts w:hint="eastAsia" w:ascii="宋体" w:hAnsi="宋体" w:cs="宋体"/>
          <w:color w:val="auto"/>
          <w:kern w:val="2"/>
          <w:sz w:val="21"/>
          <w:highlight w:val="none"/>
        </w:rPr>
        <w:t>和/</w:t>
      </w:r>
      <w:r>
        <w:rPr>
          <w:rFonts w:hint="eastAsia" w:ascii="宋体" w:hAnsi="宋体" w:cs="宋体"/>
          <w:color w:val="auto"/>
          <w:kern w:val="2"/>
          <w:sz w:val="21"/>
          <w:highlight w:val="none"/>
          <w:lang w:val="zh-CN"/>
        </w:rPr>
        <w:t>或注册日期：</w:t>
      </w:r>
      <w:r>
        <w:rPr>
          <w:rFonts w:hint="eastAsia" w:ascii="宋体" w:hAnsi="宋体" w:cs="宋体"/>
          <w:color w:val="auto"/>
          <w:kern w:val="2"/>
          <w:sz w:val="21"/>
          <w:highlight w:val="none"/>
          <w:u w:val="single"/>
        </w:rPr>
        <w:t xml:space="preserve">                                </w:t>
      </w:r>
    </w:p>
    <w:p w14:paraId="1D7F335C">
      <w:pPr>
        <w:autoSpaceDE/>
        <w:autoSpaceDN/>
        <w:snapToGrid w:val="0"/>
        <w:spacing w:line="360" w:lineRule="auto"/>
        <w:ind w:firstLine="210" w:firstLineChars="100"/>
        <w:rPr>
          <w:rFonts w:ascii="宋体" w:hAnsi="宋体" w:cs="宋体"/>
          <w:color w:val="auto"/>
          <w:kern w:val="2"/>
          <w:sz w:val="21"/>
          <w:highlight w:val="none"/>
          <w:u w:val="single"/>
        </w:rPr>
      </w:pPr>
      <w:r>
        <w:rPr>
          <w:rFonts w:hint="eastAsia" w:ascii="宋体" w:hAnsi="宋体" w:cs="宋体"/>
          <w:color w:val="auto"/>
          <w:kern w:val="2"/>
          <w:sz w:val="21"/>
          <w:highlight w:val="none"/>
          <w:lang w:val="zh-CN"/>
        </w:rPr>
        <w:t>（4）法定代表人：</w:t>
      </w:r>
      <w:r>
        <w:rPr>
          <w:rFonts w:hint="eastAsia" w:ascii="宋体" w:hAnsi="宋体" w:cs="宋体"/>
          <w:color w:val="auto"/>
          <w:kern w:val="2"/>
          <w:sz w:val="21"/>
          <w:highlight w:val="none"/>
          <w:u w:val="single"/>
        </w:rPr>
        <w:t xml:space="preserve">                                       </w:t>
      </w:r>
    </w:p>
    <w:p w14:paraId="33E21F9F">
      <w:pPr>
        <w:autoSpaceDE/>
        <w:autoSpaceDN/>
        <w:snapToGrid w:val="0"/>
        <w:spacing w:line="360" w:lineRule="auto"/>
        <w:ind w:firstLine="210" w:firstLineChars="10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 xml:space="preserve">（5）开户银行：_________________________________________ </w:t>
      </w:r>
    </w:p>
    <w:p w14:paraId="04E3F061">
      <w:pPr>
        <w:autoSpaceDE/>
        <w:autoSpaceDN/>
        <w:snapToGrid w:val="0"/>
        <w:spacing w:line="360" w:lineRule="auto"/>
        <w:ind w:firstLine="210" w:firstLineChars="10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 xml:space="preserve">（6）开户账号：_________________________________________ </w:t>
      </w:r>
    </w:p>
    <w:p w14:paraId="37897602">
      <w:pPr>
        <w:autoSpaceDE/>
        <w:autoSpaceDN/>
        <w:snapToGrid w:val="0"/>
        <w:spacing w:line="360" w:lineRule="auto"/>
        <w:ind w:firstLine="210" w:firstLineChars="10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（7）注册资</w:t>
      </w:r>
      <w:r>
        <w:rPr>
          <w:rFonts w:hint="eastAsia" w:ascii="宋体" w:hAnsi="宋体" w:cs="宋体"/>
          <w:color w:val="auto"/>
          <w:kern w:val="2"/>
          <w:sz w:val="21"/>
          <w:highlight w:val="none"/>
        </w:rPr>
        <w:t>金</w:t>
      </w:r>
      <w:r>
        <w:rPr>
          <w:rFonts w:hint="eastAsia" w:ascii="宋体" w:hAnsi="宋体" w:cs="宋体"/>
          <w:color w:val="auto"/>
          <w:kern w:val="2"/>
          <w:sz w:val="21"/>
          <w:highlight w:val="none"/>
          <w:lang w:val="zh-CN"/>
        </w:rPr>
        <w:t xml:space="preserve">：_________________________________________ </w:t>
      </w:r>
    </w:p>
    <w:p w14:paraId="2F80EA1E">
      <w:pPr>
        <w:autoSpaceDE/>
        <w:autoSpaceDN/>
        <w:snapToGrid w:val="0"/>
        <w:spacing w:line="360" w:lineRule="auto"/>
        <w:ind w:firstLine="210" w:firstLineChars="100"/>
        <w:rPr>
          <w:rFonts w:ascii="宋体" w:hAnsi="宋体" w:cs="宋体"/>
          <w:color w:val="auto"/>
          <w:kern w:val="2"/>
          <w:sz w:val="21"/>
          <w:highlight w:val="none"/>
          <w:u w:val="single"/>
          <w:lang w:val="zh-CN"/>
        </w:rPr>
      </w:pPr>
      <w:r>
        <w:rPr>
          <w:rFonts w:hint="eastAsia" w:ascii="宋体" w:hAnsi="宋体" w:cs="宋体"/>
          <w:color w:val="auto"/>
          <w:kern w:val="2"/>
          <w:sz w:val="21"/>
          <w:highlight w:val="none"/>
          <w:lang w:val="zh-CN"/>
        </w:rPr>
        <w:t>（8）主要负责人姓名：___________________________________</w:t>
      </w:r>
    </w:p>
    <w:p w14:paraId="7FA24DFF">
      <w:pPr>
        <w:autoSpaceDE/>
        <w:autoSpaceDN/>
        <w:snapToGrid w:val="0"/>
        <w:spacing w:line="360" w:lineRule="auto"/>
        <w:ind w:firstLine="210" w:firstLineChars="10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（9）项目主要联系人（姓名、职务、</w:t>
      </w:r>
      <w:r>
        <w:rPr>
          <w:rFonts w:hint="eastAsia" w:ascii="宋体" w:hAnsi="宋体" w:cs="宋体"/>
          <w:color w:val="auto"/>
          <w:kern w:val="2"/>
          <w:sz w:val="21"/>
          <w:highlight w:val="none"/>
        </w:rPr>
        <w:t>通讯</w:t>
      </w:r>
      <w:r>
        <w:rPr>
          <w:rFonts w:hint="eastAsia" w:ascii="宋体" w:hAnsi="宋体" w:cs="宋体"/>
          <w:color w:val="auto"/>
          <w:kern w:val="2"/>
          <w:sz w:val="21"/>
          <w:highlight w:val="none"/>
          <w:lang w:val="zh-CN"/>
        </w:rPr>
        <w:t>）：_______________</w:t>
      </w:r>
    </w:p>
    <w:p w14:paraId="10972C52">
      <w:pPr>
        <w:autoSpaceDE/>
        <w:autoSpaceDN/>
        <w:snapToGrid w:val="0"/>
        <w:spacing w:line="360" w:lineRule="auto"/>
        <w:ind w:firstLine="210" w:firstLineChars="10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（10）在中国的代表的姓名和地址（如有）：________________</w:t>
      </w:r>
    </w:p>
    <w:p w14:paraId="128C02DC">
      <w:pPr>
        <w:snapToGrid w:val="0"/>
        <w:spacing w:line="360" w:lineRule="auto"/>
        <w:ind w:firstLine="315" w:firstLineChars="15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2、供征询之银行的名称和地址：__________________________</w:t>
      </w:r>
    </w:p>
    <w:p w14:paraId="205666D3">
      <w:pPr>
        <w:snapToGrid w:val="0"/>
        <w:spacing w:line="360" w:lineRule="auto"/>
        <w:ind w:firstLine="315" w:firstLineChars="15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3、公司所隶属之国际集团名称（如果是）__________________</w:t>
      </w:r>
    </w:p>
    <w:p w14:paraId="2DB36945">
      <w:pPr>
        <w:snapToGrid w:val="0"/>
        <w:spacing w:line="360" w:lineRule="auto"/>
        <w:ind w:firstLine="315" w:firstLineChars="150"/>
        <w:rPr>
          <w:rFonts w:ascii="宋体" w:hAnsi="宋体" w:cs="宋体"/>
          <w:color w:val="auto"/>
          <w:kern w:val="2"/>
          <w:sz w:val="21"/>
          <w:highlight w:val="none"/>
        </w:rPr>
      </w:pPr>
      <w:r>
        <w:rPr>
          <w:rFonts w:hint="eastAsia" w:ascii="宋体" w:hAnsi="宋体" w:cs="宋体"/>
          <w:color w:val="auto"/>
          <w:kern w:val="2"/>
          <w:sz w:val="21"/>
          <w:highlight w:val="none"/>
          <w:lang w:val="zh-CN"/>
        </w:rPr>
        <w:t>4、提交资料（包括但不限于组织架构、公司简介等）：</w:t>
      </w:r>
    </w:p>
    <w:p w14:paraId="56DA53E2">
      <w:pPr>
        <w:autoSpaceDE/>
        <w:autoSpaceDN/>
        <w:snapToGrid w:val="0"/>
        <w:spacing w:line="360" w:lineRule="auto"/>
        <w:ind w:firstLine="504" w:firstLineChars="24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（1）公司简介；</w:t>
      </w:r>
    </w:p>
    <w:p w14:paraId="10D0DA73">
      <w:pPr>
        <w:spacing w:line="360" w:lineRule="auto"/>
        <w:ind w:firstLine="735" w:firstLineChars="35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____________________________________________________</w:t>
      </w:r>
    </w:p>
    <w:p w14:paraId="37591CFC">
      <w:pPr>
        <w:autoSpaceDE/>
        <w:autoSpaceDN/>
        <w:snapToGrid w:val="0"/>
        <w:spacing w:line="360" w:lineRule="auto"/>
        <w:ind w:firstLine="504" w:firstLineChars="24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（2）公司组织架构；</w:t>
      </w:r>
    </w:p>
    <w:p w14:paraId="70B9B3A7">
      <w:pPr>
        <w:spacing w:line="360" w:lineRule="auto"/>
        <w:ind w:firstLine="735" w:firstLineChars="35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____________________________________________________</w:t>
      </w:r>
    </w:p>
    <w:p w14:paraId="1F2E1225">
      <w:pPr>
        <w:autoSpaceDE/>
        <w:autoSpaceDN/>
        <w:snapToGrid w:val="0"/>
        <w:spacing w:line="360" w:lineRule="auto"/>
        <w:ind w:firstLine="504" w:firstLineChars="24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（3）东莞市内设有分支机构情况介绍[应提供该分支机构的多证合一营业执照复印件等证明材料]（若无前述分支机构的无需介绍）。</w:t>
      </w:r>
    </w:p>
    <w:p w14:paraId="457ACE50">
      <w:pPr>
        <w:spacing w:line="360" w:lineRule="auto"/>
        <w:ind w:firstLine="420"/>
        <w:jc w:val="both"/>
        <w:rPr>
          <w:rFonts w:ascii="宋体" w:hAnsi="宋体" w:cs="宋体"/>
          <w:color w:val="auto"/>
          <w:kern w:val="2"/>
          <w:sz w:val="21"/>
          <w:highlight w:val="none"/>
        </w:rPr>
      </w:pPr>
      <w:r>
        <w:rPr>
          <w:rFonts w:hint="eastAsia" w:ascii="宋体" w:hAnsi="宋体" w:cs="宋体"/>
          <w:color w:val="auto"/>
          <w:kern w:val="2"/>
          <w:sz w:val="21"/>
          <w:highlight w:val="none"/>
          <w:lang w:val="zh-CN"/>
        </w:rPr>
        <w:t>兹证明上述说明是真实、正确的，并提供了全部能提供的资料和数据，我们同意遵照贵方要求出示有关证明文件。</w:t>
      </w:r>
    </w:p>
    <w:p w14:paraId="1349A7BC">
      <w:pPr>
        <w:spacing w:line="360" w:lineRule="auto"/>
        <w:ind w:firstLine="5040"/>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供应商：（加盖供应商法人公章）</w:t>
      </w:r>
    </w:p>
    <w:p w14:paraId="0BB49484">
      <w:pPr>
        <w:spacing w:line="360" w:lineRule="auto"/>
        <w:ind w:firstLine="5040"/>
        <w:jc w:val="both"/>
        <w:rPr>
          <w:rFonts w:ascii="宋体" w:hAnsi="宋体" w:cs="宋体"/>
          <w:color w:val="auto"/>
          <w:kern w:val="2"/>
          <w:highlight w:val="none"/>
          <w:lang w:val="zh-CN"/>
        </w:rPr>
      </w:pPr>
      <w:r>
        <w:rPr>
          <w:rFonts w:hint="eastAsia" w:ascii="宋体" w:hAnsi="宋体" w:cs="宋体"/>
          <w:color w:val="auto"/>
          <w:kern w:val="2"/>
          <w:sz w:val="21"/>
          <w:highlight w:val="none"/>
          <w:lang w:val="zh-CN"/>
        </w:rPr>
        <w:t>日</w:t>
      </w:r>
      <w:r>
        <w:rPr>
          <w:rFonts w:hint="eastAsia" w:ascii="宋体" w:hAnsi="宋体" w:cs="宋体"/>
          <w:color w:val="auto"/>
          <w:kern w:val="2"/>
          <w:sz w:val="21"/>
          <w:highlight w:val="none"/>
        </w:rPr>
        <w:t xml:space="preserve">  </w:t>
      </w:r>
      <w:r>
        <w:rPr>
          <w:rFonts w:hint="eastAsia" w:ascii="宋体" w:hAnsi="宋体" w:cs="宋体"/>
          <w:color w:val="auto"/>
          <w:kern w:val="2"/>
          <w:sz w:val="21"/>
          <w:highlight w:val="none"/>
          <w:lang w:val="zh-CN"/>
        </w:rPr>
        <w:t>期：   年   月   日</w:t>
      </w:r>
    </w:p>
    <w:p w14:paraId="29B24ECA">
      <w:pPr>
        <w:spacing w:line="360" w:lineRule="auto"/>
        <w:ind w:firstLine="8928" w:firstLineChars="2779"/>
        <w:jc w:val="both"/>
        <w:rPr>
          <w:rFonts w:ascii="宋体" w:hAnsi="宋体" w:cs="宋体"/>
          <w:color w:val="auto"/>
          <w:kern w:val="2"/>
          <w:sz w:val="21"/>
          <w:highlight w:val="none"/>
          <w:lang w:val="zh-CN"/>
        </w:rPr>
      </w:pPr>
      <w:r>
        <w:rPr>
          <w:rFonts w:hint="eastAsia" w:ascii="宋体" w:hAnsi="宋体" w:cs="宋体"/>
          <w:b/>
          <w:color w:val="auto"/>
          <w:sz w:val="32"/>
          <w:szCs w:val="32"/>
          <w:highlight w:val="none"/>
        </w:rPr>
        <w:br w:type="page"/>
      </w:r>
      <w:bookmarkEnd w:id="364"/>
      <w:bookmarkEnd w:id="365"/>
      <w:bookmarkEnd w:id="366"/>
      <w:bookmarkEnd w:id="367"/>
      <w:bookmarkEnd w:id="368"/>
      <w:bookmarkEnd w:id="369"/>
      <w:bookmarkEnd w:id="370"/>
      <w:bookmarkEnd w:id="371"/>
      <w:bookmarkEnd w:id="372"/>
    </w:p>
    <w:p w14:paraId="3885761F">
      <w:pPr>
        <w:pageBreakBefore/>
        <w:spacing w:line="360" w:lineRule="auto"/>
        <w:rPr>
          <w:rFonts w:ascii="宋体" w:hAnsi="宋体" w:cs="宋体"/>
          <w:b/>
          <w:color w:val="auto"/>
          <w:sz w:val="32"/>
          <w:szCs w:val="32"/>
          <w:highlight w:val="none"/>
        </w:rPr>
      </w:pPr>
      <w:bookmarkStart w:id="373" w:name="_Toc16191"/>
      <w:bookmarkStart w:id="374" w:name="_Toc29911"/>
      <w:bookmarkStart w:id="375" w:name="_Toc521918128"/>
      <w:bookmarkStart w:id="376" w:name="_Toc54334013"/>
      <w:bookmarkStart w:id="377" w:name="_Toc19008831"/>
      <w:bookmarkStart w:id="378" w:name="_Toc5098075"/>
      <w:bookmarkStart w:id="379" w:name="_Toc79146604"/>
      <w:bookmarkStart w:id="380" w:name="_Toc1123958"/>
      <w:bookmarkStart w:id="381" w:name="_Toc56076630"/>
      <w:bookmarkStart w:id="382" w:name="_Toc79146607"/>
      <w:bookmarkStart w:id="383" w:name="_Toc56076634"/>
      <w:r>
        <w:rPr>
          <w:rFonts w:hint="eastAsia" w:ascii="宋体" w:hAnsi="宋体" w:cs="宋体"/>
          <w:b/>
          <w:color w:val="auto"/>
          <w:sz w:val="32"/>
          <w:szCs w:val="32"/>
          <w:highlight w:val="none"/>
        </w:rPr>
        <w:t>六、</w:t>
      </w:r>
      <w:r>
        <w:rPr>
          <w:rFonts w:hint="eastAsia" w:ascii="宋体" w:hAnsi="宋体" w:cs="宋体"/>
          <w:b/>
          <w:color w:val="auto"/>
          <w:sz w:val="32"/>
          <w:szCs w:val="32"/>
          <w:highlight w:val="none"/>
          <w:lang w:val="zh-CN"/>
        </w:rPr>
        <w:t>合同条款偏离表格式</w:t>
      </w:r>
      <w:bookmarkEnd w:id="373"/>
      <w:bookmarkEnd w:id="374"/>
    </w:p>
    <w:p w14:paraId="73115BD3">
      <w:pPr>
        <w:spacing w:line="360" w:lineRule="auto"/>
        <w:jc w:val="center"/>
        <w:rPr>
          <w:rFonts w:ascii="宋体" w:hAnsi="宋体" w:cs="宋体"/>
          <w:b/>
          <w:bCs/>
          <w:color w:val="auto"/>
          <w:sz w:val="28"/>
          <w:szCs w:val="30"/>
          <w:highlight w:val="none"/>
          <w:lang w:val="zh-CN"/>
        </w:rPr>
      </w:pPr>
      <w:bookmarkStart w:id="384" w:name="_Toc26412_WPSOffice_Level3"/>
      <w:r>
        <w:rPr>
          <w:rFonts w:hint="eastAsia" w:ascii="宋体" w:hAnsi="宋体" w:cs="宋体"/>
          <w:b/>
          <w:bCs/>
          <w:color w:val="auto"/>
          <w:sz w:val="28"/>
          <w:szCs w:val="30"/>
          <w:highlight w:val="none"/>
          <w:lang w:val="zh-CN"/>
        </w:rPr>
        <w:t>东莞市水务集团有限公司2025年直购电采购项目合同条款偏离表</w:t>
      </w:r>
      <w:bookmarkEnd w:id="384"/>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BD1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BFCA250">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4480" w:type="dxa"/>
            <w:gridSpan w:val="2"/>
            <w:vAlign w:val="center"/>
          </w:tcPr>
          <w:p w14:paraId="25EBD039">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竞争性谈判文件要求</w:t>
            </w:r>
          </w:p>
        </w:tc>
        <w:tc>
          <w:tcPr>
            <w:tcW w:w="4870" w:type="dxa"/>
            <w:gridSpan w:val="2"/>
            <w:vAlign w:val="center"/>
          </w:tcPr>
          <w:p w14:paraId="629FE99B">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响应文件内容</w:t>
            </w:r>
          </w:p>
        </w:tc>
      </w:tr>
      <w:tr w14:paraId="1EDC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20" w:type="dxa"/>
            <w:vMerge w:val="continue"/>
            <w:vAlign w:val="center"/>
          </w:tcPr>
          <w:p w14:paraId="294286C3">
            <w:pPr>
              <w:spacing w:line="400" w:lineRule="exact"/>
              <w:jc w:val="center"/>
              <w:rPr>
                <w:rFonts w:ascii="宋体" w:hAnsi="宋体" w:cs="宋体"/>
                <w:color w:val="auto"/>
                <w:sz w:val="21"/>
                <w:szCs w:val="21"/>
                <w:highlight w:val="none"/>
              </w:rPr>
            </w:pPr>
          </w:p>
        </w:tc>
        <w:tc>
          <w:tcPr>
            <w:tcW w:w="1425" w:type="dxa"/>
            <w:vAlign w:val="center"/>
          </w:tcPr>
          <w:p w14:paraId="7838A4BA">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条款号</w:t>
            </w:r>
          </w:p>
        </w:tc>
        <w:tc>
          <w:tcPr>
            <w:tcW w:w="3055" w:type="dxa"/>
            <w:vAlign w:val="center"/>
          </w:tcPr>
          <w:p w14:paraId="3014751F">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简要内容</w:t>
            </w:r>
          </w:p>
        </w:tc>
        <w:tc>
          <w:tcPr>
            <w:tcW w:w="1346" w:type="dxa"/>
            <w:vAlign w:val="center"/>
          </w:tcPr>
          <w:p w14:paraId="1BDE025A">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偏离情况</w:t>
            </w:r>
          </w:p>
        </w:tc>
        <w:tc>
          <w:tcPr>
            <w:tcW w:w="3524" w:type="dxa"/>
            <w:vAlign w:val="center"/>
          </w:tcPr>
          <w:p w14:paraId="2F0CF33D">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具体偏离内容</w:t>
            </w:r>
          </w:p>
        </w:tc>
      </w:tr>
      <w:tr w14:paraId="23CA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F6F232">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425" w:type="dxa"/>
            <w:vAlign w:val="center"/>
          </w:tcPr>
          <w:p w14:paraId="79B616FE">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3055" w:type="dxa"/>
            <w:vAlign w:val="center"/>
          </w:tcPr>
          <w:p w14:paraId="599CFC45">
            <w:pPr>
              <w:spacing w:line="520" w:lineRule="exact"/>
              <w:rPr>
                <w:rFonts w:ascii="宋体" w:hAnsi="宋体" w:cs="宋体"/>
                <w:color w:val="auto"/>
                <w:sz w:val="21"/>
                <w:szCs w:val="21"/>
                <w:highlight w:val="none"/>
              </w:rPr>
            </w:pPr>
            <w:r>
              <w:rPr>
                <w:rFonts w:hint="eastAsia" w:ascii="宋体" w:hAnsi="宋体" w:cs="宋体"/>
                <w:color w:val="auto"/>
                <w:sz w:val="21"/>
                <w:szCs w:val="21"/>
                <w:highlight w:val="none"/>
              </w:rPr>
              <w:t>服务内容</w:t>
            </w:r>
          </w:p>
          <w:p w14:paraId="7686C67E">
            <w:pPr>
              <w:pStyle w:val="187"/>
              <w:snapToGrid w:val="0"/>
              <w:spacing w:line="240" w:lineRule="auto"/>
              <w:ind w:firstLine="0" w:firstLineChars="0"/>
              <w:jc w:val="left"/>
              <w:rPr>
                <w:rFonts w:ascii="宋体" w:hAnsi="宋体" w:eastAsia="宋体" w:cs="宋体"/>
                <w:color w:val="auto"/>
                <w:sz w:val="21"/>
                <w:szCs w:val="21"/>
                <w:highlight w:val="none"/>
              </w:rPr>
            </w:pPr>
          </w:p>
        </w:tc>
        <w:tc>
          <w:tcPr>
            <w:tcW w:w="1346" w:type="dxa"/>
            <w:vAlign w:val="center"/>
          </w:tcPr>
          <w:p w14:paraId="2B79D167">
            <w:pPr>
              <w:spacing w:line="400" w:lineRule="exact"/>
              <w:jc w:val="center"/>
              <w:rPr>
                <w:rFonts w:ascii="宋体" w:hAnsi="宋体" w:cs="宋体"/>
                <w:color w:val="auto"/>
                <w:sz w:val="21"/>
                <w:szCs w:val="21"/>
                <w:highlight w:val="none"/>
              </w:rPr>
            </w:pPr>
          </w:p>
        </w:tc>
        <w:tc>
          <w:tcPr>
            <w:tcW w:w="3524" w:type="dxa"/>
            <w:vAlign w:val="center"/>
          </w:tcPr>
          <w:p w14:paraId="7B63192E">
            <w:pPr>
              <w:spacing w:line="400" w:lineRule="exact"/>
              <w:jc w:val="center"/>
              <w:rPr>
                <w:rFonts w:ascii="宋体" w:hAnsi="宋体" w:cs="宋体"/>
                <w:color w:val="auto"/>
                <w:sz w:val="21"/>
                <w:szCs w:val="21"/>
                <w:highlight w:val="none"/>
              </w:rPr>
            </w:pPr>
          </w:p>
        </w:tc>
      </w:tr>
      <w:tr w14:paraId="16DC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4E6345">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425" w:type="dxa"/>
            <w:vAlign w:val="center"/>
          </w:tcPr>
          <w:p w14:paraId="12430BF6">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055" w:type="dxa"/>
            <w:vAlign w:val="center"/>
          </w:tcPr>
          <w:p w14:paraId="312E9131">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双方的责任和义务</w:t>
            </w:r>
          </w:p>
        </w:tc>
        <w:tc>
          <w:tcPr>
            <w:tcW w:w="1346" w:type="dxa"/>
            <w:vAlign w:val="center"/>
          </w:tcPr>
          <w:p w14:paraId="6284E0D0">
            <w:pPr>
              <w:spacing w:line="400" w:lineRule="exact"/>
              <w:jc w:val="center"/>
              <w:rPr>
                <w:rFonts w:ascii="宋体" w:hAnsi="宋体" w:cs="宋体"/>
                <w:color w:val="auto"/>
                <w:sz w:val="21"/>
                <w:szCs w:val="21"/>
                <w:highlight w:val="none"/>
              </w:rPr>
            </w:pPr>
          </w:p>
        </w:tc>
        <w:tc>
          <w:tcPr>
            <w:tcW w:w="3524" w:type="dxa"/>
            <w:vAlign w:val="center"/>
          </w:tcPr>
          <w:p w14:paraId="1EB16780">
            <w:pPr>
              <w:spacing w:line="400" w:lineRule="exact"/>
              <w:jc w:val="center"/>
              <w:rPr>
                <w:rFonts w:ascii="宋体" w:hAnsi="宋体" w:cs="宋体"/>
                <w:color w:val="auto"/>
                <w:sz w:val="21"/>
                <w:szCs w:val="21"/>
                <w:highlight w:val="none"/>
              </w:rPr>
            </w:pPr>
          </w:p>
        </w:tc>
      </w:tr>
      <w:tr w14:paraId="04FF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20" w:type="dxa"/>
            <w:vAlign w:val="center"/>
          </w:tcPr>
          <w:p w14:paraId="2186CAB0">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425" w:type="dxa"/>
            <w:vAlign w:val="center"/>
          </w:tcPr>
          <w:p w14:paraId="4B1A744A">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3055" w:type="dxa"/>
            <w:vAlign w:val="center"/>
          </w:tcPr>
          <w:p w14:paraId="50EC171E">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价格模式</w:t>
            </w:r>
          </w:p>
        </w:tc>
        <w:tc>
          <w:tcPr>
            <w:tcW w:w="1346" w:type="dxa"/>
            <w:vAlign w:val="center"/>
          </w:tcPr>
          <w:p w14:paraId="0C3FCABE">
            <w:pPr>
              <w:spacing w:line="400" w:lineRule="exact"/>
              <w:jc w:val="center"/>
              <w:rPr>
                <w:rFonts w:ascii="宋体" w:hAnsi="宋体" w:cs="宋体"/>
                <w:color w:val="auto"/>
                <w:sz w:val="21"/>
                <w:szCs w:val="21"/>
                <w:highlight w:val="none"/>
              </w:rPr>
            </w:pPr>
          </w:p>
        </w:tc>
        <w:tc>
          <w:tcPr>
            <w:tcW w:w="3524" w:type="dxa"/>
            <w:vAlign w:val="center"/>
          </w:tcPr>
          <w:p w14:paraId="0651A3A2">
            <w:pPr>
              <w:spacing w:line="400" w:lineRule="exact"/>
              <w:jc w:val="center"/>
              <w:rPr>
                <w:rFonts w:ascii="宋体" w:hAnsi="宋体" w:cs="宋体"/>
                <w:color w:val="auto"/>
                <w:sz w:val="21"/>
                <w:szCs w:val="21"/>
                <w:highlight w:val="none"/>
              </w:rPr>
            </w:pPr>
          </w:p>
        </w:tc>
      </w:tr>
      <w:tr w14:paraId="78DE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20" w:type="dxa"/>
            <w:vAlign w:val="center"/>
          </w:tcPr>
          <w:p w14:paraId="4D22948A">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425" w:type="dxa"/>
            <w:vAlign w:val="center"/>
          </w:tcPr>
          <w:p w14:paraId="42A95D48">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3055" w:type="dxa"/>
            <w:vAlign w:val="center"/>
          </w:tcPr>
          <w:p w14:paraId="766C6340">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结算</w:t>
            </w:r>
          </w:p>
        </w:tc>
        <w:tc>
          <w:tcPr>
            <w:tcW w:w="1346" w:type="dxa"/>
            <w:vAlign w:val="center"/>
          </w:tcPr>
          <w:p w14:paraId="3728951F">
            <w:pPr>
              <w:spacing w:line="400" w:lineRule="exact"/>
              <w:jc w:val="center"/>
              <w:rPr>
                <w:rFonts w:ascii="宋体" w:hAnsi="宋体" w:cs="宋体"/>
                <w:color w:val="auto"/>
                <w:sz w:val="21"/>
                <w:szCs w:val="21"/>
                <w:highlight w:val="none"/>
              </w:rPr>
            </w:pPr>
          </w:p>
        </w:tc>
        <w:tc>
          <w:tcPr>
            <w:tcW w:w="3524" w:type="dxa"/>
            <w:vAlign w:val="center"/>
          </w:tcPr>
          <w:p w14:paraId="2AED9E4E">
            <w:pPr>
              <w:spacing w:line="400" w:lineRule="exact"/>
              <w:jc w:val="center"/>
              <w:rPr>
                <w:rFonts w:ascii="宋体" w:hAnsi="宋体" w:cs="宋体"/>
                <w:color w:val="auto"/>
                <w:sz w:val="21"/>
                <w:szCs w:val="21"/>
                <w:highlight w:val="none"/>
              </w:rPr>
            </w:pPr>
          </w:p>
        </w:tc>
      </w:tr>
      <w:tr w14:paraId="67FE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6685EA">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425" w:type="dxa"/>
            <w:vAlign w:val="center"/>
          </w:tcPr>
          <w:p w14:paraId="302C2751">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3055" w:type="dxa"/>
            <w:vAlign w:val="center"/>
          </w:tcPr>
          <w:p w14:paraId="28ED28F1">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合同变更</w:t>
            </w:r>
          </w:p>
        </w:tc>
        <w:tc>
          <w:tcPr>
            <w:tcW w:w="1346" w:type="dxa"/>
            <w:vAlign w:val="center"/>
          </w:tcPr>
          <w:p w14:paraId="2D486936">
            <w:pPr>
              <w:spacing w:line="400" w:lineRule="exact"/>
              <w:jc w:val="center"/>
              <w:rPr>
                <w:rFonts w:ascii="宋体" w:hAnsi="宋体" w:cs="宋体"/>
                <w:color w:val="auto"/>
                <w:sz w:val="21"/>
                <w:szCs w:val="21"/>
                <w:highlight w:val="none"/>
              </w:rPr>
            </w:pPr>
          </w:p>
        </w:tc>
        <w:tc>
          <w:tcPr>
            <w:tcW w:w="3524" w:type="dxa"/>
            <w:vAlign w:val="center"/>
          </w:tcPr>
          <w:p w14:paraId="4DF91748">
            <w:pPr>
              <w:spacing w:line="400" w:lineRule="exact"/>
              <w:jc w:val="center"/>
              <w:rPr>
                <w:rFonts w:ascii="宋体" w:hAnsi="宋体" w:cs="宋体"/>
                <w:color w:val="auto"/>
                <w:sz w:val="21"/>
                <w:szCs w:val="21"/>
                <w:highlight w:val="none"/>
              </w:rPr>
            </w:pPr>
          </w:p>
        </w:tc>
      </w:tr>
      <w:tr w14:paraId="4E79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4D1C89">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425" w:type="dxa"/>
            <w:vAlign w:val="center"/>
          </w:tcPr>
          <w:p w14:paraId="184C861E">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tc>
        <w:tc>
          <w:tcPr>
            <w:tcW w:w="3055" w:type="dxa"/>
            <w:vAlign w:val="center"/>
          </w:tcPr>
          <w:p w14:paraId="4AC1F847">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tc>
        <w:tc>
          <w:tcPr>
            <w:tcW w:w="1346" w:type="dxa"/>
            <w:vAlign w:val="center"/>
          </w:tcPr>
          <w:p w14:paraId="0E5E8B4C">
            <w:pPr>
              <w:spacing w:line="400" w:lineRule="exact"/>
              <w:jc w:val="center"/>
              <w:rPr>
                <w:rFonts w:ascii="宋体" w:hAnsi="宋体" w:cs="宋体"/>
                <w:color w:val="auto"/>
                <w:sz w:val="21"/>
                <w:szCs w:val="21"/>
                <w:highlight w:val="none"/>
              </w:rPr>
            </w:pPr>
          </w:p>
        </w:tc>
        <w:tc>
          <w:tcPr>
            <w:tcW w:w="3524" w:type="dxa"/>
            <w:vAlign w:val="center"/>
          </w:tcPr>
          <w:p w14:paraId="5C128B5E">
            <w:pPr>
              <w:spacing w:line="400" w:lineRule="exact"/>
              <w:jc w:val="center"/>
              <w:rPr>
                <w:rFonts w:ascii="宋体" w:hAnsi="宋体" w:cs="宋体"/>
                <w:color w:val="auto"/>
                <w:sz w:val="21"/>
                <w:szCs w:val="21"/>
                <w:highlight w:val="none"/>
              </w:rPr>
            </w:pPr>
          </w:p>
        </w:tc>
      </w:tr>
      <w:tr w14:paraId="4708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4F7BC9">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425" w:type="dxa"/>
            <w:vAlign w:val="center"/>
          </w:tcPr>
          <w:p w14:paraId="0C4C8D0A">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p>
        </w:tc>
        <w:tc>
          <w:tcPr>
            <w:tcW w:w="3055" w:type="dxa"/>
            <w:vAlign w:val="center"/>
          </w:tcPr>
          <w:p w14:paraId="6FCB62E4">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w:t>
            </w:r>
          </w:p>
        </w:tc>
        <w:tc>
          <w:tcPr>
            <w:tcW w:w="1346" w:type="dxa"/>
            <w:vAlign w:val="center"/>
          </w:tcPr>
          <w:p w14:paraId="689DAFC0">
            <w:pPr>
              <w:spacing w:line="400" w:lineRule="exact"/>
              <w:jc w:val="center"/>
              <w:rPr>
                <w:rFonts w:ascii="宋体" w:hAnsi="宋体" w:cs="宋体"/>
                <w:color w:val="auto"/>
                <w:sz w:val="21"/>
                <w:szCs w:val="21"/>
                <w:highlight w:val="none"/>
              </w:rPr>
            </w:pPr>
          </w:p>
        </w:tc>
        <w:tc>
          <w:tcPr>
            <w:tcW w:w="3524" w:type="dxa"/>
            <w:vAlign w:val="center"/>
          </w:tcPr>
          <w:p w14:paraId="046C3A63">
            <w:pPr>
              <w:spacing w:line="400" w:lineRule="exact"/>
              <w:jc w:val="center"/>
              <w:rPr>
                <w:rFonts w:ascii="宋体" w:hAnsi="宋体" w:cs="宋体"/>
                <w:color w:val="auto"/>
                <w:sz w:val="21"/>
                <w:szCs w:val="21"/>
                <w:highlight w:val="none"/>
              </w:rPr>
            </w:pPr>
          </w:p>
        </w:tc>
      </w:tr>
      <w:tr w14:paraId="134B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65C510">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425" w:type="dxa"/>
            <w:vAlign w:val="center"/>
          </w:tcPr>
          <w:p w14:paraId="1145C5A4">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p>
        </w:tc>
        <w:tc>
          <w:tcPr>
            <w:tcW w:w="3055" w:type="dxa"/>
            <w:vAlign w:val="center"/>
          </w:tcPr>
          <w:p w14:paraId="3CBBDB5A">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1346" w:type="dxa"/>
            <w:vAlign w:val="center"/>
          </w:tcPr>
          <w:p w14:paraId="0DDADD12">
            <w:pPr>
              <w:spacing w:line="400" w:lineRule="exact"/>
              <w:jc w:val="center"/>
              <w:rPr>
                <w:rFonts w:ascii="宋体" w:hAnsi="宋体" w:cs="宋体"/>
                <w:color w:val="auto"/>
                <w:sz w:val="21"/>
                <w:szCs w:val="21"/>
                <w:highlight w:val="none"/>
              </w:rPr>
            </w:pPr>
          </w:p>
        </w:tc>
        <w:tc>
          <w:tcPr>
            <w:tcW w:w="3524" w:type="dxa"/>
            <w:vAlign w:val="center"/>
          </w:tcPr>
          <w:p w14:paraId="205FB90F">
            <w:pPr>
              <w:spacing w:line="400" w:lineRule="exact"/>
              <w:jc w:val="center"/>
              <w:rPr>
                <w:rFonts w:ascii="宋体" w:hAnsi="宋体" w:cs="宋体"/>
                <w:color w:val="auto"/>
                <w:sz w:val="21"/>
                <w:szCs w:val="21"/>
                <w:highlight w:val="none"/>
              </w:rPr>
            </w:pPr>
          </w:p>
        </w:tc>
      </w:tr>
      <w:tr w14:paraId="7900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02585D">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425" w:type="dxa"/>
            <w:vAlign w:val="center"/>
          </w:tcPr>
          <w:p w14:paraId="6304C1D9">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p>
        </w:tc>
        <w:tc>
          <w:tcPr>
            <w:tcW w:w="3055" w:type="dxa"/>
            <w:vAlign w:val="center"/>
          </w:tcPr>
          <w:p w14:paraId="488D8869">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调解与诉讼</w:t>
            </w:r>
          </w:p>
        </w:tc>
        <w:tc>
          <w:tcPr>
            <w:tcW w:w="1346" w:type="dxa"/>
            <w:vAlign w:val="center"/>
          </w:tcPr>
          <w:p w14:paraId="78B6F12B">
            <w:pPr>
              <w:spacing w:line="400" w:lineRule="exact"/>
              <w:jc w:val="center"/>
              <w:rPr>
                <w:rFonts w:ascii="宋体" w:hAnsi="宋体" w:cs="宋体"/>
                <w:color w:val="auto"/>
                <w:sz w:val="21"/>
                <w:szCs w:val="21"/>
                <w:highlight w:val="none"/>
              </w:rPr>
            </w:pPr>
          </w:p>
        </w:tc>
        <w:tc>
          <w:tcPr>
            <w:tcW w:w="3524" w:type="dxa"/>
            <w:vAlign w:val="center"/>
          </w:tcPr>
          <w:p w14:paraId="1D4EF456">
            <w:pPr>
              <w:spacing w:line="400" w:lineRule="exact"/>
              <w:jc w:val="center"/>
              <w:rPr>
                <w:rFonts w:ascii="宋体" w:hAnsi="宋体" w:cs="宋体"/>
                <w:color w:val="auto"/>
                <w:sz w:val="21"/>
                <w:szCs w:val="21"/>
                <w:highlight w:val="none"/>
              </w:rPr>
            </w:pPr>
          </w:p>
        </w:tc>
      </w:tr>
      <w:tr w14:paraId="5252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EA5EB9">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425" w:type="dxa"/>
            <w:vAlign w:val="center"/>
          </w:tcPr>
          <w:p w14:paraId="2C409B60">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p>
        </w:tc>
        <w:tc>
          <w:tcPr>
            <w:tcW w:w="3055" w:type="dxa"/>
            <w:vAlign w:val="center"/>
          </w:tcPr>
          <w:p w14:paraId="4595863F">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合同书生效期</w:t>
            </w:r>
          </w:p>
        </w:tc>
        <w:tc>
          <w:tcPr>
            <w:tcW w:w="1346" w:type="dxa"/>
            <w:vAlign w:val="center"/>
          </w:tcPr>
          <w:p w14:paraId="144BE699">
            <w:pPr>
              <w:spacing w:line="400" w:lineRule="exact"/>
              <w:jc w:val="center"/>
              <w:rPr>
                <w:rFonts w:ascii="宋体" w:hAnsi="宋体" w:cs="宋体"/>
                <w:color w:val="auto"/>
                <w:sz w:val="21"/>
                <w:szCs w:val="21"/>
                <w:highlight w:val="none"/>
              </w:rPr>
            </w:pPr>
          </w:p>
        </w:tc>
        <w:tc>
          <w:tcPr>
            <w:tcW w:w="3524" w:type="dxa"/>
            <w:vAlign w:val="center"/>
          </w:tcPr>
          <w:p w14:paraId="3EDA288A">
            <w:pPr>
              <w:spacing w:line="400" w:lineRule="exact"/>
              <w:jc w:val="center"/>
              <w:rPr>
                <w:rFonts w:ascii="宋体" w:hAnsi="宋体" w:cs="宋体"/>
                <w:color w:val="auto"/>
                <w:sz w:val="21"/>
                <w:szCs w:val="21"/>
                <w:highlight w:val="none"/>
              </w:rPr>
            </w:pPr>
          </w:p>
        </w:tc>
      </w:tr>
      <w:tr w14:paraId="4287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24962A">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425" w:type="dxa"/>
            <w:vAlign w:val="center"/>
          </w:tcPr>
          <w:p w14:paraId="63A19D40">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十一</w:t>
            </w:r>
          </w:p>
        </w:tc>
        <w:tc>
          <w:tcPr>
            <w:tcW w:w="3055" w:type="dxa"/>
            <w:vAlign w:val="center"/>
          </w:tcPr>
          <w:p w14:paraId="4A1A91D7">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tc>
        <w:tc>
          <w:tcPr>
            <w:tcW w:w="1346" w:type="dxa"/>
            <w:vAlign w:val="center"/>
          </w:tcPr>
          <w:p w14:paraId="7859CD07">
            <w:pPr>
              <w:spacing w:line="400" w:lineRule="exact"/>
              <w:jc w:val="center"/>
              <w:rPr>
                <w:rFonts w:ascii="宋体" w:hAnsi="宋体" w:cs="宋体"/>
                <w:color w:val="auto"/>
                <w:sz w:val="21"/>
                <w:szCs w:val="21"/>
                <w:highlight w:val="none"/>
              </w:rPr>
            </w:pPr>
          </w:p>
        </w:tc>
        <w:tc>
          <w:tcPr>
            <w:tcW w:w="3524" w:type="dxa"/>
            <w:vAlign w:val="center"/>
          </w:tcPr>
          <w:p w14:paraId="281B8346">
            <w:pPr>
              <w:spacing w:line="400" w:lineRule="exact"/>
              <w:jc w:val="center"/>
              <w:rPr>
                <w:rFonts w:ascii="宋体" w:hAnsi="宋体" w:cs="宋体"/>
                <w:color w:val="auto"/>
                <w:sz w:val="21"/>
                <w:szCs w:val="21"/>
                <w:highlight w:val="none"/>
              </w:rPr>
            </w:pPr>
          </w:p>
        </w:tc>
      </w:tr>
      <w:tr w14:paraId="6568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A1AC2F">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425" w:type="dxa"/>
            <w:vAlign w:val="center"/>
          </w:tcPr>
          <w:p w14:paraId="3F578D6C">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p>
        </w:tc>
        <w:tc>
          <w:tcPr>
            <w:tcW w:w="3055" w:type="dxa"/>
            <w:vAlign w:val="center"/>
          </w:tcPr>
          <w:p w14:paraId="1CD935F0">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附则</w:t>
            </w:r>
          </w:p>
        </w:tc>
        <w:tc>
          <w:tcPr>
            <w:tcW w:w="1346" w:type="dxa"/>
            <w:vAlign w:val="center"/>
          </w:tcPr>
          <w:p w14:paraId="53F6F986">
            <w:pPr>
              <w:spacing w:line="400" w:lineRule="exact"/>
              <w:jc w:val="center"/>
              <w:rPr>
                <w:rFonts w:ascii="宋体" w:hAnsi="宋体" w:cs="宋体"/>
                <w:color w:val="auto"/>
                <w:sz w:val="21"/>
                <w:szCs w:val="21"/>
                <w:highlight w:val="none"/>
              </w:rPr>
            </w:pPr>
          </w:p>
        </w:tc>
        <w:tc>
          <w:tcPr>
            <w:tcW w:w="3524" w:type="dxa"/>
            <w:vAlign w:val="center"/>
          </w:tcPr>
          <w:p w14:paraId="44CF7281">
            <w:pPr>
              <w:spacing w:line="400" w:lineRule="exact"/>
              <w:jc w:val="center"/>
              <w:rPr>
                <w:rFonts w:ascii="宋体" w:hAnsi="宋体" w:cs="宋体"/>
                <w:color w:val="auto"/>
                <w:sz w:val="21"/>
                <w:szCs w:val="21"/>
                <w:highlight w:val="none"/>
              </w:rPr>
            </w:pPr>
          </w:p>
        </w:tc>
      </w:tr>
      <w:tr w14:paraId="3268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609B6E">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1425" w:type="dxa"/>
            <w:vAlign w:val="center"/>
          </w:tcPr>
          <w:p w14:paraId="0A37BDC1">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tc>
        <w:tc>
          <w:tcPr>
            <w:tcW w:w="3055" w:type="dxa"/>
            <w:vAlign w:val="center"/>
          </w:tcPr>
          <w:p w14:paraId="17775315">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《东莞市水务集团有限公司2025年直购电采购项目用户需求书》</w:t>
            </w:r>
          </w:p>
        </w:tc>
        <w:tc>
          <w:tcPr>
            <w:tcW w:w="1346" w:type="dxa"/>
            <w:vAlign w:val="center"/>
          </w:tcPr>
          <w:p w14:paraId="57BB086C">
            <w:pPr>
              <w:spacing w:line="400" w:lineRule="exact"/>
              <w:jc w:val="center"/>
              <w:rPr>
                <w:rFonts w:ascii="宋体" w:hAnsi="宋体" w:cs="宋体"/>
                <w:color w:val="auto"/>
                <w:sz w:val="21"/>
                <w:szCs w:val="21"/>
                <w:highlight w:val="none"/>
              </w:rPr>
            </w:pPr>
          </w:p>
        </w:tc>
        <w:tc>
          <w:tcPr>
            <w:tcW w:w="3524" w:type="dxa"/>
            <w:vAlign w:val="center"/>
          </w:tcPr>
          <w:p w14:paraId="3D3EEF20">
            <w:pPr>
              <w:spacing w:line="400" w:lineRule="exact"/>
              <w:jc w:val="center"/>
              <w:rPr>
                <w:rFonts w:ascii="宋体" w:hAnsi="宋体" w:cs="宋体"/>
                <w:color w:val="auto"/>
                <w:sz w:val="21"/>
                <w:szCs w:val="21"/>
                <w:highlight w:val="none"/>
              </w:rPr>
            </w:pPr>
          </w:p>
        </w:tc>
      </w:tr>
      <w:tr w14:paraId="3646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411AA2">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1425" w:type="dxa"/>
            <w:vAlign w:val="center"/>
          </w:tcPr>
          <w:p w14:paraId="75A7A3B2">
            <w:pPr>
              <w:pStyle w:val="187"/>
              <w:snapToGrid w:val="0"/>
              <w:spacing w:line="240" w:lineRule="auto"/>
              <w:ind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tc>
        <w:tc>
          <w:tcPr>
            <w:tcW w:w="3055" w:type="dxa"/>
            <w:vAlign w:val="center"/>
          </w:tcPr>
          <w:p w14:paraId="3B3FE4C4">
            <w:pPr>
              <w:pStyle w:val="187"/>
              <w:snapToGrid w:val="0"/>
              <w:spacing w:line="24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《廉洁协议书》</w:t>
            </w:r>
          </w:p>
        </w:tc>
        <w:tc>
          <w:tcPr>
            <w:tcW w:w="1346" w:type="dxa"/>
            <w:vAlign w:val="center"/>
          </w:tcPr>
          <w:p w14:paraId="1D380BD9">
            <w:pPr>
              <w:spacing w:line="400" w:lineRule="exact"/>
              <w:jc w:val="center"/>
              <w:rPr>
                <w:rFonts w:ascii="宋体" w:hAnsi="宋体" w:cs="宋体"/>
                <w:color w:val="auto"/>
                <w:sz w:val="21"/>
                <w:szCs w:val="21"/>
                <w:highlight w:val="none"/>
              </w:rPr>
            </w:pPr>
          </w:p>
        </w:tc>
        <w:tc>
          <w:tcPr>
            <w:tcW w:w="3524" w:type="dxa"/>
            <w:vAlign w:val="center"/>
          </w:tcPr>
          <w:p w14:paraId="0A2B32BE">
            <w:pPr>
              <w:spacing w:line="400" w:lineRule="exact"/>
              <w:jc w:val="center"/>
              <w:rPr>
                <w:rFonts w:ascii="宋体" w:hAnsi="宋体" w:cs="宋体"/>
                <w:color w:val="auto"/>
                <w:sz w:val="21"/>
                <w:szCs w:val="21"/>
                <w:highlight w:val="none"/>
              </w:rPr>
            </w:pPr>
          </w:p>
        </w:tc>
      </w:tr>
    </w:tbl>
    <w:p w14:paraId="41C21192">
      <w:pPr>
        <w:snapToGrid w:val="0"/>
        <w:spacing w:line="360" w:lineRule="auto"/>
        <w:ind w:left="213" w:leftChars="-158" w:hanging="592" w:hangingChars="247"/>
        <w:rPr>
          <w:rFonts w:ascii="宋体" w:hAnsi="宋体" w:cs="宋体"/>
          <w:color w:val="auto"/>
          <w:highlight w:val="none"/>
          <w:lang w:val="zh-CN"/>
        </w:rPr>
      </w:pPr>
    </w:p>
    <w:p w14:paraId="4D28EBC6">
      <w:pPr>
        <w:snapToGrid w:val="0"/>
        <w:spacing w:line="360" w:lineRule="auto"/>
        <w:ind w:left="136" w:leftChars="-101" w:hanging="378" w:hangingChars="18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备注：</w:t>
      </w:r>
    </w:p>
    <w:p w14:paraId="35E9EDB0">
      <w:pPr>
        <w:spacing w:line="360" w:lineRule="auto"/>
        <w:ind w:left="610" w:leftChars="18" w:hanging="567" w:hangingChars="27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b/>
          <w:color w:val="auto"/>
          <w:sz w:val="21"/>
          <w:szCs w:val="21"/>
          <w:highlight w:val="none"/>
          <w:u w:val="single"/>
        </w:rPr>
        <w:t>供应商应对照竞争性谈判文件合同格式内合同条款及附件，逐条、如实地填写“偏离情况”项。“偏离情况”项为正偏离（或负偏离）的，必须在“具体偏离内容”项内详细说明与竞争性谈判文件的偏离内容，“偏离情况”项为无偏离的，在“具体偏离内容”项内填“无”。若发现虚假填写本表，或对合同及其附件响应有负偏离的，按无效响应文件处理。若发现此表未逐条填写视为完全满足竞争性谈判文件要求</w:t>
      </w:r>
      <w:r>
        <w:rPr>
          <w:rFonts w:hint="eastAsia" w:ascii="宋体" w:hAnsi="宋体" w:cs="宋体"/>
          <w:b/>
          <w:color w:val="auto"/>
          <w:sz w:val="21"/>
          <w:szCs w:val="21"/>
          <w:highlight w:val="none"/>
        </w:rPr>
        <w:t>。</w:t>
      </w:r>
    </w:p>
    <w:p w14:paraId="6A503BD9">
      <w:pPr>
        <w:spacing w:line="360" w:lineRule="auto"/>
        <w:ind w:left="610" w:leftChars="18" w:hanging="567" w:hangingChars="270"/>
        <w:rPr>
          <w:rFonts w:ascii="宋体" w:hAnsi="宋体" w:cs="宋体"/>
          <w:color w:val="auto"/>
          <w:sz w:val="21"/>
          <w:szCs w:val="21"/>
          <w:highlight w:val="none"/>
        </w:rPr>
      </w:pPr>
      <w:r>
        <w:rPr>
          <w:rFonts w:hint="eastAsia" w:ascii="宋体" w:hAnsi="宋体" w:cs="宋体"/>
          <w:color w:val="auto"/>
          <w:sz w:val="21"/>
          <w:szCs w:val="21"/>
          <w:highlight w:val="none"/>
        </w:rPr>
        <w:t>（2）偏离情况（响应文件对竞争性谈判文件合同条款的响应程度）分为：正偏离、负偏离、无偏离。正偏离是指供应商提供的相关服务商务条件优于竞争性谈判文件的要求；负偏离是指供应商提供的相关服务商务条件不满足或不完全满足竞争性谈判文件的要求；无偏离是指供应商提供的相关服务商务条件完全满足竞争性谈判文件的要求。</w:t>
      </w:r>
    </w:p>
    <w:p w14:paraId="2314D58A">
      <w:pPr>
        <w:spacing w:line="360" w:lineRule="auto"/>
        <w:ind w:left="610" w:leftChars="18" w:hanging="567" w:hangingChars="270"/>
        <w:rPr>
          <w:rFonts w:ascii="宋体" w:hAnsi="宋体" w:cs="宋体"/>
          <w:color w:val="auto"/>
          <w:sz w:val="21"/>
          <w:szCs w:val="21"/>
          <w:highlight w:val="none"/>
        </w:rPr>
      </w:pPr>
      <w:r>
        <w:rPr>
          <w:rFonts w:hint="eastAsia" w:ascii="宋体" w:hAnsi="宋体" w:cs="宋体"/>
          <w:color w:val="auto"/>
          <w:sz w:val="21"/>
          <w:szCs w:val="21"/>
          <w:highlight w:val="none"/>
        </w:rPr>
        <w:t>（3）竞争性谈判文件“第五篇 相关保函格式”作为重要的商务条款，供应商的响应情况列入本合同条款偏离表。</w:t>
      </w:r>
    </w:p>
    <w:p w14:paraId="7150E393">
      <w:pPr>
        <w:spacing w:line="360" w:lineRule="auto"/>
        <w:ind w:left="610" w:leftChars="18" w:hanging="567" w:hangingChars="270"/>
        <w:rPr>
          <w:rFonts w:ascii="宋体" w:hAnsi="宋体" w:cs="宋体"/>
          <w:color w:val="auto"/>
          <w:sz w:val="21"/>
          <w:szCs w:val="21"/>
          <w:highlight w:val="none"/>
        </w:rPr>
      </w:pPr>
      <w:r>
        <w:rPr>
          <w:rFonts w:hint="eastAsia" w:ascii="宋体" w:hAnsi="宋体" w:cs="宋体"/>
          <w:color w:val="auto"/>
          <w:sz w:val="21"/>
          <w:szCs w:val="21"/>
          <w:highlight w:val="none"/>
        </w:rPr>
        <w:t>（4）如供应商差异内容较多可另附页说明，并在本偏离表“具体偏离内容”项注明其在响应文件中的具体页码。</w:t>
      </w:r>
    </w:p>
    <w:p w14:paraId="47377371">
      <w:pPr>
        <w:spacing w:line="360" w:lineRule="auto"/>
        <w:ind w:left="327" w:leftChars="-100" w:hanging="567" w:hangingChars="270"/>
        <w:rPr>
          <w:rFonts w:ascii="宋体" w:hAnsi="宋体" w:cs="宋体"/>
          <w:color w:val="auto"/>
          <w:sz w:val="21"/>
          <w:szCs w:val="21"/>
          <w:highlight w:val="none"/>
        </w:rPr>
      </w:pPr>
    </w:p>
    <w:p w14:paraId="35548567">
      <w:pPr>
        <w:spacing w:line="360" w:lineRule="auto"/>
        <w:ind w:left="327" w:leftChars="-100" w:hanging="567" w:hangingChars="270"/>
        <w:rPr>
          <w:rFonts w:ascii="宋体" w:hAnsi="宋体" w:cs="宋体"/>
          <w:color w:val="auto"/>
          <w:sz w:val="21"/>
          <w:szCs w:val="21"/>
          <w:highlight w:val="none"/>
        </w:rPr>
      </w:pPr>
    </w:p>
    <w:p w14:paraId="068E819C">
      <w:pPr>
        <w:spacing w:line="360" w:lineRule="auto"/>
        <w:ind w:left="327" w:leftChars="-100" w:hanging="567" w:hangingChars="270"/>
        <w:rPr>
          <w:rFonts w:ascii="宋体" w:hAnsi="宋体" w:cs="宋体"/>
          <w:color w:val="auto"/>
          <w:sz w:val="21"/>
          <w:szCs w:val="21"/>
          <w:highlight w:val="none"/>
        </w:rPr>
      </w:pPr>
    </w:p>
    <w:p w14:paraId="240EF233">
      <w:pPr>
        <w:spacing w:line="360" w:lineRule="auto"/>
        <w:ind w:firstLine="5040" w:firstLineChars="240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供应商：（加盖供应商法人公章）</w:t>
      </w:r>
    </w:p>
    <w:p w14:paraId="6C6E4EAA">
      <w:pPr>
        <w:spacing w:line="360" w:lineRule="auto"/>
        <w:ind w:firstLine="5040" w:firstLineChars="2400"/>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日</w:t>
      </w:r>
      <w:r>
        <w:rPr>
          <w:rFonts w:hint="eastAsia" w:ascii="宋体" w:hAnsi="宋体" w:cs="宋体"/>
          <w:color w:val="auto"/>
          <w:kern w:val="2"/>
          <w:sz w:val="21"/>
          <w:highlight w:val="none"/>
        </w:rPr>
        <w:t xml:space="preserve">  </w:t>
      </w:r>
      <w:r>
        <w:rPr>
          <w:rFonts w:hint="eastAsia" w:ascii="宋体" w:hAnsi="宋体" w:cs="宋体"/>
          <w:color w:val="auto"/>
          <w:kern w:val="2"/>
          <w:sz w:val="21"/>
          <w:highlight w:val="none"/>
          <w:lang w:val="zh-CN"/>
        </w:rPr>
        <w:t>期：   年   月   日</w:t>
      </w:r>
    </w:p>
    <w:bookmarkEnd w:id="375"/>
    <w:bookmarkEnd w:id="376"/>
    <w:bookmarkEnd w:id="377"/>
    <w:bookmarkEnd w:id="378"/>
    <w:bookmarkEnd w:id="379"/>
    <w:bookmarkEnd w:id="380"/>
    <w:bookmarkEnd w:id="381"/>
    <w:p w14:paraId="5ECCBC2D">
      <w:pPr>
        <w:pageBreakBefore/>
        <w:spacing w:before="120" w:after="120" w:line="360" w:lineRule="auto"/>
        <w:rPr>
          <w:rFonts w:ascii="宋体" w:hAnsi="宋体" w:cs="宋体"/>
          <w:b/>
          <w:bCs/>
          <w:color w:val="auto"/>
          <w:sz w:val="32"/>
          <w:szCs w:val="32"/>
          <w:highlight w:val="none"/>
          <w:lang w:val="zh-CN"/>
        </w:rPr>
      </w:pPr>
      <w:bookmarkStart w:id="385" w:name="_Toc486167719"/>
      <w:bookmarkStart w:id="386" w:name="_Toc1977737"/>
      <w:bookmarkStart w:id="387" w:name="_Toc18413"/>
      <w:bookmarkStart w:id="388" w:name="_Toc142508378"/>
      <w:bookmarkStart w:id="389" w:name="_Toc19890"/>
      <w:bookmarkStart w:id="390" w:name="_Toc18175_WPSOffice_Level2"/>
      <w:bookmarkStart w:id="391" w:name="_Toc533708132"/>
      <w:bookmarkStart w:id="392" w:name="_Toc102860083"/>
      <w:bookmarkStart w:id="393" w:name="_Toc104991885"/>
      <w:bookmarkStart w:id="394" w:name="_Toc31965"/>
      <w:bookmarkStart w:id="395" w:name="_Toc140596938"/>
      <w:bookmarkStart w:id="396" w:name="_Toc94107220"/>
      <w:bookmarkStart w:id="397" w:name="_Toc102860427"/>
      <w:bookmarkStart w:id="398" w:name="_Toc17514"/>
      <w:r>
        <w:rPr>
          <w:rFonts w:hint="eastAsia" w:ascii="宋体" w:hAnsi="宋体" w:cs="宋体"/>
          <w:b/>
          <w:bCs/>
          <w:color w:val="auto"/>
          <w:sz w:val="32"/>
          <w:szCs w:val="32"/>
          <w:highlight w:val="none"/>
        </w:rPr>
        <w:t>七</w:t>
      </w:r>
      <w:r>
        <w:rPr>
          <w:rFonts w:hint="eastAsia" w:ascii="宋体" w:hAnsi="宋体" w:cs="宋体"/>
          <w:b/>
          <w:bCs/>
          <w:color w:val="auto"/>
          <w:sz w:val="32"/>
          <w:szCs w:val="32"/>
          <w:highlight w:val="none"/>
          <w:lang w:val="zh-CN"/>
        </w:rPr>
        <w:t>、</w:t>
      </w:r>
      <w:r>
        <w:rPr>
          <w:rFonts w:hint="eastAsia" w:ascii="宋体" w:hAnsi="宋体" w:cs="宋体"/>
          <w:b/>
          <w:bCs/>
          <w:color w:val="auto"/>
          <w:sz w:val="32"/>
          <w:szCs w:val="32"/>
          <w:highlight w:val="none"/>
        </w:rPr>
        <w:t>响应保证金</w:t>
      </w:r>
      <w:r>
        <w:rPr>
          <w:rFonts w:hint="eastAsia" w:ascii="宋体" w:hAnsi="宋体" w:cs="宋体"/>
          <w:b/>
          <w:bCs/>
          <w:color w:val="auto"/>
          <w:sz w:val="32"/>
          <w:szCs w:val="32"/>
          <w:highlight w:val="none"/>
          <w:lang w:val="zh-CN"/>
        </w:rPr>
        <w:t>汇入情况说明</w:t>
      </w:r>
      <w:bookmarkEnd w:id="385"/>
      <w:bookmarkEnd w:id="386"/>
      <w:bookmarkEnd w:id="387"/>
      <w:bookmarkEnd w:id="388"/>
      <w:bookmarkEnd w:id="389"/>
      <w:bookmarkEnd w:id="390"/>
      <w:bookmarkEnd w:id="391"/>
      <w:bookmarkEnd w:id="392"/>
      <w:bookmarkEnd w:id="393"/>
      <w:bookmarkEnd w:id="394"/>
      <w:bookmarkEnd w:id="395"/>
      <w:bookmarkEnd w:id="396"/>
      <w:bookmarkEnd w:id="397"/>
    </w:p>
    <w:p w14:paraId="6F5C0441">
      <w:pPr>
        <w:spacing w:line="360" w:lineRule="auto"/>
        <w:rPr>
          <w:rFonts w:ascii="宋体" w:hAnsi="宋体" w:cs="宋体"/>
          <w:color w:val="auto"/>
          <w:highlight w:val="none"/>
        </w:rPr>
      </w:pPr>
    </w:p>
    <w:p w14:paraId="381C1FC2">
      <w:pPr>
        <w:spacing w:line="360" w:lineRule="auto"/>
        <w:jc w:val="center"/>
        <w:rPr>
          <w:rFonts w:ascii="宋体" w:hAnsi="宋体" w:cs="宋体"/>
          <w:b/>
          <w:bCs/>
          <w:color w:val="auto"/>
          <w:sz w:val="21"/>
          <w:szCs w:val="21"/>
          <w:highlight w:val="none"/>
        </w:rPr>
      </w:pPr>
      <w:bookmarkStart w:id="399" w:name="_Toc31832_WPSOffice_Level3"/>
      <w:r>
        <w:rPr>
          <w:rFonts w:hint="eastAsia" w:ascii="宋体" w:hAnsi="宋体" w:cs="宋体"/>
          <w:b/>
          <w:bCs/>
          <w:color w:val="auto"/>
          <w:sz w:val="21"/>
          <w:szCs w:val="21"/>
          <w:highlight w:val="none"/>
        </w:rPr>
        <w:t>响应保证金汇入情况说明</w:t>
      </w:r>
      <w:bookmarkEnd w:id="399"/>
    </w:p>
    <w:p w14:paraId="29FB2FEB">
      <w:pPr>
        <w:spacing w:line="360" w:lineRule="auto"/>
        <w:jc w:val="center"/>
        <w:rPr>
          <w:rFonts w:ascii="宋体" w:hAnsi="宋体" w:cs="宋体"/>
          <w:b/>
          <w:bCs/>
          <w:color w:val="auto"/>
          <w:sz w:val="21"/>
          <w:szCs w:val="21"/>
          <w:highlight w:val="none"/>
        </w:rPr>
      </w:pPr>
    </w:p>
    <w:p w14:paraId="246A0711">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东莞市水务集团有限公司：</w:t>
      </w:r>
    </w:p>
    <w:p w14:paraId="129DCF9A">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本单位已按</w:t>
      </w:r>
      <w:r>
        <w:rPr>
          <w:rFonts w:hint="eastAsia" w:ascii="宋体" w:hAnsi="宋体" w:cs="宋体"/>
          <w:color w:val="auto"/>
          <w:sz w:val="21"/>
          <w:szCs w:val="21"/>
          <w:highlight w:val="none"/>
          <w:u w:val="single"/>
        </w:rPr>
        <w:t>东莞市水务集团有限公司2025年直购电采购项目</w:t>
      </w:r>
      <w:r>
        <w:rPr>
          <w:rFonts w:hint="eastAsia" w:ascii="宋体" w:hAnsi="宋体" w:cs="宋体"/>
          <w:color w:val="auto"/>
          <w:sz w:val="21"/>
          <w:szCs w:val="21"/>
          <w:highlight w:val="none"/>
        </w:rPr>
        <w:t>（采购编号：</w:t>
      </w:r>
      <w:r>
        <w:rPr>
          <w:rFonts w:hint="eastAsia" w:ascii="宋体" w:hAnsi="宋体" w:cs="宋体"/>
          <w:color w:val="auto"/>
          <w:sz w:val="21"/>
          <w:szCs w:val="21"/>
          <w:highlight w:val="none"/>
          <w:u w:val="single"/>
        </w:rPr>
        <w:t>广建咨询（东招）2024-0149号</w:t>
      </w:r>
      <w:r>
        <w:rPr>
          <w:rFonts w:hint="eastAsia" w:ascii="宋体" w:hAnsi="宋体" w:cs="宋体"/>
          <w:color w:val="auto"/>
          <w:sz w:val="21"/>
          <w:szCs w:val="21"/>
          <w:highlight w:val="none"/>
        </w:rPr>
        <w:t>）的竞争性谈判文件要求，于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日前以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付款形式）方式汇入指定账户（账户名称：</w:t>
      </w:r>
      <w:r>
        <w:rPr>
          <w:rFonts w:hint="eastAsia" w:ascii="宋体" w:hAnsi="宋体" w:cs="宋体"/>
          <w:b/>
          <w:color w:val="auto"/>
          <w:sz w:val="21"/>
          <w:szCs w:val="21"/>
          <w:highlight w:val="none"/>
          <w:u w:val="single"/>
        </w:rPr>
        <w:t xml:space="preserve">                    </w:t>
      </w:r>
      <w:r>
        <w:rPr>
          <w:rFonts w:hint="eastAsia" w:ascii="宋体" w:hAnsi="宋体" w:cs="宋体"/>
          <w:color w:val="auto"/>
          <w:sz w:val="21"/>
          <w:szCs w:val="21"/>
          <w:highlight w:val="none"/>
        </w:rPr>
        <w:t>，账号：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lang w:val="zh-CN"/>
        </w:rPr>
        <w:t xml:space="preserve">            </w:t>
      </w:r>
      <w:r>
        <w:rPr>
          <w:rFonts w:hint="eastAsia" w:ascii="宋体" w:hAnsi="宋体" w:cs="宋体"/>
          <w:color w:val="auto"/>
          <w:sz w:val="21"/>
          <w:szCs w:val="21"/>
          <w:highlight w:val="none"/>
        </w:rPr>
        <w:t>）。</w:t>
      </w:r>
    </w:p>
    <w:p w14:paraId="4B31F1CE">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本单位响应保证金的汇款情况：（详见附件－响应保证金进账单）</w:t>
      </w:r>
    </w:p>
    <w:p w14:paraId="561641C7">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汇出时间：</w:t>
      </w:r>
      <w:r>
        <w:rPr>
          <w:rFonts w:hint="eastAsia" w:ascii="宋体" w:hAnsi="宋体" w:cs="宋体"/>
          <w:color w:val="auto"/>
          <w:sz w:val="21"/>
          <w:szCs w:val="21"/>
          <w:highlight w:val="none"/>
          <w:u w:val="single"/>
        </w:rPr>
        <w:t xml:space="preserve">    年   月    日</w:t>
      </w:r>
    </w:p>
    <w:p w14:paraId="2EE6563F">
      <w:pPr>
        <w:spacing w:line="360" w:lineRule="auto"/>
        <w:ind w:firstLine="424" w:firstLineChars="202"/>
        <w:rPr>
          <w:rFonts w:ascii="宋体" w:hAnsi="宋体" w:cs="宋体"/>
          <w:color w:val="auto"/>
          <w:sz w:val="21"/>
          <w:szCs w:val="21"/>
          <w:highlight w:val="none"/>
          <w:u w:val="single"/>
        </w:rPr>
      </w:pPr>
      <w:r>
        <w:rPr>
          <w:rFonts w:hint="eastAsia" w:ascii="宋体" w:hAnsi="宋体" w:cs="宋体"/>
          <w:color w:val="auto"/>
          <w:sz w:val="21"/>
          <w:szCs w:val="21"/>
          <w:highlight w:val="none"/>
        </w:rPr>
        <w:t>汇款金额：</w:t>
      </w:r>
      <w:r>
        <w:rPr>
          <w:rFonts w:hint="eastAsia" w:ascii="宋体" w:hAnsi="宋体" w:cs="宋体"/>
          <w:color w:val="auto"/>
          <w:sz w:val="21"/>
          <w:szCs w:val="21"/>
          <w:highlight w:val="none"/>
          <w:u w:val="single"/>
        </w:rPr>
        <w:t>（大写）人民币      元（小写：¥      元）</w:t>
      </w:r>
    </w:p>
    <w:p w14:paraId="55877864">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汇款账户名称：</w:t>
      </w:r>
      <w:r>
        <w:rPr>
          <w:rFonts w:hint="eastAsia" w:ascii="宋体" w:hAnsi="宋体" w:cs="宋体"/>
          <w:color w:val="auto"/>
          <w:sz w:val="21"/>
          <w:szCs w:val="21"/>
          <w:highlight w:val="none"/>
          <w:u w:val="single"/>
        </w:rPr>
        <w:t>（必须是谈判时使用的账户名）</w:t>
      </w:r>
    </w:p>
    <w:p w14:paraId="4922756F">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账号：</w:t>
      </w:r>
      <w:r>
        <w:rPr>
          <w:rFonts w:hint="eastAsia" w:ascii="宋体" w:hAnsi="宋体" w:cs="宋体"/>
          <w:color w:val="auto"/>
          <w:sz w:val="21"/>
          <w:szCs w:val="21"/>
          <w:highlight w:val="none"/>
          <w:u w:val="single"/>
        </w:rPr>
        <w:t>（必须是谈判时使用的账号）</w:t>
      </w:r>
    </w:p>
    <w:p w14:paraId="4A000CBF">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省         市         </w:t>
      </w:r>
    </w:p>
    <w:p w14:paraId="7EF5EB07">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本单位谨承诺上述资料是正确、真实的，如因上述证明与事实不符导致的一切损失，本单位保证承担赔偿等一切法律责任。</w:t>
      </w:r>
    </w:p>
    <w:p w14:paraId="3B465E1C">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响应保证金退回时，请按上述资料退回。</w:t>
      </w:r>
    </w:p>
    <w:p w14:paraId="159527AC">
      <w:pPr>
        <w:spacing w:line="360" w:lineRule="auto"/>
        <w:ind w:right="965" w:rightChars="402" w:firstLine="424" w:firstLineChars="202"/>
        <w:jc w:val="righ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bCs/>
          <w:color w:val="auto"/>
          <w:sz w:val="21"/>
          <w:szCs w:val="21"/>
          <w:highlight w:val="none"/>
        </w:rPr>
        <w:t>供应商法人公章</w:t>
      </w:r>
      <w:r>
        <w:rPr>
          <w:rFonts w:hint="eastAsia" w:ascii="宋体" w:hAnsi="宋体" w:cs="宋体"/>
          <w:color w:val="auto"/>
          <w:sz w:val="21"/>
          <w:szCs w:val="21"/>
          <w:highlight w:val="none"/>
        </w:rPr>
        <w:t>）</w:t>
      </w:r>
    </w:p>
    <w:p w14:paraId="161FC09D">
      <w:pPr>
        <w:spacing w:line="360" w:lineRule="auto"/>
        <w:ind w:right="718" w:rightChars="299" w:firstLine="7774" w:firstLineChars="3702"/>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5B2CF351">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单位名称：</w:t>
      </w:r>
    </w:p>
    <w:p w14:paraId="667F51AD">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单位地址：</w:t>
      </w:r>
    </w:p>
    <w:p w14:paraId="3D6D3F3A">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联系人：</w:t>
      </w:r>
    </w:p>
    <w:p w14:paraId="231F64B2">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 xml:space="preserve">单位电话：                    </w:t>
      </w:r>
    </w:p>
    <w:p w14:paraId="0666C53A">
      <w:pPr>
        <w:spacing w:line="360" w:lineRule="auto"/>
        <w:ind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联系人手机：</w:t>
      </w:r>
    </w:p>
    <w:p w14:paraId="2FA8FD44">
      <w:pPr>
        <w:spacing w:line="360" w:lineRule="auto"/>
        <w:ind w:left="389" w:leftChars="162" w:firstLine="425"/>
        <w:rPr>
          <w:rFonts w:ascii="宋体" w:hAnsi="宋体" w:cs="宋体"/>
          <w:b/>
          <w:bCs/>
          <w:color w:val="auto"/>
          <w:sz w:val="21"/>
          <w:szCs w:val="21"/>
          <w:highlight w:val="none"/>
        </w:rPr>
      </w:pPr>
      <w:bookmarkStart w:id="400" w:name="_Toc26208_WPSOffice_Level3"/>
      <w:r>
        <w:rPr>
          <w:rFonts w:hint="eastAsia" w:ascii="宋体" w:hAnsi="宋体" w:cs="宋体"/>
          <w:b/>
          <w:bCs/>
          <w:color w:val="auto"/>
          <w:sz w:val="21"/>
          <w:szCs w:val="21"/>
          <w:highlight w:val="none"/>
        </w:rPr>
        <w:t>附：1、我方响应保证金汇款凭证（复印件）</w:t>
      </w:r>
      <w:bookmarkEnd w:id="400"/>
    </w:p>
    <w:p w14:paraId="0108E037">
      <w:pPr>
        <w:spacing w:line="360" w:lineRule="auto"/>
        <w:ind w:left="389" w:leftChars="162" w:firstLine="839" w:firstLineChars="398"/>
        <w:rPr>
          <w:rFonts w:ascii="宋体" w:hAnsi="宋体" w:cs="宋体"/>
          <w:b/>
          <w:bCs/>
          <w:color w:val="auto"/>
          <w:sz w:val="21"/>
          <w:szCs w:val="21"/>
          <w:highlight w:val="none"/>
        </w:rPr>
      </w:pPr>
      <w:bookmarkStart w:id="401" w:name="_Toc12992_WPSOffice_Level3"/>
      <w:r>
        <w:rPr>
          <w:rFonts w:hint="eastAsia" w:ascii="宋体" w:hAnsi="宋体" w:cs="宋体"/>
          <w:b/>
          <w:bCs/>
          <w:color w:val="auto"/>
          <w:sz w:val="21"/>
          <w:szCs w:val="21"/>
          <w:highlight w:val="none"/>
        </w:rPr>
        <w:t>2、我方基本账户开户许可证（复印件）</w:t>
      </w:r>
      <w:bookmarkEnd w:id="401"/>
    </w:p>
    <w:p w14:paraId="4C8E4E89">
      <w:pPr>
        <w:spacing w:line="360" w:lineRule="auto"/>
        <w:ind w:left="389" w:leftChars="162" w:firstLine="736" w:firstLineChars="349"/>
        <w:rPr>
          <w:rFonts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注：本情况说明手写无效。</w:t>
      </w:r>
    </w:p>
    <w:p w14:paraId="0A67AC39">
      <w:pPr>
        <w:spacing w:line="360" w:lineRule="auto"/>
        <w:ind w:firstLine="5880" w:firstLineChars="2450"/>
        <w:rPr>
          <w:rFonts w:ascii="宋体" w:hAnsi="宋体" w:cs="宋体"/>
          <w:color w:val="auto"/>
          <w:highlight w:val="none"/>
          <w:lang w:val="zh-CN"/>
        </w:rPr>
      </w:pPr>
    </w:p>
    <w:p w14:paraId="4646CC77">
      <w:pPr>
        <w:spacing w:line="360" w:lineRule="auto"/>
        <w:rPr>
          <w:rFonts w:ascii="宋体" w:hAnsi="宋体" w:cs="宋体"/>
          <w:b/>
          <w:color w:val="auto"/>
          <w:szCs w:val="21"/>
          <w:highlight w:val="none"/>
        </w:rPr>
      </w:pPr>
    </w:p>
    <w:p w14:paraId="251ECF31">
      <w:pPr>
        <w:tabs>
          <w:tab w:val="left" w:pos="567"/>
        </w:tabs>
        <w:spacing w:line="360" w:lineRule="auto"/>
        <w:rPr>
          <w:rFonts w:ascii="宋体" w:hAnsi="宋体" w:cs="宋体"/>
          <w:b/>
          <w:bCs/>
          <w:color w:val="auto"/>
          <w:sz w:val="32"/>
          <w:szCs w:val="32"/>
          <w:highlight w:val="none"/>
          <w:lang w:val="zh-CN"/>
        </w:rPr>
      </w:pPr>
      <w:bookmarkStart w:id="402" w:name="_Toc102860084"/>
      <w:bookmarkStart w:id="403" w:name="_Toc102860428"/>
      <w:bookmarkStart w:id="404" w:name="_Toc24616"/>
      <w:bookmarkStart w:id="405" w:name="_Toc104991886"/>
      <w:bookmarkStart w:id="406" w:name="_Toc94107221"/>
      <w:bookmarkStart w:id="407" w:name="_Toc1977738"/>
      <w:bookmarkStart w:id="408" w:name="_Toc140596939"/>
      <w:bookmarkStart w:id="409" w:name="_Toc142508379"/>
    </w:p>
    <w:p w14:paraId="29FF5C1A">
      <w:pPr>
        <w:rPr>
          <w:rFonts w:ascii="宋体" w:hAnsi="宋体" w:cs="宋体"/>
          <w:b/>
          <w:bCs/>
          <w:color w:val="auto"/>
          <w:sz w:val="32"/>
          <w:szCs w:val="32"/>
          <w:highlight w:val="none"/>
          <w:lang w:val="zh-CN"/>
        </w:rPr>
      </w:pPr>
      <w:bookmarkStart w:id="410" w:name="_Toc29652"/>
      <w:bookmarkStart w:id="411" w:name="_Toc2007"/>
      <w:r>
        <w:rPr>
          <w:rFonts w:hint="eastAsia" w:ascii="宋体" w:hAnsi="宋体" w:cs="宋体"/>
          <w:b/>
          <w:bCs/>
          <w:color w:val="auto"/>
          <w:sz w:val="32"/>
          <w:szCs w:val="32"/>
          <w:highlight w:val="none"/>
          <w:lang w:val="zh-CN"/>
        </w:rPr>
        <w:br w:type="page"/>
      </w:r>
    </w:p>
    <w:p w14:paraId="0766FB22">
      <w:pPr>
        <w:tabs>
          <w:tab w:val="left" w:pos="567"/>
        </w:tabs>
        <w:spacing w:line="360" w:lineRule="auto"/>
        <w:ind w:left="327" w:leftChars="-100" w:hanging="567"/>
        <w:rPr>
          <w:rFonts w:ascii="宋体" w:hAnsi="宋体" w:cs="宋体"/>
          <w:b/>
          <w:color w:val="auto"/>
          <w:sz w:val="32"/>
          <w:szCs w:val="32"/>
          <w:highlight w:val="none"/>
        </w:rPr>
        <w:sectPr>
          <w:pgSz w:w="12240" w:h="15840"/>
          <w:pgMar w:top="1191" w:right="1043" w:bottom="1191" w:left="1043" w:header="720" w:footer="720" w:gutter="0"/>
          <w:cols w:space="720" w:num="1"/>
          <w:titlePg/>
          <w:docGrid w:linePitch="326" w:charSpace="0"/>
        </w:sectPr>
      </w:pPr>
      <w:r>
        <w:rPr>
          <w:rFonts w:hint="eastAsia" w:ascii="宋体" w:hAnsi="宋体" w:cs="宋体"/>
          <w:b/>
          <w:bCs/>
          <w:color w:val="auto"/>
          <w:sz w:val="32"/>
          <w:szCs w:val="32"/>
          <w:highlight w:val="none"/>
        </w:rPr>
        <w:t>八</w:t>
      </w:r>
      <w:r>
        <w:rPr>
          <w:rFonts w:hint="eastAsia" w:ascii="宋体" w:hAnsi="宋体" w:cs="宋体"/>
          <w:b/>
          <w:bCs/>
          <w:color w:val="auto"/>
          <w:sz w:val="32"/>
          <w:szCs w:val="32"/>
          <w:highlight w:val="none"/>
          <w:lang w:val="zh-CN"/>
        </w:rPr>
        <w:t>、</w:t>
      </w:r>
      <w:r>
        <w:rPr>
          <w:rFonts w:hint="eastAsia" w:ascii="宋体" w:hAnsi="宋体" w:cs="宋体"/>
          <w:b/>
          <w:bCs/>
          <w:color w:val="auto"/>
          <w:sz w:val="32"/>
          <w:szCs w:val="32"/>
          <w:highlight w:val="none"/>
        </w:rPr>
        <w:t>供应商</w:t>
      </w:r>
      <w:r>
        <w:rPr>
          <w:rFonts w:hint="eastAsia" w:ascii="宋体" w:hAnsi="宋体" w:cs="宋体"/>
          <w:b/>
          <w:bCs/>
          <w:color w:val="auto"/>
          <w:sz w:val="32"/>
          <w:szCs w:val="32"/>
          <w:highlight w:val="none"/>
          <w:lang w:val="zh-CN"/>
        </w:rPr>
        <w:t>资格证明文件以外的其他资质证书、知识产权证书及获得的相关获奖、认证证书、社会评价资料证明文件复印件等</w:t>
      </w:r>
      <w:r>
        <w:rPr>
          <w:rFonts w:hint="eastAsia" w:ascii="宋体" w:hAnsi="宋体" w:cs="宋体"/>
          <w:b/>
          <w:bCs/>
          <w:color w:val="auto"/>
          <w:sz w:val="32"/>
          <w:szCs w:val="32"/>
          <w:highlight w:val="none"/>
        </w:rPr>
        <w:t>供应商</w:t>
      </w:r>
      <w:r>
        <w:rPr>
          <w:rFonts w:hint="eastAsia" w:ascii="宋体" w:hAnsi="宋体" w:cs="宋体"/>
          <w:b/>
          <w:bCs/>
          <w:color w:val="auto"/>
          <w:sz w:val="32"/>
          <w:szCs w:val="32"/>
          <w:highlight w:val="none"/>
          <w:lang w:val="zh-CN"/>
        </w:rPr>
        <w:t>认为有需要证明其具备为本次</w:t>
      </w:r>
      <w:r>
        <w:rPr>
          <w:rFonts w:hint="eastAsia" w:ascii="宋体" w:hAnsi="宋体" w:cs="宋体"/>
          <w:b/>
          <w:bCs/>
          <w:color w:val="auto"/>
          <w:sz w:val="32"/>
          <w:szCs w:val="32"/>
          <w:highlight w:val="none"/>
        </w:rPr>
        <w:t>采购</w:t>
      </w:r>
      <w:r>
        <w:rPr>
          <w:rFonts w:hint="eastAsia" w:ascii="宋体" w:hAnsi="宋体" w:cs="宋体"/>
          <w:b/>
          <w:bCs/>
          <w:color w:val="auto"/>
          <w:sz w:val="32"/>
          <w:szCs w:val="32"/>
          <w:highlight w:val="none"/>
          <w:lang w:val="zh-CN"/>
        </w:rPr>
        <w:t>项目提供服务能力的有关其它商务文件（不做强制要求</w:t>
      </w:r>
      <w:bookmarkEnd w:id="402"/>
      <w:bookmarkEnd w:id="403"/>
      <w:bookmarkEnd w:id="404"/>
      <w:bookmarkEnd w:id="405"/>
      <w:bookmarkEnd w:id="406"/>
      <w:bookmarkEnd w:id="407"/>
      <w:bookmarkEnd w:id="408"/>
      <w:bookmarkEnd w:id="409"/>
      <w:bookmarkEnd w:id="410"/>
      <w:bookmarkEnd w:id="411"/>
      <w:r>
        <w:rPr>
          <w:rFonts w:hint="eastAsia" w:ascii="宋体" w:hAnsi="宋体" w:cs="宋体"/>
          <w:b/>
          <w:bCs/>
          <w:color w:val="auto"/>
          <w:sz w:val="32"/>
          <w:szCs w:val="32"/>
          <w:highlight w:val="none"/>
          <w:lang w:val="zh-CN"/>
        </w:rPr>
        <w:t>）</w:t>
      </w:r>
    </w:p>
    <w:p w14:paraId="0BA87E1B">
      <w:pPr>
        <w:tabs>
          <w:tab w:val="left" w:pos="567"/>
        </w:tabs>
        <w:spacing w:line="360" w:lineRule="auto"/>
        <w:ind w:left="327" w:leftChars="-100" w:hanging="567"/>
        <w:rPr>
          <w:rFonts w:ascii="宋体" w:hAnsi="宋体" w:cs="宋体"/>
          <w:b/>
          <w:color w:val="auto"/>
          <w:sz w:val="32"/>
          <w:szCs w:val="32"/>
          <w:highlight w:val="none"/>
        </w:rPr>
      </w:pPr>
      <w:r>
        <w:rPr>
          <w:rFonts w:hint="eastAsia" w:ascii="宋体" w:hAnsi="宋体" w:cs="宋体"/>
          <w:b/>
          <w:color w:val="auto"/>
          <w:sz w:val="32"/>
          <w:szCs w:val="32"/>
          <w:highlight w:val="none"/>
        </w:rPr>
        <w:t>九、技术响应文件格式</w:t>
      </w:r>
    </w:p>
    <w:p w14:paraId="59FA9BB0">
      <w:pPr>
        <w:tabs>
          <w:tab w:val="left" w:pos="8640"/>
        </w:tabs>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供应商应按照竞争性谈判文件谈判须知关于响应文件组成部分的要求编制技术文件，主要包括但不限于以下内容：</w:t>
      </w:r>
    </w:p>
    <w:p w14:paraId="7E338C85">
      <w:pPr>
        <w:tabs>
          <w:tab w:val="left" w:pos="8640"/>
        </w:tabs>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rPr>
        <w:t>用户需求响应程度（即用户需求偏离表格式）；</w:t>
      </w:r>
    </w:p>
    <w:p w14:paraId="1AA2C58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（2）服务计划及应急保障；</w:t>
      </w:r>
    </w:p>
    <w:p w14:paraId="717F8AA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（3）用户需求要求提交的其他技术资料；</w:t>
      </w:r>
    </w:p>
    <w:p w14:paraId="44F709A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（4）响应供应商认为有必要提供的其它材料（不做强制要求）。</w:t>
      </w:r>
    </w:p>
    <w:p w14:paraId="54391AC3">
      <w:pPr>
        <w:pStyle w:val="2"/>
        <w:rPr>
          <w:rFonts w:ascii="宋体" w:hAnsi="宋体" w:eastAsia="宋体" w:cs="宋体"/>
          <w:color w:val="auto"/>
          <w:highlight w:val="none"/>
        </w:rPr>
      </w:pPr>
    </w:p>
    <w:p w14:paraId="2DC48A4D">
      <w:pPr>
        <w:pStyle w:val="3"/>
        <w:ind w:firstLine="843"/>
        <w:rPr>
          <w:rFonts w:ascii="宋体" w:hAnsi="宋体" w:cs="宋体"/>
          <w:color w:val="auto"/>
          <w:highlight w:val="none"/>
        </w:rPr>
      </w:pPr>
    </w:p>
    <w:p w14:paraId="67FA6F2E">
      <w:pPr>
        <w:pStyle w:val="3"/>
        <w:ind w:firstLine="843"/>
        <w:rPr>
          <w:rFonts w:ascii="宋体" w:hAnsi="宋体" w:cs="宋体"/>
          <w:color w:val="auto"/>
          <w:highlight w:val="none"/>
        </w:rPr>
      </w:pPr>
    </w:p>
    <w:p w14:paraId="0D88354B">
      <w:pPr>
        <w:pStyle w:val="3"/>
        <w:ind w:firstLine="843"/>
        <w:rPr>
          <w:rFonts w:ascii="宋体" w:hAnsi="宋体" w:cs="宋体"/>
          <w:color w:val="auto"/>
          <w:highlight w:val="none"/>
        </w:rPr>
      </w:pPr>
    </w:p>
    <w:p w14:paraId="3D714235">
      <w:pPr>
        <w:pStyle w:val="3"/>
        <w:ind w:firstLine="843"/>
        <w:rPr>
          <w:rFonts w:ascii="宋体" w:hAnsi="宋体" w:cs="宋体"/>
          <w:color w:val="auto"/>
          <w:highlight w:val="none"/>
        </w:rPr>
      </w:pPr>
    </w:p>
    <w:p w14:paraId="3D05BB6D">
      <w:pPr>
        <w:pStyle w:val="3"/>
        <w:ind w:firstLine="843"/>
        <w:rPr>
          <w:rFonts w:ascii="宋体" w:hAnsi="宋体" w:cs="宋体"/>
          <w:color w:val="auto"/>
          <w:highlight w:val="none"/>
        </w:rPr>
      </w:pPr>
    </w:p>
    <w:p w14:paraId="1FF42C13">
      <w:pPr>
        <w:pStyle w:val="3"/>
        <w:ind w:firstLine="843"/>
        <w:rPr>
          <w:rFonts w:ascii="宋体" w:hAnsi="宋体" w:cs="宋体"/>
          <w:color w:val="auto"/>
          <w:highlight w:val="none"/>
        </w:rPr>
      </w:pPr>
    </w:p>
    <w:p w14:paraId="754BA8D2">
      <w:pPr>
        <w:pStyle w:val="3"/>
        <w:ind w:firstLine="843"/>
        <w:rPr>
          <w:rFonts w:ascii="宋体" w:hAnsi="宋体" w:cs="宋体"/>
          <w:color w:val="auto"/>
          <w:highlight w:val="none"/>
        </w:rPr>
      </w:pPr>
    </w:p>
    <w:p w14:paraId="72986AE9">
      <w:pPr>
        <w:pStyle w:val="3"/>
        <w:ind w:firstLine="843"/>
        <w:rPr>
          <w:rFonts w:ascii="宋体" w:hAnsi="宋体" w:cs="宋体"/>
          <w:color w:val="auto"/>
          <w:highlight w:val="none"/>
        </w:rPr>
      </w:pPr>
    </w:p>
    <w:p w14:paraId="5C4A58C4">
      <w:pPr>
        <w:pStyle w:val="3"/>
        <w:ind w:firstLine="843"/>
        <w:rPr>
          <w:rFonts w:ascii="宋体" w:hAnsi="宋体" w:cs="宋体"/>
          <w:color w:val="auto"/>
          <w:highlight w:val="none"/>
        </w:rPr>
      </w:pPr>
    </w:p>
    <w:p w14:paraId="2B3C353D">
      <w:pPr>
        <w:pStyle w:val="24"/>
        <w:spacing w:line="360" w:lineRule="auto"/>
        <w:ind w:left="648"/>
        <w:jc w:val="center"/>
        <w:rPr>
          <w:rFonts w:ascii="宋体" w:hAnsi="宋体" w:eastAsia="宋体" w:cs="宋体"/>
          <w:color w:val="auto"/>
          <w:sz w:val="84"/>
          <w:highlight w:val="none"/>
        </w:rPr>
      </w:pPr>
      <w:r>
        <w:rPr>
          <w:rFonts w:hint="eastAsia" w:ascii="宋体" w:hAnsi="宋体" w:eastAsia="宋体" w:cs="宋体"/>
          <w:color w:val="auto"/>
          <w:sz w:val="84"/>
          <w:highlight w:val="none"/>
        </w:rPr>
        <w:t>响 应 文 件</w:t>
      </w:r>
    </w:p>
    <w:p w14:paraId="3FD33D6D">
      <w:pPr>
        <w:pStyle w:val="24"/>
        <w:spacing w:line="360" w:lineRule="auto"/>
        <w:ind w:left="648"/>
        <w:rPr>
          <w:rFonts w:ascii="宋体" w:hAnsi="宋体" w:eastAsia="宋体" w:cs="宋体"/>
          <w:color w:val="auto"/>
          <w:highlight w:val="none"/>
        </w:rPr>
      </w:pPr>
    </w:p>
    <w:p w14:paraId="25E85764">
      <w:pPr>
        <w:pStyle w:val="24"/>
        <w:spacing w:line="360" w:lineRule="auto"/>
        <w:ind w:left="648"/>
        <w:rPr>
          <w:rFonts w:ascii="宋体" w:hAnsi="宋体" w:eastAsia="宋体" w:cs="宋体"/>
          <w:color w:val="auto"/>
          <w:highlight w:val="none"/>
        </w:rPr>
      </w:pPr>
    </w:p>
    <w:p w14:paraId="5D6D542B">
      <w:pPr>
        <w:pStyle w:val="24"/>
        <w:spacing w:line="360" w:lineRule="auto"/>
        <w:ind w:left="648"/>
        <w:rPr>
          <w:rFonts w:ascii="宋体" w:hAnsi="宋体" w:eastAsia="宋体" w:cs="宋体"/>
          <w:color w:val="auto"/>
          <w:highlight w:val="none"/>
        </w:rPr>
      </w:pPr>
    </w:p>
    <w:p w14:paraId="4642E258">
      <w:pPr>
        <w:pStyle w:val="24"/>
        <w:spacing w:line="360" w:lineRule="auto"/>
        <w:ind w:left="648"/>
        <w:rPr>
          <w:rFonts w:ascii="宋体" w:hAnsi="宋体" w:eastAsia="宋体" w:cs="宋体"/>
          <w:color w:val="auto"/>
          <w:highlight w:val="none"/>
        </w:rPr>
      </w:pPr>
    </w:p>
    <w:p w14:paraId="0EF212F4">
      <w:pPr>
        <w:pStyle w:val="24"/>
        <w:spacing w:line="360" w:lineRule="auto"/>
        <w:ind w:left="648"/>
        <w:rPr>
          <w:rFonts w:ascii="宋体" w:hAnsi="宋体" w:eastAsia="宋体" w:cs="宋体"/>
          <w:color w:val="auto"/>
          <w:highlight w:val="none"/>
        </w:rPr>
      </w:pPr>
    </w:p>
    <w:p w14:paraId="77CDCAF7">
      <w:pPr>
        <w:pStyle w:val="24"/>
        <w:spacing w:line="360" w:lineRule="auto"/>
        <w:ind w:left="648"/>
        <w:rPr>
          <w:rFonts w:ascii="宋体" w:hAnsi="宋体" w:eastAsia="宋体" w:cs="宋体"/>
          <w:color w:val="auto"/>
          <w:highlight w:val="none"/>
        </w:rPr>
      </w:pPr>
    </w:p>
    <w:p w14:paraId="2CF06C01">
      <w:pPr>
        <w:pStyle w:val="24"/>
        <w:spacing w:line="360" w:lineRule="auto"/>
        <w:ind w:left="648"/>
        <w:rPr>
          <w:rFonts w:ascii="宋体" w:hAnsi="宋体" w:eastAsia="宋体" w:cs="宋体"/>
          <w:color w:val="auto"/>
          <w:highlight w:val="none"/>
        </w:rPr>
      </w:pPr>
    </w:p>
    <w:p w14:paraId="1E6C2906">
      <w:pPr>
        <w:pStyle w:val="24"/>
        <w:spacing w:line="360" w:lineRule="auto"/>
        <w:ind w:left="648"/>
        <w:rPr>
          <w:rFonts w:ascii="宋体" w:hAnsi="宋体" w:eastAsia="宋体" w:cs="宋体"/>
          <w:color w:val="auto"/>
          <w:highlight w:val="none"/>
        </w:rPr>
      </w:pPr>
    </w:p>
    <w:p w14:paraId="366E89AC">
      <w:pPr>
        <w:pStyle w:val="24"/>
        <w:spacing w:line="360" w:lineRule="auto"/>
        <w:ind w:left="648"/>
        <w:rPr>
          <w:rFonts w:ascii="宋体" w:hAnsi="宋体" w:eastAsia="宋体" w:cs="宋体"/>
          <w:color w:val="auto"/>
          <w:highlight w:val="none"/>
        </w:rPr>
      </w:pPr>
    </w:p>
    <w:p w14:paraId="49A451B1">
      <w:pPr>
        <w:pStyle w:val="24"/>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采购编号：</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 xml:space="preserve">广建咨询（东招）2024-0149号 </w:t>
      </w:r>
    </w:p>
    <w:p w14:paraId="3FDED4B5">
      <w:pPr>
        <w:pStyle w:val="24"/>
        <w:spacing w:line="360" w:lineRule="auto"/>
        <w:ind w:left="648"/>
        <w:rPr>
          <w:rFonts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东莞市水务集团有限公司2025年直购电采购项目</w:t>
      </w:r>
    </w:p>
    <w:p w14:paraId="629302B0">
      <w:pPr>
        <w:pStyle w:val="24"/>
        <w:spacing w:line="360" w:lineRule="auto"/>
        <w:ind w:left="648"/>
        <w:rPr>
          <w:rFonts w:ascii="宋体" w:hAnsi="宋体" w:eastAsia="宋体" w:cs="宋体"/>
          <w:color w:val="auto"/>
          <w:sz w:val="30"/>
          <w:highlight w:val="none"/>
          <w:u w:val="single"/>
        </w:rPr>
      </w:pPr>
      <w:r>
        <w:rPr>
          <w:rFonts w:hint="eastAsia" w:ascii="宋体" w:hAnsi="宋体" w:eastAsia="宋体" w:cs="宋体"/>
          <w:color w:val="auto"/>
          <w:sz w:val="30"/>
          <w:highlight w:val="none"/>
        </w:rPr>
        <w:t>响应文件内容：</w:t>
      </w:r>
      <w:r>
        <w:rPr>
          <w:rFonts w:hint="eastAsia" w:ascii="宋体" w:hAnsi="宋体" w:eastAsia="宋体" w:cs="宋体"/>
          <w:color w:val="auto"/>
          <w:sz w:val="30"/>
          <w:highlight w:val="none"/>
          <w:u w:val="single"/>
        </w:rPr>
        <w:t xml:space="preserve"> 响应文件技术部分 </w:t>
      </w:r>
    </w:p>
    <w:p w14:paraId="3CDAF919">
      <w:pPr>
        <w:pStyle w:val="24"/>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采购人：</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zh-CN"/>
        </w:rPr>
        <w:t>东莞市水务集团有限公司</w:t>
      </w:r>
      <w:r>
        <w:rPr>
          <w:rFonts w:hint="eastAsia" w:ascii="宋体" w:hAnsi="宋体" w:eastAsia="宋体" w:cs="宋体"/>
          <w:color w:val="auto"/>
          <w:sz w:val="30"/>
          <w:highlight w:val="none"/>
          <w:u w:val="single"/>
        </w:rPr>
        <w:t xml:space="preserve"> </w:t>
      </w:r>
    </w:p>
    <w:p w14:paraId="379301C9">
      <w:pPr>
        <w:pStyle w:val="24"/>
        <w:spacing w:line="360" w:lineRule="auto"/>
        <w:ind w:left="648"/>
        <w:rPr>
          <w:rFonts w:ascii="宋体" w:hAnsi="宋体" w:eastAsia="宋体" w:cs="宋体"/>
          <w:color w:val="auto"/>
          <w:sz w:val="30"/>
          <w:highlight w:val="none"/>
          <w:u w:val="single"/>
        </w:rPr>
      </w:pPr>
      <w:r>
        <w:rPr>
          <w:rFonts w:hint="eastAsia" w:ascii="宋体" w:hAnsi="宋体" w:eastAsia="宋体" w:cs="宋体"/>
          <w:color w:val="auto"/>
          <w:sz w:val="30"/>
          <w:highlight w:val="none"/>
        </w:rPr>
        <w:t>供应商：</w:t>
      </w:r>
      <w:r>
        <w:rPr>
          <w:rFonts w:hint="eastAsia" w:ascii="宋体" w:hAnsi="宋体" w:eastAsia="宋体" w:cs="宋体"/>
          <w:color w:val="auto"/>
          <w:sz w:val="30"/>
          <w:highlight w:val="none"/>
          <w:u w:val="single"/>
        </w:rPr>
        <w:t xml:space="preserve">                        </w:t>
      </w:r>
    </w:p>
    <w:p w14:paraId="1DB83D5C">
      <w:pPr>
        <w:pStyle w:val="24"/>
        <w:spacing w:line="360" w:lineRule="auto"/>
        <w:ind w:left="648"/>
        <w:rPr>
          <w:rFonts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016B4E2">
      <w:pPr>
        <w:rPr>
          <w:color w:val="auto"/>
          <w:highlight w:val="none"/>
        </w:rPr>
      </w:pPr>
    </w:p>
    <w:p w14:paraId="4226205D">
      <w:pPr>
        <w:rPr>
          <w:color w:val="auto"/>
          <w:highlight w:val="none"/>
        </w:rPr>
      </w:pPr>
    </w:p>
    <w:p w14:paraId="4BB45698">
      <w:pPr>
        <w:rPr>
          <w:color w:val="auto"/>
          <w:highlight w:val="none"/>
        </w:rPr>
      </w:pPr>
    </w:p>
    <w:p w14:paraId="606AD1A5">
      <w:pPr>
        <w:rPr>
          <w:color w:val="auto"/>
          <w:highlight w:val="none"/>
        </w:rPr>
      </w:pPr>
    </w:p>
    <w:p w14:paraId="7CF98B44">
      <w:pPr>
        <w:rPr>
          <w:color w:val="auto"/>
          <w:highlight w:val="none"/>
        </w:rPr>
      </w:pPr>
    </w:p>
    <w:p w14:paraId="0C60B83A">
      <w:pPr>
        <w:rPr>
          <w:color w:val="auto"/>
          <w:highlight w:val="none"/>
        </w:rPr>
      </w:pPr>
    </w:p>
    <w:p w14:paraId="75883ABF">
      <w:pPr>
        <w:rPr>
          <w:color w:val="auto"/>
          <w:highlight w:val="none"/>
        </w:rPr>
      </w:pPr>
      <w:r>
        <w:rPr>
          <w:rFonts w:hint="eastAsia"/>
          <w:color w:val="auto"/>
          <w:highlight w:val="none"/>
        </w:rPr>
        <w:br w:type="page"/>
      </w:r>
      <w:bookmarkEnd w:id="382"/>
      <w:bookmarkEnd w:id="383"/>
      <w:bookmarkEnd w:id="398"/>
      <w:bookmarkStart w:id="412" w:name="_Toc56076635"/>
      <w:bookmarkStart w:id="413" w:name="_Toc3742"/>
      <w:bookmarkStart w:id="414" w:name="_Toc3277"/>
      <w:bookmarkStart w:id="415" w:name="_Toc79146608"/>
      <w:bookmarkStart w:id="416" w:name="_Toc11360"/>
    </w:p>
    <w:bookmarkEnd w:id="412"/>
    <w:bookmarkEnd w:id="413"/>
    <w:bookmarkEnd w:id="414"/>
    <w:bookmarkEnd w:id="415"/>
    <w:bookmarkEnd w:id="416"/>
    <w:p w14:paraId="06429BA4">
      <w:pPr>
        <w:tabs>
          <w:tab w:val="left" w:pos="567"/>
        </w:tabs>
        <w:spacing w:line="360" w:lineRule="auto"/>
        <w:rPr>
          <w:rFonts w:ascii="宋体" w:hAnsi="宋体" w:cs="宋体"/>
          <w:b/>
          <w:color w:val="auto"/>
          <w:sz w:val="30"/>
          <w:szCs w:val="30"/>
          <w:highlight w:val="none"/>
        </w:rPr>
      </w:pPr>
      <w:bookmarkStart w:id="417" w:name="_Toc30448"/>
      <w:bookmarkStart w:id="418" w:name="_Toc27934"/>
      <w:bookmarkStart w:id="419" w:name="_Toc18999"/>
      <w:bookmarkStart w:id="420" w:name="_Toc31049"/>
      <w:bookmarkStart w:id="421" w:name="_Toc56076639"/>
      <w:bookmarkStart w:id="422" w:name="_Toc79146610"/>
      <w:bookmarkStart w:id="423" w:name="_Toc12153"/>
      <w:bookmarkStart w:id="424" w:name="_Toc41571412"/>
      <w:bookmarkStart w:id="425" w:name="_Toc79146609"/>
      <w:bookmarkStart w:id="426" w:name="_Toc14292"/>
      <w:bookmarkStart w:id="427" w:name="_Toc19008834"/>
      <w:bookmarkStart w:id="428" w:name="_Toc495907137"/>
      <w:bookmarkStart w:id="429" w:name="_Toc1123961"/>
      <w:bookmarkStart w:id="430" w:name="_Toc5098078"/>
      <w:bookmarkStart w:id="431" w:name="_Toc521918131"/>
      <w:bookmarkStart w:id="432" w:name="_Toc54334016"/>
      <w:bookmarkStart w:id="433" w:name="_Toc497746567"/>
      <w:bookmarkStart w:id="434" w:name="_Toc490169467"/>
      <w:r>
        <w:rPr>
          <w:rFonts w:hint="eastAsia" w:ascii="宋体" w:hAnsi="宋体" w:cs="宋体"/>
          <w:b/>
          <w:color w:val="auto"/>
          <w:sz w:val="30"/>
          <w:szCs w:val="30"/>
          <w:highlight w:val="none"/>
        </w:rPr>
        <w:t>9.1 用户需求偏离表格式</w:t>
      </w:r>
      <w:bookmarkEnd w:id="417"/>
      <w:bookmarkEnd w:id="418"/>
      <w:bookmarkEnd w:id="419"/>
    </w:p>
    <w:p w14:paraId="44598592">
      <w:pPr>
        <w:spacing w:before="120" w:after="120" w:line="360" w:lineRule="auto"/>
        <w:jc w:val="center"/>
        <w:rPr>
          <w:rFonts w:ascii="宋体" w:hAnsi="宋体" w:cs="宋体"/>
          <w:color w:val="auto"/>
          <w:szCs w:val="21"/>
          <w:highlight w:val="none"/>
        </w:rPr>
      </w:pPr>
      <w:bookmarkStart w:id="435" w:name="_Toc17449_WPSOffice_Level3"/>
      <w:r>
        <w:rPr>
          <w:rFonts w:hint="eastAsia" w:ascii="宋体" w:hAnsi="宋体" w:cs="宋体"/>
          <w:b/>
          <w:color w:val="auto"/>
          <w:sz w:val="30"/>
          <w:szCs w:val="30"/>
          <w:highlight w:val="none"/>
          <w:lang w:val="zh-CN"/>
        </w:rPr>
        <w:t>用户需求偏离表</w:t>
      </w:r>
      <w:bookmarkEnd w:id="435"/>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53"/>
        <w:gridCol w:w="5743"/>
        <w:gridCol w:w="646"/>
        <w:gridCol w:w="776"/>
        <w:gridCol w:w="734"/>
      </w:tblGrid>
      <w:tr w14:paraId="5F5E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39660536">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551" w:type="pct"/>
            <w:gridSpan w:val="2"/>
            <w:vAlign w:val="center"/>
          </w:tcPr>
          <w:p w14:paraId="19E2B3EC">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竞争性谈判文件要求</w:t>
            </w:r>
          </w:p>
        </w:tc>
        <w:tc>
          <w:tcPr>
            <w:tcW w:w="1160" w:type="pct"/>
            <w:gridSpan w:val="3"/>
            <w:vAlign w:val="center"/>
          </w:tcPr>
          <w:p w14:paraId="291D2D44">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响应文件内容</w:t>
            </w:r>
          </w:p>
        </w:tc>
      </w:tr>
      <w:tr w14:paraId="0888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288" w:type="pct"/>
            <w:vMerge w:val="continue"/>
            <w:vAlign w:val="center"/>
          </w:tcPr>
          <w:p w14:paraId="4220A88C">
            <w:pPr>
              <w:keepNext/>
              <w:keepLines/>
              <w:spacing w:line="400" w:lineRule="exact"/>
              <w:jc w:val="center"/>
              <w:rPr>
                <w:rFonts w:ascii="宋体" w:hAnsi="宋体" w:cs="宋体"/>
                <w:color w:val="auto"/>
                <w:sz w:val="21"/>
                <w:szCs w:val="21"/>
                <w:highlight w:val="none"/>
              </w:rPr>
            </w:pPr>
          </w:p>
        </w:tc>
        <w:tc>
          <w:tcPr>
            <w:tcW w:w="459" w:type="pct"/>
            <w:vAlign w:val="center"/>
          </w:tcPr>
          <w:p w14:paraId="79EEEDA1">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条款号</w:t>
            </w:r>
          </w:p>
        </w:tc>
        <w:tc>
          <w:tcPr>
            <w:tcW w:w="3092" w:type="pct"/>
            <w:vAlign w:val="center"/>
          </w:tcPr>
          <w:p w14:paraId="5E1F3378">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简要内容</w:t>
            </w:r>
          </w:p>
        </w:tc>
        <w:tc>
          <w:tcPr>
            <w:tcW w:w="348" w:type="pct"/>
            <w:vAlign w:val="center"/>
          </w:tcPr>
          <w:p w14:paraId="6E0677B4">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偏离情况</w:t>
            </w:r>
          </w:p>
        </w:tc>
        <w:tc>
          <w:tcPr>
            <w:tcW w:w="418" w:type="pct"/>
            <w:vAlign w:val="center"/>
          </w:tcPr>
          <w:p w14:paraId="092B30ED">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实质性响应的具体内容</w:t>
            </w:r>
          </w:p>
        </w:tc>
        <w:tc>
          <w:tcPr>
            <w:tcW w:w="393" w:type="pct"/>
            <w:vAlign w:val="center"/>
          </w:tcPr>
          <w:p w14:paraId="5900A360">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对应证明材料页码</w:t>
            </w:r>
          </w:p>
        </w:tc>
      </w:tr>
      <w:tr w14:paraId="2FA0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79557C69">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459" w:type="pct"/>
            <w:vAlign w:val="center"/>
          </w:tcPr>
          <w:p w14:paraId="5F92CE1D">
            <w:pPr>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3092" w:type="pct"/>
            <w:vAlign w:val="center"/>
          </w:tcPr>
          <w:p w14:paraId="1DFA260C">
            <w:pPr>
              <w:rPr>
                <w:rFonts w:ascii="宋体" w:hAnsi="宋体" w:cs="宋体"/>
                <w:color w:val="auto"/>
                <w:sz w:val="21"/>
                <w:szCs w:val="21"/>
                <w:highlight w:val="none"/>
              </w:rPr>
            </w:pPr>
            <w:r>
              <w:rPr>
                <w:rFonts w:hint="eastAsia" w:ascii="宋体" w:hAnsi="宋体" w:cs="宋体"/>
                <w:color w:val="auto"/>
                <w:sz w:val="21"/>
                <w:szCs w:val="21"/>
                <w:highlight w:val="none"/>
              </w:rPr>
              <w:t>项目规模</w:t>
            </w:r>
          </w:p>
        </w:tc>
        <w:tc>
          <w:tcPr>
            <w:tcW w:w="348" w:type="pct"/>
            <w:vAlign w:val="center"/>
          </w:tcPr>
          <w:p w14:paraId="20926956">
            <w:pPr>
              <w:keepNext/>
              <w:keepLines/>
              <w:spacing w:line="400" w:lineRule="exact"/>
              <w:jc w:val="center"/>
              <w:rPr>
                <w:rFonts w:ascii="宋体" w:hAnsi="宋体" w:cs="宋体"/>
                <w:color w:val="auto"/>
                <w:sz w:val="21"/>
                <w:szCs w:val="21"/>
                <w:highlight w:val="none"/>
              </w:rPr>
            </w:pPr>
          </w:p>
        </w:tc>
        <w:tc>
          <w:tcPr>
            <w:tcW w:w="418" w:type="pct"/>
            <w:vAlign w:val="center"/>
          </w:tcPr>
          <w:p w14:paraId="2BDFCCF4">
            <w:pPr>
              <w:keepNext/>
              <w:keepLines/>
              <w:spacing w:line="400" w:lineRule="exact"/>
              <w:jc w:val="center"/>
              <w:rPr>
                <w:rFonts w:ascii="宋体" w:hAnsi="宋体" w:cs="宋体"/>
                <w:color w:val="auto"/>
                <w:sz w:val="21"/>
                <w:szCs w:val="21"/>
                <w:highlight w:val="none"/>
              </w:rPr>
            </w:pPr>
          </w:p>
        </w:tc>
        <w:tc>
          <w:tcPr>
            <w:tcW w:w="393" w:type="pct"/>
            <w:vAlign w:val="center"/>
          </w:tcPr>
          <w:p w14:paraId="43C675C5">
            <w:pPr>
              <w:keepNext/>
              <w:keepLines/>
              <w:spacing w:line="400" w:lineRule="exact"/>
              <w:jc w:val="center"/>
              <w:rPr>
                <w:rFonts w:ascii="宋体" w:hAnsi="宋体" w:cs="宋体"/>
                <w:color w:val="auto"/>
                <w:sz w:val="21"/>
                <w:szCs w:val="21"/>
                <w:highlight w:val="none"/>
              </w:rPr>
            </w:pPr>
          </w:p>
        </w:tc>
      </w:tr>
      <w:tr w14:paraId="7C3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B6BB4D4">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459" w:type="pct"/>
            <w:vAlign w:val="center"/>
          </w:tcPr>
          <w:p w14:paraId="7E0516C8">
            <w:pPr>
              <w:jc w:val="cente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092" w:type="pct"/>
            <w:vAlign w:val="center"/>
          </w:tcPr>
          <w:p w14:paraId="2447FAD5">
            <w:pPr>
              <w:snapToGrid w:val="0"/>
              <w:rPr>
                <w:rFonts w:ascii="宋体" w:hAnsi="宋体" w:cs="宋体"/>
                <w:color w:val="auto"/>
                <w:sz w:val="21"/>
                <w:szCs w:val="21"/>
                <w:highlight w:val="none"/>
              </w:rPr>
            </w:pPr>
            <w:r>
              <w:rPr>
                <w:rFonts w:hint="eastAsia" w:ascii="宋体" w:hAnsi="宋体" w:cs="宋体"/>
                <w:color w:val="auto"/>
                <w:sz w:val="21"/>
                <w:szCs w:val="21"/>
                <w:highlight w:val="none"/>
              </w:rPr>
              <w:t>项目周期</w:t>
            </w:r>
          </w:p>
        </w:tc>
        <w:tc>
          <w:tcPr>
            <w:tcW w:w="348" w:type="pct"/>
            <w:vAlign w:val="center"/>
          </w:tcPr>
          <w:p w14:paraId="786E80BC">
            <w:pPr>
              <w:keepNext/>
              <w:keepLines/>
              <w:spacing w:line="400" w:lineRule="exact"/>
              <w:jc w:val="center"/>
              <w:rPr>
                <w:rFonts w:ascii="宋体" w:hAnsi="宋体" w:cs="宋体"/>
                <w:color w:val="auto"/>
                <w:sz w:val="21"/>
                <w:szCs w:val="21"/>
                <w:highlight w:val="none"/>
              </w:rPr>
            </w:pPr>
          </w:p>
        </w:tc>
        <w:tc>
          <w:tcPr>
            <w:tcW w:w="418" w:type="pct"/>
            <w:vAlign w:val="center"/>
          </w:tcPr>
          <w:p w14:paraId="424DB7D0">
            <w:pPr>
              <w:keepNext/>
              <w:keepLines/>
              <w:spacing w:line="400" w:lineRule="exact"/>
              <w:jc w:val="center"/>
              <w:rPr>
                <w:rFonts w:ascii="宋体" w:hAnsi="宋体" w:cs="宋体"/>
                <w:color w:val="auto"/>
                <w:sz w:val="21"/>
                <w:szCs w:val="21"/>
                <w:highlight w:val="none"/>
              </w:rPr>
            </w:pPr>
          </w:p>
        </w:tc>
        <w:tc>
          <w:tcPr>
            <w:tcW w:w="393" w:type="pct"/>
            <w:vAlign w:val="center"/>
          </w:tcPr>
          <w:p w14:paraId="3A9188CB">
            <w:pPr>
              <w:keepNext/>
              <w:keepLines/>
              <w:spacing w:line="400" w:lineRule="exact"/>
              <w:jc w:val="center"/>
              <w:rPr>
                <w:rFonts w:ascii="宋体" w:hAnsi="宋体" w:cs="宋体"/>
                <w:color w:val="auto"/>
                <w:sz w:val="21"/>
                <w:szCs w:val="21"/>
                <w:highlight w:val="none"/>
              </w:rPr>
            </w:pPr>
          </w:p>
        </w:tc>
      </w:tr>
      <w:tr w14:paraId="15C2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C85BC80">
            <w:pPr>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459" w:type="pct"/>
            <w:vAlign w:val="center"/>
          </w:tcPr>
          <w:p w14:paraId="419D4C66">
            <w:pPr>
              <w:jc w:val="center"/>
              <w:rPr>
                <w:rFonts w:ascii="宋体" w:hAnsi="宋体" w:cs="宋体"/>
                <w:color w:val="auto"/>
                <w:sz w:val="21"/>
                <w:szCs w:val="21"/>
                <w:highlight w:val="none"/>
              </w:rPr>
            </w:pPr>
            <w:r>
              <w:rPr>
                <w:rFonts w:hint="eastAsia" w:ascii="宋体" w:hAnsi="宋体" w:cs="宋体"/>
                <w:color w:val="auto"/>
                <w:sz w:val="21"/>
                <w:szCs w:val="21"/>
                <w:highlight w:val="none"/>
              </w:rPr>
              <w:t>三</w:t>
            </w:r>
          </w:p>
        </w:tc>
        <w:tc>
          <w:tcPr>
            <w:tcW w:w="3092" w:type="pct"/>
            <w:vAlign w:val="center"/>
          </w:tcPr>
          <w:p w14:paraId="4A88ACFC">
            <w:pPr>
              <w:rPr>
                <w:rFonts w:ascii="宋体" w:hAnsi="宋体" w:cs="宋体"/>
                <w:color w:val="auto"/>
                <w:sz w:val="21"/>
                <w:szCs w:val="21"/>
                <w:highlight w:val="none"/>
              </w:rPr>
            </w:pPr>
            <w:r>
              <w:rPr>
                <w:rFonts w:hint="eastAsia" w:ascii="宋体" w:hAnsi="宋体" w:cs="宋体"/>
                <w:color w:val="auto"/>
                <w:sz w:val="21"/>
                <w:szCs w:val="21"/>
                <w:highlight w:val="none"/>
              </w:rPr>
              <w:t>用电方办理直购电交易资格的方式</w:t>
            </w:r>
          </w:p>
        </w:tc>
        <w:tc>
          <w:tcPr>
            <w:tcW w:w="348" w:type="pct"/>
            <w:vAlign w:val="center"/>
          </w:tcPr>
          <w:p w14:paraId="786127C5">
            <w:pPr>
              <w:keepNext/>
              <w:keepLines/>
              <w:spacing w:line="400" w:lineRule="exact"/>
              <w:jc w:val="center"/>
              <w:rPr>
                <w:rFonts w:ascii="宋体" w:hAnsi="宋体" w:cs="宋体"/>
                <w:color w:val="auto"/>
                <w:sz w:val="21"/>
                <w:szCs w:val="21"/>
                <w:highlight w:val="none"/>
              </w:rPr>
            </w:pPr>
          </w:p>
        </w:tc>
        <w:tc>
          <w:tcPr>
            <w:tcW w:w="418" w:type="pct"/>
            <w:vAlign w:val="center"/>
          </w:tcPr>
          <w:p w14:paraId="423FA3CE">
            <w:pPr>
              <w:keepNext/>
              <w:keepLines/>
              <w:spacing w:line="400" w:lineRule="exact"/>
              <w:jc w:val="center"/>
              <w:rPr>
                <w:rFonts w:ascii="宋体" w:hAnsi="宋体" w:cs="宋体"/>
                <w:color w:val="auto"/>
                <w:sz w:val="21"/>
                <w:szCs w:val="21"/>
                <w:highlight w:val="none"/>
              </w:rPr>
            </w:pPr>
          </w:p>
        </w:tc>
        <w:tc>
          <w:tcPr>
            <w:tcW w:w="393" w:type="pct"/>
            <w:vAlign w:val="center"/>
          </w:tcPr>
          <w:p w14:paraId="1E7BFDC4">
            <w:pPr>
              <w:keepNext/>
              <w:keepLines/>
              <w:spacing w:line="400" w:lineRule="exact"/>
              <w:jc w:val="center"/>
              <w:rPr>
                <w:rFonts w:ascii="宋体" w:hAnsi="宋体" w:cs="宋体"/>
                <w:color w:val="auto"/>
                <w:sz w:val="21"/>
                <w:szCs w:val="21"/>
                <w:highlight w:val="none"/>
              </w:rPr>
            </w:pPr>
          </w:p>
        </w:tc>
      </w:tr>
      <w:tr w14:paraId="5694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3DF3826">
            <w:pPr>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459" w:type="pct"/>
            <w:vAlign w:val="center"/>
          </w:tcPr>
          <w:p w14:paraId="5579F819">
            <w:pPr>
              <w:jc w:val="center"/>
              <w:rPr>
                <w:rFonts w:ascii="宋体" w:hAnsi="宋体" w:cs="宋体"/>
                <w:color w:val="auto"/>
                <w:sz w:val="21"/>
                <w:szCs w:val="21"/>
                <w:highlight w:val="none"/>
              </w:rPr>
            </w:pPr>
            <w:r>
              <w:rPr>
                <w:rFonts w:hint="eastAsia" w:ascii="宋体" w:hAnsi="宋体" w:cs="宋体"/>
                <w:color w:val="auto"/>
                <w:sz w:val="21"/>
                <w:szCs w:val="21"/>
                <w:highlight w:val="none"/>
              </w:rPr>
              <w:t>四</w:t>
            </w:r>
          </w:p>
        </w:tc>
        <w:tc>
          <w:tcPr>
            <w:tcW w:w="3092" w:type="pct"/>
            <w:vAlign w:val="center"/>
          </w:tcPr>
          <w:p w14:paraId="432FBF4F">
            <w:pPr>
              <w:rPr>
                <w:rFonts w:ascii="宋体" w:hAnsi="宋体" w:cs="宋体"/>
                <w:color w:val="auto"/>
                <w:sz w:val="21"/>
                <w:szCs w:val="21"/>
                <w:highlight w:val="none"/>
              </w:rPr>
            </w:pPr>
            <w:r>
              <w:rPr>
                <w:rFonts w:hint="eastAsia" w:ascii="宋体" w:hAnsi="宋体" w:cs="宋体"/>
                <w:color w:val="auto"/>
                <w:sz w:val="21"/>
                <w:szCs w:val="21"/>
                <w:highlight w:val="none"/>
              </w:rPr>
              <w:t>交易模式</w:t>
            </w:r>
          </w:p>
        </w:tc>
        <w:tc>
          <w:tcPr>
            <w:tcW w:w="348" w:type="pct"/>
            <w:vAlign w:val="center"/>
          </w:tcPr>
          <w:p w14:paraId="19CB0694">
            <w:pPr>
              <w:keepNext/>
              <w:keepLines/>
              <w:spacing w:line="400" w:lineRule="exact"/>
              <w:jc w:val="center"/>
              <w:rPr>
                <w:rFonts w:ascii="宋体" w:hAnsi="宋体" w:cs="宋体"/>
                <w:color w:val="auto"/>
                <w:sz w:val="21"/>
                <w:szCs w:val="21"/>
                <w:highlight w:val="none"/>
              </w:rPr>
            </w:pPr>
          </w:p>
        </w:tc>
        <w:tc>
          <w:tcPr>
            <w:tcW w:w="418" w:type="pct"/>
            <w:vAlign w:val="center"/>
          </w:tcPr>
          <w:p w14:paraId="1CC81D2E">
            <w:pPr>
              <w:keepNext/>
              <w:keepLines/>
              <w:spacing w:line="400" w:lineRule="exact"/>
              <w:jc w:val="center"/>
              <w:rPr>
                <w:rFonts w:ascii="宋体" w:hAnsi="宋体" w:cs="宋体"/>
                <w:color w:val="auto"/>
                <w:sz w:val="21"/>
                <w:szCs w:val="21"/>
                <w:highlight w:val="none"/>
              </w:rPr>
            </w:pPr>
          </w:p>
        </w:tc>
        <w:tc>
          <w:tcPr>
            <w:tcW w:w="393" w:type="pct"/>
            <w:vAlign w:val="center"/>
          </w:tcPr>
          <w:p w14:paraId="44143724">
            <w:pPr>
              <w:keepNext/>
              <w:keepLines/>
              <w:spacing w:line="400" w:lineRule="exact"/>
              <w:jc w:val="center"/>
              <w:rPr>
                <w:rFonts w:ascii="宋体" w:hAnsi="宋体" w:cs="宋体"/>
                <w:color w:val="auto"/>
                <w:sz w:val="21"/>
                <w:szCs w:val="21"/>
                <w:highlight w:val="none"/>
              </w:rPr>
            </w:pPr>
          </w:p>
        </w:tc>
      </w:tr>
      <w:tr w14:paraId="76B7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F8A3D87">
            <w:pPr>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459" w:type="pct"/>
            <w:vAlign w:val="center"/>
          </w:tcPr>
          <w:p w14:paraId="45672CF3">
            <w:pPr>
              <w:jc w:val="center"/>
              <w:rPr>
                <w:rFonts w:ascii="宋体" w:hAnsi="宋体" w:cs="宋体"/>
                <w:color w:val="auto"/>
                <w:sz w:val="21"/>
                <w:szCs w:val="21"/>
                <w:highlight w:val="none"/>
              </w:rPr>
            </w:pPr>
            <w:r>
              <w:rPr>
                <w:rFonts w:hint="eastAsia" w:ascii="宋体" w:hAnsi="宋体" w:cs="宋体"/>
                <w:color w:val="auto"/>
                <w:sz w:val="21"/>
                <w:szCs w:val="21"/>
                <w:highlight w:val="none"/>
              </w:rPr>
              <w:t>五</w:t>
            </w:r>
          </w:p>
        </w:tc>
        <w:tc>
          <w:tcPr>
            <w:tcW w:w="3092" w:type="pct"/>
            <w:vAlign w:val="center"/>
          </w:tcPr>
          <w:p w14:paraId="22343601">
            <w:pPr>
              <w:rPr>
                <w:rFonts w:ascii="宋体" w:hAnsi="宋体" w:cs="宋体"/>
                <w:color w:val="auto"/>
                <w:sz w:val="21"/>
                <w:szCs w:val="21"/>
                <w:highlight w:val="none"/>
              </w:rPr>
            </w:pPr>
            <w:r>
              <w:rPr>
                <w:rFonts w:hint="eastAsia" w:ascii="宋体" w:hAnsi="宋体" w:cs="宋体"/>
                <w:color w:val="auto"/>
                <w:sz w:val="21"/>
                <w:szCs w:val="21"/>
                <w:highlight w:val="none"/>
              </w:rPr>
              <w:t>采购方式</w:t>
            </w:r>
          </w:p>
        </w:tc>
        <w:tc>
          <w:tcPr>
            <w:tcW w:w="348" w:type="pct"/>
            <w:vAlign w:val="center"/>
          </w:tcPr>
          <w:p w14:paraId="48088207">
            <w:pPr>
              <w:keepNext/>
              <w:keepLines/>
              <w:spacing w:line="400" w:lineRule="exact"/>
              <w:jc w:val="center"/>
              <w:rPr>
                <w:rFonts w:ascii="宋体" w:hAnsi="宋体" w:cs="宋体"/>
                <w:color w:val="auto"/>
                <w:sz w:val="21"/>
                <w:szCs w:val="21"/>
                <w:highlight w:val="none"/>
              </w:rPr>
            </w:pPr>
          </w:p>
        </w:tc>
        <w:tc>
          <w:tcPr>
            <w:tcW w:w="418" w:type="pct"/>
            <w:vAlign w:val="center"/>
          </w:tcPr>
          <w:p w14:paraId="09713331">
            <w:pPr>
              <w:keepNext/>
              <w:keepLines/>
              <w:spacing w:line="400" w:lineRule="exact"/>
              <w:jc w:val="center"/>
              <w:rPr>
                <w:rFonts w:ascii="宋体" w:hAnsi="宋体" w:cs="宋体"/>
                <w:color w:val="auto"/>
                <w:sz w:val="21"/>
                <w:szCs w:val="21"/>
                <w:highlight w:val="none"/>
              </w:rPr>
            </w:pPr>
          </w:p>
        </w:tc>
        <w:tc>
          <w:tcPr>
            <w:tcW w:w="393" w:type="pct"/>
            <w:vAlign w:val="center"/>
          </w:tcPr>
          <w:p w14:paraId="56C5A0D0">
            <w:pPr>
              <w:keepNext/>
              <w:keepLines/>
              <w:spacing w:line="400" w:lineRule="exact"/>
              <w:jc w:val="center"/>
              <w:rPr>
                <w:rFonts w:ascii="宋体" w:hAnsi="宋体" w:cs="宋体"/>
                <w:color w:val="auto"/>
                <w:sz w:val="21"/>
                <w:szCs w:val="21"/>
                <w:highlight w:val="none"/>
              </w:rPr>
            </w:pPr>
          </w:p>
        </w:tc>
      </w:tr>
      <w:tr w14:paraId="6CD3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B481068">
            <w:pPr>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459" w:type="pct"/>
            <w:vAlign w:val="center"/>
          </w:tcPr>
          <w:p w14:paraId="46AA5666">
            <w:pPr>
              <w:jc w:val="center"/>
              <w:rPr>
                <w:rFonts w:ascii="宋体" w:hAnsi="宋体" w:cs="宋体"/>
                <w:color w:val="auto"/>
                <w:sz w:val="21"/>
                <w:szCs w:val="21"/>
                <w:highlight w:val="none"/>
              </w:rPr>
            </w:pPr>
            <w:r>
              <w:rPr>
                <w:rFonts w:hint="eastAsia" w:ascii="宋体" w:hAnsi="宋体" w:cs="宋体"/>
                <w:color w:val="auto"/>
                <w:sz w:val="21"/>
                <w:szCs w:val="21"/>
                <w:highlight w:val="none"/>
              </w:rPr>
              <w:t>六</w:t>
            </w:r>
          </w:p>
        </w:tc>
        <w:tc>
          <w:tcPr>
            <w:tcW w:w="3092" w:type="pct"/>
            <w:vAlign w:val="center"/>
          </w:tcPr>
          <w:p w14:paraId="0FC16132">
            <w:pPr>
              <w:rPr>
                <w:rFonts w:ascii="宋体" w:hAnsi="宋体" w:cs="宋体"/>
                <w:color w:val="auto"/>
                <w:sz w:val="21"/>
                <w:szCs w:val="21"/>
                <w:highlight w:val="none"/>
              </w:rPr>
            </w:pPr>
            <w:r>
              <w:rPr>
                <w:rFonts w:hint="eastAsia" w:ascii="宋体" w:hAnsi="宋体" w:cs="宋体"/>
                <w:color w:val="auto"/>
                <w:sz w:val="21"/>
                <w:szCs w:val="21"/>
                <w:highlight w:val="none"/>
              </w:rPr>
              <w:t>签约方式</w:t>
            </w:r>
          </w:p>
        </w:tc>
        <w:tc>
          <w:tcPr>
            <w:tcW w:w="348" w:type="pct"/>
            <w:vAlign w:val="center"/>
          </w:tcPr>
          <w:p w14:paraId="08BA825A">
            <w:pPr>
              <w:keepNext/>
              <w:keepLines/>
              <w:spacing w:line="400" w:lineRule="exact"/>
              <w:jc w:val="center"/>
              <w:rPr>
                <w:rFonts w:ascii="宋体" w:hAnsi="宋体" w:cs="宋体"/>
                <w:color w:val="auto"/>
                <w:sz w:val="21"/>
                <w:szCs w:val="21"/>
                <w:highlight w:val="none"/>
              </w:rPr>
            </w:pPr>
          </w:p>
        </w:tc>
        <w:tc>
          <w:tcPr>
            <w:tcW w:w="418" w:type="pct"/>
            <w:vAlign w:val="center"/>
          </w:tcPr>
          <w:p w14:paraId="7627593C">
            <w:pPr>
              <w:keepNext/>
              <w:keepLines/>
              <w:spacing w:line="400" w:lineRule="exact"/>
              <w:jc w:val="center"/>
              <w:rPr>
                <w:rFonts w:ascii="宋体" w:hAnsi="宋体" w:cs="宋体"/>
                <w:color w:val="auto"/>
                <w:sz w:val="21"/>
                <w:szCs w:val="21"/>
                <w:highlight w:val="none"/>
              </w:rPr>
            </w:pPr>
          </w:p>
        </w:tc>
        <w:tc>
          <w:tcPr>
            <w:tcW w:w="393" w:type="pct"/>
            <w:vAlign w:val="center"/>
          </w:tcPr>
          <w:p w14:paraId="5E9748E2">
            <w:pPr>
              <w:keepNext/>
              <w:keepLines/>
              <w:spacing w:line="400" w:lineRule="exact"/>
              <w:jc w:val="center"/>
              <w:rPr>
                <w:rFonts w:ascii="宋体" w:hAnsi="宋体" w:cs="宋体"/>
                <w:color w:val="auto"/>
                <w:sz w:val="21"/>
                <w:szCs w:val="21"/>
                <w:highlight w:val="none"/>
              </w:rPr>
            </w:pPr>
          </w:p>
        </w:tc>
      </w:tr>
      <w:tr w14:paraId="2C0D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8C9E0A3">
            <w:pPr>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459" w:type="pct"/>
            <w:vAlign w:val="center"/>
          </w:tcPr>
          <w:p w14:paraId="13BB8F61">
            <w:pPr>
              <w:jc w:val="center"/>
              <w:rPr>
                <w:rFonts w:ascii="宋体" w:hAnsi="宋体" w:cs="宋体"/>
                <w:color w:val="auto"/>
                <w:sz w:val="21"/>
                <w:szCs w:val="21"/>
                <w:highlight w:val="none"/>
              </w:rPr>
            </w:pPr>
            <w:r>
              <w:rPr>
                <w:rFonts w:hint="eastAsia" w:ascii="宋体" w:hAnsi="宋体" w:cs="宋体"/>
                <w:color w:val="auto"/>
                <w:sz w:val="21"/>
                <w:szCs w:val="21"/>
                <w:highlight w:val="none"/>
              </w:rPr>
              <w:t>七</w:t>
            </w:r>
          </w:p>
        </w:tc>
        <w:tc>
          <w:tcPr>
            <w:tcW w:w="3092" w:type="pct"/>
            <w:vAlign w:val="center"/>
          </w:tcPr>
          <w:p w14:paraId="1D783EA1">
            <w:pPr>
              <w:rPr>
                <w:rFonts w:ascii="宋体" w:hAnsi="宋体" w:cs="宋体"/>
                <w:color w:val="auto"/>
                <w:sz w:val="21"/>
                <w:szCs w:val="21"/>
                <w:highlight w:val="none"/>
              </w:rPr>
            </w:pPr>
            <w:r>
              <w:rPr>
                <w:rFonts w:hint="eastAsia" w:ascii="宋体" w:hAnsi="宋体" w:cs="宋体"/>
                <w:color w:val="auto"/>
                <w:sz w:val="21"/>
                <w:szCs w:val="21"/>
                <w:highlight w:val="none"/>
              </w:rPr>
              <w:t>交易电量的确定方式</w:t>
            </w:r>
          </w:p>
        </w:tc>
        <w:tc>
          <w:tcPr>
            <w:tcW w:w="348" w:type="pct"/>
            <w:vAlign w:val="center"/>
          </w:tcPr>
          <w:p w14:paraId="2907576B">
            <w:pPr>
              <w:keepNext/>
              <w:keepLines/>
              <w:spacing w:line="400" w:lineRule="exact"/>
              <w:jc w:val="center"/>
              <w:rPr>
                <w:rFonts w:ascii="宋体" w:hAnsi="宋体" w:cs="宋体"/>
                <w:color w:val="auto"/>
                <w:sz w:val="21"/>
                <w:szCs w:val="21"/>
                <w:highlight w:val="none"/>
              </w:rPr>
            </w:pPr>
          </w:p>
        </w:tc>
        <w:tc>
          <w:tcPr>
            <w:tcW w:w="418" w:type="pct"/>
            <w:vAlign w:val="center"/>
          </w:tcPr>
          <w:p w14:paraId="19B16ECD">
            <w:pPr>
              <w:keepNext/>
              <w:keepLines/>
              <w:spacing w:line="400" w:lineRule="exact"/>
              <w:jc w:val="center"/>
              <w:rPr>
                <w:rFonts w:ascii="宋体" w:hAnsi="宋体" w:cs="宋体"/>
                <w:color w:val="auto"/>
                <w:sz w:val="21"/>
                <w:szCs w:val="21"/>
                <w:highlight w:val="none"/>
              </w:rPr>
            </w:pPr>
          </w:p>
        </w:tc>
        <w:tc>
          <w:tcPr>
            <w:tcW w:w="393" w:type="pct"/>
            <w:vAlign w:val="center"/>
          </w:tcPr>
          <w:p w14:paraId="46F47A86">
            <w:pPr>
              <w:keepNext/>
              <w:keepLines/>
              <w:spacing w:line="400" w:lineRule="exact"/>
              <w:jc w:val="center"/>
              <w:rPr>
                <w:rFonts w:ascii="宋体" w:hAnsi="宋体" w:cs="宋体"/>
                <w:color w:val="auto"/>
                <w:sz w:val="21"/>
                <w:szCs w:val="21"/>
                <w:highlight w:val="none"/>
              </w:rPr>
            </w:pPr>
          </w:p>
        </w:tc>
      </w:tr>
      <w:tr w14:paraId="752F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58A87CF">
            <w:pPr>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459" w:type="pct"/>
            <w:vAlign w:val="center"/>
          </w:tcPr>
          <w:p w14:paraId="7E88BFDA">
            <w:pPr>
              <w:jc w:val="center"/>
              <w:rPr>
                <w:rFonts w:ascii="宋体" w:hAnsi="宋体" w:cs="宋体"/>
                <w:color w:val="auto"/>
                <w:sz w:val="21"/>
                <w:szCs w:val="21"/>
                <w:highlight w:val="none"/>
              </w:rPr>
            </w:pPr>
            <w:r>
              <w:rPr>
                <w:rFonts w:hint="eastAsia" w:ascii="宋体" w:hAnsi="宋体" w:cs="宋体"/>
                <w:color w:val="auto"/>
                <w:sz w:val="21"/>
                <w:szCs w:val="21"/>
                <w:highlight w:val="none"/>
              </w:rPr>
              <w:t>八</w:t>
            </w:r>
          </w:p>
        </w:tc>
        <w:tc>
          <w:tcPr>
            <w:tcW w:w="3092" w:type="pct"/>
            <w:vAlign w:val="center"/>
          </w:tcPr>
          <w:p w14:paraId="5F34FC1D">
            <w:pPr>
              <w:rPr>
                <w:rFonts w:ascii="宋体" w:hAnsi="宋体" w:cs="宋体"/>
                <w:color w:val="auto"/>
                <w:sz w:val="21"/>
                <w:szCs w:val="21"/>
                <w:highlight w:val="none"/>
              </w:rPr>
            </w:pPr>
            <w:r>
              <w:rPr>
                <w:rFonts w:hint="eastAsia" w:ascii="宋体" w:hAnsi="宋体" w:cs="宋体"/>
                <w:color w:val="auto"/>
                <w:sz w:val="21"/>
                <w:szCs w:val="21"/>
                <w:highlight w:val="none"/>
              </w:rPr>
              <w:t>用电交易其他事项</w:t>
            </w:r>
          </w:p>
        </w:tc>
        <w:tc>
          <w:tcPr>
            <w:tcW w:w="348" w:type="pct"/>
            <w:vAlign w:val="center"/>
          </w:tcPr>
          <w:p w14:paraId="0EB8D05C">
            <w:pPr>
              <w:keepNext/>
              <w:keepLines/>
              <w:spacing w:line="400" w:lineRule="exact"/>
              <w:jc w:val="center"/>
              <w:rPr>
                <w:rFonts w:ascii="宋体" w:hAnsi="宋体" w:cs="宋体"/>
                <w:color w:val="auto"/>
                <w:sz w:val="21"/>
                <w:szCs w:val="21"/>
                <w:highlight w:val="none"/>
              </w:rPr>
            </w:pPr>
          </w:p>
        </w:tc>
        <w:tc>
          <w:tcPr>
            <w:tcW w:w="418" w:type="pct"/>
            <w:vAlign w:val="center"/>
          </w:tcPr>
          <w:p w14:paraId="631E1B82">
            <w:pPr>
              <w:keepNext/>
              <w:keepLines/>
              <w:spacing w:line="400" w:lineRule="exact"/>
              <w:jc w:val="center"/>
              <w:rPr>
                <w:rFonts w:ascii="宋体" w:hAnsi="宋体" w:cs="宋体"/>
                <w:color w:val="auto"/>
                <w:sz w:val="21"/>
                <w:szCs w:val="21"/>
                <w:highlight w:val="none"/>
              </w:rPr>
            </w:pPr>
          </w:p>
        </w:tc>
        <w:tc>
          <w:tcPr>
            <w:tcW w:w="393" w:type="pct"/>
            <w:vAlign w:val="center"/>
          </w:tcPr>
          <w:p w14:paraId="15122C03">
            <w:pPr>
              <w:keepNext/>
              <w:keepLines/>
              <w:spacing w:line="400" w:lineRule="exact"/>
              <w:jc w:val="center"/>
              <w:rPr>
                <w:rFonts w:ascii="宋体" w:hAnsi="宋体" w:cs="宋体"/>
                <w:color w:val="auto"/>
                <w:sz w:val="21"/>
                <w:szCs w:val="21"/>
                <w:highlight w:val="none"/>
              </w:rPr>
            </w:pPr>
          </w:p>
        </w:tc>
      </w:tr>
      <w:tr w14:paraId="4F51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C8A43A2">
            <w:pPr>
              <w:keepNext/>
              <w:keepLines/>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用户需求书“★”条款汇总：</w:t>
            </w:r>
          </w:p>
        </w:tc>
      </w:tr>
      <w:tr w14:paraId="488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1E2A491">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459" w:type="pct"/>
            <w:vAlign w:val="center"/>
          </w:tcPr>
          <w:p w14:paraId="6ECFF2B7">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八</w:t>
            </w:r>
          </w:p>
        </w:tc>
        <w:tc>
          <w:tcPr>
            <w:tcW w:w="3092" w:type="pct"/>
            <w:vAlign w:val="center"/>
          </w:tcPr>
          <w:p w14:paraId="3A9F3E7C">
            <w:pPr>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★8.14 在2025年度电力交易市场交易窗口关闭前，完成代理关系确认及合同签订工作，保障采购人2025年电量交易顺利开展。</w:t>
            </w:r>
          </w:p>
        </w:tc>
        <w:tc>
          <w:tcPr>
            <w:tcW w:w="348" w:type="pct"/>
            <w:vAlign w:val="center"/>
          </w:tcPr>
          <w:p w14:paraId="0A2CEA1A">
            <w:pPr>
              <w:keepNext/>
              <w:keepLines/>
              <w:spacing w:line="400" w:lineRule="exact"/>
              <w:jc w:val="center"/>
              <w:rPr>
                <w:rFonts w:ascii="宋体" w:hAnsi="宋体" w:cs="宋体"/>
                <w:color w:val="auto"/>
                <w:sz w:val="21"/>
                <w:szCs w:val="21"/>
                <w:highlight w:val="none"/>
              </w:rPr>
            </w:pPr>
          </w:p>
        </w:tc>
        <w:tc>
          <w:tcPr>
            <w:tcW w:w="418" w:type="pct"/>
            <w:vAlign w:val="center"/>
          </w:tcPr>
          <w:p w14:paraId="781D8CC2">
            <w:pPr>
              <w:keepNext/>
              <w:keepLines/>
              <w:spacing w:line="400" w:lineRule="exact"/>
              <w:jc w:val="center"/>
              <w:rPr>
                <w:rFonts w:ascii="宋体" w:hAnsi="宋体" w:cs="宋体"/>
                <w:color w:val="auto"/>
                <w:sz w:val="21"/>
                <w:szCs w:val="21"/>
                <w:highlight w:val="none"/>
              </w:rPr>
            </w:pPr>
          </w:p>
        </w:tc>
        <w:tc>
          <w:tcPr>
            <w:tcW w:w="393" w:type="pct"/>
            <w:vAlign w:val="center"/>
          </w:tcPr>
          <w:p w14:paraId="20ADD9DA">
            <w:pPr>
              <w:keepNext/>
              <w:keepLines/>
              <w:spacing w:line="400" w:lineRule="exact"/>
              <w:jc w:val="center"/>
              <w:rPr>
                <w:rFonts w:ascii="宋体" w:hAnsi="宋体" w:cs="宋体"/>
                <w:color w:val="auto"/>
                <w:sz w:val="21"/>
                <w:szCs w:val="21"/>
                <w:highlight w:val="none"/>
              </w:rPr>
            </w:pPr>
          </w:p>
        </w:tc>
      </w:tr>
      <w:tr w14:paraId="1F7C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0F94BC2">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459" w:type="pct"/>
            <w:vAlign w:val="center"/>
          </w:tcPr>
          <w:p w14:paraId="16DC2686">
            <w:pPr>
              <w:spacing w:line="360" w:lineRule="auto"/>
              <w:jc w:val="center"/>
              <w:rPr>
                <w:rFonts w:ascii="宋体" w:hAnsi="宋体" w:cs="宋体"/>
                <w:color w:val="auto"/>
                <w:sz w:val="21"/>
                <w:szCs w:val="21"/>
                <w:highlight w:val="none"/>
              </w:rPr>
            </w:pPr>
          </w:p>
        </w:tc>
        <w:tc>
          <w:tcPr>
            <w:tcW w:w="3092" w:type="pct"/>
            <w:vAlign w:val="center"/>
          </w:tcPr>
          <w:p w14:paraId="16BE9C61">
            <w:pPr>
              <w:spacing w:line="400" w:lineRule="exact"/>
              <w:rPr>
                <w:rFonts w:ascii="宋体" w:hAnsi="宋体" w:cs="宋体"/>
                <w:color w:val="auto"/>
                <w:sz w:val="21"/>
                <w:szCs w:val="21"/>
                <w:highlight w:val="none"/>
              </w:rPr>
            </w:pPr>
          </w:p>
        </w:tc>
        <w:tc>
          <w:tcPr>
            <w:tcW w:w="348" w:type="pct"/>
            <w:vAlign w:val="center"/>
          </w:tcPr>
          <w:p w14:paraId="2981E379">
            <w:pPr>
              <w:keepNext/>
              <w:keepLines/>
              <w:spacing w:line="400" w:lineRule="exact"/>
              <w:jc w:val="center"/>
              <w:rPr>
                <w:rFonts w:ascii="宋体" w:hAnsi="宋体" w:cs="宋体"/>
                <w:color w:val="auto"/>
                <w:sz w:val="21"/>
                <w:szCs w:val="21"/>
                <w:highlight w:val="none"/>
              </w:rPr>
            </w:pPr>
          </w:p>
        </w:tc>
        <w:tc>
          <w:tcPr>
            <w:tcW w:w="418" w:type="pct"/>
            <w:vAlign w:val="center"/>
          </w:tcPr>
          <w:p w14:paraId="77004F34">
            <w:pPr>
              <w:keepNext/>
              <w:keepLines/>
              <w:spacing w:line="400" w:lineRule="exact"/>
              <w:jc w:val="center"/>
              <w:rPr>
                <w:rFonts w:ascii="宋体" w:hAnsi="宋体" w:cs="宋体"/>
                <w:color w:val="auto"/>
                <w:sz w:val="21"/>
                <w:szCs w:val="21"/>
                <w:highlight w:val="none"/>
              </w:rPr>
            </w:pPr>
          </w:p>
        </w:tc>
        <w:tc>
          <w:tcPr>
            <w:tcW w:w="393" w:type="pct"/>
            <w:vAlign w:val="center"/>
          </w:tcPr>
          <w:p w14:paraId="61EB6B36">
            <w:pPr>
              <w:keepNext/>
              <w:keepLines/>
              <w:spacing w:line="400" w:lineRule="exact"/>
              <w:jc w:val="center"/>
              <w:rPr>
                <w:rFonts w:ascii="宋体" w:hAnsi="宋体" w:cs="宋体"/>
                <w:color w:val="auto"/>
                <w:sz w:val="21"/>
                <w:szCs w:val="21"/>
                <w:highlight w:val="none"/>
              </w:rPr>
            </w:pPr>
          </w:p>
        </w:tc>
      </w:tr>
      <w:tr w14:paraId="437E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26CE925">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459" w:type="pct"/>
            <w:vAlign w:val="center"/>
          </w:tcPr>
          <w:p w14:paraId="7738E8DC">
            <w:pPr>
              <w:spacing w:line="360" w:lineRule="auto"/>
              <w:jc w:val="center"/>
              <w:rPr>
                <w:rFonts w:ascii="宋体" w:hAnsi="宋体" w:cs="宋体"/>
                <w:color w:val="auto"/>
                <w:sz w:val="21"/>
                <w:szCs w:val="21"/>
                <w:highlight w:val="none"/>
              </w:rPr>
            </w:pPr>
          </w:p>
        </w:tc>
        <w:tc>
          <w:tcPr>
            <w:tcW w:w="3092" w:type="pct"/>
            <w:vAlign w:val="center"/>
          </w:tcPr>
          <w:p w14:paraId="5D4A3782">
            <w:pPr>
              <w:spacing w:line="400" w:lineRule="exact"/>
              <w:rPr>
                <w:rFonts w:ascii="宋体" w:hAnsi="宋体" w:cs="宋体"/>
                <w:color w:val="auto"/>
                <w:sz w:val="21"/>
                <w:szCs w:val="21"/>
                <w:highlight w:val="none"/>
              </w:rPr>
            </w:pPr>
          </w:p>
        </w:tc>
        <w:tc>
          <w:tcPr>
            <w:tcW w:w="348" w:type="pct"/>
            <w:vAlign w:val="center"/>
          </w:tcPr>
          <w:p w14:paraId="03404C2C">
            <w:pPr>
              <w:keepNext/>
              <w:keepLines/>
              <w:spacing w:line="400" w:lineRule="exact"/>
              <w:jc w:val="center"/>
              <w:rPr>
                <w:rFonts w:ascii="宋体" w:hAnsi="宋体" w:cs="宋体"/>
                <w:color w:val="auto"/>
                <w:sz w:val="21"/>
                <w:szCs w:val="21"/>
                <w:highlight w:val="none"/>
              </w:rPr>
            </w:pPr>
          </w:p>
        </w:tc>
        <w:tc>
          <w:tcPr>
            <w:tcW w:w="418" w:type="pct"/>
            <w:vAlign w:val="center"/>
          </w:tcPr>
          <w:p w14:paraId="54B6F492">
            <w:pPr>
              <w:keepNext/>
              <w:keepLines/>
              <w:spacing w:line="400" w:lineRule="exact"/>
              <w:jc w:val="center"/>
              <w:rPr>
                <w:rFonts w:ascii="宋体" w:hAnsi="宋体" w:cs="宋体"/>
                <w:color w:val="auto"/>
                <w:sz w:val="21"/>
                <w:szCs w:val="21"/>
                <w:highlight w:val="none"/>
              </w:rPr>
            </w:pPr>
          </w:p>
        </w:tc>
        <w:tc>
          <w:tcPr>
            <w:tcW w:w="393" w:type="pct"/>
            <w:vAlign w:val="center"/>
          </w:tcPr>
          <w:p w14:paraId="09D174EA">
            <w:pPr>
              <w:keepNext/>
              <w:keepLines/>
              <w:spacing w:line="400" w:lineRule="exact"/>
              <w:jc w:val="center"/>
              <w:rPr>
                <w:rFonts w:ascii="宋体" w:hAnsi="宋体" w:cs="宋体"/>
                <w:color w:val="auto"/>
                <w:sz w:val="21"/>
                <w:szCs w:val="21"/>
                <w:highlight w:val="none"/>
              </w:rPr>
            </w:pPr>
          </w:p>
        </w:tc>
      </w:tr>
      <w:tr w14:paraId="031E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5733CAF">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459" w:type="pct"/>
            <w:vAlign w:val="center"/>
          </w:tcPr>
          <w:p w14:paraId="60EBF60A">
            <w:pPr>
              <w:spacing w:line="360" w:lineRule="auto"/>
              <w:jc w:val="center"/>
              <w:rPr>
                <w:rFonts w:ascii="宋体" w:hAnsi="宋体" w:cs="宋体"/>
                <w:color w:val="auto"/>
                <w:sz w:val="21"/>
                <w:szCs w:val="21"/>
                <w:highlight w:val="none"/>
              </w:rPr>
            </w:pPr>
          </w:p>
        </w:tc>
        <w:tc>
          <w:tcPr>
            <w:tcW w:w="3092" w:type="pct"/>
            <w:vAlign w:val="center"/>
          </w:tcPr>
          <w:p w14:paraId="574AD032">
            <w:pPr>
              <w:spacing w:line="400" w:lineRule="exact"/>
              <w:rPr>
                <w:rFonts w:ascii="宋体" w:hAnsi="宋体" w:cs="宋体"/>
                <w:color w:val="auto"/>
                <w:sz w:val="21"/>
                <w:szCs w:val="21"/>
                <w:highlight w:val="none"/>
              </w:rPr>
            </w:pPr>
          </w:p>
        </w:tc>
        <w:tc>
          <w:tcPr>
            <w:tcW w:w="348" w:type="pct"/>
            <w:vAlign w:val="center"/>
          </w:tcPr>
          <w:p w14:paraId="6C2203F3">
            <w:pPr>
              <w:keepNext/>
              <w:keepLines/>
              <w:spacing w:line="400" w:lineRule="exact"/>
              <w:jc w:val="center"/>
              <w:rPr>
                <w:rFonts w:ascii="宋体" w:hAnsi="宋体" w:cs="宋体"/>
                <w:color w:val="auto"/>
                <w:sz w:val="21"/>
                <w:szCs w:val="21"/>
                <w:highlight w:val="none"/>
              </w:rPr>
            </w:pPr>
          </w:p>
        </w:tc>
        <w:tc>
          <w:tcPr>
            <w:tcW w:w="418" w:type="pct"/>
            <w:vAlign w:val="center"/>
          </w:tcPr>
          <w:p w14:paraId="6FFE6FCB">
            <w:pPr>
              <w:keepNext/>
              <w:keepLines/>
              <w:spacing w:line="400" w:lineRule="exact"/>
              <w:jc w:val="center"/>
              <w:rPr>
                <w:rFonts w:ascii="宋体" w:hAnsi="宋体" w:cs="宋体"/>
                <w:color w:val="auto"/>
                <w:sz w:val="21"/>
                <w:szCs w:val="21"/>
                <w:highlight w:val="none"/>
              </w:rPr>
            </w:pPr>
          </w:p>
        </w:tc>
        <w:tc>
          <w:tcPr>
            <w:tcW w:w="393" w:type="pct"/>
            <w:vAlign w:val="center"/>
          </w:tcPr>
          <w:p w14:paraId="0F13BBF4">
            <w:pPr>
              <w:keepNext/>
              <w:keepLines/>
              <w:spacing w:line="400" w:lineRule="exact"/>
              <w:jc w:val="center"/>
              <w:rPr>
                <w:rFonts w:ascii="宋体" w:hAnsi="宋体" w:cs="宋体"/>
                <w:color w:val="auto"/>
                <w:sz w:val="21"/>
                <w:szCs w:val="21"/>
                <w:highlight w:val="none"/>
              </w:rPr>
            </w:pPr>
          </w:p>
        </w:tc>
      </w:tr>
      <w:tr w14:paraId="2E08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B9E34E9">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459" w:type="pct"/>
            <w:vAlign w:val="center"/>
          </w:tcPr>
          <w:p w14:paraId="3F60B021">
            <w:pPr>
              <w:spacing w:line="360" w:lineRule="auto"/>
              <w:jc w:val="center"/>
              <w:rPr>
                <w:rFonts w:ascii="宋体" w:hAnsi="宋体" w:cs="宋体"/>
                <w:color w:val="auto"/>
                <w:sz w:val="21"/>
                <w:szCs w:val="21"/>
                <w:highlight w:val="none"/>
              </w:rPr>
            </w:pPr>
          </w:p>
        </w:tc>
        <w:tc>
          <w:tcPr>
            <w:tcW w:w="3092" w:type="pct"/>
            <w:vAlign w:val="center"/>
          </w:tcPr>
          <w:p w14:paraId="7B51B887">
            <w:pPr>
              <w:spacing w:line="400" w:lineRule="exact"/>
              <w:rPr>
                <w:rFonts w:ascii="宋体" w:hAnsi="宋体" w:cs="宋体"/>
                <w:color w:val="auto"/>
                <w:sz w:val="21"/>
                <w:szCs w:val="21"/>
                <w:highlight w:val="none"/>
              </w:rPr>
            </w:pPr>
          </w:p>
        </w:tc>
        <w:tc>
          <w:tcPr>
            <w:tcW w:w="348" w:type="pct"/>
            <w:vAlign w:val="center"/>
          </w:tcPr>
          <w:p w14:paraId="09210B62">
            <w:pPr>
              <w:keepNext/>
              <w:keepLines/>
              <w:spacing w:line="400" w:lineRule="exact"/>
              <w:jc w:val="center"/>
              <w:rPr>
                <w:rFonts w:ascii="宋体" w:hAnsi="宋体" w:cs="宋体"/>
                <w:color w:val="auto"/>
                <w:sz w:val="21"/>
                <w:szCs w:val="21"/>
                <w:highlight w:val="none"/>
              </w:rPr>
            </w:pPr>
          </w:p>
        </w:tc>
        <w:tc>
          <w:tcPr>
            <w:tcW w:w="418" w:type="pct"/>
            <w:vAlign w:val="center"/>
          </w:tcPr>
          <w:p w14:paraId="53BE5749">
            <w:pPr>
              <w:keepNext/>
              <w:keepLines/>
              <w:spacing w:line="400" w:lineRule="exact"/>
              <w:jc w:val="center"/>
              <w:rPr>
                <w:rFonts w:ascii="宋体" w:hAnsi="宋体" w:cs="宋体"/>
                <w:color w:val="auto"/>
                <w:sz w:val="21"/>
                <w:szCs w:val="21"/>
                <w:highlight w:val="none"/>
              </w:rPr>
            </w:pPr>
          </w:p>
        </w:tc>
        <w:tc>
          <w:tcPr>
            <w:tcW w:w="393" w:type="pct"/>
            <w:vAlign w:val="center"/>
          </w:tcPr>
          <w:p w14:paraId="48277D8F">
            <w:pPr>
              <w:keepNext/>
              <w:keepLines/>
              <w:spacing w:line="400" w:lineRule="exact"/>
              <w:jc w:val="center"/>
              <w:rPr>
                <w:rFonts w:ascii="宋体" w:hAnsi="宋体" w:cs="宋体"/>
                <w:color w:val="auto"/>
                <w:sz w:val="21"/>
                <w:szCs w:val="21"/>
                <w:highlight w:val="none"/>
              </w:rPr>
            </w:pPr>
          </w:p>
        </w:tc>
      </w:tr>
    </w:tbl>
    <w:p w14:paraId="2113A8CB">
      <w:pPr>
        <w:spacing w:line="360" w:lineRule="auto"/>
        <w:rPr>
          <w:rFonts w:ascii="宋体" w:hAnsi="宋体" w:cs="宋体"/>
          <w:color w:val="auto"/>
          <w:szCs w:val="21"/>
          <w:highlight w:val="none"/>
        </w:rPr>
      </w:pPr>
    </w:p>
    <w:p w14:paraId="0A3F47E5">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38B5CEFE">
      <w:pPr>
        <w:spacing w:line="360" w:lineRule="auto"/>
        <w:ind w:left="610" w:leftChars="18" w:hanging="567" w:hangingChars="270"/>
        <w:rPr>
          <w:rFonts w:ascii="宋体" w:hAnsi="宋体" w:cs="宋体"/>
          <w:b/>
          <w:color w:val="auto"/>
          <w:sz w:val="21"/>
          <w:szCs w:val="21"/>
          <w:highlight w:val="none"/>
          <w:u w:val="single"/>
        </w:rPr>
      </w:pPr>
      <w:r>
        <w:rPr>
          <w:rFonts w:hint="eastAsia" w:ascii="宋体" w:hAnsi="宋体" w:cs="宋体"/>
          <w:color w:val="auto"/>
          <w:sz w:val="21"/>
          <w:szCs w:val="21"/>
          <w:highlight w:val="none"/>
        </w:rPr>
        <w:t>（1）</w:t>
      </w:r>
      <w:r>
        <w:rPr>
          <w:rFonts w:hint="eastAsia" w:ascii="宋体" w:hAnsi="宋体" w:cs="宋体"/>
          <w:b/>
          <w:color w:val="auto"/>
          <w:sz w:val="21"/>
          <w:szCs w:val="21"/>
          <w:highlight w:val="none"/>
          <w:u w:val="single"/>
        </w:rPr>
        <w:t>供应商应对照竞争性谈判文件用户需求书的响应，逐条逐项、如实地填写“偏离情况”，若发现未填写本表，或虚假填写本表，或伪造、变造证明材料的，按无效响应文件处理。若竞争性谈判文件用户需求书中有“★”条款须逐条逐项、如实地填写“偏离情况”，未填写“★”条款以外的条款的，视为完全满足竞争性谈判文件要求。</w:t>
      </w:r>
    </w:p>
    <w:p w14:paraId="31D2C5F5">
      <w:pPr>
        <w:spacing w:line="360" w:lineRule="auto"/>
        <w:ind w:left="610" w:leftChars="18" w:hanging="567" w:hangingChars="270"/>
        <w:rPr>
          <w:rFonts w:ascii="宋体" w:hAnsi="宋体" w:cs="宋体"/>
          <w:color w:val="auto"/>
          <w:sz w:val="21"/>
          <w:szCs w:val="21"/>
          <w:highlight w:val="none"/>
        </w:rPr>
      </w:pPr>
      <w:r>
        <w:rPr>
          <w:rFonts w:hint="eastAsia" w:ascii="宋体" w:hAnsi="宋体" w:cs="宋体"/>
          <w:color w:val="auto"/>
          <w:sz w:val="21"/>
          <w:szCs w:val="21"/>
          <w:highlight w:val="none"/>
        </w:rPr>
        <w:t xml:space="preserve">（2）偏离情况（响应文件对竞争性谈判文件用户需求的响应程度）分为：正偏离、负偏离、无偏离。正偏离是指供应商对用户需求响应优于竞争性谈判文件的要求；负偏离是指供应商对用户需求响应不满足或不完全满足竞争性谈判文件的要求；无偏离是指供应商对用户需求响应完全满足竞争性谈判文件的要求。 </w:t>
      </w:r>
    </w:p>
    <w:p w14:paraId="7E01201E">
      <w:pPr>
        <w:spacing w:line="360" w:lineRule="auto"/>
        <w:ind w:left="612" w:leftChars="18" w:hanging="569" w:hangingChars="270"/>
        <w:rPr>
          <w:rFonts w:ascii="宋体" w:hAnsi="宋体" w:cs="宋体"/>
          <w:b/>
          <w:color w:val="auto"/>
          <w:sz w:val="21"/>
          <w:szCs w:val="21"/>
          <w:highlight w:val="none"/>
          <w:u w:val="single"/>
        </w:rPr>
      </w:pPr>
      <w:r>
        <w:rPr>
          <w:rFonts w:hint="eastAsia" w:ascii="宋体" w:hAnsi="宋体" w:cs="宋体"/>
          <w:b/>
          <w:color w:val="auto"/>
          <w:sz w:val="21"/>
          <w:szCs w:val="21"/>
          <w:highlight w:val="none"/>
        </w:rPr>
        <w:t>（3）</w:t>
      </w:r>
      <w:r>
        <w:rPr>
          <w:rFonts w:hint="eastAsia" w:ascii="宋体" w:hAnsi="宋体" w:cs="宋体"/>
          <w:b/>
          <w:color w:val="auto"/>
          <w:sz w:val="21"/>
          <w:szCs w:val="21"/>
          <w:highlight w:val="none"/>
          <w:u w:val="single"/>
        </w:rPr>
        <w:t>应逐条逐项、如实地填写“偏离情况”。“偏离情况”项为正偏离（或负偏离）的，必须在“实质性响应的具体内容”项内详细说明与竞争性谈判文件的偏离内容，“偏离情况”项为无偏离的，在“实质性响应的具体内容”项内填“完全响应竞争性谈判文件要求”即可，也可进一步说明响应的具体内容。供应商可将反映服务能力的技术支持资料作为本表的附件，并在本偏离表“对应证明材料页码”项内注明其在响应文件中的具体页码。</w:t>
      </w:r>
    </w:p>
    <w:p w14:paraId="0C3A101E">
      <w:pPr>
        <w:spacing w:line="360" w:lineRule="auto"/>
        <w:ind w:left="612" w:leftChars="18" w:hanging="569" w:hangingChars="270"/>
        <w:rPr>
          <w:rFonts w:ascii="宋体" w:hAnsi="宋体" w:cs="宋体"/>
          <w:b/>
          <w:color w:val="auto"/>
          <w:sz w:val="21"/>
          <w:szCs w:val="21"/>
          <w:highlight w:val="none"/>
          <w:u w:val="single"/>
        </w:rPr>
      </w:pPr>
      <w:r>
        <w:rPr>
          <w:rFonts w:hint="eastAsia" w:ascii="宋体" w:hAnsi="宋体" w:cs="宋体"/>
          <w:b/>
          <w:color w:val="auto"/>
          <w:sz w:val="21"/>
          <w:szCs w:val="21"/>
          <w:highlight w:val="none"/>
        </w:rPr>
        <w:t>（4）</w:t>
      </w:r>
      <w:r>
        <w:rPr>
          <w:rFonts w:hint="eastAsia" w:ascii="宋体" w:hAnsi="宋体" w:cs="宋体"/>
          <w:b/>
          <w:color w:val="auto"/>
          <w:sz w:val="21"/>
          <w:szCs w:val="21"/>
          <w:highlight w:val="none"/>
          <w:u w:val="single"/>
        </w:rPr>
        <w:t>凡标有“★”的地方均被视为重要的技术指标要求或性能要求。供应商要特别加以注意，必须对此回答并完全满足这些要求，否则若有一项带“★”的指标未响应或不满足，将按无效响应处理</w:t>
      </w:r>
      <w:r>
        <w:rPr>
          <w:rFonts w:hint="eastAsia" w:ascii="宋体" w:hAnsi="宋体" w:cs="宋体"/>
          <w:b/>
          <w:color w:val="auto"/>
          <w:sz w:val="21"/>
          <w:szCs w:val="21"/>
          <w:highlight w:val="none"/>
          <w:u w:val="single"/>
          <w:lang w:val="zh-CN"/>
        </w:rPr>
        <w:t>。</w:t>
      </w:r>
    </w:p>
    <w:p w14:paraId="2A89140F">
      <w:pPr>
        <w:spacing w:line="360" w:lineRule="auto"/>
        <w:rPr>
          <w:rFonts w:ascii="宋体" w:hAnsi="宋体" w:cs="宋体"/>
          <w:color w:val="auto"/>
          <w:sz w:val="21"/>
          <w:szCs w:val="21"/>
          <w:highlight w:val="none"/>
        </w:rPr>
      </w:pPr>
    </w:p>
    <w:p w14:paraId="67D35006">
      <w:pPr>
        <w:spacing w:line="360" w:lineRule="auto"/>
        <w:ind w:firstLine="5040" w:firstLineChars="240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供应商</w:t>
      </w:r>
      <w:r>
        <w:rPr>
          <w:rFonts w:hint="eastAsia" w:ascii="宋体" w:hAnsi="宋体" w:cs="宋体"/>
          <w:color w:val="auto"/>
          <w:sz w:val="21"/>
          <w:szCs w:val="21"/>
          <w:highlight w:val="none"/>
          <w:lang w:val="zh-CN"/>
        </w:rPr>
        <w:t>：（加盖</w:t>
      </w: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val="zh-CN"/>
        </w:rPr>
        <w:t>法人公章）</w:t>
      </w:r>
    </w:p>
    <w:p w14:paraId="30B1E872">
      <w:pPr>
        <w:spacing w:line="360" w:lineRule="auto"/>
        <w:ind w:firstLine="5250" w:firstLineChars="2500"/>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日  </w:t>
      </w:r>
      <w:r>
        <w:rPr>
          <w:rFonts w:hint="eastAsia" w:ascii="宋体" w:hAnsi="宋体" w:cs="宋体"/>
          <w:color w:val="auto"/>
          <w:sz w:val="21"/>
          <w:szCs w:val="21"/>
          <w:highlight w:val="none"/>
          <w:lang w:val="zh-CN"/>
        </w:rPr>
        <w:t>期：   年   月   日</w:t>
      </w:r>
    </w:p>
    <w:p w14:paraId="342F3754">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br w:type="page"/>
      </w:r>
    </w:p>
    <w:bookmarkEnd w:id="420"/>
    <w:bookmarkEnd w:id="421"/>
    <w:bookmarkEnd w:id="422"/>
    <w:bookmarkEnd w:id="423"/>
    <w:bookmarkEnd w:id="424"/>
    <w:bookmarkEnd w:id="425"/>
    <w:bookmarkEnd w:id="426"/>
    <w:p w14:paraId="126A6A29">
      <w:pPr>
        <w:pageBreakBefore/>
        <w:spacing w:after="120" w:afterLines="50" w:line="360" w:lineRule="auto"/>
        <w:rPr>
          <w:rFonts w:ascii="宋体" w:hAnsi="宋体" w:cs="宋体"/>
          <w:b/>
          <w:color w:val="auto"/>
          <w:sz w:val="30"/>
          <w:szCs w:val="30"/>
          <w:highlight w:val="none"/>
        </w:rPr>
      </w:pPr>
      <w:bookmarkStart w:id="436" w:name="_Toc18876"/>
      <w:bookmarkStart w:id="437" w:name="_Toc29717"/>
      <w:bookmarkStart w:id="438" w:name="_Toc23797"/>
      <w:r>
        <w:rPr>
          <w:rFonts w:hint="eastAsia" w:ascii="宋体" w:hAnsi="宋体" w:cs="宋体"/>
          <w:b/>
          <w:color w:val="auto"/>
          <w:sz w:val="30"/>
          <w:szCs w:val="30"/>
          <w:highlight w:val="none"/>
        </w:rPr>
        <w:t>9.2 服务计划及应急保障</w:t>
      </w:r>
    </w:p>
    <w:p w14:paraId="177755CD">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说明：供应商自行编制，格式不限。</w:t>
      </w:r>
    </w:p>
    <w:bookmarkEnd w:id="427"/>
    <w:bookmarkEnd w:id="428"/>
    <w:bookmarkEnd w:id="429"/>
    <w:bookmarkEnd w:id="430"/>
    <w:bookmarkEnd w:id="431"/>
    <w:bookmarkEnd w:id="432"/>
    <w:bookmarkEnd w:id="433"/>
    <w:bookmarkEnd w:id="434"/>
    <w:bookmarkEnd w:id="436"/>
    <w:bookmarkEnd w:id="437"/>
    <w:bookmarkEnd w:id="438"/>
    <w:p w14:paraId="58236812">
      <w:pPr>
        <w:spacing w:line="360" w:lineRule="auto"/>
        <w:ind w:firstLine="602" w:firstLineChars="200"/>
        <w:rPr>
          <w:rFonts w:ascii="宋体" w:hAnsi="宋体" w:cs="宋体"/>
          <w:b/>
          <w:color w:val="auto"/>
          <w:sz w:val="30"/>
          <w:szCs w:val="30"/>
          <w:highlight w:val="none"/>
        </w:rPr>
      </w:pPr>
      <w:bookmarkStart w:id="439" w:name="_Toc51642408"/>
      <w:bookmarkStart w:id="440" w:name="_Toc521918141"/>
    </w:p>
    <w:p w14:paraId="615C6922">
      <w:pP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313A1B17">
      <w:pPr>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9.3 用户需求要求提交的其他技术资料</w:t>
      </w:r>
    </w:p>
    <w:p w14:paraId="1D2DFDC0">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说明：供应商自行编制，格式不限。</w:t>
      </w:r>
    </w:p>
    <w:p w14:paraId="086C71AA">
      <w:pPr>
        <w:pageBreakBefore/>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9.4供应商认为有必要提供的其它材料（不做强制要求）</w:t>
      </w:r>
    </w:p>
    <w:p w14:paraId="4351421A">
      <w:pPr>
        <w:pStyle w:val="4"/>
        <w:pageBreakBefore/>
        <w:tabs>
          <w:tab w:val="left" w:pos="1080"/>
        </w:tabs>
        <w:spacing w:line="360" w:lineRule="auto"/>
        <w:rPr>
          <w:rFonts w:ascii="宋体" w:hAnsi="宋体" w:eastAsia="宋体" w:cs="宋体"/>
          <w:b/>
          <w:bCs/>
          <w:color w:val="auto"/>
          <w:kern w:val="44"/>
          <w:sz w:val="32"/>
          <w:szCs w:val="32"/>
          <w:highlight w:val="none"/>
          <w:lang w:val="zh-CN"/>
        </w:rPr>
      </w:pPr>
      <w:bookmarkStart w:id="441" w:name="_Toc11851"/>
      <w:r>
        <w:rPr>
          <w:rFonts w:hint="eastAsia" w:ascii="宋体" w:hAnsi="宋体" w:eastAsia="宋体" w:cs="宋体"/>
          <w:b/>
          <w:bCs/>
          <w:color w:val="auto"/>
          <w:kern w:val="44"/>
          <w:sz w:val="32"/>
          <w:szCs w:val="32"/>
          <w:highlight w:val="none"/>
          <w:lang w:val="zh-CN"/>
        </w:rPr>
        <w:t>附件一：</w:t>
      </w:r>
      <w:bookmarkEnd w:id="439"/>
      <w:bookmarkEnd w:id="440"/>
      <w:r>
        <w:rPr>
          <w:rFonts w:hint="eastAsia" w:ascii="宋体" w:hAnsi="宋体" w:eastAsia="宋体" w:cs="宋体"/>
          <w:b/>
          <w:bCs/>
          <w:color w:val="auto"/>
          <w:kern w:val="44"/>
          <w:sz w:val="32"/>
          <w:szCs w:val="32"/>
          <w:highlight w:val="none"/>
          <w:lang w:val="zh-CN"/>
        </w:rPr>
        <w:t>评审工作大纲</w:t>
      </w:r>
      <w:bookmarkEnd w:id="441"/>
    </w:p>
    <w:p w14:paraId="1F61B3E4">
      <w:pPr>
        <w:spacing w:line="400" w:lineRule="atLeast"/>
        <w:jc w:val="center"/>
        <w:rPr>
          <w:rFonts w:ascii="宋体" w:hAnsi="宋体" w:cs="宋体"/>
          <w:b/>
          <w:bCs/>
          <w:color w:val="auto"/>
          <w:kern w:val="2"/>
          <w:sz w:val="21"/>
          <w:szCs w:val="21"/>
          <w:highlight w:val="none"/>
        </w:rPr>
      </w:pPr>
    </w:p>
    <w:p w14:paraId="023F0082">
      <w:pPr>
        <w:spacing w:line="400" w:lineRule="atLeast"/>
        <w:jc w:val="center"/>
        <w:rPr>
          <w:rFonts w:ascii="宋体" w:hAnsi="宋体" w:cs="宋体"/>
          <w:b/>
          <w:bCs/>
          <w:color w:val="auto"/>
          <w:kern w:val="2"/>
          <w:sz w:val="21"/>
          <w:szCs w:val="21"/>
          <w:highlight w:val="none"/>
        </w:rPr>
      </w:pPr>
    </w:p>
    <w:p w14:paraId="46032410">
      <w:pPr>
        <w:spacing w:line="400" w:lineRule="atLeast"/>
        <w:jc w:val="center"/>
        <w:rPr>
          <w:rFonts w:ascii="宋体" w:hAnsi="宋体" w:cs="宋体"/>
          <w:b/>
          <w:bCs/>
          <w:color w:val="auto"/>
          <w:kern w:val="2"/>
          <w:sz w:val="21"/>
          <w:szCs w:val="21"/>
          <w:highlight w:val="none"/>
        </w:rPr>
      </w:pPr>
    </w:p>
    <w:p w14:paraId="018B536F">
      <w:pPr>
        <w:spacing w:line="400" w:lineRule="atLeast"/>
        <w:jc w:val="center"/>
        <w:rPr>
          <w:rFonts w:ascii="宋体" w:hAnsi="宋体" w:cs="宋体"/>
          <w:b/>
          <w:bCs/>
          <w:color w:val="auto"/>
          <w:kern w:val="2"/>
          <w:sz w:val="21"/>
          <w:szCs w:val="21"/>
          <w:highlight w:val="none"/>
        </w:rPr>
      </w:pPr>
    </w:p>
    <w:p w14:paraId="590C76BB">
      <w:pPr>
        <w:spacing w:line="400" w:lineRule="atLeast"/>
        <w:jc w:val="center"/>
        <w:rPr>
          <w:rFonts w:ascii="宋体" w:hAnsi="宋体" w:cs="宋体"/>
          <w:b/>
          <w:bCs/>
          <w:color w:val="auto"/>
          <w:kern w:val="2"/>
          <w:sz w:val="21"/>
          <w:szCs w:val="21"/>
          <w:highlight w:val="none"/>
        </w:rPr>
      </w:pPr>
    </w:p>
    <w:p w14:paraId="4E33C09F">
      <w:pPr>
        <w:spacing w:line="400" w:lineRule="atLeast"/>
        <w:jc w:val="center"/>
        <w:rPr>
          <w:rFonts w:ascii="宋体" w:hAnsi="宋体" w:cs="宋体"/>
          <w:b/>
          <w:bCs/>
          <w:color w:val="auto"/>
          <w:kern w:val="2"/>
          <w:sz w:val="21"/>
          <w:szCs w:val="21"/>
          <w:highlight w:val="none"/>
        </w:rPr>
      </w:pPr>
    </w:p>
    <w:p w14:paraId="32716D27">
      <w:pPr>
        <w:spacing w:line="360" w:lineRule="auto"/>
        <w:jc w:val="center"/>
        <w:rPr>
          <w:rFonts w:ascii="宋体" w:hAnsi="宋体" w:cs="宋体"/>
          <w:b/>
          <w:bCs/>
          <w:color w:val="auto"/>
          <w:sz w:val="36"/>
          <w:szCs w:val="44"/>
          <w:highlight w:val="none"/>
        </w:rPr>
      </w:pPr>
      <w:r>
        <w:rPr>
          <w:rFonts w:hint="eastAsia" w:ascii="宋体" w:hAnsi="宋体" w:cs="宋体"/>
          <w:b/>
          <w:bCs/>
          <w:color w:val="auto"/>
          <w:sz w:val="40"/>
          <w:szCs w:val="36"/>
          <w:highlight w:val="none"/>
        </w:rPr>
        <w:t>东莞市水务集团有限公司2025年直购电采购项目</w:t>
      </w:r>
    </w:p>
    <w:p w14:paraId="44753F65">
      <w:pPr>
        <w:spacing w:line="360" w:lineRule="auto"/>
        <w:jc w:val="center"/>
        <w:rPr>
          <w:rFonts w:ascii="宋体" w:hAnsi="宋体" w:cs="宋体"/>
          <w:b/>
          <w:bCs/>
          <w:color w:val="auto"/>
          <w:kern w:val="2"/>
          <w:sz w:val="36"/>
          <w:szCs w:val="36"/>
          <w:highlight w:val="none"/>
        </w:rPr>
      </w:pPr>
      <w:bookmarkStart w:id="442" w:name="_Toc14752_WPSOffice_Level1"/>
      <w:r>
        <w:rPr>
          <w:rFonts w:hint="eastAsia" w:ascii="宋体" w:hAnsi="宋体" w:cs="宋体"/>
          <w:b/>
          <w:bCs/>
          <w:color w:val="auto"/>
          <w:sz w:val="36"/>
          <w:szCs w:val="36"/>
          <w:highlight w:val="none"/>
          <w:lang w:val="zh-CN"/>
        </w:rPr>
        <w:t>（</w:t>
      </w:r>
      <w:r>
        <w:rPr>
          <w:rFonts w:hint="eastAsia" w:ascii="宋体" w:hAnsi="宋体" w:cs="宋体"/>
          <w:b/>
          <w:bCs/>
          <w:color w:val="auto"/>
          <w:sz w:val="36"/>
          <w:szCs w:val="36"/>
          <w:highlight w:val="none"/>
        </w:rPr>
        <w:t>采购</w:t>
      </w:r>
      <w:r>
        <w:rPr>
          <w:rFonts w:hint="eastAsia" w:ascii="宋体" w:hAnsi="宋体" w:cs="宋体"/>
          <w:b/>
          <w:bCs/>
          <w:color w:val="auto"/>
          <w:sz w:val="36"/>
          <w:szCs w:val="36"/>
          <w:highlight w:val="none"/>
          <w:lang w:val="zh-CN"/>
        </w:rPr>
        <w:t>编号：广建咨询（东招）2024-0149号）</w:t>
      </w:r>
      <w:bookmarkEnd w:id="442"/>
      <w:r>
        <w:rPr>
          <w:rFonts w:hint="eastAsia" w:ascii="宋体" w:hAnsi="宋体" w:cs="宋体"/>
          <w:b/>
          <w:bCs/>
          <w:color w:val="auto"/>
          <w:kern w:val="2"/>
          <w:sz w:val="36"/>
          <w:szCs w:val="36"/>
          <w:highlight w:val="none"/>
        </w:rPr>
        <w:t xml:space="preserve"> </w:t>
      </w:r>
    </w:p>
    <w:p w14:paraId="610DD171">
      <w:pPr>
        <w:spacing w:line="400" w:lineRule="atLeast"/>
        <w:jc w:val="center"/>
        <w:rPr>
          <w:rFonts w:ascii="宋体" w:hAnsi="宋体" w:cs="宋体"/>
          <w:b/>
          <w:bCs/>
          <w:color w:val="auto"/>
          <w:kern w:val="2"/>
          <w:sz w:val="36"/>
          <w:szCs w:val="36"/>
          <w:highlight w:val="none"/>
        </w:rPr>
      </w:pPr>
    </w:p>
    <w:p w14:paraId="6A28CE64">
      <w:pPr>
        <w:spacing w:line="400" w:lineRule="atLeast"/>
        <w:jc w:val="center"/>
        <w:rPr>
          <w:rFonts w:ascii="宋体" w:hAnsi="宋体" w:cs="宋体"/>
          <w:b/>
          <w:bCs/>
          <w:color w:val="auto"/>
          <w:kern w:val="2"/>
          <w:sz w:val="36"/>
          <w:szCs w:val="36"/>
          <w:highlight w:val="none"/>
        </w:rPr>
      </w:pPr>
    </w:p>
    <w:p w14:paraId="3A82B336">
      <w:pPr>
        <w:spacing w:line="400" w:lineRule="atLeast"/>
        <w:jc w:val="center"/>
        <w:rPr>
          <w:rFonts w:ascii="宋体" w:hAnsi="宋体" w:cs="宋体"/>
          <w:b/>
          <w:bCs/>
          <w:color w:val="auto"/>
          <w:kern w:val="2"/>
          <w:sz w:val="36"/>
          <w:szCs w:val="36"/>
          <w:highlight w:val="none"/>
        </w:rPr>
      </w:pPr>
    </w:p>
    <w:p w14:paraId="4321F323">
      <w:pPr>
        <w:spacing w:line="400" w:lineRule="atLeast"/>
        <w:jc w:val="center"/>
        <w:rPr>
          <w:rFonts w:ascii="宋体" w:hAnsi="宋体" w:cs="宋体"/>
          <w:b/>
          <w:bCs/>
          <w:color w:val="auto"/>
          <w:kern w:val="2"/>
          <w:sz w:val="36"/>
          <w:szCs w:val="36"/>
          <w:highlight w:val="none"/>
        </w:rPr>
      </w:pPr>
    </w:p>
    <w:p w14:paraId="08795B5D">
      <w:pPr>
        <w:spacing w:line="400" w:lineRule="atLeast"/>
        <w:jc w:val="center"/>
        <w:rPr>
          <w:rFonts w:ascii="宋体" w:hAnsi="宋体" w:cs="宋体"/>
          <w:b/>
          <w:bCs/>
          <w:color w:val="auto"/>
          <w:kern w:val="2"/>
          <w:sz w:val="36"/>
          <w:szCs w:val="36"/>
          <w:highlight w:val="none"/>
        </w:rPr>
      </w:pPr>
    </w:p>
    <w:p w14:paraId="32B2A380">
      <w:pPr>
        <w:spacing w:line="400" w:lineRule="atLeast"/>
        <w:jc w:val="center"/>
        <w:rPr>
          <w:rFonts w:ascii="宋体" w:hAnsi="宋体" w:cs="宋体"/>
          <w:b/>
          <w:bCs/>
          <w:color w:val="auto"/>
          <w:kern w:val="2"/>
          <w:sz w:val="72"/>
          <w:szCs w:val="72"/>
          <w:highlight w:val="none"/>
          <w:lang w:val="zh-CN"/>
        </w:rPr>
      </w:pPr>
      <w:r>
        <w:rPr>
          <w:rFonts w:hint="eastAsia" w:ascii="宋体" w:hAnsi="宋体" w:cs="宋体"/>
          <w:b/>
          <w:bCs/>
          <w:color w:val="auto"/>
          <w:kern w:val="2"/>
          <w:sz w:val="72"/>
          <w:szCs w:val="72"/>
          <w:highlight w:val="none"/>
          <w:lang w:val="zh-CN"/>
        </w:rPr>
        <w:t>评审工作大纲</w:t>
      </w:r>
    </w:p>
    <w:p w14:paraId="0A373F7E">
      <w:pPr>
        <w:spacing w:line="400" w:lineRule="atLeast"/>
        <w:jc w:val="center"/>
        <w:rPr>
          <w:rFonts w:ascii="宋体" w:hAnsi="宋体" w:cs="宋体"/>
          <w:b/>
          <w:bCs/>
          <w:color w:val="auto"/>
          <w:kern w:val="2"/>
          <w:sz w:val="36"/>
          <w:szCs w:val="36"/>
          <w:highlight w:val="none"/>
        </w:rPr>
      </w:pPr>
    </w:p>
    <w:p w14:paraId="048B7E06">
      <w:pPr>
        <w:spacing w:line="400" w:lineRule="atLeast"/>
        <w:jc w:val="both"/>
        <w:rPr>
          <w:rFonts w:ascii="宋体" w:hAnsi="宋体" w:cs="宋体"/>
          <w:b/>
          <w:bCs/>
          <w:color w:val="auto"/>
          <w:kern w:val="2"/>
          <w:sz w:val="36"/>
          <w:szCs w:val="36"/>
          <w:highlight w:val="none"/>
        </w:rPr>
      </w:pPr>
    </w:p>
    <w:p w14:paraId="766E56F6">
      <w:pPr>
        <w:spacing w:line="400" w:lineRule="atLeast"/>
        <w:jc w:val="center"/>
        <w:rPr>
          <w:rFonts w:ascii="宋体" w:hAnsi="宋体" w:cs="宋体"/>
          <w:b/>
          <w:bCs/>
          <w:color w:val="auto"/>
          <w:kern w:val="2"/>
          <w:sz w:val="36"/>
          <w:szCs w:val="36"/>
          <w:highlight w:val="none"/>
        </w:rPr>
      </w:pPr>
    </w:p>
    <w:p w14:paraId="020B10B6">
      <w:pPr>
        <w:spacing w:line="400" w:lineRule="atLeast"/>
        <w:jc w:val="both"/>
        <w:rPr>
          <w:rFonts w:ascii="宋体" w:hAnsi="宋体" w:cs="宋体"/>
          <w:b/>
          <w:bCs/>
          <w:color w:val="auto"/>
          <w:kern w:val="2"/>
          <w:sz w:val="36"/>
          <w:szCs w:val="36"/>
          <w:highlight w:val="none"/>
        </w:rPr>
      </w:pPr>
    </w:p>
    <w:p w14:paraId="7D8CB49C">
      <w:pPr>
        <w:spacing w:line="400" w:lineRule="atLeast"/>
        <w:jc w:val="center"/>
        <w:rPr>
          <w:rFonts w:ascii="宋体" w:hAnsi="宋体" w:cs="宋体"/>
          <w:b/>
          <w:bCs/>
          <w:color w:val="auto"/>
          <w:kern w:val="2"/>
          <w:sz w:val="36"/>
          <w:szCs w:val="36"/>
          <w:highlight w:val="none"/>
        </w:rPr>
      </w:pPr>
    </w:p>
    <w:p w14:paraId="19F9C21B">
      <w:pPr>
        <w:spacing w:line="400" w:lineRule="atLeast"/>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val="zh-CN"/>
        </w:rPr>
        <w:t xml:space="preserve">建成工程咨询股份有限公司 </w:t>
      </w:r>
    </w:p>
    <w:p w14:paraId="1D9852EA">
      <w:pPr>
        <w:spacing w:line="400" w:lineRule="atLeast"/>
        <w:rPr>
          <w:rFonts w:ascii="宋体" w:hAnsi="宋体" w:cs="宋体"/>
          <w:b/>
          <w:bCs/>
          <w:color w:val="auto"/>
          <w:kern w:val="2"/>
          <w:sz w:val="36"/>
          <w:szCs w:val="36"/>
          <w:highlight w:val="none"/>
        </w:rPr>
      </w:pPr>
    </w:p>
    <w:p w14:paraId="77B18AF5">
      <w:pPr>
        <w:spacing w:line="400" w:lineRule="atLeast"/>
        <w:jc w:val="center"/>
        <w:rPr>
          <w:rFonts w:ascii="宋体" w:hAnsi="宋体" w:cs="宋体"/>
          <w:b/>
          <w:bCs/>
          <w:color w:val="auto"/>
          <w:kern w:val="2"/>
          <w:sz w:val="36"/>
          <w:szCs w:val="36"/>
          <w:highlight w:val="none"/>
        </w:rPr>
      </w:pPr>
    </w:p>
    <w:p w14:paraId="712CE2CB">
      <w:pPr>
        <w:pStyle w:val="2"/>
        <w:rPr>
          <w:rFonts w:ascii="宋体" w:hAnsi="宋体" w:eastAsia="宋体" w:cs="宋体"/>
          <w:color w:val="auto"/>
          <w:highlight w:val="none"/>
          <w:lang w:val="en-US"/>
        </w:rPr>
      </w:pPr>
    </w:p>
    <w:p w14:paraId="62058772">
      <w:pPr>
        <w:pStyle w:val="2"/>
        <w:jc w:val="both"/>
        <w:rPr>
          <w:rFonts w:ascii="宋体" w:hAnsi="宋体" w:eastAsia="宋体" w:cs="宋体"/>
          <w:color w:val="auto"/>
          <w:sz w:val="21"/>
          <w:szCs w:val="21"/>
          <w:highlight w:val="none"/>
        </w:rPr>
      </w:pPr>
    </w:p>
    <w:p w14:paraId="092A0A71">
      <w:pPr>
        <w:pStyle w:val="3"/>
        <w:ind w:firstLine="0" w:firstLineChars="0"/>
        <w:jc w:val="both"/>
        <w:rPr>
          <w:color w:val="auto"/>
          <w:highlight w:val="none"/>
        </w:rPr>
      </w:pPr>
    </w:p>
    <w:p w14:paraId="2CDF455A">
      <w:pPr>
        <w:spacing w:line="400" w:lineRule="atLeast"/>
        <w:jc w:val="center"/>
        <w:rPr>
          <w:rFonts w:ascii="宋体" w:hAnsi="宋体" w:cs="宋体"/>
          <w:b/>
          <w:bCs/>
          <w:color w:val="auto"/>
          <w:sz w:val="36"/>
          <w:szCs w:val="36"/>
          <w:highlight w:val="none"/>
        </w:rPr>
      </w:pPr>
      <w:bookmarkStart w:id="443" w:name="_Toc32395_WPSOffice_Level1"/>
      <w:r>
        <w:rPr>
          <w:rFonts w:hint="eastAsia" w:ascii="宋体" w:hAnsi="宋体" w:cs="宋体"/>
          <w:b/>
          <w:bCs/>
          <w:color w:val="auto"/>
          <w:sz w:val="36"/>
          <w:szCs w:val="36"/>
          <w:highlight w:val="none"/>
          <w:lang w:val="zh-CN"/>
        </w:rPr>
        <w:t>目录</w:t>
      </w:r>
      <w:bookmarkEnd w:id="443"/>
    </w:p>
    <w:p w14:paraId="0C745F4C">
      <w:pPr>
        <w:spacing w:line="400" w:lineRule="atLeast"/>
        <w:jc w:val="center"/>
        <w:rPr>
          <w:rFonts w:ascii="宋体" w:hAnsi="宋体" w:cs="宋体"/>
          <w:color w:val="auto"/>
          <w:sz w:val="44"/>
          <w:szCs w:val="44"/>
          <w:highlight w:val="none"/>
        </w:rPr>
      </w:pPr>
    </w:p>
    <w:p w14:paraId="677892AA">
      <w:pPr>
        <w:spacing w:line="360" w:lineRule="auto"/>
        <w:ind w:left="567" w:hanging="567"/>
        <w:rPr>
          <w:rFonts w:ascii="宋体" w:hAnsi="宋体" w:cs="宋体"/>
          <w:color w:val="auto"/>
          <w:sz w:val="21"/>
          <w:szCs w:val="21"/>
          <w:highlight w:val="none"/>
        </w:rPr>
      </w:pPr>
      <w:bookmarkStart w:id="444" w:name="_Toc21604_WPSOffice_Level1"/>
      <w:r>
        <w:rPr>
          <w:rFonts w:hint="eastAsia" w:ascii="宋体" w:hAnsi="宋体" w:cs="宋体"/>
          <w:color w:val="auto"/>
          <w:sz w:val="21"/>
          <w:szCs w:val="21"/>
          <w:highlight w:val="none"/>
          <w:lang w:val="zh-CN"/>
        </w:rPr>
        <w:t>一、总则</w:t>
      </w:r>
      <w:bookmarkEnd w:id="444"/>
    </w:p>
    <w:p w14:paraId="179F7C78">
      <w:pPr>
        <w:spacing w:line="360" w:lineRule="auto"/>
        <w:ind w:left="567" w:hanging="567"/>
        <w:rPr>
          <w:rFonts w:ascii="宋体" w:hAnsi="宋体" w:cs="宋体"/>
          <w:color w:val="auto"/>
          <w:sz w:val="21"/>
          <w:szCs w:val="21"/>
          <w:highlight w:val="none"/>
        </w:rPr>
      </w:pPr>
      <w:bookmarkStart w:id="445" w:name="_Toc1387_WPSOffice_Level1"/>
      <w:r>
        <w:rPr>
          <w:rFonts w:hint="eastAsia" w:ascii="宋体" w:hAnsi="宋体" w:cs="宋体"/>
          <w:color w:val="auto"/>
          <w:sz w:val="21"/>
          <w:szCs w:val="21"/>
          <w:highlight w:val="none"/>
          <w:lang w:val="zh-CN"/>
        </w:rPr>
        <w:t>二、</w:t>
      </w: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的初审</w:t>
      </w:r>
      <w:bookmarkEnd w:id="445"/>
    </w:p>
    <w:p w14:paraId="5C76D2F8">
      <w:pPr>
        <w:spacing w:line="360" w:lineRule="auto"/>
        <w:ind w:left="567" w:hanging="567"/>
        <w:rPr>
          <w:rFonts w:ascii="宋体" w:hAnsi="宋体" w:cs="宋体"/>
          <w:color w:val="auto"/>
          <w:sz w:val="21"/>
          <w:szCs w:val="21"/>
          <w:highlight w:val="none"/>
        </w:rPr>
      </w:pPr>
      <w:bookmarkStart w:id="446" w:name="_Toc30284_WPSOffice_Level1"/>
      <w:r>
        <w:rPr>
          <w:rFonts w:hint="eastAsia" w:ascii="宋体" w:hAnsi="宋体" w:cs="宋体"/>
          <w:color w:val="auto"/>
          <w:sz w:val="21"/>
          <w:szCs w:val="21"/>
          <w:highlight w:val="none"/>
          <w:lang w:val="zh-CN"/>
        </w:rPr>
        <w:t>三、澄清有关问题</w:t>
      </w:r>
      <w:bookmarkEnd w:id="446"/>
    </w:p>
    <w:p w14:paraId="558869F4">
      <w:pPr>
        <w:spacing w:line="360" w:lineRule="auto"/>
        <w:ind w:left="567" w:hanging="567"/>
        <w:rPr>
          <w:rFonts w:ascii="宋体" w:hAnsi="宋体" w:cs="宋体"/>
          <w:color w:val="auto"/>
          <w:sz w:val="21"/>
          <w:szCs w:val="21"/>
          <w:highlight w:val="none"/>
        </w:rPr>
      </w:pPr>
      <w:bookmarkStart w:id="447" w:name="_Toc1206_WPSOffice_Level1"/>
      <w:r>
        <w:rPr>
          <w:rFonts w:hint="eastAsia" w:ascii="宋体" w:hAnsi="宋体" w:cs="宋体"/>
          <w:color w:val="auto"/>
          <w:sz w:val="21"/>
          <w:szCs w:val="21"/>
          <w:highlight w:val="none"/>
        </w:rPr>
        <w:t>四、比较和评价</w:t>
      </w:r>
      <w:bookmarkEnd w:id="447"/>
    </w:p>
    <w:p w14:paraId="6D55AB20">
      <w:pPr>
        <w:spacing w:line="360" w:lineRule="auto"/>
        <w:ind w:left="567" w:hanging="567"/>
        <w:rPr>
          <w:rFonts w:ascii="宋体" w:hAnsi="宋体" w:cs="宋体"/>
          <w:color w:val="auto"/>
          <w:sz w:val="21"/>
          <w:szCs w:val="21"/>
          <w:highlight w:val="none"/>
        </w:rPr>
      </w:pPr>
      <w:bookmarkStart w:id="448" w:name="_Toc12163_WPSOffice_Level1"/>
      <w:r>
        <w:rPr>
          <w:rFonts w:hint="eastAsia" w:ascii="宋体" w:hAnsi="宋体" w:cs="宋体"/>
          <w:color w:val="auto"/>
          <w:sz w:val="21"/>
          <w:szCs w:val="21"/>
          <w:highlight w:val="none"/>
          <w:lang w:val="zh-CN"/>
        </w:rPr>
        <w:t>五、推荐</w:t>
      </w:r>
      <w:bookmarkEnd w:id="448"/>
      <w:r>
        <w:rPr>
          <w:rFonts w:hint="eastAsia" w:ascii="宋体" w:hAnsi="宋体" w:cs="宋体"/>
          <w:color w:val="auto"/>
          <w:sz w:val="21"/>
          <w:szCs w:val="21"/>
          <w:highlight w:val="none"/>
        </w:rPr>
        <w:t>成交人</w:t>
      </w:r>
    </w:p>
    <w:p w14:paraId="0A92E3A3">
      <w:pPr>
        <w:spacing w:line="360" w:lineRule="auto"/>
        <w:ind w:left="567" w:hanging="567"/>
        <w:rPr>
          <w:rFonts w:ascii="宋体" w:hAnsi="宋体" w:cs="宋体"/>
          <w:color w:val="auto"/>
          <w:sz w:val="21"/>
          <w:szCs w:val="21"/>
          <w:highlight w:val="none"/>
        </w:rPr>
      </w:pPr>
      <w:bookmarkStart w:id="449" w:name="_Toc366_WPSOffice_Level1"/>
      <w:r>
        <w:rPr>
          <w:rFonts w:hint="eastAsia" w:ascii="宋体" w:hAnsi="宋体" w:cs="宋体"/>
          <w:color w:val="auto"/>
          <w:sz w:val="21"/>
          <w:szCs w:val="21"/>
          <w:highlight w:val="none"/>
          <w:lang w:val="zh-CN"/>
        </w:rPr>
        <w:t>六、编写</w:t>
      </w:r>
      <w:r>
        <w:rPr>
          <w:rFonts w:hint="eastAsia" w:ascii="宋体" w:hAnsi="宋体" w:cs="宋体"/>
          <w:color w:val="auto"/>
          <w:sz w:val="21"/>
          <w:szCs w:val="21"/>
          <w:highlight w:val="none"/>
        </w:rPr>
        <w:t>评审</w:t>
      </w:r>
      <w:r>
        <w:rPr>
          <w:rFonts w:hint="eastAsia" w:ascii="宋体" w:hAnsi="宋体" w:cs="宋体"/>
          <w:color w:val="auto"/>
          <w:sz w:val="21"/>
          <w:szCs w:val="21"/>
          <w:highlight w:val="none"/>
          <w:lang w:val="zh-CN"/>
        </w:rPr>
        <w:t>报告</w:t>
      </w:r>
      <w:bookmarkEnd w:id="449"/>
    </w:p>
    <w:p w14:paraId="4033A52E">
      <w:pPr>
        <w:spacing w:line="360" w:lineRule="auto"/>
        <w:ind w:left="567" w:hanging="567"/>
        <w:rPr>
          <w:rFonts w:ascii="宋体" w:hAnsi="宋体" w:cs="宋体"/>
          <w:color w:val="auto"/>
          <w:sz w:val="21"/>
          <w:szCs w:val="21"/>
          <w:highlight w:val="none"/>
          <w:lang w:val="zh-CN"/>
        </w:rPr>
      </w:pPr>
      <w:bookmarkStart w:id="450" w:name="_Toc22378_WPSOffice_Level1"/>
      <w:r>
        <w:rPr>
          <w:rFonts w:hint="eastAsia" w:ascii="宋体" w:hAnsi="宋体" w:cs="宋体"/>
          <w:color w:val="auto"/>
          <w:sz w:val="21"/>
          <w:szCs w:val="21"/>
          <w:highlight w:val="none"/>
          <w:lang w:val="zh-CN"/>
        </w:rPr>
        <w:t>七、注意事项</w:t>
      </w:r>
      <w:bookmarkEnd w:id="450"/>
    </w:p>
    <w:p w14:paraId="18549BB2">
      <w:pPr>
        <w:pStyle w:val="6"/>
        <w:rPr>
          <w:rFonts w:ascii="宋体" w:hAnsi="宋体" w:cs="宋体"/>
          <w:color w:val="auto"/>
          <w:sz w:val="21"/>
          <w:szCs w:val="21"/>
          <w:highlight w:val="none"/>
          <w:lang w:val="zh-CN"/>
        </w:rPr>
      </w:pPr>
    </w:p>
    <w:p w14:paraId="00E5C82C">
      <w:pPr>
        <w:rPr>
          <w:rFonts w:ascii="宋体" w:hAnsi="宋体" w:cs="宋体"/>
          <w:color w:val="auto"/>
          <w:sz w:val="21"/>
          <w:szCs w:val="21"/>
          <w:highlight w:val="none"/>
          <w:lang w:val="zh-CN"/>
        </w:rPr>
      </w:pPr>
    </w:p>
    <w:p w14:paraId="0A3CDE8F">
      <w:pPr>
        <w:pStyle w:val="6"/>
        <w:rPr>
          <w:rFonts w:ascii="宋体" w:hAnsi="宋体" w:cs="宋体"/>
          <w:color w:val="auto"/>
          <w:sz w:val="21"/>
          <w:szCs w:val="21"/>
          <w:highlight w:val="none"/>
          <w:lang w:val="zh-CN"/>
        </w:rPr>
      </w:pPr>
    </w:p>
    <w:p w14:paraId="5C32CB9F">
      <w:pPr>
        <w:rPr>
          <w:rFonts w:ascii="宋体" w:hAnsi="宋体" w:cs="宋体"/>
          <w:color w:val="auto"/>
          <w:sz w:val="21"/>
          <w:szCs w:val="21"/>
          <w:highlight w:val="none"/>
          <w:lang w:val="zh-CN"/>
        </w:rPr>
      </w:pPr>
    </w:p>
    <w:p w14:paraId="23BA7688">
      <w:pPr>
        <w:pStyle w:val="6"/>
        <w:rPr>
          <w:rFonts w:ascii="宋体" w:hAnsi="宋体" w:cs="宋体"/>
          <w:color w:val="auto"/>
          <w:sz w:val="21"/>
          <w:szCs w:val="21"/>
          <w:highlight w:val="none"/>
          <w:lang w:val="zh-CN"/>
        </w:rPr>
      </w:pPr>
    </w:p>
    <w:p w14:paraId="43620072">
      <w:pPr>
        <w:rPr>
          <w:rFonts w:ascii="宋体" w:hAnsi="宋体" w:cs="宋体"/>
          <w:color w:val="auto"/>
          <w:sz w:val="21"/>
          <w:szCs w:val="21"/>
          <w:highlight w:val="none"/>
          <w:lang w:val="zh-CN"/>
        </w:rPr>
      </w:pPr>
    </w:p>
    <w:p w14:paraId="21B7E25E">
      <w:pPr>
        <w:pStyle w:val="6"/>
        <w:rPr>
          <w:rFonts w:ascii="宋体" w:hAnsi="宋体" w:cs="宋体"/>
          <w:color w:val="auto"/>
          <w:sz w:val="21"/>
          <w:szCs w:val="21"/>
          <w:highlight w:val="none"/>
          <w:lang w:val="zh-CN"/>
        </w:rPr>
      </w:pPr>
    </w:p>
    <w:p w14:paraId="2673F888">
      <w:pPr>
        <w:rPr>
          <w:rFonts w:ascii="宋体" w:hAnsi="宋体" w:cs="宋体"/>
          <w:color w:val="auto"/>
          <w:sz w:val="21"/>
          <w:szCs w:val="21"/>
          <w:highlight w:val="none"/>
          <w:lang w:val="zh-CN"/>
        </w:rPr>
      </w:pPr>
    </w:p>
    <w:p w14:paraId="4A123EB7">
      <w:pPr>
        <w:pStyle w:val="6"/>
        <w:rPr>
          <w:rFonts w:ascii="宋体" w:hAnsi="宋体" w:cs="宋体"/>
          <w:color w:val="auto"/>
          <w:sz w:val="21"/>
          <w:szCs w:val="21"/>
          <w:highlight w:val="none"/>
          <w:lang w:val="zh-CN"/>
        </w:rPr>
      </w:pPr>
    </w:p>
    <w:p w14:paraId="38FCCCFF">
      <w:pPr>
        <w:rPr>
          <w:rFonts w:ascii="宋体" w:hAnsi="宋体" w:cs="宋体"/>
          <w:color w:val="auto"/>
          <w:sz w:val="21"/>
          <w:szCs w:val="21"/>
          <w:highlight w:val="none"/>
          <w:lang w:val="zh-CN"/>
        </w:rPr>
      </w:pPr>
    </w:p>
    <w:p w14:paraId="5551164C">
      <w:pPr>
        <w:pStyle w:val="6"/>
        <w:rPr>
          <w:rFonts w:ascii="宋体" w:hAnsi="宋体" w:cs="宋体"/>
          <w:color w:val="auto"/>
          <w:sz w:val="21"/>
          <w:szCs w:val="21"/>
          <w:highlight w:val="none"/>
          <w:lang w:val="zh-CN"/>
        </w:rPr>
      </w:pPr>
    </w:p>
    <w:p w14:paraId="22D13C46">
      <w:pPr>
        <w:rPr>
          <w:rFonts w:ascii="宋体" w:hAnsi="宋体" w:cs="宋体"/>
          <w:color w:val="auto"/>
          <w:sz w:val="21"/>
          <w:szCs w:val="21"/>
          <w:highlight w:val="none"/>
          <w:lang w:val="zh-CN"/>
        </w:rPr>
      </w:pPr>
    </w:p>
    <w:p w14:paraId="50021B07">
      <w:pPr>
        <w:pStyle w:val="6"/>
        <w:rPr>
          <w:rFonts w:ascii="宋体" w:hAnsi="宋体" w:cs="宋体"/>
          <w:color w:val="auto"/>
          <w:sz w:val="21"/>
          <w:szCs w:val="21"/>
          <w:highlight w:val="none"/>
          <w:lang w:val="zh-CN"/>
        </w:rPr>
      </w:pPr>
    </w:p>
    <w:p w14:paraId="7BD3ADF6">
      <w:pPr>
        <w:rPr>
          <w:rFonts w:ascii="宋体" w:hAnsi="宋体" w:cs="宋体"/>
          <w:color w:val="auto"/>
          <w:sz w:val="21"/>
          <w:szCs w:val="21"/>
          <w:highlight w:val="none"/>
          <w:lang w:val="zh-CN"/>
        </w:rPr>
      </w:pPr>
    </w:p>
    <w:p w14:paraId="02C5AF15">
      <w:pPr>
        <w:pStyle w:val="6"/>
        <w:rPr>
          <w:rFonts w:ascii="宋体" w:hAnsi="宋体" w:cs="宋体"/>
          <w:color w:val="auto"/>
          <w:sz w:val="21"/>
          <w:szCs w:val="21"/>
          <w:highlight w:val="none"/>
          <w:lang w:val="zh-CN"/>
        </w:rPr>
      </w:pPr>
    </w:p>
    <w:p w14:paraId="74DA5DB7">
      <w:pPr>
        <w:rPr>
          <w:rFonts w:ascii="宋体" w:hAnsi="宋体" w:cs="宋体"/>
          <w:color w:val="auto"/>
          <w:sz w:val="21"/>
          <w:szCs w:val="21"/>
          <w:highlight w:val="none"/>
          <w:lang w:val="zh-CN"/>
        </w:rPr>
      </w:pPr>
    </w:p>
    <w:p w14:paraId="784A324F">
      <w:pPr>
        <w:pStyle w:val="6"/>
        <w:rPr>
          <w:rFonts w:ascii="宋体" w:hAnsi="宋体" w:cs="宋体"/>
          <w:color w:val="auto"/>
          <w:sz w:val="21"/>
          <w:szCs w:val="21"/>
          <w:highlight w:val="none"/>
          <w:lang w:val="zh-CN"/>
        </w:rPr>
      </w:pPr>
    </w:p>
    <w:p w14:paraId="51790925">
      <w:pPr>
        <w:rPr>
          <w:rFonts w:ascii="宋体" w:hAnsi="宋体" w:cs="宋体"/>
          <w:color w:val="auto"/>
          <w:sz w:val="21"/>
          <w:szCs w:val="21"/>
          <w:highlight w:val="none"/>
          <w:lang w:val="zh-CN"/>
        </w:rPr>
      </w:pPr>
    </w:p>
    <w:p w14:paraId="2B60A171">
      <w:pPr>
        <w:pStyle w:val="6"/>
        <w:rPr>
          <w:rFonts w:ascii="宋体" w:hAnsi="宋体" w:cs="宋体"/>
          <w:color w:val="auto"/>
          <w:sz w:val="21"/>
          <w:szCs w:val="21"/>
          <w:highlight w:val="none"/>
          <w:lang w:val="zh-CN"/>
        </w:rPr>
      </w:pPr>
    </w:p>
    <w:p w14:paraId="351E2D17">
      <w:pPr>
        <w:rPr>
          <w:rFonts w:ascii="宋体" w:hAnsi="宋体" w:cs="宋体"/>
          <w:color w:val="auto"/>
          <w:sz w:val="21"/>
          <w:szCs w:val="21"/>
          <w:highlight w:val="none"/>
          <w:lang w:val="zh-CN"/>
        </w:rPr>
      </w:pPr>
    </w:p>
    <w:p w14:paraId="61B4984E">
      <w:pPr>
        <w:pStyle w:val="6"/>
        <w:rPr>
          <w:rFonts w:ascii="宋体" w:hAnsi="宋体" w:cs="宋体"/>
          <w:color w:val="auto"/>
          <w:sz w:val="21"/>
          <w:szCs w:val="21"/>
          <w:highlight w:val="none"/>
          <w:lang w:val="zh-CN"/>
        </w:rPr>
      </w:pPr>
    </w:p>
    <w:p w14:paraId="6843D714">
      <w:pPr>
        <w:rPr>
          <w:rFonts w:ascii="宋体" w:hAnsi="宋体" w:cs="宋体"/>
          <w:color w:val="auto"/>
          <w:sz w:val="21"/>
          <w:szCs w:val="21"/>
          <w:highlight w:val="none"/>
          <w:lang w:val="zh-CN"/>
        </w:rPr>
      </w:pPr>
    </w:p>
    <w:p w14:paraId="0D9F05F1">
      <w:pPr>
        <w:pStyle w:val="6"/>
        <w:rPr>
          <w:rFonts w:ascii="宋体" w:hAnsi="宋体" w:cs="宋体"/>
          <w:color w:val="auto"/>
          <w:sz w:val="21"/>
          <w:szCs w:val="21"/>
          <w:highlight w:val="none"/>
          <w:lang w:val="zh-CN"/>
        </w:rPr>
      </w:pPr>
    </w:p>
    <w:p w14:paraId="28B3A2B4">
      <w:pPr>
        <w:rPr>
          <w:rFonts w:ascii="宋体" w:hAnsi="宋体" w:cs="宋体"/>
          <w:color w:val="auto"/>
          <w:sz w:val="21"/>
          <w:szCs w:val="21"/>
          <w:highlight w:val="none"/>
          <w:lang w:val="zh-CN"/>
        </w:rPr>
      </w:pPr>
    </w:p>
    <w:p w14:paraId="0E75970E">
      <w:pPr>
        <w:pStyle w:val="6"/>
        <w:rPr>
          <w:rFonts w:ascii="宋体" w:hAnsi="宋体" w:cs="宋体"/>
          <w:color w:val="auto"/>
          <w:sz w:val="21"/>
          <w:szCs w:val="21"/>
          <w:highlight w:val="none"/>
          <w:lang w:val="zh-CN"/>
        </w:rPr>
      </w:pPr>
    </w:p>
    <w:p w14:paraId="5030A863">
      <w:pPr>
        <w:rPr>
          <w:rFonts w:ascii="宋体" w:hAnsi="宋体" w:cs="宋体"/>
          <w:color w:val="auto"/>
          <w:sz w:val="21"/>
          <w:szCs w:val="21"/>
          <w:highlight w:val="none"/>
          <w:lang w:val="zh-CN"/>
        </w:rPr>
      </w:pPr>
    </w:p>
    <w:p w14:paraId="75B8AF8F">
      <w:pPr>
        <w:pStyle w:val="6"/>
        <w:rPr>
          <w:rFonts w:ascii="宋体" w:hAnsi="宋体" w:cs="宋体"/>
          <w:color w:val="auto"/>
          <w:sz w:val="21"/>
          <w:szCs w:val="21"/>
          <w:highlight w:val="none"/>
          <w:lang w:val="zh-CN"/>
        </w:rPr>
      </w:pPr>
    </w:p>
    <w:p w14:paraId="4933F9BC">
      <w:pPr>
        <w:rPr>
          <w:rFonts w:ascii="宋体" w:hAnsi="宋体" w:cs="宋体"/>
          <w:color w:val="auto"/>
          <w:sz w:val="21"/>
          <w:szCs w:val="21"/>
          <w:highlight w:val="none"/>
          <w:lang w:val="zh-CN"/>
        </w:rPr>
      </w:pPr>
    </w:p>
    <w:p w14:paraId="6A0073A4">
      <w:pPr>
        <w:pStyle w:val="6"/>
        <w:rPr>
          <w:rFonts w:ascii="宋体" w:hAnsi="宋体" w:cs="宋体"/>
          <w:color w:val="auto"/>
          <w:sz w:val="21"/>
          <w:szCs w:val="21"/>
          <w:highlight w:val="none"/>
          <w:lang w:val="zh-CN"/>
        </w:rPr>
      </w:pPr>
    </w:p>
    <w:p w14:paraId="2E614C52">
      <w:pPr>
        <w:rPr>
          <w:rFonts w:ascii="宋体" w:hAnsi="宋体" w:cs="宋体"/>
          <w:color w:val="auto"/>
          <w:sz w:val="21"/>
          <w:szCs w:val="21"/>
          <w:highlight w:val="none"/>
          <w:lang w:val="zh-CN"/>
        </w:rPr>
      </w:pPr>
    </w:p>
    <w:p w14:paraId="65B9B549">
      <w:pPr>
        <w:pStyle w:val="6"/>
        <w:rPr>
          <w:rFonts w:ascii="宋体" w:hAnsi="宋体" w:cs="宋体"/>
          <w:color w:val="auto"/>
          <w:sz w:val="21"/>
          <w:szCs w:val="21"/>
          <w:highlight w:val="none"/>
          <w:lang w:val="zh-CN"/>
        </w:rPr>
      </w:pPr>
    </w:p>
    <w:p w14:paraId="206CA702">
      <w:pPr>
        <w:rPr>
          <w:color w:val="auto"/>
          <w:highlight w:val="none"/>
        </w:rPr>
      </w:pPr>
    </w:p>
    <w:p w14:paraId="034FCA60">
      <w:pPr>
        <w:pageBreakBefore/>
        <w:tabs>
          <w:tab w:val="left" w:pos="1140"/>
        </w:tabs>
        <w:spacing w:line="360" w:lineRule="auto"/>
        <w:jc w:val="center"/>
        <w:rPr>
          <w:rFonts w:ascii="宋体" w:hAnsi="宋体" w:cs="宋体"/>
          <w:b/>
          <w:bCs/>
          <w:color w:val="auto"/>
          <w:kern w:val="2"/>
          <w:sz w:val="28"/>
          <w:szCs w:val="28"/>
          <w:highlight w:val="none"/>
        </w:rPr>
      </w:pPr>
      <w:r>
        <w:rPr>
          <w:rFonts w:hint="eastAsia" w:ascii="宋体" w:hAnsi="宋体" w:cs="宋体"/>
          <w:color w:val="auto"/>
          <w:kern w:val="2"/>
          <w:sz w:val="28"/>
          <w:szCs w:val="28"/>
          <w:highlight w:val="none"/>
          <w:lang w:val="zh-CN"/>
        </w:rPr>
        <w:t>一、</w:t>
      </w:r>
      <w:r>
        <w:rPr>
          <w:rFonts w:hint="eastAsia" w:ascii="宋体" w:hAnsi="宋体" w:cs="宋体"/>
          <w:b/>
          <w:bCs/>
          <w:color w:val="auto"/>
          <w:kern w:val="2"/>
          <w:sz w:val="28"/>
          <w:szCs w:val="28"/>
          <w:highlight w:val="none"/>
          <w:lang w:val="zh-CN"/>
        </w:rPr>
        <w:t>总</w:t>
      </w:r>
      <w:r>
        <w:rPr>
          <w:rFonts w:hint="eastAsia" w:ascii="宋体" w:hAnsi="宋体" w:cs="宋体"/>
          <w:b/>
          <w:bCs/>
          <w:color w:val="auto"/>
          <w:kern w:val="2"/>
          <w:sz w:val="28"/>
          <w:szCs w:val="28"/>
          <w:highlight w:val="none"/>
        </w:rPr>
        <w:t xml:space="preserve">  </w:t>
      </w:r>
      <w:r>
        <w:rPr>
          <w:rFonts w:hint="eastAsia" w:ascii="宋体" w:hAnsi="宋体" w:cs="宋体"/>
          <w:b/>
          <w:bCs/>
          <w:color w:val="auto"/>
          <w:kern w:val="2"/>
          <w:sz w:val="28"/>
          <w:szCs w:val="28"/>
          <w:highlight w:val="none"/>
          <w:lang w:val="zh-CN"/>
        </w:rPr>
        <w:t>则</w:t>
      </w:r>
    </w:p>
    <w:p w14:paraId="271385C4">
      <w:pPr>
        <w:tabs>
          <w:tab w:val="left" w:pos="567"/>
          <w:tab w:val="left" w:pos="600"/>
        </w:tabs>
        <w:spacing w:line="360" w:lineRule="auto"/>
        <w:ind w:left="600" w:hanging="600"/>
        <w:rPr>
          <w:rFonts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1、一般规定</w:t>
      </w:r>
    </w:p>
    <w:p w14:paraId="32FF6F39">
      <w:pPr>
        <w:spacing w:line="360" w:lineRule="auto"/>
        <w:ind w:left="479" w:hanging="478" w:hangingChars="228"/>
        <w:rPr>
          <w:rFonts w:ascii="宋体" w:hAnsi="宋体" w:cs="宋体"/>
          <w:color w:val="auto"/>
          <w:sz w:val="21"/>
          <w:szCs w:val="21"/>
          <w:highlight w:val="none"/>
        </w:rPr>
      </w:pPr>
      <w:r>
        <w:rPr>
          <w:rFonts w:hint="eastAsia" w:ascii="宋体" w:hAnsi="宋体" w:cs="宋体"/>
          <w:color w:val="auto"/>
          <w:sz w:val="21"/>
          <w:szCs w:val="21"/>
          <w:highlight w:val="none"/>
          <w:lang w:val="zh-CN"/>
        </w:rPr>
        <w:t>1.1</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rPr>
        <w:t>东莞市水务集团有限公司2025年直购电采购项目</w:t>
      </w:r>
      <w:r>
        <w:rPr>
          <w:rFonts w:hint="eastAsia" w:ascii="宋体" w:hAnsi="宋体" w:cs="宋体"/>
          <w:color w:val="auto"/>
          <w:sz w:val="21"/>
          <w:szCs w:val="21"/>
          <w:highlight w:val="none"/>
          <w:lang w:val="zh-CN"/>
        </w:rPr>
        <w:t>(采购编号：广建咨询（东招）-2024-00XX号</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val="zh-CN"/>
        </w:rPr>
        <w:t>采购</w:t>
      </w:r>
      <w:r>
        <w:rPr>
          <w:rFonts w:hint="eastAsia" w:ascii="宋体" w:hAnsi="宋体" w:cs="宋体"/>
          <w:color w:val="auto"/>
          <w:kern w:val="2"/>
          <w:sz w:val="21"/>
          <w:highlight w:val="none"/>
          <w:lang w:val="zh-CN"/>
        </w:rPr>
        <w:t>按照采购人及上级单位的相关制度等有关规定进行</w:t>
      </w:r>
      <w:r>
        <w:rPr>
          <w:rFonts w:hint="eastAsia" w:ascii="宋体" w:hAnsi="宋体" w:cs="宋体"/>
          <w:color w:val="auto"/>
          <w:sz w:val="21"/>
          <w:szCs w:val="21"/>
          <w:highlight w:val="none"/>
        </w:rPr>
        <w:t>。</w:t>
      </w:r>
    </w:p>
    <w:p w14:paraId="0C5A9EF9">
      <w:pPr>
        <w:spacing w:line="360" w:lineRule="auto"/>
        <w:ind w:left="567" w:hanging="56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1.2</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评审必须遵循公平、公正、诚实信用的原则。</w:t>
      </w:r>
    </w:p>
    <w:p w14:paraId="0B9171F4">
      <w:pPr>
        <w:spacing w:line="360" w:lineRule="auto"/>
        <w:ind w:left="567" w:hanging="56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1.3</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采购代理机构</w:t>
      </w:r>
      <w:r>
        <w:rPr>
          <w:rFonts w:hint="eastAsia" w:ascii="宋体" w:hAnsi="宋体" w:cs="宋体"/>
          <w:color w:val="auto"/>
          <w:sz w:val="21"/>
          <w:szCs w:val="21"/>
          <w:highlight w:val="none"/>
        </w:rPr>
        <w:t>(采购代理机构）组</w:t>
      </w:r>
      <w:r>
        <w:rPr>
          <w:rFonts w:hint="eastAsia" w:ascii="宋体" w:hAnsi="宋体" w:cs="宋体"/>
          <w:color w:val="auto"/>
          <w:sz w:val="21"/>
          <w:szCs w:val="21"/>
          <w:highlight w:val="none"/>
          <w:lang w:val="zh-CN"/>
        </w:rPr>
        <w:t>织评审工作，全过程接受采购人、主管部门的监督、管理和指导。</w:t>
      </w:r>
    </w:p>
    <w:p w14:paraId="65CD59A8">
      <w:pPr>
        <w:spacing w:line="360" w:lineRule="auto"/>
        <w:ind w:left="567" w:hanging="56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1.4</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评审按照谈判文件规定的内容进行。</w:t>
      </w:r>
    </w:p>
    <w:p w14:paraId="11F56ED5">
      <w:pPr>
        <w:numPr>
          <w:ilvl w:val="1"/>
          <w:numId w:val="10"/>
        </w:numPr>
        <w:spacing w:line="360" w:lineRule="auto"/>
        <w:ind w:left="565" w:hanging="564" w:hangingChars="269"/>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CN"/>
        </w:rPr>
        <w:t>本办法的评审对象是指响应供应商按照谈判文件要求提供的有效响应文件，包括响应供应商应谈判小组要求对原响应文件作出的正式书面澄清文件。</w:t>
      </w:r>
    </w:p>
    <w:p w14:paraId="0FA98AF8">
      <w:pPr>
        <w:spacing w:line="360" w:lineRule="auto"/>
        <w:rPr>
          <w:rFonts w:ascii="宋体" w:hAnsi="宋体" w:cs="宋体"/>
          <w:color w:val="auto"/>
          <w:sz w:val="21"/>
          <w:szCs w:val="21"/>
          <w:highlight w:val="none"/>
          <w:lang w:val="zh-CN"/>
        </w:rPr>
      </w:pPr>
    </w:p>
    <w:p w14:paraId="7644F84C">
      <w:pPr>
        <w:tabs>
          <w:tab w:val="left" w:pos="360"/>
          <w:tab w:val="left" w:pos="600"/>
        </w:tabs>
        <w:spacing w:line="360" w:lineRule="auto"/>
        <w:ind w:left="600" w:hanging="600"/>
        <w:rPr>
          <w:rFonts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2、</w:t>
      </w:r>
      <w:r>
        <w:rPr>
          <w:rFonts w:hint="eastAsia" w:ascii="宋体" w:hAnsi="宋体" w:cs="宋体"/>
          <w:b/>
          <w:bCs/>
          <w:color w:val="auto"/>
          <w:sz w:val="21"/>
          <w:szCs w:val="21"/>
          <w:highlight w:val="none"/>
          <w:lang w:val="zh-CN"/>
        </w:rPr>
        <w:tab/>
      </w:r>
      <w:r>
        <w:rPr>
          <w:rFonts w:hint="eastAsia" w:ascii="宋体" w:hAnsi="宋体" w:cs="宋体"/>
          <w:b/>
          <w:bCs/>
          <w:color w:val="auto"/>
          <w:sz w:val="21"/>
          <w:szCs w:val="21"/>
          <w:highlight w:val="none"/>
          <w:lang w:val="zh-CN"/>
        </w:rPr>
        <w:t>谈判小组的组成</w:t>
      </w:r>
    </w:p>
    <w:p w14:paraId="4EF68241">
      <w:pPr>
        <w:tabs>
          <w:tab w:val="left" w:pos="567"/>
          <w:tab w:val="left" w:pos="1145"/>
        </w:tabs>
        <w:spacing w:line="360" w:lineRule="auto"/>
        <w:ind w:left="600" w:hanging="60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2.1</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谈判小组</w:t>
      </w:r>
      <w:r>
        <w:rPr>
          <w:rFonts w:hint="eastAsia" w:ascii="宋体" w:hAnsi="宋体" w:cs="宋体"/>
          <w:color w:val="auto"/>
          <w:sz w:val="21"/>
          <w:szCs w:val="21"/>
          <w:highlight w:val="none"/>
        </w:rPr>
        <w:t>由采购人和技术、经济等方面的专家组成，成员为3</w:t>
      </w:r>
      <w:r>
        <w:rPr>
          <w:rFonts w:ascii="宋体" w:hAnsi="宋体" w:cs="宋体"/>
          <w:color w:val="auto"/>
          <w:sz w:val="21"/>
          <w:szCs w:val="21"/>
          <w:highlight w:val="none"/>
        </w:rPr>
        <w:t>人以上（含</w:t>
      </w:r>
      <w:r>
        <w:rPr>
          <w:rFonts w:hint="eastAsia" w:ascii="宋体" w:hAnsi="宋体" w:cs="宋体"/>
          <w:color w:val="auto"/>
          <w:sz w:val="21"/>
          <w:szCs w:val="21"/>
          <w:highlight w:val="none"/>
        </w:rPr>
        <w:t>3</w:t>
      </w:r>
      <w:r>
        <w:rPr>
          <w:rFonts w:ascii="宋体" w:hAnsi="宋体" w:cs="宋体"/>
          <w:color w:val="auto"/>
          <w:sz w:val="21"/>
          <w:szCs w:val="21"/>
          <w:highlight w:val="none"/>
        </w:rPr>
        <w:t>人）单数</w:t>
      </w:r>
      <w:r>
        <w:rPr>
          <w:rFonts w:hint="eastAsia" w:ascii="宋体" w:hAnsi="宋体" w:cs="宋体"/>
          <w:color w:val="auto"/>
          <w:sz w:val="21"/>
          <w:szCs w:val="21"/>
          <w:highlight w:val="none"/>
        </w:rPr>
        <w:t>，其中技术、经济等方面的专家不少于成员总数的三分之二。</w:t>
      </w:r>
      <w:r>
        <w:rPr>
          <w:rFonts w:hint="eastAsia" w:ascii="宋体" w:hAnsi="宋体" w:cs="宋体"/>
          <w:color w:val="auto"/>
          <w:sz w:val="21"/>
          <w:szCs w:val="21"/>
          <w:highlight w:val="none"/>
          <w:lang w:val="zh-CN"/>
        </w:rPr>
        <w:t>专家依法从</w:t>
      </w:r>
      <w:r>
        <w:rPr>
          <w:rFonts w:hint="eastAsia" w:ascii="宋体" w:hAnsi="宋体" w:cs="宋体"/>
          <w:color w:val="auto"/>
          <w:sz w:val="21"/>
          <w:szCs w:val="21"/>
          <w:highlight w:val="none"/>
        </w:rPr>
        <w:t>专家库中随机抽取产生。</w:t>
      </w:r>
    </w:p>
    <w:p w14:paraId="61EFE12F">
      <w:pPr>
        <w:tabs>
          <w:tab w:val="left" w:pos="567"/>
          <w:tab w:val="left" w:pos="1145"/>
        </w:tabs>
        <w:spacing w:line="360" w:lineRule="auto"/>
        <w:ind w:left="600" w:hanging="60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2.2</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评审工作组由采购人、采购代理机构及有关专家组成，由谈判小组确认，并接受其领导。</w:t>
      </w:r>
    </w:p>
    <w:p w14:paraId="4A9EC5A7">
      <w:pPr>
        <w:spacing w:line="360" w:lineRule="auto"/>
        <w:ind w:left="600" w:hanging="60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2.3</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评审工作组分成谈判小组、采购代理机构秘书组。</w:t>
      </w:r>
    </w:p>
    <w:p w14:paraId="481181FE">
      <w:pPr>
        <w:spacing w:line="360" w:lineRule="auto"/>
        <w:ind w:left="600" w:hanging="60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2.4</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谈判小组应相对独立工作，负责评审、撰写评审报告。采购代理机构秘书组负责评审过程中资料的保管、发放、回收，协调技术和谈判小组评审工作的进展和整理、汇总评审资料及复核。</w:t>
      </w:r>
    </w:p>
    <w:p w14:paraId="62B4BD72">
      <w:pPr>
        <w:spacing w:line="360" w:lineRule="auto"/>
        <w:rPr>
          <w:rFonts w:ascii="宋体" w:hAnsi="宋体" w:cs="宋体"/>
          <w:color w:val="auto"/>
          <w:sz w:val="21"/>
          <w:szCs w:val="21"/>
          <w:highlight w:val="none"/>
          <w:lang w:val="zh-CN"/>
        </w:rPr>
      </w:pPr>
    </w:p>
    <w:p w14:paraId="4AD4A5E4">
      <w:pPr>
        <w:spacing w:line="360" w:lineRule="auto"/>
        <w:rPr>
          <w:rFonts w:ascii="宋体" w:hAnsi="宋体" w:cs="宋体"/>
          <w:color w:val="auto"/>
          <w:sz w:val="21"/>
          <w:szCs w:val="21"/>
          <w:highlight w:val="none"/>
          <w:lang w:val="zh-CN"/>
        </w:rPr>
      </w:pPr>
      <w:r>
        <w:rPr>
          <w:rFonts w:hint="eastAsia" w:ascii="宋体" w:hAnsi="宋体" w:cs="宋体"/>
          <w:b/>
          <w:color w:val="auto"/>
          <w:sz w:val="21"/>
          <w:szCs w:val="21"/>
          <w:highlight w:val="none"/>
          <w:lang w:val="zh-CN"/>
        </w:rPr>
        <w:t>3、</w:t>
      </w:r>
      <w:r>
        <w:rPr>
          <w:rFonts w:hint="eastAsia" w:ascii="宋体" w:hAnsi="宋体" w:cs="宋体"/>
          <w:b/>
          <w:bCs/>
          <w:color w:val="auto"/>
          <w:sz w:val="21"/>
          <w:szCs w:val="21"/>
          <w:highlight w:val="none"/>
          <w:lang w:val="zh-CN"/>
        </w:rPr>
        <w:t>谈判小组职责</w:t>
      </w:r>
    </w:p>
    <w:p w14:paraId="5AECEFBF">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3.1 审查响应文件是否符合谈判文件要求，并作出评价；</w:t>
      </w:r>
    </w:p>
    <w:p w14:paraId="4EB65D02">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3.2 要求响应供应商对响应文件有关事项作出解释或者澄清；</w:t>
      </w:r>
    </w:p>
    <w:p w14:paraId="451B01C6">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3.3</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 xml:space="preserve"> 推荐成交候选人名单及排序；</w:t>
      </w:r>
    </w:p>
    <w:p w14:paraId="381FDFEC">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3.4</w:t>
      </w:r>
      <w:r>
        <w:rPr>
          <w:rFonts w:hint="eastAsia" w:ascii="宋体" w:hAnsi="宋体" w:cs="宋体"/>
          <w:color w:val="auto"/>
          <w:sz w:val="21"/>
          <w:szCs w:val="21"/>
          <w:highlight w:val="none"/>
          <w:lang w:val="zh-CN"/>
        </w:rPr>
        <w:tab/>
      </w:r>
      <w:r>
        <w:rPr>
          <w:rFonts w:hint="eastAsia" w:ascii="宋体" w:hAnsi="宋体" w:cs="宋体"/>
          <w:color w:val="auto"/>
          <w:sz w:val="21"/>
          <w:szCs w:val="21"/>
          <w:highlight w:val="none"/>
          <w:lang w:val="zh-CN"/>
        </w:rPr>
        <w:t xml:space="preserve"> 向采购人、采购代理机构或者有关部门报告非法干预评审工作的行为。</w:t>
      </w:r>
    </w:p>
    <w:p w14:paraId="39DE3627">
      <w:pPr>
        <w:spacing w:line="360" w:lineRule="auto"/>
        <w:rPr>
          <w:rFonts w:ascii="宋体" w:hAnsi="宋体" w:cs="宋体"/>
          <w:color w:val="auto"/>
          <w:sz w:val="21"/>
          <w:szCs w:val="21"/>
          <w:highlight w:val="none"/>
          <w:lang w:val="zh-CN"/>
        </w:rPr>
      </w:pPr>
    </w:p>
    <w:p w14:paraId="1CD052B5">
      <w:pPr>
        <w:tabs>
          <w:tab w:val="left" w:pos="720"/>
        </w:tabs>
        <w:spacing w:line="360" w:lineRule="auto"/>
        <w:rPr>
          <w:rFonts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4、谈判小组义务</w:t>
      </w:r>
    </w:p>
    <w:p w14:paraId="7F01A9BD">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4.1  遵纪守法，客观、公正、廉洁地履行职责；</w:t>
      </w:r>
    </w:p>
    <w:p w14:paraId="7DD9BC81">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4.2  按照谈判文件规定的评审方法和评审标准进行评审，对评审意见承担个人责任；</w:t>
      </w:r>
    </w:p>
    <w:p w14:paraId="2521A304">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4.3  对评审过程和结果，以及响应供应商的商业秘密保密；</w:t>
      </w:r>
    </w:p>
    <w:p w14:paraId="16779790">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4.4  参与评审报告的起草；</w:t>
      </w:r>
    </w:p>
    <w:p w14:paraId="04FE3141">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4.5  配合有关部门的投诉处理工作；</w:t>
      </w:r>
    </w:p>
    <w:p w14:paraId="26B43819">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4.6  配合采购人、采购代理机构答复响应供应商提出的质疑、异议。</w:t>
      </w:r>
    </w:p>
    <w:p w14:paraId="6AD8D45F">
      <w:pPr>
        <w:tabs>
          <w:tab w:val="left" w:pos="720"/>
        </w:tabs>
        <w:spacing w:line="360" w:lineRule="auto"/>
        <w:rPr>
          <w:rFonts w:ascii="宋体" w:hAnsi="宋体" w:cs="宋体"/>
          <w:color w:val="auto"/>
          <w:sz w:val="21"/>
          <w:szCs w:val="21"/>
          <w:highlight w:val="none"/>
          <w:lang w:val="zh-CN"/>
        </w:rPr>
      </w:pPr>
    </w:p>
    <w:p w14:paraId="1B5830AF">
      <w:pPr>
        <w:tabs>
          <w:tab w:val="left" w:pos="1547"/>
        </w:tabs>
        <w:spacing w:line="360" w:lineRule="auto"/>
        <w:rPr>
          <w:rFonts w:ascii="宋体" w:hAnsi="宋体"/>
          <w:b/>
          <w:color w:val="auto"/>
          <w:sz w:val="21"/>
          <w:szCs w:val="21"/>
          <w:highlight w:val="none"/>
          <w:lang w:val="zh-CN"/>
        </w:rPr>
      </w:pPr>
      <w:r>
        <w:rPr>
          <w:rFonts w:hint="eastAsia" w:ascii="宋体" w:hAnsi="宋体" w:cs="宋体"/>
          <w:b/>
          <w:bCs/>
          <w:color w:val="auto"/>
          <w:sz w:val="21"/>
          <w:szCs w:val="21"/>
          <w:highlight w:val="none"/>
          <w:lang w:val="zh-CN"/>
        </w:rPr>
        <w:t>5、评审程序</w:t>
      </w:r>
    </w:p>
    <w:p w14:paraId="215059E8">
      <w:pPr>
        <w:spacing w:line="360" w:lineRule="auto"/>
        <w:ind w:left="567" w:hanging="567"/>
        <w:rPr>
          <w:rFonts w:ascii="宋体" w:hAnsi="宋体"/>
          <w:color w:val="auto"/>
          <w:sz w:val="21"/>
          <w:szCs w:val="21"/>
          <w:highlight w:val="none"/>
          <w:lang w:val="zh-CN"/>
        </w:rPr>
      </w:pPr>
      <w:r>
        <w:rPr>
          <w:rFonts w:hint="eastAsia" w:ascii="宋体" w:hAnsi="宋体"/>
          <w:b/>
          <w:color w:val="auto"/>
          <w:sz w:val="21"/>
          <w:szCs w:val="21"/>
          <w:highlight w:val="none"/>
          <w:lang w:val="zh-CN"/>
        </w:rPr>
        <w:t>竞争性谈判：</w:t>
      </w:r>
    </w:p>
    <w:p w14:paraId="2295D2D4">
      <w:pPr>
        <w:spacing w:line="360" w:lineRule="auto"/>
        <w:ind w:left="477" w:hanging="476" w:hangingChars="22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5.1</w:t>
      </w:r>
      <w:r>
        <w:rPr>
          <w:rFonts w:hint="eastAsia" w:ascii="宋体" w:hAnsi="宋体" w:cs="宋体"/>
          <w:color w:val="auto"/>
          <w:kern w:val="2"/>
          <w:sz w:val="21"/>
          <w:highlight w:val="none"/>
          <w:lang w:val="zh-CN"/>
        </w:rPr>
        <w:t xml:space="preserve"> </w:t>
      </w:r>
      <w:r>
        <w:rPr>
          <w:rFonts w:hint="eastAsia" w:ascii="宋体" w:hAnsi="宋体" w:cs="宋体"/>
          <w:color w:val="auto"/>
          <w:sz w:val="21"/>
          <w:szCs w:val="21"/>
          <w:highlight w:val="none"/>
          <w:lang w:val="zh-CN"/>
        </w:rPr>
        <w:t>评审首先由谈判小组对供应商的响应文件做资格性检查、符合性审查，对未能通过初审的响应文件不再进入下一阶段谈判。</w:t>
      </w:r>
    </w:p>
    <w:p w14:paraId="68C5D5AC">
      <w:pPr>
        <w:spacing w:line="360" w:lineRule="auto"/>
        <w:ind w:left="477" w:hanging="476" w:hangingChars="22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5.2</w:t>
      </w:r>
      <w:r>
        <w:rPr>
          <w:rFonts w:hint="eastAsia" w:ascii="宋体" w:hAnsi="宋体" w:cs="宋体"/>
          <w:color w:val="auto"/>
          <w:kern w:val="2"/>
          <w:sz w:val="21"/>
          <w:highlight w:val="none"/>
          <w:lang w:val="zh-CN"/>
        </w:rPr>
        <w:t xml:space="preserve"> </w:t>
      </w:r>
      <w:r>
        <w:rPr>
          <w:rFonts w:hint="eastAsia" w:ascii="宋体" w:hAnsi="宋体" w:cs="宋体"/>
          <w:color w:val="auto"/>
          <w:sz w:val="21"/>
          <w:szCs w:val="21"/>
          <w:highlight w:val="none"/>
          <w:lang w:val="zh-CN"/>
        </w:rPr>
        <w:t>谈判小组将集中与单一通过初审的供应商(以响应供应商签到时间顺序为准)分别进行现场谈判，并给予所有参加谈判的响应供应商平等的谈判机会。如需要，进行必要的澄清工</w:t>
      </w:r>
      <w:r>
        <w:rPr>
          <w:rFonts w:hint="eastAsia" w:ascii="宋体" w:hAnsi="宋体" w:cs="宋体"/>
          <w:color w:val="auto"/>
          <w:highlight w:val="none"/>
          <w:lang w:val="zh-CN"/>
        </w:rPr>
        <w:t>作</w:t>
      </w:r>
      <w:r>
        <w:rPr>
          <w:rFonts w:hint="eastAsia" w:ascii="宋体" w:hAnsi="宋体" w:cs="宋体"/>
          <w:color w:val="auto"/>
          <w:sz w:val="21"/>
          <w:szCs w:val="21"/>
          <w:highlight w:val="none"/>
          <w:lang w:val="zh-CN"/>
        </w:rPr>
        <w:t>。</w:t>
      </w:r>
    </w:p>
    <w:p w14:paraId="08A30C57">
      <w:pPr>
        <w:spacing w:line="360" w:lineRule="auto"/>
        <w:ind w:left="477" w:hanging="476" w:hangingChars="22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5.3</w:t>
      </w:r>
      <w:r>
        <w:rPr>
          <w:rFonts w:hint="eastAsia" w:ascii="宋体" w:hAnsi="宋体" w:cs="宋体"/>
          <w:color w:val="auto"/>
          <w:kern w:val="2"/>
          <w:sz w:val="21"/>
          <w:highlight w:val="none"/>
          <w:lang w:val="zh-CN"/>
        </w:rPr>
        <w:t xml:space="preserve"> </w:t>
      </w:r>
      <w:r>
        <w:rPr>
          <w:rFonts w:hint="eastAsia" w:ascii="宋体" w:hAnsi="宋体" w:cs="宋体"/>
          <w:color w:val="auto"/>
          <w:sz w:val="21"/>
          <w:szCs w:val="21"/>
          <w:highlight w:val="none"/>
          <w:lang w:val="zh-CN"/>
        </w:rPr>
        <w:t>谈判小组将逐一对响应文件初审合格的供应商首次报价进行谈判。</w:t>
      </w:r>
    </w:p>
    <w:p w14:paraId="721D2BD0">
      <w:pPr>
        <w:spacing w:line="360" w:lineRule="auto"/>
        <w:ind w:left="477" w:hanging="476" w:hangingChars="22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5.4</w:t>
      </w:r>
      <w:r>
        <w:rPr>
          <w:rFonts w:hint="eastAsia" w:ascii="宋体" w:hAnsi="宋体" w:cs="宋体"/>
          <w:color w:val="auto"/>
          <w:kern w:val="2"/>
          <w:sz w:val="21"/>
          <w:highlight w:val="none"/>
          <w:lang w:val="zh-CN"/>
        </w:rPr>
        <w:t xml:space="preserve"> </w:t>
      </w:r>
      <w:r>
        <w:rPr>
          <w:rFonts w:hint="eastAsia" w:ascii="宋体" w:hAnsi="宋体" w:cs="宋体"/>
          <w:color w:val="auto"/>
          <w:sz w:val="21"/>
          <w:szCs w:val="21"/>
          <w:highlight w:val="none"/>
          <w:lang w:val="zh-CN"/>
        </w:rPr>
        <w:t>在谈判过程中，谈判小组可以根据竞争性谈判文件和谈判情况实质性变动采购需求中的技术、 服务要求以及合同草案条款，但不得变动竞争性谈判文件中的其他内容。实质性变动的内容， 须经采购人确认，对竞争性谈判文件作出的实质性变动是竞争性谈判文件的有效组成部分，谈判小组应当及时以书面形式同时通知所有参加谈判的供应商。</w:t>
      </w:r>
    </w:p>
    <w:p w14:paraId="6426ABF8">
      <w:pPr>
        <w:spacing w:line="360" w:lineRule="auto"/>
        <w:ind w:left="477" w:hanging="476" w:hangingChars="22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5.5</w:t>
      </w:r>
      <w:r>
        <w:rPr>
          <w:rFonts w:hint="eastAsia" w:ascii="宋体" w:hAnsi="宋体" w:cs="宋体"/>
          <w:color w:val="auto"/>
          <w:kern w:val="2"/>
          <w:sz w:val="21"/>
          <w:highlight w:val="none"/>
          <w:lang w:val="zh-CN"/>
        </w:rPr>
        <w:t xml:space="preserve"> </w:t>
      </w:r>
      <w:r>
        <w:rPr>
          <w:rFonts w:hint="eastAsia" w:ascii="宋体" w:hAnsi="宋体" w:cs="宋体"/>
          <w:color w:val="auto"/>
          <w:sz w:val="21"/>
          <w:szCs w:val="21"/>
          <w:highlight w:val="none"/>
          <w:lang w:val="zh-CN"/>
        </w:rPr>
        <w:t>供应商应当按照竞争性谈判文件的变动情况和谈判小组的要求重新提交响应文件，并由其法定 代表人或授权代表签字或者加盖公章。由授权代表签字的，应当附法定代表人授权书。供应商为自然人的，应当由本人签字并附身份证明。</w:t>
      </w:r>
    </w:p>
    <w:p w14:paraId="3AA02807">
      <w:pPr>
        <w:spacing w:line="360" w:lineRule="auto"/>
        <w:ind w:left="477" w:hanging="476" w:hangingChars="22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5.6</w:t>
      </w:r>
      <w:r>
        <w:rPr>
          <w:rFonts w:hint="eastAsia" w:ascii="宋体" w:hAnsi="宋体" w:cs="宋体"/>
          <w:color w:val="auto"/>
          <w:kern w:val="2"/>
          <w:sz w:val="21"/>
          <w:highlight w:val="none"/>
          <w:lang w:val="zh-CN"/>
        </w:rPr>
        <w:t xml:space="preserve"> </w:t>
      </w:r>
      <w:r>
        <w:rPr>
          <w:rFonts w:hint="eastAsia" w:ascii="宋体" w:hAnsi="宋体" w:cs="宋体"/>
          <w:color w:val="auto"/>
          <w:sz w:val="21"/>
          <w:szCs w:val="21"/>
          <w:highlight w:val="none"/>
          <w:lang w:val="zh-CN"/>
        </w:rPr>
        <w:t>竞争性谈判文件能够详细列明采购标的的技术、服务要求的，谈判结束后，所有作出实质性响应的有效供应商应在规定的时间内集中密封提交最后报价(最后报价时间视谈判进程由谈判小组决定),最后报价是供应商响应文件的有效组成部分。如在谈判中谈判小组没有对本谈判文件作实质性变动增加新的需求，后一轮报价不得高于前一轮报价。</w:t>
      </w:r>
    </w:p>
    <w:p w14:paraId="2D2C73B4">
      <w:pPr>
        <w:spacing w:line="360" w:lineRule="auto"/>
        <w:ind w:left="477" w:hanging="476" w:hangingChars="22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cs="宋体"/>
          <w:color w:val="auto"/>
          <w:sz w:val="21"/>
          <w:szCs w:val="21"/>
          <w:highlight w:val="none"/>
        </w:rPr>
        <w:t>7</w:t>
      </w:r>
      <w:r>
        <w:rPr>
          <w:rFonts w:hint="eastAsia" w:ascii="宋体" w:hAnsi="宋体" w:cs="宋体"/>
          <w:color w:val="auto"/>
          <w:kern w:val="2"/>
          <w:sz w:val="21"/>
          <w:highlight w:val="none"/>
          <w:lang w:val="zh-CN"/>
        </w:rPr>
        <w:t xml:space="preserve"> </w:t>
      </w:r>
      <w:r>
        <w:rPr>
          <w:rFonts w:hint="eastAsia" w:ascii="宋体" w:hAnsi="宋体" w:cs="宋体"/>
          <w:color w:val="auto"/>
          <w:sz w:val="21"/>
          <w:szCs w:val="21"/>
          <w:highlight w:val="none"/>
          <w:lang w:val="zh-CN"/>
        </w:rPr>
        <w:t>谈判小组采用最低评标价法对供应商的响应文件和最后报价进行评审。</w:t>
      </w:r>
    </w:p>
    <w:p w14:paraId="1D5F8E18">
      <w:pPr>
        <w:spacing w:line="360" w:lineRule="auto"/>
        <w:ind w:left="477" w:hanging="476" w:hangingChars="22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cs="宋体"/>
          <w:color w:val="auto"/>
          <w:sz w:val="21"/>
          <w:szCs w:val="21"/>
          <w:highlight w:val="none"/>
        </w:rPr>
        <w:t>8</w:t>
      </w:r>
      <w:r>
        <w:rPr>
          <w:rFonts w:hint="eastAsia" w:ascii="宋体" w:hAnsi="宋体" w:cs="宋体"/>
          <w:color w:val="auto"/>
          <w:sz w:val="21"/>
          <w:szCs w:val="21"/>
          <w:highlight w:val="none"/>
          <w:lang w:val="zh-CN"/>
        </w:rPr>
        <w:t xml:space="preserve"> 谈判小组根据评审结果编写评审报告。</w:t>
      </w:r>
    </w:p>
    <w:p w14:paraId="75DAF00E">
      <w:pPr>
        <w:spacing w:line="360" w:lineRule="auto"/>
        <w:ind w:left="567" w:hanging="567"/>
        <w:rPr>
          <w:rFonts w:ascii="宋体" w:hAnsi="宋体"/>
          <w:b/>
          <w:color w:val="auto"/>
          <w:sz w:val="21"/>
          <w:szCs w:val="21"/>
          <w:highlight w:val="none"/>
          <w:lang w:val="zh-CN"/>
        </w:rPr>
      </w:pPr>
    </w:p>
    <w:p w14:paraId="6B3831E9">
      <w:pPr>
        <w:rPr>
          <w:color w:val="auto"/>
          <w:highlight w:val="none"/>
          <w:lang w:val="zh-CN"/>
        </w:rPr>
      </w:pPr>
    </w:p>
    <w:p w14:paraId="65DF95FA">
      <w:pPr>
        <w:tabs>
          <w:tab w:val="left" w:pos="1140"/>
        </w:tabs>
        <w:spacing w:line="360" w:lineRule="auto"/>
        <w:jc w:val="center"/>
        <w:rPr>
          <w:rFonts w:ascii="宋体" w:hAnsi="宋体" w:cs="宋体"/>
          <w:b/>
          <w:bCs/>
          <w:color w:val="auto"/>
          <w:sz w:val="28"/>
          <w:szCs w:val="28"/>
          <w:highlight w:val="none"/>
        </w:rPr>
      </w:pPr>
      <w:bookmarkStart w:id="451" w:name="_Toc19435_WPSOffice_Level1"/>
      <w:r>
        <w:rPr>
          <w:rFonts w:hint="eastAsia" w:ascii="宋体" w:hAnsi="宋体" w:cs="宋体"/>
          <w:b/>
          <w:bCs/>
          <w:color w:val="auto"/>
          <w:sz w:val="28"/>
          <w:szCs w:val="28"/>
          <w:highlight w:val="none"/>
          <w:lang w:val="zh-CN"/>
        </w:rPr>
        <w:t>二、响应文件的初审</w:t>
      </w:r>
      <w:bookmarkEnd w:id="451"/>
    </w:p>
    <w:p w14:paraId="4D898C09">
      <w:pPr>
        <w:spacing w:line="360" w:lineRule="auto"/>
        <w:jc w:val="both"/>
        <w:rPr>
          <w:rFonts w:ascii="宋体" w:hAnsi="宋体" w:cs="宋体"/>
          <w:b/>
          <w:color w:val="auto"/>
          <w:kern w:val="2"/>
          <w:sz w:val="21"/>
          <w:highlight w:val="none"/>
          <w:lang w:val="zh-CN"/>
        </w:rPr>
      </w:pPr>
      <w:r>
        <w:rPr>
          <w:rFonts w:hint="eastAsia" w:ascii="宋体" w:hAnsi="宋体" w:cs="宋体"/>
          <w:b/>
          <w:color w:val="auto"/>
          <w:kern w:val="2"/>
          <w:sz w:val="21"/>
          <w:highlight w:val="none"/>
          <w:lang w:val="zh-CN"/>
        </w:rPr>
        <w:t>6、响应文件的初审分为资格性检查和符合性检查。</w:t>
      </w:r>
    </w:p>
    <w:p w14:paraId="30CE048B">
      <w:pPr>
        <w:spacing w:line="360" w:lineRule="auto"/>
        <w:ind w:left="443" w:leftChars="8" w:hanging="424" w:hangingChars="202"/>
        <w:jc w:val="both"/>
        <w:rPr>
          <w:rFonts w:ascii="宋体" w:hAnsi="宋体" w:cs="宋体"/>
          <w:color w:val="auto"/>
          <w:kern w:val="2"/>
          <w:sz w:val="21"/>
          <w:highlight w:val="none"/>
          <w:lang w:val="zh-CN"/>
        </w:rPr>
      </w:pPr>
      <w:r>
        <w:rPr>
          <w:rFonts w:hint="eastAsia" w:ascii="宋体" w:hAnsi="宋体" w:cs="宋体"/>
          <w:color w:val="auto"/>
          <w:kern w:val="2"/>
          <w:sz w:val="21"/>
          <w:highlight w:val="none"/>
          <w:lang w:val="zh-CN"/>
        </w:rPr>
        <w:t>6.1 资格性检查是指谈判小组依据法律法规和竞争性谈判文件的规定，对响应文件中的资格证明、</w:t>
      </w:r>
      <w:r>
        <w:rPr>
          <w:rFonts w:hint="eastAsia" w:ascii="宋体" w:hAnsi="宋体" w:cs="宋体"/>
          <w:color w:val="auto"/>
          <w:kern w:val="2"/>
          <w:sz w:val="21"/>
          <w:highlight w:val="none"/>
        </w:rPr>
        <w:t>响应保证金</w:t>
      </w:r>
      <w:r>
        <w:rPr>
          <w:rFonts w:hint="eastAsia" w:ascii="宋体" w:hAnsi="宋体" w:cs="宋体"/>
          <w:color w:val="auto"/>
          <w:kern w:val="2"/>
          <w:sz w:val="21"/>
          <w:highlight w:val="none"/>
          <w:lang w:val="zh-CN"/>
        </w:rPr>
        <w:t>、</w:t>
      </w:r>
      <w:r>
        <w:rPr>
          <w:rFonts w:hint="eastAsia" w:ascii="宋体" w:hAnsi="宋体" w:cs="宋体"/>
          <w:color w:val="auto"/>
          <w:kern w:val="2"/>
          <w:sz w:val="21"/>
          <w:highlight w:val="none"/>
        </w:rPr>
        <w:t>供应商</w:t>
      </w:r>
      <w:r>
        <w:rPr>
          <w:rFonts w:hint="eastAsia" w:ascii="宋体" w:hAnsi="宋体" w:cs="宋体"/>
          <w:color w:val="auto"/>
          <w:kern w:val="2"/>
          <w:sz w:val="21"/>
          <w:highlight w:val="none"/>
          <w:lang w:val="zh-CN"/>
        </w:rPr>
        <w:t>（含其不具有独立法人资格的分支机构）信用（由</w:t>
      </w:r>
      <w:r>
        <w:rPr>
          <w:rFonts w:hint="eastAsia" w:ascii="宋体" w:hAnsi="宋体" w:cs="宋体"/>
          <w:color w:val="auto"/>
          <w:kern w:val="2"/>
          <w:sz w:val="21"/>
          <w:highlight w:val="none"/>
        </w:rPr>
        <w:t>采购</w:t>
      </w:r>
      <w:r>
        <w:rPr>
          <w:rFonts w:hint="eastAsia" w:ascii="宋体" w:hAnsi="宋体" w:cs="宋体"/>
          <w:color w:val="auto"/>
          <w:kern w:val="2"/>
          <w:sz w:val="21"/>
          <w:highlight w:val="none"/>
          <w:lang w:val="zh-CN"/>
        </w:rPr>
        <w:t>代理机构在递交</w:t>
      </w:r>
      <w:r>
        <w:rPr>
          <w:rFonts w:hint="eastAsia" w:ascii="宋体" w:hAnsi="宋体" w:cs="宋体"/>
          <w:color w:val="auto"/>
          <w:kern w:val="2"/>
          <w:sz w:val="21"/>
          <w:highlight w:val="none"/>
        </w:rPr>
        <w:t>响应</w:t>
      </w:r>
      <w:r>
        <w:rPr>
          <w:rFonts w:hint="eastAsia" w:ascii="宋体" w:hAnsi="宋体" w:cs="宋体"/>
          <w:color w:val="auto"/>
          <w:kern w:val="2"/>
          <w:sz w:val="21"/>
          <w:highlight w:val="none"/>
          <w:lang w:val="zh-CN"/>
        </w:rPr>
        <w:t>文件截止时间当天通过“信用中国”网站对</w:t>
      </w:r>
      <w:r>
        <w:rPr>
          <w:rFonts w:hint="eastAsia" w:ascii="宋体" w:hAnsi="宋体" w:cs="宋体"/>
          <w:color w:val="auto"/>
          <w:kern w:val="2"/>
          <w:sz w:val="21"/>
          <w:highlight w:val="none"/>
        </w:rPr>
        <w:t>供应商</w:t>
      </w:r>
      <w:r>
        <w:rPr>
          <w:rFonts w:hint="eastAsia" w:ascii="宋体" w:hAnsi="宋体" w:cs="宋体"/>
          <w:color w:val="auto"/>
          <w:kern w:val="2"/>
          <w:sz w:val="21"/>
          <w:highlight w:val="none"/>
          <w:lang w:val="zh-CN"/>
        </w:rPr>
        <w:t>信用进行查询，</w:t>
      </w:r>
      <w:r>
        <w:rPr>
          <w:rFonts w:hint="eastAsia" w:ascii="宋体" w:hAnsi="宋体" w:cs="宋体"/>
          <w:color w:val="auto"/>
          <w:kern w:val="2"/>
          <w:sz w:val="21"/>
          <w:highlight w:val="none"/>
        </w:rPr>
        <w:t>采购</w:t>
      </w:r>
      <w:r>
        <w:rPr>
          <w:rFonts w:hint="eastAsia" w:ascii="宋体" w:hAnsi="宋体" w:cs="宋体"/>
          <w:color w:val="auto"/>
          <w:kern w:val="2"/>
          <w:sz w:val="21"/>
          <w:highlight w:val="none"/>
          <w:lang w:val="zh-CN"/>
        </w:rPr>
        <w:t>代理机构将查询情况提交</w:t>
      </w:r>
      <w:r>
        <w:rPr>
          <w:rFonts w:hint="eastAsia" w:ascii="宋体" w:hAnsi="宋体" w:cs="宋体"/>
          <w:color w:val="auto"/>
          <w:kern w:val="2"/>
          <w:sz w:val="21"/>
          <w:highlight w:val="none"/>
        </w:rPr>
        <w:t>谈判小组</w:t>
      </w:r>
      <w:r>
        <w:rPr>
          <w:rFonts w:hint="eastAsia" w:ascii="宋体" w:hAnsi="宋体" w:cs="宋体"/>
          <w:color w:val="auto"/>
          <w:kern w:val="2"/>
          <w:sz w:val="21"/>
          <w:highlight w:val="none"/>
          <w:lang w:val="zh-CN"/>
        </w:rPr>
        <w:t>评审）等进行审查，以确定</w:t>
      </w:r>
      <w:r>
        <w:rPr>
          <w:rFonts w:hint="eastAsia" w:ascii="宋体" w:hAnsi="宋体" w:cs="宋体"/>
          <w:color w:val="auto"/>
          <w:kern w:val="2"/>
          <w:sz w:val="21"/>
          <w:highlight w:val="none"/>
        </w:rPr>
        <w:t>供应商</w:t>
      </w:r>
      <w:r>
        <w:rPr>
          <w:rFonts w:hint="eastAsia" w:ascii="宋体" w:hAnsi="宋体" w:cs="宋体"/>
          <w:color w:val="auto"/>
          <w:kern w:val="2"/>
          <w:sz w:val="21"/>
          <w:highlight w:val="none"/>
          <w:lang w:val="zh-CN"/>
        </w:rPr>
        <w:t>是否具备</w:t>
      </w:r>
      <w:r>
        <w:rPr>
          <w:rFonts w:hint="eastAsia" w:ascii="宋体" w:hAnsi="宋体" w:cs="宋体"/>
          <w:color w:val="auto"/>
          <w:kern w:val="2"/>
          <w:sz w:val="21"/>
          <w:highlight w:val="none"/>
        </w:rPr>
        <w:t>谈判</w:t>
      </w:r>
      <w:r>
        <w:rPr>
          <w:rFonts w:hint="eastAsia" w:ascii="宋体" w:hAnsi="宋体" w:cs="宋体"/>
          <w:color w:val="auto"/>
          <w:kern w:val="2"/>
          <w:sz w:val="21"/>
          <w:highlight w:val="none"/>
          <w:lang w:val="zh-CN"/>
        </w:rPr>
        <w:t>资格。</w:t>
      </w:r>
    </w:p>
    <w:p w14:paraId="6A912914">
      <w:pPr>
        <w:spacing w:line="360" w:lineRule="auto"/>
        <w:ind w:left="424" w:hanging="424" w:hangingChars="202"/>
        <w:jc w:val="both"/>
        <w:rPr>
          <w:rFonts w:ascii="宋体" w:hAnsi="宋体" w:cs="宋体"/>
          <w:b/>
          <w:bCs/>
          <w:color w:val="auto"/>
          <w:kern w:val="2"/>
          <w:sz w:val="21"/>
          <w:szCs w:val="21"/>
          <w:highlight w:val="none"/>
          <w:lang w:val="zh-CN"/>
        </w:rPr>
      </w:pPr>
      <w:r>
        <w:rPr>
          <w:rFonts w:hint="eastAsia" w:ascii="宋体" w:hAnsi="宋体" w:cs="宋体"/>
          <w:color w:val="auto"/>
          <w:kern w:val="2"/>
          <w:sz w:val="21"/>
          <w:highlight w:val="none"/>
          <w:lang w:val="zh-CN"/>
        </w:rPr>
        <w:t>6.2 符合性检查是指谈判小组依据竞争性谈判文件规定，从响应文件的有效性、完整性和对竞争性谈判文件的响应程度进行审查，以确定是否对竞争性谈判文件的实质性要求作出响应。实质性响应的谈判响应指的是符合竞争性谈判文件要求的全部“★”条款和验收标准而无任何重大偏离或保留。重大偏离或保留系指实质上影响到合同项下的服务范围、质量，</w:t>
      </w:r>
      <w:r>
        <w:rPr>
          <w:rFonts w:hint="eastAsia" w:ascii="宋体" w:hAnsi="宋体" w:cs="宋体"/>
          <w:color w:val="auto"/>
          <w:kern w:val="2"/>
          <w:sz w:val="21"/>
          <w:highlight w:val="none"/>
        </w:rPr>
        <w:t>或指与竞争性谈判文件有</w:t>
      </w:r>
      <w:r>
        <w:rPr>
          <w:rFonts w:hint="eastAsia" w:ascii="宋体" w:hAnsi="宋体" w:cs="宋体"/>
          <w:color w:val="auto"/>
          <w:kern w:val="2"/>
          <w:sz w:val="21"/>
          <w:highlight w:val="none"/>
          <w:lang w:val="zh-CN"/>
        </w:rPr>
        <w:t>实质不一致，限制了合同项下采购人的权利和承包人的义务, 或对该重大偏离的修改对提交实质性响应谈判的其他供应商将不公平。判小组决定竞争性谈判文件的响应性是基于响应文件的内容本身而不靠外部的证据。</w:t>
      </w:r>
      <w:r>
        <w:rPr>
          <w:rFonts w:hint="eastAsia" w:ascii="宋体" w:hAnsi="宋体" w:cs="宋体"/>
          <w:b/>
          <w:bCs/>
          <w:color w:val="auto"/>
          <w:kern w:val="2"/>
          <w:sz w:val="21"/>
          <w:szCs w:val="21"/>
          <w:highlight w:val="none"/>
          <w:u w:val="single"/>
          <w:lang w:val="zh-CN"/>
        </w:rPr>
        <w:t>对是否符合实质性响应竞争性谈判文件有争议的响应文件,谈判小组将以记名方式表决,</w:t>
      </w:r>
      <w:r>
        <w:rPr>
          <w:rFonts w:hint="eastAsia" w:ascii="宋体" w:hAnsi="宋体" w:cs="宋体"/>
          <w:b/>
          <w:bCs/>
          <w:color w:val="auto"/>
          <w:kern w:val="2"/>
          <w:sz w:val="21"/>
          <w:szCs w:val="21"/>
          <w:highlight w:val="none"/>
          <w:u w:val="single"/>
        </w:rPr>
        <w:t>根据少数服从多数的原则，获多数表决通过的供应商</w:t>
      </w:r>
      <w:r>
        <w:rPr>
          <w:rFonts w:hint="eastAsia" w:ascii="宋体" w:hAnsi="宋体" w:cs="宋体"/>
          <w:b/>
          <w:bCs/>
          <w:color w:val="auto"/>
          <w:kern w:val="2"/>
          <w:sz w:val="21"/>
          <w:szCs w:val="21"/>
          <w:highlight w:val="none"/>
          <w:u w:val="single"/>
          <w:lang w:val="zh-CN"/>
        </w:rPr>
        <w:t>才有资格进入下一阶段的评审,否则将被认定为无效响应文件</w:t>
      </w:r>
      <w:r>
        <w:rPr>
          <w:rFonts w:hint="eastAsia" w:ascii="宋体" w:hAnsi="宋体" w:cs="宋体"/>
          <w:b/>
          <w:bCs/>
          <w:color w:val="auto"/>
          <w:kern w:val="2"/>
          <w:sz w:val="21"/>
          <w:szCs w:val="21"/>
          <w:highlight w:val="none"/>
          <w:lang w:val="zh-CN"/>
        </w:rPr>
        <w:t>。</w:t>
      </w:r>
    </w:p>
    <w:p w14:paraId="5DE1C346">
      <w:pPr>
        <w:spacing w:line="360" w:lineRule="auto"/>
        <w:jc w:val="both"/>
        <w:rPr>
          <w:rFonts w:ascii="宋体" w:hAnsi="宋体" w:cs="宋体"/>
          <w:b/>
          <w:color w:val="auto"/>
          <w:kern w:val="2"/>
          <w:sz w:val="21"/>
          <w:szCs w:val="21"/>
          <w:highlight w:val="none"/>
          <w:lang w:val="zh-CN"/>
        </w:rPr>
      </w:pPr>
      <w:r>
        <w:rPr>
          <w:rFonts w:hint="eastAsia" w:ascii="宋体" w:hAnsi="宋体" w:cs="宋体"/>
          <w:b/>
          <w:color w:val="auto"/>
          <w:kern w:val="2"/>
          <w:sz w:val="21"/>
          <w:szCs w:val="21"/>
          <w:highlight w:val="none"/>
          <w:lang w:val="zh-CN"/>
        </w:rPr>
        <w:t>7、响应文件出现下列情况之一的，被认定为无效</w:t>
      </w:r>
      <w:r>
        <w:rPr>
          <w:rFonts w:hint="eastAsia" w:ascii="宋体" w:hAnsi="宋体" w:cs="宋体"/>
          <w:b/>
          <w:color w:val="auto"/>
          <w:kern w:val="2"/>
          <w:sz w:val="21"/>
          <w:szCs w:val="21"/>
          <w:highlight w:val="none"/>
        </w:rPr>
        <w:t>响应</w:t>
      </w:r>
      <w:r>
        <w:rPr>
          <w:rFonts w:hint="eastAsia" w:ascii="宋体" w:hAnsi="宋体" w:cs="宋体"/>
          <w:b/>
          <w:color w:val="auto"/>
          <w:kern w:val="2"/>
          <w:sz w:val="21"/>
          <w:szCs w:val="21"/>
          <w:highlight w:val="none"/>
          <w:lang w:val="zh-CN"/>
        </w:rPr>
        <w:t>：</w:t>
      </w:r>
    </w:p>
    <w:p w14:paraId="390D3A8F">
      <w:pPr>
        <w:pStyle w:val="187"/>
        <w:spacing w:line="360" w:lineRule="auto"/>
        <w:ind w:firstLine="0" w:firstLineChars="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7.1 </w:t>
      </w:r>
      <w:r>
        <w:rPr>
          <w:rFonts w:hint="eastAsia" w:ascii="宋体" w:hAnsi="宋体" w:eastAsia="宋体" w:cs="宋体"/>
          <w:b/>
          <w:color w:val="auto"/>
          <w:sz w:val="21"/>
          <w:szCs w:val="21"/>
          <w:highlight w:val="none"/>
          <w:u w:val="single"/>
        </w:rPr>
        <w:t>供应商未按竞争性谈判文件要求缴纳响应保证金</w:t>
      </w:r>
      <w:r>
        <w:rPr>
          <w:rFonts w:hint="eastAsia" w:ascii="宋体" w:hAnsi="宋体" w:eastAsia="宋体" w:cs="宋体"/>
          <w:b/>
          <w:color w:val="auto"/>
          <w:sz w:val="21"/>
          <w:szCs w:val="21"/>
          <w:highlight w:val="none"/>
        </w:rPr>
        <w:t>；</w:t>
      </w:r>
    </w:p>
    <w:p w14:paraId="4B8C4987">
      <w:pPr>
        <w:pStyle w:val="187"/>
        <w:spacing w:line="360" w:lineRule="auto"/>
        <w:ind w:firstLine="0" w:firstLineChars="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7.2 </w:t>
      </w:r>
      <w:r>
        <w:rPr>
          <w:rFonts w:hint="eastAsia" w:ascii="宋体" w:hAnsi="宋体" w:eastAsia="宋体" w:cs="宋体"/>
          <w:b/>
          <w:color w:val="auto"/>
          <w:sz w:val="21"/>
          <w:szCs w:val="21"/>
          <w:highlight w:val="none"/>
          <w:u w:val="single"/>
        </w:rPr>
        <w:t>下浮单价报价低于对应最低限价的</w:t>
      </w:r>
      <w:r>
        <w:rPr>
          <w:rFonts w:hint="eastAsia" w:ascii="宋体" w:hAnsi="宋体" w:eastAsia="宋体" w:cs="宋体"/>
          <w:b/>
          <w:color w:val="auto"/>
          <w:sz w:val="21"/>
          <w:szCs w:val="21"/>
          <w:highlight w:val="none"/>
        </w:rPr>
        <w:t>；</w:t>
      </w:r>
    </w:p>
    <w:p w14:paraId="5FEDA81E">
      <w:pPr>
        <w:tabs>
          <w:tab w:val="left" w:pos="567"/>
        </w:tabs>
        <w:spacing w:line="360" w:lineRule="auto"/>
        <w:ind w:left="632" w:hanging="632" w:hangingChars="300"/>
        <w:rPr>
          <w:rFonts w:ascii="宋体" w:hAnsi="宋体" w:cs="宋体"/>
          <w:b/>
          <w:color w:val="auto"/>
          <w:sz w:val="21"/>
          <w:szCs w:val="21"/>
          <w:highlight w:val="none"/>
        </w:rPr>
      </w:pPr>
      <w:r>
        <w:rPr>
          <w:rFonts w:hint="eastAsia" w:ascii="宋体" w:hAnsi="宋体" w:cs="宋体"/>
          <w:b/>
          <w:color w:val="auto"/>
          <w:sz w:val="21"/>
          <w:szCs w:val="21"/>
          <w:highlight w:val="none"/>
        </w:rPr>
        <w:t xml:space="preserve">7.3 </w:t>
      </w:r>
      <w:r>
        <w:rPr>
          <w:rFonts w:hint="eastAsia" w:ascii="宋体" w:hAnsi="宋体" w:cs="宋体"/>
          <w:b/>
          <w:color w:val="auto"/>
          <w:sz w:val="21"/>
          <w:szCs w:val="21"/>
          <w:highlight w:val="none"/>
          <w:u w:val="single"/>
        </w:rPr>
        <w:t>供应商以超出企业成本价报价，且供应商不能合理说明或不能提供相关证明材料</w:t>
      </w:r>
      <w:r>
        <w:rPr>
          <w:rFonts w:hint="eastAsia" w:ascii="宋体" w:hAnsi="宋体" w:cs="宋体"/>
          <w:b/>
          <w:color w:val="auto"/>
          <w:sz w:val="21"/>
          <w:szCs w:val="21"/>
          <w:highlight w:val="none"/>
        </w:rPr>
        <w:t>；</w:t>
      </w:r>
    </w:p>
    <w:p w14:paraId="3B576C34">
      <w:pPr>
        <w:pStyle w:val="187"/>
        <w:spacing w:line="360" w:lineRule="auto"/>
        <w:ind w:left="493" w:hanging="493" w:hangingChars="234"/>
        <w:rPr>
          <w:rFonts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 xml:space="preserve">7.4 </w:t>
      </w:r>
      <w:r>
        <w:rPr>
          <w:rFonts w:hint="eastAsia" w:ascii="宋体" w:hAnsi="宋体" w:eastAsia="宋体" w:cs="宋体"/>
          <w:b/>
          <w:color w:val="auto"/>
          <w:sz w:val="21"/>
          <w:szCs w:val="21"/>
          <w:highlight w:val="none"/>
          <w:u w:val="single"/>
        </w:rPr>
        <w:t>供应商不符合合格供应商的基本条件[含未提供资格证明文件，或供应商（含其不具有独立法人</w:t>
      </w:r>
    </w:p>
    <w:p w14:paraId="23DED08C">
      <w:pPr>
        <w:pStyle w:val="187"/>
        <w:spacing w:line="360" w:lineRule="auto"/>
        <w:ind w:left="418" w:leftChars="174" w:firstLine="0" w:firstLineChars="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、政府采购严重违法失信行为记录名单（处罚期限届满的除外）]</w:t>
      </w:r>
      <w:r>
        <w:rPr>
          <w:rFonts w:hint="eastAsia" w:ascii="宋体" w:hAnsi="宋体" w:eastAsia="宋体" w:cs="宋体"/>
          <w:b/>
          <w:color w:val="auto"/>
          <w:sz w:val="21"/>
          <w:szCs w:val="21"/>
          <w:highlight w:val="none"/>
        </w:rPr>
        <w:t>；</w:t>
      </w:r>
    </w:p>
    <w:p w14:paraId="35F3538A">
      <w:pPr>
        <w:pStyle w:val="187"/>
        <w:spacing w:line="360" w:lineRule="auto"/>
        <w:ind w:left="527" w:hanging="527" w:hangingChars="25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7.5 </w:t>
      </w:r>
      <w:r>
        <w:rPr>
          <w:rFonts w:hint="eastAsia" w:ascii="宋体" w:hAnsi="宋体" w:eastAsia="宋体" w:cs="宋体"/>
          <w:b/>
          <w:color w:val="auto"/>
          <w:sz w:val="21"/>
          <w:szCs w:val="21"/>
          <w:highlight w:val="none"/>
          <w:u w:val="single"/>
        </w:rPr>
        <w:t>响应文件未按照竞争性谈判文件规定要求密封；响应文件无法定代表人或其授权代表签字（或盖私章），或签字人无法定代表人有效授权的；签字盖章不符合竞争性谈判文件要求的</w:t>
      </w:r>
      <w:r>
        <w:rPr>
          <w:rFonts w:hint="eastAsia" w:ascii="宋体" w:hAnsi="宋体" w:eastAsia="宋体" w:cs="宋体"/>
          <w:b/>
          <w:color w:val="auto"/>
          <w:sz w:val="21"/>
          <w:szCs w:val="21"/>
          <w:highlight w:val="none"/>
        </w:rPr>
        <w:t xml:space="preserve">； </w:t>
      </w:r>
    </w:p>
    <w:p w14:paraId="52D8B650">
      <w:pPr>
        <w:pStyle w:val="187"/>
        <w:spacing w:line="360" w:lineRule="auto"/>
        <w:ind w:firstLine="0" w:firstLineChars="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7.6 </w:t>
      </w:r>
      <w:r>
        <w:rPr>
          <w:rFonts w:hint="eastAsia" w:ascii="宋体" w:hAnsi="宋体" w:eastAsia="宋体" w:cs="宋体"/>
          <w:b/>
          <w:color w:val="auto"/>
          <w:sz w:val="21"/>
          <w:szCs w:val="21"/>
          <w:highlight w:val="none"/>
          <w:u w:val="single"/>
        </w:rPr>
        <w:t>响应文件有效期限不符合要求</w:t>
      </w:r>
      <w:r>
        <w:rPr>
          <w:rFonts w:hint="eastAsia" w:ascii="宋体" w:hAnsi="宋体" w:eastAsia="宋体" w:cs="宋体"/>
          <w:b/>
          <w:color w:val="auto"/>
          <w:sz w:val="21"/>
          <w:szCs w:val="21"/>
          <w:highlight w:val="none"/>
        </w:rPr>
        <w:t>；</w:t>
      </w:r>
    </w:p>
    <w:p w14:paraId="5ED70B74">
      <w:pPr>
        <w:pStyle w:val="187"/>
        <w:spacing w:line="360" w:lineRule="auto"/>
        <w:ind w:firstLine="0" w:firstLineChars="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7.7 </w:t>
      </w:r>
      <w:r>
        <w:rPr>
          <w:rFonts w:hint="eastAsia" w:ascii="宋体" w:hAnsi="宋体" w:eastAsia="宋体" w:cs="宋体"/>
          <w:b/>
          <w:color w:val="auto"/>
          <w:sz w:val="21"/>
          <w:szCs w:val="21"/>
          <w:highlight w:val="none"/>
          <w:u w:val="single"/>
        </w:rPr>
        <w:t>响应文件未对对应采购范围内的全部内容进行响应报价或响应方案不是唯一</w:t>
      </w:r>
      <w:r>
        <w:rPr>
          <w:rFonts w:hint="eastAsia" w:ascii="宋体" w:hAnsi="宋体" w:eastAsia="宋体" w:cs="宋体"/>
          <w:b/>
          <w:color w:val="auto"/>
          <w:sz w:val="21"/>
          <w:szCs w:val="21"/>
          <w:highlight w:val="none"/>
        </w:rPr>
        <w:t>；</w:t>
      </w:r>
    </w:p>
    <w:p w14:paraId="7ADF4CA9">
      <w:pPr>
        <w:pStyle w:val="187"/>
        <w:spacing w:line="360" w:lineRule="auto"/>
        <w:ind w:left="493" w:hanging="493" w:hangingChars="234"/>
        <w:rPr>
          <w:rFonts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 xml:space="preserve">7.8 </w:t>
      </w:r>
      <w:r>
        <w:rPr>
          <w:rFonts w:hint="eastAsia" w:ascii="宋体" w:hAnsi="宋体" w:eastAsia="宋体" w:cs="宋体"/>
          <w:b/>
          <w:color w:val="auto"/>
          <w:sz w:val="21"/>
          <w:szCs w:val="21"/>
          <w:highlight w:val="none"/>
          <w:u w:val="single"/>
        </w:rPr>
        <w:t>未提供或虚假填写《合同条款偏离表》和《用户需求偏离表》的，或经谈判小组与供应商进行</w:t>
      </w:r>
    </w:p>
    <w:p w14:paraId="638CE255">
      <w:pPr>
        <w:pStyle w:val="187"/>
        <w:spacing w:line="360" w:lineRule="auto"/>
        <w:ind w:left="418" w:leftChars="174" w:firstLine="0" w:firstLineChars="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谈判后，供应商最终的《合同条款偏离表》响应条款有重大的负偏离导致采购人利益无法得到保障、存在采购人无法接受的风险的</w:t>
      </w:r>
      <w:r>
        <w:rPr>
          <w:rFonts w:hint="eastAsia" w:ascii="宋体" w:hAnsi="宋体" w:eastAsia="宋体" w:cs="宋体"/>
          <w:b/>
          <w:color w:val="auto"/>
          <w:sz w:val="21"/>
          <w:szCs w:val="21"/>
          <w:highlight w:val="none"/>
        </w:rPr>
        <w:t>。</w:t>
      </w:r>
    </w:p>
    <w:p w14:paraId="2ED3C94C">
      <w:pPr>
        <w:pStyle w:val="187"/>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7.9 </w:t>
      </w:r>
      <w:r>
        <w:rPr>
          <w:rFonts w:hint="eastAsia" w:ascii="宋体" w:hAnsi="宋体" w:eastAsia="宋体" w:cs="宋体"/>
          <w:b/>
          <w:color w:val="auto"/>
          <w:sz w:val="21"/>
          <w:szCs w:val="21"/>
          <w:highlight w:val="none"/>
          <w:u w:val="single"/>
        </w:rPr>
        <w:t>未实质性满足竞争性谈判文件提出的实质性要求和条件（标注★的条款）</w:t>
      </w:r>
      <w:r>
        <w:rPr>
          <w:rFonts w:hint="eastAsia" w:ascii="宋体" w:hAnsi="宋体" w:eastAsia="宋体" w:cs="宋体"/>
          <w:b/>
          <w:color w:val="auto"/>
          <w:sz w:val="21"/>
          <w:szCs w:val="21"/>
          <w:highlight w:val="none"/>
        </w:rPr>
        <w:t>。</w:t>
      </w:r>
    </w:p>
    <w:p w14:paraId="0DDE2A1A">
      <w:pPr>
        <w:spacing w:line="360" w:lineRule="auto"/>
        <w:ind w:left="315" w:hanging="315" w:hangingChars="150"/>
        <w:jc w:val="both"/>
        <w:rPr>
          <w:rFonts w:ascii="宋体" w:hAnsi="宋体" w:cs="宋体"/>
          <w:color w:val="auto"/>
          <w:sz w:val="21"/>
          <w:szCs w:val="21"/>
          <w:highlight w:val="none"/>
          <w:lang w:val="zh-CN"/>
        </w:rPr>
      </w:pPr>
    </w:p>
    <w:p w14:paraId="1F01D17C">
      <w:pPr>
        <w:spacing w:line="360" w:lineRule="auto"/>
        <w:ind w:left="271" w:hanging="270" w:hangingChars="129"/>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8、谈判小组应当书面要求存在细微偏差的供应商在谈判评审结束前予以补正。细微偏差是指响应文件在实质上响应竞争性谈判文件要求，但在个别地方存在漏项或者提供了不完整的技术方案信息和数据等情况，并且补正这些遗漏或者不完整不会对其他供应商造成不公平的结果。细微偏差不影响响应文件的有效性。</w:t>
      </w:r>
    </w:p>
    <w:p w14:paraId="23CE31B4">
      <w:pPr>
        <w:pStyle w:val="187"/>
        <w:spacing w:line="360" w:lineRule="auto"/>
        <w:ind w:left="735" w:firstLine="0" w:firstLineChars="0"/>
        <w:rPr>
          <w:rFonts w:ascii="宋体" w:hAnsi="宋体" w:eastAsia="宋体" w:cs="宋体"/>
          <w:b/>
          <w:color w:val="auto"/>
          <w:sz w:val="21"/>
          <w:szCs w:val="21"/>
          <w:highlight w:val="none"/>
        </w:rPr>
      </w:pPr>
    </w:p>
    <w:p w14:paraId="38558DF3">
      <w:pPr>
        <w:spacing w:line="360" w:lineRule="auto"/>
        <w:ind w:left="480"/>
        <w:rPr>
          <w:rFonts w:ascii="宋体" w:hAnsi="宋体" w:cs="宋体"/>
          <w:b/>
          <w:color w:val="auto"/>
          <w:sz w:val="21"/>
          <w:szCs w:val="21"/>
          <w:highlight w:val="none"/>
        </w:rPr>
      </w:pPr>
    </w:p>
    <w:p w14:paraId="453368A9">
      <w:pPr>
        <w:tabs>
          <w:tab w:val="left" w:pos="1140"/>
        </w:tabs>
        <w:spacing w:line="360" w:lineRule="auto"/>
        <w:jc w:val="center"/>
        <w:rPr>
          <w:rFonts w:ascii="宋体" w:hAnsi="宋体" w:cs="宋体"/>
          <w:b/>
          <w:bCs/>
          <w:color w:val="auto"/>
          <w:sz w:val="21"/>
          <w:szCs w:val="21"/>
          <w:highlight w:val="none"/>
        </w:rPr>
      </w:pPr>
      <w:bookmarkStart w:id="452" w:name="_Toc4109_WPSOffice_Level1"/>
      <w:r>
        <w:rPr>
          <w:rFonts w:hint="eastAsia" w:ascii="宋体" w:hAnsi="宋体" w:cs="宋体"/>
          <w:b/>
          <w:bCs/>
          <w:color w:val="auto"/>
          <w:sz w:val="21"/>
          <w:szCs w:val="21"/>
          <w:highlight w:val="none"/>
          <w:lang w:val="zh-CN"/>
        </w:rPr>
        <w:t>三、澄清有关问题</w:t>
      </w:r>
      <w:bookmarkEnd w:id="452"/>
    </w:p>
    <w:p w14:paraId="6042FCE0">
      <w:pPr>
        <w:spacing w:line="360" w:lineRule="auto"/>
        <w:ind w:left="271" w:hanging="270" w:hangingChars="129"/>
        <w:jc w:val="both"/>
        <w:rPr>
          <w:rFonts w:ascii="宋体" w:hAnsi="宋体" w:cs="宋体"/>
          <w:color w:val="auto"/>
          <w:sz w:val="21"/>
          <w:szCs w:val="21"/>
          <w:highlight w:val="none"/>
          <w:lang w:val="zh-CN"/>
        </w:rPr>
      </w:pPr>
      <w:bookmarkStart w:id="453" w:name="_Toc8518_WPSOffice_Level1"/>
      <w:r>
        <w:rPr>
          <w:rFonts w:hint="eastAsia" w:ascii="宋体" w:hAnsi="宋体" w:cs="宋体"/>
          <w:color w:val="auto"/>
          <w:sz w:val="21"/>
          <w:szCs w:val="21"/>
          <w:highlight w:val="none"/>
          <w:lang w:val="zh-CN"/>
        </w:rPr>
        <w:t>9、在响应文件的商务、技术资格性检查及符合性检查过程中，供应商可应谈判小组要求对响应文件中有关问题进行书面澄清。该书面澄清作为其响应文件的一部分。</w:t>
      </w:r>
    </w:p>
    <w:p w14:paraId="04EC0348">
      <w:pPr>
        <w:spacing w:line="360" w:lineRule="auto"/>
        <w:ind w:left="420" w:hanging="420" w:hanging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9.1</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zh-CN"/>
        </w:rPr>
        <w:t>对</w:t>
      </w:r>
      <w:r>
        <w:rPr>
          <w:rFonts w:hint="eastAsia" w:ascii="宋体" w:hAnsi="宋体" w:cs="宋体"/>
          <w:color w:val="auto"/>
          <w:sz w:val="21"/>
          <w:szCs w:val="21"/>
          <w:highlight w:val="none"/>
          <w:lang w:val="zh-CN"/>
        </w:rPr>
        <w:t>响应文件</w:t>
      </w:r>
      <w:r>
        <w:rPr>
          <w:rFonts w:hint="eastAsia" w:ascii="宋体" w:hAnsi="宋体" w:cs="宋体"/>
          <w:color w:val="auto"/>
          <w:kern w:val="2"/>
          <w:sz w:val="21"/>
          <w:szCs w:val="21"/>
          <w:highlight w:val="none"/>
          <w:lang w:val="zh-CN"/>
        </w:rPr>
        <w:t>中含义不明确、同类问题表述不一致或者有明显文字和计算错误的内容，谈判小组可以书面形式（由谈判小组成员签字）要求供应商作出必要的澄清、说明或者纠正。</w:t>
      </w:r>
    </w:p>
    <w:p w14:paraId="6D4695D4">
      <w:pPr>
        <w:spacing w:line="360" w:lineRule="auto"/>
        <w:ind w:left="420" w:hanging="420" w:hanging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9.2 供应商的澄清、说明或者纠正应当采用书面形式，由其授权的代表签字，并不得超出响应文件的范围或者改变响应文件的实质性内容。</w:t>
      </w:r>
    </w:p>
    <w:p w14:paraId="47EEDA74">
      <w:pPr>
        <w:spacing w:line="360" w:lineRule="auto"/>
        <w:ind w:left="420" w:right="18" w:hanging="420" w:hanging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9.3 经过澄清后仍不符合要求，则该项目在下一步评审进行评分调整；若重大（实质性）偏差仍存在，且不可接受，供应商则被认为是“不响应竞争性谈判文件要求的供应商”，不再进入下一步评审。</w:t>
      </w:r>
    </w:p>
    <w:p w14:paraId="313F7879">
      <w:pPr>
        <w:pStyle w:val="187"/>
        <w:spacing w:line="360" w:lineRule="auto"/>
        <w:ind w:left="424" w:hanging="424" w:hanging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9.4 竞争性谈判文件计算错误的修正</w:t>
      </w:r>
    </w:p>
    <w:p w14:paraId="6AFD75BF">
      <w:pPr>
        <w:widowControl/>
        <w:tabs>
          <w:tab w:val="left" w:pos="709"/>
          <w:tab w:val="left" w:pos="851"/>
        </w:tabs>
        <w:autoSpaceDE/>
        <w:autoSpaceDN/>
        <w:adjustRightInd/>
        <w:snapToGrid w:val="0"/>
        <w:spacing w:line="360" w:lineRule="auto"/>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（1）当以数字表示的金额与以文字表示的金额不一致时，以文字表示的金额为准；</w:t>
      </w:r>
    </w:p>
    <w:p w14:paraId="189B1EA5">
      <w:pPr>
        <w:spacing w:line="360" w:lineRule="auto"/>
        <w:ind w:left="422" w:hanging="422" w:hangingChars="200"/>
        <w:jc w:val="both"/>
        <w:rPr>
          <w:rFonts w:ascii="宋体" w:hAnsi="宋体" w:cs="宋体"/>
          <w:b/>
          <w:bCs/>
          <w:color w:val="auto"/>
          <w:kern w:val="2"/>
          <w:sz w:val="21"/>
          <w:szCs w:val="21"/>
          <w:highlight w:val="none"/>
          <w:lang w:val="zh-CN"/>
        </w:rPr>
      </w:pPr>
      <w:r>
        <w:rPr>
          <w:rFonts w:hint="eastAsia" w:ascii="宋体" w:hAnsi="宋体" w:cs="宋体"/>
          <w:b/>
          <w:bCs/>
          <w:color w:val="auto"/>
          <w:kern w:val="2"/>
          <w:sz w:val="21"/>
          <w:szCs w:val="21"/>
          <w:highlight w:val="none"/>
          <w:lang w:val="zh-CN"/>
        </w:rPr>
        <w:t xml:space="preserve">9.5 </w:t>
      </w:r>
      <w:r>
        <w:rPr>
          <w:rFonts w:hint="eastAsia" w:ascii="宋体" w:hAnsi="宋体" w:cs="宋体"/>
          <w:b/>
          <w:bCs/>
          <w:color w:val="auto"/>
          <w:kern w:val="2"/>
          <w:sz w:val="21"/>
          <w:szCs w:val="21"/>
          <w:highlight w:val="none"/>
          <w:u w:val="single"/>
          <w:lang w:val="zh-CN"/>
        </w:rPr>
        <w:t>谈判小组按上述修正误差的原则调整的价格对其响应供应商具有约束力。如果响应供应商不接受修正后的价格，其</w:t>
      </w:r>
      <w:r>
        <w:rPr>
          <w:rFonts w:hint="eastAsia" w:ascii="宋体" w:hAnsi="宋体" w:cs="宋体"/>
          <w:b/>
          <w:bCs/>
          <w:color w:val="auto"/>
          <w:kern w:val="2"/>
          <w:sz w:val="21"/>
          <w:szCs w:val="21"/>
          <w:highlight w:val="none"/>
          <w:u w:val="single"/>
        </w:rPr>
        <w:t>响应</w:t>
      </w:r>
      <w:r>
        <w:rPr>
          <w:rFonts w:hint="eastAsia" w:ascii="宋体" w:hAnsi="宋体" w:cs="宋体"/>
          <w:b/>
          <w:bCs/>
          <w:color w:val="auto"/>
          <w:kern w:val="2"/>
          <w:sz w:val="21"/>
          <w:szCs w:val="21"/>
          <w:highlight w:val="none"/>
          <w:u w:val="single"/>
          <w:lang w:val="zh-CN"/>
        </w:rPr>
        <w:t>将被拒绝，</w:t>
      </w:r>
      <w:r>
        <w:rPr>
          <w:rFonts w:hint="eastAsia" w:ascii="宋体" w:hAnsi="宋体" w:cs="宋体"/>
          <w:b/>
          <w:bCs/>
          <w:color w:val="auto"/>
          <w:kern w:val="2"/>
          <w:sz w:val="21"/>
          <w:szCs w:val="21"/>
          <w:highlight w:val="none"/>
          <w:u w:val="single"/>
        </w:rPr>
        <w:t>作为无效响应处理</w:t>
      </w:r>
      <w:r>
        <w:rPr>
          <w:rFonts w:hint="eastAsia" w:ascii="宋体" w:hAnsi="宋体" w:cs="宋体"/>
          <w:b/>
          <w:bCs/>
          <w:color w:val="auto"/>
          <w:kern w:val="2"/>
          <w:sz w:val="21"/>
          <w:szCs w:val="21"/>
          <w:highlight w:val="none"/>
          <w:lang w:val="zh-CN"/>
        </w:rPr>
        <w:t>。</w:t>
      </w:r>
    </w:p>
    <w:p w14:paraId="11F355F8">
      <w:pPr>
        <w:spacing w:line="360" w:lineRule="auto"/>
        <w:ind w:left="420" w:hanging="420" w:hangingChars="200"/>
        <w:jc w:val="both"/>
        <w:rPr>
          <w:rFonts w:ascii="宋体" w:hAnsi="宋体" w:cs="宋体"/>
          <w:color w:val="auto"/>
          <w:kern w:val="2"/>
          <w:sz w:val="21"/>
          <w:szCs w:val="21"/>
          <w:highlight w:val="none"/>
          <w:lang w:val="zh-CN"/>
        </w:rPr>
      </w:pPr>
      <w:r>
        <w:rPr>
          <w:rFonts w:hint="eastAsia" w:ascii="宋体" w:hAnsi="宋体" w:cs="宋体"/>
          <w:color w:val="auto"/>
          <w:kern w:val="2"/>
          <w:sz w:val="21"/>
          <w:szCs w:val="21"/>
          <w:highlight w:val="none"/>
        </w:rPr>
        <w:t xml:space="preserve">9.6 </w:t>
      </w:r>
      <w:r>
        <w:rPr>
          <w:rFonts w:hint="eastAsia" w:ascii="宋体" w:hAnsi="宋体" w:cs="宋体"/>
          <w:bCs/>
          <w:color w:val="auto"/>
          <w:sz w:val="21"/>
          <w:szCs w:val="21"/>
          <w:highlight w:val="none"/>
          <w:lang w:val="zh-CN"/>
        </w:rPr>
        <w:t>若</w:t>
      </w:r>
      <w:r>
        <w:rPr>
          <w:rFonts w:hint="eastAsia" w:ascii="宋体" w:hAnsi="宋体" w:cs="宋体"/>
          <w:bCs/>
          <w:color w:val="auto"/>
          <w:sz w:val="21"/>
          <w:szCs w:val="21"/>
          <w:highlight w:val="none"/>
        </w:rPr>
        <w:t>供应商</w:t>
      </w:r>
      <w:r>
        <w:rPr>
          <w:rFonts w:hint="eastAsia" w:ascii="宋体" w:hAnsi="宋体" w:cs="宋体"/>
          <w:bCs/>
          <w:color w:val="auto"/>
          <w:sz w:val="21"/>
          <w:szCs w:val="21"/>
          <w:highlight w:val="none"/>
          <w:lang w:val="zh-CN"/>
        </w:rPr>
        <w:t>出现</w:t>
      </w:r>
      <w:r>
        <w:rPr>
          <w:rFonts w:hint="eastAsia" w:ascii="宋体" w:hAnsi="宋体" w:cs="宋体"/>
          <w:bCs/>
          <w:color w:val="auto"/>
          <w:sz w:val="21"/>
          <w:szCs w:val="21"/>
          <w:highlight w:val="none"/>
        </w:rPr>
        <w:t>不合理报价</w:t>
      </w:r>
      <w:r>
        <w:rPr>
          <w:rFonts w:hint="eastAsia" w:ascii="宋体" w:hAnsi="宋体" w:cs="宋体"/>
          <w:bCs/>
          <w:color w:val="auto"/>
          <w:sz w:val="21"/>
          <w:szCs w:val="21"/>
          <w:highlight w:val="none"/>
          <w:lang w:val="zh-CN"/>
        </w:rPr>
        <w:t>，有可能影响服务质量和不能诚信履约的，</w:t>
      </w:r>
      <w:r>
        <w:rPr>
          <w:rFonts w:hint="eastAsia" w:ascii="宋体" w:hAnsi="宋体" w:cs="宋体"/>
          <w:bCs/>
          <w:color w:val="auto"/>
          <w:sz w:val="21"/>
          <w:szCs w:val="21"/>
          <w:highlight w:val="none"/>
        </w:rPr>
        <w:t>谈判小组</w:t>
      </w:r>
      <w:r>
        <w:rPr>
          <w:rFonts w:hint="eastAsia" w:ascii="宋体" w:hAnsi="宋体" w:cs="宋体"/>
          <w:bCs/>
          <w:color w:val="auto"/>
          <w:sz w:val="21"/>
          <w:szCs w:val="21"/>
          <w:highlight w:val="none"/>
          <w:lang w:val="zh-CN"/>
        </w:rPr>
        <w:t>将要求该</w:t>
      </w:r>
      <w:r>
        <w:rPr>
          <w:rFonts w:hint="eastAsia" w:ascii="宋体" w:hAnsi="宋体" w:cs="宋体"/>
          <w:bCs/>
          <w:color w:val="auto"/>
          <w:sz w:val="21"/>
          <w:szCs w:val="21"/>
          <w:highlight w:val="none"/>
        </w:rPr>
        <w:t>供应商</w:t>
      </w:r>
      <w:r>
        <w:rPr>
          <w:rFonts w:hint="eastAsia" w:ascii="宋体" w:hAnsi="宋体" w:cs="宋体"/>
          <w:bCs/>
          <w:color w:val="auto"/>
          <w:sz w:val="21"/>
          <w:szCs w:val="21"/>
          <w:highlight w:val="none"/>
          <w:lang w:val="zh-CN"/>
        </w:rPr>
        <w:t>作出书面说明并提供相关证明材料，以确定</w:t>
      </w:r>
      <w:r>
        <w:rPr>
          <w:rFonts w:hint="eastAsia" w:ascii="宋体" w:hAnsi="宋体" w:cs="宋体"/>
          <w:bCs/>
          <w:color w:val="auto"/>
          <w:sz w:val="21"/>
          <w:szCs w:val="21"/>
          <w:highlight w:val="none"/>
        </w:rPr>
        <w:t>供应商</w:t>
      </w:r>
      <w:r>
        <w:rPr>
          <w:rFonts w:hint="eastAsia" w:ascii="宋体" w:hAnsi="宋体" w:cs="宋体"/>
          <w:bCs/>
          <w:color w:val="auto"/>
          <w:sz w:val="21"/>
          <w:szCs w:val="21"/>
          <w:highlight w:val="none"/>
          <w:lang w:val="zh-CN"/>
        </w:rPr>
        <w:t>是否以超出企业成本价报价。</w:t>
      </w:r>
      <w:r>
        <w:rPr>
          <w:rFonts w:hint="eastAsia" w:ascii="宋体" w:hAnsi="宋体" w:cs="宋体"/>
          <w:b/>
          <w:color w:val="auto"/>
          <w:sz w:val="21"/>
          <w:szCs w:val="21"/>
          <w:highlight w:val="none"/>
          <w:u w:val="single"/>
          <w:lang w:val="zh-CN"/>
        </w:rPr>
        <w:t>若</w:t>
      </w:r>
      <w:r>
        <w:rPr>
          <w:rFonts w:hint="eastAsia" w:ascii="宋体" w:hAnsi="宋体" w:cs="宋体"/>
          <w:b/>
          <w:color w:val="auto"/>
          <w:sz w:val="21"/>
          <w:szCs w:val="21"/>
          <w:highlight w:val="none"/>
          <w:u w:val="single"/>
        </w:rPr>
        <w:t>供应商</w:t>
      </w:r>
      <w:r>
        <w:rPr>
          <w:rFonts w:hint="eastAsia" w:ascii="宋体" w:hAnsi="宋体" w:cs="宋体"/>
          <w:b/>
          <w:color w:val="auto"/>
          <w:sz w:val="21"/>
          <w:szCs w:val="21"/>
          <w:highlight w:val="none"/>
          <w:u w:val="single"/>
          <w:lang w:val="zh-CN"/>
        </w:rPr>
        <w:t>不能合理说明或不能提供相关证明材料的，</w:t>
      </w:r>
      <w:r>
        <w:rPr>
          <w:rFonts w:hint="eastAsia" w:ascii="宋体" w:hAnsi="宋体" w:cs="宋体"/>
          <w:b/>
          <w:color w:val="auto"/>
          <w:sz w:val="21"/>
          <w:szCs w:val="21"/>
          <w:highlight w:val="none"/>
          <w:u w:val="single"/>
        </w:rPr>
        <w:t>谈判小组</w:t>
      </w:r>
      <w:r>
        <w:rPr>
          <w:rFonts w:hint="eastAsia" w:ascii="宋体" w:hAnsi="宋体" w:cs="宋体"/>
          <w:b/>
          <w:color w:val="auto"/>
          <w:sz w:val="21"/>
          <w:szCs w:val="21"/>
          <w:highlight w:val="none"/>
          <w:u w:val="single"/>
          <w:lang w:val="zh-CN"/>
        </w:rPr>
        <w:t>将认定其</w:t>
      </w:r>
      <w:r>
        <w:rPr>
          <w:rFonts w:hint="eastAsia" w:ascii="宋体" w:hAnsi="宋体" w:cs="宋体"/>
          <w:b/>
          <w:color w:val="auto"/>
          <w:sz w:val="21"/>
          <w:szCs w:val="21"/>
          <w:highlight w:val="none"/>
          <w:u w:val="single"/>
        </w:rPr>
        <w:t>响应</w:t>
      </w:r>
      <w:r>
        <w:rPr>
          <w:rFonts w:hint="eastAsia" w:ascii="宋体" w:hAnsi="宋体" w:cs="宋体"/>
          <w:b/>
          <w:color w:val="auto"/>
          <w:sz w:val="21"/>
          <w:szCs w:val="21"/>
          <w:highlight w:val="none"/>
          <w:u w:val="single"/>
          <w:lang w:val="zh-CN"/>
        </w:rPr>
        <w:t>报价超出成本，同时否决其</w:t>
      </w:r>
      <w:r>
        <w:rPr>
          <w:rFonts w:hint="eastAsia" w:ascii="宋体" w:hAnsi="宋体" w:cs="宋体"/>
          <w:b/>
          <w:color w:val="auto"/>
          <w:sz w:val="21"/>
          <w:szCs w:val="21"/>
          <w:highlight w:val="none"/>
          <w:u w:val="single"/>
        </w:rPr>
        <w:t>递交的响应文件</w:t>
      </w:r>
      <w:r>
        <w:rPr>
          <w:rFonts w:hint="eastAsia" w:ascii="宋体" w:hAnsi="宋体" w:cs="宋体"/>
          <w:b/>
          <w:color w:val="auto"/>
          <w:sz w:val="21"/>
          <w:szCs w:val="21"/>
          <w:highlight w:val="none"/>
          <w:lang w:val="zh-CN"/>
        </w:rPr>
        <w:t>。</w:t>
      </w:r>
    </w:p>
    <w:p w14:paraId="3F35BD25">
      <w:pPr>
        <w:spacing w:line="360" w:lineRule="auto"/>
        <w:jc w:val="center"/>
        <w:rPr>
          <w:rFonts w:ascii="宋体" w:hAnsi="宋体" w:cs="宋体"/>
          <w:b/>
          <w:bCs/>
          <w:color w:val="auto"/>
          <w:sz w:val="21"/>
          <w:szCs w:val="21"/>
          <w:highlight w:val="none"/>
          <w:lang w:val="zh-CN"/>
        </w:rPr>
      </w:pPr>
    </w:p>
    <w:p w14:paraId="0BA61B2C">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zh-CN"/>
        </w:rPr>
        <w:t>四、谈判和</w:t>
      </w:r>
      <w:bookmarkEnd w:id="453"/>
      <w:r>
        <w:rPr>
          <w:rFonts w:hint="eastAsia" w:ascii="宋体" w:hAnsi="宋体" w:cs="宋体"/>
          <w:b/>
          <w:bCs/>
          <w:color w:val="auto"/>
          <w:sz w:val="21"/>
          <w:szCs w:val="21"/>
          <w:highlight w:val="none"/>
          <w:lang w:val="zh-CN"/>
        </w:rPr>
        <w:t>最后报价</w:t>
      </w:r>
    </w:p>
    <w:p w14:paraId="7E6D1B95">
      <w:pPr>
        <w:spacing w:line="360" w:lineRule="auto"/>
        <w:ind w:left="422" w:leftChars="1" w:hanging="420" w:hangingChars="200"/>
        <w:rPr>
          <w:rFonts w:ascii="宋体" w:hAnsi="宋体" w:cs="宋体"/>
          <w:color w:val="auto"/>
          <w:sz w:val="21"/>
          <w:szCs w:val="21"/>
          <w:highlight w:val="none"/>
          <w:lang w:val="zh-CN"/>
        </w:rPr>
      </w:pPr>
      <w:r>
        <w:rPr>
          <w:rFonts w:hint="eastAsia" w:ascii="宋体" w:hAnsi="宋体" w:cs="宋体"/>
          <w:bCs/>
          <w:color w:val="auto"/>
          <w:sz w:val="21"/>
          <w:szCs w:val="21"/>
          <w:highlight w:val="none"/>
          <w:lang w:val="zh-CN"/>
        </w:rPr>
        <w:t>10、</w:t>
      </w:r>
      <w:r>
        <w:rPr>
          <w:rFonts w:hint="eastAsia" w:ascii="宋体" w:hAnsi="宋体"/>
          <w:color w:val="auto"/>
          <w:sz w:val="21"/>
          <w:szCs w:val="21"/>
          <w:highlight w:val="none"/>
          <w:lang w:val="zh-CN"/>
        </w:rPr>
        <w:t>谈判小组所有成员应当集中与单一供应商分别进行谈判，并给予所有参加谈判的供应商平等的谈判机会。</w:t>
      </w:r>
    </w:p>
    <w:p w14:paraId="3AC8109A">
      <w:pPr>
        <w:spacing w:line="360" w:lineRule="auto"/>
        <w:ind w:left="518" w:hanging="518"/>
        <w:rPr>
          <w:rFonts w:ascii="宋体" w:hAnsi="宋体"/>
          <w:bCs/>
          <w:color w:val="auto"/>
          <w:sz w:val="21"/>
          <w:szCs w:val="21"/>
          <w:highlight w:val="none"/>
        </w:rPr>
      </w:pPr>
      <w:r>
        <w:rPr>
          <w:rFonts w:hint="eastAsia" w:ascii="宋体" w:hAnsi="宋体"/>
          <w:color w:val="auto"/>
          <w:sz w:val="21"/>
          <w:szCs w:val="21"/>
          <w:highlight w:val="none"/>
          <w:lang w:val="zh-CN"/>
        </w:rPr>
        <w:t>10.1 在谈判过程中，谈判小组可以根据谈判文件和谈判情况实质性变动采购需求中的技术、服务要求以及合同草案条款，但不得变动谈判文件中的其他内容。实质性变动的内容，须经采购人代表确认。</w:t>
      </w:r>
      <w:r>
        <w:rPr>
          <w:rFonts w:hint="eastAsia" w:ascii="宋体" w:hAnsi="宋体"/>
          <w:bCs/>
          <w:color w:val="auto"/>
          <w:sz w:val="21"/>
          <w:szCs w:val="21"/>
          <w:highlight w:val="none"/>
        </w:rPr>
        <w:t>如有实质性变动采购需求中的技术、服务要求以及合同草案条款的，在提交最后报价之前，可以根据谈判情况退出谈判。</w:t>
      </w:r>
    </w:p>
    <w:p w14:paraId="2831A5F5">
      <w:pPr>
        <w:spacing w:line="360" w:lineRule="auto"/>
        <w:ind w:left="567" w:hanging="567"/>
        <w:rPr>
          <w:rFonts w:ascii="宋体" w:hAnsi="宋体"/>
          <w:color w:val="auto"/>
          <w:sz w:val="21"/>
          <w:szCs w:val="21"/>
          <w:highlight w:val="none"/>
        </w:rPr>
      </w:pPr>
      <w:r>
        <w:rPr>
          <w:rFonts w:hint="eastAsia" w:ascii="宋体" w:hAnsi="宋体"/>
          <w:bCs/>
          <w:color w:val="auto"/>
          <w:sz w:val="21"/>
          <w:szCs w:val="21"/>
          <w:highlight w:val="none"/>
        </w:rPr>
        <w:t xml:space="preserve">10.2 </w:t>
      </w:r>
      <w:r>
        <w:rPr>
          <w:rFonts w:hint="eastAsia" w:ascii="宋体" w:hAnsi="宋体"/>
          <w:color w:val="auto"/>
          <w:sz w:val="21"/>
          <w:szCs w:val="21"/>
          <w:highlight w:val="none"/>
        </w:rPr>
        <w:t>对谈判文件作出的实质性变动是谈判文件的有效组成部分，谈判小组应当及时、同时通知所有参加谈判的供应商。</w:t>
      </w:r>
    </w:p>
    <w:p w14:paraId="13B882D2">
      <w:pPr>
        <w:spacing w:line="360" w:lineRule="auto"/>
        <w:ind w:left="525" w:hanging="525" w:hangingChars="250"/>
        <w:rPr>
          <w:rFonts w:ascii="宋体" w:hAnsi="宋体"/>
          <w:color w:val="auto"/>
          <w:sz w:val="21"/>
          <w:szCs w:val="21"/>
          <w:highlight w:val="none"/>
          <w:lang w:val="zh-CN"/>
        </w:rPr>
      </w:pPr>
      <w:r>
        <w:rPr>
          <w:rFonts w:hint="eastAsia" w:ascii="宋体" w:hAnsi="宋体"/>
          <w:color w:val="auto"/>
          <w:sz w:val="21"/>
          <w:szCs w:val="21"/>
          <w:highlight w:val="none"/>
          <w:lang w:val="zh-CN"/>
        </w:rPr>
        <w:t>10.3</w:t>
      </w:r>
      <w:r>
        <w:rPr>
          <w:rFonts w:ascii="宋体" w:hAnsi="宋体"/>
          <w:color w:val="auto"/>
          <w:sz w:val="21"/>
          <w:szCs w:val="21"/>
          <w:highlight w:val="none"/>
          <w:lang w:val="zh-CN"/>
        </w:rPr>
        <w:tab/>
      </w:r>
      <w:r>
        <w:rPr>
          <w:rFonts w:hint="eastAsia" w:ascii="宋体" w:hAnsi="宋体"/>
          <w:color w:val="auto"/>
          <w:sz w:val="21"/>
          <w:szCs w:val="21"/>
          <w:highlight w:val="none"/>
          <w:lang w:val="zh-CN"/>
        </w:rPr>
        <w:t>供应商应当按照谈判文件的变动情况和谈判小组的要求进行最终报价或重新提交响应文件，并由其法定代表人或授权代表签字或者加盖公章。</w:t>
      </w:r>
    </w:p>
    <w:p w14:paraId="287F6B76">
      <w:pPr>
        <w:spacing w:line="360" w:lineRule="auto"/>
        <w:ind w:left="518" w:hanging="518"/>
        <w:rPr>
          <w:rFonts w:ascii="宋体" w:hAnsi="宋体" w:cs="宋体"/>
          <w:bCs/>
          <w:color w:val="auto"/>
          <w:sz w:val="21"/>
          <w:szCs w:val="21"/>
          <w:highlight w:val="none"/>
          <w:lang w:val="zh-CN"/>
        </w:rPr>
      </w:pPr>
    </w:p>
    <w:p w14:paraId="3B4A580C">
      <w:pPr>
        <w:numPr>
          <w:ilvl w:val="0"/>
          <w:numId w:val="15"/>
        </w:numPr>
        <w:spacing w:line="360" w:lineRule="auto"/>
        <w:ind w:left="518" w:hanging="518"/>
        <w:rPr>
          <w:rFonts w:ascii="宋体" w:hAnsi="宋体"/>
          <w:bCs/>
          <w:color w:val="auto"/>
          <w:sz w:val="21"/>
          <w:szCs w:val="21"/>
          <w:highlight w:val="none"/>
        </w:rPr>
      </w:pPr>
      <w:r>
        <w:rPr>
          <w:rFonts w:hint="eastAsia" w:ascii="宋体" w:hAnsi="宋体"/>
          <w:bCs/>
          <w:color w:val="auto"/>
          <w:sz w:val="21"/>
          <w:szCs w:val="21"/>
          <w:highlight w:val="none"/>
        </w:rPr>
        <w:t>谈判结束后，谈判小组应当要求所有实质性响应的供应商在规定时间内提交最后报价。最后报价是供应商响应文件的有效组成部分。</w:t>
      </w:r>
    </w:p>
    <w:p w14:paraId="2E209775">
      <w:pPr>
        <w:spacing w:line="360" w:lineRule="auto"/>
        <w:ind w:left="518" w:hanging="518"/>
        <w:rPr>
          <w:rFonts w:ascii="宋体" w:hAnsi="宋体"/>
          <w:color w:val="auto"/>
          <w:sz w:val="21"/>
          <w:szCs w:val="21"/>
          <w:highlight w:val="none"/>
        </w:rPr>
      </w:pPr>
      <w:r>
        <w:rPr>
          <w:rFonts w:hint="eastAsia" w:ascii="宋体" w:hAnsi="宋体"/>
          <w:color w:val="auto"/>
          <w:sz w:val="21"/>
          <w:szCs w:val="21"/>
          <w:highlight w:val="none"/>
          <w:lang w:val="zh-CN"/>
        </w:rPr>
        <w:t>11</w:t>
      </w:r>
      <w:r>
        <w:rPr>
          <w:rFonts w:ascii="宋体" w:hAnsi="宋体"/>
          <w:color w:val="auto"/>
          <w:sz w:val="21"/>
          <w:szCs w:val="21"/>
          <w:highlight w:val="none"/>
          <w:lang w:val="zh-CN"/>
        </w:rPr>
        <w:t>.</w:t>
      </w:r>
      <w:r>
        <w:rPr>
          <w:rFonts w:hint="eastAsia" w:ascii="宋体" w:hAnsi="宋体"/>
          <w:color w:val="auto"/>
          <w:sz w:val="21"/>
          <w:szCs w:val="21"/>
          <w:highlight w:val="none"/>
          <w:lang w:val="zh-CN"/>
        </w:rPr>
        <w:t>1</w:t>
      </w:r>
      <w:r>
        <w:rPr>
          <w:rFonts w:ascii="宋体" w:hAnsi="宋体"/>
          <w:color w:val="auto"/>
          <w:sz w:val="21"/>
          <w:szCs w:val="21"/>
          <w:highlight w:val="none"/>
        </w:rPr>
        <w:t xml:space="preserve"> </w:t>
      </w:r>
      <w:r>
        <w:rPr>
          <w:rFonts w:hint="eastAsia" w:ascii="宋体" w:hAnsi="宋体" w:cs="宋体"/>
          <w:color w:val="auto"/>
          <w:sz w:val="21"/>
          <w:szCs w:val="21"/>
          <w:highlight w:val="none"/>
          <w:lang w:val="zh-CN"/>
        </w:rPr>
        <w:t>谈判结束后，已提交响应文件的供应商，</w:t>
      </w:r>
      <w:r>
        <w:rPr>
          <w:rFonts w:hint="eastAsia" w:ascii="宋体" w:hAnsi="宋体" w:cs="宋体"/>
          <w:b/>
          <w:bCs/>
          <w:color w:val="auto"/>
          <w:sz w:val="21"/>
          <w:szCs w:val="21"/>
          <w:highlight w:val="none"/>
          <w:lang w:val="zh-CN"/>
        </w:rPr>
        <w:t>如无实质性变动采购需求中的技术、服务要求以及合同草案条款的，</w:t>
      </w:r>
      <w:r>
        <w:rPr>
          <w:rFonts w:hint="eastAsia" w:ascii="宋体" w:hAnsi="宋体" w:cs="宋体"/>
          <w:b/>
          <w:bCs/>
          <w:color w:val="auto"/>
          <w:sz w:val="21"/>
          <w:szCs w:val="21"/>
          <w:highlight w:val="none"/>
        </w:rPr>
        <w:t>供应商若不参与二次报价环节的，则</w:t>
      </w:r>
      <w:r>
        <w:rPr>
          <w:rFonts w:hint="eastAsia" w:ascii="宋体" w:hAnsi="宋体" w:cs="宋体"/>
          <w:b/>
          <w:bCs/>
          <w:color w:val="auto"/>
          <w:sz w:val="21"/>
          <w:szCs w:val="21"/>
          <w:highlight w:val="none"/>
          <w:lang w:val="zh-CN"/>
        </w:rPr>
        <w:t>默认第一次报价为最后报价。</w:t>
      </w:r>
      <w:r>
        <w:rPr>
          <w:rFonts w:hint="eastAsia" w:ascii="宋体" w:hAnsi="宋体" w:cs="宋体"/>
          <w:color w:val="auto"/>
          <w:sz w:val="21"/>
          <w:szCs w:val="21"/>
          <w:highlight w:val="none"/>
          <w:lang w:val="zh-CN"/>
        </w:rPr>
        <w:t>如有实质性变动采购需求中的技术、服务要求以及合同草案条款的，在提交最后报价之前，供应商可以根据谈判情况退出谈判。</w:t>
      </w:r>
    </w:p>
    <w:p w14:paraId="335F27D7">
      <w:pPr>
        <w:spacing w:line="360" w:lineRule="auto"/>
        <w:ind w:left="518" w:hanging="518"/>
        <w:rPr>
          <w:rFonts w:ascii="宋体" w:hAnsi="宋体"/>
          <w:color w:val="auto"/>
          <w:sz w:val="21"/>
          <w:szCs w:val="21"/>
          <w:highlight w:val="none"/>
          <w:lang w:val="zh-CN"/>
        </w:rPr>
      </w:pPr>
    </w:p>
    <w:p w14:paraId="64882FC1">
      <w:pPr>
        <w:tabs>
          <w:tab w:val="left" w:pos="1701"/>
        </w:tabs>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12、谈判小组采用最低评标价法对资格性检查和符合性检查合格的响应供应商的响应文件和最后报价进行评审。</w:t>
      </w:r>
    </w:p>
    <w:p w14:paraId="579CF859">
      <w:pPr>
        <w:spacing w:line="360" w:lineRule="auto"/>
        <w:rPr>
          <w:rFonts w:ascii="宋体" w:hAnsi="宋体" w:cs="宋体"/>
          <w:b/>
          <w:bCs/>
          <w:color w:val="auto"/>
          <w:sz w:val="21"/>
          <w:szCs w:val="21"/>
          <w:highlight w:val="none"/>
        </w:rPr>
      </w:pPr>
    </w:p>
    <w:p w14:paraId="3BF04420">
      <w:pPr>
        <w:spacing w:line="360" w:lineRule="auto"/>
        <w:jc w:val="center"/>
        <w:rPr>
          <w:rFonts w:ascii="宋体" w:hAnsi="宋体" w:cs="宋体"/>
          <w:b/>
          <w:bCs/>
          <w:color w:val="auto"/>
          <w:sz w:val="21"/>
          <w:szCs w:val="21"/>
          <w:highlight w:val="none"/>
        </w:rPr>
      </w:pPr>
      <w:bookmarkStart w:id="454" w:name="_Toc518_WPSOffice_Level1"/>
      <w:r>
        <w:rPr>
          <w:rFonts w:hint="eastAsia" w:ascii="宋体" w:hAnsi="宋体" w:cs="宋体"/>
          <w:b/>
          <w:bCs/>
          <w:color w:val="auto"/>
          <w:sz w:val="21"/>
          <w:szCs w:val="21"/>
          <w:highlight w:val="none"/>
          <w:lang w:val="zh-CN"/>
        </w:rPr>
        <w:t>五、推荐成交候选人</w:t>
      </w:r>
      <w:bookmarkEnd w:id="454"/>
    </w:p>
    <w:p w14:paraId="0B7258A5">
      <w:pPr>
        <w:spacing w:line="360" w:lineRule="auto"/>
        <w:ind w:left="420" w:hanging="420" w:hangingChars="200"/>
        <w:rPr>
          <w:rFonts w:ascii="宋体" w:hAnsi="宋体"/>
          <w:color w:val="auto"/>
          <w:sz w:val="21"/>
          <w:szCs w:val="21"/>
          <w:highlight w:val="none"/>
        </w:rPr>
      </w:pPr>
      <w:r>
        <w:rPr>
          <w:rFonts w:ascii="宋体" w:hAnsi="宋体" w:cs="宋体"/>
          <w:color w:val="auto"/>
          <w:sz w:val="21"/>
          <w:szCs w:val="21"/>
          <w:highlight w:val="none"/>
        </w:rPr>
        <w:t>13</w:t>
      </w:r>
      <w:r>
        <w:rPr>
          <w:rFonts w:hint="eastAsia" w:ascii="宋体" w:hAnsi="宋体" w:cs="宋体"/>
          <w:color w:val="auto"/>
          <w:sz w:val="21"/>
          <w:szCs w:val="21"/>
          <w:highlight w:val="none"/>
        </w:rPr>
        <w:t>、</w:t>
      </w:r>
      <w:r>
        <w:rPr>
          <w:rFonts w:hint="eastAsia" w:ascii="宋体" w:hAnsi="宋体" w:cs="Arial"/>
          <w:color w:val="auto"/>
          <w:sz w:val="21"/>
          <w:szCs w:val="21"/>
          <w:highlight w:val="none"/>
          <w:lang w:val="zh-CN"/>
        </w:rPr>
        <w:t>谈判小组</w:t>
      </w:r>
      <w:r>
        <w:rPr>
          <w:rFonts w:hint="eastAsia" w:ascii="宋体" w:hAnsi="宋体"/>
          <w:color w:val="auto"/>
          <w:sz w:val="21"/>
          <w:szCs w:val="21"/>
          <w:highlight w:val="none"/>
          <w:lang w:val="zh-CN"/>
        </w:rPr>
        <w:t>将</w:t>
      </w:r>
      <w:r>
        <w:rPr>
          <w:rFonts w:hint="eastAsia" w:ascii="宋体" w:hAnsi="宋体"/>
          <w:color w:val="auto"/>
          <w:sz w:val="21"/>
          <w:szCs w:val="21"/>
          <w:highlight w:val="none"/>
        </w:rPr>
        <w:t>从质量和服务均能满足谈判文件实质性响应要求的供应商中，按照最后报价</w:t>
      </w:r>
      <w:r>
        <w:rPr>
          <w:rFonts w:hint="eastAsia" w:ascii="宋体" w:hAnsi="宋体"/>
          <w:b/>
          <w:bCs/>
          <w:color w:val="auto"/>
          <w:sz w:val="21"/>
          <w:szCs w:val="21"/>
          <w:highlight w:val="none"/>
        </w:rPr>
        <w:t>由低到高</w:t>
      </w:r>
      <w:r>
        <w:rPr>
          <w:rFonts w:hint="eastAsia" w:ascii="宋体" w:hAnsi="宋体"/>
          <w:color w:val="auto"/>
          <w:sz w:val="21"/>
          <w:szCs w:val="21"/>
          <w:highlight w:val="none"/>
        </w:rPr>
        <w:t>的顺序向采购人推荐最后报价最低的响应供应商为第一成交候选人，推荐最后报价次低的响应供应商为第二成交候选人。采购人将确定第一成交候选人为成交人。</w:t>
      </w:r>
    </w:p>
    <w:p w14:paraId="3CBF5D53">
      <w:pPr>
        <w:spacing w:line="360" w:lineRule="auto"/>
        <w:ind w:left="480" w:leftChars="200" w:firstLine="420" w:firstLineChars="200"/>
        <w:rPr>
          <w:rFonts w:ascii="宋体" w:hAnsi="宋体"/>
          <w:color w:val="auto"/>
          <w:sz w:val="21"/>
          <w:szCs w:val="21"/>
          <w:highlight w:val="none"/>
          <w:lang w:val="zh-CN"/>
        </w:rPr>
      </w:pPr>
      <w:r>
        <w:rPr>
          <w:rFonts w:hint="eastAsia" w:ascii="宋体" w:hAnsi="宋体"/>
          <w:color w:val="auto"/>
          <w:sz w:val="21"/>
          <w:szCs w:val="21"/>
          <w:highlight w:val="none"/>
        </w:rPr>
        <w:t>如出现两个或以上相同最低报价供应商</w:t>
      </w:r>
      <w:r>
        <w:rPr>
          <w:rFonts w:ascii="宋体" w:hAnsi="宋体"/>
          <w:color w:val="auto"/>
          <w:sz w:val="21"/>
          <w:szCs w:val="21"/>
          <w:highlight w:val="none"/>
        </w:rPr>
        <w:t>,则</w:t>
      </w:r>
      <w:r>
        <w:rPr>
          <w:rFonts w:hint="eastAsia" w:ascii="宋体" w:hAnsi="宋体"/>
          <w:color w:val="auto"/>
          <w:sz w:val="21"/>
          <w:szCs w:val="21"/>
          <w:highlight w:val="none"/>
        </w:rPr>
        <w:t>依据“</w:t>
      </w:r>
      <w:r>
        <w:rPr>
          <w:rFonts w:hint="eastAsia" w:ascii="宋体" w:hAnsi="宋体" w:cs="宋体"/>
          <w:color w:val="auto"/>
          <w:kern w:val="2"/>
          <w:sz w:val="21"/>
          <w:szCs w:val="21"/>
          <w:highlight w:val="none"/>
        </w:rPr>
        <w:t>合格供应商资格要求2.2（2）款”</w:t>
      </w:r>
      <w:r>
        <w:rPr>
          <w:rFonts w:hint="eastAsia" w:ascii="宋体" w:hAnsi="宋体"/>
          <w:b/>
          <w:bCs/>
          <w:color w:val="auto"/>
          <w:sz w:val="21"/>
          <w:szCs w:val="21"/>
          <w:highlight w:val="none"/>
        </w:rPr>
        <w:t>[</w:t>
      </w:r>
      <w:r>
        <w:rPr>
          <w:rFonts w:hint="eastAsia" w:ascii="宋体" w:hAnsi="宋体" w:cs="宋体"/>
          <w:b/>
          <w:bCs/>
          <w:color w:val="auto"/>
          <w:kern w:val="2"/>
          <w:sz w:val="21"/>
          <w:szCs w:val="21"/>
          <w:highlight w:val="none"/>
        </w:rPr>
        <w:t>供应商（售电公司）2022年1月1日以来（合同签订日期为2022年1月1日或以后）任意一个自然年内累计的电量</w:t>
      </w:r>
      <w:r>
        <w:rPr>
          <w:rFonts w:hint="eastAsia" w:ascii="宋体" w:hAnsi="宋体"/>
          <w:b/>
          <w:bCs/>
          <w:color w:val="auto"/>
          <w:sz w:val="21"/>
          <w:szCs w:val="21"/>
          <w:highlight w:val="none"/>
        </w:rPr>
        <w:t>]</w:t>
      </w:r>
      <w:r>
        <w:rPr>
          <w:rFonts w:hint="eastAsia" w:ascii="宋体" w:hAnsi="宋体"/>
          <w:color w:val="auto"/>
          <w:sz w:val="21"/>
          <w:szCs w:val="21"/>
          <w:highlight w:val="none"/>
        </w:rPr>
        <w:t>由高到低排序</w:t>
      </w:r>
      <w:r>
        <w:rPr>
          <w:rFonts w:ascii="宋体" w:hAnsi="宋体"/>
          <w:color w:val="auto"/>
          <w:sz w:val="21"/>
          <w:szCs w:val="21"/>
          <w:highlight w:val="none"/>
        </w:rPr>
        <w:t>方式</w:t>
      </w:r>
      <w:r>
        <w:rPr>
          <w:rFonts w:hint="eastAsia" w:ascii="宋体" w:hAnsi="宋体"/>
          <w:color w:val="auto"/>
          <w:sz w:val="21"/>
          <w:szCs w:val="21"/>
          <w:highlight w:val="none"/>
        </w:rPr>
        <w:t>，推荐电量高的为</w:t>
      </w:r>
      <w:r>
        <w:rPr>
          <w:rFonts w:ascii="宋体" w:hAnsi="宋体"/>
          <w:color w:val="auto"/>
          <w:sz w:val="21"/>
          <w:szCs w:val="21"/>
          <w:highlight w:val="none"/>
        </w:rPr>
        <w:t>第一成交候选人</w:t>
      </w:r>
      <w:r>
        <w:rPr>
          <w:rFonts w:hint="eastAsia" w:ascii="宋体" w:hAnsi="宋体"/>
          <w:color w:val="auto"/>
          <w:sz w:val="21"/>
          <w:szCs w:val="21"/>
          <w:highlight w:val="none"/>
        </w:rPr>
        <w:t>，推荐电量次高的为</w:t>
      </w:r>
      <w:r>
        <w:rPr>
          <w:rFonts w:ascii="宋体" w:hAnsi="宋体"/>
          <w:color w:val="auto"/>
          <w:sz w:val="21"/>
          <w:szCs w:val="21"/>
          <w:highlight w:val="none"/>
        </w:rPr>
        <w:t>第二成交候选人。</w:t>
      </w:r>
    </w:p>
    <w:p w14:paraId="146C1983">
      <w:pPr>
        <w:widowControl/>
        <w:spacing w:line="360" w:lineRule="auto"/>
        <w:rPr>
          <w:rFonts w:ascii="宋体" w:hAnsi="宋体" w:cs="宋体"/>
          <w:color w:val="auto"/>
          <w:sz w:val="21"/>
          <w:szCs w:val="21"/>
          <w:highlight w:val="none"/>
        </w:rPr>
      </w:pPr>
    </w:p>
    <w:p w14:paraId="121B80B2">
      <w:pPr>
        <w:spacing w:line="360" w:lineRule="auto"/>
        <w:jc w:val="center"/>
        <w:rPr>
          <w:rFonts w:ascii="宋体" w:hAnsi="宋体" w:cs="宋体"/>
          <w:b/>
          <w:bCs/>
          <w:color w:val="auto"/>
          <w:sz w:val="21"/>
          <w:szCs w:val="21"/>
          <w:highlight w:val="none"/>
          <w:lang w:val="zh-CN"/>
        </w:rPr>
      </w:pPr>
      <w:bookmarkStart w:id="455" w:name="_Toc22724_WPSOffice_Level1"/>
      <w:r>
        <w:rPr>
          <w:rFonts w:hint="eastAsia" w:ascii="宋体" w:hAnsi="宋体" w:cs="宋体"/>
          <w:b/>
          <w:bCs/>
          <w:color w:val="auto"/>
          <w:sz w:val="21"/>
          <w:szCs w:val="21"/>
          <w:highlight w:val="none"/>
          <w:lang w:val="zh-CN"/>
        </w:rPr>
        <w:t>六、编写评审报告</w:t>
      </w:r>
      <w:bookmarkEnd w:id="455"/>
    </w:p>
    <w:p w14:paraId="4424F8CB">
      <w:pPr>
        <w:spacing w:line="360" w:lineRule="auto"/>
        <w:ind w:left="420" w:hanging="420" w:hangingChars="200"/>
        <w:rPr>
          <w:rFonts w:ascii="宋体" w:hAnsi="宋体" w:cs="宋体"/>
          <w:b/>
          <w:bCs/>
          <w:color w:val="auto"/>
          <w:sz w:val="21"/>
          <w:szCs w:val="21"/>
          <w:highlight w:val="none"/>
          <w:lang w:val="zh-CN"/>
        </w:rPr>
      </w:pPr>
      <w:r>
        <w:rPr>
          <w:rFonts w:hint="eastAsia" w:ascii="宋体" w:hAnsi="宋体" w:cs="宋体"/>
          <w:color w:val="auto"/>
          <w:sz w:val="21"/>
          <w:szCs w:val="21"/>
          <w:highlight w:val="none"/>
          <w:lang w:val="zh-CN"/>
        </w:rPr>
        <w:t>1</w:t>
      </w:r>
      <w:r>
        <w:rPr>
          <w:rFonts w:ascii="宋体" w:hAnsi="宋体" w:cs="宋体"/>
          <w:color w:val="auto"/>
          <w:sz w:val="21"/>
          <w:szCs w:val="21"/>
          <w:highlight w:val="none"/>
          <w:lang w:val="zh-CN"/>
        </w:rPr>
        <w:t>4</w:t>
      </w:r>
      <w:r>
        <w:rPr>
          <w:rFonts w:hint="eastAsia" w:ascii="宋体" w:hAnsi="宋体" w:cs="宋体"/>
          <w:color w:val="auto"/>
          <w:sz w:val="21"/>
          <w:szCs w:val="21"/>
          <w:highlight w:val="none"/>
          <w:lang w:val="zh-CN"/>
        </w:rPr>
        <w:t>、谈判小组根据评审结果撰写评审报告。评审报告是谈判小组根据全体谈判小组成员签字的原始评审记录和评审结果编写的报告，其主要内容包括：</w:t>
      </w:r>
    </w:p>
    <w:p w14:paraId="59694C33">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（1）谈判邀请时间、谈判日期和地点；</w:t>
      </w:r>
    </w:p>
    <w:p w14:paraId="379D332B">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（2）购买谈判文件的响应供应商名单和谈判小组成员名单；</w:t>
      </w:r>
    </w:p>
    <w:p w14:paraId="24C0CF04">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（3）评审方法和标准；</w:t>
      </w:r>
    </w:p>
    <w:p w14:paraId="13D2907E">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（4）评审记录和评审情况及说明，包括投标无效响应供应商名单及原因；</w:t>
      </w:r>
    </w:p>
    <w:p w14:paraId="0FFDE28E">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（5）评审结果和中标候选响应供应商排序表；</w:t>
      </w:r>
    </w:p>
    <w:p w14:paraId="19E91E95">
      <w:pPr>
        <w:spacing w:line="360" w:lineRule="auto"/>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（6）谈判小组的推荐建议。</w:t>
      </w:r>
    </w:p>
    <w:p w14:paraId="1F46E810">
      <w:pPr>
        <w:spacing w:line="360" w:lineRule="auto"/>
        <w:jc w:val="center"/>
        <w:rPr>
          <w:rFonts w:ascii="宋体" w:hAnsi="宋体" w:cs="宋体"/>
          <w:b/>
          <w:bCs/>
          <w:color w:val="auto"/>
          <w:sz w:val="21"/>
          <w:szCs w:val="21"/>
          <w:highlight w:val="none"/>
          <w:lang w:val="zh-CN"/>
        </w:rPr>
      </w:pPr>
    </w:p>
    <w:p w14:paraId="7E416E8C">
      <w:pPr>
        <w:spacing w:line="360" w:lineRule="auto"/>
        <w:jc w:val="center"/>
        <w:rPr>
          <w:rFonts w:ascii="宋体" w:hAnsi="宋体" w:cs="宋体"/>
          <w:b/>
          <w:bCs/>
          <w:color w:val="auto"/>
          <w:sz w:val="21"/>
          <w:szCs w:val="21"/>
          <w:highlight w:val="none"/>
          <w:lang w:val="zh-CN"/>
        </w:rPr>
      </w:pPr>
      <w:bookmarkStart w:id="456" w:name="_Toc23773_WPSOffice_Level1"/>
      <w:r>
        <w:rPr>
          <w:rFonts w:hint="eastAsia" w:ascii="宋体" w:hAnsi="宋体" w:cs="宋体"/>
          <w:b/>
          <w:bCs/>
          <w:color w:val="auto"/>
          <w:sz w:val="21"/>
          <w:szCs w:val="21"/>
          <w:highlight w:val="none"/>
          <w:lang w:val="zh-CN"/>
        </w:rPr>
        <w:t>七、注意事项</w:t>
      </w:r>
      <w:bookmarkEnd w:id="456"/>
    </w:p>
    <w:p w14:paraId="2F3AEEAA">
      <w:pPr>
        <w:spacing w:line="360" w:lineRule="auto"/>
        <w:ind w:left="420" w:hanging="420" w:hangingChars="20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w:t>
      </w:r>
      <w:r>
        <w:rPr>
          <w:rFonts w:ascii="宋体" w:hAnsi="宋体" w:cs="宋体"/>
          <w:color w:val="auto"/>
          <w:sz w:val="21"/>
          <w:szCs w:val="21"/>
          <w:highlight w:val="none"/>
          <w:lang w:val="zh-CN"/>
        </w:rPr>
        <w:t>5</w:t>
      </w:r>
      <w:r>
        <w:rPr>
          <w:rFonts w:hint="eastAsia" w:ascii="宋体" w:hAnsi="宋体" w:cs="宋体"/>
          <w:color w:val="auto"/>
          <w:sz w:val="21"/>
          <w:szCs w:val="21"/>
          <w:highlight w:val="none"/>
          <w:lang w:val="zh-CN"/>
        </w:rPr>
        <w:t>、为确保评审工作的顺利进行，防止因泄密或其它意外而造成的不良后果及影响，凡参加评审工作的人员都必须认真执行本规定：</w:t>
      </w:r>
    </w:p>
    <w:p w14:paraId="02E2C8B4">
      <w:pPr>
        <w:spacing w:line="360" w:lineRule="auto"/>
        <w:ind w:left="418" w:leftChars="-59" w:hanging="560" w:hangingChars="26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（1）在评审工作期间，所有分发的响应文件、资料等仅限于在评审场所中使用，不得带往其它地方，所有的谈判文件、响应文件、资料等一律编号登记；</w:t>
      </w:r>
    </w:p>
    <w:p w14:paraId="513A45CE">
      <w:pPr>
        <w:spacing w:line="360" w:lineRule="auto"/>
        <w:ind w:left="418" w:leftChars="-59" w:hanging="560" w:hangingChars="26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（2）评审人员及工作人员不得在公共场合谈论有关评审内容；</w:t>
      </w:r>
    </w:p>
    <w:p w14:paraId="4394D451">
      <w:pPr>
        <w:spacing w:line="360" w:lineRule="auto"/>
        <w:ind w:left="418" w:leftChars="-59" w:hanging="560" w:hangingChars="26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评审人员及工作人员不得以书信、电讯、口述等方式将有关评审内容（如资料、响应文件、响应报价、评审方式、谈判小组的决定、评审组织机构、评审人员名单等）披露给未参加评审的任何无关人员，包括上级领导、同级和下级人员，任何与评审无关的人员（包括亲朋好友和同事）不得进入评审场所；</w:t>
      </w:r>
    </w:p>
    <w:p w14:paraId="3FA20829">
      <w:pPr>
        <w:spacing w:line="360" w:lineRule="auto"/>
        <w:ind w:left="418" w:leftChars="-59" w:hanging="560" w:hangingChars="267"/>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在举行与各响应供应商的澄清会之前谈判小组应明确参加会议的人员及主谈人。任何需要响应供应商在澄清会上澄清的问题必须经谈判小组成员签字并由主谈人提出。在澄清期间，对于涉及本规定保密范畴的所有内容，主谈人不得向响应供应商透露；</w:t>
      </w:r>
    </w:p>
    <w:p w14:paraId="461FD37A">
      <w:pPr>
        <w:widowControl/>
        <w:rPr>
          <w:rFonts w:ascii="宋体" w:hAnsi="宋体"/>
          <w:b/>
          <w:bCs/>
          <w:color w:val="auto"/>
          <w:sz w:val="21"/>
          <w:szCs w:val="21"/>
          <w:highlight w:val="none"/>
        </w:rPr>
      </w:pPr>
      <w:r>
        <w:rPr>
          <w:rFonts w:hint="eastAsia" w:ascii="宋体" w:hAnsi="宋体" w:cs="宋体"/>
          <w:color w:val="auto"/>
          <w:sz w:val="21"/>
          <w:szCs w:val="21"/>
          <w:highlight w:val="none"/>
          <w:lang w:val="zh-CN"/>
        </w:rPr>
        <w:t>（5）任何评审人员和工作人员不得对外公布评审的一切内容。</w:t>
      </w:r>
    </w:p>
    <w:p w14:paraId="4E00CD34">
      <w:pPr>
        <w:spacing w:line="360" w:lineRule="auto"/>
        <w:jc w:val="both"/>
        <w:rPr>
          <w:rFonts w:ascii="宋体" w:hAnsi="宋体" w:cs="宋体"/>
          <w:color w:val="auto"/>
          <w:sz w:val="21"/>
          <w:szCs w:val="21"/>
          <w:highlight w:val="none"/>
        </w:rPr>
      </w:pPr>
    </w:p>
    <w:sectPr>
      <w:pgSz w:w="11907" w:h="16840"/>
      <w:pgMar w:top="1701" w:right="1418" w:bottom="851" w:left="1418"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w:panose1 w:val="02010601000101010101"/>
    <w:charset w:val="88"/>
    <w:family w:val="auto"/>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monospace">
    <w:altName w:val="微软雅黑"/>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FrutigerNext LT Light">
    <w:altName w:val="宋体"/>
    <w:panose1 w:val="00000000000000000000"/>
    <w:charset w:val="86"/>
    <w:family w:val="swiss"/>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Lucida Grande">
    <w:altName w:val="Arial"/>
    <w:panose1 w:val="00000000000000000000"/>
    <w:charset w:val="00"/>
    <w:family w:val="auto"/>
    <w:pitch w:val="default"/>
    <w:sig w:usb0="00000000" w:usb1="00000000" w:usb2="00000000" w:usb3="00000000" w:csb0="000001B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DAF8D">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AB146">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hiaUcEBAACN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3Hsjlsc+Pnnj/OvP+ff38ky&#10;y9MHqDHrLmBeGj74AZdm9gM6M+tBRZu/yIdgHMU9XcSVQyIiP1otV6sKQwJj8wXx2dPzECF9lN6S&#10;bDQ04vSKqPz4GdKYOqfkas7famPKBI37y4GY2cNy72OP2UrDbpgI7Xx7Qj49Dr6hDvecEvPJoa55&#10;R2YjzsZuMnINCO8PCQuXfjLqCDUVwykVRtNG5TV4fi9ZT3/R5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9hiaUcEBAACNAwAADgAAAAAAAAABACAAAAAeAQAAZHJzL2Uyb0RvYy54bWxQSwUG&#10;AAAAAAYABgBZAQAAUQUAAAAA&#10;">
              <v:fill on="f" focussize="0,0"/>
              <v:stroke on="f"/>
              <v:imagedata o:title=""/>
              <o:lock v:ext="edit" aspectratio="f"/>
              <v:textbox inset="0mm,0mm,0mm,0mm" style="mso-fit-shape-to-text:t;">
                <w:txbxContent>
                  <w:p w14:paraId="2A2AB146">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925F">
    <w:pPr>
      <w:pStyle w:val="3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4C83E1">
                          <w:pPr>
                            <w:pStyle w:val="3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eQtMIBAACO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EtbsKSEsctTvz89Hj+8ev88zu5&#10;zfr0AWpMewiYmIZ3fsDc2Q/ozLQHFW3+IiGCcVT3dFFXDomI/Gi1XK0qDAmMzRfEZ8/PQ4T0XnpL&#10;stHQiOMrqvLjR0hj6pySqzl/r40pIzTuLwdiZg/LvY89ZisNu2EitPPtCfn0OPmGOlx0SswHh8Lm&#10;JZmNOBu7ycg1ILw9JCxc+smoI9RUDMdUGE0rlffgz3vJev6N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SXkLTCAQAAjgMAAA4AAAAAAAAAAQAgAAAAHgEAAGRycy9lMm9Eb2MueG1sUEsF&#10;BgAAAAAGAAYAWQEAAFIFAAAAAA==&#10;">
              <v:fill on="f" focussize="0,0"/>
              <v:stroke on="f"/>
              <v:imagedata o:title=""/>
              <o:lock v:ext="edit" aspectratio="f"/>
              <v:textbox inset="0mm,0mm,0mm,0mm" style="mso-fit-shape-to-text:t;">
                <w:txbxContent>
                  <w:p w14:paraId="2B4C83E1">
                    <w:pPr>
                      <w:pStyle w:val="3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p w14:paraId="4A412BB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CE44">
    <w:pPr>
      <w:pStyle w:val="3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65DFF9">
                          <w:pPr>
                            <w:pStyle w:val="39"/>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ofjMIBAACO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vKH4zCAQAAjgMAAA4AAAAAAAAAAQAgAAAAHgEAAGRycy9lMm9Eb2MueG1sUEsF&#10;BgAAAAAGAAYAWQEAAFIFAAAAAA==&#10;">
              <v:fill on="f" focussize="0,0"/>
              <v:stroke on="f"/>
              <v:imagedata o:title=""/>
              <o:lock v:ext="edit" aspectratio="f"/>
              <v:textbox inset="0mm,0mm,0mm,0mm" style="mso-fit-shape-to-text:t;">
                <w:txbxContent>
                  <w:p w14:paraId="1865DFF9">
                    <w:pPr>
                      <w:pStyle w:val="39"/>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p w14:paraId="434CB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B3B3">
    <w:pPr>
      <w:pStyle w:val="39"/>
      <w:framePr w:wrap="around" w:vAnchor="text" w:hAnchor="margin" w:xAlign="center" w:y="1"/>
      <w:rPr>
        <w:rStyle w:val="60"/>
      </w:rPr>
    </w:pPr>
    <w:r>
      <w:fldChar w:fldCharType="begin"/>
    </w:r>
    <w:r>
      <w:rPr>
        <w:rStyle w:val="60"/>
      </w:rPr>
      <w:instrText xml:space="preserve">PAGE  </w:instrText>
    </w:r>
    <w:r>
      <w:fldChar w:fldCharType="end"/>
    </w:r>
  </w:p>
  <w:p w14:paraId="0D62BF7C">
    <w:pPr>
      <w:pStyle w:val="39"/>
      <w:ind w:right="360"/>
    </w:pPr>
  </w:p>
  <w:p w14:paraId="2058A96D"/>
  <w:p w14:paraId="046888FA"/>
  <w:p w14:paraId="395B9226"/>
  <w:p w14:paraId="09027F8B"/>
  <w:p w14:paraId="3FE3B2C4"/>
  <w:p w14:paraId="1D4DD6A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E4AD6">
    <w:pPr>
      <w:pStyle w:val="3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F1241">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UVacIBAACN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lFFWnCAQAAjQMAAA4AAAAAAAAAAQAgAAAAHgEAAGRycy9lMm9Eb2MueG1sUEsF&#10;BgAAAAAGAAYAWQEAAFIFAAAAAA==&#10;">
              <v:fill on="f" focussize="0,0"/>
              <v:stroke on="f"/>
              <v:imagedata o:title=""/>
              <o:lock v:ext="edit" aspectratio="f"/>
              <v:textbox inset="0mm,0mm,0mm,0mm" style="mso-fit-shape-to-text:t;">
                <w:txbxContent>
                  <w:p w14:paraId="252F1241">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B9B4">
    <w:pPr>
      <w:pStyle w:val="39"/>
      <w:jc w:val="center"/>
    </w:pPr>
    <w:r>
      <w:rPr>
        <w:rFonts w:hint="eastAsia"/>
      </w:rPr>
      <w:t>第</w:t>
    </w:r>
    <w:r>
      <w:rPr>
        <w:bCs/>
      </w:rPr>
      <w:fldChar w:fldCharType="begin"/>
    </w:r>
    <w:r>
      <w:rPr>
        <w:bCs/>
      </w:rPr>
      <w:instrText xml:space="preserve">PAGE</w:instrText>
    </w:r>
    <w:r>
      <w:rPr>
        <w:bCs/>
      </w:rPr>
      <w:fldChar w:fldCharType="separate"/>
    </w:r>
    <w:r>
      <w:rPr>
        <w:bCs/>
      </w:rPr>
      <w:t>35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73</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7D56">
    <w:pPr>
      <w:pStyle w:val="39"/>
      <w:jc w:val="center"/>
    </w:pPr>
    <w:r>
      <w:rPr>
        <w:rFonts w:hint="eastAsia"/>
      </w:rPr>
      <w:t>第</w:t>
    </w:r>
    <w:r>
      <w:rPr>
        <w:bCs/>
      </w:rPr>
      <w:fldChar w:fldCharType="begin"/>
    </w:r>
    <w:r>
      <w:rPr>
        <w:bCs/>
      </w:rPr>
      <w:instrText xml:space="preserve">PAGE</w:instrText>
    </w:r>
    <w:r>
      <w:rPr>
        <w:bCs/>
      </w:rPr>
      <w:fldChar w:fldCharType="separate"/>
    </w:r>
    <w:r>
      <w:rPr>
        <w:bCs/>
      </w:rPr>
      <w:t>21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73</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5768">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2859F">
    <w:pPr>
      <w:pStyle w:val="39"/>
      <w:jc w:val="center"/>
    </w:pPr>
    <w:r>
      <w:rPr>
        <w:rFonts w:hint="eastAsia"/>
      </w:rPr>
      <w:t>第</w:t>
    </w:r>
    <w:r>
      <w:rPr>
        <w:bCs/>
      </w:rPr>
      <w:fldChar w:fldCharType="begin"/>
    </w:r>
    <w:r>
      <w:rPr>
        <w:bCs/>
      </w:rPr>
      <w:instrText xml:space="preserve">PAGE</w:instrText>
    </w:r>
    <w:r>
      <w:rPr>
        <w:bCs/>
      </w:rPr>
      <w:fldChar w:fldCharType="separate"/>
    </w:r>
    <w:r>
      <w:rPr>
        <w:bCs/>
      </w:rPr>
      <w:t>36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73</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90B8B">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236E4">
    <w:pPr>
      <w:pStyle w:val="39"/>
      <w:jc w:val="center"/>
    </w:pPr>
    <w:r>
      <w:rPr>
        <w:rFonts w:hint="eastAsia"/>
      </w:rPr>
      <w:t>第</w:t>
    </w:r>
    <w:r>
      <w:rPr>
        <w:bCs/>
      </w:rPr>
      <w:fldChar w:fldCharType="begin"/>
    </w:r>
    <w:r>
      <w:rPr>
        <w:bCs/>
      </w:rPr>
      <w:instrText xml:space="preserve">PAGE</w:instrText>
    </w:r>
    <w:r>
      <w:rPr>
        <w:bCs/>
      </w:rPr>
      <w:fldChar w:fldCharType="separate"/>
    </w:r>
    <w:r>
      <w:rPr>
        <w:bCs/>
      </w:rPr>
      <w:t>37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73</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4909">
    <w:pPr>
      <w:pStyle w:val="40"/>
      <w:pBdr>
        <w:bottom w:val="none" w:color="auto" w:sz="0" w:space="1"/>
      </w:pBdr>
      <w:rPr>
        <w:rFonts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947CC">
    <w:pPr>
      <w:pStyle w:val="22"/>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44EC">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1ECBE"/>
    <w:multiLevelType w:val="singleLevel"/>
    <w:tmpl w:val="D0B1ECBE"/>
    <w:lvl w:ilvl="0" w:tentative="0">
      <w:start w:val="3"/>
      <w:numFmt w:val="chineseCounting"/>
      <w:suff w:val="space"/>
      <w:lvlText w:val="第%1篇"/>
      <w:lvlJc w:val="left"/>
      <w:rPr>
        <w:rFonts w:hint="eastAsia"/>
      </w:rPr>
    </w:lvl>
  </w:abstractNum>
  <w:abstractNum w:abstractNumId="1">
    <w:nsid w:val="027C0FD1"/>
    <w:multiLevelType w:val="multilevel"/>
    <w:tmpl w:val="027C0FD1"/>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pStyle w:val="478"/>
      <w:lvlText w:val="%1.%2.%3.%4.%5.%6.%7.%8.%9."/>
      <w:lvlJc w:val="left"/>
      <w:pPr>
        <w:tabs>
          <w:tab w:val="left" w:pos="1559"/>
        </w:tabs>
        <w:ind w:left="1559" w:hanging="1559"/>
      </w:pPr>
      <w:rPr>
        <w:rFonts w:hint="eastAsia"/>
      </w:rPr>
    </w:lvl>
  </w:abstractNum>
  <w:abstractNum w:abstractNumId="2">
    <w:nsid w:val="115801B5"/>
    <w:multiLevelType w:val="multilevel"/>
    <w:tmpl w:val="115801B5"/>
    <w:lvl w:ilvl="0" w:tentative="0">
      <w:start w:val="1"/>
      <w:numFmt w:val="decimal"/>
      <w:pStyle w:val="47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7EADDBF"/>
    <w:multiLevelType w:val="singleLevel"/>
    <w:tmpl w:val="17EADDBF"/>
    <w:lvl w:ilvl="0" w:tentative="0">
      <w:start w:val="11"/>
      <w:numFmt w:val="decimal"/>
      <w:suff w:val="nothing"/>
      <w:lvlText w:val="%1、"/>
      <w:lvlJc w:val="left"/>
    </w:lvl>
  </w:abstractNum>
  <w:abstractNum w:abstractNumId="4">
    <w:nsid w:val="1EC9440B"/>
    <w:multiLevelType w:val="multilevel"/>
    <w:tmpl w:val="1EC9440B"/>
    <w:lvl w:ilvl="0" w:tentative="0">
      <w:start w:val="1"/>
      <w:numFmt w:val="decimal"/>
      <w:pStyle w:val="60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3466618"/>
    <w:multiLevelType w:val="multilevel"/>
    <w:tmpl w:val="23466618"/>
    <w:lvl w:ilvl="0" w:tentative="0">
      <w:start w:val="1"/>
      <w:numFmt w:val="decimal"/>
      <w:pStyle w:val="572"/>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B8C6822"/>
    <w:multiLevelType w:val="multilevel"/>
    <w:tmpl w:val="2B8C6822"/>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b w:val="0"/>
        <w:bCs/>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F8D6FBB"/>
    <w:multiLevelType w:val="multilevel"/>
    <w:tmpl w:val="2F8D6FBB"/>
    <w:lvl w:ilvl="0" w:tentative="0">
      <w:start w:val="1"/>
      <w:numFmt w:val="decimal"/>
      <w:pStyle w:val="584"/>
      <w:lvlText w:val="%1."/>
      <w:legacy w:legacy="1" w:legacySpace="0" w:legacyIndent="360"/>
      <w:lvlJc w:val="left"/>
      <w:rPr>
        <w:rFonts w:hint="eastAsia" w:ascii="等线 Light" w:hAnsi="等线 Light" w:eastAsia="等线 Light"/>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8">
    <w:nsid w:val="3926C1E8"/>
    <w:multiLevelType w:val="singleLevel"/>
    <w:tmpl w:val="3926C1E8"/>
    <w:lvl w:ilvl="0" w:tentative="0">
      <w:start w:val="2"/>
      <w:numFmt w:val="decimal"/>
      <w:suff w:val="nothing"/>
      <w:lvlText w:val="%1、"/>
      <w:lvlJc w:val="left"/>
    </w:lvl>
  </w:abstractNum>
  <w:abstractNum w:abstractNumId="9">
    <w:nsid w:val="52F84DAB"/>
    <w:multiLevelType w:val="multilevel"/>
    <w:tmpl w:val="52F84DAB"/>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75"/>
      <w:lvlText w:val="(%2)"/>
      <w:lvlJc w:val="left"/>
      <w:pPr>
        <w:tabs>
          <w:tab w:val="left" w:pos="567"/>
        </w:tabs>
        <w:ind w:left="567" w:hanging="567"/>
      </w:pPr>
      <w:rPr>
        <w:rFonts w:hint="eastAsia"/>
        <w:b w:val="0"/>
        <w:bCs/>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72D1240"/>
    <w:multiLevelType w:val="multilevel"/>
    <w:tmpl w:val="572D1240"/>
    <w:lvl w:ilvl="0" w:tentative="0">
      <w:start w:val="1"/>
      <w:numFmt w:val="decimal"/>
      <w:pStyle w:val="525"/>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5B4DB846"/>
    <w:multiLevelType w:val="singleLevel"/>
    <w:tmpl w:val="5B4DB846"/>
    <w:lvl w:ilvl="0" w:tentative="0">
      <w:start w:val="6"/>
      <w:numFmt w:val="chineseCounting"/>
      <w:pStyle w:val="18"/>
      <w:suff w:val="space"/>
      <w:lvlText w:val="第%1条"/>
      <w:lvlJc w:val="left"/>
    </w:lvl>
  </w:abstractNum>
  <w:abstractNum w:abstractNumId="12">
    <w:nsid w:val="69D4D353"/>
    <w:multiLevelType w:val="singleLevel"/>
    <w:tmpl w:val="69D4D353"/>
    <w:lvl w:ilvl="0" w:tentative="0">
      <w:start w:val="1"/>
      <w:numFmt w:val="decimal"/>
      <w:suff w:val="nothing"/>
      <w:lvlText w:val="（%1）"/>
      <w:lvlJc w:val="left"/>
    </w:lvl>
  </w:abstractNum>
  <w:abstractNum w:abstractNumId="13">
    <w:nsid w:val="7C27A7AC"/>
    <w:multiLevelType w:val="singleLevel"/>
    <w:tmpl w:val="7C27A7AC"/>
    <w:lvl w:ilvl="0" w:tentative="0">
      <w:start w:val="11"/>
      <w:numFmt w:val="chineseCounting"/>
      <w:suff w:val="nothing"/>
      <w:lvlText w:val="%1、"/>
      <w:lvlJc w:val="left"/>
      <w:rPr>
        <w:rFonts w:hint="eastAsia"/>
      </w:rPr>
    </w:lvl>
  </w:abstractNum>
  <w:abstractNum w:abstractNumId="14">
    <w:nsid w:val="7E8B76FF"/>
    <w:multiLevelType w:val="multilevel"/>
    <w:tmpl w:val="7E8B76FF"/>
    <w:lvl w:ilvl="0" w:tentative="0">
      <w:start w:val="1"/>
      <w:numFmt w:val="decimal"/>
      <w:pStyle w:val="28"/>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color w:val="auto"/>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14"/>
  </w:num>
  <w:num w:numId="3">
    <w:abstractNumId w:val="12"/>
  </w:num>
  <w:num w:numId="4">
    <w:abstractNumId w:val="9"/>
  </w:num>
  <w:num w:numId="5">
    <w:abstractNumId w:val="2"/>
  </w:num>
  <w:num w:numId="6">
    <w:abstractNumId w:val="1"/>
  </w:num>
  <w:num w:numId="7">
    <w:abstractNumId w:val="6"/>
  </w:num>
  <w:num w:numId="8">
    <w:abstractNumId w:val="10"/>
  </w:num>
  <w:num w:numId="9">
    <w:abstractNumId w:val="5"/>
  </w:num>
  <w:num w:numId="10">
    <w:abstractNumId w:val="7"/>
  </w:num>
  <w:num w:numId="11">
    <w:abstractNumId w:val="4"/>
  </w:num>
  <w:num w:numId="12">
    <w:abstractNumId w:val="0"/>
  </w:num>
  <w:num w:numId="13">
    <w:abstractNumId w:val="8"/>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ZjRhMmU5NzRlZmY5NTE4M2RlYmFkMDhiNzllMzMifQ=="/>
    <w:docVar w:name="KSO_WPS_MARK_KEY" w:val="ea30b527-479d-4aa7-8e5e-7fc7562f1114"/>
  </w:docVars>
  <w:rsids>
    <w:rsidRoot w:val="00172A27"/>
    <w:rsid w:val="0000033B"/>
    <w:rsid w:val="000004D8"/>
    <w:rsid w:val="00000A48"/>
    <w:rsid w:val="00001384"/>
    <w:rsid w:val="0000145D"/>
    <w:rsid w:val="000014AA"/>
    <w:rsid w:val="00001F26"/>
    <w:rsid w:val="0000293E"/>
    <w:rsid w:val="000031BA"/>
    <w:rsid w:val="000033DB"/>
    <w:rsid w:val="000036B5"/>
    <w:rsid w:val="00003B3D"/>
    <w:rsid w:val="00004156"/>
    <w:rsid w:val="00004AC9"/>
    <w:rsid w:val="00004D05"/>
    <w:rsid w:val="00004F7C"/>
    <w:rsid w:val="00005043"/>
    <w:rsid w:val="00005297"/>
    <w:rsid w:val="00005507"/>
    <w:rsid w:val="00005BF8"/>
    <w:rsid w:val="00006195"/>
    <w:rsid w:val="00006738"/>
    <w:rsid w:val="00007089"/>
    <w:rsid w:val="00007345"/>
    <w:rsid w:val="00007716"/>
    <w:rsid w:val="000079EA"/>
    <w:rsid w:val="00007A04"/>
    <w:rsid w:val="00007C62"/>
    <w:rsid w:val="00007DA6"/>
    <w:rsid w:val="00010367"/>
    <w:rsid w:val="0001123B"/>
    <w:rsid w:val="000112F4"/>
    <w:rsid w:val="000113B2"/>
    <w:rsid w:val="000113BF"/>
    <w:rsid w:val="00011BA9"/>
    <w:rsid w:val="000122D0"/>
    <w:rsid w:val="00012E7B"/>
    <w:rsid w:val="00013C81"/>
    <w:rsid w:val="0001406B"/>
    <w:rsid w:val="00014400"/>
    <w:rsid w:val="000145A6"/>
    <w:rsid w:val="00014E7F"/>
    <w:rsid w:val="00015044"/>
    <w:rsid w:val="00015146"/>
    <w:rsid w:val="00015373"/>
    <w:rsid w:val="0001553F"/>
    <w:rsid w:val="000156AA"/>
    <w:rsid w:val="00015725"/>
    <w:rsid w:val="00015822"/>
    <w:rsid w:val="00015ECB"/>
    <w:rsid w:val="00016090"/>
    <w:rsid w:val="00016149"/>
    <w:rsid w:val="00016244"/>
    <w:rsid w:val="00016657"/>
    <w:rsid w:val="00016E51"/>
    <w:rsid w:val="000177BE"/>
    <w:rsid w:val="00017E79"/>
    <w:rsid w:val="00017FAD"/>
    <w:rsid w:val="00020534"/>
    <w:rsid w:val="00020BBC"/>
    <w:rsid w:val="00021475"/>
    <w:rsid w:val="00021E70"/>
    <w:rsid w:val="00021F28"/>
    <w:rsid w:val="00021FDC"/>
    <w:rsid w:val="00022434"/>
    <w:rsid w:val="00022A75"/>
    <w:rsid w:val="00022B36"/>
    <w:rsid w:val="00022F7B"/>
    <w:rsid w:val="00023124"/>
    <w:rsid w:val="0002334F"/>
    <w:rsid w:val="00023385"/>
    <w:rsid w:val="0002437D"/>
    <w:rsid w:val="0002493B"/>
    <w:rsid w:val="00024A55"/>
    <w:rsid w:val="00024BD4"/>
    <w:rsid w:val="00024E24"/>
    <w:rsid w:val="000251B9"/>
    <w:rsid w:val="000255AC"/>
    <w:rsid w:val="00026007"/>
    <w:rsid w:val="00026292"/>
    <w:rsid w:val="000267B4"/>
    <w:rsid w:val="00026ABF"/>
    <w:rsid w:val="00027107"/>
    <w:rsid w:val="0002720D"/>
    <w:rsid w:val="00027587"/>
    <w:rsid w:val="00027D04"/>
    <w:rsid w:val="00027E42"/>
    <w:rsid w:val="0003121B"/>
    <w:rsid w:val="00031793"/>
    <w:rsid w:val="00031AC9"/>
    <w:rsid w:val="00031C8B"/>
    <w:rsid w:val="00031C8E"/>
    <w:rsid w:val="00031DD4"/>
    <w:rsid w:val="00031F4C"/>
    <w:rsid w:val="00031F9D"/>
    <w:rsid w:val="00032201"/>
    <w:rsid w:val="0003229F"/>
    <w:rsid w:val="000322CF"/>
    <w:rsid w:val="00032384"/>
    <w:rsid w:val="00033203"/>
    <w:rsid w:val="000339C4"/>
    <w:rsid w:val="00033DEF"/>
    <w:rsid w:val="00033FFB"/>
    <w:rsid w:val="0003410A"/>
    <w:rsid w:val="0003466F"/>
    <w:rsid w:val="0003490A"/>
    <w:rsid w:val="00034E66"/>
    <w:rsid w:val="000351A9"/>
    <w:rsid w:val="0003573C"/>
    <w:rsid w:val="000359DE"/>
    <w:rsid w:val="00035B8C"/>
    <w:rsid w:val="00035C80"/>
    <w:rsid w:val="00036A97"/>
    <w:rsid w:val="0003759C"/>
    <w:rsid w:val="00040187"/>
    <w:rsid w:val="0004081E"/>
    <w:rsid w:val="00040A10"/>
    <w:rsid w:val="00040B47"/>
    <w:rsid w:val="000419FD"/>
    <w:rsid w:val="00041BDE"/>
    <w:rsid w:val="00041E42"/>
    <w:rsid w:val="0004217E"/>
    <w:rsid w:val="000427DE"/>
    <w:rsid w:val="00042BF1"/>
    <w:rsid w:val="00042D41"/>
    <w:rsid w:val="00043BBF"/>
    <w:rsid w:val="00044171"/>
    <w:rsid w:val="00044272"/>
    <w:rsid w:val="000444C8"/>
    <w:rsid w:val="000449CB"/>
    <w:rsid w:val="00044E06"/>
    <w:rsid w:val="0004507A"/>
    <w:rsid w:val="00045120"/>
    <w:rsid w:val="000451E8"/>
    <w:rsid w:val="0004527C"/>
    <w:rsid w:val="000461E4"/>
    <w:rsid w:val="000463B3"/>
    <w:rsid w:val="0004682F"/>
    <w:rsid w:val="00046D80"/>
    <w:rsid w:val="00047935"/>
    <w:rsid w:val="000479CD"/>
    <w:rsid w:val="00047B8E"/>
    <w:rsid w:val="00047F1B"/>
    <w:rsid w:val="00051BA1"/>
    <w:rsid w:val="00051C5B"/>
    <w:rsid w:val="00051E3C"/>
    <w:rsid w:val="00051F96"/>
    <w:rsid w:val="00052DE9"/>
    <w:rsid w:val="00053D70"/>
    <w:rsid w:val="00053F7F"/>
    <w:rsid w:val="000541E3"/>
    <w:rsid w:val="000545E2"/>
    <w:rsid w:val="000546A8"/>
    <w:rsid w:val="00054B86"/>
    <w:rsid w:val="00055978"/>
    <w:rsid w:val="000561E3"/>
    <w:rsid w:val="000564D7"/>
    <w:rsid w:val="00056A02"/>
    <w:rsid w:val="00056BD4"/>
    <w:rsid w:val="000571C6"/>
    <w:rsid w:val="00057559"/>
    <w:rsid w:val="00057573"/>
    <w:rsid w:val="00060006"/>
    <w:rsid w:val="000604BB"/>
    <w:rsid w:val="00060AA1"/>
    <w:rsid w:val="00061B6F"/>
    <w:rsid w:val="00061F9E"/>
    <w:rsid w:val="0006202C"/>
    <w:rsid w:val="00062C32"/>
    <w:rsid w:val="000637E4"/>
    <w:rsid w:val="0006396E"/>
    <w:rsid w:val="00063B2A"/>
    <w:rsid w:val="00063CB4"/>
    <w:rsid w:val="00064AB0"/>
    <w:rsid w:val="00065283"/>
    <w:rsid w:val="000652FC"/>
    <w:rsid w:val="00065C22"/>
    <w:rsid w:val="00065CBF"/>
    <w:rsid w:val="00065F1F"/>
    <w:rsid w:val="000667CB"/>
    <w:rsid w:val="00066C42"/>
    <w:rsid w:val="00066D70"/>
    <w:rsid w:val="00066FCB"/>
    <w:rsid w:val="0006748D"/>
    <w:rsid w:val="00067973"/>
    <w:rsid w:val="00067CF6"/>
    <w:rsid w:val="00067DFE"/>
    <w:rsid w:val="00067FF3"/>
    <w:rsid w:val="00070787"/>
    <w:rsid w:val="00070DCB"/>
    <w:rsid w:val="00071F67"/>
    <w:rsid w:val="00072C3B"/>
    <w:rsid w:val="00072C8D"/>
    <w:rsid w:val="000732DB"/>
    <w:rsid w:val="0007396A"/>
    <w:rsid w:val="000739F4"/>
    <w:rsid w:val="00073C18"/>
    <w:rsid w:val="00073EE6"/>
    <w:rsid w:val="0007409C"/>
    <w:rsid w:val="000741A0"/>
    <w:rsid w:val="0007421C"/>
    <w:rsid w:val="0007533A"/>
    <w:rsid w:val="0007560D"/>
    <w:rsid w:val="00075B43"/>
    <w:rsid w:val="00077DA2"/>
    <w:rsid w:val="0008029C"/>
    <w:rsid w:val="000806E4"/>
    <w:rsid w:val="000807BB"/>
    <w:rsid w:val="00080BB6"/>
    <w:rsid w:val="00081050"/>
    <w:rsid w:val="000810B6"/>
    <w:rsid w:val="00081285"/>
    <w:rsid w:val="00081815"/>
    <w:rsid w:val="00081A68"/>
    <w:rsid w:val="00081D58"/>
    <w:rsid w:val="000821A4"/>
    <w:rsid w:val="00082411"/>
    <w:rsid w:val="000828B9"/>
    <w:rsid w:val="00082F8C"/>
    <w:rsid w:val="00083591"/>
    <w:rsid w:val="000835A2"/>
    <w:rsid w:val="00083639"/>
    <w:rsid w:val="000837B8"/>
    <w:rsid w:val="0008386F"/>
    <w:rsid w:val="00083DC1"/>
    <w:rsid w:val="000840C7"/>
    <w:rsid w:val="00084DC3"/>
    <w:rsid w:val="00085354"/>
    <w:rsid w:val="00085849"/>
    <w:rsid w:val="00085C17"/>
    <w:rsid w:val="00085F66"/>
    <w:rsid w:val="00085F9E"/>
    <w:rsid w:val="00086402"/>
    <w:rsid w:val="000867FB"/>
    <w:rsid w:val="00087168"/>
    <w:rsid w:val="00087178"/>
    <w:rsid w:val="000871F0"/>
    <w:rsid w:val="000872C7"/>
    <w:rsid w:val="00087A37"/>
    <w:rsid w:val="00090491"/>
    <w:rsid w:val="0009129F"/>
    <w:rsid w:val="0009135D"/>
    <w:rsid w:val="000917F4"/>
    <w:rsid w:val="000920E2"/>
    <w:rsid w:val="000921FA"/>
    <w:rsid w:val="000922C3"/>
    <w:rsid w:val="00092B8C"/>
    <w:rsid w:val="00092C03"/>
    <w:rsid w:val="00092D0D"/>
    <w:rsid w:val="000931C5"/>
    <w:rsid w:val="00093438"/>
    <w:rsid w:val="000948F2"/>
    <w:rsid w:val="00094905"/>
    <w:rsid w:val="00094CA6"/>
    <w:rsid w:val="00094D9E"/>
    <w:rsid w:val="00094DCA"/>
    <w:rsid w:val="00094E96"/>
    <w:rsid w:val="00094F30"/>
    <w:rsid w:val="0009552D"/>
    <w:rsid w:val="00095DF6"/>
    <w:rsid w:val="00095F0E"/>
    <w:rsid w:val="00096BAF"/>
    <w:rsid w:val="000977FF"/>
    <w:rsid w:val="000978E8"/>
    <w:rsid w:val="00097BC7"/>
    <w:rsid w:val="00097E30"/>
    <w:rsid w:val="000A064E"/>
    <w:rsid w:val="000A0861"/>
    <w:rsid w:val="000A0979"/>
    <w:rsid w:val="000A0A86"/>
    <w:rsid w:val="000A1B6B"/>
    <w:rsid w:val="000A1C7A"/>
    <w:rsid w:val="000A1DB9"/>
    <w:rsid w:val="000A1F95"/>
    <w:rsid w:val="000A22E0"/>
    <w:rsid w:val="000A37D9"/>
    <w:rsid w:val="000A427B"/>
    <w:rsid w:val="000A5080"/>
    <w:rsid w:val="000A5107"/>
    <w:rsid w:val="000A5697"/>
    <w:rsid w:val="000A5857"/>
    <w:rsid w:val="000A58F0"/>
    <w:rsid w:val="000A5AD3"/>
    <w:rsid w:val="000A5B72"/>
    <w:rsid w:val="000A5F92"/>
    <w:rsid w:val="000A648B"/>
    <w:rsid w:val="000A6D3C"/>
    <w:rsid w:val="000A6F71"/>
    <w:rsid w:val="000A70FF"/>
    <w:rsid w:val="000A74D3"/>
    <w:rsid w:val="000A7ECF"/>
    <w:rsid w:val="000A7F63"/>
    <w:rsid w:val="000B0338"/>
    <w:rsid w:val="000B04A8"/>
    <w:rsid w:val="000B0C76"/>
    <w:rsid w:val="000B132D"/>
    <w:rsid w:val="000B13DB"/>
    <w:rsid w:val="000B145F"/>
    <w:rsid w:val="000B211C"/>
    <w:rsid w:val="000B236E"/>
    <w:rsid w:val="000B2756"/>
    <w:rsid w:val="000B3481"/>
    <w:rsid w:val="000B3909"/>
    <w:rsid w:val="000B3AED"/>
    <w:rsid w:val="000B3FF8"/>
    <w:rsid w:val="000B429E"/>
    <w:rsid w:val="000B56C1"/>
    <w:rsid w:val="000B5759"/>
    <w:rsid w:val="000B5D35"/>
    <w:rsid w:val="000B61F5"/>
    <w:rsid w:val="000B6345"/>
    <w:rsid w:val="000B668E"/>
    <w:rsid w:val="000B682D"/>
    <w:rsid w:val="000B694F"/>
    <w:rsid w:val="000B6B79"/>
    <w:rsid w:val="000B72C4"/>
    <w:rsid w:val="000B742F"/>
    <w:rsid w:val="000B7F0F"/>
    <w:rsid w:val="000B7FD1"/>
    <w:rsid w:val="000C07BA"/>
    <w:rsid w:val="000C0FCF"/>
    <w:rsid w:val="000C104B"/>
    <w:rsid w:val="000C1875"/>
    <w:rsid w:val="000C1D23"/>
    <w:rsid w:val="000C29A0"/>
    <w:rsid w:val="000C2DA6"/>
    <w:rsid w:val="000C2FE8"/>
    <w:rsid w:val="000C3106"/>
    <w:rsid w:val="000C39A6"/>
    <w:rsid w:val="000C407F"/>
    <w:rsid w:val="000C4728"/>
    <w:rsid w:val="000C4965"/>
    <w:rsid w:val="000C4B4C"/>
    <w:rsid w:val="000C4F9C"/>
    <w:rsid w:val="000C52E5"/>
    <w:rsid w:val="000C5989"/>
    <w:rsid w:val="000C5992"/>
    <w:rsid w:val="000C5BC6"/>
    <w:rsid w:val="000C5C86"/>
    <w:rsid w:val="000C66C4"/>
    <w:rsid w:val="000C673C"/>
    <w:rsid w:val="000C6D36"/>
    <w:rsid w:val="000C7D7E"/>
    <w:rsid w:val="000D041A"/>
    <w:rsid w:val="000D0C5F"/>
    <w:rsid w:val="000D1B62"/>
    <w:rsid w:val="000D1BAD"/>
    <w:rsid w:val="000D276F"/>
    <w:rsid w:val="000D27B9"/>
    <w:rsid w:val="000D2D6D"/>
    <w:rsid w:val="000D31D2"/>
    <w:rsid w:val="000D3815"/>
    <w:rsid w:val="000D397B"/>
    <w:rsid w:val="000D3999"/>
    <w:rsid w:val="000D4302"/>
    <w:rsid w:val="000D4367"/>
    <w:rsid w:val="000D47D4"/>
    <w:rsid w:val="000D496A"/>
    <w:rsid w:val="000D4B38"/>
    <w:rsid w:val="000D4F7D"/>
    <w:rsid w:val="000D4F89"/>
    <w:rsid w:val="000D531F"/>
    <w:rsid w:val="000D5598"/>
    <w:rsid w:val="000D59BD"/>
    <w:rsid w:val="000D5A0D"/>
    <w:rsid w:val="000D6224"/>
    <w:rsid w:val="000D65DD"/>
    <w:rsid w:val="000D6D96"/>
    <w:rsid w:val="000D7621"/>
    <w:rsid w:val="000D7827"/>
    <w:rsid w:val="000D7CE2"/>
    <w:rsid w:val="000D7F19"/>
    <w:rsid w:val="000E0FC8"/>
    <w:rsid w:val="000E1CEA"/>
    <w:rsid w:val="000E2758"/>
    <w:rsid w:val="000E2AA6"/>
    <w:rsid w:val="000E2B76"/>
    <w:rsid w:val="000E2C5A"/>
    <w:rsid w:val="000E2EE2"/>
    <w:rsid w:val="000E3457"/>
    <w:rsid w:val="000E365C"/>
    <w:rsid w:val="000E3B73"/>
    <w:rsid w:val="000E3C04"/>
    <w:rsid w:val="000E3DE6"/>
    <w:rsid w:val="000E49C8"/>
    <w:rsid w:val="000E4C43"/>
    <w:rsid w:val="000E58B8"/>
    <w:rsid w:val="000E5AEA"/>
    <w:rsid w:val="000E5C7B"/>
    <w:rsid w:val="000E6E4B"/>
    <w:rsid w:val="000E72B3"/>
    <w:rsid w:val="000E7925"/>
    <w:rsid w:val="000E7B98"/>
    <w:rsid w:val="000F0799"/>
    <w:rsid w:val="000F0F69"/>
    <w:rsid w:val="000F21B9"/>
    <w:rsid w:val="000F22DD"/>
    <w:rsid w:val="000F2761"/>
    <w:rsid w:val="000F286D"/>
    <w:rsid w:val="000F35D4"/>
    <w:rsid w:val="000F4E93"/>
    <w:rsid w:val="000F4FB2"/>
    <w:rsid w:val="000F537F"/>
    <w:rsid w:val="000F557C"/>
    <w:rsid w:val="000F5791"/>
    <w:rsid w:val="000F60CF"/>
    <w:rsid w:val="000F64E9"/>
    <w:rsid w:val="000F7161"/>
    <w:rsid w:val="000F7666"/>
    <w:rsid w:val="000F7B5B"/>
    <w:rsid w:val="000F7D1C"/>
    <w:rsid w:val="000F7EDC"/>
    <w:rsid w:val="001002E5"/>
    <w:rsid w:val="001006A2"/>
    <w:rsid w:val="00100C14"/>
    <w:rsid w:val="0010143B"/>
    <w:rsid w:val="00101670"/>
    <w:rsid w:val="00101956"/>
    <w:rsid w:val="00101A85"/>
    <w:rsid w:val="00101D6C"/>
    <w:rsid w:val="0010230B"/>
    <w:rsid w:val="001025F8"/>
    <w:rsid w:val="001026AB"/>
    <w:rsid w:val="001028C1"/>
    <w:rsid w:val="001028E9"/>
    <w:rsid w:val="00102F08"/>
    <w:rsid w:val="00103335"/>
    <w:rsid w:val="00103D0D"/>
    <w:rsid w:val="00104291"/>
    <w:rsid w:val="0010453C"/>
    <w:rsid w:val="00104C62"/>
    <w:rsid w:val="001053CD"/>
    <w:rsid w:val="0010609D"/>
    <w:rsid w:val="00106E59"/>
    <w:rsid w:val="001078B6"/>
    <w:rsid w:val="00107F3C"/>
    <w:rsid w:val="0011074A"/>
    <w:rsid w:val="00110C8C"/>
    <w:rsid w:val="00110E26"/>
    <w:rsid w:val="00111279"/>
    <w:rsid w:val="001115F8"/>
    <w:rsid w:val="0011162B"/>
    <w:rsid w:val="00111AE6"/>
    <w:rsid w:val="001120DC"/>
    <w:rsid w:val="0011295D"/>
    <w:rsid w:val="00112EC1"/>
    <w:rsid w:val="00113510"/>
    <w:rsid w:val="001135C9"/>
    <w:rsid w:val="00113D18"/>
    <w:rsid w:val="001141BF"/>
    <w:rsid w:val="001146E7"/>
    <w:rsid w:val="00114788"/>
    <w:rsid w:val="001149CF"/>
    <w:rsid w:val="00114AA2"/>
    <w:rsid w:val="00115A04"/>
    <w:rsid w:val="0011623A"/>
    <w:rsid w:val="0011650B"/>
    <w:rsid w:val="00116FBB"/>
    <w:rsid w:val="0011709A"/>
    <w:rsid w:val="00117224"/>
    <w:rsid w:val="0011724A"/>
    <w:rsid w:val="00117A79"/>
    <w:rsid w:val="00117C2A"/>
    <w:rsid w:val="00117EB4"/>
    <w:rsid w:val="00121175"/>
    <w:rsid w:val="00121953"/>
    <w:rsid w:val="00121C23"/>
    <w:rsid w:val="001225A6"/>
    <w:rsid w:val="00122A49"/>
    <w:rsid w:val="00122E40"/>
    <w:rsid w:val="0012334E"/>
    <w:rsid w:val="001233FC"/>
    <w:rsid w:val="00123F1F"/>
    <w:rsid w:val="00124062"/>
    <w:rsid w:val="00124D05"/>
    <w:rsid w:val="00124EF1"/>
    <w:rsid w:val="00125571"/>
    <w:rsid w:val="00125903"/>
    <w:rsid w:val="00125A9F"/>
    <w:rsid w:val="00125B8B"/>
    <w:rsid w:val="00125CCB"/>
    <w:rsid w:val="001264E3"/>
    <w:rsid w:val="0012672B"/>
    <w:rsid w:val="00126B39"/>
    <w:rsid w:val="001274AC"/>
    <w:rsid w:val="0012755A"/>
    <w:rsid w:val="00127EA3"/>
    <w:rsid w:val="001303FB"/>
    <w:rsid w:val="001304D7"/>
    <w:rsid w:val="00130AC3"/>
    <w:rsid w:val="00130D20"/>
    <w:rsid w:val="00130EBF"/>
    <w:rsid w:val="001310D2"/>
    <w:rsid w:val="00132314"/>
    <w:rsid w:val="00132865"/>
    <w:rsid w:val="00132A88"/>
    <w:rsid w:val="00132B3D"/>
    <w:rsid w:val="00132C37"/>
    <w:rsid w:val="00132FAC"/>
    <w:rsid w:val="00133656"/>
    <w:rsid w:val="00133EAC"/>
    <w:rsid w:val="001340AF"/>
    <w:rsid w:val="00134231"/>
    <w:rsid w:val="001344D2"/>
    <w:rsid w:val="00134805"/>
    <w:rsid w:val="00134825"/>
    <w:rsid w:val="00134C60"/>
    <w:rsid w:val="00134EE3"/>
    <w:rsid w:val="00135440"/>
    <w:rsid w:val="001357B0"/>
    <w:rsid w:val="00135CA5"/>
    <w:rsid w:val="00136169"/>
    <w:rsid w:val="00136BC0"/>
    <w:rsid w:val="00137754"/>
    <w:rsid w:val="00137ADF"/>
    <w:rsid w:val="00137E4B"/>
    <w:rsid w:val="001400E8"/>
    <w:rsid w:val="0014058A"/>
    <w:rsid w:val="00140C5B"/>
    <w:rsid w:val="00141CF9"/>
    <w:rsid w:val="00141DFE"/>
    <w:rsid w:val="00142637"/>
    <w:rsid w:val="00142706"/>
    <w:rsid w:val="0014313F"/>
    <w:rsid w:val="00144346"/>
    <w:rsid w:val="0014446F"/>
    <w:rsid w:val="0014494B"/>
    <w:rsid w:val="001451E9"/>
    <w:rsid w:val="00145C78"/>
    <w:rsid w:val="00145D49"/>
    <w:rsid w:val="001460CA"/>
    <w:rsid w:val="001465D5"/>
    <w:rsid w:val="00146683"/>
    <w:rsid w:val="001467F4"/>
    <w:rsid w:val="00146A96"/>
    <w:rsid w:val="00146ADE"/>
    <w:rsid w:val="00146D65"/>
    <w:rsid w:val="00146E1B"/>
    <w:rsid w:val="001474EC"/>
    <w:rsid w:val="00147556"/>
    <w:rsid w:val="00147650"/>
    <w:rsid w:val="001479ED"/>
    <w:rsid w:val="00147E70"/>
    <w:rsid w:val="00147F69"/>
    <w:rsid w:val="00150960"/>
    <w:rsid w:val="00151435"/>
    <w:rsid w:val="00151A10"/>
    <w:rsid w:val="0015220A"/>
    <w:rsid w:val="0015293F"/>
    <w:rsid w:val="001529C8"/>
    <w:rsid w:val="00153024"/>
    <w:rsid w:val="0015371A"/>
    <w:rsid w:val="001539C6"/>
    <w:rsid w:val="00153B6D"/>
    <w:rsid w:val="00153D6C"/>
    <w:rsid w:val="00153ED3"/>
    <w:rsid w:val="00154196"/>
    <w:rsid w:val="00154326"/>
    <w:rsid w:val="001543BD"/>
    <w:rsid w:val="0015503D"/>
    <w:rsid w:val="0015505E"/>
    <w:rsid w:val="001551AD"/>
    <w:rsid w:val="0015540A"/>
    <w:rsid w:val="00155433"/>
    <w:rsid w:val="001559AE"/>
    <w:rsid w:val="00155FEA"/>
    <w:rsid w:val="00156123"/>
    <w:rsid w:val="001561D0"/>
    <w:rsid w:val="0015639B"/>
    <w:rsid w:val="0015664E"/>
    <w:rsid w:val="00156D8D"/>
    <w:rsid w:val="001570B7"/>
    <w:rsid w:val="00157C10"/>
    <w:rsid w:val="001608D2"/>
    <w:rsid w:val="0016105B"/>
    <w:rsid w:val="00161207"/>
    <w:rsid w:val="00161B8F"/>
    <w:rsid w:val="00161BE9"/>
    <w:rsid w:val="00161CAF"/>
    <w:rsid w:val="0016297E"/>
    <w:rsid w:val="0016319F"/>
    <w:rsid w:val="00163830"/>
    <w:rsid w:val="00163B8C"/>
    <w:rsid w:val="00163E58"/>
    <w:rsid w:val="00164D33"/>
    <w:rsid w:val="001654BE"/>
    <w:rsid w:val="00165927"/>
    <w:rsid w:val="00165C5F"/>
    <w:rsid w:val="00165E7B"/>
    <w:rsid w:val="00166235"/>
    <w:rsid w:val="001666F0"/>
    <w:rsid w:val="0016682D"/>
    <w:rsid w:val="0016747D"/>
    <w:rsid w:val="00167BE8"/>
    <w:rsid w:val="00170B25"/>
    <w:rsid w:val="00170E71"/>
    <w:rsid w:val="001716A2"/>
    <w:rsid w:val="001716E1"/>
    <w:rsid w:val="00172134"/>
    <w:rsid w:val="001722E3"/>
    <w:rsid w:val="00172A27"/>
    <w:rsid w:val="0017378F"/>
    <w:rsid w:val="00173AD1"/>
    <w:rsid w:val="00173B61"/>
    <w:rsid w:val="001740B8"/>
    <w:rsid w:val="00174562"/>
    <w:rsid w:val="001747F1"/>
    <w:rsid w:val="001758AF"/>
    <w:rsid w:val="001759C2"/>
    <w:rsid w:val="00176209"/>
    <w:rsid w:val="001769D4"/>
    <w:rsid w:val="00176F3C"/>
    <w:rsid w:val="0017742F"/>
    <w:rsid w:val="00177CEB"/>
    <w:rsid w:val="00177E34"/>
    <w:rsid w:val="0018028F"/>
    <w:rsid w:val="00180932"/>
    <w:rsid w:val="0018094A"/>
    <w:rsid w:val="001816DA"/>
    <w:rsid w:val="001819D3"/>
    <w:rsid w:val="00181FCD"/>
    <w:rsid w:val="001824B6"/>
    <w:rsid w:val="00182556"/>
    <w:rsid w:val="00182710"/>
    <w:rsid w:val="001830BD"/>
    <w:rsid w:val="00183346"/>
    <w:rsid w:val="0018339C"/>
    <w:rsid w:val="00183808"/>
    <w:rsid w:val="00183A52"/>
    <w:rsid w:val="00183B9D"/>
    <w:rsid w:val="001840E3"/>
    <w:rsid w:val="00184966"/>
    <w:rsid w:val="00184D80"/>
    <w:rsid w:val="00186C70"/>
    <w:rsid w:val="00187135"/>
    <w:rsid w:val="00187648"/>
    <w:rsid w:val="00187AE6"/>
    <w:rsid w:val="00190327"/>
    <w:rsid w:val="00190545"/>
    <w:rsid w:val="0019077E"/>
    <w:rsid w:val="00190DE1"/>
    <w:rsid w:val="001920B2"/>
    <w:rsid w:val="0019253B"/>
    <w:rsid w:val="00192BBA"/>
    <w:rsid w:val="00192F22"/>
    <w:rsid w:val="00193399"/>
    <w:rsid w:val="0019341B"/>
    <w:rsid w:val="001934ED"/>
    <w:rsid w:val="00193DED"/>
    <w:rsid w:val="00193F95"/>
    <w:rsid w:val="00194157"/>
    <w:rsid w:val="0019469A"/>
    <w:rsid w:val="001947F9"/>
    <w:rsid w:val="00194A7F"/>
    <w:rsid w:val="00194AF1"/>
    <w:rsid w:val="00194BE6"/>
    <w:rsid w:val="00194F5F"/>
    <w:rsid w:val="0019508D"/>
    <w:rsid w:val="001959BB"/>
    <w:rsid w:val="00195B8A"/>
    <w:rsid w:val="00196675"/>
    <w:rsid w:val="001966CB"/>
    <w:rsid w:val="001967D7"/>
    <w:rsid w:val="0019690B"/>
    <w:rsid w:val="00196EC7"/>
    <w:rsid w:val="00196F8D"/>
    <w:rsid w:val="001970E5"/>
    <w:rsid w:val="001971A3"/>
    <w:rsid w:val="00197877"/>
    <w:rsid w:val="00197B44"/>
    <w:rsid w:val="00197B87"/>
    <w:rsid w:val="001A021D"/>
    <w:rsid w:val="001A0683"/>
    <w:rsid w:val="001A08D7"/>
    <w:rsid w:val="001A0C41"/>
    <w:rsid w:val="001A1877"/>
    <w:rsid w:val="001A190D"/>
    <w:rsid w:val="001A1B5B"/>
    <w:rsid w:val="001A1CB4"/>
    <w:rsid w:val="001A2173"/>
    <w:rsid w:val="001A2337"/>
    <w:rsid w:val="001A27B5"/>
    <w:rsid w:val="001A2B08"/>
    <w:rsid w:val="001A2DF5"/>
    <w:rsid w:val="001A3B70"/>
    <w:rsid w:val="001A3CCD"/>
    <w:rsid w:val="001A3E41"/>
    <w:rsid w:val="001A41CE"/>
    <w:rsid w:val="001A4283"/>
    <w:rsid w:val="001A4826"/>
    <w:rsid w:val="001A48FA"/>
    <w:rsid w:val="001A4A94"/>
    <w:rsid w:val="001A4B1A"/>
    <w:rsid w:val="001A4FFB"/>
    <w:rsid w:val="001A50E9"/>
    <w:rsid w:val="001A5442"/>
    <w:rsid w:val="001A5889"/>
    <w:rsid w:val="001A59EE"/>
    <w:rsid w:val="001A71D4"/>
    <w:rsid w:val="001A7229"/>
    <w:rsid w:val="001A72AC"/>
    <w:rsid w:val="001A77B4"/>
    <w:rsid w:val="001A7CB5"/>
    <w:rsid w:val="001A7E84"/>
    <w:rsid w:val="001B06B2"/>
    <w:rsid w:val="001B09FA"/>
    <w:rsid w:val="001B0B5C"/>
    <w:rsid w:val="001B15DA"/>
    <w:rsid w:val="001B1BAF"/>
    <w:rsid w:val="001B2047"/>
    <w:rsid w:val="001B20A4"/>
    <w:rsid w:val="001B28AB"/>
    <w:rsid w:val="001B2A24"/>
    <w:rsid w:val="001B30F4"/>
    <w:rsid w:val="001B3519"/>
    <w:rsid w:val="001B3C94"/>
    <w:rsid w:val="001B3DAA"/>
    <w:rsid w:val="001B3E51"/>
    <w:rsid w:val="001B3F27"/>
    <w:rsid w:val="001B3FD4"/>
    <w:rsid w:val="001B5552"/>
    <w:rsid w:val="001B5B2A"/>
    <w:rsid w:val="001B5BAA"/>
    <w:rsid w:val="001B5D39"/>
    <w:rsid w:val="001B678D"/>
    <w:rsid w:val="001B69A3"/>
    <w:rsid w:val="001B6BDC"/>
    <w:rsid w:val="001B6C92"/>
    <w:rsid w:val="001B6DE9"/>
    <w:rsid w:val="001B6ED8"/>
    <w:rsid w:val="001B7427"/>
    <w:rsid w:val="001B76D7"/>
    <w:rsid w:val="001B7ABA"/>
    <w:rsid w:val="001B7AF6"/>
    <w:rsid w:val="001B7C22"/>
    <w:rsid w:val="001B7E2A"/>
    <w:rsid w:val="001C090D"/>
    <w:rsid w:val="001C0E9C"/>
    <w:rsid w:val="001C1293"/>
    <w:rsid w:val="001C1473"/>
    <w:rsid w:val="001C1580"/>
    <w:rsid w:val="001C169B"/>
    <w:rsid w:val="001C18F7"/>
    <w:rsid w:val="001C1986"/>
    <w:rsid w:val="001C1B85"/>
    <w:rsid w:val="001C20EC"/>
    <w:rsid w:val="001C2161"/>
    <w:rsid w:val="001C22DE"/>
    <w:rsid w:val="001C2749"/>
    <w:rsid w:val="001C3A04"/>
    <w:rsid w:val="001C3A45"/>
    <w:rsid w:val="001C3E5D"/>
    <w:rsid w:val="001C3E96"/>
    <w:rsid w:val="001C4066"/>
    <w:rsid w:val="001C46A5"/>
    <w:rsid w:val="001C54B1"/>
    <w:rsid w:val="001C5880"/>
    <w:rsid w:val="001C5B48"/>
    <w:rsid w:val="001C61D9"/>
    <w:rsid w:val="001C6626"/>
    <w:rsid w:val="001C69D5"/>
    <w:rsid w:val="001C6DF8"/>
    <w:rsid w:val="001C6EF2"/>
    <w:rsid w:val="001C76FD"/>
    <w:rsid w:val="001D01E1"/>
    <w:rsid w:val="001D0505"/>
    <w:rsid w:val="001D064E"/>
    <w:rsid w:val="001D07B4"/>
    <w:rsid w:val="001D0C2C"/>
    <w:rsid w:val="001D11E3"/>
    <w:rsid w:val="001D1627"/>
    <w:rsid w:val="001D1752"/>
    <w:rsid w:val="001D1BB4"/>
    <w:rsid w:val="001D1DCB"/>
    <w:rsid w:val="001D1EAE"/>
    <w:rsid w:val="001D26F2"/>
    <w:rsid w:val="001D2841"/>
    <w:rsid w:val="001D28E3"/>
    <w:rsid w:val="001D2C03"/>
    <w:rsid w:val="001D2D8E"/>
    <w:rsid w:val="001D30DA"/>
    <w:rsid w:val="001D3333"/>
    <w:rsid w:val="001D3511"/>
    <w:rsid w:val="001D3DFE"/>
    <w:rsid w:val="001D40EB"/>
    <w:rsid w:val="001D4189"/>
    <w:rsid w:val="001D41B8"/>
    <w:rsid w:val="001D4661"/>
    <w:rsid w:val="001D4F58"/>
    <w:rsid w:val="001D57A3"/>
    <w:rsid w:val="001D7893"/>
    <w:rsid w:val="001D7955"/>
    <w:rsid w:val="001D7FFA"/>
    <w:rsid w:val="001E00B8"/>
    <w:rsid w:val="001E014A"/>
    <w:rsid w:val="001E02B7"/>
    <w:rsid w:val="001E06ED"/>
    <w:rsid w:val="001E0DDD"/>
    <w:rsid w:val="001E1342"/>
    <w:rsid w:val="001E15F4"/>
    <w:rsid w:val="001E2119"/>
    <w:rsid w:val="001E2459"/>
    <w:rsid w:val="001E2B06"/>
    <w:rsid w:val="001E3252"/>
    <w:rsid w:val="001E34A2"/>
    <w:rsid w:val="001E35EE"/>
    <w:rsid w:val="001E3CDE"/>
    <w:rsid w:val="001E40E8"/>
    <w:rsid w:val="001E42A1"/>
    <w:rsid w:val="001E44F1"/>
    <w:rsid w:val="001E4E9C"/>
    <w:rsid w:val="001E508C"/>
    <w:rsid w:val="001E5261"/>
    <w:rsid w:val="001E540A"/>
    <w:rsid w:val="001E5438"/>
    <w:rsid w:val="001E64FE"/>
    <w:rsid w:val="001E65A9"/>
    <w:rsid w:val="001E7348"/>
    <w:rsid w:val="001E79C4"/>
    <w:rsid w:val="001F01E1"/>
    <w:rsid w:val="001F07CF"/>
    <w:rsid w:val="001F1035"/>
    <w:rsid w:val="001F1193"/>
    <w:rsid w:val="001F11C1"/>
    <w:rsid w:val="001F15C8"/>
    <w:rsid w:val="001F1602"/>
    <w:rsid w:val="001F1C1B"/>
    <w:rsid w:val="001F232D"/>
    <w:rsid w:val="001F24BB"/>
    <w:rsid w:val="001F2975"/>
    <w:rsid w:val="001F2C6F"/>
    <w:rsid w:val="001F34BE"/>
    <w:rsid w:val="001F3533"/>
    <w:rsid w:val="001F37E2"/>
    <w:rsid w:val="001F3CB0"/>
    <w:rsid w:val="001F3D36"/>
    <w:rsid w:val="001F47AA"/>
    <w:rsid w:val="001F4D8F"/>
    <w:rsid w:val="001F521D"/>
    <w:rsid w:val="001F52E6"/>
    <w:rsid w:val="001F5319"/>
    <w:rsid w:val="001F5929"/>
    <w:rsid w:val="001F5B00"/>
    <w:rsid w:val="001F5B76"/>
    <w:rsid w:val="001F5C63"/>
    <w:rsid w:val="001F63E1"/>
    <w:rsid w:val="001F670B"/>
    <w:rsid w:val="001F67D3"/>
    <w:rsid w:val="001F6A34"/>
    <w:rsid w:val="001F6B45"/>
    <w:rsid w:val="001F7496"/>
    <w:rsid w:val="001F74E7"/>
    <w:rsid w:val="001F7574"/>
    <w:rsid w:val="001F78F7"/>
    <w:rsid w:val="001F7E39"/>
    <w:rsid w:val="0020002B"/>
    <w:rsid w:val="00200170"/>
    <w:rsid w:val="002008E3"/>
    <w:rsid w:val="00200BCA"/>
    <w:rsid w:val="002029B6"/>
    <w:rsid w:val="00202B16"/>
    <w:rsid w:val="00202B3A"/>
    <w:rsid w:val="002032B9"/>
    <w:rsid w:val="00203452"/>
    <w:rsid w:val="002034F8"/>
    <w:rsid w:val="002038BC"/>
    <w:rsid w:val="0020393D"/>
    <w:rsid w:val="00204295"/>
    <w:rsid w:val="00204A86"/>
    <w:rsid w:val="002053F8"/>
    <w:rsid w:val="002065E4"/>
    <w:rsid w:val="002066F0"/>
    <w:rsid w:val="00206956"/>
    <w:rsid w:val="00206C78"/>
    <w:rsid w:val="00207144"/>
    <w:rsid w:val="00207811"/>
    <w:rsid w:val="00210054"/>
    <w:rsid w:val="00210A39"/>
    <w:rsid w:val="002110C0"/>
    <w:rsid w:val="00211E92"/>
    <w:rsid w:val="0021203A"/>
    <w:rsid w:val="002120C8"/>
    <w:rsid w:val="002125C7"/>
    <w:rsid w:val="002127A0"/>
    <w:rsid w:val="00212AAC"/>
    <w:rsid w:val="00212B17"/>
    <w:rsid w:val="00212E5F"/>
    <w:rsid w:val="00213396"/>
    <w:rsid w:val="002138D4"/>
    <w:rsid w:val="00213961"/>
    <w:rsid w:val="00213EE7"/>
    <w:rsid w:val="0021434F"/>
    <w:rsid w:val="00214446"/>
    <w:rsid w:val="00214A1F"/>
    <w:rsid w:val="00215D1A"/>
    <w:rsid w:val="00216122"/>
    <w:rsid w:val="00216409"/>
    <w:rsid w:val="002164BF"/>
    <w:rsid w:val="00216C64"/>
    <w:rsid w:val="00216D2F"/>
    <w:rsid w:val="00216FC8"/>
    <w:rsid w:val="002172D3"/>
    <w:rsid w:val="00217358"/>
    <w:rsid w:val="0021777E"/>
    <w:rsid w:val="002178FF"/>
    <w:rsid w:val="00217ACE"/>
    <w:rsid w:val="00217F20"/>
    <w:rsid w:val="002202D0"/>
    <w:rsid w:val="002203F0"/>
    <w:rsid w:val="0022087F"/>
    <w:rsid w:val="00220C9D"/>
    <w:rsid w:val="00220F3F"/>
    <w:rsid w:val="00221182"/>
    <w:rsid w:val="00222D4E"/>
    <w:rsid w:val="00223044"/>
    <w:rsid w:val="0022323C"/>
    <w:rsid w:val="0022349F"/>
    <w:rsid w:val="00224917"/>
    <w:rsid w:val="00224AC7"/>
    <w:rsid w:val="00225269"/>
    <w:rsid w:val="00225455"/>
    <w:rsid w:val="002256BE"/>
    <w:rsid w:val="0022584A"/>
    <w:rsid w:val="00225C66"/>
    <w:rsid w:val="00225D97"/>
    <w:rsid w:val="00226138"/>
    <w:rsid w:val="002261E5"/>
    <w:rsid w:val="00226212"/>
    <w:rsid w:val="00226826"/>
    <w:rsid w:val="00226A5B"/>
    <w:rsid w:val="00226F23"/>
    <w:rsid w:val="0023013E"/>
    <w:rsid w:val="0023068A"/>
    <w:rsid w:val="00230CC3"/>
    <w:rsid w:val="00231285"/>
    <w:rsid w:val="00231A87"/>
    <w:rsid w:val="002325AF"/>
    <w:rsid w:val="0023263C"/>
    <w:rsid w:val="00232718"/>
    <w:rsid w:val="00232F45"/>
    <w:rsid w:val="002333A2"/>
    <w:rsid w:val="00233625"/>
    <w:rsid w:val="00233F1B"/>
    <w:rsid w:val="0023434A"/>
    <w:rsid w:val="002344CC"/>
    <w:rsid w:val="00235096"/>
    <w:rsid w:val="0023526E"/>
    <w:rsid w:val="002352FC"/>
    <w:rsid w:val="002354ED"/>
    <w:rsid w:val="002360ED"/>
    <w:rsid w:val="00236134"/>
    <w:rsid w:val="00236339"/>
    <w:rsid w:val="00236395"/>
    <w:rsid w:val="00236417"/>
    <w:rsid w:val="0023674E"/>
    <w:rsid w:val="00236B88"/>
    <w:rsid w:val="00236C3C"/>
    <w:rsid w:val="00236C6B"/>
    <w:rsid w:val="00236D19"/>
    <w:rsid w:val="00236F67"/>
    <w:rsid w:val="0023767C"/>
    <w:rsid w:val="0024033F"/>
    <w:rsid w:val="002404CE"/>
    <w:rsid w:val="002407E7"/>
    <w:rsid w:val="002413BD"/>
    <w:rsid w:val="00241B3B"/>
    <w:rsid w:val="00241BF8"/>
    <w:rsid w:val="002423E4"/>
    <w:rsid w:val="00242974"/>
    <w:rsid w:val="00242B37"/>
    <w:rsid w:val="002431FC"/>
    <w:rsid w:val="002436F8"/>
    <w:rsid w:val="002437B4"/>
    <w:rsid w:val="00243A3C"/>
    <w:rsid w:val="00243AD4"/>
    <w:rsid w:val="002455F3"/>
    <w:rsid w:val="00245A7D"/>
    <w:rsid w:val="002460A3"/>
    <w:rsid w:val="00246132"/>
    <w:rsid w:val="0024624E"/>
    <w:rsid w:val="00246611"/>
    <w:rsid w:val="00246B70"/>
    <w:rsid w:val="00246B93"/>
    <w:rsid w:val="002472DD"/>
    <w:rsid w:val="00247706"/>
    <w:rsid w:val="002506A4"/>
    <w:rsid w:val="0025135E"/>
    <w:rsid w:val="002514E0"/>
    <w:rsid w:val="00251CA1"/>
    <w:rsid w:val="00251FD0"/>
    <w:rsid w:val="002520B4"/>
    <w:rsid w:val="0025317D"/>
    <w:rsid w:val="002538C5"/>
    <w:rsid w:val="0025396F"/>
    <w:rsid w:val="0025559B"/>
    <w:rsid w:val="00255E38"/>
    <w:rsid w:val="00256232"/>
    <w:rsid w:val="002565CC"/>
    <w:rsid w:val="00256A9A"/>
    <w:rsid w:val="00256D60"/>
    <w:rsid w:val="00256DAC"/>
    <w:rsid w:val="002571AD"/>
    <w:rsid w:val="00257372"/>
    <w:rsid w:val="00257AF2"/>
    <w:rsid w:val="00257BD0"/>
    <w:rsid w:val="002603A7"/>
    <w:rsid w:val="0026057C"/>
    <w:rsid w:val="00260707"/>
    <w:rsid w:val="002607A9"/>
    <w:rsid w:val="00260A35"/>
    <w:rsid w:val="00260A7E"/>
    <w:rsid w:val="00260AB5"/>
    <w:rsid w:val="0026121B"/>
    <w:rsid w:val="002619EC"/>
    <w:rsid w:val="00261D77"/>
    <w:rsid w:val="00262898"/>
    <w:rsid w:val="00262A2F"/>
    <w:rsid w:val="00263074"/>
    <w:rsid w:val="0026325B"/>
    <w:rsid w:val="002639C5"/>
    <w:rsid w:val="00263DB5"/>
    <w:rsid w:val="00263ED5"/>
    <w:rsid w:val="0026440F"/>
    <w:rsid w:val="0026465B"/>
    <w:rsid w:val="0026471C"/>
    <w:rsid w:val="00264744"/>
    <w:rsid w:val="00265577"/>
    <w:rsid w:val="0026599D"/>
    <w:rsid w:val="002665F6"/>
    <w:rsid w:val="0026678E"/>
    <w:rsid w:val="00266951"/>
    <w:rsid w:val="00266E3E"/>
    <w:rsid w:val="002674DC"/>
    <w:rsid w:val="00267BD4"/>
    <w:rsid w:val="00267D7F"/>
    <w:rsid w:val="002701FC"/>
    <w:rsid w:val="0027043B"/>
    <w:rsid w:val="0027062F"/>
    <w:rsid w:val="00270633"/>
    <w:rsid w:val="0027073B"/>
    <w:rsid w:val="00270BA6"/>
    <w:rsid w:val="00270FD2"/>
    <w:rsid w:val="00271261"/>
    <w:rsid w:val="00271AC0"/>
    <w:rsid w:val="00271EBF"/>
    <w:rsid w:val="00272000"/>
    <w:rsid w:val="00272D7B"/>
    <w:rsid w:val="00273894"/>
    <w:rsid w:val="00274771"/>
    <w:rsid w:val="00274AB0"/>
    <w:rsid w:val="00274B6C"/>
    <w:rsid w:val="00274C88"/>
    <w:rsid w:val="00275014"/>
    <w:rsid w:val="00275848"/>
    <w:rsid w:val="002759C8"/>
    <w:rsid w:val="00275AF0"/>
    <w:rsid w:val="00276377"/>
    <w:rsid w:val="002765F2"/>
    <w:rsid w:val="00276F3C"/>
    <w:rsid w:val="00277A5C"/>
    <w:rsid w:val="00277C7B"/>
    <w:rsid w:val="00277CE0"/>
    <w:rsid w:val="002800EE"/>
    <w:rsid w:val="002801A4"/>
    <w:rsid w:val="00280272"/>
    <w:rsid w:val="002806C3"/>
    <w:rsid w:val="00280B54"/>
    <w:rsid w:val="0028104F"/>
    <w:rsid w:val="00281232"/>
    <w:rsid w:val="0028154C"/>
    <w:rsid w:val="00281FDC"/>
    <w:rsid w:val="0028226F"/>
    <w:rsid w:val="0028229B"/>
    <w:rsid w:val="002823AC"/>
    <w:rsid w:val="0028359B"/>
    <w:rsid w:val="00283773"/>
    <w:rsid w:val="00283E52"/>
    <w:rsid w:val="002842BD"/>
    <w:rsid w:val="0028477F"/>
    <w:rsid w:val="00284973"/>
    <w:rsid w:val="00284F53"/>
    <w:rsid w:val="0028517E"/>
    <w:rsid w:val="0028571C"/>
    <w:rsid w:val="00285C79"/>
    <w:rsid w:val="00285D9B"/>
    <w:rsid w:val="002860B4"/>
    <w:rsid w:val="00286284"/>
    <w:rsid w:val="00286369"/>
    <w:rsid w:val="002878BA"/>
    <w:rsid w:val="00287CAA"/>
    <w:rsid w:val="00287CDD"/>
    <w:rsid w:val="00287E90"/>
    <w:rsid w:val="00287EE3"/>
    <w:rsid w:val="002901F9"/>
    <w:rsid w:val="00290E75"/>
    <w:rsid w:val="0029166B"/>
    <w:rsid w:val="002917B2"/>
    <w:rsid w:val="00291B84"/>
    <w:rsid w:val="00291B86"/>
    <w:rsid w:val="00291BE5"/>
    <w:rsid w:val="002929AD"/>
    <w:rsid w:val="00292F40"/>
    <w:rsid w:val="0029334B"/>
    <w:rsid w:val="002933E8"/>
    <w:rsid w:val="00293DF0"/>
    <w:rsid w:val="002942AC"/>
    <w:rsid w:val="002942AE"/>
    <w:rsid w:val="00294922"/>
    <w:rsid w:val="00294B62"/>
    <w:rsid w:val="002950F4"/>
    <w:rsid w:val="0029540A"/>
    <w:rsid w:val="00295D9D"/>
    <w:rsid w:val="002A000E"/>
    <w:rsid w:val="002A0179"/>
    <w:rsid w:val="002A01AA"/>
    <w:rsid w:val="002A064D"/>
    <w:rsid w:val="002A0E7D"/>
    <w:rsid w:val="002A1033"/>
    <w:rsid w:val="002A11D0"/>
    <w:rsid w:val="002A16F1"/>
    <w:rsid w:val="002A18CA"/>
    <w:rsid w:val="002A1AD7"/>
    <w:rsid w:val="002A2369"/>
    <w:rsid w:val="002A356B"/>
    <w:rsid w:val="002A37B8"/>
    <w:rsid w:val="002A3FE3"/>
    <w:rsid w:val="002A408E"/>
    <w:rsid w:val="002A41EC"/>
    <w:rsid w:val="002A42C0"/>
    <w:rsid w:val="002A47AB"/>
    <w:rsid w:val="002A49F5"/>
    <w:rsid w:val="002A4A15"/>
    <w:rsid w:val="002A4E74"/>
    <w:rsid w:val="002A4F3C"/>
    <w:rsid w:val="002A5BEF"/>
    <w:rsid w:val="002A5CFD"/>
    <w:rsid w:val="002A6539"/>
    <w:rsid w:val="002A69F6"/>
    <w:rsid w:val="002A6FF9"/>
    <w:rsid w:val="002A74ED"/>
    <w:rsid w:val="002A77F6"/>
    <w:rsid w:val="002A7A7E"/>
    <w:rsid w:val="002B02CC"/>
    <w:rsid w:val="002B0585"/>
    <w:rsid w:val="002B0843"/>
    <w:rsid w:val="002B1913"/>
    <w:rsid w:val="002B1B65"/>
    <w:rsid w:val="002B294B"/>
    <w:rsid w:val="002B2D46"/>
    <w:rsid w:val="002B2EC9"/>
    <w:rsid w:val="002B3575"/>
    <w:rsid w:val="002B3D0E"/>
    <w:rsid w:val="002B3FA3"/>
    <w:rsid w:val="002B42A1"/>
    <w:rsid w:val="002B4856"/>
    <w:rsid w:val="002B49E3"/>
    <w:rsid w:val="002B4B33"/>
    <w:rsid w:val="002B4F9A"/>
    <w:rsid w:val="002B4FA5"/>
    <w:rsid w:val="002B55CE"/>
    <w:rsid w:val="002B57CE"/>
    <w:rsid w:val="002B5E95"/>
    <w:rsid w:val="002B5F99"/>
    <w:rsid w:val="002B6347"/>
    <w:rsid w:val="002B674E"/>
    <w:rsid w:val="002B6A87"/>
    <w:rsid w:val="002B6D32"/>
    <w:rsid w:val="002C03BD"/>
    <w:rsid w:val="002C061D"/>
    <w:rsid w:val="002C09F3"/>
    <w:rsid w:val="002C1504"/>
    <w:rsid w:val="002C16A9"/>
    <w:rsid w:val="002C1746"/>
    <w:rsid w:val="002C218F"/>
    <w:rsid w:val="002C2260"/>
    <w:rsid w:val="002C24E3"/>
    <w:rsid w:val="002C2B6A"/>
    <w:rsid w:val="002C2C2B"/>
    <w:rsid w:val="002C3159"/>
    <w:rsid w:val="002C3389"/>
    <w:rsid w:val="002C40DE"/>
    <w:rsid w:val="002C43F4"/>
    <w:rsid w:val="002C440C"/>
    <w:rsid w:val="002C4905"/>
    <w:rsid w:val="002C4D99"/>
    <w:rsid w:val="002C56B2"/>
    <w:rsid w:val="002C5D74"/>
    <w:rsid w:val="002C61F7"/>
    <w:rsid w:val="002C6FB6"/>
    <w:rsid w:val="002C7C6D"/>
    <w:rsid w:val="002D0186"/>
    <w:rsid w:val="002D037B"/>
    <w:rsid w:val="002D037F"/>
    <w:rsid w:val="002D051C"/>
    <w:rsid w:val="002D0625"/>
    <w:rsid w:val="002D06A3"/>
    <w:rsid w:val="002D0C52"/>
    <w:rsid w:val="002D12A3"/>
    <w:rsid w:val="002D1544"/>
    <w:rsid w:val="002D1941"/>
    <w:rsid w:val="002D1A37"/>
    <w:rsid w:val="002D1B78"/>
    <w:rsid w:val="002D2783"/>
    <w:rsid w:val="002D2A16"/>
    <w:rsid w:val="002D2C86"/>
    <w:rsid w:val="002D2D45"/>
    <w:rsid w:val="002D2ED5"/>
    <w:rsid w:val="002D316D"/>
    <w:rsid w:val="002D3610"/>
    <w:rsid w:val="002D39EC"/>
    <w:rsid w:val="002D3C7B"/>
    <w:rsid w:val="002D3E68"/>
    <w:rsid w:val="002D4EC3"/>
    <w:rsid w:val="002D5740"/>
    <w:rsid w:val="002D57E3"/>
    <w:rsid w:val="002D5893"/>
    <w:rsid w:val="002D5977"/>
    <w:rsid w:val="002D6628"/>
    <w:rsid w:val="002D6874"/>
    <w:rsid w:val="002D6C2B"/>
    <w:rsid w:val="002D6D6C"/>
    <w:rsid w:val="002D6DF3"/>
    <w:rsid w:val="002E01E2"/>
    <w:rsid w:val="002E0B09"/>
    <w:rsid w:val="002E14D7"/>
    <w:rsid w:val="002E157D"/>
    <w:rsid w:val="002E1EE5"/>
    <w:rsid w:val="002E30E1"/>
    <w:rsid w:val="002E32A9"/>
    <w:rsid w:val="002E361D"/>
    <w:rsid w:val="002E3E73"/>
    <w:rsid w:val="002E4698"/>
    <w:rsid w:val="002E5218"/>
    <w:rsid w:val="002E5496"/>
    <w:rsid w:val="002E5A7E"/>
    <w:rsid w:val="002E6065"/>
    <w:rsid w:val="002E63D4"/>
    <w:rsid w:val="002E6A19"/>
    <w:rsid w:val="002E6DF6"/>
    <w:rsid w:val="002E7151"/>
    <w:rsid w:val="002E7165"/>
    <w:rsid w:val="002E752B"/>
    <w:rsid w:val="002E77AE"/>
    <w:rsid w:val="002F04EA"/>
    <w:rsid w:val="002F052D"/>
    <w:rsid w:val="002F0797"/>
    <w:rsid w:val="002F0890"/>
    <w:rsid w:val="002F08BC"/>
    <w:rsid w:val="002F0CA5"/>
    <w:rsid w:val="002F0DC6"/>
    <w:rsid w:val="002F1024"/>
    <w:rsid w:val="002F10E9"/>
    <w:rsid w:val="002F143C"/>
    <w:rsid w:val="002F239B"/>
    <w:rsid w:val="002F24AE"/>
    <w:rsid w:val="002F27B2"/>
    <w:rsid w:val="002F298B"/>
    <w:rsid w:val="002F2B08"/>
    <w:rsid w:val="002F2B3E"/>
    <w:rsid w:val="002F3040"/>
    <w:rsid w:val="002F32FA"/>
    <w:rsid w:val="002F3713"/>
    <w:rsid w:val="002F377F"/>
    <w:rsid w:val="002F38EC"/>
    <w:rsid w:val="002F3F5D"/>
    <w:rsid w:val="002F439B"/>
    <w:rsid w:val="002F477F"/>
    <w:rsid w:val="002F47A9"/>
    <w:rsid w:val="002F50BF"/>
    <w:rsid w:val="002F5949"/>
    <w:rsid w:val="002F5CFA"/>
    <w:rsid w:val="002F6647"/>
    <w:rsid w:val="002F6B42"/>
    <w:rsid w:val="002F72CA"/>
    <w:rsid w:val="002F7963"/>
    <w:rsid w:val="002F7F2D"/>
    <w:rsid w:val="0030031B"/>
    <w:rsid w:val="00300911"/>
    <w:rsid w:val="003010E0"/>
    <w:rsid w:val="0030134B"/>
    <w:rsid w:val="003017C0"/>
    <w:rsid w:val="00301D6F"/>
    <w:rsid w:val="00301E3B"/>
    <w:rsid w:val="00301F34"/>
    <w:rsid w:val="00302159"/>
    <w:rsid w:val="00302214"/>
    <w:rsid w:val="0030251F"/>
    <w:rsid w:val="00302D30"/>
    <w:rsid w:val="00303417"/>
    <w:rsid w:val="0030416A"/>
    <w:rsid w:val="003041A0"/>
    <w:rsid w:val="00304774"/>
    <w:rsid w:val="00304D2A"/>
    <w:rsid w:val="00305061"/>
    <w:rsid w:val="0030506A"/>
    <w:rsid w:val="00305111"/>
    <w:rsid w:val="0030538C"/>
    <w:rsid w:val="003055F4"/>
    <w:rsid w:val="00305CAB"/>
    <w:rsid w:val="00306094"/>
    <w:rsid w:val="003064A3"/>
    <w:rsid w:val="00306B1B"/>
    <w:rsid w:val="00306CE2"/>
    <w:rsid w:val="00307315"/>
    <w:rsid w:val="00307413"/>
    <w:rsid w:val="00307611"/>
    <w:rsid w:val="003076C2"/>
    <w:rsid w:val="00307B90"/>
    <w:rsid w:val="003107B4"/>
    <w:rsid w:val="00310D25"/>
    <w:rsid w:val="00310D60"/>
    <w:rsid w:val="0031145E"/>
    <w:rsid w:val="003120AD"/>
    <w:rsid w:val="003122BF"/>
    <w:rsid w:val="0031286A"/>
    <w:rsid w:val="0031345A"/>
    <w:rsid w:val="003136DC"/>
    <w:rsid w:val="00313DB0"/>
    <w:rsid w:val="00313F7E"/>
    <w:rsid w:val="003144D3"/>
    <w:rsid w:val="0031450B"/>
    <w:rsid w:val="00314742"/>
    <w:rsid w:val="003151B7"/>
    <w:rsid w:val="00315645"/>
    <w:rsid w:val="00315846"/>
    <w:rsid w:val="00315B79"/>
    <w:rsid w:val="00315BA0"/>
    <w:rsid w:val="00315D23"/>
    <w:rsid w:val="00315E4E"/>
    <w:rsid w:val="00315E63"/>
    <w:rsid w:val="00316030"/>
    <w:rsid w:val="00316487"/>
    <w:rsid w:val="003164AA"/>
    <w:rsid w:val="00316D36"/>
    <w:rsid w:val="0031703D"/>
    <w:rsid w:val="00317200"/>
    <w:rsid w:val="00317285"/>
    <w:rsid w:val="003175FD"/>
    <w:rsid w:val="00317693"/>
    <w:rsid w:val="003177DA"/>
    <w:rsid w:val="00321165"/>
    <w:rsid w:val="00321810"/>
    <w:rsid w:val="00321BCE"/>
    <w:rsid w:val="00322125"/>
    <w:rsid w:val="0032254F"/>
    <w:rsid w:val="00323398"/>
    <w:rsid w:val="003237BE"/>
    <w:rsid w:val="003237D8"/>
    <w:rsid w:val="00323F43"/>
    <w:rsid w:val="003245F1"/>
    <w:rsid w:val="003246A2"/>
    <w:rsid w:val="00324EEE"/>
    <w:rsid w:val="003251DB"/>
    <w:rsid w:val="00325CFF"/>
    <w:rsid w:val="00326BF7"/>
    <w:rsid w:val="00326C8F"/>
    <w:rsid w:val="00327562"/>
    <w:rsid w:val="00327AD5"/>
    <w:rsid w:val="00331498"/>
    <w:rsid w:val="00332549"/>
    <w:rsid w:val="00332854"/>
    <w:rsid w:val="00332E75"/>
    <w:rsid w:val="00333990"/>
    <w:rsid w:val="00333FFF"/>
    <w:rsid w:val="00334055"/>
    <w:rsid w:val="00334206"/>
    <w:rsid w:val="003343A9"/>
    <w:rsid w:val="0033452E"/>
    <w:rsid w:val="003345D6"/>
    <w:rsid w:val="003346CD"/>
    <w:rsid w:val="00334D6A"/>
    <w:rsid w:val="003350BE"/>
    <w:rsid w:val="0033554A"/>
    <w:rsid w:val="003365FC"/>
    <w:rsid w:val="00336AB0"/>
    <w:rsid w:val="00336BA7"/>
    <w:rsid w:val="00336CDF"/>
    <w:rsid w:val="00336F0C"/>
    <w:rsid w:val="0034132C"/>
    <w:rsid w:val="00341B0A"/>
    <w:rsid w:val="00341CA3"/>
    <w:rsid w:val="003427D9"/>
    <w:rsid w:val="0034281A"/>
    <w:rsid w:val="0034305C"/>
    <w:rsid w:val="00343750"/>
    <w:rsid w:val="003437FA"/>
    <w:rsid w:val="00343A86"/>
    <w:rsid w:val="00343E20"/>
    <w:rsid w:val="0034406A"/>
    <w:rsid w:val="003444B5"/>
    <w:rsid w:val="003446CC"/>
    <w:rsid w:val="003448BB"/>
    <w:rsid w:val="0034490C"/>
    <w:rsid w:val="00345004"/>
    <w:rsid w:val="0034501A"/>
    <w:rsid w:val="00345271"/>
    <w:rsid w:val="00345350"/>
    <w:rsid w:val="003454BC"/>
    <w:rsid w:val="003457A3"/>
    <w:rsid w:val="00346276"/>
    <w:rsid w:val="00346583"/>
    <w:rsid w:val="003468CB"/>
    <w:rsid w:val="00347605"/>
    <w:rsid w:val="003478F6"/>
    <w:rsid w:val="00347F8D"/>
    <w:rsid w:val="00350498"/>
    <w:rsid w:val="003513C4"/>
    <w:rsid w:val="00351618"/>
    <w:rsid w:val="00351ED6"/>
    <w:rsid w:val="00352382"/>
    <w:rsid w:val="0035319F"/>
    <w:rsid w:val="003540B4"/>
    <w:rsid w:val="003545C6"/>
    <w:rsid w:val="00354AE0"/>
    <w:rsid w:val="00354FB5"/>
    <w:rsid w:val="00354FC1"/>
    <w:rsid w:val="00355A4A"/>
    <w:rsid w:val="00356341"/>
    <w:rsid w:val="003564D0"/>
    <w:rsid w:val="00356A15"/>
    <w:rsid w:val="00356EC2"/>
    <w:rsid w:val="00357169"/>
    <w:rsid w:val="003573D9"/>
    <w:rsid w:val="0035784D"/>
    <w:rsid w:val="00357B59"/>
    <w:rsid w:val="00357FCB"/>
    <w:rsid w:val="0036047C"/>
    <w:rsid w:val="003608B9"/>
    <w:rsid w:val="0036091E"/>
    <w:rsid w:val="00360C0C"/>
    <w:rsid w:val="00360D15"/>
    <w:rsid w:val="00360F16"/>
    <w:rsid w:val="00360FC4"/>
    <w:rsid w:val="003613D2"/>
    <w:rsid w:val="003615EE"/>
    <w:rsid w:val="00361C43"/>
    <w:rsid w:val="00361FAB"/>
    <w:rsid w:val="0036235D"/>
    <w:rsid w:val="00362F9D"/>
    <w:rsid w:val="003632F0"/>
    <w:rsid w:val="00363C89"/>
    <w:rsid w:val="00364087"/>
    <w:rsid w:val="00364183"/>
    <w:rsid w:val="003642B0"/>
    <w:rsid w:val="00364412"/>
    <w:rsid w:val="0036551B"/>
    <w:rsid w:val="003655F9"/>
    <w:rsid w:val="00365EEE"/>
    <w:rsid w:val="00366095"/>
    <w:rsid w:val="00366323"/>
    <w:rsid w:val="00366B36"/>
    <w:rsid w:val="00366B4B"/>
    <w:rsid w:val="003676F1"/>
    <w:rsid w:val="00367C50"/>
    <w:rsid w:val="0037007C"/>
    <w:rsid w:val="003703ED"/>
    <w:rsid w:val="003711AD"/>
    <w:rsid w:val="00371424"/>
    <w:rsid w:val="003722D6"/>
    <w:rsid w:val="00372507"/>
    <w:rsid w:val="003726C3"/>
    <w:rsid w:val="00373392"/>
    <w:rsid w:val="00373A7E"/>
    <w:rsid w:val="00373FD4"/>
    <w:rsid w:val="003740F4"/>
    <w:rsid w:val="00374643"/>
    <w:rsid w:val="00374C55"/>
    <w:rsid w:val="003757CD"/>
    <w:rsid w:val="00375B2A"/>
    <w:rsid w:val="003762E5"/>
    <w:rsid w:val="00376DF9"/>
    <w:rsid w:val="0037708E"/>
    <w:rsid w:val="003778AD"/>
    <w:rsid w:val="003802A5"/>
    <w:rsid w:val="00380837"/>
    <w:rsid w:val="003809B9"/>
    <w:rsid w:val="00380C1B"/>
    <w:rsid w:val="00380C62"/>
    <w:rsid w:val="00381337"/>
    <w:rsid w:val="003817CA"/>
    <w:rsid w:val="003818DC"/>
    <w:rsid w:val="00381CEB"/>
    <w:rsid w:val="003821F7"/>
    <w:rsid w:val="003826BC"/>
    <w:rsid w:val="00382D62"/>
    <w:rsid w:val="00382D92"/>
    <w:rsid w:val="003831F3"/>
    <w:rsid w:val="003833AC"/>
    <w:rsid w:val="00383726"/>
    <w:rsid w:val="00384423"/>
    <w:rsid w:val="00384624"/>
    <w:rsid w:val="00384AB4"/>
    <w:rsid w:val="0038524B"/>
    <w:rsid w:val="00385CE9"/>
    <w:rsid w:val="00386034"/>
    <w:rsid w:val="0038646D"/>
    <w:rsid w:val="003865D5"/>
    <w:rsid w:val="003866FC"/>
    <w:rsid w:val="00386CE3"/>
    <w:rsid w:val="00386DB9"/>
    <w:rsid w:val="0038739C"/>
    <w:rsid w:val="003873A3"/>
    <w:rsid w:val="00390B3D"/>
    <w:rsid w:val="00390D9E"/>
    <w:rsid w:val="00391191"/>
    <w:rsid w:val="00391335"/>
    <w:rsid w:val="003915C0"/>
    <w:rsid w:val="00391C0D"/>
    <w:rsid w:val="0039245D"/>
    <w:rsid w:val="00392555"/>
    <w:rsid w:val="00392825"/>
    <w:rsid w:val="00393171"/>
    <w:rsid w:val="00393974"/>
    <w:rsid w:val="00393BEC"/>
    <w:rsid w:val="00393EB4"/>
    <w:rsid w:val="003945E4"/>
    <w:rsid w:val="00394C2C"/>
    <w:rsid w:val="00394C62"/>
    <w:rsid w:val="00395D85"/>
    <w:rsid w:val="00395D8A"/>
    <w:rsid w:val="00396107"/>
    <w:rsid w:val="00396666"/>
    <w:rsid w:val="00396FFD"/>
    <w:rsid w:val="003976FC"/>
    <w:rsid w:val="00397D56"/>
    <w:rsid w:val="00397DCE"/>
    <w:rsid w:val="003A0636"/>
    <w:rsid w:val="003A080A"/>
    <w:rsid w:val="003A0BBF"/>
    <w:rsid w:val="003A15D3"/>
    <w:rsid w:val="003A1B97"/>
    <w:rsid w:val="003A1C48"/>
    <w:rsid w:val="003A2053"/>
    <w:rsid w:val="003A4A49"/>
    <w:rsid w:val="003A4D76"/>
    <w:rsid w:val="003A5168"/>
    <w:rsid w:val="003A555C"/>
    <w:rsid w:val="003A5780"/>
    <w:rsid w:val="003A59B3"/>
    <w:rsid w:val="003A5C9A"/>
    <w:rsid w:val="003A5CE8"/>
    <w:rsid w:val="003A5D1D"/>
    <w:rsid w:val="003A5D44"/>
    <w:rsid w:val="003A63AE"/>
    <w:rsid w:val="003A677B"/>
    <w:rsid w:val="003A67BA"/>
    <w:rsid w:val="003A68E1"/>
    <w:rsid w:val="003A7506"/>
    <w:rsid w:val="003A7899"/>
    <w:rsid w:val="003A7A89"/>
    <w:rsid w:val="003B0296"/>
    <w:rsid w:val="003B07C1"/>
    <w:rsid w:val="003B0881"/>
    <w:rsid w:val="003B0A52"/>
    <w:rsid w:val="003B13AB"/>
    <w:rsid w:val="003B1E65"/>
    <w:rsid w:val="003B215A"/>
    <w:rsid w:val="003B239B"/>
    <w:rsid w:val="003B2918"/>
    <w:rsid w:val="003B2FE1"/>
    <w:rsid w:val="003B3207"/>
    <w:rsid w:val="003B332F"/>
    <w:rsid w:val="003B3697"/>
    <w:rsid w:val="003B3C40"/>
    <w:rsid w:val="003B3F83"/>
    <w:rsid w:val="003B4A1D"/>
    <w:rsid w:val="003B4BC1"/>
    <w:rsid w:val="003B4D54"/>
    <w:rsid w:val="003B5447"/>
    <w:rsid w:val="003B5A62"/>
    <w:rsid w:val="003B5B36"/>
    <w:rsid w:val="003B5EE8"/>
    <w:rsid w:val="003B6A91"/>
    <w:rsid w:val="003B6B5E"/>
    <w:rsid w:val="003B7128"/>
    <w:rsid w:val="003B736E"/>
    <w:rsid w:val="003B77BE"/>
    <w:rsid w:val="003B77E3"/>
    <w:rsid w:val="003B7A95"/>
    <w:rsid w:val="003B7E01"/>
    <w:rsid w:val="003C050C"/>
    <w:rsid w:val="003C06E2"/>
    <w:rsid w:val="003C10BD"/>
    <w:rsid w:val="003C1267"/>
    <w:rsid w:val="003C1B40"/>
    <w:rsid w:val="003C1ED8"/>
    <w:rsid w:val="003C250A"/>
    <w:rsid w:val="003C3669"/>
    <w:rsid w:val="003C3730"/>
    <w:rsid w:val="003C3733"/>
    <w:rsid w:val="003C38D7"/>
    <w:rsid w:val="003C3E94"/>
    <w:rsid w:val="003C45DC"/>
    <w:rsid w:val="003C53F2"/>
    <w:rsid w:val="003C55AA"/>
    <w:rsid w:val="003C56DD"/>
    <w:rsid w:val="003C59E3"/>
    <w:rsid w:val="003C5A71"/>
    <w:rsid w:val="003C6420"/>
    <w:rsid w:val="003C6D72"/>
    <w:rsid w:val="003C735C"/>
    <w:rsid w:val="003C7429"/>
    <w:rsid w:val="003C7A26"/>
    <w:rsid w:val="003C7A83"/>
    <w:rsid w:val="003C7DB5"/>
    <w:rsid w:val="003D0671"/>
    <w:rsid w:val="003D0AF9"/>
    <w:rsid w:val="003D1053"/>
    <w:rsid w:val="003D1228"/>
    <w:rsid w:val="003D12BE"/>
    <w:rsid w:val="003D1D1B"/>
    <w:rsid w:val="003D2409"/>
    <w:rsid w:val="003D2519"/>
    <w:rsid w:val="003D2696"/>
    <w:rsid w:val="003D29DE"/>
    <w:rsid w:val="003D3A5B"/>
    <w:rsid w:val="003D40A7"/>
    <w:rsid w:val="003D42AE"/>
    <w:rsid w:val="003D4CD0"/>
    <w:rsid w:val="003D4E00"/>
    <w:rsid w:val="003D4F6D"/>
    <w:rsid w:val="003D60AD"/>
    <w:rsid w:val="003D616A"/>
    <w:rsid w:val="003D6C0C"/>
    <w:rsid w:val="003D6FDD"/>
    <w:rsid w:val="003D70BD"/>
    <w:rsid w:val="003D722D"/>
    <w:rsid w:val="003D7963"/>
    <w:rsid w:val="003D7A96"/>
    <w:rsid w:val="003D7FAD"/>
    <w:rsid w:val="003E0968"/>
    <w:rsid w:val="003E119D"/>
    <w:rsid w:val="003E1420"/>
    <w:rsid w:val="003E1458"/>
    <w:rsid w:val="003E26EA"/>
    <w:rsid w:val="003E2AC0"/>
    <w:rsid w:val="003E2F42"/>
    <w:rsid w:val="003E3394"/>
    <w:rsid w:val="003E3BF5"/>
    <w:rsid w:val="003E4324"/>
    <w:rsid w:val="003E4D33"/>
    <w:rsid w:val="003E4F8F"/>
    <w:rsid w:val="003E52ED"/>
    <w:rsid w:val="003E684B"/>
    <w:rsid w:val="003E6D6D"/>
    <w:rsid w:val="003E7070"/>
    <w:rsid w:val="003E70FB"/>
    <w:rsid w:val="003E7280"/>
    <w:rsid w:val="003E72A8"/>
    <w:rsid w:val="003E75E4"/>
    <w:rsid w:val="003E79BF"/>
    <w:rsid w:val="003F0809"/>
    <w:rsid w:val="003F14D4"/>
    <w:rsid w:val="003F1665"/>
    <w:rsid w:val="003F1A0E"/>
    <w:rsid w:val="003F1BAC"/>
    <w:rsid w:val="003F2B3B"/>
    <w:rsid w:val="003F2BED"/>
    <w:rsid w:val="003F2EC8"/>
    <w:rsid w:val="003F3177"/>
    <w:rsid w:val="003F3DE1"/>
    <w:rsid w:val="003F4352"/>
    <w:rsid w:val="003F4773"/>
    <w:rsid w:val="003F4BE9"/>
    <w:rsid w:val="003F4CFD"/>
    <w:rsid w:val="003F4E97"/>
    <w:rsid w:val="003F5683"/>
    <w:rsid w:val="003F5B4D"/>
    <w:rsid w:val="003F5B76"/>
    <w:rsid w:val="003F77A6"/>
    <w:rsid w:val="00400295"/>
    <w:rsid w:val="00400C7D"/>
    <w:rsid w:val="004011A3"/>
    <w:rsid w:val="004019FE"/>
    <w:rsid w:val="00401B9A"/>
    <w:rsid w:val="00401EA5"/>
    <w:rsid w:val="00402019"/>
    <w:rsid w:val="00402471"/>
    <w:rsid w:val="004028FB"/>
    <w:rsid w:val="00403495"/>
    <w:rsid w:val="00403832"/>
    <w:rsid w:val="00403BA8"/>
    <w:rsid w:val="00403E0C"/>
    <w:rsid w:val="004048C0"/>
    <w:rsid w:val="00404B22"/>
    <w:rsid w:val="00404C0E"/>
    <w:rsid w:val="004054C3"/>
    <w:rsid w:val="00406230"/>
    <w:rsid w:val="004064DA"/>
    <w:rsid w:val="0040744E"/>
    <w:rsid w:val="00407505"/>
    <w:rsid w:val="00407597"/>
    <w:rsid w:val="00407C5C"/>
    <w:rsid w:val="00410250"/>
    <w:rsid w:val="004102B1"/>
    <w:rsid w:val="00410B27"/>
    <w:rsid w:val="0041185E"/>
    <w:rsid w:val="004124D3"/>
    <w:rsid w:val="004132A2"/>
    <w:rsid w:val="0041341D"/>
    <w:rsid w:val="0041388E"/>
    <w:rsid w:val="00414064"/>
    <w:rsid w:val="004141F8"/>
    <w:rsid w:val="0041452F"/>
    <w:rsid w:val="004148DF"/>
    <w:rsid w:val="00414AAA"/>
    <w:rsid w:val="00415F25"/>
    <w:rsid w:val="004162EC"/>
    <w:rsid w:val="00417034"/>
    <w:rsid w:val="004172E9"/>
    <w:rsid w:val="00417A19"/>
    <w:rsid w:val="00417B69"/>
    <w:rsid w:val="004201BC"/>
    <w:rsid w:val="0042089D"/>
    <w:rsid w:val="00420985"/>
    <w:rsid w:val="00420A75"/>
    <w:rsid w:val="004211CC"/>
    <w:rsid w:val="004211FC"/>
    <w:rsid w:val="00421A82"/>
    <w:rsid w:val="00421B40"/>
    <w:rsid w:val="00421D9F"/>
    <w:rsid w:val="00421E90"/>
    <w:rsid w:val="00422038"/>
    <w:rsid w:val="004221FD"/>
    <w:rsid w:val="004225B1"/>
    <w:rsid w:val="0042293B"/>
    <w:rsid w:val="00423066"/>
    <w:rsid w:val="0042375D"/>
    <w:rsid w:val="00423FA0"/>
    <w:rsid w:val="0042446E"/>
    <w:rsid w:val="004258F1"/>
    <w:rsid w:val="00425C7F"/>
    <w:rsid w:val="00426104"/>
    <w:rsid w:val="00426460"/>
    <w:rsid w:val="00426880"/>
    <w:rsid w:val="00426BF9"/>
    <w:rsid w:val="00426DC8"/>
    <w:rsid w:val="004272D2"/>
    <w:rsid w:val="004278A3"/>
    <w:rsid w:val="00427B12"/>
    <w:rsid w:val="00430917"/>
    <w:rsid w:val="00431236"/>
    <w:rsid w:val="00431CF1"/>
    <w:rsid w:val="00431E47"/>
    <w:rsid w:val="0043348B"/>
    <w:rsid w:val="00433642"/>
    <w:rsid w:val="004338B1"/>
    <w:rsid w:val="00433B00"/>
    <w:rsid w:val="004343BF"/>
    <w:rsid w:val="004346DA"/>
    <w:rsid w:val="00434716"/>
    <w:rsid w:val="004349AB"/>
    <w:rsid w:val="00435183"/>
    <w:rsid w:val="0043551B"/>
    <w:rsid w:val="00435886"/>
    <w:rsid w:val="00435ADD"/>
    <w:rsid w:val="00435C26"/>
    <w:rsid w:val="0043633D"/>
    <w:rsid w:val="00436772"/>
    <w:rsid w:val="00436DDF"/>
    <w:rsid w:val="004371B1"/>
    <w:rsid w:val="004371D5"/>
    <w:rsid w:val="004373AE"/>
    <w:rsid w:val="004378FA"/>
    <w:rsid w:val="00437A5A"/>
    <w:rsid w:val="00437AD7"/>
    <w:rsid w:val="00437FED"/>
    <w:rsid w:val="00437FF6"/>
    <w:rsid w:val="004400E3"/>
    <w:rsid w:val="0044087E"/>
    <w:rsid w:val="0044115B"/>
    <w:rsid w:val="00441254"/>
    <w:rsid w:val="00441595"/>
    <w:rsid w:val="00442303"/>
    <w:rsid w:val="00442539"/>
    <w:rsid w:val="0044425F"/>
    <w:rsid w:val="00445191"/>
    <w:rsid w:val="00445968"/>
    <w:rsid w:val="004467A2"/>
    <w:rsid w:val="004469B2"/>
    <w:rsid w:val="004473C2"/>
    <w:rsid w:val="00447751"/>
    <w:rsid w:val="00450121"/>
    <w:rsid w:val="004502A0"/>
    <w:rsid w:val="004502F4"/>
    <w:rsid w:val="00451241"/>
    <w:rsid w:val="00452838"/>
    <w:rsid w:val="004528A7"/>
    <w:rsid w:val="00452EDB"/>
    <w:rsid w:val="004532E4"/>
    <w:rsid w:val="00453D79"/>
    <w:rsid w:val="00453E2F"/>
    <w:rsid w:val="00454013"/>
    <w:rsid w:val="00454550"/>
    <w:rsid w:val="00454994"/>
    <w:rsid w:val="004549EA"/>
    <w:rsid w:val="00454ABC"/>
    <w:rsid w:val="004555D1"/>
    <w:rsid w:val="004556B5"/>
    <w:rsid w:val="004556BD"/>
    <w:rsid w:val="00455853"/>
    <w:rsid w:val="004563C2"/>
    <w:rsid w:val="00456400"/>
    <w:rsid w:val="00456404"/>
    <w:rsid w:val="004564BA"/>
    <w:rsid w:val="004567FF"/>
    <w:rsid w:val="00456BEE"/>
    <w:rsid w:val="00456CBD"/>
    <w:rsid w:val="00456D3D"/>
    <w:rsid w:val="00456E1F"/>
    <w:rsid w:val="00456E79"/>
    <w:rsid w:val="00456EC7"/>
    <w:rsid w:val="004570F1"/>
    <w:rsid w:val="0045732E"/>
    <w:rsid w:val="00457E42"/>
    <w:rsid w:val="00460597"/>
    <w:rsid w:val="00461390"/>
    <w:rsid w:val="00461441"/>
    <w:rsid w:val="004620C4"/>
    <w:rsid w:val="0046218F"/>
    <w:rsid w:val="00462542"/>
    <w:rsid w:val="00462CB9"/>
    <w:rsid w:val="00462FCF"/>
    <w:rsid w:val="00462FEA"/>
    <w:rsid w:val="00463654"/>
    <w:rsid w:val="004636D7"/>
    <w:rsid w:val="00463B69"/>
    <w:rsid w:val="00464292"/>
    <w:rsid w:val="004644FA"/>
    <w:rsid w:val="004647C6"/>
    <w:rsid w:val="0046486C"/>
    <w:rsid w:val="00464A16"/>
    <w:rsid w:val="00464B65"/>
    <w:rsid w:val="00464C54"/>
    <w:rsid w:val="00464CA1"/>
    <w:rsid w:val="004654AF"/>
    <w:rsid w:val="0046587D"/>
    <w:rsid w:val="00465E7A"/>
    <w:rsid w:val="004661BD"/>
    <w:rsid w:val="004661D5"/>
    <w:rsid w:val="004665B4"/>
    <w:rsid w:val="00466BE7"/>
    <w:rsid w:val="00466E94"/>
    <w:rsid w:val="00466EAC"/>
    <w:rsid w:val="00466F5D"/>
    <w:rsid w:val="00467208"/>
    <w:rsid w:val="00467386"/>
    <w:rsid w:val="0046799C"/>
    <w:rsid w:val="00467B13"/>
    <w:rsid w:val="00467C4C"/>
    <w:rsid w:val="00467FC8"/>
    <w:rsid w:val="0047021A"/>
    <w:rsid w:val="004703D2"/>
    <w:rsid w:val="00470405"/>
    <w:rsid w:val="004705FD"/>
    <w:rsid w:val="00471B91"/>
    <w:rsid w:val="00471BD0"/>
    <w:rsid w:val="0047205B"/>
    <w:rsid w:val="0047212C"/>
    <w:rsid w:val="004722A6"/>
    <w:rsid w:val="00472303"/>
    <w:rsid w:val="00472F5D"/>
    <w:rsid w:val="00472FCC"/>
    <w:rsid w:val="004736D4"/>
    <w:rsid w:val="00473BC2"/>
    <w:rsid w:val="00473D2C"/>
    <w:rsid w:val="00473E02"/>
    <w:rsid w:val="004752F9"/>
    <w:rsid w:val="00475CEB"/>
    <w:rsid w:val="00475F4F"/>
    <w:rsid w:val="00475FDD"/>
    <w:rsid w:val="0047713F"/>
    <w:rsid w:val="0047717B"/>
    <w:rsid w:val="00477206"/>
    <w:rsid w:val="004778EE"/>
    <w:rsid w:val="00477981"/>
    <w:rsid w:val="00477D84"/>
    <w:rsid w:val="00480336"/>
    <w:rsid w:val="00480491"/>
    <w:rsid w:val="0048073C"/>
    <w:rsid w:val="00480857"/>
    <w:rsid w:val="00480873"/>
    <w:rsid w:val="00480B0C"/>
    <w:rsid w:val="00481AB0"/>
    <w:rsid w:val="004820DD"/>
    <w:rsid w:val="00482952"/>
    <w:rsid w:val="00482CCA"/>
    <w:rsid w:val="00482CF5"/>
    <w:rsid w:val="00483065"/>
    <w:rsid w:val="00483967"/>
    <w:rsid w:val="004845EB"/>
    <w:rsid w:val="00485566"/>
    <w:rsid w:val="004856E9"/>
    <w:rsid w:val="004859A5"/>
    <w:rsid w:val="00485BBE"/>
    <w:rsid w:val="00485E14"/>
    <w:rsid w:val="00486079"/>
    <w:rsid w:val="004869BB"/>
    <w:rsid w:val="004869C8"/>
    <w:rsid w:val="00486CC3"/>
    <w:rsid w:val="00487EBA"/>
    <w:rsid w:val="004904D2"/>
    <w:rsid w:val="004906E8"/>
    <w:rsid w:val="00490A8A"/>
    <w:rsid w:val="00491157"/>
    <w:rsid w:val="004913C9"/>
    <w:rsid w:val="0049167B"/>
    <w:rsid w:val="00491749"/>
    <w:rsid w:val="00491811"/>
    <w:rsid w:val="00491F42"/>
    <w:rsid w:val="00492B63"/>
    <w:rsid w:val="00493091"/>
    <w:rsid w:val="004932F6"/>
    <w:rsid w:val="004942F1"/>
    <w:rsid w:val="00494D7F"/>
    <w:rsid w:val="004952D8"/>
    <w:rsid w:val="00495771"/>
    <w:rsid w:val="0049624B"/>
    <w:rsid w:val="004974CF"/>
    <w:rsid w:val="00497677"/>
    <w:rsid w:val="004978C4"/>
    <w:rsid w:val="00497E98"/>
    <w:rsid w:val="004A01C6"/>
    <w:rsid w:val="004A0623"/>
    <w:rsid w:val="004A07F1"/>
    <w:rsid w:val="004A0A74"/>
    <w:rsid w:val="004A10B6"/>
    <w:rsid w:val="004A10DC"/>
    <w:rsid w:val="004A1F35"/>
    <w:rsid w:val="004A2574"/>
    <w:rsid w:val="004A2A2C"/>
    <w:rsid w:val="004A2C17"/>
    <w:rsid w:val="004A2CD9"/>
    <w:rsid w:val="004A3037"/>
    <w:rsid w:val="004A3BB4"/>
    <w:rsid w:val="004A3D38"/>
    <w:rsid w:val="004A42FB"/>
    <w:rsid w:val="004A432B"/>
    <w:rsid w:val="004A44CC"/>
    <w:rsid w:val="004A51DE"/>
    <w:rsid w:val="004A56B7"/>
    <w:rsid w:val="004A571A"/>
    <w:rsid w:val="004A6452"/>
    <w:rsid w:val="004A6791"/>
    <w:rsid w:val="004A689A"/>
    <w:rsid w:val="004A69AA"/>
    <w:rsid w:val="004A6C39"/>
    <w:rsid w:val="004A713B"/>
    <w:rsid w:val="004A75F1"/>
    <w:rsid w:val="004B0CF9"/>
    <w:rsid w:val="004B0F65"/>
    <w:rsid w:val="004B1286"/>
    <w:rsid w:val="004B1810"/>
    <w:rsid w:val="004B1F8C"/>
    <w:rsid w:val="004B2074"/>
    <w:rsid w:val="004B21FE"/>
    <w:rsid w:val="004B244B"/>
    <w:rsid w:val="004B2A01"/>
    <w:rsid w:val="004B2A27"/>
    <w:rsid w:val="004B3121"/>
    <w:rsid w:val="004B3144"/>
    <w:rsid w:val="004B363E"/>
    <w:rsid w:val="004B3983"/>
    <w:rsid w:val="004B3CC9"/>
    <w:rsid w:val="004B3E04"/>
    <w:rsid w:val="004B3F59"/>
    <w:rsid w:val="004B41C6"/>
    <w:rsid w:val="004B4252"/>
    <w:rsid w:val="004B43FB"/>
    <w:rsid w:val="004B446C"/>
    <w:rsid w:val="004B4A74"/>
    <w:rsid w:val="004B4D4F"/>
    <w:rsid w:val="004B4DCF"/>
    <w:rsid w:val="004B4E41"/>
    <w:rsid w:val="004B4EF7"/>
    <w:rsid w:val="004B51CF"/>
    <w:rsid w:val="004B605D"/>
    <w:rsid w:val="004B631E"/>
    <w:rsid w:val="004B6789"/>
    <w:rsid w:val="004B6EFE"/>
    <w:rsid w:val="004B7273"/>
    <w:rsid w:val="004B7617"/>
    <w:rsid w:val="004C0151"/>
    <w:rsid w:val="004C08F8"/>
    <w:rsid w:val="004C0A45"/>
    <w:rsid w:val="004C0E26"/>
    <w:rsid w:val="004C1620"/>
    <w:rsid w:val="004C18AA"/>
    <w:rsid w:val="004C19D9"/>
    <w:rsid w:val="004C265D"/>
    <w:rsid w:val="004C274E"/>
    <w:rsid w:val="004C282F"/>
    <w:rsid w:val="004C28B3"/>
    <w:rsid w:val="004C2A41"/>
    <w:rsid w:val="004C2A4E"/>
    <w:rsid w:val="004C2C90"/>
    <w:rsid w:val="004C2F34"/>
    <w:rsid w:val="004C2F99"/>
    <w:rsid w:val="004C36BA"/>
    <w:rsid w:val="004C38DF"/>
    <w:rsid w:val="004C428E"/>
    <w:rsid w:val="004C43A9"/>
    <w:rsid w:val="004C4D46"/>
    <w:rsid w:val="004C4F34"/>
    <w:rsid w:val="004C5405"/>
    <w:rsid w:val="004C5844"/>
    <w:rsid w:val="004C5E07"/>
    <w:rsid w:val="004C5F07"/>
    <w:rsid w:val="004C6536"/>
    <w:rsid w:val="004C6B18"/>
    <w:rsid w:val="004C6E71"/>
    <w:rsid w:val="004C7176"/>
    <w:rsid w:val="004C74AF"/>
    <w:rsid w:val="004C7716"/>
    <w:rsid w:val="004C77FA"/>
    <w:rsid w:val="004C782E"/>
    <w:rsid w:val="004C7B5D"/>
    <w:rsid w:val="004D00C8"/>
    <w:rsid w:val="004D0D3F"/>
    <w:rsid w:val="004D1015"/>
    <w:rsid w:val="004D1928"/>
    <w:rsid w:val="004D2243"/>
    <w:rsid w:val="004D3CED"/>
    <w:rsid w:val="004D40CF"/>
    <w:rsid w:val="004D4926"/>
    <w:rsid w:val="004D49D2"/>
    <w:rsid w:val="004D4B23"/>
    <w:rsid w:val="004D4BFE"/>
    <w:rsid w:val="004D4D7A"/>
    <w:rsid w:val="004D4F6C"/>
    <w:rsid w:val="004D5846"/>
    <w:rsid w:val="004D5FE6"/>
    <w:rsid w:val="004D60A2"/>
    <w:rsid w:val="004D635F"/>
    <w:rsid w:val="004D677D"/>
    <w:rsid w:val="004D7125"/>
    <w:rsid w:val="004D7356"/>
    <w:rsid w:val="004D79BF"/>
    <w:rsid w:val="004D7EA6"/>
    <w:rsid w:val="004E02BF"/>
    <w:rsid w:val="004E0641"/>
    <w:rsid w:val="004E090B"/>
    <w:rsid w:val="004E09CD"/>
    <w:rsid w:val="004E0C2C"/>
    <w:rsid w:val="004E0D72"/>
    <w:rsid w:val="004E11C9"/>
    <w:rsid w:val="004E16EE"/>
    <w:rsid w:val="004E1F19"/>
    <w:rsid w:val="004E2321"/>
    <w:rsid w:val="004E2774"/>
    <w:rsid w:val="004E29C4"/>
    <w:rsid w:val="004E2BEB"/>
    <w:rsid w:val="004E3B84"/>
    <w:rsid w:val="004E3D2A"/>
    <w:rsid w:val="004E3F7C"/>
    <w:rsid w:val="004E3FE9"/>
    <w:rsid w:val="004E451D"/>
    <w:rsid w:val="004E4BFF"/>
    <w:rsid w:val="004E50BF"/>
    <w:rsid w:val="004E550E"/>
    <w:rsid w:val="004E7021"/>
    <w:rsid w:val="004E76EC"/>
    <w:rsid w:val="004E7876"/>
    <w:rsid w:val="004E7965"/>
    <w:rsid w:val="004F08E8"/>
    <w:rsid w:val="004F0974"/>
    <w:rsid w:val="004F2015"/>
    <w:rsid w:val="004F20FC"/>
    <w:rsid w:val="004F27DC"/>
    <w:rsid w:val="004F2869"/>
    <w:rsid w:val="004F2FCC"/>
    <w:rsid w:val="004F30F9"/>
    <w:rsid w:val="004F32F5"/>
    <w:rsid w:val="004F3531"/>
    <w:rsid w:val="004F3CF0"/>
    <w:rsid w:val="004F3ED4"/>
    <w:rsid w:val="004F4525"/>
    <w:rsid w:val="004F5166"/>
    <w:rsid w:val="004F5173"/>
    <w:rsid w:val="004F58ED"/>
    <w:rsid w:val="004F6145"/>
    <w:rsid w:val="004F66CB"/>
    <w:rsid w:val="004F6B39"/>
    <w:rsid w:val="004F6E80"/>
    <w:rsid w:val="004F6FD5"/>
    <w:rsid w:val="004F75A6"/>
    <w:rsid w:val="004F7E94"/>
    <w:rsid w:val="0050084C"/>
    <w:rsid w:val="00500886"/>
    <w:rsid w:val="005008C2"/>
    <w:rsid w:val="00500BF0"/>
    <w:rsid w:val="005013AC"/>
    <w:rsid w:val="00501B04"/>
    <w:rsid w:val="00501C7D"/>
    <w:rsid w:val="0050340D"/>
    <w:rsid w:val="005037B4"/>
    <w:rsid w:val="00503925"/>
    <w:rsid w:val="00503DCA"/>
    <w:rsid w:val="00503E0A"/>
    <w:rsid w:val="005041FC"/>
    <w:rsid w:val="005046EB"/>
    <w:rsid w:val="00504D05"/>
    <w:rsid w:val="0050521F"/>
    <w:rsid w:val="005053E3"/>
    <w:rsid w:val="005058A1"/>
    <w:rsid w:val="0050613A"/>
    <w:rsid w:val="00506226"/>
    <w:rsid w:val="00506798"/>
    <w:rsid w:val="005079A8"/>
    <w:rsid w:val="005103B6"/>
    <w:rsid w:val="00510D24"/>
    <w:rsid w:val="00510D63"/>
    <w:rsid w:val="0051131F"/>
    <w:rsid w:val="00511DEE"/>
    <w:rsid w:val="005120F1"/>
    <w:rsid w:val="005129B4"/>
    <w:rsid w:val="005138F6"/>
    <w:rsid w:val="0051441F"/>
    <w:rsid w:val="00514569"/>
    <w:rsid w:val="0051475C"/>
    <w:rsid w:val="005147D9"/>
    <w:rsid w:val="00514AF4"/>
    <w:rsid w:val="00514FD6"/>
    <w:rsid w:val="00515DC7"/>
    <w:rsid w:val="005170FA"/>
    <w:rsid w:val="00517D8D"/>
    <w:rsid w:val="00517E7A"/>
    <w:rsid w:val="0052019B"/>
    <w:rsid w:val="0052055A"/>
    <w:rsid w:val="005205BF"/>
    <w:rsid w:val="005206E7"/>
    <w:rsid w:val="00520B46"/>
    <w:rsid w:val="00520C95"/>
    <w:rsid w:val="00521072"/>
    <w:rsid w:val="00521ACC"/>
    <w:rsid w:val="005220DC"/>
    <w:rsid w:val="00522555"/>
    <w:rsid w:val="00522633"/>
    <w:rsid w:val="005226E6"/>
    <w:rsid w:val="00522CA8"/>
    <w:rsid w:val="00522DC3"/>
    <w:rsid w:val="00522FE3"/>
    <w:rsid w:val="00523407"/>
    <w:rsid w:val="00523955"/>
    <w:rsid w:val="00524F74"/>
    <w:rsid w:val="005251B2"/>
    <w:rsid w:val="0052531B"/>
    <w:rsid w:val="005253D1"/>
    <w:rsid w:val="0052585A"/>
    <w:rsid w:val="00525AB7"/>
    <w:rsid w:val="00525B44"/>
    <w:rsid w:val="005276A3"/>
    <w:rsid w:val="00527D8A"/>
    <w:rsid w:val="005305FA"/>
    <w:rsid w:val="00530850"/>
    <w:rsid w:val="00530A25"/>
    <w:rsid w:val="00530A78"/>
    <w:rsid w:val="005311C2"/>
    <w:rsid w:val="0053132B"/>
    <w:rsid w:val="00531A26"/>
    <w:rsid w:val="00531E8A"/>
    <w:rsid w:val="00532283"/>
    <w:rsid w:val="0053237D"/>
    <w:rsid w:val="005326BE"/>
    <w:rsid w:val="00532DF8"/>
    <w:rsid w:val="00533236"/>
    <w:rsid w:val="005332BB"/>
    <w:rsid w:val="005334F3"/>
    <w:rsid w:val="00533D30"/>
    <w:rsid w:val="00533E5D"/>
    <w:rsid w:val="00533E88"/>
    <w:rsid w:val="005345C6"/>
    <w:rsid w:val="00534A15"/>
    <w:rsid w:val="00535921"/>
    <w:rsid w:val="005359AE"/>
    <w:rsid w:val="00536286"/>
    <w:rsid w:val="00536E12"/>
    <w:rsid w:val="00537335"/>
    <w:rsid w:val="0053734D"/>
    <w:rsid w:val="00537C10"/>
    <w:rsid w:val="00540AF6"/>
    <w:rsid w:val="00540DB6"/>
    <w:rsid w:val="00540FB9"/>
    <w:rsid w:val="0054170F"/>
    <w:rsid w:val="00541A7C"/>
    <w:rsid w:val="00541AC5"/>
    <w:rsid w:val="00541E56"/>
    <w:rsid w:val="00542067"/>
    <w:rsid w:val="005422AE"/>
    <w:rsid w:val="005428AC"/>
    <w:rsid w:val="00542D6B"/>
    <w:rsid w:val="00542F91"/>
    <w:rsid w:val="00543133"/>
    <w:rsid w:val="005433F9"/>
    <w:rsid w:val="00543B20"/>
    <w:rsid w:val="00543DCA"/>
    <w:rsid w:val="005440C2"/>
    <w:rsid w:val="005442C8"/>
    <w:rsid w:val="0054454C"/>
    <w:rsid w:val="0054491D"/>
    <w:rsid w:val="005455DE"/>
    <w:rsid w:val="00545C79"/>
    <w:rsid w:val="0054650F"/>
    <w:rsid w:val="00546957"/>
    <w:rsid w:val="00546A99"/>
    <w:rsid w:val="0054715B"/>
    <w:rsid w:val="0054718A"/>
    <w:rsid w:val="00547748"/>
    <w:rsid w:val="00547CE9"/>
    <w:rsid w:val="00547DE6"/>
    <w:rsid w:val="00547E9E"/>
    <w:rsid w:val="00550231"/>
    <w:rsid w:val="00550752"/>
    <w:rsid w:val="00550808"/>
    <w:rsid w:val="00550811"/>
    <w:rsid w:val="00550AB4"/>
    <w:rsid w:val="00550BCD"/>
    <w:rsid w:val="00550DF7"/>
    <w:rsid w:val="00551793"/>
    <w:rsid w:val="00551AA3"/>
    <w:rsid w:val="00551B56"/>
    <w:rsid w:val="0055224D"/>
    <w:rsid w:val="0055231A"/>
    <w:rsid w:val="005525FC"/>
    <w:rsid w:val="00552BA6"/>
    <w:rsid w:val="0055308F"/>
    <w:rsid w:val="00553503"/>
    <w:rsid w:val="00553767"/>
    <w:rsid w:val="00553A0C"/>
    <w:rsid w:val="00553DBA"/>
    <w:rsid w:val="00553FF0"/>
    <w:rsid w:val="005542DA"/>
    <w:rsid w:val="00554460"/>
    <w:rsid w:val="00554C3D"/>
    <w:rsid w:val="0055693F"/>
    <w:rsid w:val="00556CB3"/>
    <w:rsid w:val="00557264"/>
    <w:rsid w:val="005572C0"/>
    <w:rsid w:val="00557B13"/>
    <w:rsid w:val="00557FA4"/>
    <w:rsid w:val="00560063"/>
    <w:rsid w:val="00560161"/>
    <w:rsid w:val="00560267"/>
    <w:rsid w:val="005602C9"/>
    <w:rsid w:val="0056087D"/>
    <w:rsid w:val="00560B5A"/>
    <w:rsid w:val="00560B6A"/>
    <w:rsid w:val="00560DE6"/>
    <w:rsid w:val="0056120A"/>
    <w:rsid w:val="00561338"/>
    <w:rsid w:val="00561608"/>
    <w:rsid w:val="0056161A"/>
    <w:rsid w:val="00561636"/>
    <w:rsid w:val="00561B89"/>
    <w:rsid w:val="00561EBB"/>
    <w:rsid w:val="005620C0"/>
    <w:rsid w:val="00562245"/>
    <w:rsid w:val="005625C3"/>
    <w:rsid w:val="0056297C"/>
    <w:rsid w:val="00562C45"/>
    <w:rsid w:val="00562C50"/>
    <w:rsid w:val="00562E7E"/>
    <w:rsid w:val="00563C33"/>
    <w:rsid w:val="005649CC"/>
    <w:rsid w:val="00564F2B"/>
    <w:rsid w:val="00565794"/>
    <w:rsid w:val="005658BF"/>
    <w:rsid w:val="00565A87"/>
    <w:rsid w:val="00565AE2"/>
    <w:rsid w:val="00566237"/>
    <w:rsid w:val="00566254"/>
    <w:rsid w:val="0056655B"/>
    <w:rsid w:val="005665DE"/>
    <w:rsid w:val="00567420"/>
    <w:rsid w:val="00570A47"/>
    <w:rsid w:val="00570C4D"/>
    <w:rsid w:val="005719E5"/>
    <w:rsid w:val="00571A6E"/>
    <w:rsid w:val="00571A95"/>
    <w:rsid w:val="00572227"/>
    <w:rsid w:val="005731B3"/>
    <w:rsid w:val="00573AB0"/>
    <w:rsid w:val="00574500"/>
    <w:rsid w:val="00574FA1"/>
    <w:rsid w:val="005763EB"/>
    <w:rsid w:val="00576466"/>
    <w:rsid w:val="005764F8"/>
    <w:rsid w:val="00576AF5"/>
    <w:rsid w:val="00576B4D"/>
    <w:rsid w:val="005779A1"/>
    <w:rsid w:val="00577BB3"/>
    <w:rsid w:val="00577F9E"/>
    <w:rsid w:val="005806D3"/>
    <w:rsid w:val="00580956"/>
    <w:rsid w:val="00580A10"/>
    <w:rsid w:val="00580D30"/>
    <w:rsid w:val="00582561"/>
    <w:rsid w:val="005825D5"/>
    <w:rsid w:val="00582AEA"/>
    <w:rsid w:val="00582D08"/>
    <w:rsid w:val="00582FE8"/>
    <w:rsid w:val="00583903"/>
    <w:rsid w:val="00583ACB"/>
    <w:rsid w:val="0058446E"/>
    <w:rsid w:val="00584970"/>
    <w:rsid w:val="00584B12"/>
    <w:rsid w:val="00584BC2"/>
    <w:rsid w:val="00585447"/>
    <w:rsid w:val="005858B4"/>
    <w:rsid w:val="00586149"/>
    <w:rsid w:val="00586788"/>
    <w:rsid w:val="005867F5"/>
    <w:rsid w:val="00586EA7"/>
    <w:rsid w:val="00587406"/>
    <w:rsid w:val="005877B2"/>
    <w:rsid w:val="00587E86"/>
    <w:rsid w:val="005900B8"/>
    <w:rsid w:val="005906A5"/>
    <w:rsid w:val="00590C57"/>
    <w:rsid w:val="00590C83"/>
    <w:rsid w:val="00590E1E"/>
    <w:rsid w:val="00591923"/>
    <w:rsid w:val="00591D85"/>
    <w:rsid w:val="00591FD5"/>
    <w:rsid w:val="005926D0"/>
    <w:rsid w:val="00592D5A"/>
    <w:rsid w:val="00592ED3"/>
    <w:rsid w:val="005937CB"/>
    <w:rsid w:val="00593D1B"/>
    <w:rsid w:val="00593F66"/>
    <w:rsid w:val="00594D21"/>
    <w:rsid w:val="00594E50"/>
    <w:rsid w:val="005954F3"/>
    <w:rsid w:val="005955F7"/>
    <w:rsid w:val="00595830"/>
    <w:rsid w:val="00596427"/>
    <w:rsid w:val="00597135"/>
    <w:rsid w:val="005A0008"/>
    <w:rsid w:val="005A100F"/>
    <w:rsid w:val="005A148D"/>
    <w:rsid w:val="005A155E"/>
    <w:rsid w:val="005A1B6C"/>
    <w:rsid w:val="005A1E2D"/>
    <w:rsid w:val="005A224D"/>
    <w:rsid w:val="005A22ED"/>
    <w:rsid w:val="005A2317"/>
    <w:rsid w:val="005A2CD1"/>
    <w:rsid w:val="005A325F"/>
    <w:rsid w:val="005A3A70"/>
    <w:rsid w:val="005A3BB2"/>
    <w:rsid w:val="005A3CAD"/>
    <w:rsid w:val="005A402E"/>
    <w:rsid w:val="005A40F3"/>
    <w:rsid w:val="005A41A6"/>
    <w:rsid w:val="005A4243"/>
    <w:rsid w:val="005A4965"/>
    <w:rsid w:val="005A505B"/>
    <w:rsid w:val="005A562E"/>
    <w:rsid w:val="005A5742"/>
    <w:rsid w:val="005A5A3A"/>
    <w:rsid w:val="005A629E"/>
    <w:rsid w:val="005A63DA"/>
    <w:rsid w:val="005A6538"/>
    <w:rsid w:val="005A7280"/>
    <w:rsid w:val="005A728B"/>
    <w:rsid w:val="005A72A4"/>
    <w:rsid w:val="005A7840"/>
    <w:rsid w:val="005A7A66"/>
    <w:rsid w:val="005A7F70"/>
    <w:rsid w:val="005A7F78"/>
    <w:rsid w:val="005B00B5"/>
    <w:rsid w:val="005B07B1"/>
    <w:rsid w:val="005B11E7"/>
    <w:rsid w:val="005B12A2"/>
    <w:rsid w:val="005B138C"/>
    <w:rsid w:val="005B16D4"/>
    <w:rsid w:val="005B1E12"/>
    <w:rsid w:val="005B2AB0"/>
    <w:rsid w:val="005B2DCA"/>
    <w:rsid w:val="005B3124"/>
    <w:rsid w:val="005B3317"/>
    <w:rsid w:val="005B3992"/>
    <w:rsid w:val="005B39D2"/>
    <w:rsid w:val="005B3E6A"/>
    <w:rsid w:val="005B4289"/>
    <w:rsid w:val="005B42BF"/>
    <w:rsid w:val="005B4DBA"/>
    <w:rsid w:val="005B5369"/>
    <w:rsid w:val="005B53AC"/>
    <w:rsid w:val="005B703F"/>
    <w:rsid w:val="005B76FA"/>
    <w:rsid w:val="005B7BCE"/>
    <w:rsid w:val="005C0409"/>
    <w:rsid w:val="005C0826"/>
    <w:rsid w:val="005C0AB3"/>
    <w:rsid w:val="005C0FF7"/>
    <w:rsid w:val="005C16C2"/>
    <w:rsid w:val="005C2590"/>
    <w:rsid w:val="005C296F"/>
    <w:rsid w:val="005C2D37"/>
    <w:rsid w:val="005C2D80"/>
    <w:rsid w:val="005C3011"/>
    <w:rsid w:val="005C33B4"/>
    <w:rsid w:val="005C35B0"/>
    <w:rsid w:val="005C3C04"/>
    <w:rsid w:val="005C4623"/>
    <w:rsid w:val="005C53DB"/>
    <w:rsid w:val="005C59F0"/>
    <w:rsid w:val="005C6482"/>
    <w:rsid w:val="005C65D2"/>
    <w:rsid w:val="005C6B56"/>
    <w:rsid w:val="005C6B92"/>
    <w:rsid w:val="005C6FEA"/>
    <w:rsid w:val="005C7AF4"/>
    <w:rsid w:val="005C7FE6"/>
    <w:rsid w:val="005C7FE8"/>
    <w:rsid w:val="005D0649"/>
    <w:rsid w:val="005D099E"/>
    <w:rsid w:val="005D0A7F"/>
    <w:rsid w:val="005D0A81"/>
    <w:rsid w:val="005D0DC7"/>
    <w:rsid w:val="005D1183"/>
    <w:rsid w:val="005D15E8"/>
    <w:rsid w:val="005D1AFB"/>
    <w:rsid w:val="005D1BDD"/>
    <w:rsid w:val="005D2150"/>
    <w:rsid w:val="005D24F6"/>
    <w:rsid w:val="005D26C5"/>
    <w:rsid w:val="005D30A0"/>
    <w:rsid w:val="005D30AB"/>
    <w:rsid w:val="005D31E1"/>
    <w:rsid w:val="005D3476"/>
    <w:rsid w:val="005D3DBE"/>
    <w:rsid w:val="005D3E75"/>
    <w:rsid w:val="005D3F2D"/>
    <w:rsid w:val="005D3F4E"/>
    <w:rsid w:val="005D3F87"/>
    <w:rsid w:val="005D41DA"/>
    <w:rsid w:val="005D4D9B"/>
    <w:rsid w:val="005D4E9A"/>
    <w:rsid w:val="005D565F"/>
    <w:rsid w:val="005D589C"/>
    <w:rsid w:val="005D6074"/>
    <w:rsid w:val="005D628E"/>
    <w:rsid w:val="005D6C5C"/>
    <w:rsid w:val="005D70A7"/>
    <w:rsid w:val="005D761A"/>
    <w:rsid w:val="005D7653"/>
    <w:rsid w:val="005D7D43"/>
    <w:rsid w:val="005D7EA5"/>
    <w:rsid w:val="005D7F1D"/>
    <w:rsid w:val="005E12FC"/>
    <w:rsid w:val="005E2E9C"/>
    <w:rsid w:val="005E2F1B"/>
    <w:rsid w:val="005E335B"/>
    <w:rsid w:val="005E38AF"/>
    <w:rsid w:val="005E40BE"/>
    <w:rsid w:val="005E43CC"/>
    <w:rsid w:val="005E4DBD"/>
    <w:rsid w:val="005E6213"/>
    <w:rsid w:val="005E66D6"/>
    <w:rsid w:val="005E6AD9"/>
    <w:rsid w:val="005E6E04"/>
    <w:rsid w:val="005E71A5"/>
    <w:rsid w:val="005E7466"/>
    <w:rsid w:val="005E7754"/>
    <w:rsid w:val="005E7E67"/>
    <w:rsid w:val="005E7E7E"/>
    <w:rsid w:val="005F018D"/>
    <w:rsid w:val="005F12AC"/>
    <w:rsid w:val="005F188F"/>
    <w:rsid w:val="005F1A63"/>
    <w:rsid w:val="005F1EF0"/>
    <w:rsid w:val="005F255A"/>
    <w:rsid w:val="005F27BB"/>
    <w:rsid w:val="005F2D77"/>
    <w:rsid w:val="005F307D"/>
    <w:rsid w:val="005F343F"/>
    <w:rsid w:val="005F36F2"/>
    <w:rsid w:val="005F44AA"/>
    <w:rsid w:val="005F475F"/>
    <w:rsid w:val="005F4C6E"/>
    <w:rsid w:val="005F4DB9"/>
    <w:rsid w:val="005F50F5"/>
    <w:rsid w:val="005F52BD"/>
    <w:rsid w:val="005F587F"/>
    <w:rsid w:val="005F5D49"/>
    <w:rsid w:val="005F5DBA"/>
    <w:rsid w:val="005F5FB9"/>
    <w:rsid w:val="005F6D29"/>
    <w:rsid w:val="005F6FF1"/>
    <w:rsid w:val="005F71C2"/>
    <w:rsid w:val="005F7351"/>
    <w:rsid w:val="005F7634"/>
    <w:rsid w:val="005F781B"/>
    <w:rsid w:val="005F79E9"/>
    <w:rsid w:val="005F7E4C"/>
    <w:rsid w:val="00600A39"/>
    <w:rsid w:val="00600A9D"/>
    <w:rsid w:val="00600EA7"/>
    <w:rsid w:val="00601037"/>
    <w:rsid w:val="0060128C"/>
    <w:rsid w:val="00601415"/>
    <w:rsid w:val="006018E8"/>
    <w:rsid w:val="006021B7"/>
    <w:rsid w:val="0060223E"/>
    <w:rsid w:val="006027E9"/>
    <w:rsid w:val="00602B86"/>
    <w:rsid w:val="006031DA"/>
    <w:rsid w:val="00603AE8"/>
    <w:rsid w:val="0060409C"/>
    <w:rsid w:val="006041F2"/>
    <w:rsid w:val="006042DA"/>
    <w:rsid w:val="00604519"/>
    <w:rsid w:val="0060498F"/>
    <w:rsid w:val="00604C30"/>
    <w:rsid w:val="00604FF4"/>
    <w:rsid w:val="00605096"/>
    <w:rsid w:val="00605211"/>
    <w:rsid w:val="00605DF5"/>
    <w:rsid w:val="00606651"/>
    <w:rsid w:val="006070A1"/>
    <w:rsid w:val="006072D3"/>
    <w:rsid w:val="006072F7"/>
    <w:rsid w:val="006075CA"/>
    <w:rsid w:val="00607EEE"/>
    <w:rsid w:val="00607FDC"/>
    <w:rsid w:val="006102AF"/>
    <w:rsid w:val="006109C8"/>
    <w:rsid w:val="00610C4A"/>
    <w:rsid w:val="006114B9"/>
    <w:rsid w:val="0061195A"/>
    <w:rsid w:val="00611C5A"/>
    <w:rsid w:val="00611DF4"/>
    <w:rsid w:val="00612785"/>
    <w:rsid w:val="00612B69"/>
    <w:rsid w:val="00612CC3"/>
    <w:rsid w:val="00612CFC"/>
    <w:rsid w:val="006136D4"/>
    <w:rsid w:val="00613D92"/>
    <w:rsid w:val="00613FA7"/>
    <w:rsid w:val="00614050"/>
    <w:rsid w:val="0061438C"/>
    <w:rsid w:val="00614811"/>
    <w:rsid w:val="0061491B"/>
    <w:rsid w:val="00614E90"/>
    <w:rsid w:val="00615398"/>
    <w:rsid w:val="00615628"/>
    <w:rsid w:val="006156C4"/>
    <w:rsid w:val="00615CB3"/>
    <w:rsid w:val="00615E73"/>
    <w:rsid w:val="00616069"/>
    <w:rsid w:val="006164B6"/>
    <w:rsid w:val="0061692E"/>
    <w:rsid w:val="00616B38"/>
    <w:rsid w:val="00617346"/>
    <w:rsid w:val="006178B2"/>
    <w:rsid w:val="00617AA3"/>
    <w:rsid w:val="00617CA4"/>
    <w:rsid w:val="006200F2"/>
    <w:rsid w:val="006202BF"/>
    <w:rsid w:val="00620762"/>
    <w:rsid w:val="00620807"/>
    <w:rsid w:val="00620811"/>
    <w:rsid w:val="00620871"/>
    <w:rsid w:val="0062121D"/>
    <w:rsid w:val="00621C92"/>
    <w:rsid w:val="00621E83"/>
    <w:rsid w:val="00622144"/>
    <w:rsid w:val="0062265B"/>
    <w:rsid w:val="006226AE"/>
    <w:rsid w:val="00622833"/>
    <w:rsid w:val="00622979"/>
    <w:rsid w:val="00622A13"/>
    <w:rsid w:val="00622BF0"/>
    <w:rsid w:val="00622D60"/>
    <w:rsid w:val="006230AB"/>
    <w:rsid w:val="00624227"/>
    <w:rsid w:val="00624274"/>
    <w:rsid w:val="00624351"/>
    <w:rsid w:val="00624450"/>
    <w:rsid w:val="00624887"/>
    <w:rsid w:val="006249D3"/>
    <w:rsid w:val="00624C55"/>
    <w:rsid w:val="0062580C"/>
    <w:rsid w:val="006258F3"/>
    <w:rsid w:val="00625BF5"/>
    <w:rsid w:val="006262AD"/>
    <w:rsid w:val="00627602"/>
    <w:rsid w:val="0062776E"/>
    <w:rsid w:val="00627C5E"/>
    <w:rsid w:val="006305D0"/>
    <w:rsid w:val="006307EA"/>
    <w:rsid w:val="0063095B"/>
    <w:rsid w:val="00630B85"/>
    <w:rsid w:val="00630F20"/>
    <w:rsid w:val="00630F79"/>
    <w:rsid w:val="006311B6"/>
    <w:rsid w:val="00631BA6"/>
    <w:rsid w:val="00631BC3"/>
    <w:rsid w:val="00632353"/>
    <w:rsid w:val="006323F9"/>
    <w:rsid w:val="00633E7C"/>
    <w:rsid w:val="00633EE0"/>
    <w:rsid w:val="00634187"/>
    <w:rsid w:val="00634665"/>
    <w:rsid w:val="006348EE"/>
    <w:rsid w:val="00634BFA"/>
    <w:rsid w:val="00634C39"/>
    <w:rsid w:val="0063537E"/>
    <w:rsid w:val="006353E1"/>
    <w:rsid w:val="006365BD"/>
    <w:rsid w:val="00636CFB"/>
    <w:rsid w:val="0063700B"/>
    <w:rsid w:val="00637396"/>
    <w:rsid w:val="0063758D"/>
    <w:rsid w:val="0063777A"/>
    <w:rsid w:val="00637DD5"/>
    <w:rsid w:val="00641201"/>
    <w:rsid w:val="00641486"/>
    <w:rsid w:val="006414AE"/>
    <w:rsid w:val="006417E5"/>
    <w:rsid w:val="0064188B"/>
    <w:rsid w:val="00641A92"/>
    <w:rsid w:val="00641FDA"/>
    <w:rsid w:val="0064212C"/>
    <w:rsid w:val="00642501"/>
    <w:rsid w:val="00642B58"/>
    <w:rsid w:val="00643C1B"/>
    <w:rsid w:val="0064421C"/>
    <w:rsid w:val="006446E2"/>
    <w:rsid w:val="00644AA7"/>
    <w:rsid w:val="00644E43"/>
    <w:rsid w:val="006454C6"/>
    <w:rsid w:val="00645F7F"/>
    <w:rsid w:val="0064606A"/>
    <w:rsid w:val="00647547"/>
    <w:rsid w:val="00647C9A"/>
    <w:rsid w:val="006504D3"/>
    <w:rsid w:val="00650AFA"/>
    <w:rsid w:val="00650F78"/>
    <w:rsid w:val="00651115"/>
    <w:rsid w:val="0065144E"/>
    <w:rsid w:val="0065150A"/>
    <w:rsid w:val="00651BE3"/>
    <w:rsid w:val="00651DDE"/>
    <w:rsid w:val="006533C7"/>
    <w:rsid w:val="006536FB"/>
    <w:rsid w:val="00653C02"/>
    <w:rsid w:val="00653EDC"/>
    <w:rsid w:val="0065440C"/>
    <w:rsid w:val="00654ECE"/>
    <w:rsid w:val="00654F44"/>
    <w:rsid w:val="006553A6"/>
    <w:rsid w:val="00655D10"/>
    <w:rsid w:val="00655DBD"/>
    <w:rsid w:val="00655E0B"/>
    <w:rsid w:val="00655F1F"/>
    <w:rsid w:val="006561A0"/>
    <w:rsid w:val="006569AE"/>
    <w:rsid w:val="00656A03"/>
    <w:rsid w:val="00656C5F"/>
    <w:rsid w:val="00656FC0"/>
    <w:rsid w:val="006577C1"/>
    <w:rsid w:val="00657ADB"/>
    <w:rsid w:val="00657BA0"/>
    <w:rsid w:val="00657DDD"/>
    <w:rsid w:val="00660927"/>
    <w:rsid w:val="00660B89"/>
    <w:rsid w:val="0066114B"/>
    <w:rsid w:val="0066142C"/>
    <w:rsid w:val="0066152E"/>
    <w:rsid w:val="0066159B"/>
    <w:rsid w:val="00661AF9"/>
    <w:rsid w:val="0066256A"/>
    <w:rsid w:val="00662799"/>
    <w:rsid w:val="00662A7C"/>
    <w:rsid w:val="00662E9E"/>
    <w:rsid w:val="00662ED9"/>
    <w:rsid w:val="00663EDE"/>
    <w:rsid w:val="00663F76"/>
    <w:rsid w:val="00664C82"/>
    <w:rsid w:val="00665890"/>
    <w:rsid w:val="00665FDE"/>
    <w:rsid w:val="00667BE5"/>
    <w:rsid w:val="00667CFA"/>
    <w:rsid w:val="0067014E"/>
    <w:rsid w:val="00670C78"/>
    <w:rsid w:val="0067146F"/>
    <w:rsid w:val="00671559"/>
    <w:rsid w:val="006717CF"/>
    <w:rsid w:val="00671A1A"/>
    <w:rsid w:val="00672291"/>
    <w:rsid w:val="00672965"/>
    <w:rsid w:val="00672A32"/>
    <w:rsid w:val="006732EF"/>
    <w:rsid w:val="006735B6"/>
    <w:rsid w:val="0067505D"/>
    <w:rsid w:val="00675451"/>
    <w:rsid w:val="00675490"/>
    <w:rsid w:val="006755CF"/>
    <w:rsid w:val="00675820"/>
    <w:rsid w:val="00675C04"/>
    <w:rsid w:val="00675EDE"/>
    <w:rsid w:val="0067601C"/>
    <w:rsid w:val="006766F6"/>
    <w:rsid w:val="006769D1"/>
    <w:rsid w:val="006770E5"/>
    <w:rsid w:val="00680522"/>
    <w:rsid w:val="00680CEC"/>
    <w:rsid w:val="00680DE7"/>
    <w:rsid w:val="00681473"/>
    <w:rsid w:val="00681517"/>
    <w:rsid w:val="0068227F"/>
    <w:rsid w:val="00682285"/>
    <w:rsid w:val="00682D7C"/>
    <w:rsid w:val="006838C6"/>
    <w:rsid w:val="006839FF"/>
    <w:rsid w:val="00683F02"/>
    <w:rsid w:val="00684108"/>
    <w:rsid w:val="006841FF"/>
    <w:rsid w:val="0068464B"/>
    <w:rsid w:val="0068472A"/>
    <w:rsid w:val="0068485E"/>
    <w:rsid w:val="006849B6"/>
    <w:rsid w:val="00684ED5"/>
    <w:rsid w:val="00685412"/>
    <w:rsid w:val="0068567E"/>
    <w:rsid w:val="006859CD"/>
    <w:rsid w:val="00685A49"/>
    <w:rsid w:val="00685ECA"/>
    <w:rsid w:val="00686CFB"/>
    <w:rsid w:val="00687CA0"/>
    <w:rsid w:val="00687EAC"/>
    <w:rsid w:val="00690456"/>
    <w:rsid w:val="006904DD"/>
    <w:rsid w:val="00690BD2"/>
    <w:rsid w:val="00690D40"/>
    <w:rsid w:val="0069158D"/>
    <w:rsid w:val="00692221"/>
    <w:rsid w:val="00692480"/>
    <w:rsid w:val="006925BC"/>
    <w:rsid w:val="00692B3C"/>
    <w:rsid w:val="00693583"/>
    <w:rsid w:val="00693D0E"/>
    <w:rsid w:val="00693F19"/>
    <w:rsid w:val="006940EF"/>
    <w:rsid w:val="006942B9"/>
    <w:rsid w:val="006946FD"/>
    <w:rsid w:val="00694E51"/>
    <w:rsid w:val="00694EB7"/>
    <w:rsid w:val="006950F6"/>
    <w:rsid w:val="00695195"/>
    <w:rsid w:val="006960CB"/>
    <w:rsid w:val="0069630B"/>
    <w:rsid w:val="0069674C"/>
    <w:rsid w:val="00696C81"/>
    <w:rsid w:val="00696D8F"/>
    <w:rsid w:val="006970C4"/>
    <w:rsid w:val="006971B3"/>
    <w:rsid w:val="00697380"/>
    <w:rsid w:val="006977F0"/>
    <w:rsid w:val="006A0B3D"/>
    <w:rsid w:val="006A0E0B"/>
    <w:rsid w:val="006A0EB4"/>
    <w:rsid w:val="006A1A81"/>
    <w:rsid w:val="006A1B16"/>
    <w:rsid w:val="006A1B5C"/>
    <w:rsid w:val="006A1BB4"/>
    <w:rsid w:val="006A1C63"/>
    <w:rsid w:val="006A2574"/>
    <w:rsid w:val="006A257B"/>
    <w:rsid w:val="006A26D6"/>
    <w:rsid w:val="006A43BC"/>
    <w:rsid w:val="006A4500"/>
    <w:rsid w:val="006A48DA"/>
    <w:rsid w:val="006A4ADE"/>
    <w:rsid w:val="006A4E09"/>
    <w:rsid w:val="006A4F49"/>
    <w:rsid w:val="006A5A38"/>
    <w:rsid w:val="006A5E15"/>
    <w:rsid w:val="006A6109"/>
    <w:rsid w:val="006A62D1"/>
    <w:rsid w:val="006A7546"/>
    <w:rsid w:val="006A7651"/>
    <w:rsid w:val="006A7909"/>
    <w:rsid w:val="006A7E5E"/>
    <w:rsid w:val="006B03C2"/>
    <w:rsid w:val="006B0FC1"/>
    <w:rsid w:val="006B11EC"/>
    <w:rsid w:val="006B1A30"/>
    <w:rsid w:val="006B1A7F"/>
    <w:rsid w:val="006B29A8"/>
    <w:rsid w:val="006B2A10"/>
    <w:rsid w:val="006B2D1D"/>
    <w:rsid w:val="006B2F1E"/>
    <w:rsid w:val="006B44C9"/>
    <w:rsid w:val="006B4A87"/>
    <w:rsid w:val="006B5411"/>
    <w:rsid w:val="006B544F"/>
    <w:rsid w:val="006B5E84"/>
    <w:rsid w:val="006B64EA"/>
    <w:rsid w:val="006B6F0C"/>
    <w:rsid w:val="006B719D"/>
    <w:rsid w:val="006B727C"/>
    <w:rsid w:val="006B7C48"/>
    <w:rsid w:val="006B7F39"/>
    <w:rsid w:val="006C015E"/>
    <w:rsid w:val="006C02EC"/>
    <w:rsid w:val="006C0E4B"/>
    <w:rsid w:val="006C11DF"/>
    <w:rsid w:val="006C1401"/>
    <w:rsid w:val="006C17FF"/>
    <w:rsid w:val="006C1B47"/>
    <w:rsid w:val="006C1B6C"/>
    <w:rsid w:val="006C1EC2"/>
    <w:rsid w:val="006C2572"/>
    <w:rsid w:val="006C282C"/>
    <w:rsid w:val="006C2B55"/>
    <w:rsid w:val="006C38C5"/>
    <w:rsid w:val="006C421F"/>
    <w:rsid w:val="006C4325"/>
    <w:rsid w:val="006C43F5"/>
    <w:rsid w:val="006C46BB"/>
    <w:rsid w:val="006C4931"/>
    <w:rsid w:val="006C499D"/>
    <w:rsid w:val="006C49B8"/>
    <w:rsid w:val="006C4A22"/>
    <w:rsid w:val="006C4EE8"/>
    <w:rsid w:val="006C5103"/>
    <w:rsid w:val="006C5118"/>
    <w:rsid w:val="006C545B"/>
    <w:rsid w:val="006C56A7"/>
    <w:rsid w:val="006C5BAF"/>
    <w:rsid w:val="006C60B9"/>
    <w:rsid w:val="006C7233"/>
    <w:rsid w:val="006C763B"/>
    <w:rsid w:val="006C7C73"/>
    <w:rsid w:val="006C7CAE"/>
    <w:rsid w:val="006C7CBF"/>
    <w:rsid w:val="006C7E12"/>
    <w:rsid w:val="006D039D"/>
    <w:rsid w:val="006D0B92"/>
    <w:rsid w:val="006D0C67"/>
    <w:rsid w:val="006D0C99"/>
    <w:rsid w:val="006D1371"/>
    <w:rsid w:val="006D1A7D"/>
    <w:rsid w:val="006D1CE3"/>
    <w:rsid w:val="006D1D05"/>
    <w:rsid w:val="006D24DD"/>
    <w:rsid w:val="006D31F1"/>
    <w:rsid w:val="006D3373"/>
    <w:rsid w:val="006D3A77"/>
    <w:rsid w:val="006D3C37"/>
    <w:rsid w:val="006D4076"/>
    <w:rsid w:val="006D4722"/>
    <w:rsid w:val="006D4C07"/>
    <w:rsid w:val="006D4CC4"/>
    <w:rsid w:val="006D5568"/>
    <w:rsid w:val="006D55EA"/>
    <w:rsid w:val="006D5733"/>
    <w:rsid w:val="006D5948"/>
    <w:rsid w:val="006D5F92"/>
    <w:rsid w:val="006D6AFB"/>
    <w:rsid w:val="006D6B58"/>
    <w:rsid w:val="006D70C2"/>
    <w:rsid w:val="006D7159"/>
    <w:rsid w:val="006D7DE7"/>
    <w:rsid w:val="006D7E0B"/>
    <w:rsid w:val="006E0099"/>
    <w:rsid w:val="006E01D1"/>
    <w:rsid w:val="006E04C3"/>
    <w:rsid w:val="006E0A8C"/>
    <w:rsid w:val="006E1978"/>
    <w:rsid w:val="006E1A6C"/>
    <w:rsid w:val="006E1B06"/>
    <w:rsid w:val="006E216F"/>
    <w:rsid w:val="006E21B1"/>
    <w:rsid w:val="006E234A"/>
    <w:rsid w:val="006E2C28"/>
    <w:rsid w:val="006E3336"/>
    <w:rsid w:val="006E3443"/>
    <w:rsid w:val="006E473B"/>
    <w:rsid w:val="006E4B34"/>
    <w:rsid w:val="006E5675"/>
    <w:rsid w:val="006E57F6"/>
    <w:rsid w:val="006E5873"/>
    <w:rsid w:val="006E59FC"/>
    <w:rsid w:val="006E5E60"/>
    <w:rsid w:val="006E745D"/>
    <w:rsid w:val="006E75C5"/>
    <w:rsid w:val="006F02DA"/>
    <w:rsid w:val="006F0FE0"/>
    <w:rsid w:val="006F1605"/>
    <w:rsid w:val="006F177F"/>
    <w:rsid w:val="006F24D7"/>
    <w:rsid w:val="006F2778"/>
    <w:rsid w:val="006F279F"/>
    <w:rsid w:val="006F29CF"/>
    <w:rsid w:val="006F2D8A"/>
    <w:rsid w:val="006F2F22"/>
    <w:rsid w:val="006F32A7"/>
    <w:rsid w:val="006F3534"/>
    <w:rsid w:val="006F36FD"/>
    <w:rsid w:val="006F3E3B"/>
    <w:rsid w:val="006F3EF7"/>
    <w:rsid w:val="006F472F"/>
    <w:rsid w:val="006F48FD"/>
    <w:rsid w:val="006F4CA8"/>
    <w:rsid w:val="006F4F1F"/>
    <w:rsid w:val="006F5128"/>
    <w:rsid w:val="006F5538"/>
    <w:rsid w:val="006F5829"/>
    <w:rsid w:val="006F5AA5"/>
    <w:rsid w:val="006F60B8"/>
    <w:rsid w:val="006F6263"/>
    <w:rsid w:val="006F64BD"/>
    <w:rsid w:val="006F6837"/>
    <w:rsid w:val="006F6DD4"/>
    <w:rsid w:val="006F7332"/>
    <w:rsid w:val="006F797E"/>
    <w:rsid w:val="006F7EBF"/>
    <w:rsid w:val="007001A9"/>
    <w:rsid w:val="00701190"/>
    <w:rsid w:val="007016F4"/>
    <w:rsid w:val="0070223C"/>
    <w:rsid w:val="0070238B"/>
    <w:rsid w:val="00702DAB"/>
    <w:rsid w:val="007030AA"/>
    <w:rsid w:val="00704035"/>
    <w:rsid w:val="00704333"/>
    <w:rsid w:val="00704C15"/>
    <w:rsid w:val="00704C1D"/>
    <w:rsid w:val="007052D8"/>
    <w:rsid w:val="0070533E"/>
    <w:rsid w:val="007058B5"/>
    <w:rsid w:val="00706551"/>
    <w:rsid w:val="00707168"/>
    <w:rsid w:val="007072B5"/>
    <w:rsid w:val="007076DA"/>
    <w:rsid w:val="00707759"/>
    <w:rsid w:val="007079C4"/>
    <w:rsid w:val="00707A12"/>
    <w:rsid w:val="00710688"/>
    <w:rsid w:val="00710D5B"/>
    <w:rsid w:val="00711883"/>
    <w:rsid w:val="00711B4B"/>
    <w:rsid w:val="007123EF"/>
    <w:rsid w:val="00712528"/>
    <w:rsid w:val="00712E59"/>
    <w:rsid w:val="00712F89"/>
    <w:rsid w:val="00713A17"/>
    <w:rsid w:val="00713A7B"/>
    <w:rsid w:val="00713FB5"/>
    <w:rsid w:val="007143CF"/>
    <w:rsid w:val="007153FD"/>
    <w:rsid w:val="00715689"/>
    <w:rsid w:val="00715EB0"/>
    <w:rsid w:val="00716514"/>
    <w:rsid w:val="00716A12"/>
    <w:rsid w:val="007170C6"/>
    <w:rsid w:val="007171D6"/>
    <w:rsid w:val="007179DA"/>
    <w:rsid w:val="00717DC8"/>
    <w:rsid w:val="00720007"/>
    <w:rsid w:val="007205AC"/>
    <w:rsid w:val="0072136D"/>
    <w:rsid w:val="00721446"/>
    <w:rsid w:val="00721554"/>
    <w:rsid w:val="007223C5"/>
    <w:rsid w:val="0072247E"/>
    <w:rsid w:val="00722543"/>
    <w:rsid w:val="0072265C"/>
    <w:rsid w:val="0072271E"/>
    <w:rsid w:val="00722C2E"/>
    <w:rsid w:val="00723373"/>
    <w:rsid w:val="00723441"/>
    <w:rsid w:val="007235ED"/>
    <w:rsid w:val="00723D53"/>
    <w:rsid w:val="00723D79"/>
    <w:rsid w:val="00723D92"/>
    <w:rsid w:val="00723E35"/>
    <w:rsid w:val="00724204"/>
    <w:rsid w:val="007243DF"/>
    <w:rsid w:val="007245CE"/>
    <w:rsid w:val="00724967"/>
    <w:rsid w:val="00724DDD"/>
    <w:rsid w:val="0072507F"/>
    <w:rsid w:val="00725081"/>
    <w:rsid w:val="007254D4"/>
    <w:rsid w:val="007257D6"/>
    <w:rsid w:val="0072642A"/>
    <w:rsid w:val="0072678F"/>
    <w:rsid w:val="007268A4"/>
    <w:rsid w:val="00727219"/>
    <w:rsid w:val="00727C84"/>
    <w:rsid w:val="00730541"/>
    <w:rsid w:val="00730740"/>
    <w:rsid w:val="0073093E"/>
    <w:rsid w:val="00731954"/>
    <w:rsid w:val="00731B81"/>
    <w:rsid w:val="00732102"/>
    <w:rsid w:val="007322E7"/>
    <w:rsid w:val="0073232C"/>
    <w:rsid w:val="00732491"/>
    <w:rsid w:val="00732666"/>
    <w:rsid w:val="00733139"/>
    <w:rsid w:val="00733C0C"/>
    <w:rsid w:val="00733EC6"/>
    <w:rsid w:val="0073418C"/>
    <w:rsid w:val="00734FE7"/>
    <w:rsid w:val="00735150"/>
    <w:rsid w:val="00735A70"/>
    <w:rsid w:val="00736008"/>
    <w:rsid w:val="00736623"/>
    <w:rsid w:val="0073669D"/>
    <w:rsid w:val="0073673F"/>
    <w:rsid w:val="00736D68"/>
    <w:rsid w:val="00736FED"/>
    <w:rsid w:val="00737C45"/>
    <w:rsid w:val="00737F2A"/>
    <w:rsid w:val="00740A03"/>
    <w:rsid w:val="0074116C"/>
    <w:rsid w:val="007415F9"/>
    <w:rsid w:val="007416B1"/>
    <w:rsid w:val="00742518"/>
    <w:rsid w:val="007427E3"/>
    <w:rsid w:val="00742B0E"/>
    <w:rsid w:val="007433C4"/>
    <w:rsid w:val="00743607"/>
    <w:rsid w:val="007446FF"/>
    <w:rsid w:val="00744A9B"/>
    <w:rsid w:val="007450CF"/>
    <w:rsid w:val="007459FE"/>
    <w:rsid w:val="00745DED"/>
    <w:rsid w:val="007462DD"/>
    <w:rsid w:val="0074643E"/>
    <w:rsid w:val="00746691"/>
    <w:rsid w:val="00746BF7"/>
    <w:rsid w:val="00747E6E"/>
    <w:rsid w:val="00747F7F"/>
    <w:rsid w:val="00750067"/>
    <w:rsid w:val="00750328"/>
    <w:rsid w:val="00750577"/>
    <w:rsid w:val="007506ED"/>
    <w:rsid w:val="0075129E"/>
    <w:rsid w:val="007513E0"/>
    <w:rsid w:val="007515F0"/>
    <w:rsid w:val="00751C4B"/>
    <w:rsid w:val="00751C71"/>
    <w:rsid w:val="00751E70"/>
    <w:rsid w:val="00751EA7"/>
    <w:rsid w:val="00751ED1"/>
    <w:rsid w:val="0075215F"/>
    <w:rsid w:val="007525AE"/>
    <w:rsid w:val="00752763"/>
    <w:rsid w:val="00752921"/>
    <w:rsid w:val="007529DD"/>
    <w:rsid w:val="00752C51"/>
    <w:rsid w:val="0075324C"/>
    <w:rsid w:val="007532EE"/>
    <w:rsid w:val="00753447"/>
    <w:rsid w:val="00753CB3"/>
    <w:rsid w:val="00754057"/>
    <w:rsid w:val="00754B7E"/>
    <w:rsid w:val="0075506A"/>
    <w:rsid w:val="00755719"/>
    <w:rsid w:val="00755C78"/>
    <w:rsid w:val="00755E6B"/>
    <w:rsid w:val="00756717"/>
    <w:rsid w:val="00756CD1"/>
    <w:rsid w:val="00756D92"/>
    <w:rsid w:val="00757708"/>
    <w:rsid w:val="00757F2F"/>
    <w:rsid w:val="0076025E"/>
    <w:rsid w:val="00760307"/>
    <w:rsid w:val="00760373"/>
    <w:rsid w:val="0076068C"/>
    <w:rsid w:val="00760AB1"/>
    <w:rsid w:val="00760ED5"/>
    <w:rsid w:val="007611D2"/>
    <w:rsid w:val="0076129F"/>
    <w:rsid w:val="00761469"/>
    <w:rsid w:val="00761C33"/>
    <w:rsid w:val="00761D3D"/>
    <w:rsid w:val="0076234D"/>
    <w:rsid w:val="00762F59"/>
    <w:rsid w:val="007633BF"/>
    <w:rsid w:val="0076370B"/>
    <w:rsid w:val="00763825"/>
    <w:rsid w:val="00764262"/>
    <w:rsid w:val="00764D27"/>
    <w:rsid w:val="00764D4B"/>
    <w:rsid w:val="00765252"/>
    <w:rsid w:val="00765376"/>
    <w:rsid w:val="00765DEE"/>
    <w:rsid w:val="00765FBD"/>
    <w:rsid w:val="00766596"/>
    <w:rsid w:val="00766712"/>
    <w:rsid w:val="00766E32"/>
    <w:rsid w:val="007678FC"/>
    <w:rsid w:val="007704E8"/>
    <w:rsid w:val="0077070D"/>
    <w:rsid w:val="00770B72"/>
    <w:rsid w:val="00771431"/>
    <w:rsid w:val="007716F3"/>
    <w:rsid w:val="00771B01"/>
    <w:rsid w:val="00771D77"/>
    <w:rsid w:val="00772572"/>
    <w:rsid w:val="00772DCE"/>
    <w:rsid w:val="00772EA6"/>
    <w:rsid w:val="00773484"/>
    <w:rsid w:val="00773714"/>
    <w:rsid w:val="00773DCF"/>
    <w:rsid w:val="00773E46"/>
    <w:rsid w:val="00773EF4"/>
    <w:rsid w:val="00774331"/>
    <w:rsid w:val="00774AE9"/>
    <w:rsid w:val="007751C8"/>
    <w:rsid w:val="007754E5"/>
    <w:rsid w:val="007755D1"/>
    <w:rsid w:val="00776077"/>
    <w:rsid w:val="00776662"/>
    <w:rsid w:val="0077672F"/>
    <w:rsid w:val="007768A2"/>
    <w:rsid w:val="00776C7A"/>
    <w:rsid w:val="00777056"/>
    <w:rsid w:val="0077710D"/>
    <w:rsid w:val="00777799"/>
    <w:rsid w:val="007779B1"/>
    <w:rsid w:val="00777EA7"/>
    <w:rsid w:val="00777F51"/>
    <w:rsid w:val="00780E04"/>
    <w:rsid w:val="0078103E"/>
    <w:rsid w:val="00781386"/>
    <w:rsid w:val="0078176F"/>
    <w:rsid w:val="00781E2D"/>
    <w:rsid w:val="00782204"/>
    <w:rsid w:val="00782284"/>
    <w:rsid w:val="00782466"/>
    <w:rsid w:val="00782627"/>
    <w:rsid w:val="00782804"/>
    <w:rsid w:val="00783353"/>
    <w:rsid w:val="0078371D"/>
    <w:rsid w:val="00784246"/>
    <w:rsid w:val="00784326"/>
    <w:rsid w:val="0078449A"/>
    <w:rsid w:val="00784E1E"/>
    <w:rsid w:val="0078521C"/>
    <w:rsid w:val="00785561"/>
    <w:rsid w:val="00785D35"/>
    <w:rsid w:val="007864DA"/>
    <w:rsid w:val="00786B8C"/>
    <w:rsid w:val="0078709A"/>
    <w:rsid w:val="00787380"/>
    <w:rsid w:val="00790100"/>
    <w:rsid w:val="00790274"/>
    <w:rsid w:val="007911A6"/>
    <w:rsid w:val="00791266"/>
    <w:rsid w:val="00791401"/>
    <w:rsid w:val="00791872"/>
    <w:rsid w:val="00791F71"/>
    <w:rsid w:val="007922E6"/>
    <w:rsid w:val="00792CB9"/>
    <w:rsid w:val="00792DF3"/>
    <w:rsid w:val="00792F13"/>
    <w:rsid w:val="00793427"/>
    <w:rsid w:val="00793514"/>
    <w:rsid w:val="007937A4"/>
    <w:rsid w:val="007938CC"/>
    <w:rsid w:val="00794361"/>
    <w:rsid w:val="00794817"/>
    <w:rsid w:val="007952E9"/>
    <w:rsid w:val="00795776"/>
    <w:rsid w:val="00795AA7"/>
    <w:rsid w:val="00795D63"/>
    <w:rsid w:val="007960E7"/>
    <w:rsid w:val="00796122"/>
    <w:rsid w:val="007962D9"/>
    <w:rsid w:val="007964AD"/>
    <w:rsid w:val="0079660F"/>
    <w:rsid w:val="00797162"/>
    <w:rsid w:val="007973FC"/>
    <w:rsid w:val="00797B78"/>
    <w:rsid w:val="00797C30"/>
    <w:rsid w:val="00797F3E"/>
    <w:rsid w:val="007A0153"/>
    <w:rsid w:val="007A0665"/>
    <w:rsid w:val="007A0A6C"/>
    <w:rsid w:val="007A145D"/>
    <w:rsid w:val="007A17A6"/>
    <w:rsid w:val="007A1C5F"/>
    <w:rsid w:val="007A1E85"/>
    <w:rsid w:val="007A1FAA"/>
    <w:rsid w:val="007A25F0"/>
    <w:rsid w:val="007A26AC"/>
    <w:rsid w:val="007A2C50"/>
    <w:rsid w:val="007A2F1F"/>
    <w:rsid w:val="007A4093"/>
    <w:rsid w:val="007A4252"/>
    <w:rsid w:val="007A460B"/>
    <w:rsid w:val="007A47D5"/>
    <w:rsid w:val="007A5E59"/>
    <w:rsid w:val="007A677F"/>
    <w:rsid w:val="007A6C0A"/>
    <w:rsid w:val="007A70F8"/>
    <w:rsid w:val="007A721E"/>
    <w:rsid w:val="007A7271"/>
    <w:rsid w:val="007A7C49"/>
    <w:rsid w:val="007B0115"/>
    <w:rsid w:val="007B11D2"/>
    <w:rsid w:val="007B1BED"/>
    <w:rsid w:val="007B20C8"/>
    <w:rsid w:val="007B2935"/>
    <w:rsid w:val="007B29FB"/>
    <w:rsid w:val="007B3C99"/>
    <w:rsid w:val="007B3CE8"/>
    <w:rsid w:val="007B3D0D"/>
    <w:rsid w:val="007B3E48"/>
    <w:rsid w:val="007B3F45"/>
    <w:rsid w:val="007B4B84"/>
    <w:rsid w:val="007B601A"/>
    <w:rsid w:val="007B60C0"/>
    <w:rsid w:val="007B6539"/>
    <w:rsid w:val="007B674C"/>
    <w:rsid w:val="007B6A0F"/>
    <w:rsid w:val="007B6AFA"/>
    <w:rsid w:val="007B6B4D"/>
    <w:rsid w:val="007B6C6C"/>
    <w:rsid w:val="007B761D"/>
    <w:rsid w:val="007B7916"/>
    <w:rsid w:val="007B7F0D"/>
    <w:rsid w:val="007C0029"/>
    <w:rsid w:val="007C0525"/>
    <w:rsid w:val="007C07B0"/>
    <w:rsid w:val="007C2649"/>
    <w:rsid w:val="007C265E"/>
    <w:rsid w:val="007C2A13"/>
    <w:rsid w:val="007C3539"/>
    <w:rsid w:val="007C36A1"/>
    <w:rsid w:val="007C3FCA"/>
    <w:rsid w:val="007C479E"/>
    <w:rsid w:val="007C5248"/>
    <w:rsid w:val="007C550C"/>
    <w:rsid w:val="007C566A"/>
    <w:rsid w:val="007C5DBA"/>
    <w:rsid w:val="007C5F01"/>
    <w:rsid w:val="007C5F64"/>
    <w:rsid w:val="007C62E9"/>
    <w:rsid w:val="007C6387"/>
    <w:rsid w:val="007C642D"/>
    <w:rsid w:val="007C6584"/>
    <w:rsid w:val="007C67D1"/>
    <w:rsid w:val="007C6E3A"/>
    <w:rsid w:val="007C76FF"/>
    <w:rsid w:val="007C7E5E"/>
    <w:rsid w:val="007D039A"/>
    <w:rsid w:val="007D0919"/>
    <w:rsid w:val="007D0A35"/>
    <w:rsid w:val="007D1296"/>
    <w:rsid w:val="007D13AA"/>
    <w:rsid w:val="007D18BA"/>
    <w:rsid w:val="007D1C95"/>
    <w:rsid w:val="007D22E2"/>
    <w:rsid w:val="007D2629"/>
    <w:rsid w:val="007D375A"/>
    <w:rsid w:val="007D3C67"/>
    <w:rsid w:val="007D4CE5"/>
    <w:rsid w:val="007D520E"/>
    <w:rsid w:val="007D55EE"/>
    <w:rsid w:val="007D5AE4"/>
    <w:rsid w:val="007D5F41"/>
    <w:rsid w:val="007D5F61"/>
    <w:rsid w:val="007D63CD"/>
    <w:rsid w:val="007D66B2"/>
    <w:rsid w:val="007D6B54"/>
    <w:rsid w:val="007D79F2"/>
    <w:rsid w:val="007D79F3"/>
    <w:rsid w:val="007D7B42"/>
    <w:rsid w:val="007D7C13"/>
    <w:rsid w:val="007D7FD6"/>
    <w:rsid w:val="007E0ABA"/>
    <w:rsid w:val="007E0C8A"/>
    <w:rsid w:val="007E0E2C"/>
    <w:rsid w:val="007E1451"/>
    <w:rsid w:val="007E1A27"/>
    <w:rsid w:val="007E1C3B"/>
    <w:rsid w:val="007E1E63"/>
    <w:rsid w:val="007E2871"/>
    <w:rsid w:val="007E2A07"/>
    <w:rsid w:val="007E2AF2"/>
    <w:rsid w:val="007E33F8"/>
    <w:rsid w:val="007E348C"/>
    <w:rsid w:val="007E3A16"/>
    <w:rsid w:val="007E41D7"/>
    <w:rsid w:val="007E42F7"/>
    <w:rsid w:val="007E4352"/>
    <w:rsid w:val="007E48F3"/>
    <w:rsid w:val="007E4C0C"/>
    <w:rsid w:val="007E4D6A"/>
    <w:rsid w:val="007E5344"/>
    <w:rsid w:val="007E5751"/>
    <w:rsid w:val="007E57E0"/>
    <w:rsid w:val="007E6654"/>
    <w:rsid w:val="007E68D9"/>
    <w:rsid w:val="007E6931"/>
    <w:rsid w:val="007E6A81"/>
    <w:rsid w:val="007E6D65"/>
    <w:rsid w:val="007E6E5A"/>
    <w:rsid w:val="007E70CE"/>
    <w:rsid w:val="007E7314"/>
    <w:rsid w:val="007E7441"/>
    <w:rsid w:val="007E7A16"/>
    <w:rsid w:val="007E7D7A"/>
    <w:rsid w:val="007F0CDA"/>
    <w:rsid w:val="007F0DCE"/>
    <w:rsid w:val="007F0E0F"/>
    <w:rsid w:val="007F10A5"/>
    <w:rsid w:val="007F1242"/>
    <w:rsid w:val="007F13F1"/>
    <w:rsid w:val="007F18A8"/>
    <w:rsid w:val="007F1B62"/>
    <w:rsid w:val="007F1F0B"/>
    <w:rsid w:val="007F1FF8"/>
    <w:rsid w:val="007F21A7"/>
    <w:rsid w:val="007F227A"/>
    <w:rsid w:val="007F24A1"/>
    <w:rsid w:val="007F34FE"/>
    <w:rsid w:val="007F35E0"/>
    <w:rsid w:val="007F379F"/>
    <w:rsid w:val="007F3C49"/>
    <w:rsid w:val="007F3F5F"/>
    <w:rsid w:val="007F48B3"/>
    <w:rsid w:val="007F56BA"/>
    <w:rsid w:val="007F5FAD"/>
    <w:rsid w:val="007F668A"/>
    <w:rsid w:val="007F7A99"/>
    <w:rsid w:val="00800330"/>
    <w:rsid w:val="00801C07"/>
    <w:rsid w:val="00801F6C"/>
    <w:rsid w:val="008021DD"/>
    <w:rsid w:val="008025D7"/>
    <w:rsid w:val="00802D42"/>
    <w:rsid w:val="0080317A"/>
    <w:rsid w:val="00803483"/>
    <w:rsid w:val="008034A0"/>
    <w:rsid w:val="00804048"/>
    <w:rsid w:val="00804310"/>
    <w:rsid w:val="008043E5"/>
    <w:rsid w:val="008045D3"/>
    <w:rsid w:val="00804733"/>
    <w:rsid w:val="00804CC8"/>
    <w:rsid w:val="00804F49"/>
    <w:rsid w:val="00805007"/>
    <w:rsid w:val="008053D7"/>
    <w:rsid w:val="008058A2"/>
    <w:rsid w:val="00805E2C"/>
    <w:rsid w:val="0080617B"/>
    <w:rsid w:val="00806943"/>
    <w:rsid w:val="00806A04"/>
    <w:rsid w:val="00806B1B"/>
    <w:rsid w:val="008073FE"/>
    <w:rsid w:val="00807452"/>
    <w:rsid w:val="008079BF"/>
    <w:rsid w:val="00807EAB"/>
    <w:rsid w:val="00810F51"/>
    <w:rsid w:val="00811B15"/>
    <w:rsid w:val="00811B92"/>
    <w:rsid w:val="00811BEB"/>
    <w:rsid w:val="008121D6"/>
    <w:rsid w:val="0081268A"/>
    <w:rsid w:val="00812A53"/>
    <w:rsid w:val="0081312C"/>
    <w:rsid w:val="00813471"/>
    <w:rsid w:val="008134E4"/>
    <w:rsid w:val="00814083"/>
    <w:rsid w:val="0081442C"/>
    <w:rsid w:val="00814BFC"/>
    <w:rsid w:val="00814E71"/>
    <w:rsid w:val="00814FE7"/>
    <w:rsid w:val="00815672"/>
    <w:rsid w:val="0081596E"/>
    <w:rsid w:val="0081600C"/>
    <w:rsid w:val="0081633F"/>
    <w:rsid w:val="00816BC6"/>
    <w:rsid w:val="008173E9"/>
    <w:rsid w:val="00817825"/>
    <w:rsid w:val="008179EB"/>
    <w:rsid w:val="00817A4A"/>
    <w:rsid w:val="00817ADC"/>
    <w:rsid w:val="00817AE6"/>
    <w:rsid w:val="00820E23"/>
    <w:rsid w:val="008217AE"/>
    <w:rsid w:val="00821A23"/>
    <w:rsid w:val="0082226C"/>
    <w:rsid w:val="0082260F"/>
    <w:rsid w:val="0082278A"/>
    <w:rsid w:val="008238E9"/>
    <w:rsid w:val="00823B71"/>
    <w:rsid w:val="008243FB"/>
    <w:rsid w:val="00825251"/>
    <w:rsid w:val="00825632"/>
    <w:rsid w:val="00825DEC"/>
    <w:rsid w:val="008264C4"/>
    <w:rsid w:val="00826CC2"/>
    <w:rsid w:val="00827274"/>
    <w:rsid w:val="008272FD"/>
    <w:rsid w:val="0082757C"/>
    <w:rsid w:val="0082770F"/>
    <w:rsid w:val="00827916"/>
    <w:rsid w:val="00827937"/>
    <w:rsid w:val="008279A8"/>
    <w:rsid w:val="00827B62"/>
    <w:rsid w:val="00827DBC"/>
    <w:rsid w:val="008300B4"/>
    <w:rsid w:val="00830216"/>
    <w:rsid w:val="0083078C"/>
    <w:rsid w:val="008308A7"/>
    <w:rsid w:val="0083093B"/>
    <w:rsid w:val="00830C6B"/>
    <w:rsid w:val="00831154"/>
    <w:rsid w:val="00832007"/>
    <w:rsid w:val="0083318A"/>
    <w:rsid w:val="008333D7"/>
    <w:rsid w:val="00833802"/>
    <w:rsid w:val="00833FF7"/>
    <w:rsid w:val="008356F0"/>
    <w:rsid w:val="00835C28"/>
    <w:rsid w:val="008366CC"/>
    <w:rsid w:val="00836C33"/>
    <w:rsid w:val="00836C4F"/>
    <w:rsid w:val="00836F5D"/>
    <w:rsid w:val="008377D4"/>
    <w:rsid w:val="0083781A"/>
    <w:rsid w:val="00837B59"/>
    <w:rsid w:val="00837BEA"/>
    <w:rsid w:val="00840639"/>
    <w:rsid w:val="00840695"/>
    <w:rsid w:val="00840FAC"/>
    <w:rsid w:val="008416F2"/>
    <w:rsid w:val="00841868"/>
    <w:rsid w:val="00841890"/>
    <w:rsid w:val="00841F4E"/>
    <w:rsid w:val="008431AC"/>
    <w:rsid w:val="0084323D"/>
    <w:rsid w:val="00843C28"/>
    <w:rsid w:val="0084439C"/>
    <w:rsid w:val="0084489C"/>
    <w:rsid w:val="008450AE"/>
    <w:rsid w:val="008457C7"/>
    <w:rsid w:val="008459A2"/>
    <w:rsid w:val="00845AC4"/>
    <w:rsid w:val="00845CD6"/>
    <w:rsid w:val="00846AA6"/>
    <w:rsid w:val="00846B3E"/>
    <w:rsid w:val="00846D67"/>
    <w:rsid w:val="008470AE"/>
    <w:rsid w:val="0084750D"/>
    <w:rsid w:val="008475E5"/>
    <w:rsid w:val="008476EB"/>
    <w:rsid w:val="0084774B"/>
    <w:rsid w:val="008478FC"/>
    <w:rsid w:val="00847959"/>
    <w:rsid w:val="00847979"/>
    <w:rsid w:val="00847E58"/>
    <w:rsid w:val="008505B3"/>
    <w:rsid w:val="00850950"/>
    <w:rsid w:val="0085102C"/>
    <w:rsid w:val="00851095"/>
    <w:rsid w:val="00851849"/>
    <w:rsid w:val="00851B0B"/>
    <w:rsid w:val="00851CD1"/>
    <w:rsid w:val="00852148"/>
    <w:rsid w:val="00852149"/>
    <w:rsid w:val="0085226F"/>
    <w:rsid w:val="0085261B"/>
    <w:rsid w:val="00852645"/>
    <w:rsid w:val="00852E17"/>
    <w:rsid w:val="00853790"/>
    <w:rsid w:val="008538AF"/>
    <w:rsid w:val="00853ACD"/>
    <w:rsid w:val="0085438C"/>
    <w:rsid w:val="00854D31"/>
    <w:rsid w:val="00854D34"/>
    <w:rsid w:val="00854EC8"/>
    <w:rsid w:val="0085521C"/>
    <w:rsid w:val="0085544C"/>
    <w:rsid w:val="00855742"/>
    <w:rsid w:val="00855A2C"/>
    <w:rsid w:val="00855B3A"/>
    <w:rsid w:val="008561BA"/>
    <w:rsid w:val="0085635A"/>
    <w:rsid w:val="00856858"/>
    <w:rsid w:val="00857597"/>
    <w:rsid w:val="008575F7"/>
    <w:rsid w:val="00857A8F"/>
    <w:rsid w:val="00857E0D"/>
    <w:rsid w:val="00857FB4"/>
    <w:rsid w:val="00860029"/>
    <w:rsid w:val="0086036A"/>
    <w:rsid w:val="0086063D"/>
    <w:rsid w:val="00860F0C"/>
    <w:rsid w:val="0086148C"/>
    <w:rsid w:val="00861585"/>
    <w:rsid w:val="008628B4"/>
    <w:rsid w:val="00862B5F"/>
    <w:rsid w:val="00862CF9"/>
    <w:rsid w:val="00862D1A"/>
    <w:rsid w:val="00863544"/>
    <w:rsid w:val="008638CA"/>
    <w:rsid w:val="00863F41"/>
    <w:rsid w:val="00863F7B"/>
    <w:rsid w:val="008643B7"/>
    <w:rsid w:val="008652CB"/>
    <w:rsid w:val="00865657"/>
    <w:rsid w:val="008662E0"/>
    <w:rsid w:val="00866D9A"/>
    <w:rsid w:val="00867432"/>
    <w:rsid w:val="00867FFD"/>
    <w:rsid w:val="008704A7"/>
    <w:rsid w:val="00870796"/>
    <w:rsid w:val="00871373"/>
    <w:rsid w:val="008713B7"/>
    <w:rsid w:val="00871F9C"/>
    <w:rsid w:val="008722D4"/>
    <w:rsid w:val="00872BFC"/>
    <w:rsid w:val="00872DBD"/>
    <w:rsid w:val="00872E76"/>
    <w:rsid w:val="008730D4"/>
    <w:rsid w:val="00873142"/>
    <w:rsid w:val="00873CE9"/>
    <w:rsid w:val="00873F72"/>
    <w:rsid w:val="00874551"/>
    <w:rsid w:val="008745EB"/>
    <w:rsid w:val="00874B1C"/>
    <w:rsid w:val="0087518D"/>
    <w:rsid w:val="008752E8"/>
    <w:rsid w:val="00875B7F"/>
    <w:rsid w:val="00876078"/>
    <w:rsid w:val="0087640B"/>
    <w:rsid w:val="00876E01"/>
    <w:rsid w:val="00877197"/>
    <w:rsid w:val="00877418"/>
    <w:rsid w:val="00877A03"/>
    <w:rsid w:val="00877A0B"/>
    <w:rsid w:val="008801BC"/>
    <w:rsid w:val="00880437"/>
    <w:rsid w:val="008808CA"/>
    <w:rsid w:val="00880901"/>
    <w:rsid w:val="008809E8"/>
    <w:rsid w:val="00880AC0"/>
    <w:rsid w:val="00880B12"/>
    <w:rsid w:val="00880D5F"/>
    <w:rsid w:val="00880F4E"/>
    <w:rsid w:val="00881182"/>
    <w:rsid w:val="00881443"/>
    <w:rsid w:val="00881F78"/>
    <w:rsid w:val="00881FC8"/>
    <w:rsid w:val="0088209C"/>
    <w:rsid w:val="00882BFA"/>
    <w:rsid w:val="008832A3"/>
    <w:rsid w:val="008839B6"/>
    <w:rsid w:val="00884866"/>
    <w:rsid w:val="00884A1A"/>
    <w:rsid w:val="00884E2F"/>
    <w:rsid w:val="00885019"/>
    <w:rsid w:val="008850ED"/>
    <w:rsid w:val="00885344"/>
    <w:rsid w:val="00885724"/>
    <w:rsid w:val="00885C67"/>
    <w:rsid w:val="0088609E"/>
    <w:rsid w:val="008866CB"/>
    <w:rsid w:val="00886AE9"/>
    <w:rsid w:val="00890652"/>
    <w:rsid w:val="00891040"/>
    <w:rsid w:val="00891527"/>
    <w:rsid w:val="00891974"/>
    <w:rsid w:val="00891F5C"/>
    <w:rsid w:val="00892185"/>
    <w:rsid w:val="00892A29"/>
    <w:rsid w:val="00892A4F"/>
    <w:rsid w:val="00893B55"/>
    <w:rsid w:val="00893DBD"/>
    <w:rsid w:val="00893FD6"/>
    <w:rsid w:val="00893FDC"/>
    <w:rsid w:val="00894250"/>
    <w:rsid w:val="00894B61"/>
    <w:rsid w:val="00894F40"/>
    <w:rsid w:val="00895527"/>
    <w:rsid w:val="00895BDD"/>
    <w:rsid w:val="00895C60"/>
    <w:rsid w:val="00896394"/>
    <w:rsid w:val="0089642D"/>
    <w:rsid w:val="00896F83"/>
    <w:rsid w:val="00897133"/>
    <w:rsid w:val="00897592"/>
    <w:rsid w:val="00897804"/>
    <w:rsid w:val="00897C05"/>
    <w:rsid w:val="00897F95"/>
    <w:rsid w:val="008A0332"/>
    <w:rsid w:val="008A06FC"/>
    <w:rsid w:val="008A0B30"/>
    <w:rsid w:val="008A1544"/>
    <w:rsid w:val="008A1737"/>
    <w:rsid w:val="008A2862"/>
    <w:rsid w:val="008A3042"/>
    <w:rsid w:val="008A332D"/>
    <w:rsid w:val="008A3A0B"/>
    <w:rsid w:val="008A3CF1"/>
    <w:rsid w:val="008A3DEC"/>
    <w:rsid w:val="008A3E86"/>
    <w:rsid w:val="008A446F"/>
    <w:rsid w:val="008A52F2"/>
    <w:rsid w:val="008A557B"/>
    <w:rsid w:val="008A57A4"/>
    <w:rsid w:val="008A593C"/>
    <w:rsid w:val="008A5A85"/>
    <w:rsid w:val="008A5EFC"/>
    <w:rsid w:val="008A6266"/>
    <w:rsid w:val="008A62E7"/>
    <w:rsid w:val="008A64B1"/>
    <w:rsid w:val="008A688F"/>
    <w:rsid w:val="008A6B78"/>
    <w:rsid w:val="008A6DF3"/>
    <w:rsid w:val="008A7166"/>
    <w:rsid w:val="008A76C4"/>
    <w:rsid w:val="008A7955"/>
    <w:rsid w:val="008A7FDD"/>
    <w:rsid w:val="008B04E2"/>
    <w:rsid w:val="008B0915"/>
    <w:rsid w:val="008B0E6B"/>
    <w:rsid w:val="008B0F12"/>
    <w:rsid w:val="008B0F29"/>
    <w:rsid w:val="008B1587"/>
    <w:rsid w:val="008B27D1"/>
    <w:rsid w:val="008B2A37"/>
    <w:rsid w:val="008B33E9"/>
    <w:rsid w:val="008B43F7"/>
    <w:rsid w:val="008B45F5"/>
    <w:rsid w:val="008B51E6"/>
    <w:rsid w:val="008B58DB"/>
    <w:rsid w:val="008B5E3B"/>
    <w:rsid w:val="008B5FCC"/>
    <w:rsid w:val="008B6553"/>
    <w:rsid w:val="008B6B0F"/>
    <w:rsid w:val="008B6E46"/>
    <w:rsid w:val="008B7B09"/>
    <w:rsid w:val="008B7E36"/>
    <w:rsid w:val="008C00FC"/>
    <w:rsid w:val="008C0725"/>
    <w:rsid w:val="008C1495"/>
    <w:rsid w:val="008C3AA6"/>
    <w:rsid w:val="008C3C30"/>
    <w:rsid w:val="008C3E1F"/>
    <w:rsid w:val="008C4AB9"/>
    <w:rsid w:val="008C502E"/>
    <w:rsid w:val="008C50CF"/>
    <w:rsid w:val="008C5126"/>
    <w:rsid w:val="008C515E"/>
    <w:rsid w:val="008C53D1"/>
    <w:rsid w:val="008C5491"/>
    <w:rsid w:val="008C64D8"/>
    <w:rsid w:val="008C68D4"/>
    <w:rsid w:val="008C7350"/>
    <w:rsid w:val="008C7AAC"/>
    <w:rsid w:val="008C7AEA"/>
    <w:rsid w:val="008C7E65"/>
    <w:rsid w:val="008D03D0"/>
    <w:rsid w:val="008D062D"/>
    <w:rsid w:val="008D0F35"/>
    <w:rsid w:val="008D1AED"/>
    <w:rsid w:val="008D2051"/>
    <w:rsid w:val="008D223F"/>
    <w:rsid w:val="008D225E"/>
    <w:rsid w:val="008D25C6"/>
    <w:rsid w:val="008D2775"/>
    <w:rsid w:val="008D2808"/>
    <w:rsid w:val="008D2A3E"/>
    <w:rsid w:val="008D2BEA"/>
    <w:rsid w:val="008D2C01"/>
    <w:rsid w:val="008D32B5"/>
    <w:rsid w:val="008D3D78"/>
    <w:rsid w:val="008D3EFD"/>
    <w:rsid w:val="008D450B"/>
    <w:rsid w:val="008D4555"/>
    <w:rsid w:val="008D473B"/>
    <w:rsid w:val="008D4E99"/>
    <w:rsid w:val="008D556F"/>
    <w:rsid w:val="008D5882"/>
    <w:rsid w:val="008D5D05"/>
    <w:rsid w:val="008D641A"/>
    <w:rsid w:val="008D7B05"/>
    <w:rsid w:val="008E1073"/>
    <w:rsid w:val="008E1B34"/>
    <w:rsid w:val="008E1BB5"/>
    <w:rsid w:val="008E1E49"/>
    <w:rsid w:val="008E22D6"/>
    <w:rsid w:val="008E259F"/>
    <w:rsid w:val="008E2B71"/>
    <w:rsid w:val="008E2E4A"/>
    <w:rsid w:val="008E3C96"/>
    <w:rsid w:val="008E3D18"/>
    <w:rsid w:val="008E42BD"/>
    <w:rsid w:val="008E5BC3"/>
    <w:rsid w:val="008E5F50"/>
    <w:rsid w:val="008E60CD"/>
    <w:rsid w:val="008E622A"/>
    <w:rsid w:val="008E6780"/>
    <w:rsid w:val="008E6C65"/>
    <w:rsid w:val="008E6F35"/>
    <w:rsid w:val="008E76A9"/>
    <w:rsid w:val="008F0E7C"/>
    <w:rsid w:val="008F1281"/>
    <w:rsid w:val="008F15EB"/>
    <w:rsid w:val="008F1867"/>
    <w:rsid w:val="008F1A8C"/>
    <w:rsid w:val="008F1BA4"/>
    <w:rsid w:val="008F223B"/>
    <w:rsid w:val="008F245E"/>
    <w:rsid w:val="008F2613"/>
    <w:rsid w:val="008F2942"/>
    <w:rsid w:val="008F34A5"/>
    <w:rsid w:val="008F4217"/>
    <w:rsid w:val="008F4AEA"/>
    <w:rsid w:val="008F4C4E"/>
    <w:rsid w:val="008F4F80"/>
    <w:rsid w:val="008F4FA0"/>
    <w:rsid w:val="008F633A"/>
    <w:rsid w:val="008F6403"/>
    <w:rsid w:val="008F67A8"/>
    <w:rsid w:val="008F69DF"/>
    <w:rsid w:val="008F749B"/>
    <w:rsid w:val="008F7702"/>
    <w:rsid w:val="008F7B33"/>
    <w:rsid w:val="008F7B42"/>
    <w:rsid w:val="00900096"/>
    <w:rsid w:val="00900728"/>
    <w:rsid w:val="00900799"/>
    <w:rsid w:val="00900B09"/>
    <w:rsid w:val="00900B71"/>
    <w:rsid w:val="00901517"/>
    <w:rsid w:val="00901C41"/>
    <w:rsid w:val="00902512"/>
    <w:rsid w:val="0090276C"/>
    <w:rsid w:val="00902E77"/>
    <w:rsid w:val="009030D4"/>
    <w:rsid w:val="0090316C"/>
    <w:rsid w:val="009040A8"/>
    <w:rsid w:val="0090458E"/>
    <w:rsid w:val="009053BB"/>
    <w:rsid w:val="00905786"/>
    <w:rsid w:val="009058EA"/>
    <w:rsid w:val="00906247"/>
    <w:rsid w:val="009063E0"/>
    <w:rsid w:val="0090669A"/>
    <w:rsid w:val="00906F72"/>
    <w:rsid w:val="00907BBF"/>
    <w:rsid w:val="00910D9A"/>
    <w:rsid w:val="00910F75"/>
    <w:rsid w:val="00911211"/>
    <w:rsid w:val="00911684"/>
    <w:rsid w:val="009117BC"/>
    <w:rsid w:val="0091180D"/>
    <w:rsid w:val="00911857"/>
    <w:rsid w:val="0091185D"/>
    <w:rsid w:val="00911F42"/>
    <w:rsid w:val="0091200B"/>
    <w:rsid w:val="00912032"/>
    <w:rsid w:val="00912483"/>
    <w:rsid w:val="0091251F"/>
    <w:rsid w:val="00912BE2"/>
    <w:rsid w:val="00912DE9"/>
    <w:rsid w:val="00913E5C"/>
    <w:rsid w:val="009141AB"/>
    <w:rsid w:val="009142B8"/>
    <w:rsid w:val="00915000"/>
    <w:rsid w:val="0091503D"/>
    <w:rsid w:val="0091512B"/>
    <w:rsid w:val="009154D0"/>
    <w:rsid w:val="00915631"/>
    <w:rsid w:val="0091576D"/>
    <w:rsid w:val="00915E6C"/>
    <w:rsid w:val="00916037"/>
    <w:rsid w:val="009160BF"/>
    <w:rsid w:val="009168A2"/>
    <w:rsid w:val="009168B4"/>
    <w:rsid w:val="00916BED"/>
    <w:rsid w:val="00917890"/>
    <w:rsid w:val="009200D3"/>
    <w:rsid w:val="009202CF"/>
    <w:rsid w:val="009205E5"/>
    <w:rsid w:val="00920A02"/>
    <w:rsid w:val="00920E8D"/>
    <w:rsid w:val="00920EEC"/>
    <w:rsid w:val="00921159"/>
    <w:rsid w:val="00921564"/>
    <w:rsid w:val="00921810"/>
    <w:rsid w:val="00921DE2"/>
    <w:rsid w:val="00921F5B"/>
    <w:rsid w:val="0092222C"/>
    <w:rsid w:val="0092222E"/>
    <w:rsid w:val="00922BAC"/>
    <w:rsid w:val="009246BA"/>
    <w:rsid w:val="009246FC"/>
    <w:rsid w:val="009252B7"/>
    <w:rsid w:val="009261C7"/>
    <w:rsid w:val="00926927"/>
    <w:rsid w:val="00926C2D"/>
    <w:rsid w:val="009273AB"/>
    <w:rsid w:val="0092763F"/>
    <w:rsid w:val="00930368"/>
    <w:rsid w:val="00930A90"/>
    <w:rsid w:val="0093122B"/>
    <w:rsid w:val="0093138E"/>
    <w:rsid w:val="009314D0"/>
    <w:rsid w:val="0093172D"/>
    <w:rsid w:val="0093197D"/>
    <w:rsid w:val="00931B99"/>
    <w:rsid w:val="00931D48"/>
    <w:rsid w:val="00932AE2"/>
    <w:rsid w:val="009335E3"/>
    <w:rsid w:val="0093362D"/>
    <w:rsid w:val="00933790"/>
    <w:rsid w:val="00933D96"/>
    <w:rsid w:val="009343D7"/>
    <w:rsid w:val="009344ED"/>
    <w:rsid w:val="009345CE"/>
    <w:rsid w:val="00934868"/>
    <w:rsid w:val="00934F7F"/>
    <w:rsid w:val="00934FCD"/>
    <w:rsid w:val="00936675"/>
    <w:rsid w:val="0093693F"/>
    <w:rsid w:val="00936A5F"/>
    <w:rsid w:val="00936B54"/>
    <w:rsid w:val="00936F88"/>
    <w:rsid w:val="009370E8"/>
    <w:rsid w:val="0093732F"/>
    <w:rsid w:val="009378BC"/>
    <w:rsid w:val="00940099"/>
    <w:rsid w:val="009409AF"/>
    <w:rsid w:val="00940DE7"/>
    <w:rsid w:val="0094182A"/>
    <w:rsid w:val="00941A7A"/>
    <w:rsid w:val="00942637"/>
    <w:rsid w:val="00942784"/>
    <w:rsid w:val="009427F7"/>
    <w:rsid w:val="00942ED6"/>
    <w:rsid w:val="00942F80"/>
    <w:rsid w:val="0094300E"/>
    <w:rsid w:val="0094357F"/>
    <w:rsid w:val="0094393A"/>
    <w:rsid w:val="00943EBC"/>
    <w:rsid w:val="009440E4"/>
    <w:rsid w:val="0094437F"/>
    <w:rsid w:val="0094445E"/>
    <w:rsid w:val="00944FC4"/>
    <w:rsid w:val="009459AE"/>
    <w:rsid w:val="00945D62"/>
    <w:rsid w:val="00945FEB"/>
    <w:rsid w:val="00946494"/>
    <w:rsid w:val="009468A7"/>
    <w:rsid w:val="00946A17"/>
    <w:rsid w:val="00946F74"/>
    <w:rsid w:val="0094704B"/>
    <w:rsid w:val="00947951"/>
    <w:rsid w:val="0095033E"/>
    <w:rsid w:val="00951136"/>
    <w:rsid w:val="009515FA"/>
    <w:rsid w:val="00951C2E"/>
    <w:rsid w:val="00951EF6"/>
    <w:rsid w:val="0095413B"/>
    <w:rsid w:val="00954CCF"/>
    <w:rsid w:val="009558B1"/>
    <w:rsid w:val="00955C2D"/>
    <w:rsid w:val="0095629D"/>
    <w:rsid w:val="00956B84"/>
    <w:rsid w:val="00956C8F"/>
    <w:rsid w:val="00956D47"/>
    <w:rsid w:val="00957154"/>
    <w:rsid w:val="00957697"/>
    <w:rsid w:val="0096025F"/>
    <w:rsid w:val="00960B2A"/>
    <w:rsid w:val="00960B53"/>
    <w:rsid w:val="00960BE4"/>
    <w:rsid w:val="00961B03"/>
    <w:rsid w:val="00961BCE"/>
    <w:rsid w:val="009621DF"/>
    <w:rsid w:val="00962520"/>
    <w:rsid w:val="0096284E"/>
    <w:rsid w:val="00962973"/>
    <w:rsid w:val="009630C4"/>
    <w:rsid w:val="0096394C"/>
    <w:rsid w:val="009652C5"/>
    <w:rsid w:val="009655A2"/>
    <w:rsid w:val="00965A1D"/>
    <w:rsid w:val="0096638E"/>
    <w:rsid w:val="00966533"/>
    <w:rsid w:val="00966679"/>
    <w:rsid w:val="00966740"/>
    <w:rsid w:val="00966B49"/>
    <w:rsid w:val="00967910"/>
    <w:rsid w:val="00967F4A"/>
    <w:rsid w:val="009701F5"/>
    <w:rsid w:val="00970496"/>
    <w:rsid w:val="00970660"/>
    <w:rsid w:val="00970829"/>
    <w:rsid w:val="00970E93"/>
    <w:rsid w:val="00971490"/>
    <w:rsid w:val="00971583"/>
    <w:rsid w:val="009717AA"/>
    <w:rsid w:val="0097302B"/>
    <w:rsid w:val="0097328D"/>
    <w:rsid w:val="00973422"/>
    <w:rsid w:val="0097369F"/>
    <w:rsid w:val="009737F5"/>
    <w:rsid w:val="00973EDC"/>
    <w:rsid w:val="009740CA"/>
    <w:rsid w:val="00974366"/>
    <w:rsid w:val="00974D25"/>
    <w:rsid w:val="009752C5"/>
    <w:rsid w:val="00975FD7"/>
    <w:rsid w:val="0097643B"/>
    <w:rsid w:val="00976477"/>
    <w:rsid w:val="009767ED"/>
    <w:rsid w:val="009769EA"/>
    <w:rsid w:val="0097734E"/>
    <w:rsid w:val="00977367"/>
    <w:rsid w:val="00977D3B"/>
    <w:rsid w:val="009803C6"/>
    <w:rsid w:val="00981476"/>
    <w:rsid w:val="00981881"/>
    <w:rsid w:val="00981C96"/>
    <w:rsid w:val="00981E10"/>
    <w:rsid w:val="00982079"/>
    <w:rsid w:val="00982098"/>
    <w:rsid w:val="009821CC"/>
    <w:rsid w:val="00982785"/>
    <w:rsid w:val="00982A82"/>
    <w:rsid w:val="00982B66"/>
    <w:rsid w:val="00982C11"/>
    <w:rsid w:val="00984027"/>
    <w:rsid w:val="00984EA1"/>
    <w:rsid w:val="00984F05"/>
    <w:rsid w:val="00985006"/>
    <w:rsid w:val="00985751"/>
    <w:rsid w:val="00985759"/>
    <w:rsid w:val="009857CA"/>
    <w:rsid w:val="00987078"/>
    <w:rsid w:val="00987285"/>
    <w:rsid w:val="00987783"/>
    <w:rsid w:val="00987CFB"/>
    <w:rsid w:val="009909A3"/>
    <w:rsid w:val="00990C77"/>
    <w:rsid w:val="00990D67"/>
    <w:rsid w:val="009912EF"/>
    <w:rsid w:val="009918E1"/>
    <w:rsid w:val="00991DEF"/>
    <w:rsid w:val="00991FB4"/>
    <w:rsid w:val="0099238A"/>
    <w:rsid w:val="00992AD5"/>
    <w:rsid w:val="009930E0"/>
    <w:rsid w:val="0099439D"/>
    <w:rsid w:val="009944E6"/>
    <w:rsid w:val="0099496E"/>
    <w:rsid w:val="00994AB6"/>
    <w:rsid w:val="00994AD7"/>
    <w:rsid w:val="009955B2"/>
    <w:rsid w:val="009956C4"/>
    <w:rsid w:val="009961AA"/>
    <w:rsid w:val="0099645E"/>
    <w:rsid w:val="00996B9E"/>
    <w:rsid w:val="00997563"/>
    <w:rsid w:val="009975B9"/>
    <w:rsid w:val="009976E8"/>
    <w:rsid w:val="00997A4F"/>
    <w:rsid w:val="00997D86"/>
    <w:rsid w:val="009A0408"/>
    <w:rsid w:val="009A1276"/>
    <w:rsid w:val="009A1311"/>
    <w:rsid w:val="009A14F1"/>
    <w:rsid w:val="009A21B1"/>
    <w:rsid w:val="009A2EDE"/>
    <w:rsid w:val="009A2F37"/>
    <w:rsid w:val="009A3277"/>
    <w:rsid w:val="009A33C0"/>
    <w:rsid w:val="009A4090"/>
    <w:rsid w:val="009A4994"/>
    <w:rsid w:val="009A4A3C"/>
    <w:rsid w:val="009A4BD1"/>
    <w:rsid w:val="009A4D85"/>
    <w:rsid w:val="009A5114"/>
    <w:rsid w:val="009A531C"/>
    <w:rsid w:val="009A6362"/>
    <w:rsid w:val="009A642A"/>
    <w:rsid w:val="009A6765"/>
    <w:rsid w:val="009A7121"/>
    <w:rsid w:val="009A7CA4"/>
    <w:rsid w:val="009B0151"/>
    <w:rsid w:val="009B05D5"/>
    <w:rsid w:val="009B06AB"/>
    <w:rsid w:val="009B2754"/>
    <w:rsid w:val="009B283B"/>
    <w:rsid w:val="009B2E61"/>
    <w:rsid w:val="009B3062"/>
    <w:rsid w:val="009B3503"/>
    <w:rsid w:val="009B3704"/>
    <w:rsid w:val="009B48B5"/>
    <w:rsid w:val="009B4DF4"/>
    <w:rsid w:val="009B52B0"/>
    <w:rsid w:val="009B54CE"/>
    <w:rsid w:val="009B5B88"/>
    <w:rsid w:val="009B6417"/>
    <w:rsid w:val="009B662F"/>
    <w:rsid w:val="009B66C6"/>
    <w:rsid w:val="009B66EE"/>
    <w:rsid w:val="009B6997"/>
    <w:rsid w:val="009B6A0D"/>
    <w:rsid w:val="009B6C14"/>
    <w:rsid w:val="009B7361"/>
    <w:rsid w:val="009B756F"/>
    <w:rsid w:val="009B75B5"/>
    <w:rsid w:val="009B7A29"/>
    <w:rsid w:val="009B7D99"/>
    <w:rsid w:val="009C0261"/>
    <w:rsid w:val="009C06B2"/>
    <w:rsid w:val="009C0B19"/>
    <w:rsid w:val="009C0B65"/>
    <w:rsid w:val="009C1B76"/>
    <w:rsid w:val="009C20A4"/>
    <w:rsid w:val="009C2646"/>
    <w:rsid w:val="009C274F"/>
    <w:rsid w:val="009C2B21"/>
    <w:rsid w:val="009C3564"/>
    <w:rsid w:val="009C376F"/>
    <w:rsid w:val="009C3BD8"/>
    <w:rsid w:val="009C464B"/>
    <w:rsid w:val="009C4D3B"/>
    <w:rsid w:val="009C4EC9"/>
    <w:rsid w:val="009C5373"/>
    <w:rsid w:val="009C588F"/>
    <w:rsid w:val="009C5A38"/>
    <w:rsid w:val="009C5ACA"/>
    <w:rsid w:val="009C5E23"/>
    <w:rsid w:val="009C618F"/>
    <w:rsid w:val="009C711F"/>
    <w:rsid w:val="009C72AD"/>
    <w:rsid w:val="009C737A"/>
    <w:rsid w:val="009D067C"/>
    <w:rsid w:val="009D0EBA"/>
    <w:rsid w:val="009D1A0E"/>
    <w:rsid w:val="009D1A85"/>
    <w:rsid w:val="009D3A7C"/>
    <w:rsid w:val="009D4536"/>
    <w:rsid w:val="009D48CD"/>
    <w:rsid w:val="009D5669"/>
    <w:rsid w:val="009D578C"/>
    <w:rsid w:val="009D6652"/>
    <w:rsid w:val="009D6B87"/>
    <w:rsid w:val="009D7409"/>
    <w:rsid w:val="009D7513"/>
    <w:rsid w:val="009D79AA"/>
    <w:rsid w:val="009E0037"/>
    <w:rsid w:val="009E027B"/>
    <w:rsid w:val="009E06DD"/>
    <w:rsid w:val="009E08BB"/>
    <w:rsid w:val="009E0EA8"/>
    <w:rsid w:val="009E12C3"/>
    <w:rsid w:val="009E134F"/>
    <w:rsid w:val="009E16C6"/>
    <w:rsid w:val="009E1CEA"/>
    <w:rsid w:val="009E1E34"/>
    <w:rsid w:val="009E1EC5"/>
    <w:rsid w:val="009E3187"/>
    <w:rsid w:val="009E438D"/>
    <w:rsid w:val="009E43ED"/>
    <w:rsid w:val="009E45BF"/>
    <w:rsid w:val="009E4BF8"/>
    <w:rsid w:val="009E4FC1"/>
    <w:rsid w:val="009E50C3"/>
    <w:rsid w:val="009E51DF"/>
    <w:rsid w:val="009E54FB"/>
    <w:rsid w:val="009E55FF"/>
    <w:rsid w:val="009E56F3"/>
    <w:rsid w:val="009E57B2"/>
    <w:rsid w:val="009E5D66"/>
    <w:rsid w:val="009E5F0C"/>
    <w:rsid w:val="009E6475"/>
    <w:rsid w:val="009E651A"/>
    <w:rsid w:val="009E6580"/>
    <w:rsid w:val="009E6714"/>
    <w:rsid w:val="009E6C68"/>
    <w:rsid w:val="009E6D83"/>
    <w:rsid w:val="009F02BE"/>
    <w:rsid w:val="009F08B7"/>
    <w:rsid w:val="009F1408"/>
    <w:rsid w:val="009F18BB"/>
    <w:rsid w:val="009F1A83"/>
    <w:rsid w:val="009F23CE"/>
    <w:rsid w:val="009F29B9"/>
    <w:rsid w:val="009F37C6"/>
    <w:rsid w:val="009F3B4C"/>
    <w:rsid w:val="009F42E1"/>
    <w:rsid w:val="009F44BC"/>
    <w:rsid w:val="009F47AA"/>
    <w:rsid w:val="009F49EC"/>
    <w:rsid w:val="009F5586"/>
    <w:rsid w:val="009F5E94"/>
    <w:rsid w:val="009F60FB"/>
    <w:rsid w:val="009F626E"/>
    <w:rsid w:val="009F6352"/>
    <w:rsid w:val="009F63DE"/>
    <w:rsid w:val="009F65A6"/>
    <w:rsid w:val="009F670D"/>
    <w:rsid w:val="009F6B40"/>
    <w:rsid w:val="009F7107"/>
    <w:rsid w:val="009F71C1"/>
    <w:rsid w:val="009F75D0"/>
    <w:rsid w:val="009F7B5C"/>
    <w:rsid w:val="009F7B61"/>
    <w:rsid w:val="009F7C63"/>
    <w:rsid w:val="00A00144"/>
    <w:rsid w:val="00A0014D"/>
    <w:rsid w:val="00A009EC"/>
    <w:rsid w:val="00A00A6D"/>
    <w:rsid w:val="00A00AE6"/>
    <w:rsid w:val="00A00C74"/>
    <w:rsid w:val="00A0145A"/>
    <w:rsid w:val="00A01682"/>
    <w:rsid w:val="00A01A26"/>
    <w:rsid w:val="00A01D99"/>
    <w:rsid w:val="00A02379"/>
    <w:rsid w:val="00A02F71"/>
    <w:rsid w:val="00A0392E"/>
    <w:rsid w:val="00A03982"/>
    <w:rsid w:val="00A04ACC"/>
    <w:rsid w:val="00A04CA4"/>
    <w:rsid w:val="00A051D0"/>
    <w:rsid w:val="00A05309"/>
    <w:rsid w:val="00A05617"/>
    <w:rsid w:val="00A062B8"/>
    <w:rsid w:val="00A06B98"/>
    <w:rsid w:val="00A07398"/>
    <w:rsid w:val="00A07A65"/>
    <w:rsid w:val="00A07CFD"/>
    <w:rsid w:val="00A106DB"/>
    <w:rsid w:val="00A106FA"/>
    <w:rsid w:val="00A10841"/>
    <w:rsid w:val="00A11819"/>
    <w:rsid w:val="00A11EF2"/>
    <w:rsid w:val="00A122AE"/>
    <w:rsid w:val="00A124D6"/>
    <w:rsid w:val="00A1260F"/>
    <w:rsid w:val="00A12714"/>
    <w:rsid w:val="00A12E12"/>
    <w:rsid w:val="00A130C5"/>
    <w:rsid w:val="00A13476"/>
    <w:rsid w:val="00A13F8E"/>
    <w:rsid w:val="00A142E1"/>
    <w:rsid w:val="00A1434B"/>
    <w:rsid w:val="00A14722"/>
    <w:rsid w:val="00A149DD"/>
    <w:rsid w:val="00A14A00"/>
    <w:rsid w:val="00A14AFA"/>
    <w:rsid w:val="00A15D9D"/>
    <w:rsid w:val="00A160B1"/>
    <w:rsid w:val="00A16814"/>
    <w:rsid w:val="00A169AD"/>
    <w:rsid w:val="00A16BB1"/>
    <w:rsid w:val="00A171B9"/>
    <w:rsid w:val="00A17655"/>
    <w:rsid w:val="00A179EA"/>
    <w:rsid w:val="00A17BE3"/>
    <w:rsid w:val="00A17E47"/>
    <w:rsid w:val="00A2001C"/>
    <w:rsid w:val="00A20A13"/>
    <w:rsid w:val="00A20E02"/>
    <w:rsid w:val="00A21112"/>
    <w:rsid w:val="00A21144"/>
    <w:rsid w:val="00A2121A"/>
    <w:rsid w:val="00A21271"/>
    <w:rsid w:val="00A2139F"/>
    <w:rsid w:val="00A21F7A"/>
    <w:rsid w:val="00A22940"/>
    <w:rsid w:val="00A2296A"/>
    <w:rsid w:val="00A22A92"/>
    <w:rsid w:val="00A22E8A"/>
    <w:rsid w:val="00A23236"/>
    <w:rsid w:val="00A23B04"/>
    <w:rsid w:val="00A23B22"/>
    <w:rsid w:val="00A2422D"/>
    <w:rsid w:val="00A24509"/>
    <w:rsid w:val="00A248A1"/>
    <w:rsid w:val="00A24E51"/>
    <w:rsid w:val="00A25307"/>
    <w:rsid w:val="00A25C29"/>
    <w:rsid w:val="00A25D7E"/>
    <w:rsid w:val="00A25F3A"/>
    <w:rsid w:val="00A2608C"/>
    <w:rsid w:val="00A2624D"/>
    <w:rsid w:val="00A267A3"/>
    <w:rsid w:val="00A270FB"/>
    <w:rsid w:val="00A2716E"/>
    <w:rsid w:val="00A274A6"/>
    <w:rsid w:val="00A27523"/>
    <w:rsid w:val="00A276E2"/>
    <w:rsid w:val="00A3036E"/>
    <w:rsid w:val="00A3089B"/>
    <w:rsid w:val="00A308A1"/>
    <w:rsid w:val="00A31047"/>
    <w:rsid w:val="00A31155"/>
    <w:rsid w:val="00A31387"/>
    <w:rsid w:val="00A315D0"/>
    <w:rsid w:val="00A32367"/>
    <w:rsid w:val="00A3245C"/>
    <w:rsid w:val="00A32CA5"/>
    <w:rsid w:val="00A32F47"/>
    <w:rsid w:val="00A33654"/>
    <w:rsid w:val="00A33CA3"/>
    <w:rsid w:val="00A34D74"/>
    <w:rsid w:val="00A35089"/>
    <w:rsid w:val="00A35501"/>
    <w:rsid w:val="00A35E3A"/>
    <w:rsid w:val="00A35E3C"/>
    <w:rsid w:val="00A3611D"/>
    <w:rsid w:val="00A3653B"/>
    <w:rsid w:val="00A36579"/>
    <w:rsid w:val="00A366C2"/>
    <w:rsid w:val="00A366CD"/>
    <w:rsid w:val="00A36812"/>
    <w:rsid w:val="00A36907"/>
    <w:rsid w:val="00A375F0"/>
    <w:rsid w:val="00A40470"/>
    <w:rsid w:val="00A40581"/>
    <w:rsid w:val="00A414BC"/>
    <w:rsid w:val="00A418BA"/>
    <w:rsid w:val="00A41B1E"/>
    <w:rsid w:val="00A42057"/>
    <w:rsid w:val="00A42103"/>
    <w:rsid w:val="00A422C6"/>
    <w:rsid w:val="00A422D8"/>
    <w:rsid w:val="00A425D0"/>
    <w:rsid w:val="00A42B98"/>
    <w:rsid w:val="00A42C34"/>
    <w:rsid w:val="00A43377"/>
    <w:rsid w:val="00A43A4D"/>
    <w:rsid w:val="00A44151"/>
    <w:rsid w:val="00A4482D"/>
    <w:rsid w:val="00A456DD"/>
    <w:rsid w:val="00A45C2B"/>
    <w:rsid w:val="00A45CCC"/>
    <w:rsid w:val="00A45D92"/>
    <w:rsid w:val="00A45FAF"/>
    <w:rsid w:val="00A45FE0"/>
    <w:rsid w:val="00A46380"/>
    <w:rsid w:val="00A464A2"/>
    <w:rsid w:val="00A464D9"/>
    <w:rsid w:val="00A46914"/>
    <w:rsid w:val="00A46EE2"/>
    <w:rsid w:val="00A50C78"/>
    <w:rsid w:val="00A511C3"/>
    <w:rsid w:val="00A51395"/>
    <w:rsid w:val="00A519DC"/>
    <w:rsid w:val="00A529A7"/>
    <w:rsid w:val="00A52AF1"/>
    <w:rsid w:val="00A52EC7"/>
    <w:rsid w:val="00A5346E"/>
    <w:rsid w:val="00A539D9"/>
    <w:rsid w:val="00A53EAE"/>
    <w:rsid w:val="00A53FD9"/>
    <w:rsid w:val="00A5450D"/>
    <w:rsid w:val="00A54D42"/>
    <w:rsid w:val="00A54D67"/>
    <w:rsid w:val="00A55533"/>
    <w:rsid w:val="00A557F4"/>
    <w:rsid w:val="00A558B6"/>
    <w:rsid w:val="00A559BD"/>
    <w:rsid w:val="00A55CA2"/>
    <w:rsid w:val="00A56115"/>
    <w:rsid w:val="00A5647B"/>
    <w:rsid w:val="00A56EE4"/>
    <w:rsid w:val="00A5708C"/>
    <w:rsid w:val="00A572DF"/>
    <w:rsid w:val="00A5772E"/>
    <w:rsid w:val="00A6083C"/>
    <w:rsid w:val="00A61111"/>
    <w:rsid w:val="00A6131E"/>
    <w:rsid w:val="00A6213C"/>
    <w:rsid w:val="00A621A9"/>
    <w:rsid w:val="00A626FA"/>
    <w:rsid w:val="00A6350F"/>
    <w:rsid w:val="00A63980"/>
    <w:rsid w:val="00A63C7A"/>
    <w:rsid w:val="00A63CD0"/>
    <w:rsid w:val="00A63E28"/>
    <w:rsid w:val="00A6428E"/>
    <w:rsid w:val="00A64557"/>
    <w:rsid w:val="00A64991"/>
    <w:rsid w:val="00A65A3D"/>
    <w:rsid w:val="00A65CB6"/>
    <w:rsid w:val="00A66286"/>
    <w:rsid w:val="00A663F2"/>
    <w:rsid w:val="00A66AFC"/>
    <w:rsid w:val="00A66D9B"/>
    <w:rsid w:val="00A66FB7"/>
    <w:rsid w:val="00A676DB"/>
    <w:rsid w:val="00A67DB4"/>
    <w:rsid w:val="00A7011A"/>
    <w:rsid w:val="00A70215"/>
    <w:rsid w:val="00A706CB"/>
    <w:rsid w:val="00A70A64"/>
    <w:rsid w:val="00A70F6E"/>
    <w:rsid w:val="00A70F77"/>
    <w:rsid w:val="00A71472"/>
    <w:rsid w:val="00A71951"/>
    <w:rsid w:val="00A71AAB"/>
    <w:rsid w:val="00A721C0"/>
    <w:rsid w:val="00A7272A"/>
    <w:rsid w:val="00A72972"/>
    <w:rsid w:val="00A72C59"/>
    <w:rsid w:val="00A72DAA"/>
    <w:rsid w:val="00A73DC8"/>
    <w:rsid w:val="00A741D1"/>
    <w:rsid w:val="00A751F0"/>
    <w:rsid w:val="00A756A1"/>
    <w:rsid w:val="00A75780"/>
    <w:rsid w:val="00A76217"/>
    <w:rsid w:val="00A76AC1"/>
    <w:rsid w:val="00A76EDC"/>
    <w:rsid w:val="00A774DF"/>
    <w:rsid w:val="00A7755D"/>
    <w:rsid w:val="00A7766B"/>
    <w:rsid w:val="00A7770B"/>
    <w:rsid w:val="00A802FF"/>
    <w:rsid w:val="00A8122B"/>
    <w:rsid w:val="00A82193"/>
    <w:rsid w:val="00A823EF"/>
    <w:rsid w:val="00A826E4"/>
    <w:rsid w:val="00A82D10"/>
    <w:rsid w:val="00A82D86"/>
    <w:rsid w:val="00A82F83"/>
    <w:rsid w:val="00A830AF"/>
    <w:rsid w:val="00A83462"/>
    <w:rsid w:val="00A83B34"/>
    <w:rsid w:val="00A841BD"/>
    <w:rsid w:val="00A841E7"/>
    <w:rsid w:val="00A8424D"/>
    <w:rsid w:val="00A843CE"/>
    <w:rsid w:val="00A84A58"/>
    <w:rsid w:val="00A84F94"/>
    <w:rsid w:val="00A85885"/>
    <w:rsid w:val="00A85CC1"/>
    <w:rsid w:val="00A86588"/>
    <w:rsid w:val="00A869C7"/>
    <w:rsid w:val="00A86F1B"/>
    <w:rsid w:val="00A8713A"/>
    <w:rsid w:val="00A8722A"/>
    <w:rsid w:val="00A87782"/>
    <w:rsid w:val="00A87829"/>
    <w:rsid w:val="00A878D4"/>
    <w:rsid w:val="00A87E97"/>
    <w:rsid w:val="00A904BF"/>
    <w:rsid w:val="00A90D77"/>
    <w:rsid w:val="00A911AF"/>
    <w:rsid w:val="00A91A6E"/>
    <w:rsid w:val="00A91CC2"/>
    <w:rsid w:val="00A92267"/>
    <w:rsid w:val="00A92589"/>
    <w:rsid w:val="00A925EE"/>
    <w:rsid w:val="00A932BD"/>
    <w:rsid w:val="00A9433C"/>
    <w:rsid w:val="00A94469"/>
    <w:rsid w:val="00A94579"/>
    <w:rsid w:val="00A9541A"/>
    <w:rsid w:val="00A9556D"/>
    <w:rsid w:val="00A95BA3"/>
    <w:rsid w:val="00A962B0"/>
    <w:rsid w:val="00A97290"/>
    <w:rsid w:val="00A972B9"/>
    <w:rsid w:val="00A97335"/>
    <w:rsid w:val="00A97543"/>
    <w:rsid w:val="00A97559"/>
    <w:rsid w:val="00AA0252"/>
    <w:rsid w:val="00AA0CEC"/>
    <w:rsid w:val="00AA11C7"/>
    <w:rsid w:val="00AA1229"/>
    <w:rsid w:val="00AA158B"/>
    <w:rsid w:val="00AA187A"/>
    <w:rsid w:val="00AA18F1"/>
    <w:rsid w:val="00AA1B05"/>
    <w:rsid w:val="00AA30A5"/>
    <w:rsid w:val="00AA38E4"/>
    <w:rsid w:val="00AA3B6F"/>
    <w:rsid w:val="00AA3CB4"/>
    <w:rsid w:val="00AA3CBB"/>
    <w:rsid w:val="00AA41C6"/>
    <w:rsid w:val="00AA48A6"/>
    <w:rsid w:val="00AA4B35"/>
    <w:rsid w:val="00AA4BDF"/>
    <w:rsid w:val="00AA4D8D"/>
    <w:rsid w:val="00AA5051"/>
    <w:rsid w:val="00AA57D0"/>
    <w:rsid w:val="00AA5DC7"/>
    <w:rsid w:val="00AA6610"/>
    <w:rsid w:val="00AA6925"/>
    <w:rsid w:val="00AA69DC"/>
    <w:rsid w:val="00AA69F8"/>
    <w:rsid w:val="00AA6F21"/>
    <w:rsid w:val="00AA794A"/>
    <w:rsid w:val="00AB0142"/>
    <w:rsid w:val="00AB02A0"/>
    <w:rsid w:val="00AB0362"/>
    <w:rsid w:val="00AB081C"/>
    <w:rsid w:val="00AB0DFB"/>
    <w:rsid w:val="00AB10D3"/>
    <w:rsid w:val="00AB1400"/>
    <w:rsid w:val="00AB16B1"/>
    <w:rsid w:val="00AB1818"/>
    <w:rsid w:val="00AB21B7"/>
    <w:rsid w:val="00AB2A5F"/>
    <w:rsid w:val="00AB34EE"/>
    <w:rsid w:val="00AB3B13"/>
    <w:rsid w:val="00AB3F29"/>
    <w:rsid w:val="00AB4162"/>
    <w:rsid w:val="00AB42E7"/>
    <w:rsid w:val="00AB46E8"/>
    <w:rsid w:val="00AB49EA"/>
    <w:rsid w:val="00AB4BAA"/>
    <w:rsid w:val="00AB4C03"/>
    <w:rsid w:val="00AB5219"/>
    <w:rsid w:val="00AB5F69"/>
    <w:rsid w:val="00AB6058"/>
    <w:rsid w:val="00AB7046"/>
    <w:rsid w:val="00AB73B1"/>
    <w:rsid w:val="00AC154E"/>
    <w:rsid w:val="00AC1747"/>
    <w:rsid w:val="00AC1779"/>
    <w:rsid w:val="00AC24D8"/>
    <w:rsid w:val="00AC312D"/>
    <w:rsid w:val="00AC3265"/>
    <w:rsid w:val="00AC3336"/>
    <w:rsid w:val="00AC3444"/>
    <w:rsid w:val="00AC349D"/>
    <w:rsid w:val="00AC34B8"/>
    <w:rsid w:val="00AC35AC"/>
    <w:rsid w:val="00AC36B6"/>
    <w:rsid w:val="00AC3734"/>
    <w:rsid w:val="00AC3AC0"/>
    <w:rsid w:val="00AC3BEF"/>
    <w:rsid w:val="00AC3FBD"/>
    <w:rsid w:val="00AC41C7"/>
    <w:rsid w:val="00AC49D1"/>
    <w:rsid w:val="00AC5059"/>
    <w:rsid w:val="00AC572E"/>
    <w:rsid w:val="00AC595D"/>
    <w:rsid w:val="00AC59D0"/>
    <w:rsid w:val="00AC5FF6"/>
    <w:rsid w:val="00AC6DE4"/>
    <w:rsid w:val="00AC7428"/>
    <w:rsid w:val="00AC75D0"/>
    <w:rsid w:val="00AC789C"/>
    <w:rsid w:val="00AC7E96"/>
    <w:rsid w:val="00AD0121"/>
    <w:rsid w:val="00AD0172"/>
    <w:rsid w:val="00AD02EA"/>
    <w:rsid w:val="00AD0722"/>
    <w:rsid w:val="00AD0A7E"/>
    <w:rsid w:val="00AD0FAC"/>
    <w:rsid w:val="00AD1ABA"/>
    <w:rsid w:val="00AD21DD"/>
    <w:rsid w:val="00AD26FE"/>
    <w:rsid w:val="00AD28F1"/>
    <w:rsid w:val="00AD294C"/>
    <w:rsid w:val="00AD2ABF"/>
    <w:rsid w:val="00AD32C2"/>
    <w:rsid w:val="00AD364B"/>
    <w:rsid w:val="00AD397A"/>
    <w:rsid w:val="00AD3C0F"/>
    <w:rsid w:val="00AD4320"/>
    <w:rsid w:val="00AD453A"/>
    <w:rsid w:val="00AD4800"/>
    <w:rsid w:val="00AD4CDE"/>
    <w:rsid w:val="00AD4F0A"/>
    <w:rsid w:val="00AD7062"/>
    <w:rsid w:val="00AD7338"/>
    <w:rsid w:val="00AD73FA"/>
    <w:rsid w:val="00AD77A1"/>
    <w:rsid w:val="00AD7EE5"/>
    <w:rsid w:val="00AE042D"/>
    <w:rsid w:val="00AE07BD"/>
    <w:rsid w:val="00AE09EE"/>
    <w:rsid w:val="00AE0BFE"/>
    <w:rsid w:val="00AE0CEE"/>
    <w:rsid w:val="00AE0F32"/>
    <w:rsid w:val="00AE1403"/>
    <w:rsid w:val="00AE1543"/>
    <w:rsid w:val="00AE1735"/>
    <w:rsid w:val="00AE1B7B"/>
    <w:rsid w:val="00AE1DBB"/>
    <w:rsid w:val="00AE2168"/>
    <w:rsid w:val="00AE23D1"/>
    <w:rsid w:val="00AE2715"/>
    <w:rsid w:val="00AE2A17"/>
    <w:rsid w:val="00AE339F"/>
    <w:rsid w:val="00AE35F1"/>
    <w:rsid w:val="00AE369A"/>
    <w:rsid w:val="00AE37E4"/>
    <w:rsid w:val="00AE3F63"/>
    <w:rsid w:val="00AE4045"/>
    <w:rsid w:val="00AE46CF"/>
    <w:rsid w:val="00AE470F"/>
    <w:rsid w:val="00AE4A05"/>
    <w:rsid w:val="00AE5080"/>
    <w:rsid w:val="00AE5396"/>
    <w:rsid w:val="00AE571E"/>
    <w:rsid w:val="00AE5C0F"/>
    <w:rsid w:val="00AE66D0"/>
    <w:rsid w:val="00AE6984"/>
    <w:rsid w:val="00AE6D6A"/>
    <w:rsid w:val="00AE6DD7"/>
    <w:rsid w:val="00AE6DF0"/>
    <w:rsid w:val="00AE7746"/>
    <w:rsid w:val="00AE77F3"/>
    <w:rsid w:val="00AE7860"/>
    <w:rsid w:val="00AE7F83"/>
    <w:rsid w:val="00AF0048"/>
    <w:rsid w:val="00AF0252"/>
    <w:rsid w:val="00AF13CA"/>
    <w:rsid w:val="00AF1837"/>
    <w:rsid w:val="00AF2209"/>
    <w:rsid w:val="00AF2646"/>
    <w:rsid w:val="00AF27DB"/>
    <w:rsid w:val="00AF289A"/>
    <w:rsid w:val="00AF2DBF"/>
    <w:rsid w:val="00AF308E"/>
    <w:rsid w:val="00AF3B86"/>
    <w:rsid w:val="00AF3C30"/>
    <w:rsid w:val="00AF3C47"/>
    <w:rsid w:val="00AF3DB9"/>
    <w:rsid w:val="00AF3FE5"/>
    <w:rsid w:val="00AF402A"/>
    <w:rsid w:val="00AF40EF"/>
    <w:rsid w:val="00AF4A3D"/>
    <w:rsid w:val="00AF4C93"/>
    <w:rsid w:val="00AF53C9"/>
    <w:rsid w:val="00AF5878"/>
    <w:rsid w:val="00AF674E"/>
    <w:rsid w:val="00AF7618"/>
    <w:rsid w:val="00AF7642"/>
    <w:rsid w:val="00B00014"/>
    <w:rsid w:val="00B00B74"/>
    <w:rsid w:val="00B015F0"/>
    <w:rsid w:val="00B017FE"/>
    <w:rsid w:val="00B01D06"/>
    <w:rsid w:val="00B0258F"/>
    <w:rsid w:val="00B02A9D"/>
    <w:rsid w:val="00B02B02"/>
    <w:rsid w:val="00B0309F"/>
    <w:rsid w:val="00B03248"/>
    <w:rsid w:val="00B035DE"/>
    <w:rsid w:val="00B037E2"/>
    <w:rsid w:val="00B042B3"/>
    <w:rsid w:val="00B04549"/>
    <w:rsid w:val="00B04D59"/>
    <w:rsid w:val="00B0532C"/>
    <w:rsid w:val="00B05346"/>
    <w:rsid w:val="00B05723"/>
    <w:rsid w:val="00B05D5E"/>
    <w:rsid w:val="00B063E9"/>
    <w:rsid w:val="00B06742"/>
    <w:rsid w:val="00B07328"/>
    <w:rsid w:val="00B10150"/>
    <w:rsid w:val="00B1160E"/>
    <w:rsid w:val="00B117F4"/>
    <w:rsid w:val="00B11821"/>
    <w:rsid w:val="00B12E4D"/>
    <w:rsid w:val="00B1301D"/>
    <w:rsid w:val="00B1313E"/>
    <w:rsid w:val="00B133BE"/>
    <w:rsid w:val="00B13A98"/>
    <w:rsid w:val="00B13C7A"/>
    <w:rsid w:val="00B13E9A"/>
    <w:rsid w:val="00B148CE"/>
    <w:rsid w:val="00B148F2"/>
    <w:rsid w:val="00B14A46"/>
    <w:rsid w:val="00B14EAD"/>
    <w:rsid w:val="00B14FD6"/>
    <w:rsid w:val="00B157C3"/>
    <w:rsid w:val="00B15903"/>
    <w:rsid w:val="00B15DF3"/>
    <w:rsid w:val="00B163B5"/>
    <w:rsid w:val="00B167F4"/>
    <w:rsid w:val="00B1686C"/>
    <w:rsid w:val="00B16B2E"/>
    <w:rsid w:val="00B17211"/>
    <w:rsid w:val="00B1741C"/>
    <w:rsid w:val="00B178ED"/>
    <w:rsid w:val="00B17DDD"/>
    <w:rsid w:val="00B17E18"/>
    <w:rsid w:val="00B20E6A"/>
    <w:rsid w:val="00B21606"/>
    <w:rsid w:val="00B216AE"/>
    <w:rsid w:val="00B21741"/>
    <w:rsid w:val="00B217D2"/>
    <w:rsid w:val="00B21D4C"/>
    <w:rsid w:val="00B2289E"/>
    <w:rsid w:val="00B22E32"/>
    <w:rsid w:val="00B231F5"/>
    <w:rsid w:val="00B23A6A"/>
    <w:rsid w:val="00B24228"/>
    <w:rsid w:val="00B24524"/>
    <w:rsid w:val="00B247E4"/>
    <w:rsid w:val="00B248F3"/>
    <w:rsid w:val="00B24DEA"/>
    <w:rsid w:val="00B24FDF"/>
    <w:rsid w:val="00B255E8"/>
    <w:rsid w:val="00B257D6"/>
    <w:rsid w:val="00B25962"/>
    <w:rsid w:val="00B25B07"/>
    <w:rsid w:val="00B25BA0"/>
    <w:rsid w:val="00B25DAF"/>
    <w:rsid w:val="00B2669F"/>
    <w:rsid w:val="00B26967"/>
    <w:rsid w:val="00B2778E"/>
    <w:rsid w:val="00B2784E"/>
    <w:rsid w:val="00B27DE4"/>
    <w:rsid w:val="00B30BFA"/>
    <w:rsid w:val="00B30D90"/>
    <w:rsid w:val="00B30E41"/>
    <w:rsid w:val="00B30F54"/>
    <w:rsid w:val="00B31AA2"/>
    <w:rsid w:val="00B31E24"/>
    <w:rsid w:val="00B3295D"/>
    <w:rsid w:val="00B3295F"/>
    <w:rsid w:val="00B32A82"/>
    <w:rsid w:val="00B32E64"/>
    <w:rsid w:val="00B33093"/>
    <w:rsid w:val="00B3388C"/>
    <w:rsid w:val="00B33CF2"/>
    <w:rsid w:val="00B33EA0"/>
    <w:rsid w:val="00B33F82"/>
    <w:rsid w:val="00B33FA6"/>
    <w:rsid w:val="00B3404C"/>
    <w:rsid w:val="00B34C75"/>
    <w:rsid w:val="00B34ED2"/>
    <w:rsid w:val="00B34FC9"/>
    <w:rsid w:val="00B350F7"/>
    <w:rsid w:val="00B357B1"/>
    <w:rsid w:val="00B3585B"/>
    <w:rsid w:val="00B359A5"/>
    <w:rsid w:val="00B35AEE"/>
    <w:rsid w:val="00B35E62"/>
    <w:rsid w:val="00B35FE3"/>
    <w:rsid w:val="00B36089"/>
    <w:rsid w:val="00B36B64"/>
    <w:rsid w:val="00B36CF1"/>
    <w:rsid w:val="00B36DC1"/>
    <w:rsid w:val="00B403CA"/>
    <w:rsid w:val="00B40454"/>
    <w:rsid w:val="00B40AFB"/>
    <w:rsid w:val="00B40BE8"/>
    <w:rsid w:val="00B40D8D"/>
    <w:rsid w:val="00B41080"/>
    <w:rsid w:val="00B41B5F"/>
    <w:rsid w:val="00B41BE0"/>
    <w:rsid w:val="00B42084"/>
    <w:rsid w:val="00B42726"/>
    <w:rsid w:val="00B42B2B"/>
    <w:rsid w:val="00B42F9C"/>
    <w:rsid w:val="00B42FC5"/>
    <w:rsid w:val="00B439BF"/>
    <w:rsid w:val="00B43F9B"/>
    <w:rsid w:val="00B44041"/>
    <w:rsid w:val="00B44510"/>
    <w:rsid w:val="00B44D8A"/>
    <w:rsid w:val="00B45592"/>
    <w:rsid w:val="00B4563E"/>
    <w:rsid w:val="00B45D4B"/>
    <w:rsid w:val="00B45DC4"/>
    <w:rsid w:val="00B45E46"/>
    <w:rsid w:val="00B45F49"/>
    <w:rsid w:val="00B469E0"/>
    <w:rsid w:val="00B46AD3"/>
    <w:rsid w:val="00B47430"/>
    <w:rsid w:val="00B475DC"/>
    <w:rsid w:val="00B47657"/>
    <w:rsid w:val="00B502BB"/>
    <w:rsid w:val="00B50416"/>
    <w:rsid w:val="00B50479"/>
    <w:rsid w:val="00B504C7"/>
    <w:rsid w:val="00B50DF0"/>
    <w:rsid w:val="00B50ED6"/>
    <w:rsid w:val="00B5134E"/>
    <w:rsid w:val="00B51721"/>
    <w:rsid w:val="00B5191C"/>
    <w:rsid w:val="00B522BD"/>
    <w:rsid w:val="00B524D1"/>
    <w:rsid w:val="00B52507"/>
    <w:rsid w:val="00B52DEE"/>
    <w:rsid w:val="00B52E83"/>
    <w:rsid w:val="00B536F7"/>
    <w:rsid w:val="00B53A8E"/>
    <w:rsid w:val="00B54017"/>
    <w:rsid w:val="00B54176"/>
    <w:rsid w:val="00B542A2"/>
    <w:rsid w:val="00B54A65"/>
    <w:rsid w:val="00B54F3B"/>
    <w:rsid w:val="00B54F70"/>
    <w:rsid w:val="00B551BE"/>
    <w:rsid w:val="00B55408"/>
    <w:rsid w:val="00B55892"/>
    <w:rsid w:val="00B559A5"/>
    <w:rsid w:val="00B55A64"/>
    <w:rsid w:val="00B56789"/>
    <w:rsid w:val="00B56CE3"/>
    <w:rsid w:val="00B5710F"/>
    <w:rsid w:val="00B57CE5"/>
    <w:rsid w:val="00B603EB"/>
    <w:rsid w:val="00B605FF"/>
    <w:rsid w:val="00B615A5"/>
    <w:rsid w:val="00B61898"/>
    <w:rsid w:val="00B61967"/>
    <w:rsid w:val="00B62360"/>
    <w:rsid w:val="00B62785"/>
    <w:rsid w:val="00B62A86"/>
    <w:rsid w:val="00B62C95"/>
    <w:rsid w:val="00B62EA6"/>
    <w:rsid w:val="00B632F5"/>
    <w:rsid w:val="00B63A68"/>
    <w:rsid w:val="00B63B76"/>
    <w:rsid w:val="00B64A4C"/>
    <w:rsid w:val="00B65A46"/>
    <w:rsid w:val="00B65AC7"/>
    <w:rsid w:val="00B65B8D"/>
    <w:rsid w:val="00B65F5B"/>
    <w:rsid w:val="00B661E6"/>
    <w:rsid w:val="00B66933"/>
    <w:rsid w:val="00B66993"/>
    <w:rsid w:val="00B669CD"/>
    <w:rsid w:val="00B66AA1"/>
    <w:rsid w:val="00B66F0D"/>
    <w:rsid w:val="00B66FC1"/>
    <w:rsid w:val="00B671F3"/>
    <w:rsid w:val="00B67A5A"/>
    <w:rsid w:val="00B67A6A"/>
    <w:rsid w:val="00B67BD5"/>
    <w:rsid w:val="00B7004D"/>
    <w:rsid w:val="00B70F05"/>
    <w:rsid w:val="00B72224"/>
    <w:rsid w:val="00B72411"/>
    <w:rsid w:val="00B728C0"/>
    <w:rsid w:val="00B734C9"/>
    <w:rsid w:val="00B73C99"/>
    <w:rsid w:val="00B7431C"/>
    <w:rsid w:val="00B7466B"/>
    <w:rsid w:val="00B74E76"/>
    <w:rsid w:val="00B76DE0"/>
    <w:rsid w:val="00B7772E"/>
    <w:rsid w:val="00B779DA"/>
    <w:rsid w:val="00B779EC"/>
    <w:rsid w:val="00B77D9D"/>
    <w:rsid w:val="00B801DE"/>
    <w:rsid w:val="00B80364"/>
    <w:rsid w:val="00B81097"/>
    <w:rsid w:val="00B8127D"/>
    <w:rsid w:val="00B81C44"/>
    <w:rsid w:val="00B81CAA"/>
    <w:rsid w:val="00B81E2A"/>
    <w:rsid w:val="00B822D8"/>
    <w:rsid w:val="00B82A51"/>
    <w:rsid w:val="00B8351D"/>
    <w:rsid w:val="00B839D4"/>
    <w:rsid w:val="00B83B6E"/>
    <w:rsid w:val="00B843FF"/>
    <w:rsid w:val="00B84438"/>
    <w:rsid w:val="00B84E1F"/>
    <w:rsid w:val="00B85824"/>
    <w:rsid w:val="00B85F0C"/>
    <w:rsid w:val="00B868C0"/>
    <w:rsid w:val="00B870B5"/>
    <w:rsid w:val="00B9078A"/>
    <w:rsid w:val="00B90A53"/>
    <w:rsid w:val="00B914CA"/>
    <w:rsid w:val="00B91716"/>
    <w:rsid w:val="00B9172F"/>
    <w:rsid w:val="00B91B16"/>
    <w:rsid w:val="00B91C07"/>
    <w:rsid w:val="00B91E55"/>
    <w:rsid w:val="00B91F67"/>
    <w:rsid w:val="00B92195"/>
    <w:rsid w:val="00B92856"/>
    <w:rsid w:val="00B92B1F"/>
    <w:rsid w:val="00B92C7F"/>
    <w:rsid w:val="00B9302F"/>
    <w:rsid w:val="00B93078"/>
    <w:rsid w:val="00B943AE"/>
    <w:rsid w:val="00B94492"/>
    <w:rsid w:val="00B947A5"/>
    <w:rsid w:val="00B94920"/>
    <w:rsid w:val="00B94D22"/>
    <w:rsid w:val="00B94E57"/>
    <w:rsid w:val="00B9550D"/>
    <w:rsid w:val="00B955EB"/>
    <w:rsid w:val="00B95742"/>
    <w:rsid w:val="00B95C42"/>
    <w:rsid w:val="00B95F9F"/>
    <w:rsid w:val="00B96855"/>
    <w:rsid w:val="00B96CB5"/>
    <w:rsid w:val="00B96E57"/>
    <w:rsid w:val="00B970F0"/>
    <w:rsid w:val="00B975CA"/>
    <w:rsid w:val="00B97818"/>
    <w:rsid w:val="00B97CC8"/>
    <w:rsid w:val="00BA0349"/>
    <w:rsid w:val="00BA0B59"/>
    <w:rsid w:val="00BA0CF1"/>
    <w:rsid w:val="00BA0F45"/>
    <w:rsid w:val="00BA1217"/>
    <w:rsid w:val="00BA122A"/>
    <w:rsid w:val="00BA123A"/>
    <w:rsid w:val="00BA19CB"/>
    <w:rsid w:val="00BA1C9E"/>
    <w:rsid w:val="00BA1CCA"/>
    <w:rsid w:val="00BA1D0C"/>
    <w:rsid w:val="00BA1E6A"/>
    <w:rsid w:val="00BA1F76"/>
    <w:rsid w:val="00BA1FFB"/>
    <w:rsid w:val="00BA238F"/>
    <w:rsid w:val="00BA2909"/>
    <w:rsid w:val="00BA2C62"/>
    <w:rsid w:val="00BA3019"/>
    <w:rsid w:val="00BA376D"/>
    <w:rsid w:val="00BA3BDE"/>
    <w:rsid w:val="00BA3E2B"/>
    <w:rsid w:val="00BA3F2C"/>
    <w:rsid w:val="00BA4363"/>
    <w:rsid w:val="00BA4559"/>
    <w:rsid w:val="00BA50AF"/>
    <w:rsid w:val="00BA518F"/>
    <w:rsid w:val="00BA5236"/>
    <w:rsid w:val="00BA53ED"/>
    <w:rsid w:val="00BA57F4"/>
    <w:rsid w:val="00BA65F4"/>
    <w:rsid w:val="00BA6F84"/>
    <w:rsid w:val="00BA7794"/>
    <w:rsid w:val="00BA7EC7"/>
    <w:rsid w:val="00BA7F24"/>
    <w:rsid w:val="00BB08FB"/>
    <w:rsid w:val="00BB10EB"/>
    <w:rsid w:val="00BB1FC5"/>
    <w:rsid w:val="00BB21AF"/>
    <w:rsid w:val="00BB21B6"/>
    <w:rsid w:val="00BB24C7"/>
    <w:rsid w:val="00BB275C"/>
    <w:rsid w:val="00BB2D98"/>
    <w:rsid w:val="00BB30F5"/>
    <w:rsid w:val="00BB3565"/>
    <w:rsid w:val="00BB3AAB"/>
    <w:rsid w:val="00BB3CEA"/>
    <w:rsid w:val="00BB40C1"/>
    <w:rsid w:val="00BB40EC"/>
    <w:rsid w:val="00BB55C3"/>
    <w:rsid w:val="00BB56DD"/>
    <w:rsid w:val="00BB5AFC"/>
    <w:rsid w:val="00BB6FB4"/>
    <w:rsid w:val="00BB7072"/>
    <w:rsid w:val="00BB717B"/>
    <w:rsid w:val="00BB773D"/>
    <w:rsid w:val="00BC07E4"/>
    <w:rsid w:val="00BC0AE9"/>
    <w:rsid w:val="00BC10FE"/>
    <w:rsid w:val="00BC1665"/>
    <w:rsid w:val="00BC1757"/>
    <w:rsid w:val="00BC22A1"/>
    <w:rsid w:val="00BC27DD"/>
    <w:rsid w:val="00BC3415"/>
    <w:rsid w:val="00BC3A8F"/>
    <w:rsid w:val="00BC3AE2"/>
    <w:rsid w:val="00BC3AFC"/>
    <w:rsid w:val="00BC4072"/>
    <w:rsid w:val="00BC52BB"/>
    <w:rsid w:val="00BC6349"/>
    <w:rsid w:val="00BC6A31"/>
    <w:rsid w:val="00BC6CE7"/>
    <w:rsid w:val="00BC752E"/>
    <w:rsid w:val="00BC75EC"/>
    <w:rsid w:val="00BD0615"/>
    <w:rsid w:val="00BD07CA"/>
    <w:rsid w:val="00BD0B98"/>
    <w:rsid w:val="00BD1495"/>
    <w:rsid w:val="00BD161F"/>
    <w:rsid w:val="00BD17D4"/>
    <w:rsid w:val="00BD1800"/>
    <w:rsid w:val="00BD1E63"/>
    <w:rsid w:val="00BD1F4B"/>
    <w:rsid w:val="00BD4094"/>
    <w:rsid w:val="00BD40EA"/>
    <w:rsid w:val="00BD562E"/>
    <w:rsid w:val="00BD635A"/>
    <w:rsid w:val="00BD6F67"/>
    <w:rsid w:val="00BD74FF"/>
    <w:rsid w:val="00BD790B"/>
    <w:rsid w:val="00BE0020"/>
    <w:rsid w:val="00BE0848"/>
    <w:rsid w:val="00BE0CA5"/>
    <w:rsid w:val="00BE1087"/>
    <w:rsid w:val="00BE14F6"/>
    <w:rsid w:val="00BE17F6"/>
    <w:rsid w:val="00BE1A21"/>
    <w:rsid w:val="00BE1B3D"/>
    <w:rsid w:val="00BE1C20"/>
    <w:rsid w:val="00BE1E8B"/>
    <w:rsid w:val="00BE2F2E"/>
    <w:rsid w:val="00BE303B"/>
    <w:rsid w:val="00BE333D"/>
    <w:rsid w:val="00BE35FD"/>
    <w:rsid w:val="00BE368A"/>
    <w:rsid w:val="00BE3EC8"/>
    <w:rsid w:val="00BE41E2"/>
    <w:rsid w:val="00BE42D2"/>
    <w:rsid w:val="00BE5206"/>
    <w:rsid w:val="00BE5932"/>
    <w:rsid w:val="00BE59DE"/>
    <w:rsid w:val="00BE5DEF"/>
    <w:rsid w:val="00BE5E7D"/>
    <w:rsid w:val="00BE6433"/>
    <w:rsid w:val="00BE6602"/>
    <w:rsid w:val="00BE6851"/>
    <w:rsid w:val="00BE6FC7"/>
    <w:rsid w:val="00BE700F"/>
    <w:rsid w:val="00BE706E"/>
    <w:rsid w:val="00BE7B13"/>
    <w:rsid w:val="00BF004F"/>
    <w:rsid w:val="00BF00E1"/>
    <w:rsid w:val="00BF0811"/>
    <w:rsid w:val="00BF0989"/>
    <w:rsid w:val="00BF13C8"/>
    <w:rsid w:val="00BF154F"/>
    <w:rsid w:val="00BF1601"/>
    <w:rsid w:val="00BF1893"/>
    <w:rsid w:val="00BF18EC"/>
    <w:rsid w:val="00BF1B31"/>
    <w:rsid w:val="00BF1E9D"/>
    <w:rsid w:val="00BF27E1"/>
    <w:rsid w:val="00BF2E0E"/>
    <w:rsid w:val="00BF32AF"/>
    <w:rsid w:val="00BF366C"/>
    <w:rsid w:val="00BF37F3"/>
    <w:rsid w:val="00BF4BC7"/>
    <w:rsid w:val="00BF4DEB"/>
    <w:rsid w:val="00BF512F"/>
    <w:rsid w:val="00BF5505"/>
    <w:rsid w:val="00BF6197"/>
    <w:rsid w:val="00BF6367"/>
    <w:rsid w:val="00BF645F"/>
    <w:rsid w:val="00BF6704"/>
    <w:rsid w:val="00BF6A53"/>
    <w:rsid w:val="00BF6B82"/>
    <w:rsid w:val="00BF6EB1"/>
    <w:rsid w:val="00BF74F0"/>
    <w:rsid w:val="00C00009"/>
    <w:rsid w:val="00C000F4"/>
    <w:rsid w:val="00C00B87"/>
    <w:rsid w:val="00C00F5C"/>
    <w:rsid w:val="00C0136F"/>
    <w:rsid w:val="00C029EF"/>
    <w:rsid w:val="00C02A28"/>
    <w:rsid w:val="00C03F42"/>
    <w:rsid w:val="00C03F44"/>
    <w:rsid w:val="00C03FC5"/>
    <w:rsid w:val="00C04210"/>
    <w:rsid w:val="00C0431F"/>
    <w:rsid w:val="00C04DBB"/>
    <w:rsid w:val="00C0500A"/>
    <w:rsid w:val="00C05741"/>
    <w:rsid w:val="00C05F21"/>
    <w:rsid w:val="00C06366"/>
    <w:rsid w:val="00C06A56"/>
    <w:rsid w:val="00C0727C"/>
    <w:rsid w:val="00C075BD"/>
    <w:rsid w:val="00C07E6B"/>
    <w:rsid w:val="00C10052"/>
    <w:rsid w:val="00C10081"/>
    <w:rsid w:val="00C107C4"/>
    <w:rsid w:val="00C107E4"/>
    <w:rsid w:val="00C10B34"/>
    <w:rsid w:val="00C10E9F"/>
    <w:rsid w:val="00C1164E"/>
    <w:rsid w:val="00C118EA"/>
    <w:rsid w:val="00C1191A"/>
    <w:rsid w:val="00C12459"/>
    <w:rsid w:val="00C12476"/>
    <w:rsid w:val="00C124BF"/>
    <w:rsid w:val="00C12598"/>
    <w:rsid w:val="00C1283F"/>
    <w:rsid w:val="00C12EBE"/>
    <w:rsid w:val="00C13478"/>
    <w:rsid w:val="00C13A66"/>
    <w:rsid w:val="00C13ADC"/>
    <w:rsid w:val="00C1407E"/>
    <w:rsid w:val="00C143C5"/>
    <w:rsid w:val="00C14555"/>
    <w:rsid w:val="00C1480E"/>
    <w:rsid w:val="00C14B2C"/>
    <w:rsid w:val="00C15604"/>
    <w:rsid w:val="00C15754"/>
    <w:rsid w:val="00C1579F"/>
    <w:rsid w:val="00C162F4"/>
    <w:rsid w:val="00C1693D"/>
    <w:rsid w:val="00C1704F"/>
    <w:rsid w:val="00C17690"/>
    <w:rsid w:val="00C1772E"/>
    <w:rsid w:val="00C17AA5"/>
    <w:rsid w:val="00C20161"/>
    <w:rsid w:val="00C201BD"/>
    <w:rsid w:val="00C203D7"/>
    <w:rsid w:val="00C208B4"/>
    <w:rsid w:val="00C20E85"/>
    <w:rsid w:val="00C2173D"/>
    <w:rsid w:val="00C21B28"/>
    <w:rsid w:val="00C22888"/>
    <w:rsid w:val="00C22A6C"/>
    <w:rsid w:val="00C23139"/>
    <w:rsid w:val="00C235BA"/>
    <w:rsid w:val="00C23D71"/>
    <w:rsid w:val="00C24F8E"/>
    <w:rsid w:val="00C25180"/>
    <w:rsid w:val="00C25276"/>
    <w:rsid w:val="00C254E9"/>
    <w:rsid w:val="00C25FCD"/>
    <w:rsid w:val="00C260FC"/>
    <w:rsid w:val="00C26A47"/>
    <w:rsid w:val="00C26E54"/>
    <w:rsid w:val="00C26F85"/>
    <w:rsid w:val="00C30288"/>
    <w:rsid w:val="00C30EFE"/>
    <w:rsid w:val="00C3143E"/>
    <w:rsid w:val="00C317F6"/>
    <w:rsid w:val="00C31EED"/>
    <w:rsid w:val="00C3203B"/>
    <w:rsid w:val="00C32111"/>
    <w:rsid w:val="00C327DB"/>
    <w:rsid w:val="00C32917"/>
    <w:rsid w:val="00C3296F"/>
    <w:rsid w:val="00C32B9E"/>
    <w:rsid w:val="00C32BC8"/>
    <w:rsid w:val="00C32D49"/>
    <w:rsid w:val="00C33571"/>
    <w:rsid w:val="00C33686"/>
    <w:rsid w:val="00C339A4"/>
    <w:rsid w:val="00C33D50"/>
    <w:rsid w:val="00C3474D"/>
    <w:rsid w:val="00C348E8"/>
    <w:rsid w:val="00C34D2A"/>
    <w:rsid w:val="00C35216"/>
    <w:rsid w:val="00C35715"/>
    <w:rsid w:val="00C35827"/>
    <w:rsid w:val="00C3587D"/>
    <w:rsid w:val="00C35C51"/>
    <w:rsid w:val="00C360F7"/>
    <w:rsid w:val="00C363C5"/>
    <w:rsid w:val="00C36D03"/>
    <w:rsid w:val="00C406F0"/>
    <w:rsid w:val="00C40925"/>
    <w:rsid w:val="00C41166"/>
    <w:rsid w:val="00C4150B"/>
    <w:rsid w:val="00C41557"/>
    <w:rsid w:val="00C420F3"/>
    <w:rsid w:val="00C42200"/>
    <w:rsid w:val="00C429ED"/>
    <w:rsid w:val="00C42E90"/>
    <w:rsid w:val="00C4325F"/>
    <w:rsid w:val="00C440B3"/>
    <w:rsid w:val="00C440F6"/>
    <w:rsid w:val="00C44298"/>
    <w:rsid w:val="00C452DC"/>
    <w:rsid w:val="00C458A4"/>
    <w:rsid w:val="00C46350"/>
    <w:rsid w:val="00C464F2"/>
    <w:rsid w:val="00C465FD"/>
    <w:rsid w:val="00C475F2"/>
    <w:rsid w:val="00C47B78"/>
    <w:rsid w:val="00C47F69"/>
    <w:rsid w:val="00C508A3"/>
    <w:rsid w:val="00C5121A"/>
    <w:rsid w:val="00C51535"/>
    <w:rsid w:val="00C5168F"/>
    <w:rsid w:val="00C51876"/>
    <w:rsid w:val="00C51A95"/>
    <w:rsid w:val="00C51BE1"/>
    <w:rsid w:val="00C5204A"/>
    <w:rsid w:val="00C52EFD"/>
    <w:rsid w:val="00C5304C"/>
    <w:rsid w:val="00C53215"/>
    <w:rsid w:val="00C532E5"/>
    <w:rsid w:val="00C539D5"/>
    <w:rsid w:val="00C53FD2"/>
    <w:rsid w:val="00C5474B"/>
    <w:rsid w:val="00C55904"/>
    <w:rsid w:val="00C55E22"/>
    <w:rsid w:val="00C55E97"/>
    <w:rsid w:val="00C55EDD"/>
    <w:rsid w:val="00C56628"/>
    <w:rsid w:val="00C56757"/>
    <w:rsid w:val="00C56B0B"/>
    <w:rsid w:val="00C5738C"/>
    <w:rsid w:val="00C579F0"/>
    <w:rsid w:val="00C57BD9"/>
    <w:rsid w:val="00C6031C"/>
    <w:rsid w:val="00C605CA"/>
    <w:rsid w:val="00C606D2"/>
    <w:rsid w:val="00C606FA"/>
    <w:rsid w:val="00C607E7"/>
    <w:rsid w:val="00C60D8D"/>
    <w:rsid w:val="00C616C3"/>
    <w:rsid w:val="00C6172D"/>
    <w:rsid w:val="00C61CC1"/>
    <w:rsid w:val="00C61CF5"/>
    <w:rsid w:val="00C61E1B"/>
    <w:rsid w:val="00C625A6"/>
    <w:rsid w:val="00C62AD0"/>
    <w:rsid w:val="00C62AED"/>
    <w:rsid w:val="00C62C80"/>
    <w:rsid w:val="00C62D79"/>
    <w:rsid w:val="00C634EF"/>
    <w:rsid w:val="00C636B1"/>
    <w:rsid w:val="00C63752"/>
    <w:rsid w:val="00C63BD7"/>
    <w:rsid w:val="00C63E02"/>
    <w:rsid w:val="00C647DA"/>
    <w:rsid w:val="00C65148"/>
    <w:rsid w:val="00C653BC"/>
    <w:rsid w:val="00C6552C"/>
    <w:rsid w:val="00C6576C"/>
    <w:rsid w:val="00C6613A"/>
    <w:rsid w:val="00C66B39"/>
    <w:rsid w:val="00C67355"/>
    <w:rsid w:val="00C678CE"/>
    <w:rsid w:val="00C67A90"/>
    <w:rsid w:val="00C67A91"/>
    <w:rsid w:val="00C702FE"/>
    <w:rsid w:val="00C70339"/>
    <w:rsid w:val="00C70F7D"/>
    <w:rsid w:val="00C71156"/>
    <w:rsid w:val="00C71768"/>
    <w:rsid w:val="00C71E46"/>
    <w:rsid w:val="00C72171"/>
    <w:rsid w:val="00C72C7C"/>
    <w:rsid w:val="00C72E61"/>
    <w:rsid w:val="00C73224"/>
    <w:rsid w:val="00C735C4"/>
    <w:rsid w:val="00C73A83"/>
    <w:rsid w:val="00C73F83"/>
    <w:rsid w:val="00C74633"/>
    <w:rsid w:val="00C74812"/>
    <w:rsid w:val="00C74823"/>
    <w:rsid w:val="00C74C24"/>
    <w:rsid w:val="00C753D9"/>
    <w:rsid w:val="00C75525"/>
    <w:rsid w:val="00C759D7"/>
    <w:rsid w:val="00C75A23"/>
    <w:rsid w:val="00C75FC3"/>
    <w:rsid w:val="00C765F6"/>
    <w:rsid w:val="00C771B3"/>
    <w:rsid w:val="00C7742E"/>
    <w:rsid w:val="00C77923"/>
    <w:rsid w:val="00C77A72"/>
    <w:rsid w:val="00C77AE8"/>
    <w:rsid w:val="00C81066"/>
    <w:rsid w:val="00C81551"/>
    <w:rsid w:val="00C821BE"/>
    <w:rsid w:val="00C82279"/>
    <w:rsid w:val="00C82283"/>
    <w:rsid w:val="00C833AF"/>
    <w:rsid w:val="00C842ED"/>
    <w:rsid w:val="00C84421"/>
    <w:rsid w:val="00C84C1B"/>
    <w:rsid w:val="00C84E50"/>
    <w:rsid w:val="00C85789"/>
    <w:rsid w:val="00C860F1"/>
    <w:rsid w:val="00C861C1"/>
    <w:rsid w:val="00C8633F"/>
    <w:rsid w:val="00C8635B"/>
    <w:rsid w:val="00C864AB"/>
    <w:rsid w:val="00C86D26"/>
    <w:rsid w:val="00C86F3B"/>
    <w:rsid w:val="00C87529"/>
    <w:rsid w:val="00C87879"/>
    <w:rsid w:val="00C903AE"/>
    <w:rsid w:val="00C90528"/>
    <w:rsid w:val="00C90779"/>
    <w:rsid w:val="00C9095F"/>
    <w:rsid w:val="00C90960"/>
    <w:rsid w:val="00C90E82"/>
    <w:rsid w:val="00C90EC2"/>
    <w:rsid w:val="00C9113B"/>
    <w:rsid w:val="00C91C2E"/>
    <w:rsid w:val="00C92003"/>
    <w:rsid w:val="00C9223A"/>
    <w:rsid w:val="00C928F5"/>
    <w:rsid w:val="00C929E1"/>
    <w:rsid w:val="00C92D27"/>
    <w:rsid w:val="00C93052"/>
    <w:rsid w:val="00C9365D"/>
    <w:rsid w:val="00C937E9"/>
    <w:rsid w:val="00C93C25"/>
    <w:rsid w:val="00C94324"/>
    <w:rsid w:val="00C944F8"/>
    <w:rsid w:val="00C94A91"/>
    <w:rsid w:val="00C94AB9"/>
    <w:rsid w:val="00C954EA"/>
    <w:rsid w:val="00C95C38"/>
    <w:rsid w:val="00C95CBF"/>
    <w:rsid w:val="00C95DD9"/>
    <w:rsid w:val="00C96233"/>
    <w:rsid w:val="00C96390"/>
    <w:rsid w:val="00C9643E"/>
    <w:rsid w:val="00C964FB"/>
    <w:rsid w:val="00C97079"/>
    <w:rsid w:val="00CA027A"/>
    <w:rsid w:val="00CA06B6"/>
    <w:rsid w:val="00CA07F7"/>
    <w:rsid w:val="00CA0BA5"/>
    <w:rsid w:val="00CA27FA"/>
    <w:rsid w:val="00CA27FB"/>
    <w:rsid w:val="00CA3301"/>
    <w:rsid w:val="00CA34E5"/>
    <w:rsid w:val="00CA34EF"/>
    <w:rsid w:val="00CA3B9E"/>
    <w:rsid w:val="00CA3E7F"/>
    <w:rsid w:val="00CA4279"/>
    <w:rsid w:val="00CA5383"/>
    <w:rsid w:val="00CA5422"/>
    <w:rsid w:val="00CA5905"/>
    <w:rsid w:val="00CA5D97"/>
    <w:rsid w:val="00CA5E2E"/>
    <w:rsid w:val="00CA6196"/>
    <w:rsid w:val="00CA659B"/>
    <w:rsid w:val="00CA6789"/>
    <w:rsid w:val="00CA69F4"/>
    <w:rsid w:val="00CA746C"/>
    <w:rsid w:val="00CA7A65"/>
    <w:rsid w:val="00CA7F6F"/>
    <w:rsid w:val="00CA7F83"/>
    <w:rsid w:val="00CB006B"/>
    <w:rsid w:val="00CB0763"/>
    <w:rsid w:val="00CB0990"/>
    <w:rsid w:val="00CB09B0"/>
    <w:rsid w:val="00CB0D2C"/>
    <w:rsid w:val="00CB16F6"/>
    <w:rsid w:val="00CB1A09"/>
    <w:rsid w:val="00CB1AE5"/>
    <w:rsid w:val="00CB1DA6"/>
    <w:rsid w:val="00CB21D2"/>
    <w:rsid w:val="00CB25DF"/>
    <w:rsid w:val="00CB2F24"/>
    <w:rsid w:val="00CB3474"/>
    <w:rsid w:val="00CB347B"/>
    <w:rsid w:val="00CB37BC"/>
    <w:rsid w:val="00CB3CDA"/>
    <w:rsid w:val="00CB3D54"/>
    <w:rsid w:val="00CB3EB7"/>
    <w:rsid w:val="00CB3F03"/>
    <w:rsid w:val="00CB4301"/>
    <w:rsid w:val="00CB4319"/>
    <w:rsid w:val="00CB4CEF"/>
    <w:rsid w:val="00CB50FB"/>
    <w:rsid w:val="00CB5480"/>
    <w:rsid w:val="00CB59B8"/>
    <w:rsid w:val="00CB6A22"/>
    <w:rsid w:val="00CB6D51"/>
    <w:rsid w:val="00CB6E71"/>
    <w:rsid w:val="00CB6F9E"/>
    <w:rsid w:val="00CB70E2"/>
    <w:rsid w:val="00CB7511"/>
    <w:rsid w:val="00CB76AF"/>
    <w:rsid w:val="00CB7C4F"/>
    <w:rsid w:val="00CB7F3D"/>
    <w:rsid w:val="00CC014C"/>
    <w:rsid w:val="00CC02E9"/>
    <w:rsid w:val="00CC09A7"/>
    <w:rsid w:val="00CC0E38"/>
    <w:rsid w:val="00CC0E58"/>
    <w:rsid w:val="00CC1AAC"/>
    <w:rsid w:val="00CC21F0"/>
    <w:rsid w:val="00CC274F"/>
    <w:rsid w:val="00CC28BC"/>
    <w:rsid w:val="00CC3124"/>
    <w:rsid w:val="00CC320E"/>
    <w:rsid w:val="00CC3245"/>
    <w:rsid w:val="00CC324B"/>
    <w:rsid w:val="00CC3691"/>
    <w:rsid w:val="00CC36E7"/>
    <w:rsid w:val="00CC3F6E"/>
    <w:rsid w:val="00CC4525"/>
    <w:rsid w:val="00CC4933"/>
    <w:rsid w:val="00CC5F41"/>
    <w:rsid w:val="00CC6A25"/>
    <w:rsid w:val="00CC6CD2"/>
    <w:rsid w:val="00CC76C2"/>
    <w:rsid w:val="00CC7B0F"/>
    <w:rsid w:val="00CC7D02"/>
    <w:rsid w:val="00CD01DB"/>
    <w:rsid w:val="00CD094C"/>
    <w:rsid w:val="00CD0B40"/>
    <w:rsid w:val="00CD0B60"/>
    <w:rsid w:val="00CD1004"/>
    <w:rsid w:val="00CD12E5"/>
    <w:rsid w:val="00CD134C"/>
    <w:rsid w:val="00CD19ED"/>
    <w:rsid w:val="00CD1B01"/>
    <w:rsid w:val="00CD1CEA"/>
    <w:rsid w:val="00CD1DE3"/>
    <w:rsid w:val="00CD1EFB"/>
    <w:rsid w:val="00CD1F8F"/>
    <w:rsid w:val="00CD2403"/>
    <w:rsid w:val="00CD2E05"/>
    <w:rsid w:val="00CD313B"/>
    <w:rsid w:val="00CD33C9"/>
    <w:rsid w:val="00CD3A32"/>
    <w:rsid w:val="00CD3A9F"/>
    <w:rsid w:val="00CD3BE7"/>
    <w:rsid w:val="00CD3F15"/>
    <w:rsid w:val="00CD445B"/>
    <w:rsid w:val="00CD4B54"/>
    <w:rsid w:val="00CD4C92"/>
    <w:rsid w:val="00CD5143"/>
    <w:rsid w:val="00CD52B5"/>
    <w:rsid w:val="00CD5DD3"/>
    <w:rsid w:val="00CD6209"/>
    <w:rsid w:val="00CD65E7"/>
    <w:rsid w:val="00CD682C"/>
    <w:rsid w:val="00CD6833"/>
    <w:rsid w:val="00CD6D00"/>
    <w:rsid w:val="00CD711D"/>
    <w:rsid w:val="00CD718B"/>
    <w:rsid w:val="00CD71E3"/>
    <w:rsid w:val="00CE030F"/>
    <w:rsid w:val="00CE0473"/>
    <w:rsid w:val="00CE0591"/>
    <w:rsid w:val="00CE05A9"/>
    <w:rsid w:val="00CE064D"/>
    <w:rsid w:val="00CE0943"/>
    <w:rsid w:val="00CE0EC7"/>
    <w:rsid w:val="00CE128F"/>
    <w:rsid w:val="00CE2FB2"/>
    <w:rsid w:val="00CE3F2A"/>
    <w:rsid w:val="00CE4A9E"/>
    <w:rsid w:val="00CE4D7C"/>
    <w:rsid w:val="00CE5010"/>
    <w:rsid w:val="00CE50D0"/>
    <w:rsid w:val="00CE5F0A"/>
    <w:rsid w:val="00CE614D"/>
    <w:rsid w:val="00CE61A3"/>
    <w:rsid w:val="00CE61D1"/>
    <w:rsid w:val="00CE66A4"/>
    <w:rsid w:val="00CE6BD5"/>
    <w:rsid w:val="00CE6BDE"/>
    <w:rsid w:val="00CE6D0D"/>
    <w:rsid w:val="00CE7416"/>
    <w:rsid w:val="00CE7471"/>
    <w:rsid w:val="00CE762B"/>
    <w:rsid w:val="00CE76B4"/>
    <w:rsid w:val="00CE79F3"/>
    <w:rsid w:val="00CE7AAA"/>
    <w:rsid w:val="00CF0CAE"/>
    <w:rsid w:val="00CF2320"/>
    <w:rsid w:val="00CF25D6"/>
    <w:rsid w:val="00CF38C2"/>
    <w:rsid w:val="00CF404B"/>
    <w:rsid w:val="00CF5074"/>
    <w:rsid w:val="00CF5CEB"/>
    <w:rsid w:val="00CF65DF"/>
    <w:rsid w:val="00CF6822"/>
    <w:rsid w:val="00CF6A32"/>
    <w:rsid w:val="00CF6EA0"/>
    <w:rsid w:val="00CF7266"/>
    <w:rsid w:val="00CF799A"/>
    <w:rsid w:val="00CF7B19"/>
    <w:rsid w:val="00CF7EB4"/>
    <w:rsid w:val="00D00533"/>
    <w:rsid w:val="00D00D80"/>
    <w:rsid w:val="00D0103C"/>
    <w:rsid w:val="00D013A5"/>
    <w:rsid w:val="00D01659"/>
    <w:rsid w:val="00D0167A"/>
    <w:rsid w:val="00D019BD"/>
    <w:rsid w:val="00D01C0A"/>
    <w:rsid w:val="00D01E95"/>
    <w:rsid w:val="00D02288"/>
    <w:rsid w:val="00D025A0"/>
    <w:rsid w:val="00D028C3"/>
    <w:rsid w:val="00D0294C"/>
    <w:rsid w:val="00D02FFE"/>
    <w:rsid w:val="00D0371E"/>
    <w:rsid w:val="00D038FF"/>
    <w:rsid w:val="00D03BA3"/>
    <w:rsid w:val="00D03CB6"/>
    <w:rsid w:val="00D03D9B"/>
    <w:rsid w:val="00D03F95"/>
    <w:rsid w:val="00D04975"/>
    <w:rsid w:val="00D050C3"/>
    <w:rsid w:val="00D05172"/>
    <w:rsid w:val="00D05359"/>
    <w:rsid w:val="00D05C95"/>
    <w:rsid w:val="00D062E5"/>
    <w:rsid w:val="00D064C3"/>
    <w:rsid w:val="00D06E01"/>
    <w:rsid w:val="00D0706F"/>
    <w:rsid w:val="00D10504"/>
    <w:rsid w:val="00D10E5C"/>
    <w:rsid w:val="00D115AD"/>
    <w:rsid w:val="00D11A00"/>
    <w:rsid w:val="00D11AC7"/>
    <w:rsid w:val="00D11BB9"/>
    <w:rsid w:val="00D1267A"/>
    <w:rsid w:val="00D12755"/>
    <w:rsid w:val="00D12B44"/>
    <w:rsid w:val="00D12DB4"/>
    <w:rsid w:val="00D1395A"/>
    <w:rsid w:val="00D13E1E"/>
    <w:rsid w:val="00D13E6F"/>
    <w:rsid w:val="00D13F92"/>
    <w:rsid w:val="00D144E7"/>
    <w:rsid w:val="00D1482F"/>
    <w:rsid w:val="00D14C82"/>
    <w:rsid w:val="00D151B0"/>
    <w:rsid w:val="00D1562D"/>
    <w:rsid w:val="00D15896"/>
    <w:rsid w:val="00D15CCB"/>
    <w:rsid w:val="00D16109"/>
    <w:rsid w:val="00D1636C"/>
    <w:rsid w:val="00D16572"/>
    <w:rsid w:val="00D169FC"/>
    <w:rsid w:val="00D16A68"/>
    <w:rsid w:val="00D16B5F"/>
    <w:rsid w:val="00D16C3A"/>
    <w:rsid w:val="00D17AFF"/>
    <w:rsid w:val="00D20318"/>
    <w:rsid w:val="00D20887"/>
    <w:rsid w:val="00D20D79"/>
    <w:rsid w:val="00D20DBD"/>
    <w:rsid w:val="00D20E1F"/>
    <w:rsid w:val="00D21085"/>
    <w:rsid w:val="00D21614"/>
    <w:rsid w:val="00D21E13"/>
    <w:rsid w:val="00D2334C"/>
    <w:rsid w:val="00D23414"/>
    <w:rsid w:val="00D23561"/>
    <w:rsid w:val="00D23B74"/>
    <w:rsid w:val="00D23C77"/>
    <w:rsid w:val="00D24409"/>
    <w:rsid w:val="00D250CB"/>
    <w:rsid w:val="00D25683"/>
    <w:rsid w:val="00D25D20"/>
    <w:rsid w:val="00D25EFE"/>
    <w:rsid w:val="00D261CC"/>
    <w:rsid w:val="00D263EB"/>
    <w:rsid w:val="00D2683B"/>
    <w:rsid w:val="00D27470"/>
    <w:rsid w:val="00D27CA8"/>
    <w:rsid w:val="00D30524"/>
    <w:rsid w:val="00D30D50"/>
    <w:rsid w:val="00D31012"/>
    <w:rsid w:val="00D31CF5"/>
    <w:rsid w:val="00D31EC4"/>
    <w:rsid w:val="00D31F4F"/>
    <w:rsid w:val="00D321A4"/>
    <w:rsid w:val="00D326BB"/>
    <w:rsid w:val="00D32CB7"/>
    <w:rsid w:val="00D33906"/>
    <w:rsid w:val="00D33944"/>
    <w:rsid w:val="00D33A50"/>
    <w:rsid w:val="00D33DB1"/>
    <w:rsid w:val="00D348E3"/>
    <w:rsid w:val="00D34925"/>
    <w:rsid w:val="00D34D7F"/>
    <w:rsid w:val="00D34F27"/>
    <w:rsid w:val="00D34FA3"/>
    <w:rsid w:val="00D35062"/>
    <w:rsid w:val="00D355C6"/>
    <w:rsid w:val="00D35E8D"/>
    <w:rsid w:val="00D36297"/>
    <w:rsid w:val="00D36504"/>
    <w:rsid w:val="00D36845"/>
    <w:rsid w:val="00D36CFC"/>
    <w:rsid w:val="00D378E4"/>
    <w:rsid w:val="00D40837"/>
    <w:rsid w:val="00D4152D"/>
    <w:rsid w:val="00D418C5"/>
    <w:rsid w:val="00D42C49"/>
    <w:rsid w:val="00D431D7"/>
    <w:rsid w:val="00D431E0"/>
    <w:rsid w:val="00D436E2"/>
    <w:rsid w:val="00D43CE4"/>
    <w:rsid w:val="00D44478"/>
    <w:rsid w:val="00D44930"/>
    <w:rsid w:val="00D44C45"/>
    <w:rsid w:val="00D44DAC"/>
    <w:rsid w:val="00D44DCA"/>
    <w:rsid w:val="00D4549F"/>
    <w:rsid w:val="00D45BF5"/>
    <w:rsid w:val="00D45FEA"/>
    <w:rsid w:val="00D467E9"/>
    <w:rsid w:val="00D47217"/>
    <w:rsid w:val="00D474B3"/>
    <w:rsid w:val="00D47E59"/>
    <w:rsid w:val="00D47F18"/>
    <w:rsid w:val="00D50379"/>
    <w:rsid w:val="00D508CF"/>
    <w:rsid w:val="00D50CAD"/>
    <w:rsid w:val="00D51367"/>
    <w:rsid w:val="00D514BE"/>
    <w:rsid w:val="00D5237D"/>
    <w:rsid w:val="00D525EF"/>
    <w:rsid w:val="00D530AE"/>
    <w:rsid w:val="00D534A8"/>
    <w:rsid w:val="00D5368B"/>
    <w:rsid w:val="00D536C2"/>
    <w:rsid w:val="00D5489A"/>
    <w:rsid w:val="00D54A38"/>
    <w:rsid w:val="00D54A6B"/>
    <w:rsid w:val="00D54DCE"/>
    <w:rsid w:val="00D55110"/>
    <w:rsid w:val="00D555CE"/>
    <w:rsid w:val="00D559DA"/>
    <w:rsid w:val="00D55A94"/>
    <w:rsid w:val="00D55ABF"/>
    <w:rsid w:val="00D5604F"/>
    <w:rsid w:val="00D5610B"/>
    <w:rsid w:val="00D562A2"/>
    <w:rsid w:val="00D56547"/>
    <w:rsid w:val="00D570E6"/>
    <w:rsid w:val="00D5722C"/>
    <w:rsid w:val="00D57276"/>
    <w:rsid w:val="00D57898"/>
    <w:rsid w:val="00D579CD"/>
    <w:rsid w:val="00D605B2"/>
    <w:rsid w:val="00D60898"/>
    <w:rsid w:val="00D60A16"/>
    <w:rsid w:val="00D60FDD"/>
    <w:rsid w:val="00D61A70"/>
    <w:rsid w:val="00D61B39"/>
    <w:rsid w:val="00D61BC4"/>
    <w:rsid w:val="00D61E76"/>
    <w:rsid w:val="00D62037"/>
    <w:rsid w:val="00D62089"/>
    <w:rsid w:val="00D6247C"/>
    <w:rsid w:val="00D62ACB"/>
    <w:rsid w:val="00D62EB6"/>
    <w:rsid w:val="00D645E1"/>
    <w:rsid w:val="00D646F8"/>
    <w:rsid w:val="00D64B8D"/>
    <w:rsid w:val="00D663B8"/>
    <w:rsid w:val="00D673E5"/>
    <w:rsid w:val="00D67506"/>
    <w:rsid w:val="00D67CFB"/>
    <w:rsid w:val="00D67F23"/>
    <w:rsid w:val="00D709B9"/>
    <w:rsid w:val="00D70A96"/>
    <w:rsid w:val="00D70B33"/>
    <w:rsid w:val="00D70BE2"/>
    <w:rsid w:val="00D712D0"/>
    <w:rsid w:val="00D716EB"/>
    <w:rsid w:val="00D71DEF"/>
    <w:rsid w:val="00D7230F"/>
    <w:rsid w:val="00D726F2"/>
    <w:rsid w:val="00D72CFE"/>
    <w:rsid w:val="00D72D66"/>
    <w:rsid w:val="00D738AD"/>
    <w:rsid w:val="00D73C93"/>
    <w:rsid w:val="00D742B8"/>
    <w:rsid w:val="00D749D7"/>
    <w:rsid w:val="00D75035"/>
    <w:rsid w:val="00D750B2"/>
    <w:rsid w:val="00D754E0"/>
    <w:rsid w:val="00D7572D"/>
    <w:rsid w:val="00D76130"/>
    <w:rsid w:val="00D76263"/>
    <w:rsid w:val="00D77B0D"/>
    <w:rsid w:val="00D77D4F"/>
    <w:rsid w:val="00D801AD"/>
    <w:rsid w:val="00D805F0"/>
    <w:rsid w:val="00D80A1A"/>
    <w:rsid w:val="00D80EA4"/>
    <w:rsid w:val="00D81063"/>
    <w:rsid w:val="00D814F3"/>
    <w:rsid w:val="00D81E7B"/>
    <w:rsid w:val="00D81EC3"/>
    <w:rsid w:val="00D82385"/>
    <w:rsid w:val="00D8248D"/>
    <w:rsid w:val="00D82780"/>
    <w:rsid w:val="00D82B6A"/>
    <w:rsid w:val="00D82D51"/>
    <w:rsid w:val="00D839A0"/>
    <w:rsid w:val="00D83FC5"/>
    <w:rsid w:val="00D849CC"/>
    <w:rsid w:val="00D84A1C"/>
    <w:rsid w:val="00D84D00"/>
    <w:rsid w:val="00D853A5"/>
    <w:rsid w:val="00D85572"/>
    <w:rsid w:val="00D8585F"/>
    <w:rsid w:val="00D8604B"/>
    <w:rsid w:val="00D86491"/>
    <w:rsid w:val="00D869B2"/>
    <w:rsid w:val="00D870A8"/>
    <w:rsid w:val="00D87234"/>
    <w:rsid w:val="00D87D9A"/>
    <w:rsid w:val="00D87E49"/>
    <w:rsid w:val="00D90118"/>
    <w:rsid w:val="00D90BB1"/>
    <w:rsid w:val="00D912AE"/>
    <w:rsid w:val="00D914F3"/>
    <w:rsid w:val="00D915F0"/>
    <w:rsid w:val="00D91823"/>
    <w:rsid w:val="00D92205"/>
    <w:rsid w:val="00D92210"/>
    <w:rsid w:val="00D927CF"/>
    <w:rsid w:val="00D92FB1"/>
    <w:rsid w:val="00D936BE"/>
    <w:rsid w:val="00D94ED0"/>
    <w:rsid w:val="00D95247"/>
    <w:rsid w:val="00D955C7"/>
    <w:rsid w:val="00D95977"/>
    <w:rsid w:val="00D95B2A"/>
    <w:rsid w:val="00D95CF2"/>
    <w:rsid w:val="00D95DDF"/>
    <w:rsid w:val="00D96541"/>
    <w:rsid w:val="00D969A4"/>
    <w:rsid w:val="00D96EBD"/>
    <w:rsid w:val="00D97E48"/>
    <w:rsid w:val="00DA00BF"/>
    <w:rsid w:val="00DA0652"/>
    <w:rsid w:val="00DA0E22"/>
    <w:rsid w:val="00DA1701"/>
    <w:rsid w:val="00DA1A44"/>
    <w:rsid w:val="00DA1A82"/>
    <w:rsid w:val="00DA1B75"/>
    <w:rsid w:val="00DA22C1"/>
    <w:rsid w:val="00DA2340"/>
    <w:rsid w:val="00DA270E"/>
    <w:rsid w:val="00DA297E"/>
    <w:rsid w:val="00DA39F5"/>
    <w:rsid w:val="00DA3AEE"/>
    <w:rsid w:val="00DA3D2D"/>
    <w:rsid w:val="00DA412E"/>
    <w:rsid w:val="00DA44FF"/>
    <w:rsid w:val="00DA47F0"/>
    <w:rsid w:val="00DA5A1A"/>
    <w:rsid w:val="00DA5A37"/>
    <w:rsid w:val="00DA5FDB"/>
    <w:rsid w:val="00DA6151"/>
    <w:rsid w:val="00DA6224"/>
    <w:rsid w:val="00DA6710"/>
    <w:rsid w:val="00DA6B0A"/>
    <w:rsid w:val="00DA6D5D"/>
    <w:rsid w:val="00DA6F8B"/>
    <w:rsid w:val="00DA70B0"/>
    <w:rsid w:val="00DA7CB8"/>
    <w:rsid w:val="00DA7D94"/>
    <w:rsid w:val="00DB0376"/>
    <w:rsid w:val="00DB04F5"/>
    <w:rsid w:val="00DB0514"/>
    <w:rsid w:val="00DB0612"/>
    <w:rsid w:val="00DB06BA"/>
    <w:rsid w:val="00DB0951"/>
    <w:rsid w:val="00DB0A49"/>
    <w:rsid w:val="00DB0D44"/>
    <w:rsid w:val="00DB0F68"/>
    <w:rsid w:val="00DB1F1B"/>
    <w:rsid w:val="00DB22D4"/>
    <w:rsid w:val="00DB253E"/>
    <w:rsid w:val="00DB2B10"/>
    <w:rsid w:val="00DB2FFF"/>
    <w:rsid w:val="00DB3378"/>
    <w:rsid w:val="00DB3FF8"/>
    <w:rsid w:val="00DB402B"/>
    <w:rsid w:val="00DB6B2C"/>
    <w:rsid w:val="00DB6FF0"/>
    <w:rsid w:val="00DB70E2"/>
    <w:rsid w:val="00DB7254"/>
    <w:rsid w:val="00DB7B4E"/>
    <w:rsid w:val="00DB7E5A"/>
    <w:rsid w:val="00DC000D"/>
    <w:rsid w:val="00DC0299"/>
    <w:rsid w:val="00DC04C2"/>
    <w:rsid w:val="00DC0763"/>
    <w:rsid w:val="00DC07E4"/>
    <w:rsid w:val="00DC09FE"/>
    <w:rsid w:val="00DC0A71"/>
    <w:rsid w:val="00DC0BC6"/>
    <w:rsid w:val="00DC1148"/>
    <w:rsid w:val="00DC1353"/>
    <w:rsid w:val="00DC1BFE"/>
    <w:rsid w:val="00DC20A5"/>
    <w:rsid w:val="00DC25B8"/>
    <w:rsid w:val="00DC272E"/>
    <w:rsid w:val="00DC27F1"/>
    <w:rsid w:val="00DC281C"/>
    <w:rsid w:val="00DC284C"/>
    <w:rsid w:val="00DC29A8"/>
    <w:rsid w:val="00DC2EA8"/>
    <w:rsid w:val="00DC2F1B"/>
    <w:rsid w:val="00DC2F6B"/>
    <w:rsid w:val="00DC3103"/>
    <w:rsid w:val="00DC33C8"/>
    <w:rsid w:val="00DC3A62"/>
    <w:rsid w:val="00DC4021"/>
    <w:rsid w:val="00DC4198"/>
    <w:rsid w:val="00DC437A"/>
    <w:rsid w:val="00DC4403"/>
    <w:rsid w:val="00DC4E8A"/>
    <w:rsid w:val="00DC4E97"/>
    <w:rsid w:val="00DC512C"/>
    <w:rsid w:val="00DC51E8"/>
    <w:rsid w:val="00DC5695"/>
    <w:rsid w:val="00DC597B"/>
    <w:rsid w:val="00DC5AEE"/>
    <w:rsid w:val="00DC5FD6"/>
    <w:rsid w:val="00DC60B5"/>
    <w:rsid w:val="00DC6523"/>
    <w:rsid w:val="00DC6548"/>
    <w:rsid w:val="00DC6CDF"/>
    <w:rsid w:val="00DC6F56"/>
    <w:rsid w:val="00DC78CB"/>
    <w:rsid w:val="00DC7BA4"/>
    <w:rsid w:val="00DC7CEA"/>
    <w:rsid w:val="00DD03EE"/>
    <w:rsid w:val="00DD04DD"/>
    <w:rsid w:val="00DD0914"/>
    <w:rsid w:val="00DD0AC0"/>
    <w:rsid w:val="00DD0F69"/>
    <w:rsid w:val="00DD107F"/>
    <w:rsid w:val="00DD1179"/>
    <w:rsid w:val="00DD158B"/>
    <w:rsid w:val="00DD1A3C"/>
    <w:rsid w:val="00DD23AE"/>
    <w:rsid w:val="00DD25E6"/>
    <w:rsid w:val="00DD2F4C"/>
    <w:rsid w:val="00DD34E2"/>
    <w:rsid w:val="00DD3923"/>
    <w:rsid w:val="00DD423C"/>
    <w:rsid w:val="00DD49E4"/>
    <w:rsid w:val="00DD4B65"/>
    <w:rsid w:val="00DD4C81"/>
    <w:rsid w:val="00DD4D6C"/>
    <w:rsid w:val="00DD59A1"/>
    <w:rsid w:val="00DD6457"/>
    <w:rsid w:val="00DD6761"/>
    <w:rsid w:val="00DD6B48"/>
    <w:rsid w:val="00DD6D62"/>
    <w:rsid w:val="00DD6FFF"/>
    <w:rsid w:val="00DD76CC"/>
    <w:rsid w:val="00DD7990"/>
    <w:rsid w:val="00DD79A6"/>
    <w:rsid w:val="00DE0960"/>
    <w:rsid w:val="00DE0FEC"/>
    <w:rsid w:val="00DE16B2"/>
    <w:rsid w:val="00DE1C88"/>
    <w:rsid w:val="00DE1FB4"/>
    <w:rsid w:val="00DE25E0"/>
    <w:rsid w:val="00DE31D7"/>
    <w:rsid w:val="00DE3242"/>
    <w:rsid w:val="00DE357C"/>
    <w:rsid w:val="00DE379F"/>
    <w:rsid w:val="00DE3F8D"/>
    <w:rsid w:val="00DE4134"/>
    <w:rsid w:val="00DE444B"/>
    <w:rsid w:val="00DE45EC"/>
    <w:rsid w:val="00DE49BE"/>
    <w:rsid w:val="00DE4BAA"/>
    <w:rsid w:val="00DE511A"/>
    <w:rsid w:val="00DE5195"/>
    <w:rsid w:val="00DE5C18"/>
    <w:rsid w:val="00DE6142"/>
    <w:rsid w:val="00DE63F8"/>
    <w:rsid w:val="00DE6B56"/>
    <w:rsid w:val="00DE7516"/>
    <w:rsid w:val="00DE76D5"/>
    <w:rsid w:val="00DE7DD9"/>
    <w:rsid w:val="00DF0690"/>
    <w:rsid w:val="00DF072C"/>
    <w:rsid w:val="00DF09F1"/>
    <w:rsid w:val="00DF0AC6"/>
    <w:rsid w:val="00DF1392"/>
    <w:rsid w:val="00DF210B"/>
    <w:rsid w:val="00DF210F"/>
    <w:rsid w:val="00DF238B"/>
    <w:rsid w:val="00DF23EE"/>
    <w:rsid w:val="00DF2943"/>
    <w:rsid w:val="00DF2F9A"/>
    <w:rsid w:val="00DF312F"/>
    <w:rsid w:val="00DF3841"/>
    <w:rsid w:val="00DF38B4"/>
    <w:rsid w:val="00DF3E29"/>
    <w:rsid w:val="00DF416F"/>
    <w:rsid w:val="00DF5802"/>
    <w:rsid w:val="00DF601C"/>
    <w:rsid w:val="00DF6182"/>
    <w:rsid w:val="00DF66BD"/>
    <w:rsid w:val="00DF68ED"/>
    <w:rsid w:val="00DF7504"/>
    <w:rsid w:val="00DF7EA8"/>
    <w:rsid w:val="00E00942"/>
    <w:rsid w:val="00E00C06"/>
    <w:rsid w:val="00E01807"/>
    <w:rsid w:val="00E019F9"/>
    <w:rsid w:val="00E01F73"/>
    <w:rsid w:val="00E020E8"/>
    <w:rsid w:val="00E0239A"/>
    <w:rsid w:val="00E02867"/>
    <w:rsid w:val="00E028A5"/>
    <w:rsid w:val="00E028AB"/>
    <w:rsid w:val="00E02918"/>
    <w:rsid w:val="00E02D74"/>
    <w:rsid w:val="00E038EF"/>
    <w:rsid w:val="00E039BE"/>
    <w:rsid w:val="00E04325"/>
    <w:rsid w:val="00E046F9"/>
    <w:rsid w:val="00E0537C"/>
    <w:rsid w:val="00E0551F"/>
    <w:rsid w:val="00E0657C"/>
    <w:rsid w:val="00E07269"/>
    <w:rsid w:val="00E0743B"/>
    <w:rsid w:val="00E076D7"/>
    <w:rsid w:val="00E10703"/>
    <w:rsid w:val="00E10965"/>
    <w:rsid w:val="00E113BC"/>
    <w:rsid w:val="00E119B3"/>
    <w:rsid w:val="00E11B3A"/>
    <w:rsid w:val="00E12BCA"/>
    <w:rsid w:val="00E12E64"/>
    <w:rsid w:val="00E12F74"/>
    <w:rsid w:val="00E1353B"/>
    <w:rsid w:val="00E140F4"/>
    <w:rsid w:val="00E141E8"/>
    <w:rsid w:val="00E148BD"/>
    <w:rsid w:val="00E15713"/>
    <w:rsid w:val="00E157C1"/>
    <w:rsid w:val="00E15AF3"/>
    <w:rsid w:val="00E15E08"/>
    <w:rsid w:val="00E15E27"/>
    <w:rsid w:val="00E163AE"/>
    <w:rsid w:val="00E16D0A"/>
    <w:rsid w:val="00E16E64"/>
    <w:rsid w:val="00E17256"/>
    <w:rsid w:val="00E17463"/>
    <w:rsid w:val="00E1783B"/>
    <w:rsid w:val="00E17F61"/>
    <w:rsid w:val="00E17FED"/>
    <w:rsid w:val="00E20556"/>
    <w:rsid w:val="00E214DF"/>
    <w:rsid w:val="00E21C8D"/>
    <w:rsid w:val="00E21CB2"/>
    <w:rsid w:val="00E21F6F"/>
    <w:rsid w:val="00E222CC"/>
    <w:rsid w:val="00E23636"/>
    <w:rsid w:val="00E23683"/>
    <w:rsid w:val="00E236C3"/>
    <w:rsid w:val="00E236F6"/>
    <w:rsid w:val="00E23828"/>
    <w:rsid w:val="00E23AEC"/>
    <w:rsid w:val="00E23EA8"/>
    <w:rsid w:val="00E243A4"/>
    <w:rsid w:val="00E245F2"/>
    <w:rsid w:val="00E24839"/>
    <w:rsid w:val="00E25DC0"/>
    <w:rsid w:val="00E26105"/>
    <w:rsid w:val="00E265A5"/>
    <w:rsid w:val="00E26862"/>
    <w:rsid w:val="00E26C9F"/>
    <w:rsid w:val="00E27941"/>
    <w:rsid w:val="00E27F58"/>
    <w:rsid w:val="00E300AB"/>
    <w:rsid w:val="00E30559"/>
    <w:rsid w:val="00E307C0"/>
    <w:rsid w:val="00E30BEA"/>
    <w:rsid w:val="00E311B9"/>
    <w:rsid w:val="00E316B1"/>
    <w:rsid w:val="00E31D8D"/>
    <w:rsid w:val="00E32050"/>
    <w:rsid w:val="00E3231D"/>
    <w:rsid w:val="00E3395F"/>
    <w:rsid w:val="00E3399D"/>
    <w:rsid w:val="00E34686"/>
    <w:rsid w:val="00E34FC4"/>
    <w:rsid w:val="00E35710"/>
    <w:rsid w:val="00E358C1"/>
    <w:rsid w:val="00E35E60"/>
    <w:rsid w:val="00E35FFD"/>
    <w:rsid w:val="00E366BE"/>
    <w:rsid w:val="00E37289"/>
    <w:rsid w:val="00E37C55"/>
    <w:rsid w:val="00E40157"/>
    <w:rsid w:val="00E4031A"/>
    <w:rsid w:val="00E40432"/>
    <w:rsid w:val="00E40F67"/>
    <w:rsid w:val="00E41117"/>
    <w:rsid w:val="00E41256"/>
    <w:rsid w:val="00E415AA"/>
    <w:rsid w:val="00E42743"/>
    <w:rsid w:val="00E4298A"/>
    <w:rsid w:val="00E429D7"/>
    <w:rsid w:val="00E429E2"/>
    <w:rsid w:val="00E42FE9"/>
    <w:rsid w:val="00E42FEF"/>
    <w:rsid w:val="00E43C00"/>
    <w:rsid w:val="00E43FA6"/>
    <w:rsid w:val="00E449AE"/>
    <w:rsid w:val="00E464B2"/>
    <w:rsid w:val="00E4685F"/>
    <w:rsid w:val="00E47521"/>
    <w:rsid w:val="00E47A48"/>
    <w:rsid w:val="00E47B5C"/>
    <w:rsid w:val="00E47E7D"/>
    <w:rsid w:val="00E5002F"/>
    <w:rsid w:val="00E50C6B"/>
    <w:rsid w:val="00E50E93"/>
    <w:rsid w:val="00E51079"/>
    <w:rsid w:val="00E51193"/>
    <w:rsid w:val="00E518CA"/>
    <w:rsid w:val="00E5194B"/>
    <w:rsid w:val="00E51D00"/>
    <w:rsid w:val="00E5264C"/>
    <w:rsid w:val="00E5371E"/>
    <w:rsid w:val="00E53F86"/>
    <w:rsid w:val="00E540B1"/>
    <w:rsid w:val="00E54114"/>
    <w:rsid w:val="00E547D1"/>
    <w:rsid w:val="00E54B47"/>
    <w:rsid w:val="00E54BB5"/>
    <w:rsid w:val="00E54E7F"/>
    <w:rsid w:val="00E55B1B"/>
    <w:rsid w:val="00E55D27"/>
    <w:rsid w:val="00E567D5"/>
    <w:rsid w:val="00E56CD2"/>
    <w:rsid w:val="00E56EEB"/>
    <w:rsid w:val="00E579DB"/>
    <w:rsid w:val="00E60962"/>
    <w:rsid w:val="00E60991"/>
    <w:rsid w:val="00E60A7E"/>
    <w:rsid w:val="00E60B0A"/>
    <w:rsid w:val="00E61406"/>
    <w:rsid w:val="00E6180E"/>
    <w:rsid w:val="00E61AA6"/>
    <w:rsid w:val="00E61CC3"/>
    <w:rsid w:val="00E626EC"/>
    <w:rsid w:val="00E633EB"/>
    <w:rsid w:val="00E6343A"/>
    <w:rsid w:val="00E63633"/>
    <w:rsid w:val="00E64220"/>
    <w:rsid w:val="00E646D1"/>
    <w:rsid w:val="00E64866"/>
    <w:rsid w:val="00E653E1"/>
    <w:rsid w:val="00E65ABB"/>
    <w:rsid w:val="00E65FEE"/>
    <w:rsid w:val="00E663CA"/>
    <w:rsid w:val="00E66799"/>
    <w:rsid w:val="00E67775"/>
    <w:rsid w:val="00E67A04"/>
    <w:rsid w:val="00E67B9C"/>
    <w:rsid w:val="00E67DC7"/>
    <w:rsid w:val="00E67FEE"/>
    <w:rsid w:val="00E702F7"/>
    <w:rsid w:val="00E704CB"/>
    <w:rsid w:val="00E7075E"/>
    <w:rsid w:val="00E70A22"/>
    <w:rsid w:val="00E70F74"/>
    <w:rsid w:val="00E710EC"/>
    <w:rsid w:val="00E71370"/>
    <w:rsid w:val="00E71E9E"/>
    <w:rsid w:val="00E72565"/>
    <w:rsid w:val="00E72A33"/>
    <w:rsid w:val="00E7325A"/>
    <w:rsid w:val="00E73C43"/>
    <w:rsid w:val="00E754F4"/>
    <w:rsid w:val="00E7696F"/>
    <w:rsid w:val="00E76B06"/>
    <w:rsid w:val="00E76D07"/>
    <w:rsid w:val="00E77252"/>
    <w:rsid w:val="00E77999"/>
    <w:rsid w:val="00E77E65"/>
    <w:rsid w:val="00E801D2"/>
    <w:rsid w:val="00E80678"/>
    <w:rsid w:val="00E809B3"/>
    <w:rsid w:val="00E818D1"/>
    <w:rsid w:val="00E81D34"/>
    <w:rsid w:val="00E81F7F"/>
    <w:rsid w:val="00E82357"/>
    <w:rsid w:val="00E83341"/>
    <w:rsid w:val="00E839D3"/>
    <w:rsid w:val="00E83C80"/>
    <w:rsid w:val="00E83E0F"/>
    <w:rsid w:val="00E83EE3"/>
    <w:rsid w:val="00E8437F"/>
    <w:rsid w:val="00E84BC4"/>
    <w:rsid w:val="00E8581E"/>
    <w:rsid w:val="00E85F84"/>
    <w:rsid w:val="00E861D1"/>
    <w:rsid w:val="00E86397"/>
    <w:rsid w:val="00E867D0"/>
    <w:rsid w:val="00E86D59"/>
    <w:rsid w:val="00E873CC"/>
    <w:rsid w:val="00E87EF5"/>
    <w:rsid w:val="00E910EB"/>
    <w:rsid w:val="00E91626"/>
    <w:rsid w:val="00E9239E"/>
    <w:rsid w:val="00E92AA0"/>
    <w:rsid w:val="00E92D03"/>
    <w:rsid w:val="00E931CD"/>
    <w:rsid w:val="00E932FB"/>
    <w:rsid w:val="00E93996"/>
    <w:rsid w:val="00E939C8"/>
    <w:rsid w:val="00E93AF7"/>
    <w:rsid w:val="00E944D5"/>
    <w:rsid w:val="00E946A6"/>
    <w:rsid w:val="00E955B8"/>
    <w:rsid w:val="00E959FE"/>
    <w:rsid w:val="00E95AF8"/>
    <w:rsid w:val="00E9656F"/>
    <w:rsid w:val="00E96599"/>
    <w:rsid w:val="00E966EB"/>
    <w:rsid w:val="00E9681F"/>
    <w:rsid w:val="00E96B08"/>
    <w:rsid w:val="00E979DE"/>
    <w:rsid w:val="00E97E56"/>
    <w:rsid w:val="00EA03FD"/>
    <w:rsid w:val="00EA058D"/>
    <w:rsid w:val="00EA093F"/>
    <w:rsid w:val="00EA0A6D"/>
    <w:rsid w:val="00EA0F4E"/>
    <w:rsid w:val="00EA0FE6"/>
    <w:rsid w:val="00EA1068"/>
    <w:rsid w:val="00EA13C6"/>
    <w:rsid w:val="00EA188F"/>
    <w:rsid w:val="00EA258C"/>
    <w:rsid w:val="00EA2746"/>
    <w:rsid w:val="00EA2A4E"/>
    <w:rsid w:val="00EA334E"/>
    <w:rsid w:val="00EA3357"/>
    <w:rsid w:val="00EA3C9F"/>
    <w:rsid w:val="00EA403E"/>
    <w:rsid w:val="00EA4E84"/>
    <w:rsid w:val="00EA5828"/>
    <w:rsid w:val="00EA5ECC"/>
    <w:rsid w:val="00EA648F"/>
    <w:rsid w:val="00EA710E"/>
    <w:rsid w:val="00EA737E"/>
    <w:rsid w:val="00EA7D31"/>
    <w:rsid w:val="00EA7F71"/>
    <w:rsid w:val="00EB0238"/>
    <w:rsid w:val="00EB023E"/>
    <w:rsid w:val="00EB0313"/>
    <w:rsid w:val="00EB04E3"/>
    <w:rsid w:val="00EB0687"/>
    <w:rsid w:val="00EB0E0A"/>
    <w:rsid w:val="00EB1255"/>
    <w:rsid w:val="00EB1300"/>
    <w:rsid w:val="00EB1373"/>
    <w:rsid w:val="00EB1821"/>
    <w:rsid w:val="00EB1F4C"/>
    <w:rsid w:val="00EB23D9"/>
    <w:rsid w:val="00EB2485"/>
    <w:rsid w:val="00EB2F2C"/>
    <w:rsid w:val="00EB2F6D"/>
    <w:rsid w:val="00EB30C9"/>
    <w:rsid w:val="00EB359E"/>
    <w:rsid w:val="00EB383C"/>
    <w:rsid w:val="00EB3C7E"/>
    <w:rsid w:val="00EB3D39"/>
    <w:rsid w:val="00EB3EB3"/>
    <w:rsid w:val="00EB41E5"/>
    <w:rsid w:val="00EB4427"/>
    <w:rsid w:val="00EB47BE"/>
    <w:rsid w:val="00EB48AB"/>
    <w:rsid w:val="00EB495E"/>
    <w:rsid w:val="00EB4FDA"/>
    <w:rsid w:val="00EB5625"/>
    <w:rsid w:val="00EB5AA3"/>
    <w:rsid w:val="00EB5C50"/>
    <w:rsid w:val="00EB5E03"/>
    <w:rsid w:val="00EB5F71"/>
    <w:rsid w:val="00EB60B2"/>
    <w:rsid w:val="00EB631E"/>
    <w:rsid w:val="00EB6943"/>
    <w:rsid w:val="00EB701B"/>
    <w:rsid w:val="00EB7CDC"/>
    <w:rsid w:val="00EB7EC2"/>
    <w:rsid w:val="00EC06EA"/>
    <w:rsid w:val="00EC0985"/>
    <w:rsid w:val="00EC0A3F"/>
    <w:rsid w:val="00EC13A3"/>
    <w:rsid w:val="00EC2351"/>
    <w:rsid w:val="00EC28C1"/>
    <w:rsid w:val="00EC2A0C"/>
    <w:rsid w:val="00EC3186"/>
    <w:rsid w:val="00EC31D9"/>
    <w:rsid w:val="00EC3573"/>
    <w:rsid w:val="00EC367A"/>
    <w:rsid w:val="00EC37EE"/>
    <w:rsid w:val="00EC3C04"/>
    <w:rsid w:val="00EC4780"/>
    <w:rsid w:val="00EC49DB"/>
    <w:rsid w:val="00EC4CBC"/>
    <w:rsid w:val="00EC4F70"/>
    <w:rsid w:val="00EC4F82"/>
    <w:rsid w:val="00EC5115"/>
    <w:rsid w:val="00EC5AB2"/>
    <w:rsid w:val="00EC5CBB"/>
    <w:rsid w:val="00EC65A2"/>
    <w:rsid w:val="00EC6C24"/>
    <w:rsid w:val="00EC6D9A"/>
    <w:rsid w:val="00EC720D"/>
    <w:rsid w:val="00EC7983"/>
    <w:rsid w:val="00EC7BE2"/>
    <w:rsid w:val="00ED0075"/>
    <w:rsid w:val="00ED020C"/>
    <w:rsid w:val="00ED111C"/>
    <w:rsid w:val="00ED1130"/>
    <w:rsid w:val="00ED1642"/>
    <w:rsid w:val="00ED1898"/>
    <w:rsid w:val="00ED1BAA"/>
    <w:rsid w:val="00ED1D28"/>
    <w:rsid w:val="00ED249E"/>
    <w:rsid w:val="00ED2B59"/>
    <w:rsid w:val="00ED31D3"/>
    <w:rsid w:val="00ED33F7"/>
    <w:rsid w:val="00ED3CB3"/>
    <w:rsid w:val="00ED3F3C"/>
    <w:rsid w:val="00ED4236"/>
    <w:rsid w:val="00ED42C9"/>
    <w:rsid w:val="00ED488A"/>
    <w:rsid w:val="00ED4D58"/>
    <w:rsid w:val="00ED4E3B"/>
    <w:rsid w:val="00ED54C1"/>
    <w:rsid w:val="00ED56E2"/>
    <w:rsid w:val="00ED5F17"/>
    <w:rsid w:val="00ED5F38"/>
    <w:rsid w:val="00ED6D43"/>
    <w:rsid w:val="00ED6D4F"/>
    <w:rsid w:val="00ED7CEA"/>
    <w:rsid w:val="00EE036E"/>
    <w:rsid w:val="00EE04F6"/>
    <w:rsid w:val="00EE0E54"/>
    <w:rsid w:val="00EE17C6"/>
    <w:rsid w:val="00EE1909"/>
    <w:rsid w:val="00EE24B1"/>
    <w:rsid w:val="00EE270D"/>
    <w:rsid w:val="00EE2A71"/>
    <w:rsid w:val="00EE2EE3"/>
    <w:rsid w:val="00EE35DC"/>
    <w:rsid w:val="00EE4835"/>
    <w:rsid w:val="00EE486B"/>
    <w:rsid w:val="00EE489C"/>
    <w:rsid w:val="00EE51E4"/>
    <w:rsid w:val="00EE530F"/>
    <w:rsid w:val="00EE5348"/>
    <w:rsid w:val="00EE5384"/>
    <w:rsid w:val="00EE53C0"/>
    <w:rsid w:val="00EE5424"/>
    <w:rsid w:val="00EE56BE"/>
    <w:rsid w:val="00EE5AA8"/>
    <w:rsid w:val="00EE5CF1"/>
    <w:rsid w:val="00EE6059"/>
    <w:rsid w:val="00EE6B5B"/>
    <w:rsid w:val="00EE6C9B"/>
    <w:rsid w:val="00EE7100"/>
    <w:rsid w:val="00EF06DA"/>
    <w:rsid w:val="00EF0B0B"/>
    <w:rsid w:val="00EF1210"/>
    <w:rsid w:val="00EF13CE"/>
    <w:rsid w:val="00EF145F"/>
    <w:rsid w:val="00EF1683"/>
    <w:rsid w:val="00EF1830"/>
    <w:rsid w:val="00EF1D59"/>
    <w:rsid w:val="00EF1E69"/>
    <w:rsid w:val="00EF1ECB"/>
    <w:rsid w:val="00EF2064"/>
    <w:rsid w:val="00EF228A"/>
    <w:rsid w:val="00EF2BA6"/>
    <w:rsid w:val="00EF3851"/>
    <w:rsid w:val="00EF4163"/>
    <w:rsid w:val="00EF41B4"/>
    <w:rsid w:val="00EF4333"/>
    <w:rsid w:val="00EF4849"/>
    <w:rsid w:val="00EF48A0"/>
    <w:rsid w:val="00EF4B6D"/>
    <w:rsid w:val="00EF506C"/>
    <w:rsid w:val="00EF5C65"/>
    <w:rsid w:val="00EF5DB6"/>
    <w:rsid w:val="00EF62E5"/>
    <w:rsid w:val="00EF68E4"/>
    <w:rsid w:val="00EF6D07"/>
    <w:rsid w:val="00EF7256"/>
    <w:rsid w:val="00EF7545"/>
    <w:rsid w:val="00EF75DD"/>
    <w:rsid w:val="00F0079B"/>
    <w:rsid w:val="00F007F6"/>
    <w:rsid w:val="00F007F7"/>
    <w:rsid w:val="00F008CA"/>
    <w:rsid w:val="00F00E16"/>
    <w:rsid w:val="00F00F90"/>
    <w:rsid w:val="00F014EA"/>
    <w:rsid w:val="00F0203D"/>
    <w:rsid w:val="00F021C9"/>
    <w:rsid w:val="00F02412"/>
    <w:rsid w:val="00F02FCF"/>
    <w:rsid w:val="00F0388D"/>
    <w:rsid w:val="00F04429"/>
    <w:rsid w:val="00F04FAB"/>
    <w:rsid w:val="00F06599"/>
    <w:rsid w:val="00F0670B"/>
    <w:rsid w:val="00F067F2"/>
    <w:rsid w:val="00F06AC0"/>
    <w:rsid w:val="00F06B94"/>
    <w:rsid w:val="00F070BE"/>
    <w:rsid w:val="00F07632"/>
    <w:rsid w:val="00F076DC"/>
    <w:rsid w:val="00F10023"/>
    <w:rsid w:val="00F10276"/>
    <w:rsid w:val="00F10B9B"/>
    <w:rsid w:val="00F10F2A"/>
    <w:rsid w:val="00F11B5B"/>
    <w:rsid w:val="00F11BA7"/>
    <w:rsid w:val="00F11C12"/>
    <w:rsid w:val="00F11F38"/>
    <w:rsid w:val="00F121B7"/>
    <w:rsid w:val="00F1238D"/>
    <w:rsid w:val="00F1266B"/>
    <w:rsid w:val="00F132C6"/>
    <w:rsid w:val="00F13520"/>
    <w:rsid w:val="00F13842"/>
    <w:rsid w:val="00F13E5B"/>
    <w:rsid w:val="00F13F65"/>
    <w:rsid w:val="00F14121"/>
    <w:rsid w:val="00F14216"/>
    <w:rsid w:val="00F145A2"/>
    <w:rsid w:val="00F145C0"/>
    <w:rsid w:val="00F1463F"/>
    <w:rsid w:val="00F14FEB"/>
    <w:rsid w:val="00F157A9"/>
    <w:rsid w:val="00F15BDB"/>
    <w:rsid w:val="00F15ED7"/>
    <w:rsid w:val="00F15FD9"/>
    <w:rsid w:val="00F1603F"/>
    <w:rsid w:val="00F16343"/>
    <w:rsid w:val="00F1663E"/>
    <w:rsid w:val="00F16986"/>
    <w:rsid w:val="00F16C7D"/>
    <w:rsid w:val="00F1715A"/>
    <w:rsid w:val="00F1750D"/>
    <w:rsid w:val="00F17535"/>
    <w:rsid w:val="00F17609"/>
    <w:rsid w:val="00F2071B"/>
    <w:rsid w:val="00F20FAE"/>
    <w:rsid w:val="00F212DB"/>
    <w:rsid w:val="00F21310"/>
    <w:rsid w:val="00F21D16"/>
    <w:rsid w:val="00F21F2E"/>
    <w:rsid w:val="00F22119"/>
    <w:rsid w:val="00F222C0"/>
    <w:rsid w:val="00F228C6"/>
    <w:rsid w:val="00F22B56"/>
    <w:rsid w:val="00F239CA"/>
    <w:rsid w:val="00F23C59"/>
    <w:rsid w:val="00F23E6D"/>
    <w:rsid w:val="00F24ABA"/>
    <w:rsid w:val="00F24B47"/>
    <w:rsid w:val="00F24B4F"/>
    <w:rsid w:val="00F24D65"/>
    <w:rsid w:val="00F25C1A"/>
    <w:rsid w:val="00F25EFF"/>
    <w:rsid w:val="00F26112"/>
    <w:rsid w:val="00F26118"/>
    <w:rsid w:val="00F261D5"/>
    <w:rsid w:val="00F26775"/>
    <w:rsid w:val="00F268C3"/>
    <w:rsid w:val="00F27020"/>
    <w:rsid w:val="00F27677"/>
    <w:rsid w:val="00F27B57"/>
    <w:rsid w:val="00F27F34"/>
    <w:rsid w:val="00F30405"/>
    <w:rsid w:val="00F30875"/>
    <w:rsid w:val="00F31019"/>
    <w:rsid w:val="00F313C3"/>
    <w:rsid w:val="00F315E0"/>
    <w:rsid w:val="00F31BE1"/>
    <w:rsid w:val="00F32581"/>
    <w:rsid w:val="00F339DF"/>
    <w:rsid w:val="00F340CB"/>
    <w:rsid w:val="00F35373"/>
    <w:rsid w:val="00F35639"/>
    <w:rsid w:val="00F358B7"/>
    <w:rsid w:val="00F35CB5"/>
    <w:rsid w:val="00F363B1"/>
    <w:rsid w:val="00F36581"/>
    <w:rsid w:val="00F368D0"/>
    <w:rsid w:val="00F36B46"/>
    <w:rsid w:val="00F37629"/>
    <w:rsid w:val="00F37799"/>
    <w:rsid w:val="00F37CB9"/>
    <w:rsid w:val="00F40A0F"/>
    <w:rsid w:val="00F40A73"/>
    <w:rsid w:val="00F40BF6"/>
    <w:rsid w:val="00F40C9E"/>
    <w:rsid w:val="00F411B8"/>
    <w:rsid w:val="00F4167B"/>
    <w:rsid w:val="00F41964"/>
    <w:rsid w:val="00F41CE1"/>
    <w:rsid w:val="00F4263D"/>
    <w:rsid w:val="00F42DD3"/>
    <w:rsid w:val="00F42E9E"/>
    <w:rsid w:val="00F42F7A"/>
    <w:rsid w:val="00F4368D"/>
    <w:rsid w:val="00F4390C"/>
    <w:rsid w:val="00F43DDD"/>
    <w:rsid w:val="00F440ED"/>
    <w:rsid w:val="00F44131"/>
    <w:rsid w:val="00F4433F"/>
    <w:rsid w:val="00F4480E"/>
    <w:rsid w:val="00F44844"/>
    <w:rsid w:val="00F44DEC"/>
    <w:rsid w:val="00F45087"/>
    <w:rsid w:val="00F4529A"/>
    <w:rsid w:val="00F453A3"/>
    <w:rsid w:val="00F45D1B"/>
    <w:rsid w:val="00F45F50"/>
    <w:rsid w:val="00F461C7"/>
    <w:rsid w:val="00F465D4"/>
    <w:rsid w:val="00F46ABD"/>
    <w:rsid w:val="00F47444"/>
    <w:rsid w:val="00F47E7E"/>
    <w:rsid w:val="00F47F69"/>
    <w:rsid w:val="00F503A4"/>
    <w:rsid w:val="00F50B07"/>
    <w:rsid w:val="00F50FEC"/>
    <w:rsid w:val="00F51131"/>
    <w:rsid w:val="00F51247"/>
    <w:rsid w:val="00F5221B"/>
    <w:rsid w:val="00F5253B"/>
    <w:rsid w:val="00F52923"/>
    <w:rsid w:val="00F53BA6"/>
    <w:rsid w:val="00F53C96"/>
    <w:rsid w:val="00F53D75"/>
    <w:rsid w:val="00F53DFA"/>
    <w:rsid w:val="00F54256"/>
    <w:rsid w:val="00F54425"/>
    <w:rsid w:val="00F54586"/>
    <w:rsid w:val="00F54963"/>
    <w:rsid w:val="00F55501"/>
    <w:rsid w:val="00F5567D"/>
    <w:rsid w:val="00F55BC1"/>
    <w:rsid w:val="00F55F80"/>
    <w:rsid w:val="00F56C26"/>
    <w:rsid w:val="00F57F46"/>
    <w:rsid w:val="00F61169"/>
    <w:rsid w:val="00F612F8"/>
    <w:rsid w:val="00F6193B"/>
    <w:rsid w:val="00F61E2A"/>
    <w:rsid w:val="00F6240C"/>
    <w:rsid w:val="00F62A4E"/>
    <w:rsid w:val="00F63FEE"/>
    <w:rsid w:val="00F640D0"/>
    <w:rsid w:val="00F6422B"/>
    <w:rsid w:val="00F64750"/>
    <w:rsid w:val="00F64C46"/>
    <w:rsid w:val="00F64F54"/>
    <w:rsid w:val="00F65095"/>
    <w:rsid w:val="00F65244"/>
    <w:rsid w:val="00F656A6"/>
    <w:rsid w:val="00F65C77"/>
    <w:rsid w:val="00F66332"/>
    <w:rsid w:val="00F664E1"/>
    <w:rsid w:val="00F66C2C"/>
    <w:rsid w:val="00F670C5"/>
    <w:rsid w:val="00F67107"/>
    <w:rsid w:val="00F67255"/>
    <w:rsid w:val="00F679AB"/>
    <w:rsid w:val="00F7042E"/>
    <w:rsid w:val="00F704F6"/>
    <w:rsid w:val="00F70527"/>
    <w:rsid w:val="00F712BD"/>
    <w:rsid w:val="00F72049"/>
    <w:rsid w:val="00F72103"/>
    <w:rsid w:val="00F7212D"/>
    <w:rsid w:val="00F7240C"/>
    <w:rsid w:val="00F726D3"/>
    <w:rsid w:val="00F727D3"/>
    <w:rsid w:val="00F7300E"/>
    <w:rsid w:val="00F7349C"/>
    <w:rsid w:val="00F73C5A"/>
    <w:rsid w:val="00F74208"/>
    <w:rsid w:val="00F743F0"/>
    <w:rsid w:val="00F74958"/>
    <w:rsid w:val="00F74A50"/>
    <w:rsid w:val="00F74A72"/>
    <w:rsid w:val="00F74BA1"/>
    <w:rsid w:val="00F74CF2"/>
    <w:rsid w:val="00F756E4"/>
    <w:rsid w:val="00F760B7"/>
    <w:rsid w:val="00F76128"/>
    <w:rsid w:val="00F769D2"/>
    <w:rsid w:val="00F772CC"/>
    <w:rsid w:val="00F776B4"/>
    <w:rsid w:val="00F77A9B"/>
    <w:rsid w:val="00F8028B"/>
    <w:rsid w:val="00F80D7C"/>
    <w:rsid w:val="00F81499"/>
    <w:rsid w:val="00F814B1"/>
    <w:rsid w:val="00F81596"/>
    <w:rsid w:val="00F81E08"/>
    <w:rsid w:val="00F8220C"/>
    <w:rsid w:val="00F8294E"/>
    <w:rsid w:val="00F8296E"/>
    <w:rsid w:val="00F82DB6"/>
    <w:rsid w:val="00F83202"/>
    <w:rsid w:val="00F83ED3"/>
    <w:rsid w:val="00F842C1"/>
    <w:rsid w:val="00F8541C"/>
    <w:rsid w:val="00F85796"/>
    <w:rsid w:val="00F86549"/>
    <w:rsid w:val="00F865E2"/>
    <w:rsid w:val="00F865E8"/>
    <w:rsid w:val="00F8703E"/>
    <w:rsid w:val="00F87C45"/>
    <w:rsid w:val="00F90111"/>
    <w:rsid w:val="00F9156A"/>
    <w:rsid w:val="00F9210F"/>
    <w:rsid w:val="00F92188"/>
    <w:rsid w:val="00F924A3"/>
    <w:rsid w:val="00F924EE"/>
    <w:rsid w:val="00F92B5C"/>
    <w:rsid w:val="00F92F43"/>
    <w:rsid w:val="00F93045"/>
    <w:rsid w:val="00F93544"/>
    <w:rsid w:val="00F935F8"/>
    <w:rsid w:val="00F93AA6"/>
    <w:rsid w:val="00F93AEC"/>
    <w:rsid w:val="00F93E1F"/>
    <w:rsid w:val="00F940D4"/>
    <w:rsid w:val="00F94373"/>
    <w:rsid w:val="00F943F1"/>
    <w:rsid w:val="00F96289"/>
    <w:rsid w:val="00F96394"/>
    <w:rsid w:val="00F96CBD"/>
    <w:rsid w:val="00F96FE5"/>
    <w:rsid w:val="00F976D0"/>
    <w:rsid w:val="00F97E72"/>
    <w:rsid w:val="00FA07C6"/>
    <w:rsid w:val="00FA0D31"/>
    <w:rsid w:val="00FA110F"/>
    <w:rsid w:val="00FA130C"/>
    <w:rsid w:val="00FA1350"/>
    <w:rsid w:val="00FA19E4"/>
    <w:rsid w:val="00FA1C0D"/>
    <w:rsid w:val="00FA1D72"/>
    <w:rsid w:val="00FA263A"/>
    <w:rsid w:val="00FA3880"/>
    <w:rsid w:val="00FA3B9D"/>
    <w:rsid w:val="00FA4604"/>
    <w:rsid w:val="00FA478A"/>
    <w:rsid w:val="00FA4903"/>
    <w:rsid w:val="00FA4F3A"/>
    <w:rsid w:val="00FA5187"/>
    <w:rsid w:val="00FA5385"/>
    <w:rsid w:val="00FA538C"/>
    <w:rsid w:val="00FA5575"/>
    <w:rsid w:val="00FA570E"/>
    <w:rsid w:val="00FA5AF0"/>
    <w:rsid w:val="00FA5CD1"/>
    <w:rsid w:val="00FA6DBB"/>
    <w:rsid w:val="00FA6E3B"/>
    <w:rsid w:val="00FA7249"/>
    <w:rsid w:val="00FA7461"/>
    <w:rsid w:val="00FA7963"/>
    <w:rsid w:val="00FB006A"/>
    <w:rsid w:val="00FB00D0"/>
    <w:rsid w:val="00FB088F"/>
    <w:rsid w:val="00FB0B6C"/>
    <w:rsid w:val="00FB0FCC"/>
    <w:rsid w:val="00FB17ED"/>
    <w:rsid w:val="00FB1829"/>
    <w:rsid w:val="00FB1A78"/>
    <w:rsid w:val="00FB1AE6"/>
    <w:rsid w:val="00FB1E0D"/>
    <w:rsid w:val="00FB1F66"/>
    <w:rsid w:val="00FB2366"/>
    <w:rsid w:val="00FB2B37"/>
    <w:rsid w:val="00FB341F"/>
    <w:rsid w:val="00FB4759"/>
    <w:rsid w:val="00FB4876"/>
    <w:rsid w:val="00FB4C97"/>
    <w:rsid w:val="00FB4E2A"/>
    <w:rsid w:val="00FB6108"/>
    <w:rsid w:val="00FB6724"/>
    <w:rsid w:val="00FB68CD"/>
    <w:rsid w:val="00FB7433"/>
    <w:rsid w:val="00FB76DE"/>
    <w:rsid w:val="00FC0276"/>
    <w:rsid w:val="00FC08C2"/>
    <w:rsid w:val="00FC1634"/>
    <w:rsid w:val="00FC1B4D"/>
    <w:rsid w:val="00FC1B62"/>
    <w:rsid w:val="00FC24DC"/>
    <w:rsid w:val="00FC2A90"/>
    <w:rsid w:val="00FC2ACE"/>
    <w:rsid w:val="00FC3107"/>
    <w:rsid w:val="00FC357D"/>
    <w:rsid w:val="00FC372A"/>
    <w:rsid w:val="00FC402B"/>
    <w:rsid w:val="00FC40C0"/>
    <w:rsid w:val="00FC4A37"/>
    <w:rsid w:val="00FC5D6B"/>
    <w:rsid w:val="00FC69E8"/>
    <w:rsid w:val="00FC6D3B"/>
    <w:rsid w:val="00FC7008"/>
    <w:rsid w:val="00FC7049"/>
    <w:rsid w:val="00FC7C24"/>
    <w:rsid w:val="00FC7F07"/>
    <w:rsid w:val="00FD07AE"/>
    <w:rsid w:val="00FD0815"/>
    <w:rsid w:val="00FD092F"/>
    <w:rsid w:val="00FD1111"/>
    <w:rsid w:val="00FD1F50"/>
    <w:rsid w:val="00FD2563"/>
    <w:rsid w:val="00FD2C3B"/>
    <w:rsid w:val="00FD3309"/>
    <w:rsid w:val="00FD3F89"/>
    <w:rsid w:val="00FD40CC"/>
    <w:rsid w:val="00FD46A8"/>
    <w:rsid w:val="00FD498A"/>
    <w:rsid w:val="00FD4A44"/>
    <w:rsid w:val="00FD4DCA"/>
    <w:rsid w:val="00FD4E6A"/>
    <w:rsid w:val="00FD5B97"/>
    <w:rsid w:val="00FD630E"/>
    <w:rsid w:val="00FD6DC8"/>
    <w:rsid w:val="00FD6DEB"/>
    <w:rsid w:val="00FD70ED"/>
    <w:rsid w:val="00FD78DF"/>
    <w:rsid w:val="00FD79DB"/>
    <w:rsid w:val="00FE068C"/>
    <w:rsid w:val="00FE084C"/>
    <w:rsid w:val="00FE092B"/>
    <w:rsid w:val="00FE0CAD"/>
    <w:rsid w:val="00FE0DEE"/>
    <w:rsid w:val="00FE1048"/>
    <w:rsid w:val="00FE122E"/>
    <w:rsid w:val="00FE12EB"/>
    <w:rsid w:val="00FE1875"/>
    <w:rsid w:val="00FE2089"/>
    <w:rsid w:val="00FE213A"/>
    <w:rsid w:val="00FE222C"/>
    <w:rsid w:val="00FE23BA"/>
    <w:rsid w:val="00FE23D4"/>
    <w:rsid w:val="00FE2661"/>
    <w:rsid w:val="00FE2746"/>
    <w:rsid w:val="00FE279D"/>
    <w:rsid w:val="00FE3033"/>
    <w:rsid w:val="00FE3050"/>
    <w:rsid w:val="00FE371A"/>
    <w:rsid w:val="00FE3A6F"/>
    <w:rsid w:val="00FE3C59"/>
    <w:rsid w:val="00FE3D02"/>
    <w:rsid w:val="00FE3FB3"/>
    <w:rsid w:val="00FE4201"/>
    <w:rsid w:val="00FE45F4"/>
    <w:rsid w:val="00FE466A"/>
    <w:rsid w:val="00FE4E77"/>
    <w:rsid w:val="00FE5265"/>
    <w:rsid w:val="00FE57B4"/>
    <w:rsid w:val="00FE59DF"/>
    <w:rsid w:val="00FE5A0E"/>
    <w:rsid w:val="00FE5F06"/>
    <w:rsid w:val="00FE65C5"/>
    <w:rsid w:val="00FE6616"/>
    <w:rsid w:val="00FE7529"/>
    <w:rsid w:val="00FE7935"/>
    <w:rsid w:val="00FE7D83"/>
    <w:rsid w:val="00FF0791"/>
    <w:rsid w:val="00FF08DF"/>
    <w:rsid w:val="00FF0B20"/>
    <w:rsid w:val="00FF0C6E"/>
    <w:rsid w:val="00FF1A08"/>
    <w:rsid w:val="00FF1B6F"/>
    <w:rsid w:val="00FF1EFE"/>
    <w:rsid w:val="00FF201F"/>
    <w:rsid w:val="00FF2EAA"/>
    <w:rsid w:val="00FF312A"/>
    <w:rsid w:val="00FF3722"/>
    <w:rsid w:val="00FF3B00"/>
    <w:rsid w:val="00FF3B8C"/>
    <w:rsid w:val="00FF3DF4"/>
    <w:rsid w:val="00FF3DFA"/>
    <w:rsid w:val="00FF4550"/>
    <w:rsid w:val="00FF4E36"/>
    <w:rsid w:val="00FF5522"/>
    <w:rsid w:val="00FF55EB"/>
    <w:rsid w:val="00FF5C96"/>
    <w:rsid w:val="00FF632F"/>
    <w:rsid w:val="00FF6FA0"/>
    <w:rsid w:val="00FF70FF"/>
    <w:rsid w:val="00FF7205"/>
    <w:rsid w:val="00FF7FE0"/>
    <w:rsid w:val="011D0A86"/>
    <w:rsid w:val="01214365"/>
    <w:rsid w:val="0123584C"/>
    <w:rsid w:val="01401F5A"/>
    <w:rsid w:val="016508BC"/>
    <w:rsid w:val="01791910"/>
    <w:rsid w:val="018804E9"/>
    <w:rsid w:val="0192360F"/>
    <w:rsid w:val="01A11310"/>
    <w:rsid w:val="01AF1A9C"/>
    <w:rsid w:val="01C37798"/>
    <w:rsid w:val="01C50F7C"/>
    <w:rsid w:val="01D6466C"/>
    <w:rsid w:val="01FD3964"/>
    <w:rsid w:val="02021029"/>
    <w:rsid w:val="021F6ED0"/>
    <w:rsid w:val="023C11A8"/>
    <w:rsid w:val="026A0669"/>
    <w:rsid w:val="029D79D6"/>
    <w:rsid w:val="02BC247D"/>
    <w:rsid w:val="02D432A2"/>
    <w:rsid w:val="02DA783B"/>
    <w:rsid w:val="030C79BF"/>
    <w:rsid w:val="032521BD"/>
    <w:rsid w:val="03305FFE"/>
    <w:rsid w:val="03311390"/>
    <w:rsid w:val="034123BB"/>
    <w:rsid w:val="03467369"/>
    <w:rsid w:val="03831373"/>
    <w:rsid w:val="03935A6A"/>
    <w:rsid w:val="039B0B09"/>
    <w:rsid w:val="03DA48E8"/>
    <w:rsid w:val="03E07218"/>
    <w:rsid w:val="03F31506"/>
    <w:rsid w:val="03F83A17"/>
    <w:rsid w:val="03FB336C"/>
    <w:rsid w:val="04221A0D"/>
    <w:rsid w:val="04376843"/>
    <w:rsid w:val="045172C4"/>
    <w:rsid w:val="04637F4D"/>
    <w:rsid w:val="046C3066"/>
    <w:rsid w:val="047B51B5"/>
    <w:rsid w:val="048030E8"/>
    <w:rsid w:val="048C54B6"/>
    <w:rsid w:val="04D712A6"/>
    <w:rsid w:val="04F16E8F"/>
    <w:rsid w:val="05227E31"/>
    <w:rsid w:val="053729A2"/>
    <w:rsid w:val="053B1757"/>
    <w:rsid w:val="05453754"/>
    <w:rsid w:val="055649F7"/>
    <w:rsid w:val="05605E35"/>
    <w:rsid w:val="056501EA"/>
    <w:rsid w:val="057A02B5"/>
    <w:rsid w:val="0586370B"/>
    <w:rsid w:val="058C0616"/>
    <w:rsid w:val="05A351AD"/>
    <w:rsid w:val="05C97A35"/>
    <w:rsid w:val="05CE388C"/>
    <w:rsid w:val="06274119"/>
    <w:rsid w:val="064B43B6"/>
    <w:rsid w:val="06571077"/>
    <w:rsid w:val="067B00DB"/>
    <w:rsid w:val="068943A3"/>
    <w:rsid w:val="069845E6"/>
    <w:rsid w:val="06B53343"/>
    <w:rsid w:val="06E93A59"/>
    <w:rsid w:val="06F57B28"/>
    <w:rsid w:val="06FF4665"/>
    <w:rsid w:val="070600AB"/>
    <w:rsid w:val="070F5664"/>
    <w:rsid w:val="071D23BF"/>
    <w:rsid w:val="075443A4"/>
    <w:rsid w:val="076444C8"/>
    <w:rsid w:val="077C2B80"/>
    <w:rsid w:val="07871B86"/>
    <w:rsid w:val="07951889"/>
    <w:rsid w:val="07A2403A"/>
    <w:rsid w:val="07BA75CC"/>
    <w:rsid w:val="07C81BD2"/>
    <w:rsid w:val="07E4488E"/>
    <w:rsid w:val="081455E7"/>
    <w:rsid w:val="083C590F"/>
    <w:rsid w:val="0850658F"/>
    <w:rsid w:val="08747A4E"/>
    <w:rsid w:val="087F7D52"/>
    <w:rsid w:val="08840441"/>
    <w:rsid w:val="088E5CA1"/>
    <w:rsid w:val="08923B7D"/>
    <w:rsid w:val="08A74FB5"/>
    <w:rsid w:val="08CD42C3"/>
    <w:rsid w:val="08F54AD4"/>
    <w:rsid w:val="08FB79D5"/>
    <w:rsid w:val="09323D1A"/>
    <w:rsid w:val="0943163C"/>
    <w:rsid w:val="09450EF5"/>
    <w:rsid w:val="094F030E"/>
    <w:rsid w:val="096B668A"/>
    <w:rsid w:val="096D64B6"/>
    <w:rsid w:val="09771921"/>
    <w:rsid w:val="098456F1"/>
    <w:rsid w:val="098F2582"/>
    <w:rsid w:val="09982F06"/>
    <w:rsid w:val="09D92F4C"/>
    <w:rsid w:val="09FC086D"/>
    <w:rsid w:val="0A066AE7"/>
    <w:rsid w:val="0A1E0C2A"/>
    <w:rsid w:val="0A1E2CD7"/>
    <w:rsid w:val="0A1E38DB"/>
    <w:rsid w:val="0A345099"/>
    <w:rsid w:val="0A3E54A5"/>
    <w:rsid w:val="0A822708"/>
    <w:rsid w:val="0AB062DE"/>
    <w:rsid w:val="0AB16AEB"/>
    <w:rsid w:val="0ADB4E00"/>
    <w:rsid w:val="0AF14BE1"/>
    <w:rsid w:val="0B035CFD"/>
    <w:rsid w:val="0B330193"/>
    <w:rsid w:val="0B367B81"/>
    <w:rsid w:val="0B420026"/>
    <w:rsid w:val="0B47188E"/>
    <w:rsid w:val="0B4D2041"/>
    <w:rsid w:val="0B4D3BF1"/>
    <w:rsid w:val="0B4F350C"/>
    <w:rsid w:val="0B810178"/>
    <w:rsid w:val="0B864C21"/>
    <w:rsid w:val="0B8C613C"/>
    <w:rsid w:val="0BA42DF8"/>
    <w:rsid w:val="0BE95E9A"/>
    <w:rsid w:val="0BFE1449"/>
    <w:rsid w:val="0C022D96"/>
    <w:rsid w:val="0C0B4096"/>
    <w:rsid w:val="0C330ECE"/>
    <w:rsid w:val="0C3C461F"/>
    <w:rsid w:val="0C5839FC"/>
    <w:rsid w:val="0C647279"/>
    <w:rsid w:val="0C6640B0"/>
    <w:rsid w:val="0C7F7B85"/>
    <w:rsid w:val="0CA830A9"/>
    <w:rsid w:val="0CB67574"/>
    <w:rsid w:val="0CBF7400"/>
    <w:rsid w:val="0CC042C5"/>
    <w:rsid w:val="0CD17946"/>
    <w:rsid w:val="0CEB3C55"/>
    <w:rsid w:val="0D134413"/>
    <w:rsid w:val="0D192D09"/>
    <w:rsid w:val="0D34395D"/>
    <w:rsid w:val="0D39562C"/>
    <w:rsid w:val="0D4A5AE4"/>
    <w:rsid w:val="0D4A69C4"/>
    <w:rsid w:val="0D572DA5"/>
    <w:rsid w:val="0D6B774E"/>
    <w:rsid w:val="0D6D759B"/>
    <w:rsid w:val="0D894552"/>
    <w:rsid w:val="0D8E0749"/>
    <w:rsid w:val="0D974A81"/>
    <w:rsid w:val="0D9A6E96"/>
    <w:rsid w:val="0DAC1464"/>
    <w:rsid w:val="0DAF34F7"/>
    <w:rsid w:val="0DD435CE"/>
    <w:rsid w:val="0DD64FD6"/>
    <w:rsid w:val="0DFF72BF"/>
    <w:rsid w:val="0E0C3FEA"/>
    <w:rsid w:val="0E1A2764"/>
    <w:rsid w:val="0E2D3511"/>
    <w:rsid w:val="0E3015A8"/>
    <w:rsid w:val="0E457DA4"/>
    <w:rsid w:val="0E5138E9"/>
    <w:rsid w:val="0EB64271"/>
    <w:rsid w:val="0EBD639E"/>
    <w:rsid w:val="0EC06F8B"/>
    <w:rsid w:val="0ED07684"/>
    <w:rsid w:val="0ED71A24"/>
    <w:rsid w:val="0F176605"/>
    <w:rsid w:val="0F18595C"/>
    <w:rsid w:val="0F1936C6"/>
    <w:rsid w:val="0F2F5BC8"/>
    <w:rsid w:val="0F4D46E4"/>
    <w:rsid w:val="0F586E8B"/>
    <w:rsid w:val="0F764DAA"/>
    <w:rsid w:val="0F7A0352"/>
    <w:rsid w:val="0FB21661"/>
    <w:rsid w:val="0FBA737B"/>
    <w:rsid w:val="0FBE3FDF"/>
    <w:rsid w:val="0FC13BA4"/>
    <w:rsid w:val="0FF5674C"/>
    <w:rsid w:val="0FFC180D"/>
    <w:rsid w:val="100665E7"/>
    <w:rsid w:val="10234F21"/>
    <w:rsid w:val="10321608"/>
    <w:rsid w:val="10374E70"/>
    <w:rsid w:val="10BC4D9C"/>
    <w:rsid w:val="10D26947"/>
    <w:rsid w:val="10E63D07"/>
    <w:rsid w:val="10EA0B48"/>
    <w:rsid w:val="10EE7A36"/>
    <w:rsid w:val="112569BD"/>
    <w:rsid w:val="112C793F"/>
    <w:rsid w:val="112F3FEE"/>
    <w:rsid w:val="113978C1"/>
    <w:rsid w:val="11432923"/>
    <w:rsid w:val="1165096A"/>
    <w:rsid w:val="117355CD"/>
    <w:rsid w:val="117B6FDE"/>
    <w:rsid w:val="11813F2D"/>
    <w:rsid w:val="11C27D8D"/>
    <w:rsid w:val="12144FC0"/>
    <w:rsid w:val="12596AAD"/>
    <w:rsid w:val="12684E18"/>
    <w:rsid w:val="12901B64"/>
    <w:rsid w:val="12940358"/>
    <w:rsid w:val="129853FE"/>
    <w:rsid w:val="12A62601"/>
    <w:rsid w:val="12BB4913"/>
    <w:rsid w:val="12BC7A08"/>
    <w:rsid w:val="12EB77BA"/>
    <w:rsid w:val="130848A2"/>
    <w:rsid w:val="1315735E"/>
    <w:rsid w:val="13175458"/>
    <w:rsid w:val="13427309"/>
    <w:rsid w:val="13451652"/>
    <w:rsid w:val="134674CA"/>
    <w:rsid w:val="13481E1B"/>
    <w:rsid w:val="134D58B5"/>
    <w:rsid w:val="13610F31"/>
    <w:rsid w:val="13814851"/>
    <w:rsid w:val="13983A06"/>
    <w:rsid w:val="13BA3DEE"/>
    <w:rsid w:val="13C8403A"/>
    <w:rsid w:val="13EC5F71"/>
    <w:rsid w:val="14276FAA"/>
    <w:rsid w:val="1428676E"/>
    <w:rsid w:val="14942891"/>
    <w:rsid w:val="14A32AD4"/>
    <w:rsid w:val="14B81621"/>
    <w:rsid w:val="14B9438E"/>
    <w:rsid w:val="14CD67D8"/>
    <w:rsid w:val="14DE0E97"/>
    <w:rsid w:val="15010A1F"/>
    <w:rsid w:val="152E1A46"/>
    <w:rsid w:val="15310F27"/>
    <w:rsid w:val="15311B63"/>
    <w:rsid w:val="156D4E90"/>
    <w:rsid w:val="15820DF5"/>
    <w:rsid w:val="15836FE5"/>
    <w:rsid w:val="158C17BA"/>
    <w:rsid w:val="159D5775"/>
    <w:rsid w:val="159E329B"/>
    <w:rsid w:val="15AF49FD"/>
    <w:rsid w:val="15B75686"/>
    <w:rsid w:val="15D078F9"/>
    <w:rsid w:val="15D40898"/>
    <w:rsid w:val="15E80E89"/>
    <w:rsid w:val="162B58E5"/>
    <w:rsid w:val="163F3677"/>
    <w:rsid w:val="164370B9"/>
    <w:rsid w:val="16437564"/>
    <w:rsid w:val="165241DD"/>
    <w:rsid w:val="1669533A"/>
    <w:rsid w:val="16721235"/>
    <w:rsid w:val="168258D3"/>
    <w:rsid w:val="168406E3"/>
    <w:rsid w:val="16A0147D"/>
    <w:rsid w:val="16D619CF"/>
    <w:rsid w:val="16DF591A"/>
    <w:rsid w:val="16EB52A0"/>
    <w:rsid w:val="171E4694"/>
    <w:rsid w:val="172B37CA"/>
    <w:rsid w:val="175763E9"/>
    <w:rsid w:val="17667DE9"/>
    <w:rsid w:val="177236B1"/>
    <w:rsid w:val="177421CC"/>
    <w:rsid w:val="17776A8B"/>
    <w:rsid w:val="178D1819"/>
    <w:rsid w:val="179A3525"/>
    <w:rsid w:val="17D729AD"/>
    <w:rsid w:val="17D975F9"/>
    <w:rsid w:val="17EA2613"/>
    <w:rsid w:val="17F04282"/>
    <w:rsid w:val="180C06FF"/>
    <w:rsid w:val="186645D9"/>
    <w:rsid w:val="186A5E5F"/>
    <w:rsid w:val="18D11D43"/>
    <w:rsid w:val="18E62F75"/>
    <w:rsid w:val="18ED051C"/>
    <w:rsid w:val="19052F7D"/>
    <w:rsid w:val="190F460C"/>
    <w:rsid w:val="191B572E"/>
    <w:rsid w:val="19426902"/>
    <w:rsid w:val="194955AD"/>
    <w:rsid w:val="194A350E"/>
    <w:rsid w:val="197C38F4"/>
    <w:rsid w:val="197F4E01"/>
    <w:rsid w:val="19831A11"/>
    <w:rsid w:val="19833953"/>
    <w:rsid w:val="19941D18"/>
    <w:rsid w:val="199F0C93"/>
    <w:rsid w:val="19ED5937"/>
    <w:rsid w:val="1A1F2B77"/>
    <w:rsid w:val="1A2E2E40"/>
    <w:rsid w:val="1A306C6C"/>
    <w:rsid w:val="1A3420A1"/>
    <w:rsid w:val="1A4F01C3"/>
    <w:rsid w:val="1A605254"/>
    <w:rsid w:val="1A710F9A"/>
    <w:rsid w:val="1A793136"/>
    <w:rsid w:val="1A7B3BAB"/>
    <w:rsid w:val="1AAE7A56"/>
    <w:rsid w:val="1ADA4D76"/>
    <w:rsid w:val="1AF83EF2"/>
    <w:rsid w:val="1AFC3CEE"/>
    <w:rsid w:val="1B04361C"/>
    <w:rsid w:val="1B065B6B"/>
    <w:rsid w:val="1B34540E"/>
    <w:rsid w:val="1B59735D"/>
    <w:rsid w:val="1B5F6589"/>
    <w:rsid w:val="1B6B624B"/>
    <w:rsid w:val="1B867E2B"/>
    <w:rsid w:val="1B8C0FD7"/>
    <w:rsid w:val="1B8F790E"/>
    <w:rsid w:val="1BFF71F2"/>
    <w:rsid w:val="1C2638BB"/>
    <w:rsid w:val="1C880752"/>
    <w:rsid w:val="1CBB1806"/>
    <w:rsid w:val="1CD70A8D"/>
    <w:rsid w:val="1CEA0B3E"/>
    <w:rsid w:val="1CFF05A2"/>
    <w:rsid w:val="1D142D0A"/>
    <w:rsid w:val="1D41732E"/>
    <w:rsid w:val="1D4C1E48"/>
    <w:rsid w:val="1D4D722F"/>
    <w:rsid w:val="1D555DBB"/>
    <w:rsid w:val="1D943AC4"/>
    <w:rsid w:val="1DBF4B8A"/>
    <w:rsid w:val="1DC713F1"/>
    <w:rsid w:val="1DE062F7"/>
    <w:rsid w:val="1DEA1605"/>
    <w:rsid w:val="1E0B5246"/>
    <w:rsid w:val="1E34465A"/>
    <w:rsid w:val="1E467139"/>
    <w:rsid w:val="1E59183C"/>
    <w:rsid w:val="1E5A2DCB"/>
    <w:rsid w:val="1E6A4217"/>
    <w:rsid w:val="1E8D780C"/>
    <w:rsid w:val="1EBC3475"/>
    <w:rsid w:val="1EC309F6"/>
    <w:rsid w:val="1ED80E47"/>
    <w:rsid w:val="1EEA2418"/>
    <w:rsid w:val="1EF6445D"/>
    <w:rsid w:val="1F1254F4"/>
    <w:rsid w:val="1F291141"/>
    <w:rsid w:val="1F664E2A"/>
    <w:rsid w:val="1F906557"/>
    <w:rsid w:val="1FA01FA3"/>
    <w:rsid w:val="1FBA5871"/>
    <w:rsid w:val="1FFA436F"/>
    <w:rsid w:val="2023605D"/>
    <w:rsid w:val="2039775F"/>
    <w:rsid w:val="206C2914"/>
    <w:rsid w:val="207259FF"/>
    <w:rsid w:val="208F03B0"/>
    <w:rsid w:val="20B322F1"/>
    <w:rsid w:val="20E912AD"/>
    <w:rsid w:val="20E97AC1"/>
    <w:rsid w:val="210743EB"/>
    <w:rsid w:val="211A2001"/>
    <w:rsid w:val="21204F6E"/>
    <w:rsid w:val="212F1E92"/>
    <w:rsid w:val="213B1D40"/>
    <w:rsid w:val="213C07FD"/>
    <w:rsid w:val="21436995"/>
    <w:rsid w:val="21511C6B"/>
    <w:rsid w:val="21570680"/>
    <w:rsid w:val="216D50BB"/>
    <w:rsid w:val="217904AE"/>
    <w:rsid w:val="21B005DE"/>
    <w:rsid w:val="21B5712E"/>
    <w:rsid w:val="21C85928"/>
    <w:rsid w:val="21CF38C1"/>
    <w:rsid w:val="21FF50C2"/>
    <w:rsid w:val="221110A3"/>
    <w:rsid w:val="22112225"/>
    <w:rsid w:val="222F1E4B"/>
    <w:rsid w:val="22377D87"/>
    <w:rsid w:val="223F1EBC"/>
    <w:rsid w:val="2241472B"/>
    <w:rsid w:val="22573022"/>
    <w:rsid w:val="225752E2"/>
    <w:rsid w:val="22611985"/>
    <w:rsid w:val="227930C6"/>
    <w:rsid w:val="22B12D55"/>
    <w:rsid w:val="22BD2FEC"/>
    <w:rsid w:val="22D754B7"/>
    <w:rsid w:val="22F556ED"/>
    <w:rsid w:val="23052768"/>
    <w:rsid w:val="230B7D43"/>
    <w:rsid w:val="23235A35"/>
    <w:rsid w:val="2342582F"/>
    <w:rsid w:val="234A0DE6"/>
    <w:rsid w:val="236A2FB3"/>
    <w:rsid w:val="239857CE"/>
    <w:rsid w:val="24300E1A"/>
    <w:rsid w:val="2432461A"/>
    <w:rsid w:val="24493596"/>
    <w:rsid w:val="246F0515"/>
    <w:rsid w:val="24A01530"/>
    <w:rsid w:val="2508146F"/>
    <w:rsid w:val="25094DF1"/>
    <w:rsid w:val="250B47D5"/>
    <w:rsid w:val="250D1709"/>
    <w:rsid w:val="251B16DB"/>
    <w:rsid w:val="253416C3"/>
    <w:rsid w:val="256516E0"/>
    <w:rsid w:val="25657932"/>
    <w:rsid w:val="25775800"/>
    <w:rsid w:val="257A29E1"/>
    <w:rsid w:val="25826736"/>
    <w:rsid w:val="25B52667"/>
    <w:rsid w:val="25BE4930"/>
    <w:rsid w:val="25DC3FD5"/>
    <w:rsid w:val="25DC58CF"/>
    <w:rsid w:val="25DC6A54"/>
    <w:rsid w:val="25ED3C47"/>
    <w:rsid w:val="25F9109A"/>
    <w:rsid w:val="260D79C5"/>
    <w:rsid w:val="265579DE"/>
    <w:rsid w:val="26571970"/>
    <w:rsid w:val="26753E72"/>
    <w:rsid w:val="267912AC"/>
    <w:rsid w:val="26925354"/>
    <w:rsid w:val="26A64EB5"/>
    <w:rsid w:val="26B7240F"/>
    <w:rsid w:val="26BE36E4"/>
    <w:rsid w:val="26EF04C4"/>
    <w:rsid w:val="2710174D"/>
    <w:rsid w:val="271E248E"/>
    <w:rsid w:val="27243473"/>
    <w:rsid w:val="273768CB"/>
    <w:rsid w:val="27545409"/>
    <w:rsid w:val="2781595E"/>
    <w:rsid w:val="27855A03"/>
    <w:rsid w:val="2787548C"/>
    <w:rsid w:val="27B6351B"/>
    <w:rsid w:val="27BA2AFC"/>
    <w:rsid w:val="27BF1E49"/>
    <w:rsid w:val="27D843EB"/>
    <w:rsid w:val="27FA6A57"/>
    <w:rsid w:val="27FD412F"/>
    <w:rsid w:val="2832197B"/>
    <w:rsid w:val="28371A20"/>
    <w:rsid w:val="2858675A"/>
    <w:rsid w:val="28752806"/>
    <w:rsid w:val="287965F1"/>
    <w:rsid w:val="288E3391"/>
    <w:rsid w:val="2895052E"/>
    <w:rsid w:val="28C16AFD"/>
    <w:rsid w:val="28D36E69"/>
    <w:rsid w:val="28D91000"/>
    <w:rsid w:val="28DD75F1"/>
    <w:rsid w:val="28E079FB"/>
    <w:rsid w:val="29221C4D"/>
    <w:rsid w:val="294729C4"/>
    <w:rsid w:val="29475665"/>
    <w:rsid w:val="29527F41"/>
    <w:rsid w:val="29656152"/>
    <w:rsid w:val="2966796A"/>
    <w:rsid w:val="296708AB"/>
    <w:rsid w:val="2971739F"/>
    <w:rsid w:val="29757990"/>
    <w:rsid w:val="29A34B64"/>
    <w:rsid w:val="29B82726"/>
    <w:rsid w:val="29CA20EB"/>
    <w:rsid w:val="29EF6F2B"/>
    <w:rsid w:val="29F12595"/>
    <w:rsid w:val="29F23E8A"/>
    <w:rsid w:val="29F556BC"/>
    <w:rsid w:val="2A131A16"/>
    <w:rsid w:val="2A346998"/>
    <w:rsid w:val="2A524929"/>
    <w:rsid w:val="2A850B83"/>
    <w:rsid w:val="2A860A4D"/>
    <w:rsid w:val="2A9B2ABC"/>
    <w:rsid w:val="2A9D13E6"/>
    <w:rsid w:val="2AA809EC"/>
    <w:rsid w:val="2AD1313A"/>
    <w:rsid w:val="2ADA34F8"/>
    <w:rsid w:val="2ADC043E"/>
    <w:rsid w:val="2B1D4438"/>
    <w:rsid w:val="2B2636BF"/>
    <w:rsid w:val="2B6234F9"/>
    <w:rsid w:val="2B660AC0"/>
    <w:rsid w:val="2B666BBA"/>
    <w:rsid w:val="2B69017C"/>
    <w:rsid w:val="2B6D334E"/>
    <w:rsid w:val="2B8F16E2"/>
    <w:rsid w:val="2BB60149"/>
    <w:rsid w:val="2BDF65F0"/>
    <w:rsid w:val="2BF066EE"/>
    <w:rsid w:val="2C385DA0"/>
    <w:rsid w:val="2C763285"/>
    <w:rsid w:val="2C792640"/>
    <w:rsid w:val="2CA174A1"/>
    <w:rsid w:val="2CE675AA"/>
    <w:rsid w:val="2CEB696E"/>
    <w:rsid w:val="2D240D94"/>
    <w:rsid w:val="2D350A38"/>
    <w:rsid w:val="2D52784C"/>
    <w:rsid w:val="2D574004"/>
    <w:rsid w:val="2D7E030B"/>
    <w:rsid w:val="2D874707"/>
    <w:rsid w:val="2D9B5F5C"/>
    <w:rsid w:val="2DA67467"/>
    <w:rsid w:val="2DD41AF8"/>
    <w:rsid w:val="2DF56343"/>
    <w:rsid w:val="2DF841A7"/>
    <w:rsid w:val="2E146C61"/>
    <w:rsid w:val="2E2024F4"/>
    <w:rsid w:val="2E50117F"/>
    <w:rsid w:val="2E521F8C"/>
    <w:rsid w:val="2E89343E"/>
    <w:rsid w:val="2EC07B78"/>
    <w:rsid w:val="2ED51684"/>
    <w:rsid w:val="2ED8324F"/>
    <w:rsid w:val="2EDC786C"/>
    <w:rsid w:val="2F1D576D"/>
    <w:rsid w:val="2F651D57"/>
    <w:rsid w:val="2F8635D9"/>
    <w:rsid w:val="2F8B61E7"/>
    <w:rsid w:val="2F9B467C"/>
    <w:rsid w:val="2FA21DD2"/>
    <w:rsid w:val="2FAE47F3"/>
    <w:rsid w:val="2FB7230F"/>
    <w:rsid w:val="2FE211F5"/>
    <w:rsid w:val="30136A70"/>
    <w:rsid w:val="301F71B6"/>
    <w:rsid w:val="30462597"/>
    <w:rsid w:val="305A4537"/>
    <w:rsid w:val="30773223"/>
    <w:rsid w:val="30A77352"/>
    <w:rsid w:val="30D31E1D"/>
    <w:rsid w:val="30D749CE"/>
    <w:rsid w:val="30E718B8"/>
    <w:rsid w:val="30FB5378"/>
    <w:rsid w:val="30FD4EC2"/>
    <w:rsid w:val="31031A98"/>
    <w:rsid w:val="310456F9"/>
    <w:rsid w:val="31065E0B"/>
    <w:rsid w:val="31146C33"/>
    <w:rsid w:val="31216A4B"/>
    <w:rsid w:val="312608BD"/>
    <w:rsid w:val="313219C7"/>
    <w:rsid w:val="315415C0"/>
    <w:rsid w:val="315F7FF4"/>
    <w:rsid w:val="317A3B38"/>
    <w:rsid w:val="317E224F"/>
    <w:rsid w:val="318C34D6"/>
    <w:rsid w:val="319465D3"/>
    <w:rsid w:val="31A84CA4"/>
    <w:rsid w:val="31D35C0F"/>
    <w:rsid w:val="31D97580"/>
    <w:rsid w:val="31E50F27"/>
    <w:rsid w:val="31EC2FD4"/>
    <w:rsid w:val="3214172E"/>
    <w:rsid w:val="321E7D45"/>
    <w:rsid w:val="32204376"/>
    <w:rsid w:val="323D1CB7"/>
    <w:rsid w:val="32513718"/>
    <w:rsid w:val="32524842"/>
    <w:rsid w:val="32767856"/>
    <w:rsid w:val="32956620"/>
    <w:rsid w:val="32B614DA"/>
    <w:rsid w:val="32FA790B"/>
    <w:rsid w:val="332442D6"/>
    <w:rsid w:val="332C406F"/>
    <w:rsid w:val="33344883"/>
    <w:rsid w:val="333541C2"/>
    <w:rsid w:val="336A54B0"/>
    <w:rsid w:val="336C0A40"/>
    <w:rsid w:val="337B160B"/>
    <w:rsid w:val="33987D41"/>
    <w:rsid w:val="33A15FD9"/>
    <w:rsid w:val="33A202EE"/>
    <w:rsid w:val="340C492A"/>
    <w:rsid w:val="34113733"/>
    <w:rsid w:val="3421711A"/>
    <w:rsid w:val="3428494C"/>
    <w:rsid w:val="343A5AC9"/>
    <w:rsid w:val="345427A3"/>
    <w:rsid w:val="34853DA1"/>
    <w:rsid w:val="349E7719"/>
    <w:rsid w:val="34D27F17"/>
    <w:rsid w:val="34F84CA4"/>
    <w:rsid w:val="350C1B78"/>
    <w:rsid w:val="35111E45"/>
    <w:rsid w:val="35201D4B"/>
    <w:rsid w:val="355E6877"/>
    <w:rsid w:val="356E1876"/>
    <w:rsid w:val="35991A63"/>
    <w:rsid w:val="35AB1391"/>
    <w:rsid w:val="35F53198"/>
    <w:rsid w:val="35F566E2"/>
    <w:rsid w:val="36084F79"/>
    <w:rsid w:val="361221A9"/>
    <w:rsid w:val="362C3918"/>
    <w:rsid w:val="364B1250"/>
    <w:rsid w:val="367E6CA2"/>
    <w:rsid w:val="368112E6"/>
    <w:rsid w:val="36892355"/>
    <w:rsid w:val="36913CE5"/>
    <w:rsid w:val="36B14D07"/>
    <w:rsid w:val="36B50719"/>
    <w:rsid w:val="36C941C4"/>
    <w:rsid w:val="36D72F9F"/>
    <w:rsid w:val="36E7464B"/>
    <w:rsid w:val="37055B53"/>
    <w:rsid w:val="370B1FC4"/>
    <w:rsid w:val="370D6A0B"/>
    <w:rsid w:val="3716753C"/>
    <w:rsid w:val="37623835"/>
    <w:rsid w:val="37905DDE"/>
    <w:rsid w:val="379147AF"/>
    <w:rsid w:val="37975EEE"/>
    <w:rsid w:val="37B3452D"/>
    <w:rsid w:val="37DB647A"/>
    <w:rsid w:val="37DC3558"/>
    <w:rsid w:val="37EB016A"/>
    <w:rsid w:val="38066D52"/>
    <w:rsid w:val="380D3FB3"/>
    <w:rsid w:val="383655F0"/>
    <w:rsid w:val="38406FA0"/>
    <w:rsid w:val="38454CBB"/>
    <w:rsid w:val="384A0CC9"/>
    <w:rsid w:val="38527190"/>
    <w:rsid w:val="38575800"/>
    <w:rsid w:val="387E2D8D"/>
    <w:rsid w:val="38820906"/>
    <w:rsid w:val="38A04AB1"/>
    <w:rsid w:val="38B75191"/>
    <w:rsid w:val="38C522B1"/>
    <w:rsid w:val="38CF0F38"/>
    <w:rsid w:val="38DB1144"/>
    <w:rsid w:val="38FA2AE8"/>
    <w:rsid w:val="391C382C"/>
    <w:rsid w:val="391F1AD6"/>
    <w:rsid w:val="39205BF2"/>
    <w:rsid w:val="392950DA"/>
    <w:rsid w:val="39316051"/>
    <w:rsid w:val="39413981"/>
    <w:rsid w:val="39433D7D"/>
    <w:rsid w:val="395B4E7C"/>
    <w:rsid w:val="395F68DB"/>
    <w:rsid w:val="3964595B"/>
    <w:rsid w:val="3965545D"/>
    <w:rsid w:val="397F4F63"/>
    <w:rsid w:val="39896763"/>
    <w:rsid w:val="398A3227"/>
    <w:rsid w:val="39AD27A5"/>
    <w:rsid w:val="39AE31AA"/>
    <w:rsid w:val="39B822CE"/>
    <w:rsid w:val="39C21A0A"/>
    <w:rsid w:val="39C56CF2"/>
    <w:rsid w:val="39E0126D"/>
    <w:rsid w:val="39EF043F"/>
    <w:rsid w:val="3A14753F"/>
    <w:rsid w:val="3A2063A9"/>
    <w:rsid w:val="3A2F07E2"/>
    <w:rsid w:val="3A3660E1"/>
    <w:rsid w:val="3A506899"/>
    <w:rsid w:val="3A581C40"/>
    <w:rsid w:val="3A7D7538"/>
    <w:rsid w:val="3A816B64"/>
    <w:rsid w:val="3AA91952"/>
    <w:rsid w:val="3ABC2526"/>
    <w:rsid w:val="3AE41E37"/>
    <w:rsid w:val="3AEA64B7"/>
    <w:rsid w:val="3AF772EE"/>
    <w:rsid w:val="3AF966A0"/>
    <w:rsid w:val="3B157562"/>
    <w:rsid w:val="3B1E43B3"/>
    <w:rsid w:val="3B383304"/>
    <w:rsid w:val="3B3E35BF"/>
    <w:rsid w:val="3B413B9B"/>
    <w:rsid w:val="3B6402E9"/>
    <w:rsid w:val="3B82290E"/>
    <w:rsid w:val="3B954675"/>
    <w:rsid w:val="3BA1126C"/>
    <w:rsid w:val="3BF336F9"/>
    <w:rsid w:val="3BF37A01"/>
    <w:rsid w:val="3C126A55"/>
    <w:rsid w:val="3C261771"/>
    <w:rsid w:val="3C4B0F1D"/>
    <w:rsid w:val="3C836BC3"/>
    <w:rsid w:val="3C8C784A"/>
    <w:rsid w:val="3CA700D8"/>
    <w:rsid w:val="3CE86E81"/>
    <w:rsid w:val="3D1A3AF9"/>
    <w:rsid w:val="3D232155"/>
    <w:rsid w:val="3D2C65C4"/>
    <w:rsid w:val="3D317E96"/>
    <w:rsid w:val="3D3659E4"/>
    <w:rsid w:val="3D3E74C7"/>
    <w:rsid w:val="3D4C3459"/>
    <w:rsid w:val="3D5A7726"/>
    <w:rsid w:val="3D5B1C38"/>
    <w:rsid w:val="3D5D604E"/>
    <w:rsid w:val="3DCB32B8"/>
    <w:rsid w:val="3DD575F5"/>
    <w:rsid w:val="3E270C30"/>
    <w:rsid w:val="3E304B29"/>
    <w:rsid w:val="3E3150C4"/>
    <w:rsid w:val="3E35213F"/>
    <w:rsid w:val="3E375AC1"/>
    <w:rsid w:val="3E6D57E8"/>
    <w:rsid w:val="3E7201E0"/>
    <w:rsid w:val="3E9C50F3"/>
    <w:rsid w:val="3EB62267"/>
    <w:rsid w:val="3EC62D97"/>
    <w:rsid w:val="3EDC6612"/>
    <w:rsid w:val="3EE849A4"/>
    <w:rsid w:val="3EEE0400"/>
    <w:rsid w:val="3F16473F"/>
    <w:rsid w:val="3F174BBC"/>
    <w:rsid w:val="3F6846EC"/>
    <w:rsid w:val="3FA550A3"/>
    <w:rsid w:val="3FBA2007"/>
    <w:rsid w:val="3FBF43B6"/>
    <w:rsid w:val="3FD1586E"/>
    <w:rsid w:val="40112738"/>
    <w:rsid w:val="40240ADB"/>
    <w:rsid w:val="402F0251"/>
    <w:rsid w:val="40436567"/>
    <w:rsid w:val="40594887"/>
    <w:rsid w:val="407556D1"/>
    <w:rsid w:val="408C4A92"/>
    <w:rsid w:val="40AB1B96"/>
    <w:rsid w:val="40AE695B"/>
    <w:rsid w:val="40AF61D9"/>
    <w:rsid w:val="41016B68"/>
    <w:rsid w:val="41052399"/>
    <w:rsid w:val="4108722C"/>
    <w:rsid w:val="41162E6C"/>
    <w:rsid w:val="411F7F8E"/>
    <w:rsid w:val="41222C0F"/>
    <w:rsid w:val="415E7BFF"/>
    <w:rsid w:val="418B0316"/>
    <w:rsid w:val="41B75EC0"/>
    <w:rsid w:val="41D216D8"/>
    <w:rsid w:val="41E552A8"/>
    <w:rsid w:val="41F65E1B"/>
    <w:rsid w:val="420C1409"/>
    <w:rsid w:val="42332B8B"/>
    <w:rsid w:val="42440B97"/>
    <w:rsid w:val="42444752"/>
    <w:rsid w:val="427B5F32"/>
    <w:rsid w:val="4280659A"/>
    <w:rsid w:val="4295517F"/>
    <w:rsid w:val="42A17DA3"/>
    <w:rsid w:val="42DB23BC"/>
    <w:rsid w:val="42DF267A"/>
    <w:rsid w:val="43000A22"/>
    <w:rsid w:val="43052C44"/>
    <w:rsid w:val="4315253F"/>
    <w:rsid w:val="43367E14"/>
    <w:rsid w:val="433913A3"/>
    <w:rsid w:val="43592C8A"/>
    <w:rsid w:val="43855B75"/>
    <w:rsid w:val="43A12B25"/>
    <w:rsid w:val="43C52F58"/>
    <w:rsid w:val="43D86438"/>
    <w:rsid w:val="43F44D65"/>
    <w:rsid w:val="4431246F"/>
    <w:rsid w:val="446A761A"/>
    <w:rsid w:val="4470274E"/>
    <w:rsid w:val="4475798E"/>
    <w:rsid w:val="44816B44"/>
    <w:rsid w:val="44AD24DB"/>
    <w:rsid w:val="44AE67A8"/>
    <w:rsid w:val="44EA206C"/>
    <w:rsid w:val="45050ABD"/>
    <w:rsid w:val="453809C1"/>
    <w:rsid w:val="45573949"/>
    <w:rsid w:val="45693D2E"/>
    <w:rsid w:val="45897440"/>
    <w:rsid w:val="45997458"/>
    <w:rsid w:val="45C0799E"/>
    <w:rsid w:val="45D65E54"/>
    <w:rsid w:val="45F3021D"/>
    <w:rsid w:val="460C0E7F"/>
    <w:rsid w:val="4651027F"/>
    <w:rsid w:val="46991366"/>
    <w:rsid w:val="46A71F6C"/>
    <w:rsid w:val="46CC1F59"/>
    <w:rsid w:val="46EC722E"/>
    <w:rsid w:val="46EF38B3"/>
    <w:rsid w:val="46FB43C1"/>
    <w:rsid w:val="47190821"/>
    <w:rsid w:val="47196ACD"/>
    <w:rsid w:val="47631957"/>
    <w:rsid w:val="47655843"/>
    <w:rsid w:val="47923C35"/>
    <w:rsid w:val="47A838A3"/>
    <w:rsid w:val="47C31B76"/>
    <w:rsid w:val="47CA52C7"/>
    <w:rsid w:val="47D47673"/>
    <w:rsid w:val="47D868BC"/>
    <w:rsid w:val="47DC027C"/>
    <w:rsid w:val="47EA5D49"/>
    <w:rsid w:val="481421FE"/>
    <w:rsid w:val="4823125B"/>
    <w:rsid w:val="48350DC1"/>
    <w:rsid w:val="484F3E1E"/>
    <w:rsid w:val="48501B3F"/>
    <w:rsid w:val="487E0D7E"/>
    <w:rsid w:val="487F599F"/>
    <w:rsid w:val="487F7F9C"/>
    <w:rsid w:val="488432D6"/>
    <w:rsid w:val="48D82928"/>
    <w:rsid w:val="48DE70DB"/>
    <w:rsid w:val="49263D3E"/>
    <w:rsid w:val="4981114E"/>
    <w:rsid w:val="498D72D3"/>
    <w:rsid w:val="49964EBD"/>
    <w:rsid w:val="49D47052"/>
    <w:rsid w:val="49DA1730"/>
    <w:rsid w:val="49F26FD9"/>
    <w:rsid w:val="49F34767"/>
    <w:rsid w:val="4A022010"/>
    <w:rsid w:val="4A0D21C2"/>
    <w:rsid w:val="4A0F3823"/>
    <w:rsid w:val="4A1054A1"/>
    <w:rsid w:val="4A153830"/>
    <w:rsid w:val="4A190B67"/>
    <w:rsid w:val="4A2E604D"/>
    <w:rsid w:val="4A4847FA"/>
    <w:rsid w:val="4A5D1FEF"/>
    <w:rsid w:val="4A657109"/>
    <w:rsid w:val="4A8221E7"/>
    <w:rsid w:val="4A8E6E5F"/>
    <w:rsid w:val="4A9B332A"/>
    <w:rsid w:val="4AA51929"/>
    <w:rsid w:val="4AAD435D"/>
    <w:rsid w:val="4AAE75A3"/>
    <w:rsid w:val="4AAF0A7D"/>
    <w:rsid w:val="4ABA1BC3"/>
    <w:rsid w:val="4ABB1C1E"/>
    <w:rsid w:val="4ADA0DA6"/>
    <w:rsid w:val="4AE64923"/>
    <w:rsid w:val="4B1C6783"/>
    <w:rsid w:val="4B266FED"/>
    <w:rsid w:val="4B320132"/>
    <w:rsid w:val="4B4E7DF9"/>
    <w:rsid w:val="4BDF2047"/>
    <w:rsid w:val="4BED4059"/>
    <w:rsid w:val="4C102570"/>
    <w:rsid w:val="4C151C04"/>
    <w:rsid w:val="4C2338B2"/>
    <w:rsid w:val="4C3268E4"/>
    <w:rsid w:val="4C6640F8"/>
    <w:rsid w:val="4CB41768"/>
    <w:rsid w:val="4CD3679A"/>
    <w:rsid w:val="4CE71F81"/>
    <w:rsid w:val="4CF04E3A"/>
    <w:rsid w:val="4D3A3BC0"/>
    <w:rsid w:val="4D4D7280"/>
    <w:rsid w:val="4D5C27F9"/>
    <w:rsid w:val="4D7A5AB3"/>
    <w:rsid w:val="4D86137C"/>
    <w:rsid w:val="4D9F54AF"/>
    <w:rsid w:val="4DAE68B0"/>
    <w:rsid w:val="4DC06635"/>
    <w:rsid w:val="4DC93FA3"/>
    <w:rsid w:val="4DCE1994"/>
    <w:rsid w:val="4DD454D1"/>
    <w:rsid w:val="4DD60B09"/>
    <w:rsid w:val="4DD70B1E"/>
    <w:rsid w:val="4DE35714"/>
    <w:rsid w:val="4E1753BE"/>
    <w:rsid w:val="4E1A6C5C"/>
    <w:rsid w:val="4E3B72FE"/>
    <w:rsid w:val="4E6A16E7"/>
    <w:rsid w:val="4E71191F"/>
    <w:rsid w:val="4E8726F1"/>
    <w:rsid w:val="4E9B2C6E"/>
    <w:rsid w:val="4E9D3807"/>
    <w:rsid w:val="4EA07161"/>
    <w:rsid w:val="4ECB20FF"/>
    <w:rsid w:val="4EE518F2"/>
    <w:rsid w:val="4EED4970"/>
    <w:rsid w:val="4EF20E6C"/>
    <w:rsid w:val="4F1E63CD"/>
    <w:rsid w:val="4F214299"/>
    <w:rsid w:val="4F3007F7"/>
    <w:rsid w:val="4F560BB4"/>
    <w:rsid w:val="4F5A68A9"/>
    <w:rsid w:val="4F5E7E33"/>
    <w:rsid w:val="4F9C6C66"/>
    <w:rsid w:val="4FAB400F"/>
    <w:rsid w:val="4FB44881"/>
    <w:rsid w:val="4FD42959"/>
    <w:rsid w:val="4FE85264"/>
    <w:rsid w:val="4FEA5788"/>
    <w:rsid w:val="4FF5558B"/>
    <w:rsid w:val="4FFA4FF5"/>
    <w:rsid w:val="501E1398"/>
    <w:rsid w:val="501F2099"/>
    <w:rsid w:val="502F5187"/>
    <w:rsid w:val="504C78B8"/>
    <w:rsid w:val="50593A6B"/>
    <w:rsid w:val="507D09FC"/>
    <w:rsid w:val="50940112"/>
    <w:rsid w:val="50C524F7"/>
    <w:rsid w:val="50DB0924"/>
    <w:rsid w:val="50EA68CF"/>
    <w:rsid w:val="51077FED"/>
    <w:rsid w:val="51280932"/>
    <w:rsid w:val="514364CA"/>
    <w:rsid w:val="517010BB"/>
    <w:rsid w:val="517A05D1"/>
    <w:rsid w:val="51873267"/>
    <w:rsid w:val="51B02091"/>
    <w:rsid w:val="51C3718C"/>
    <w:rsid w:val="51F85506"/>
    <w:rsid w:val="5200022C"/>
    <w:rsid w:val="521560B8"/>
    <w:rsid w:val="52206824"/>
    <w:rsid w:val="52224331"/>
    <w:rsid w:val="522E2410"/>
    <w:rsid w:val="526E0CD3"/>
    <w:rsid w:val="52746205"/>
    <w:rsid w:val="52747CBB"/>
    <w:rsid w:val="52830462"/>
    <w:rsid w:val="52945EB6"/>
    <w:rsid w:val="52970A52"/>
    <w:rsid w:val="52AB5C1E"/>
    <w:rsid w:val="52C57EEA"/>
    <w:rsid w:val="52CB6777"/>
    <w:rsid w:val="52CE0DD3"/>
    <w:rsid w:val="53016A22"/>
    <w:rsid w:val="5308541C"/>
    <w:rsid w:val="53273542"/>
    <w:rsid w:val="535B7AFB"/>
    <w:rsid w:val="53807A36"/>
    <w:rsid w:val="538F3C48"/>
    <w:rsid w:val="539A65B3"/>
    <w:rsid w:val="53AE0572"/>
    <w:rsid w:val="53B62947"/>
    <w:rsid w:val="53CB2ED2"/>
    <w:rsid w:val="5411544B"/>
    <w:rsid w:val="5412470A"/>
    <w:rsid w:val="54263B36"/>
    <w:rsid w:val="543F7D97"/>
    <w:rsid w:val="54423376"/>
    <w:rsid w:val="5445475E"/>
    <w:rsid w:val="546A05FE"/>
    <w:rsid w:val="54754BEC"/>
    <w:rsid w:val="547E6196"/>
    <w:rsid w:val="548A5658"/>
    <w:rsid w:val="5499458D"/>
    <w:rsid w:val="549B7D6D"/>
    <w:rsid w:val="54A53CDC"/>
    <w:rsid w:val="54A70954"/>
    <w:rsid w:val="54AF4AA2"/>
    <w:rsid w:val="54D10A01"/>
    <w:rsid w:val="54E16E72"/>
    <w:rsid w:val="54EC6BC8"/>
    <w:rsid w:val="54F63F7F"/>
    <w:rsid w:val="55087419"/>
    <w:rsid w:val="551663CF"/>
    <w:rsid w:val="552F7094"/>
    <w:rsid w:val="55423A9A"/>
    <w:rsid w:val="555F5120"/>
    <w:rsid w:val="556935BA"/>
    <w:rsid w:val="556D100F"/>
    <w:rsid w:val="55CA3D0E"/>
    <w:rsid w:val="55D122F6"/>
    <w:rsid w:val="56165022"/>
    <w:rsid w:val="563B3C13"/>
    <w:rsid w:val="56517FD1"/>
    <w:rsid w:val="568C72A1"/>
    <w:rsid w:val="56BB705A"/>
    <w:rsid w:val="56DF4B61"/>
    <w:rsid w:val="56E51BE2"/>
    <w:rsid w:val="56EA529E"/>
    <w:rsid w:val="56FD4B5F"/>
    <w:rsid w:val="57447EB8"/>
    <w:rsid w:val="57533282"/>
    <w:rsid w:val="575D6863"/>
    <w:rsid w:val="577E64AD"/>
    <w:rsid w:val="577F2CDD"/>
    <w:rsid w:val="57956048"/>
    <w:rsid w:val="57B037D9"/>
    <w:rsid w:val="57B56460"/>
    <w:rsid w:val="57BC6C97"/>
    <w:rsid w:val="57BE36B7"/>
    <w:rsid w:val="57C054CB"/>
    <w:rsid w:val="57C8039F"/>
    <w:rsid w:val="582F1556"/>
    <w:rsid w:val="584C723F"/>
    <w:rsid w:val="58515910"/>
    <w:rsid w:val="58584120"/>
    <w:rsid w:val="585B4D73"/>
    <w:rsid w:val="58641763"/>
    <w:rsid w:val="586647F7"/>
    <w:rsid w:val="58664F09"/>
    <w:rsid w:val="58735E74"/>
    <w:rsid w:val="58892E17"/>
    <w:rsid w:val="588C4F7F"/>
    <w:rsid w:val="58A35306"/>
    <w:rsid w:val="58BF589F"/>
    <w:rsid w:val="58DB180B"/>
    <w:rsid w:val="58E92BF8"/>
    <w:rsid w:val="58FC310E"/>
    <w:rsid w:val="58FC3B2E"/>
    <w:rsid w:val="58FC79DE"/>
    <w:rsid w:val="59044881"/>
    <w:rsid w:val="59080725"/>
    <w:rsid w:val="591551A9"/>
    <w:rsid w:val="591E1CF4"/>
    <w:rsid w:val="592159A6"/>
    <w:rsid w:val="59304556"/>
    <w:rsid w:val="593C00D6"/>
    <w:rsid w:val="59665C2E"/>
    <w:rsid w:val="5976568E"/>
    <w:rsid w:val="598F6750"/>
    <w:rsid w:val="59B8093D"/>
    <w:rsid w:val="59C653D9"/>
    <w:rsid w:val="59DC0CC3"/>
    <w:rsid w:val="5A075CDA"/>
    <w:rsid w:val="5A1548B3"/>
    <w:rsid w:val="5A181E02"/>
    <w:rsid w:val="5A360C29"/>
    <w:rsid w:val="5A5752A8"/>
    <w:rsid w:val="5A5B19A7"/>
    <w:rsid w:val="5A5B33BB"/>
    <w:rsid w:val="5A647C61"/>
    <w:rsid w:val="5A7B3695"/>
    <w:rsid w:val="5A8854A9"/>
    <w:rsid w:val="5AE62611"/>
    <w:rsid w:val="5AF95C18"/>
    <w:rsid w:val="5B137B84"/>
    <w:rsid w:val="5B2B24A8"/>
    <w:rsid w:val="5B835A65"/>
    <w:rsid w:val="5BA94F78"/>
    <w:rsid w:val="5BBB0310"/>
    <w:rsid w:val="5BCB4023"/>
    <w:rsid w:val="5BE522FA"/>
    <w:rsid w:val="5BEC3853"/>
    <w:rsid w:val="5BFF0CBA"/>
    <w:rsid w:val="5C043EF3"/>
    <w:rsid w:val="5C062149"/>
    <w:rsid w:val="5C3C7568"/>
    <w:rsid w:val="5C464523"/>
    <w:rsid w:val="5C50666A"/>
    <w:rsid w:val="5C531CB7"/>
    <w:rsid w:val="5C61531C"/>
    <w:rsid w:val="5C6305A3"/>
    <w:rsid w:val="5CA036E1"/>
    <w:rsid w:val="5CA906F2"/>
    <w:rsid w:val="5CAF3653"/>
    <w:rsid w:val="5CC2673B"/>
    <w:rsid w:val="5CD96260"/>
    <w:rsid w:val="5CF14A3B"/>
    <w:rsid w:val="5D026815"/>
    <w:rsid w:val="5D4B6245"/>
    <w:rsid w:val="5D683540"/>
    <w:rsid w:val="5D7F70DB"/>
    <w:rsid w:val="5DA02743"/>
    <w:rsid w:val="5DC104BC"/>
    <w:rsid w:val="5DCD0F95"/>
    <w:rsid w:val="5DD638E2"/>
    <w:rsid w:val="5E083F1F"/>
    <w:rsid w:val="5E246750"/>
    <w:rsid w:val="5E5913B9"/>
    <w:rsid w:val="5E5C79A5"/>
    <w:rsid w:val="5E5E4943"/>
    <w:rsid w:val="5E710B1A"/>
    <w:rsid w:val="5E796E16"/>
    <w:rsid w:val="5E865E21"/>
    <w:rsid w:val="5E9418B3"/>
    <w:rsid w:val="5EA67D41"/>
    <w:rsid w:val="5EA909E6"/>
    <w:rsid w:val="5EB50A07"/>
    <w:rsid w:val="5EC21376"/>
    <w:rsid w:val="5ED653BF"/>
    <w:rsid w:val="5EDF3AE5"/>
    <w:rsid w:val="5EE1759A"/>
    <w:rsid w:val="5EF7245F"/>
    <w:rsid w:val="5EFB04C3"/>
    <w:rsid w:val="5EFD0826"/>
    <w:rsid w:val="5F0F151B"/>
    <w:rsid w:val="5F1D0619"/>
    <w:rsid w:val="5F1F5B51"/>
    <w:rsid w:val="5F203F68"/>
    <w:rsid w:val="5F3D7E31"/>
    <w:rsid w:val="5F47044E"/>
    <w:rsid w:val="5F4C2237"/>
    <w:rsid w:val="5F4C543D"/>
    <w:rsid w:val="5F654690"/>
    <w:rsid w:val="5F754DBD"/>
    <w:rsid w:val="5F97176C"/>
    <w:rsid w:val="5FAF541F"/>
    <w:rsid w:val="5FC4147E"/>
    <w:rsid w:val="5FC865C2"/>
    <w:rsid w:val="6015606F"/>
    <w:rsid w:val="601F0B00"/>
    <w:rsid w:val="603F0C8E"/>
    <w:rsid w:val="605B74DF"/>
    <w:rsid w:val="605D1356"/>
    <w:rsid w:val="606861B6"/>
    <w:rsid w:val="608770F4"/>
    <w:rsid w:val="60922F20"/>
    <w:rsid w:val="60996106"/>
    <w:rsid w:val="60B62814"/>
    <w:rsid w:val="60C81F99"/>
    <w:rsid w:val="60DB02FA"/>
    <w:rsid w:val="60F849D4"/>
    <w:rsid w:val="6112090E"/>
    <w:rsid w:val="611700C2"/>
    <w:rsid w:val="611B079E"/>
    <w:rsid w:val="613C4296"/>
    <w:rsid w:val="61C64F13"/>
    <w:rsid w:val="61C72DD0"/>
    <w:rsid w:val="61D257D4"/>
    <w:rsid w:val="61F25ACE"/>
    <w:rsid w:val="61FA35E4"/>
    <w:rsid w:val="61FE790C"/>
    <w:rsid w:val="620F5454"/>
    <w:rsid w:val="62161EAE"/>
    <w:rsid w:val="62502AB3"/>
    <w:rsid w:val="62822C00"/>
    <w:rsid w:val="628801E0"/>
    <w:rsid w:val="629C158C"/>
    <w:rsid w:val="629D1540"/>
    <w:rsid w:val="62B9113F"/>
    <w:rsid w:val="62CF3560"/>
    <w:rsid w:val="63283A59"/>
    <w:rsid w:val="63304B00"/>
    <w:rsid w:val="633741A7"/>
    <w:rsid w:val="634467FD"/>
    <w:rsid w:val="63A67E4C"/>
    <w:rsid w:val="63C13B90"/>
    <w:rsid w:val="63CD28EE"/>
    <w:rsid w:val="63EC2662"/>
    <w:rsid w:val="641D434E"/>
    <w:rsid w:val="6421739C"/>
    <w:rsid w:val="642541CA"/>
    <w:rsid w:val="64301A55"/>
    <w:rsid w:val="64333BB5"/>
    <w:rsid w:val="64411EFF"/>
    <w:rsid w:val="64414A7D"/>
    <w:rsid w:val="644F1C8C"/>
    <w:rsid w:val="645312C9"/>
    <w:rsid w:val="645B4190"/>
    <w:rsid w:val="647873B0"/>
    <w:rsid w:val="649C5009"/>
    <w:rsid w:val="64BB4816"/>
    <w:rsid w:val="64D81563"/>
    <w:rsid w:val="6548459E"/>
    <w:rsid w:val="6556522A"/>
    <w:rsid w:val="6564077C"/>
    <w:rsid w:val="65BA64D5"/>
    <w:rsid w:val="65BE0617"/>
    <w:rsid w:val="66135703"/>
    <w:rsid w:val="66184C7A"/>
    <w:rsid w:val="66215F5D"/>
    <w:rsid w:val="663F18EE"/>
    <w:rsid w:val="66401F7E"/>
    <w:rsid w:val="664572DC"/>
    <w:rsid w:val="66594E7C"/>
    <w:rsid w:val="66671102"/>
    <w:rsid w:val="666B7416"/>
    <w:rsid w:val="66A45371"/>
    <w:rsid w:val="66CE465B"/>
    <w:rsid w:val="66FF1D1F"/>
    <w:rsid w:val="67065B78"/>
    <w:rsid w:val="673A7D2E"/>
    <w:rsid w:val="67746F85"/>
    <w:rsid w:val="677B47B7"/>
    <w:rsid w:val="6784541A"/>
    <w:rsid w:val="678A67A9"/>
    <w:rsid w:val="67B86A83"/>
    <w:rsid w:val="67BB380C"/>
    <w:rsid w:val="67C521FA"/>
    <w:rsid w:val="67E660D5"/>
    <w:rsid w:val="67EF74CE"/>
    <w:rsid w:val="684B0112"/>
    <w:rsid w:val="68541CA5"/>
    <w:rsid w:val="68571AE7"/>
    <w:rsid w:val="68605065"/>
    <w:rsid w:val="687471BF"/>
    <w:rsid w:val="688F70FD"/>
    <w:rsid w:val="68B5181E"/>
    <w:rsid w:val="68DE6DAC"/>
    <w:rsid w:val="68FB09C9"/>
    <w:rsid w:val="690F14C9"/>
    <w:rsid w:val="693D1D24"/>
    <w:rsid w:val="695D26A8"/>
    <w:rsid w:val="695D2FE6"/>
    <w:rsid w:val="695D4E2E"/>
    <w:rsid w:val="697778D2"/>
    <w:rsid w:val="69A67729"/>
    <w:rsid w:val="69E0543F"/>
    <w:rsid w:val="6A09046B"/>
    <w:rsid w:val="6A0C7394"/>
    <w:rsid w:val="6A263051"/>
    <w:rsid w:val="6A3B28B7"/>
    <w:rsid w:val="6A464C09"/>
    <w:rsid w:val="6A485E46"/>
    <w:rsid w:val="6A4D243B"/>
    <w:rsid w:val="6A4D33B9"/>
    <w:rsid w:val="6A696B49"/>
    <w:rsid w:val="6A7F6C6E"/>
    <w:rsid w:val="6A896D77"/>
    <w:rsid w:val="6A8E0EAB"/>
    <w:rsid w:val="6AC91EBE"/>
    <w:rsid w:val="6AFC003E"/>
    <w:rsid w:val="6AFF4E46"/>
    <w:rsid w:val="6B09157D"/>
    <w:rsid w:val="6B0F5943"/>
    <w:rsid w:val="6B364C7D"/>
    <w:rsid w:val="6B59096C"/>
    <w:rsid w:val="6B5B46E4"/>
    <w:rsid w:val="6B795DC3"/>
    <w:rsid w:val="6B7F67E4"/>
    <w:rsid w:val="6BB43DF4"/>
    <w:rsid w:val="6BDD159D"/>
    <w:rsid w:val="6BEF1DAD"/>
    <w:rsid w:val="6C005149"/>
    <w:rsid w:val="6C105E57"/>
    <w:rsid w:val="6C19336A"/>
    <w:rsid w:val="6C1B6E53"/>
    <w:rsid w:val="6C365542"/>
    <w:rsid w:val="6C36603C"/>
    <w:rsid w:val="6C626D37"/>
    <w:rsid w:val="6C6C4AED"/>
    <w:rsid w:val="6C766A5A"/>
    <w:rsid w:val="6C7C7502"/>
    <w:rsid w:val="6C953C26"/>
    <w:rsid w:val="6C972257"/>
    <w:rsid w:val="6C9B0852"/>
    <w:rsid w:val="6CA14324"/>
    <w:rsid w:val="6CA80604"/>
    <w:rsid w:val="6CA80759"/>
    <w:rsid w:val="6D19237D"/>
    <w:rsid w:val="6D1D702F"/>
    <w:rsid w:val="6D226D26"/>
    <w:rsid w:val="6D276701"/>
    <w:rsid w:val="6D313A84"/>
    <w:rsid w:val="6D3B2FF6"/>
    <w:rsid w:val="6D450549"/>
    <w:rsid w:val="6D8C5655"/>
    <w:rsid w:val="6D8E1B76"/>
    <w:rsid w:val="6DD469CF"/>
    <w:rsid w:val="6DE24C37"/>
    <w:rsid w:val="6DF57803"/>
    <w:rsid w:val="6E113780"/>
    <w:rsid w:val="6E201C15"/>
    <w:rsid w:val="6E274256"/>
    <w:rsid w:val="6E66084E"/>
    <w:rsid w:val="6E860962"/>
    <w:rsid w:val="6EAE6B68"/>
    <w:rsid w:val="6EBC16AC"/>
    <w:rsid w:val="6ED106D2"/>
    <w:rsid w:val="6F050962"/>
    <w:rsid w:val="6F09639B"/>
    <w:rsid w:val="6F196431"/>
    <w:rsid w:val="6F1F6E65"/>
    <w:rsid w:val="6F570DBD"/>
    <w:rsid w:val="6F9E7295"/>
    <w:rsid w:val="6FA85602"/>
    <w:rsid w:val="6FAF14A2"/>
    <w:rsid w:val="6FD44A65"/>
    <w:rsid w:val="6FE4739E"/>
    <w:rsid w:val="700C165D"/>
    <w:rsid w:val="70131A31"/>
    <w:rsid w:val="703E5FDE"/>
    <w:rsid w:val="703E6CF5"/>
    <w:rsid w:val="70487AF9"/>
    <w:rsid w:val="704E2A69"/>
    <w:rsid w:val="70650A1A"/>
    <w:rsid w:val="70877D29"/>
    <w:rsid w:val="70C35EB3"/>
    <w:rsid w:val="70DB7F7E"/>
    <w:rsid w:val="70DE203F"/>
    <w:rsid w:val="70E21BF9"/>
    <w:rsid w:val="70E9294B"/>
    <w:rsid w:val="70FE5F25"/>
    <w:rsid w:val="710429FA"/>
    <w:rsid w:val="710D32A0"/>
    <w:rsid w:val="712E1E5A"/>
    <w:rsid w:val="71353C29"/>
    <w:rsid w:val="7148570A"/>
    <w:rsid w:val="7157594D"/>
    <w:rsid w:val="715E4EF3"/>
    <w:rsid w:val="716167CC"/>
    <w:rsid w:val="716D5171"/>
    <w:rsid w:val="71783B5E"/>
    <w:rsid w:val="71995F66"/>
    <w:rsid w:val="71C42ADE"/>
    <w:rsid w:val="71C60761"/>
    <w:rsid w:val="71E50374"/>
    <w:rsid w:val="71F118FE"/>
    <w:rsid w:val="722E1923"/>
    <w:rsid w:val="72480F9D"/>
    <w:rsid w:val="72731A96"/>
    <w:rsid w:val="72833742"/>
    <w:rsid w:val="72AC42C5"/>
    <w:rsid w:val="72C61C9A"/>
    <w:rsid w:val="730F4E75"/>
    <w:rsid w:val="733F017D"/>
    <w:rsid w:val="73460941"/>
    <w:rsid w:val="735D2FC3"/>
    <w:rsid w:val="73784A7A"/>
    <w:rsid w:val="73813156"/>
    <w:rsid w:val="73A5137E"/>
    <w:rsid w:val="73A52066"/>
    <w:rsid w:val="73DF3F7C"/>
    <w:rsid w:val="74184804"/>
    <w:rsid w:val="742A7444"/>
    <w:rsid w:val="744D3038"/>
    <w:rsid w:val="744E11F2"/>
    <w:rsid w:val="745C192B"/>
    <w:rsid w:val="74777EE8"/>
    <w:rsid w:val="749F65FA"/>
    <w:rsid w:val="74A05D67"/>
    <w:rsid w:val="74BC0B3B"/>
    <w:rsid w:val="74C15C2B"/>
    <w:rsid w:val="74D77D5A"/>
    <w:rsid w:val="74E456F9"/>
    <w:rsid w:val="74F57957"/>
    <w:rsid w:val="752718BC"/>
    <w:rsid w:val="7530013C"/>
    <w:rsid w:val="754E350B"/>
    <w:rsid w:val="757A3B9B"/>
    <w:rsid w:val="75920D9E"/>
    <w:rsid w:val="75992FD9"/>
    <w:rsid w:val="75A84C9D"/>
    <w:rsid w:val="75AC2CC8"/>
    <w:rsid w:val="75CB674E"/>
    <w:rsid w:val="75D155BD"/>
    <w:rsid w:val="75E76B37"/>
    <w:rsid w:val="76044647"/>
    <w:rsid w:val="76174B94"/>
    <w:rsid w:val="76212A0B"/>
    <w:rsid w:val="76341D7D"/>
    <w:rsid w:val="763A7432"/>
    <w:rsid w:val="76426276"/>
    <w:rsid w:val="767304AD"/>
    <w:rsid w:val="76791CCF"/>
    <w:rsid w:val="768A0294"/>
    <w:rsid w:val="76B70727"/>
    <w:rsid w:val="76D101FA"/>
    <w:rsid w:val="76D56E66"/>
    <w:rsid w:val="76E51B3D"/>
    <w:rsid w:val="771C4F16"/>
    <w:rsid w:val="772E6280"/>
    <w:rsid w:val="77480A21"/>
    <w:rsid w:val="774E3D05"/>
    <w:rsid w:val="77650BE1"/>
    <w:rsid w:val="776802BA"/>
    <w:rsid w:val="77A03423"/>
    <w:rsid w:val="77C37209"/>
    <w:rsid w:val="77DB2D74"/>
    <w:rsid w:val="77F23A58"/>
    <w:rsid w:val="77F959B0"/>
    <w:rsid w:val="77FD31EB"/>
    <w:rsid w:val="781E6993"/>
    <w:rsid w:val="782521DE"/>
    <w:rsid w:val="78296732"/>
    <w:rsid w:val="78400D2A"/>
    <w:rsid w:val="784B74B9"/>
    <w:rsid w:val="78543A79"/>
    <w:rsid w:val="788563B9"/>
    <w:rsid w:val="788923CC"/>
    <w:rsid w:val="789E1DBB"/>
    <w:rsid w:val="78B07A2A"/>
    <w:rsid w:val="78C37D6C"/>
    <w:rsid w:val="78EA52F9"/>
    <w:rsid w:val="79053EE1"/>
    <w:rsid w:val="790C34C1"/>
    <w:rsid w:val="790C7ABB"/>
    <w:rsid w:val="790E49B4"/>
    <w:rsid w:val="79114CC7"/>
    <w:rsid w:val="791725BB"/>
    <w:rsid w:val="792739C2"/>
    <w:rsid w:val="7930196F"/>
    <w:rsid w:val="796F7C4B"/>
    <w:rsid w:val="797639EB"/>
    <w:rsid w:val="797B4877"/>
    <w:rsid w:val="799F60E4"/>
    <w:rsid w:val="79A01735"/>
    <w:rsid w:val="79A507FC"/>
    <w:rsid w:val="79B16059"/>
    <w:rsid w:val="79C11F1C"/>
    <w:rsid w:val="79D1107F"/>
    <w:rsid w:val="79D1504B"/>
    <w:rsid w:val="79D96644"/>
    <w:rsid w:val="79E34675"/>
    <w:rsid w:val="7A020420"/>
    <w:rsid w:val="7A80638A"/>
    <w:rsid w:val="7A9D0993"/>
    <w:rsid w:val="7AA962C3"/>
    <w:rsid w:val="7AAF23D1"/>
    <w:rsid w:val="7ABA37FC"/>
    <w:rsid w:val="7ACF4134"/>
    <w:rsid w:val="7AD1676C"/>
    <w:rsid w:val="7AD7609E"/>
    <w:rsid w:val="7AE70243"/>
    <w:rsid w:val="7B015DE4"/>
    <w:rsid w:val="7B02145B"/>
    <w:rsid w:val="7B157F4F"/>
    <w:rsid w:val="7B336166"/>
    <w:rsid w:val="7B3B7AA1"/>
    <w:rsid w:val="7B463B65"/>
    <w:rsid w:val="7B4D16C2"/>
    <w:rsid w:val="7B5A78F1"/>
    <w:rsid w:val="7B602F50"/>
    <w:rsid w:val="7B70418D"/>
    <w:rsid w:val="7B73485E"/>
    <w:rsid w:val="7B761B3A"/>
    <w:rsid w:val="7B9A6520"/>
    <w:rsid w:val="7BA3799C"/>
    <w:rsid w:val="7BB83709"/>
    <w:rsid w:val="7BC21AAE"/>
    <w:rsid w:val="7BCF1967"/>
    <w:rsid w:val="7BEA273E"/>
    <w:rsid w:val="7C1977A8"/>
    <w:rsid w:val="7C2535BA"/>
    <w:rsid w:val="7C4154FC"/>
    <w:rsid w:val="7C49047D"/>
    <w:rsid w:val="7C72264E"/>
    <w:rsid w:val="7C8166D6"/>
    <w:rsid w:val="7C8F5EED"/>
    <w:rsid w:val="7C905B5F"/>
    <w:rsid w:val="7CAD745E"/>
    <w:rsid w:val="7CC32428"/>
    <w:rsid w:val="7CD3540E"/>
    <w:rsid w:val="7CD561B0"/>
    <w:rsid w:val="7CD7388A"/>
    <w:rsid w:val="7CEC1640"/>
    <w:rsid w:val="7CEC328F"/>
    <w:rsid w:val="7D24584E"/>
    <w:rsid w:val="7D284642"/>
    <w:rsid w:val="7D696557"/>
    <w:rsid w:val="7D871368"/>
    <w:rsid w:val="7D886181"/>
    <w:rsid w:val="7D992BC9"/>
    <w:rsid w:val="7DB96E13"/>
    <w:rsid w:val="7DCE15CD"/>
    <w:rsid w:val="7DD15C5F"/>
    <w:rsid w:val="7DED1EE6"/>
    <w:rsid w:val="7DFD28CF"/>
    <w:rsid w:val="7E2C5F0E"/>
    <w:rsid w:val="7E3C65F7"/>
    <w:rsid w:val="7E4C0D1D"/>
    <w:rsid w:val="7E6D4A02"/>
    <w:rsid w:val="7EA05DA4"/>
    <w:rsid w:val="7EB16548"/>
    <w:rsid w:val="7EB16AF4"/>
    <w:rsid w:val="7ECA6CA8"/>
    <w:rsid w:val="7F16521A"/>
    <w:rsid w:val="7F256EBE"/>
    <w:rsid w:val="7F2A2F61"/>
    <w:rsid w:val="7F3F6025"/>
    <w:rsid w:val="7F630CC2"/>
    <w:rsid w:val="7F822458"/>
    <w:rsid w:val="7F8F18BA"/>
    <w:rsid w:val="7FD812B9"/>
    <w:rsid w:val="7FE951B8"/>
    <w:rsid w:val="7FEC5DFB"/>
    <w:rsid w:val="7FF71B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等线 Light" w:hAnsi="Times New Roman" w:eastAsia="宋体" w:cs="Times New Roman"/>
      <w:sz w:val="24"/>
      <w:szCs w:val="24"/>
      <w:lang w:val="en-US" w:eastAsia="zh-CN" w:bidi="ar-SA"/>
    </w:rPr>
  </w:style>
  <w:style w:type="paragraph" w:styleId="4">
    <w:name w:val="heading 1"/>
    <w:basedOn w:val="1"/>
    <w:next w:val="1"/>
    <w:link w:val="74"/>
    <w:qFormat/>
    <w:uiPriority w:val="0"/>
    <w:pPr>
      <w:outlineLvl w:val="0"/>
    </w:pPr>
    <w:rPr>
      <w:rFonts w:hAnsi="幼圆" w:eastAsia="等线 Light"/>
    </w:rPr>
  </w:style>
  <w:style w:type="paragraph" w:styleId="5">
    <w:name w:val="heading 2"/>
    <w:basedOn w:val="1"/>
    <w:next w:val="1"/>
    <w:link w:val="75"/>
    <w:qFormat/>
    <w:uiPriority w:val="0"/>
    <w:pPr>
      <w:outlineLvl w:val="1"/>
    </w:pPr>
    <w:rPr>
      <w:rFonts w:hAnsi="幼圆" w:eastAsia="等线 Light"/>
    </w:rPr>
  </w:style>
  <w:style w:type="paragraph" w:styleId="6">
    <w:name w:val="heading 3"/>
    <w:basedOn w:val="1"/>
    <w:next w:val="1"/>
    <w:link w:val="76"/>
    <w:qFormat/>
    <w:uiPriority w:val="0"/>
    <w:pPr>
      <w:outlineLvl w:val="2"/>
    </w:pPr>
    <w:rPr>
      <w:rFonts w:hAnsi="幼圆" w:eastAsia="等线 Light"/>
    </w:rPr>
  </w:style>
  <w:style w:type="paragraph" w:styleId="7">
    <w:name w:val="heading 4"/>
    <w:basedOn w:val="1"/>
    <w:next w:val="1"/>
    <w:link w:val="77"/>
    <w:qFormat/>
    <w:uiPriority w:val="0"/>
    <w:pPr>
      <w:keepNext/>
      <w:keepLines/>
      <w:spacing w:before="280" w:after="290" w:line="376" w:lineRule="auto"/>
      <w:outlineLvl w:val="3"/>
    </w:pPr>
    <w:rPr>
      <w:rFonts w:ascii="楷体_GB2312" w:hAnsi="楷体_GB2312" w:eastAsia="PMingLiU"/>
      <w:b/>
      <w:bCs/>
      <w:sz w:val="28"/>
      <w:szCs w:val="28"/>
    </w:rPr>
  </w:style>
  <w:style w:type="paragraph" w:styleId="8">
    <w:name w:val="heading 5"/>
    <w:basedOn w:val="1"/>
    <w:next w:val="1"/>
    <w:link w:val="78"/>
    <w:qFormat/>
    <w:uiPriority w:val="9"/>
    <w:pPr>
      <w:keepNext/>
      <w:keepLines/>
      <w:spacing w:before="280" w:after="290" w:line="376" w:lineRule="auto"/>
      <w:outlineLvl w:val="4"/>
    </w:pPr>
    <w:rPr>
      <w:b/>
      <w:bCs/>
      <w:sz w:val="28"/>
      <w:szCs w:val="28"/>
    </w:rPr>
  </w:style>
  <w:style w:type="paragraph" w:styleId="9">
    <w:name w:val="heading 6"/>
    <w:basedOn w:val="1"/>
    <w:next w:val="10"/>
    <w:link w:val="79"/>
    <w:qFormat/>
    <w:uiPriority w:val="9"/>
    <w:pPr>
      <w:keepLines/>
      <w:tabs>
        <w:tab w:val="left" w:pos="1152"/>
      </w:tabs>
      <w:autoSpaceDE/>
      <w:autoSpaceDN/>
      <w:snapToGrid w:val="0"/>
      <w:spacing w:beforeLines="50" w:line="360" w:lineRule="auto"/>
      <w:ind w:left="1152" w:hanging="1152"/>
      <w:textAlignment w:val="baseline"/>
      <w:outlineLvl w:val="5"/>
    </w:pPr>
    <w:rPr>
      <w:rFonts w:ascii="Times New Roman" w:eastAsia="PMingLiU"/>
      <w:b/>
      <w:bCs/>
      <w:sz w:val="28"/>
    </w:rPr>
  </w:style>
  <w:style w:type="paragraph" w:styleId="11">
    <w:name w:val="heading 7"/>
    <w:basedOn w:val="1"/>
    <w:next w:val="10"/>
    <w:link w:val="81"/>
    <w:qFormat/>
    <w:uiPriority w:val="0"/>
    <w:pPr>
      <w:keepNext/>
      <w:keepLines/>
      <w:tabs>
        <w:tab w:val="left" w:pos="1296"/>
      </w:tabs>
      <w:autoSpaceDE/>
      <w:autoSpaceDN/>
      <w:snapToGrid w:val="0"/>
      <w:spacing w:before="240" w:after="120"/>
      <w:ind w:left="1296" w:hanging="1296"/>
      <w:jc w:val="both"/>
      <w:textAlignment w:val="baseline"/>
      <w:outlineLvl w:val="6"/>
    </w:pPr>
    <w:rPr>
      <w:rFonts w:ascii="Times New Roman" w:eastAsia="PMingLiU"/>
      <w:b/>
      <w:bCs/>
      <w:sz w:val="28"/>
    </w:rPr>
  </w:style>
  <w:style w:type="paragraph" w:styleId="12">
    <w:name w:val="heading 8"/>
    <w:basedOn w:val="1"/>
    <w:next w:val="10"/>
    <w:link w:val="82"/>
    <w:qFormat/>
    <w:uiPriority w:val="0"/>
    <w:pPr>
      <w:keepNext/>
      <w:keepLines/>
      <w:tabs>
        <w:tab w:val="left" w:pos="1440"/>
      </w:tabs>
      <w:autoSpaceDE/>
      <w:autoSpaceDN/>
      <w:adjustRightInd/>
      <w:snapToGrid w:val="0"/>
      <w:spacing w:before="240" w:after="120"/>
      <w:ind w:left="1440" w:hanging="1440"/>
      <w:jc w:val="both"/>
      <w:outlineLvl w:val="7"/>
    </w:pPr>
    <w:rPr>
      <w:rFonts w:ascii="Times New Roman" w:eastAsia="PMingLiU"/>
      <w:b/>
      <w:sz w:val="28"/>
    </w:rPr>
  </w:style>
  <w:style w:type="paragraph" w:styleId="13">
    <w:name w:val="heading 9"/>
    <w:basedOn w:val="1"/>
    <w:next w:val="10"/>
    <w:link w:val="83"/>
    <w:qFormat/>
    <w:uiPriority w:val="0"/>
    <w:pPr>
      <w:keepNext/>
      <w:keepLines/>
      <w:tabs>
        <w:tab w:val="left" w:pos="1584"/>
      </w:tabs>
      <w:autoSpaceDE/>
      <w:autoSpaceDN/>
      <w:adjustRightInd/>
      <w:snapToGrid w:val="0"/>
      <w:spacing w:before="240" w:after="120"/>
      <w:ind w:left="1584" w:hanging="1584"/>
      <w:jc w:val="both"/>
      <w:outlineLvl w:val="8"/>
    </w:pPr>
    <w:rPr>
      <w:rFonts w:ascii="Times New Roman" w:eastAsia="PMingLiU"/>
      <w:b/>
      <w:sz w:val="28"/>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9"/>
    <w:qFormat/>
    <w:uiPriority w:val="1"/>
    <w:pPr>
      <w:ind w:right="-26"/>
      <w:jc w:val="center"/>
    </w:pPr>
    <w:rPr>
      <w:rFonts w:eastAsia="等线 Light"/>
      <w:b/>
      <w:bCs/>
      <w:sz w:val="84"/>
      <w:szCs w:val="84"/>
      <w:lang w:val="zh-CN"/>
    </w:rPr>
  </w:style>
  <w:style w:type="paragraph" w:styleId="3">
    <w:name w:val="Body Text First Indent"/>
    <w:basedOn w:val="2"/>
    <w:link w:val="106"/>
    <w:unhideWhenUsed/>
    <w:qFormat/>
    <w:uiPriority w:val="99"/>
    <w:pPr>
      <w:ind w:firstLine="420" w:firstLineChars="100"/>
    </w:pPr>
    <w:rPr>
      <w:rFonts w:eastAsia="宋体"/>
    </w:rPr>
  </w:style>
  <w:style w:type="paragraph" w:customStyle="1" w:styleId="10">
    <w:name w:val="模板正文"/>
    <w:basedOn w:val="1"/>
    <w:link w:val="80"/>
    <w:qFormat/>
    <w:uiPriority w:val="0"/>
    <w:pPr>
      <w:wordWrap w:val="0"/>
      <w:spacing w:beforeLines="50" w:line="360" w:lineRule="auto"/>
      <w:ind w:firstLine="200" w:firstLineChars="200"/>
    </w:pPr>
    <w:rPr>
      <w:rFonts w:eastAsia="font-weight : 400"/>
      <w:szCs w:val="21"/>
    </w:rPr>
  </w:style>
  <w:style w:type="paragraph" w:styleId="14">
    <w:name w:val="toc 7"/>
    <w:basedOn w:val="1"/>
    <w:next w:val="1"/>
    <w:unhideWhenUsed/>
    <w:qFormat/>
    <w:uiPriority w:val="39"/>
    <w:pPr>
      <w:ind w:left="1440"/>
    </w:pPr>
    <w:rPr>
      <w:rFonts w:ascii="Arial Unicode MS" w:hAnsi="Arial Unicode MS" w:cs="Arial Unicode MS"/>
      <w:sz w:val="18"/>
      <w:szCs w:val="18"/>
    </w:rPr>
  </w:style>
  <w:style w:type="paragraph" w:styleId="15">
    <w:name w:val="List Bullet 4"/>
    <w:basedOn w:val="1"/>
    <w:qFormat/>
    <w:uiPriority w:val="0"/>
    <w:pPr>
      <w:tabs>
        <w:tab w:val="left" w:pos="720"/>
      </w:tabs>
      <w:autoSpaceDE/>
      <w:autoSpaceDN/>
      <w:adjustRightInd/>
      <w:ind w:left="425" w:hanging="425"/>
      <w:jc w:val="both"/>
    </w:pPr>
    <w:rPr>
      <w:rFonts w:ascii="Arial Unicode MS" w:hAnsi="Arial Unicode MS"/>
      <w:kern w:val="2"/>
      <w:sz w:val="21"/>
      <w:szCs w:val="21"/>
    </w:rPr>
  </w:style>
  <w:style w:type="paragraph" w:styleId="16">
    <w:name w:val="Normal Indent"/>
    <w:basedOn w:val="1"/>
    <w:link w:val="84"/>
    <w:qFormat/>
    <w:uiPriority w:val="0"/>
    <w:pPr>
      <w:widowControl/>
      <w:autoSpaceDE/>
      <w:autoSpaceDN/>
      <w:adjustRightInd/>
      <w:ind w:firstLine="420" w:firstLineChars="200"/>
    </w:pPr>
    <w:rPr>
      <w:rFonts w:ascii="幼圆"/>
      <w:sz w:val="20"/>
      <w:szCs w:val="20"/>
    </w:rPr>
  </w:style>
  <w:style w:type="paragraph" w:styleId="17">
    <w:name w:val="caption"/>
    <w:basedOn w:val="1"/>
    <w:next w:val="1"/>
    <w:link w:val="85"/>
    <w:qFormat/>
    <w:uiPriority w:val="0"/>
    <w:pPr>
      <w:spacing w:before="152" w:after="160"/>
    </w:pPr>
    <w:rPr>
      <w:rFonts w:ascii="楷体_GB2312" w:hAnsi="楷体_GB2312" w:eastAsia="PMingLiU"/>
      <w:sz w:val="20"/>
      <w:szCs w:val="20"/>
    </w:rPr>
  </w:style>
  <w:style w:type="paragraph" w:styleId="18">
    <w:name w:val="List Bullet"/>
    <w:basedOn w:val="1"/>
    <w:qFormat/>
    <w:uiPriority w:val="0"/>
    <w:pPr>
      <w:numPr>
        <w:ilvl w:val="0"/>
        <w:numId w:val="1"/>
      </w:numPr>
      <w:tabs>
        <w:tab w:val="left" w:pos="360"/>
      </w:tabs>
      <w:autoSpaceDE/>
      <w:autoSpaceDN/>
      <w:adjustRightInd/>
      <w:jc w:val="both"/>
    </w:pPr>
    <w:rPr>
      <w:rFonts w:ascii="Arial Unicode MS" w:hAnsi="Arial Unicode MS"/>
      <w:kern w:val="2"/>
      <w:sz w:val="21"/>
      <w:szCs w:val="21"/>
    </w:rPr>
  </w:style>
  <w:style w:type="paragraph" w:styleId="19">
    <w:name w:val="Document Map"/>
    <w:basedOn w:val="1"/>
    <w:link w:val="86"/>
    <w:qFormat/>
    <w:uiPriority w:val="0"/>
    <w:pPr>
      <w:shd w:val="clear" w:color="auto" w:fill="000080"/>
    </w:pPr>
    <w:rPr>
      <w:rFonts w:hAnsi="幼圆" w:eastAsia="等线 Light"/>
    </w:rPr>
  </w:style>
  <w:style w:type="paragraph" w:styleId="20">
    <w:name w:val="toa heading"/>
    <w:basedOn w:val="1"/>
    <w:next w:val="1"/>
    <w:qFormat/>
    <w:uiPriority w:val="0"/>
    <w:pPr>
      <w:snapToGrid w:val="0"/>
      <w:spacing w:before="120" w:line="360" w:lineRule="auto"/>
      <w:jc w:val="both"/>
    </w:pPr>
    <w:rPr>
      <w:rFonts w:ascii="楷体_GB2312" w:hAnsi="楷体_GB2312"/>
      <w:snapToGrid w:val="0"/>
      <w:color w:val="000000"/>
      <w:sz w:val="21"/>
      <w:szCs w:val="20"/>
    </w:rPr>
  </w:style>
  <w:style w:type="paragraph" w:styleId="21">
    <w:name w:val="annotation text"/>
    <w:basedOn w:val="1"/>
    <w:link w:val="87"/>
    <w:unhideWhenUsed/>
    <w:qFormat/>
    <w:uiPriority w:val="0"/>
    <w:rPr>
      <w:rFonts w:hAnsi="幼圆" w:eastAsia="等线 Light"/>
    </w:rPr>
  </w:style>
  <w:style w:type="paragraph" w:styleId="22">
    <w:name w:val="Body Text 3"/>
    <w:basedOn w:val="1"/>
    <w:link w:val="88"/>
    <w:qFormat/>
    <w:uiPriority w:val="0"/>
    <w:pPr>
      <w:ind w:right="-26"/>
      <w:jc w:val="center"/>
    </w:pPr>
    <w:rPr>
      <w:rFonts w:hAnsi="幼圆" w:eastAsia="等线 Light"/>
      <w:b/>
      <w:bCs/>
      <w:color w:val="3366FF"/>
      <w:sz w:val="52"/>
      <w:szCs w:val="52"/>
      <w:lang w:val="zh-CN"/>
    </w:rPr>
  </w:style>
  <w:style w:type="paragraph" w:styleId="23">
    <w:name w:val="List Bullet 3"/>
    <w:basedOn w:val="1"/>
    <w:qFormat/>
    <w:uiPriority w:val="0"/>
    <w:pPr>
      <w:tabs>
        <w:tab w:val="left" w:pos="426"/>
      </w:tabs>
      <w:autoSpaceDE/>
      <w:autoSpaceDN/>
      <w:adjustRightInd/>
      <w:ind w:left="426" w:hanging="425"/>
      <w:jc w:val="both"/>
    </w:pPr>
    <w:rPr>
      <w:rFonts w:ascii="Arial Unicode MS" w:hAnsi="Arial Unicode MS"/>
      <w:kern w:val="2"/>
      <w:sz w:val="21"/>
      <w:szCs w:val="21"/>
    </w:rPr>
  </w:style>
  <w:style w:type="paragraph" w:styleId="24">
    <w:name w:val="Body Text Indent"/>
    <w:basedOn w:val="1"/>
    <w:next w:val="2"/>
    <w:link w:val="90"/>
    <w:qFormat/>
    <w:uiPriority w:val="0"/>
    <w:pPr>
      <w:autoSpaceDE/>
      <w:autoSpaceDN/>
      <w:adjustRightInd/>
      <w:ind w:left="567" w:leftChars="270"/>
      <w:jc w:val="both"/>
    </w:pPr>
    <w:rPr>
      <w:rFonts w:ascii="幼圆" w:hAnsi="幼圆" w:eastAsia="等线 Light"/>
      <w:sz w:val="20"/>
      <w:szCs w:val="20"/>
    </w:rPr>
  </w:style>
  <w:style w:type="paragraph" w:styleId="25">
    <w:name w:val="List 2"/>
    <w:basedOn w:val="26"/>
    <w:qFormat/>
    <w:uiPriority w:val="0"/>
    <w:pPr>
      <w:autoSpaceDE/>
      <w:autoSpaceDN/>
      <w:adjustRightInd/>
      <w:snapToGrid w:val="0"/>
      <w:spacing w:before="120" w:after="220" w:line="220" w:lineRule="atLeast"/>
      <w:ind w:left="1800" w:hanging="360" w:firstLineChars="0"/>
      <w:jc w:val="both"/>
    </w:pPr>
    <w:rPr>
      <w:rFonts w:ascii="monospace" w:hAnsi="Arial Unicode MS" w:eastAsia="monospace"/>
      <w:sz w:val="22"/>
      <w:szCs w:val="20"/>
    </w:rPr>
  </w:style>
  <w:style w:type="paragraph" w:styleId="26">
    <w:name w:val="List"/>
    <w:basedOn w:val="1"/>
    <w:unhideWhenUsed/>
    <w:qFormat/>
    <w:uiPriority w:val="0"/>
    <w:pPr>
      <w:ind w:left="200" w:hanging="200" w:hangingChars="200"/>
      <w:contextualSpacing/>
    </w:pPr>
  </w:style>
  <w:style w:type="paragraph" w:styleId="27">
    <w:name w:val="Block Text"/>
    <w:basedOn w:val="1"/>
    <w:qFormat/>
    <w:uiPriority w:val="0"/>
    <w:pPr>
      <w:autoSpaceDE/>
      <w:autoSpaceDN/>
      <w:adjustRightInd/>
      <w:spacing w:after="120"/>
      <w:ind w:left="1440" w:leftChars="700" w:right="1440" w:rightChars="700"/>
      <w:jc w:val="both"/>
    </w:pPr>
    <w:rPr>
      <w:rFonts w:ascii="Arial Unicode MS" w:hAnsi="Arial Unicode MS"/>
      <w:kern w:val="2"/>
      <w:sz w:val="21"/>
    </w:rPr>
  </w:style>
  <w:style w:type="paragraph" w:styleId="28">
    <w:name w:val="List Bullet 2"/>
    <w:basedOn w:val="1"/>
    <w:qFormat/>
    <w:uiPriority w:val="0"/>
    <w:pPr>
      <w:numPr>
        <w:ilvl w:val="0"/>
        <w:numId w:val="2"/>
      </w:numPr>
      <w:tabs>
        <w:tab w:val="left" w:pos="780"/>
      </w:tabs>
      <w:autoSpaceDE/>
      <w:autoSpaceDN/>
      <w:adjustRightInd/>
      <w:ind w:left="780" w:leftChars="200"/>
      <w:jc w:val="both"/>
    </w:pPr>
    <w:rPr>
      <w:rFonts w:ascii="Arial Unicode MS" w:hAnsi="Arial Unicode MS"/>
      <w:kern w:val="2"/>
      <w:sz w:val="21"/>
      <w:szCs w:val="21"/>
    </w:rPr>
  </w:style>
  <w:style w:type="paragraph" w:styleId="29">
    <w:name w:val="index 4"/>
    <w:basedOn w:val="1"/>
    <w:next w:val="1"/>
    <w:qFormat/>
    <w:uiPriority w:val="0"/>
    <w:pPr>
      <w:autoSpaceDE/>
      <w:autoSpaceDN/>
      <w:adjustRightInd/>
      <w:ind w:left="600" w:leftChars="600"/>
      <w:jc w:val="both"/>
    </w:pPr>
    <w:rPr>
      <w:rFonts w:ascii="Arial Unicode MS" w:hAnsi="Arial Unicode MS"/>
      <w:kern w:val="2"/>
      <w:sz w:val="21"/>
      <w:szCs w:val="20"/>
    </w:rPr>
  </w:style>
  <w:style w:type="paragraph" w:styleId="30">
    <w:name w:val="toc 5"/>
    <w:basedOn w:val="1"/>
    <w:next w:val="1"/>
    <w:unhideWhenUsed/>
    <w:qFormat/>
    <w:uiPriority w:val="39"/>
    <w:pPr>
      <w:ind w:left="960"/>
    </w:pPr>
    <w:rPr>
      <w:rFonts w:ascii="Arial Unicode MS" w:hAnsi="Arial Unicode MS" w:cs="Arial Unicode MS"/>
      <w:sz w:val="18"/>
      <w:szCs w:val="18"/>
    </w:rPr>
  </w:style>
  <w:style w:type="paragraph" w:styleId="31">
    <w:name w:val="toc 3"/>
    <w:basedOn w:val="1"/>
    <w:next w:val="1"/>
    <w:qFormat/>
    <w:uiPriority w:val="39"/>
    <w:pPr>
      <w:ind w:left="480"/>
    </w:pPr>
    <w:rPr>
      <w:rFonts w:ascii="Arial Unicode MS" w:hAnsi="Arial Unicode MS" w:cs="Arial Unicode MS"/>
      <w:i/>
      <w:iCs/>
      <w:sz w:val="20"/>
      <w:szCs w:val="20"/>
    </w:rPr>
  </w:style>
  <w:style w:type="paragraph" w:styleId="32">
    <w:name w:val="Plain Text"/>
    <w:basedOn w:val="1"/>
    <w:link w:val="91"/>
    <w:qFormat/>
    <w:uiPriority w:val="0"/>
    <w:pPr>
      <w:autoSpaceDE/>
      <w:autoSpaceDN/>
      <w:adjustRightInd/>
      <w:jc w:val="both"/>
    </w:pPr>
    <w:rPr>
      <w:rFonts w:hAnsi="Helv" w:eastAsia="等线 Light"/>
      <w:sz w:val="20"/>
      <w:szCs w:val="20"/>
    </w:rPr>
  </w:style>
  <w:style w:type="paragraph" w:styleId="33">
    <w:name w:val="List Bullet 5"/>
    <w:basedOn w:val="1"/>
    <w:qFormat/>
    <w:uiPriority w:val="0"/>
    <w:pPr>
      <w:tabs>
        <w:tab w:val="left" w:pos="840"/>
      </w:tabs>
      <w:autoSpaceDE/>
      <w:autoSpaceDN/>
      <w:adjustRightInd/>
      <w:ind w:left="840" w:hanging="420"/>
      <w:jc w:val="both"/>
    </w:pPr>
    <w:rPr>
      <w:rFonts w:ascii="Arial Unicode MS" w:hAnsi="Arial Unicode MS"/>
      <w:kern w:val="2"/>
      <w:sz w:val="21"/>
      <w:szCs w:val="21"/>
    </w:rPr>
  </w:style>
  <w:style w:type="paragraph" w:styleId="34">
    <w:name w:val="toc 8"/>
    <w:basedOn w:val="1"/>
    <w:next w:val="1"/>
    <w:unhideWhenUsed/>
    <w:qFormat/>
    <w:uiPriority w:val="39"/>
    <w:pPr>
      <w:ind w:left="1680"/>
    </w:pPr>
    <w:rPr>
      <w:rFonts w:ascii="Arial Unicode MS" w:hAnsi="Arial Unicode MS" w:cs="Arial Unicode MS"/>
      <w:sz w:val="18"/>
      <w:szCs w:val="18"/>
    </w:rPr>
  </w:style>
  <w:style w:type="paragraph" w:styleId="35">
    <w:name w:val="Date"/>
    <w:basedOn w:val="1"/>
    <w:next w:val="1"/>
    <w:link w:val="92"/>
    <w:qFormat/>
    <w:uiPriority w:val="0"/>
    <w:pPr>
      <w:ind w:left="100" w:leftChars="2500"/>
    </w:pPr>
    <w:rPr>
      <w:rFonts w:hAnsi="幼圆" w:eastAsia="等线 Light"/>
      <w:b/>
      <w:bCs/>
      <w:sz w:val="20"/>
      <w:szCs w:val="21"/>
      <w:lang w:val="zh-CN"/>
    </w:rPr>
  </w:style>
  <w:style w:type="paragraph" w:styleId="36">
    <w:name w:val="Body Text Indent 2"/>
    <w:basedOn w:val="1"/>
    <w:link w:val="93"/>
    <w:qFormat/>
    <w:uiPriority w:val="0"/>
    <w:pPr>
      <w:tabs>
        <w:tab w:val="left" w:pos="8640"/>
      </w:tabs>
      <w:autoSpaceDE/>
      <w:autoSpaceDN/>
      <w:adjustRightInd/>
      <w:ind w:left="1260"/>
      <w:jc w:val="both"/>
    </w:pPr>
    <w:rPr>
      <w:rFonts w:hAnsi="幼圆" w:eastAsia="等线 Light"/>
      <w:sz w:val="20"/>
      <w:szCs w:val="20"/>
    </w:rPr>
  </w:style>
  <w:style w:type="paragraph" w:styleId="37">
    <w:name w:val="endnote text"/>
    <w:basedOn w:val="1"/>
    <w:link w:val="94"/>
    <w:qFormat/>
    <w:uiPriority w:val="0"/>
    <w:pPr>
      <w:autoSpaceDE/>
      <w:autoSpaceDN/>
      <w:adjustRightInd/>
      <w:snapToGrid w:val="0"/>
    </w:pPr>
    <w:rPr>
      <w:rFonts w:ascii="Times New Roman"/>
      <w:kern w:val="2"/>
      <w:sz w:val="21"/>
    </w:rPr>
  </w:style>
  <w:style w:type="paragraph" w:styleId="38">
    <w:name w:val="Balloon Text"/>
    <w:basedOn w:val="1"/>
    <w:link w:val="95"/>
    <w:qFormat/>
    <w:uiPriority w:val="0"/>
    <w:pPr>
      <w:autoSpaceDE/>
      <w:autoSpaceDN/>
      <w:adjustRightInd/>
      <w:jc w:val="both"/>
    </w:pPr>
    <w:rPr>
      <w:rFonts w:ascii="幼圆" w:hAnsi="幼圆" w:eastAsia="等线 Light"/>
      <w:sz w:val="18"/>
      <w:szCs w:val="18"/>
    </w:rPr>
  </w:style>
  <w:style w:type="paragraph" w:styleId="39">
    <w:name w:val="footer"/>
    <w:basedOn w:val="1"/>
    <w:link w:val="96"/>
    <w:qFormat/>
    <w:uiPriority w:val="99"/>
    <w:pPr>
      <w:tabs>
        <w:tab w:val="center" w:pos="4153"/>
        <w:tab w:val="right" w:pos="8306"/>
      </w:tabs>
      <w:snapToGrid w:val="0"/>
    </w:pPr>
    <w:rPr>
      <w:rFonts w:eastAsia="等线 Light"/>
      <w:sz w:val="18"/>
      <w:szCs w:val="18"/>
    </w:rPr>
  </w:style>
  <w:style w:type="paragraph" w:styleId="40">
    <w:name w:val="header"/>
    <w:basedOn w:val="1"/>
    <w:link w:val="97"/>
    <w:qFormat/>
    <w:uiPriority w:val="0"/>
    <w:pPr>
      <w:pBdr>
        <w:bottom w:val="single" w:color="auto" w:sz="6" w:space="1"/>
      </w:pBdr>
      <w:tabs>
        <w:tab w:val="center" w:pos="4153"/>
        <w:tab w:val="right" w:pos="8306"/>
      </w:tabs>
      <w:snapToGrid w:val="0"/>
      <w:jc w:val="center"/>
    </w:pPr>
    <w:rPr>
      <w:rFonts w:eastAsia="等线 Light"/>
      <w:sz w:val="18"/>
      <w:szCs w:val="18"/>
    </w:rPr>
  </w:style>
  <w:style w:type="paragraph" w:styleId="41">
    <w:name w:val="Signature"/>
    <w:basedOn w:val="2"/>
    <w:link w:val="98"/>
    <w:qFormat/>
    <w:uiPriority w:val="0"/>
    <w:pPr>
      <w:keepNext/>
      <w:keepLines/>
      <w:widowControl/>
      <w:autoSpaceDE/>
      <w:autoSpaceDN/>
      <w:adjustRightInd/>
      <w:spacing w:before="660" w:line="240" w:lineRule="atLeast"/>
      <w:ind w:right="0"/>
      <w:jc w:val="both"/>
    </w:pPr>
    <w:rPr>
      <w:rFonts w:ascii="仿宋_GB2312" w:hAnsi="仿宋_GB2312" w:eastAsia="宋体"/>
      <w:b w:val="0"/>
      <w:bCs w:val="0"/>
      <w:spacing w:val="-5"/>
      <w:kern w:val="2"/>
      <w:sz w:val="24"/>
      <w:szCs w:val="24"/>
    </w:rPr>
  </w:style>
  <w:style w:type="paragraph" w:styleId="42">
    <w:name w:val="toc 1"/>
    <w:basedOn w:val="1"/>
    <w:next w:val="1"/>
    <w:qFormat/>
    <w:uiPriority w:val="39"/>
    <w:pPr>
      <w:spacing w:before="120" w:after="120"/>
    </w:pPr>
    <w:rPr>
      <w:rFonts w:ascii="Arial Unicode MS" w:hAnsi="Arial Unicode MS" w:cs="Arial Unicode MS"/>
      <w:b/>
      <w:bCs/>
      <w:caps/>
      <w:sz w:val="20"/>
      <w:szCs w:val="20"/>
    </w:rPr>
  </w:style>
  <w:style w:type="paragraph" w:styleId="43">
    <w:name w:val="toc 4"/>
    <w:basedOn w:val="1"/>
    <w:next w:val="1"/>
    <w:unhideWhenUsed/>
    <w:qFormat/>
    <w:uiPriority w:val="39"/>
    <w:pPr>
      <w:ind w:left="720"/>
    </w:pPr>
    <w:rPr>
      <w:rFonts w:ascii="Arial Unicode MS" w:hAnsi="Arial Unicode MS" w:cs="Arial Unicode MS"/>
      <w:sz w:val="18"/>
      <w:szCs w:val="18"/>
    </w:rPr>
  </w:style>
  <w:style w:type="paragraph" w:styleId="44">
    <w:name w:val="footnote text"/>
    <w:basedOn w:val="1"/>
    <w:link w:val="99"/>
    <w:qFormat/>
    <w:uiPriority w:val="0"/>
    <w:pPr>
      <w:autoSpaceDE/>
      <w:autoSpaceDN/>
      <w:adjustRightInd/>
      <w:snapToGrid w:val="0"/>
    </w:pPr>
    <w:rPr>
      <w:rFonts w:ascii="Times New Roman"/>
      <w:kern w:val="2"/>
      <w:sz w:val="18"/>
      <w:szCs w:val="18"/>
    </w:rPr>
  </w:style>
  <w:style w:type="paragraph" w:styleId="45">
    <w:name w:val="toc 6"/>
    <w:basedOn w:val="1"/>
    <w:next w:val="1"/>
    <w:unhideWhenUsed/>
    <w:qFormat/>
    <w:uiPriority w:val="39"/>
    <w:pPr>
      <w:ind w:left="1200"/>
    </w:pPr>
    <w:rPr>
      <w:rFonts w:ascii="Arial Unicode MS" w:hAnsi="Arial Unicode MS" w:cs="Arial Unicode MS"/>
      <w:sz w:val="18"/>
      <w:szCs w:val="18"/>
    </w:rPr>
  </w:style>
  <w:style w:type="paragraph" w:styleId="46">
    <w:name w:val="Body Text Indent 3"/>
    <w:basedOn w:val="1"/>
    <w:link w:val="100"/>
    <w:qFormat/>
    <w:uiPriority w:val="0"/>
    <w:pPr>
      <w:spacing w:line="360" w:lineRule="auto"/>
      <w:ind w:firstLine="480" w:firstLineChars="200"/>
    </w:pPr>
    <w:rPr>
      <w:rFonts w:hAnsi="幼圆" w:eastAsia="等线 Light"/>
    </w:rPr>
  </w:style>
  <w:style w:type="paragraph" w:styleId="47">
    <w:name w:val="toc 2"/>
    <w:basedOn w:val="1"/>
    <w:next w:val="1"/>
    <w:unhideWhenUsed/>
    <w:qFormat/>
    <w:uiPriority w:val="39"/>
    <w:pPr>
      <w:ind w:left="240"/>
    </w:pPr>
    <w:rPr>
      <w:rFonts w:ascii="Arial Unicode MS" w:hAnsi="Arial Unicode MS" w:cs="Arial Unicode MS"/>
      <w:smallCaps/>
      <w:sz w:val="20"/>
      <w:szCs w:val="20"/>
    </w:rPr>
  </w:style>
  <w:style w:type="paragraph" w:styleId="48">
    <w:name w:val="toc 9"/>
    <w:basedOn w:val="1"/>
    <w:next w:val="1"/>
    <w:unhideWhenUsed/>
    <w:qFormat/>
    <w:uiPriority w:val="39"/>
    <w:pPr>
      <w:ind w:left="1920"/>
    </w:pPr>
    <w:rPr>
      <w:rFonts w:ascii="Arial Unicode MS" w:hAnsi="Arial Unicode MS" w:cs="Arial Unicode MS"/>
      <w:sz w:val="18"/>
      <w:szCs w:val="18"/>
    </w:rPr>
  </w:style>
  <w:style w:type="paragraph" w:styleId="49">
    <w:name w:val="Body Text 2"/>
    <w:basedOn w:val="1"/>
    <w:link w:val="101"/>
    <w:qFormat/>
    <w:uiPriority w:val="0"/>
    <w:pPr>
      <w:tabs>
        <w:tab w:val="left" w:pos="0"/>
      </w:tabs>
      <w:autoSpaceDE/>
      <w:autoSpaceDN/>
      <w:adjustRightInd/>
      <w:spacing w:line="400" w:lineRule="atLeast"/>
      <w:jc w:val="both"/>
    </w:pPr>
    <w:rPr>
      <w:rFonts w:ascii="楷体_GB2312" w:hAnsi="楷体_GB2312" w:eastAsia="等线 Light"/>
      <w:color w:val="000000"/>
      <w:sz w:val="20"/>
    </w:rPr>
  </w:style>
  <w:style w:type="paragraph" w:styleId="50">
    <w:name w:val="HTML Preformatted"/>
    <w:basedOn w:val="1"/>
    <w:link w:val="10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hAnsi="楷体_GB2312" w:eastAsia="等线 Light"/>
      <w:sz w:val="20"/>
      <w:szCs w:val="21"/>
    </w:rPr>
  </w:style>
  <w:style w:type="paragraph" w:styleId="51">
    <w:name w:val="Normal (Web)"/>
    <w:basedOn w:val="1"/>
    <w:link w:val="103"/>
    <w:qFormat/>
    <w:uiPriority w:val="99"/>
    <w:pPr>
      <w:widowControl/>
      <w:autoSpaceDE/>
      <w:autoSpaceDN/>
      <w:adjustRightInd/>
      <w:spacing w:before="100" w:beforeAutospacing="1" w:after="100" w:afterAutospacing="1"/>
    </w:pPr>
    <w:rPr>
      <w:rFonts w:hAnsi="等线 Light"/>
      <w:sz w:val="15"/>
      <w:szCs w:val="15"/>
    </w:rPr>
  </w:style>
  <w:style w:type="paragraph" w:styleId="52">
    <w:name w:val="index 1"/>
    <w:basedOn w:val="1"/>
    <w:next w:val="1"/>
    <w:qFormat/>
    <w:uiPriority w:val="99"/>
    <w:pPr>
      <w:autoSpaceDE/>
      <w:autoSpaceDN/>
      <w:adjustRightInd/>
      <w:jc w:val="center"/>
    </w:pPr>
    <w:rPr>
      <w:rFonts w:ascii="Arial Unicode MS" w:hAnsi="Arial Unicode MS"/>
      <w:kern w:val="2"/>
      <w:sz w:val="21"/>
    </w:rPr>
  </w:style>
  <w:style w:type="paragraph" w:styleId="53">
    <w:name w:val="Title"/>
    <w:basedOn w:val="1"/>
    <w:next w:val="1"/>
    <w:link w:val="104"/>
    <w:qFormat/>
    <w:uiPriority w:val="10"/>
    <w:pPr>
      <w:spacing w:before="240" w:after="60"/>
      <w:jc w:val="center"/>
      <w:outlineLvl w:val="0"/>
    </w:pPr>
    <w:rPr>
      <w:rFonts w:ascii="Roman" w:hAnsi="Roman"/>
      <w:b/>
      <w:bCs/>
      <w:sz w:val="32"/>
      <w:szCs w:val="32"/>
    </w:rPr>
  </w:style>
  <w:style w:type="paragraph" w:styleId="54">
    <w:name w:val="annotation subject"/>
    <w:basedOn w:val="21"/>
    <w:next w:val="21"/>
    <w:link w:val="105"/>
    <w:qFormat/>
    <w:uiPriority w:val="0"/>
    <w:rPr>
      <w:b/>
      <w:bCs/>
    </w:rPr>
  </w:style>
  <w:style w:type="table" w:styleId="56">
    <w:name w:val="Table Grid"/>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0"/>
    <w:rPr>
      <w:b/>
      <w:bCs/>
    </w:rPr>
  </w:style>
  <w:style w:type="character" w:styleId="59">
    <w:name w:val="endnote reference"/>
    <w:qFormat/>
    <w:uiPriority w:val="0"/>
    <w:rPr>
      <w:vertAlign w:val="superscript"/>
    </w:rPr>
  </w:style>
  <w:style w:type="character" w:styleId="60">
    <w:name w:val="page number"/>
    <w:basedOn w:val="57"/>
    <w:qFormat/>
    <w:uiPriority w:val="0"/>
  </w:style>
  <w:style w:type="character" w:styleId="61">
    <w:name w:val="FollowedHyperlink"/>
    <w:qFormat/>
    <w:uiPriority w:val="99"/>
    <w:rPr>
      <w:rFonts w:ascii="楷体_GB2312" w:hAnsi="楷体_GB2312" w:cs="楷体_GB2312"/>
      <w:color w:val="000000"/>
      <w:sz w:val="20"/>
      <w:szCs w:val="20"/>
      <w:u w:val="none"/>
    </w:rPr>
  </w:style>
  <w:style w:type="character" w:styleId="62">
    <w:name w:val="Emphasis"/>
    <w:qFormat/>
    <w:uiPriority w:val="0"/>
    <w:rPr>
      <w:i/>
      <w:iCs/>
    </w:rPr>
  </w:style>
  <w:style w:type="character" w:styleId="63">
    <w:name w:val="line number"/>
    <w:qFormat/>
    <w:uiPriority w:val="0"/>
  </w:style>
  <w:style w:type="character" w:styleId="64">
    <w:name w:val="HTML Definition"/>
    <w:unhideWhenUsed/>
    <w:qFormat/>
    <w:uiPriority w:val="0"/>
  </w:style>
  <w:style w:type="character" w:styleId="65">
    <w:name w:val="HTML Variable"/>
    <w:unhideWhenUsed/>
    <w:qFormat/>
    <w:uiPriority w:val="0"/>
  </w:style>
  <w:style w:type="character" w:styleId="66">
    <w:name w:val="Hyperlink"/>
    <w:qFormat/>
    <w:uiPriority w:val="99"/>
    <w:rPr>
      <w:rFonts w:hint="default" w:ascii="楷体_GB2312" w:hAnsi="楷体_GB2312" w:cs="楷体_GB2312"/>
      <w:color w:val="000000"/>
      <w:sz w:val="20"/>
      <w:szCs w:val="20"/>
      <w:u w:val="none"/>
    </w:rPr>
  </w:style>
  <w:style w:type="character" w:styleId="67">
    <w:name w:val="HTML Code"/>
    <w:unhideWhenUsed/>
    <w:qFormat/>
    <w:uiPriority w:val="0"/>
    <w:rPr>
      <w:rFonts w:hint="default" w:ascii="Tahoma" w:hAnsi="Tahoma" w:eastAsia="Tahoma" w:cs="Tahoma"/>
      <w:sz w:val="21"/>
      <w:szCs w:val="21"/>
    </w:rPr>
  </w:style>
  <w:style w:type="character" w:styleId="68">
    <w:name w:val="annotation reference"/>
    <w:basedOn w:val="57"/>
    <w:qFormat/>
    <w:uiPriority w:val="99"/>
    <w:rPr>
      <w:sz w:val="21"/>
      <w:szCs w:val="21"/>
    </w:rPr>
  </w:style>
  <w:style w:type="character" w:styleId="69">
    <w:name w:val="HTML Cite"/>
    <w:unhideWhenUsed/>
    <w:qFormat/>
    <w:uiPriority w:val="0"/>
  </w:style>
  <w:style w:type="character" w:styleId="70">
    <w:name w:val="footnote reference"/>
    <w:qFormat/>
    <w:uiPriority w:val="0"/>
    <w:rPr>
      <w:vertAlign w:val="superscript"/>
    </w:rPr>
  </w:style>
  <w:style w:type="character" w:styleId="71">
    <w:name w:val="HTML Keyboard"/>
    <w:unhideWhenUsed/>
    <w:qFormat/>
    <w:uiPriority w:val="0"/>
    <w:rPr>
      <w:rFonts w:ascii="Tahoma" w:hAnsi="Tahoma" w:eastAsia="Tahoma" w:cs="Tahoma"/>
      <w:sz w:val="21"/>
      <w:szCs w:val="21"/>
    </w:rPr>
  </w:style>
  <w:style w:type="character" w:styleId="72">
    <w:name w:val="HTML Sample"/>
    <w:unhideWhenUsed/>
    <w:qFormat/>
    <w:uiPriority w:val="0"/>
    <w:rPr>
      <w:rFonts w:hint="default" w:ascii="Tahoma" w:hAnsi="Tahoma" w:eastAsia="Tahoma" w:cs="Tahoma"/>
      <w:sz w:val="21"/>
      <w:szCs w:val="21"/>
    </w:rPr>
  </w:style>
  <w:style w:type="paragraph" w:customStyle="1" w:styleId="73">
    <w:name w:val="样式 宋体 行距: 1.5 倍行距"/>
    <w:basedOn w:val="1"/>
    <w:qFormat/>
    <w:uiPriority w:val="0"/>
    <w:pPr>
      <w:jc w:val="center"/>
    </w:pPr>
    <w:rPr>
      <w:rFonts w:ascii="Times New Roman"/>
      <w:b/>
    </w:rPr>
  </w:style>
  <w:style w:type="character" w:customStyle="1" w:styleId="74">
    <w:name w:val="标题 1 字符"/>
    <w:link w:val="4"/>
    <w:qFormat/>
    <w:uiPriority w:val="0"/>
    <w:rPr>
      <w:rFonts w:ascii="等线 Light" w:hAnsi="幼圆" w:eastAsia="等线 Light" w:cs="幼圆"/>
      <w:kern w:val="0"/>
      <w:sz w:val="24"/>
      <w:szCs w:val="24"/>
    </w:rPr>
  </w:style>
  <w:style w:type="character" w:customStyle="1" w:styleId="75">
    <w:name w:val="标题 2 字符"/>
    <w:link w:val="5"/>
    <w:qFormat/>
    <w:uiPriority w:val="0"/>
    <w:rPr>
      <w:rFonts w:ascii="等线 Light" w:hAnsi="幼圆" w:eastAsia="等线 Light" w:cs="幼圆"/>
      <w:kern w:val="0"/>
      <w:sz w:val="24"/>
      <w:szCs w:val="24"/>
    </w:rPr>
  </w:style>
  <w:style w:type="character" w:customStyle="1" w:styleId="76">
    <w:name w:val="标题 3 字符"/>
    <w:link w:val="6"/>
    <w:qFormat/>
    <w:uiPriority w:val="0"/>
    <w:rPr>
      <w:rFonts w:ascii="等线 Light" w:hAnsi="幼圆" w:eastAsia="等线 Light" w:cs="幼圆"/>
      <w:kern w:val="0"/>
      <w:sz w:val="24"/>
      <w:szCs w:val="24"/>
    </w:rPr>
  </w:style>
  <w:style w:type="character" w:customStyle="1" w:styleId="77">
    <w:name w:val="标题 4 字符"/>
    <w:link w:val="7"/>
    <w:qFormat/>
    <w:uiPriority w:val="0"/>
    <w:rPr>
      <w:rFonts w:ascii="楷体_GB2312" w:hAnsi="楷体_GB2312" w:eastAsia="PMingLiU" w:cs="幼圆"/>
      <w:b/>
      <w:bCs/>
      <w:kern w:val="0"/>
      <w:sz w:val="28"/>
      <w:szCs w:val="28"/>
    </w:rPr>
  </w:style>
  <w:style w:type="character" w:customStyle="1" w:styleId="78">
    <w:name w:val="标题 5 字符1"/>
    <w:link w:val="8"/>
    <w:qFormat/>
    <w:uiPriority w:val="9"/>
    <w:rPr>
      <w:rFonts w:ascii="等线 Light"/>
      <w:b/>
      <w:bCs/>
      <w:sz w:val="28"/>
      <w:szCs w:val="28"/>
    </w:rPr>
  </w:style>
  <w:style w:type="character" w:customStyle="1" w:styleId="79">
    <w:name w:val="标题 6 字符1"/>
    <w:link w:val="9"/>
    <w:qFormat/>
    <w:uiPriority w:val="9"/>
    <w:rPr>
      <w:rFonts w:eastAsia="PMingLiU"/>
      <w:b/>
      <w:bCs/>
      <w:sz w:val="28"/>
      <w:szCs w:val="24"/>
    </w:rPr>
  </w:style>
  <w:style w:type="character" w:customStyle="1" w:styleId="80">
    <w:name w:val="模板正文 Char"/>
    <w:link w:val="10"/>
    <w:qFormat/>
    <w:uiPriority w:val="0"/>
    <w:rPr>
      <w:rFonts w:ascii="等线 Light" w:eastAsia="font-weight : 400"/>
      <w:sz w:val="24"/>
      <w:szCs w:val="21"/>
    </w:rPr>
  </w:style>
  <w:style w:type="character" w:customStyle="1" w:styleId="81">
    <w:name w:val="标题 7 字符"/>
    <w:link w:val="11"/>
    <w:qFormat/>
    <w:uiPriority w:val="0"/>
    <w:rPr>
      <w:rFonts w:eastAsia="PMingLiU"/>
      <w:b/>
      <w:bCs/>
      <w:sz w:val="28"/>
      <w:szCs w:val="24"/>
    </w:rPr>
  </w:style>
  <w:style w:type="character" w:customStyle="1" w:styleId="82">
    <w:name w:val="标题 8 字符"/>
    <w:link w:val="12"/>
    <w:qFormat/>
    <w:uiPriority w:val="0"/>
    <w:rPr>
      <w:rFonts w:eastAsia="PMingLiU"/>
      <w:b/>
      <w:sz w:val="28"/>
      <w:szCs w:val="24"/>
    </w:rPr>
  </w:style>
  <w:style w:type="character" w:customStyle="1" w:styleId="83">
    <w:name w:val="标题 9 字符"/>
    <w:link w:val="13"/>
    <w:qFormat/>
    <w:uiPriority w:val="0"/>
    <w:rPr>
      <w:rFonts w:eastAsia="PMingLiU"/>
      <w:b/>
      <w:sz w:val="28"/>
      <w:szCs w:val="24"/>
    </w:rPr>
  </w:style>
  <w:style w:type="character" w:customStyle="1" w:styleId="84">
    <w:name w:val="正文缩进 字符1"/>
    <w:link w:val="16"/>
    <w:qFormat/>
    <w:uiPriority w:val="0"/>
  </w:style>
  <w:style w:type="character" w:customStyle="1" w:styleId="85">
    <w:name w:val="题注 字符1"/>
    <w:link w:val="17"/>
    <w:qFormat/>
    <w:uiPriority w:val="0"/>
    <w:rPr>
      <w:rFonts w:ascii="楷体_GB2312" w:hAnsi="楷体_GB2312" w:eastAsia="PMingLiU" w:cs="楷体_GB2312"/>
    </w:rPr>
  </w:style>
  <w:style w:type="character" w:customStyle="1" w:styleId="86">
    <w:name w:val="文档结构图 字符"/>
    <w:link w:val="19"/>
    <w:qFormat/>
    <w:uiPriority w:val="0"/>
    <w:rPr>
      <w:rFonts w:ascii="等线 Light" w:hAnsi="幼圆" w:eastAsia="等线 Light" w:cs="幼圆"/>
      <w:kern w:val="0"/>
      <w:sz w:val="24"/>
      <w:szCs w:val="24"/>
      <w:shd w:val="clear" w:color="auto" w:fill="000080"/>
    </w:rPr>
  </w:style>
  <w:style w:type="character" w:customStyle="1" w:styleId="87">
    <w:name w:val="批注文字 字符1"/>
    <w:link w:val="21"/>
    <w:qFormat/>
    <w:uiPriority w:val="0"/>
    <w:rPr>
      <w:rFonts w:ascii="等线 Light" w:hAnsi="幼圆" w:eastAsia="等线 Light" w:cs="幼圆"/>
      <w:kern w:val="0"/>
      <w:sz w:val="24"/>
      <w:szCs w:val="24"/>
    </w:rPr>
  </w:style>
  <w:style w:type="character" w:customStyle="1" w:styleId="88">
    <w:name w:val="正文文本 3 字符"/>
    <w:link w:val="22"/>
    <w:qFormat/>
    <w:uiPriority w:val="0"/>
    <w:rPr>
      <w:rFonts w:ascii="等线 Light" w:hAnsi="幼圆" w:eastAsia="等线 Light" w:cs="幼圆"/>
      <w:b/>
      <w:bCs/>
      <w:color w:val="3366FF"/>
      <w:sz w:val="52"/>
      <w:szCs w:val="52"/>
      <w:lang w:val="zh-CN"/>
    </w:rPr>
  </w:style>
  <w:style w:type="character" w:customStyle="1" w:styleId="89">
    <w:name w:val="正文文本 字符"/>
    <w:link w:val="2"/>
    <w:qFormat/>
    <w:uiPriority w:val="1"/>
    <w:rPr>
      <w:rFonts w:ascii="等线 Light" w:eastAsia="等线 Light"/>
      <w:b/>
      <w:bCs/>
      <w:sz w:val="84"/>
      <w:szCs w:val="84"/>
      <w:lang w:val="zh-CN"/>
    </w:rPr>
  </w:style>
  <w:style w:type="character" w:customStyle="1" w:styleId="90">
    <w:name w:val="正文文本缩进 字符"/>
    <w:link w:val="24"/>
    <w:qFormat/>
    <w:uiPriority w:val="0"/>
    <w:rPr>
      <w:rFonts w:ascii="幼圆" w:hAnsi="幼圆" w:eastAsia="等线 Light" w:cs="幼圆"/>
      <w:szCs w:val="20"/>
    </w:rPr>
  </w:style>
  <w:style w:type="character" w:customStyle="1" w:styleId="91">
    <w:name w:val="纯文本 字符"/>
    <w:link w:val="32"/>
    <w:qFormat/>
    <w:uiPriority w:val="0"/>
    <w:rPr>
      <w:rFonts w:ascii="等线 Light" w:hAnsi="Helv" w:eastAsia="等线 Light"/>
    </w:rPr>
  </w:style>
  <w:style w:type="character" w:customStyle="1" w:styleId="92">
    <w:name w:val="日期 字符"/>
    <w:link w:val="35"/>
    <w:qFormat/>
    <w:uiPriority w:val="0"/>
    <w:rPr>
      <w:rFonts w:ascii="等线 Light" w:hAnsi="幼圆" w:eastAsia="等线 Light" w:cs="幼圆"/>
      <w:b/>
      <w:bCs/>
      <w:szCs w:val="21"/>
      <w:lang w:val="zh-CN"/>
    </w:rPr>
  </w:style>
  <w:style w:type="character" w:customStyle="1" w:styleId="93">
    <w:name w:val="正文文本缩进 2 字符"/>
    <w:link w:val="36"/>
    <w:qFormat/>
    <w:uiPriority w:val="0"/>
    <w:rPr>
      <w:rFonts w:ascii="等线 Light" w:hAnsi="幼圆" w:eastAsia="等线 Light" w:cs="幼圆"/>
      <w:szCs w:val="20"/>
    </w:rPr>
  </w:style>
  <w:style w:type="character" w:customStyle="1" w:styleId="94">
    <w:name w:val="尾注文本 字符1"/>
    <w:link w:val="37"/>
    <w:qFormat/>
    <w:uiPriority w:val="0"/>
    <w:rPr>
      <w:kern w:val="2"/>
      <w:sz w:val="21"/>
      <w:szCs w:val="24"/>
    </w:rPr>
  </w:style>
  <w:style w:type="character" w:customStyle="1" w:styleId="95">
    <w:name w:val="批注框文本 字符"/>
    <w:link w:val="38"/>
    <w:qFormat/>
    <w:uiPriority w:val="0"/>
    <w:rPr>
      <w:rFonts w:ascii="幼圆" w:hAnsi="幼圆" w:eastAsia="等线 Light" w:cs="幼圆"/>
      <w:sz w:val="18"/>
      <w:szCs w:val="18"/>
    </w:rPr>
  </w:style>
  <w:style w:type="character" w:customStyle="1" w:styleId="96">
    <w:name w:val="页脚 字符"/>
    <w:link w:val="39"/>
    <w:qFormat/>
    <w:uiPriority w:val="99"/>
    <w:rPr>
      <w:rFonts w:ascii="等线 Light" w:eastAsia="等线 Light"/>
      <w:sz w:val="18"/>
      <w:szCs w:val="18"/>
    </w:rPr>
  </w:style>
  <w:style w:type="character" w:customStyle="1" w:styleId="97">
    <w:name w:val="页眉 字符"/>
    <w:link w:val="40"/>
    <w:qFormat/>
    <w:uiPriority w:val="0"/>
    <w:rPr>
      <w:rFonts w:ascii="等线 Light" w:eastAsia="等线 Light"/>
      <w:sz w:val="18"/>
      <w:szCs w:val="18"/>
    </w:rPr>
  </w:style>
  <w:style w:type="character" w:customStyle="1" w:styleId="98">
    <w:name w:val="签名 字符"/>
    <w:link w:val="41"/>
    <w:qFormat/>
    <w:uiPriority w:val="0"/>
    <w:rPr>
      <w:rFonts w:ascii="仿宋_GB2312" w:hAnsi="仿宋_GB2312"/>
      <w:spacing w:val="-5"/>
      <w:kern w:val="2"/>
      <w:sz w:val="24"/>
      <w:szCs w:val="24"/>
    </w:rPr>
  </w:style>
  <w:style w:type="character" w:customStyle="1" w:styleId="99">
    <w:name w:val="脚注文本 字符1"/>
    <w:link w:val="44"/>
    <w:qFormat/>
    <w:uiPriority w:val="0"/>
    <w:rPr>
      <w:kern w:val="2"/>
      <w:sz w:val="18"/>
      <w:szCs w:val="18"/>
    </w:rPr>
  </w:style>
  <w:style w:type="character" w:customStyle="1" w:styleId="100">
    <w:name w:val="正文文本缩进 3 字符"/>
    <w:link w:val="46"/>
    <w:qFormat/>
    <w:uiPriority w:val="0"/>
    <w:rPr>
      <w:rFonts w:ascii="等线 Light" w:hAnsi="幼圆" w:eastAsia="等线 Light" w:cs="幼圆"/>
      <w:kern w:val="0"/>
      <w:sz w:val="24"/>
      <w:szCs w:val="24"/>
    </w:rPr>
  </w:style>
  <w:style w:type="character" w:customStyle="1" w:styleId="101">
    <w:name w:val="正文文本 2 字符"/>
    <w:link w:val="49"/>
    <w:qFormat/>
    <w:uiPriority w:val="0"/>
    <w:rPr>
      <w:rFonts w:ascii="楷体_GB2312" w:hAnsi="楷体_GB2312" w:eastAsia="等线 Light" w:cs="幼圆"/>
      <w:color w:val="000000"/>
      <w:szCs w:val="24"/>
    </w:rPr>
  </w:style>
  <w:style w:type="character" w:customStyle="1" w:styleId="102">
    <w:name w:val="HTML 预设格式 字符"/>
    <w:link w:val="50"/>
    <w:qFormat/>
    <w:uiPriority w:val="0"/>
    <w:rPr>
      <w:rFonts w:ascii="楷体_GB2312" w:hAnsi="楷体_GB2312" w:eastAsia="等线 Light" w:cs="楷体_GB2312"/>
      <w:szCs w:val="21"/>
    </w:rPr>
  </w:style>
  <w:style w:type="character" w:customStyle="1" w:styleId="103">
    <w:name w:val="普通(网站) 字符"/>
    <w:link w:val="51"/>
    <w:qFormat/>
    <w:locked/>
    <w:uiPriority w:val="99"/>
    <w:rPr>
      <w:rFonts w:ascii="等线 Light" w:hAnsi="等线 Light"/>
      <w:sz w:val="15"/>
      <w:szCs w:val="15"/>
    </w:rPr>
  </w:style>
  <w:style w:type="character" w:customStyle="1" w:styleId="104">
    <w:name w:val="标题 字符"/>
    <w:link w:val="53"/>
    <w:qFormat/>
    <w:uiPriority w:val="10"/>
    <w:rPr>
      <w:rFonts w:ascii="Roman" w:hAnsi="Roman"/>
      <w:b/>
      <w:bCs/>
      <w:sz w:val="32"/>
      <w:szCs w:val="32"/>
    </w:rPr>
  </w:style>
  <w:style w:type="character" w:customStyle="1" w:styleId="105">
    <w:name w:val="批注主题 字符"/>
    <w:link w:val="54"/>
    <w:qFormat/>
    <w:uiPriority w:val="0"/>
    <w:rPr>
      <w:rFonts w:ascii="等线 Light" w:hAnsi="幼圆" w:eastAsia="等线 Light" w:cs="幼圆"/>
      <w:b/>
      <w:bCs/>
      <w:kern w:val="0"/>
      <w:sz w:val="24"/>
      <w:szCs w:val="24"/>
    </w:rPr>
  </w:style>
  <w:style w:type="character" w:customStyle="1" w:styleId="106">
    <w:name w:val="正文首行缩进 字符1"/>
    <w:link w:val="3"/>
    <w:qFormat/>
    <w:uiPriority w:val="99"/>
    <w:rPr>
      <w:rFonts w:ascii="等线 Light"/>
      <w:b/>
      <w:bCs/>
      <w:sz w:val="84"/>
      <w:szCs w:val="84"/>
      <w:lang w:val="zh-CN"/>
    </w:rPr>
  </w:style>
  <w:style w:type="paragraph" w:customStyle="1" w:styleId="107">
    <w:name w:val="文档正文"/>
    <w:basedOn w:val="1"/>
    <w:qFormat/>
    <w:uiPriority w:val="0"/>
    <w:pPr>
      <w:spacing w:line="360" w:lineRule="auto"/>
    </w:pPr>
    <w:rPr>
      <w:rFonts w:cs="Arial"/>
      <w:bCs/>
    </w:rPr>
  </w:style>
  <w:style w:type="character" w:customStyle="1" w:styleId="108">
    <w:name w:val="themebody1"/>
    <w:qFormat/>
    <w:uiPriority w:val="0"/>
    <w:rPr>
      <w:color w:val="FFFFFF"/>
    </w:rPr>
  </w:style>
  <w:style w:type="character" w:customStyle="1" w:styleId="109">
    <w:name w:val="小 Char"/>
    <w:qFormat/>
    <w:uiPriority w:val="0"/>
    <w:rPr>
      <w:rFonts w:ascii="等线 Light" w:hAnsi="Helv" w:eastAsia="等线 Light"/>
      <w:kern w:val="2"/>
      <w:sz w:val="21"/>
      <w:lang w:val="en-US" w:eastAsia="zh-CN" w:bidi="ar-SA"/>
    </w:rPr>
  </w:style>
  <w:style w:type="character" w:customStyle="1" w:styleId="110">
    <w:name w:val="HTML 预设格式 Char"/>
    <w:qFormat/>
    <w:uiPriority w:val="99"/>
    <w:rPr>
      <w:rFonts w:ascii="PMingLiU" w:hAnsi="Helv" w:eastAsia="PMingLiU" w:cs="Helv"/>
      <w:kern w:val="2"/>
      <w:sz w:val="24"/>
      <w:szCs w:val="24"/>
      <w:lang w:val="en-US" w:eastAsia="zh-CN" w:bidi="ar-SA"/>
    </w:rPr>
  </w:style>
  <w:style w:type="character" w:customStyle="1" w:styleId="111">
    <w:name w:val="批注框文本 Char1"/>
    <w:semiHidden/>
    <w:qFormat/>
    <w:uiPriority w:val="99"/>
    <w:rPr>
      <w:rFonts w:ascii="宋体"/>
      <w:sz w:val="18"/>
      <w:szCs w:val="18"/>
    </w:rPr>
  </w:style>
  <w:style w:type="character" w:customStyle="1" w:styleId="112">
    <w:name w:val="标题 4 Char"/>
    <w:qFormat/>
    <w:uiPriority w:val="0"/>
    <w:rPr>
      <w:rFonts w:ascii="楷体_GB2312" w:hAnsi="楷体_GB2312" w:eastAsia="PMingLiU" w:cs="幼圆"/>
      <w:b/>
      <w:bCs/>
      <w:kern w:val="2"/>
      <w:sz w:val="28"/>
      <w:szCs w:val="28"/>
      <w:lang w:val="en-US" w:eastAsia="zh-CN" w:bidi="ar-SA"/>
    </w:rPr>
  </w:style>
  <w:style w:type="character" w:customStyle="1" w:styleId="113">
    <w:name w:val="icontext12"/>
    <w:basedOn w:val="57"/>
    <w:qFormat/>
    <w:uiPriority w:val="0"/>
  </w:style>
  <w:style w:type="character" w:customStyle="1" w:styleId="114">
    <w:name w:val="批注主题 Char"/>
    <w:qFormat/>
    <w:uiPriority w:val="99"/>
    <w:rPr>
      <w:rFonts w:ascii="幼圆" w:hAnsi="幼圆" w:eastAsia="等线 Light" w:cs="幼圆"/>
      <w:b/>
      <w:bCs/>
      <w:kern w:val="2"/>
      <w:sz w:val="24"/>
      <w:szCs w:val="24"/>
      <w:lang w:val="en-US" w:eastAsia="zh-CN" w:bidi="ar-SA"/>
    </w:rPr>
  </w:style>
  <w:style w:type="character" w:customStyle="1" w:styleId="115">
    <w:name w:val="icon-code-weixin"/>
    <w:qFormat/>
    <w:uiPriority w:val="0"/>
  </w:style>
  <w:style w:type="character" w:customStyle="1" w:styleId="116">
    <w:name w:val="正文文本缩进 2 Char"/>
    <w:qFormat/>
    <w:uiPriority w:val="0"/>
    <w:rPr>
      <w:rFonts w:ascii="幼圆" w:hAnsi="幼圆" w:eastAsia="等线 Light" w:cs="幼圆"/>
      <w:kern w:val="2"/>
      <w:sz w:val="24"/>
      <w:szCs w:val="24"/>
      <w:lang w:val="en-US" w:eastAsia="zh-CN" w:bidi="ar-SA"/>
    </w:rPr>
  </w:style>
  <w:style w:type="character" w:customStyle="1" w:styleId="117">
    <w:name w:val="icontext2"/>
    <w:basedOn w:val="57"/>
    <w:qFormat/>
    <w:uiPriority w:val="0"/>
  </w:style>
  <w:style w:type="character" w:customStyle="1" w:styleId="118">
    <w:name w:val="日期 Char"/>
    <w:qFormat/>
    <w:uiPriority w:val="0"/>
    <w:rPr>
      <w:rFonts w:ascii="幼圆" w:hAnsi="幼圆" w:eastAsia="等线 Light" w:cs="幼圆"/>
      <w:kern w:val="2"/>
      <w:sz w:val="24"/>
      <w:szCs w:val="20"/>
      <w:lang w:val="en-US" w:eastAsia="zh-CN" w:bidi="ar-SA"/>
    </w:rPr>
  </w:style>
  <w:style w:type="character" w:customStyle="1" w:styleId="119">
    <w:name w:val="正文文本缩进 3 Char1"/>
    <w:semiHidden/>
    <w:qFormat/>
    <w:uiPriority w:val="0"/>
    <w:rPr>
      <w:rFonts w:ascii="宋体"/>
      <w:sz w:val="16"/>
      <w:szCs w:val="16"/>
    </w:rPr>
  </w:style>
  <w:style w:type="character" w:customStyle="1" w:styleId="120">
    <w:name w:val="尾注文本 字符2"/>
    <w:semiHidden/>
    <w:qFormat/>
    <w:uiPriority w:val="99"/>
    <w:rPr>
      <w:rFonts w:ascii="等线 Light"/>
      <w:sz w:val="24"/>
      <w:szCs w:val="24"/>
    </w:rPr>
  </w:style>
  <w:style w:type="character" w:customStyle="1" w:styleId="121">
    <w:name w:val="img8"/>
    <w:basedOn w:val="57"/>
    <w:qFormat/>
    <w:uiPriority w:val="0"/>
  </w:style>
  <w:style w:type="character" w:customStyle="1" w:styleId="122">
    <w:name w:val="highlight1"/>
    <w:qFormat/>
    <w:uiPriority w:val="0"/>
    <w:rPr>
      <w:sz w:val="21"/>
      <w:szCs w:val="21"/>
    </w:rPr>
  </w:style>
  <w:style w:type="character" w:customStyle="1" w:styleId="123">
    <w:name w:val="批注框文本 Char"/>
    <w:qFormat/>
    <w:uiPriority w:val="99"/>
    <w:rPr>
      <w:rFonts w:ascii="幼圆" w:hAnsi="幼圆" w:eastAsia="等线 Light" w:cs="幼圆"/>
      <w:kern w:val="2"/>
      <w:sz w:val="18"/>
      <w:szCs w:val="18"/>
      <w:lang w:val="en-US" w:eastAsia="zh-CN" w:bidi="ar-SA"/>
    </w:rPr>
  </w:style>
  <w:style w:type="character" w:customStyle="1" w:styleId="124">
    <w:name w:val="标题 9 Char1"/>
    <w:qFormat/>
    <w:uiPriority w:val="0"/>
    <w:rPr>
      <w:rFonts w:ascii="楷体_GB2312" w:hAnsi="楷体_GB2312" w:eastAsia="等线 Light"/>
      <w:color w:val="000000"/>
      <w:kern w:val="2"/>
      <w:sz w:val="32"/>
      <w:szCs w:val="21"/>
      <w:lang w:val="en-US" w:eastAsia="zh-CN" w:bidi="ar-SA"/>
    </w:rPr>
  </w:style>
  <w:style w:type="character" w:customStyle="1" w:styleId="125">
    <w:name w:val="正文文本 Char"/>
    <w:qFormat/>
    <w:uiPriority w:val="99"/>
    <w:rPr>
      <w:rFonts w:ascii="等线 Light" w:eastAsia="等线 Light"/>
      <w:b/>
      <w:bCs/>
      <w:sz w:val="84"/>
      <w:szCs w:val="84"/>
      <w:lang w:val="zh-CN"/>
    </w:rPr>
  </w:style>
  <w:style w:type="character" w:customStyle="1" w:styleId="126">
    <w:name w:val="首航缩进 Char Char"/>
    <w:qFormat/>
    <w:uiPriority w:val="0"/>
    <w:rPr>
      <w:rFonts w:eastAsia="微软雅黑"/>
      <w:color w:val="000000"/>
      <w:kern w:val="2"/>
      <w:sz w:val="24"/>
      <w:szCs w:val="24"/>
      <w:lang w:val="en-US" w:eastAsia="zh-CN" w:bidi="ar-SA"/>
    </w:rPr>
  </w:style>
  <w:style w:type="character" w:customStyle="1" w:styleId="127">
    <w:name w:val="尾注文本 Char"/>
    <w:qFormat/>
    <w:uiPriority w:val="0"/>
    <w:rPr>
      <w:rFonts w:ascii="幼圆" w:hAnsi="幼圆" w:eastAsia="等线 Light" w:cs="幼圆"/>
      <w:kern w:val="2"/>
      <w:sz w:val="24"/>
      <w:szCs w:val="24"/>
      <w:lang w:bidi="ar-SA"/>
    </w:rPr>
  </w:style>
  <w:style w:type="character" w:customStyle="1" w:styleId="128">
    <w:name w:val="正文文本 3 Char1"/>
    <w:semiHidden/>
    <w:qFormat/>
    <w:uiPriority w:val="0"/>
    <w:rPr>
      <w:rFonts w:ascii="宋体"/>
      <w:sz w:val="16"/>
      <w:szCs w:val="16"/>
    </w:rPr>
  </w:style>
  <w:style w:type="character" w:customStyle="1" w:styleId="129">
    <w:name w:val="文档结构图 Char3"/>
    <w:qFormat/>
    <w:uiPriority w:val="0"/>
    <w:rPr>
      <w:rFonts w:eastAsia="等线 Light"/>
      <w:kern w:val="2"/>
      <w:sz w:val="21"/>
      <w:szCs w:val="24"/>
      <w:shd w:val="clear" w:color="auto" w:fill="000080"/>
      <w:lang w:val="en-US" w:eastAsia="zh-CN" w:bidi="ar-SA"/>
    </w:rPr>
  </w:style>
  <w:style w:type="character" w:customStyle="1" w:styleId="130">
    <w:name w:val="cy"/>
    <w:basedOn w:val="57"/>
    <w:qFormat/>
    <w:uiPriority w:val="0"/>
  </w:style>
  <w:style w:type="character" w:customStyle="1" w:styleId="131">
    <w:name w:val="icontext3"/>
    <w:basedOn w:val="57"/>
    <w:qFormat/>
    <w:uiPriority w:val="0"/>
  </w:style>
  <w:style w:type="character" w:customStyle="1" w:styleId="132">
    <w:name w:val="unnamed1"/>
    <w:qFormat/>
    <w:uiPriority w:val="0"/>
    <w:rPr>
      <w:rFonts w:eastAsia="等线 Light"/>
      <w:kern w:val="2"/>
      <w:sz w:val="24"/>
      <w:szCs w:val="24"/>
      <w:lang w:val="en-US" w:eastAsia="zh-CN" w:bidi="ar-SA"/>
    </w:rPr>
  </w:style>
  <w:style w:type="character" w:customStyle="1" w:styleId="133">
    <w:name w:val="批注文字 字符"/>
    <w:qFormat/>
    <w:uiPriority w:val="0"/>
    <w:rPr>
      <w:rFonts w:ascii="等线 Light" w:hAnsi="幼圆" w:eastAsia="等线 Light" w:cs="幼圆"/>
      <w:kern w:val="0"/>
      <w:sz w:val="24"/>
      <w:szCs w:val="24"/>
    </w:rPr>
  </w:style>
  <w:style w:type="character" w:customStyle="1" w:styleId="134">
    <w:name w:val="iconline2"/>
    <w:basedOn w:val="57"/>
    <w:qFormat/>
    <w:uiPriority w:val="0"/>
  </w:style>
  <w:style w:type="character" w:customStyle="1" w:styleId="135">
    <w:name w:val="ca-41"/>
    <w:qFormat/>
    <w:uiPriority w:val="0"/>
    <w:rPr>
      <w:rFonts w:hint="eastAsia" w:ascii="微软雅黑" w:eastAsia="微软雅黑"/>
      <w:color w:val="FF0000"/>
      <w:kern w:val="2"/>
      <w:sz w:val="32"/>
      <w:szCs w:val="32"/>
      <w:lang w:val="en-US" w:eastAsia="zh-CN" w:bidi="ar-SA"/>
    </w:rPr>
  </w:style>
  <w:style w:type="character" w:customStyle="1" w:styleId="136">
    <w:name w:val="表格文字 Char"/>
    <w:link w:val="137"/>
    <w:qFormat/>
    <w:uiPriority w:val="0"/>
    <w:rPr>
      <w:rFonts w:eastAsia="微软雅黑"/>
      <w:sz w:val="28"/>
      <w:szCs w:val="24"/>
    </w:rPr>
  </w:style>
  <w:style w:type="paragraph" w:customStyle="1" w:styleId="137">
    <w:name w:val="表格文字"/>
    <w:basedOn w:val="1"/>
    <w:link w:val="136"/>
    <w:qFormat/>
    <w:uiPriority w:val="0"/>
    <w:pPr>
      <w:autoSpaceDE/>
      <w:autoSpaceDN/>
      <w:adjustRightInd/>
      <w:jc w:val="both"/>
    </w:pPr>
    <w:rPr>
      <w:rFonts w:ascii="Times New Roman" w:eastAsia="微软雅黑"/>
      <w:sz w:val="28"/>
    </w:rPr>
  </w:style>
  <w:style w:type="character" w:customStyle="1" w:styleId="138">
    <w:name w:val="keyfeatures1"/>
    <w:qFormat/>
    <w:uiPriority w:val="0"/>
    <w:rPr>
      <w:rFonts w:hint="default" w:ascii="楷体_GB2312" w:hAnsi="楷体_GB2312" w:cs="楷体_GB2312"/>
      <w:color w:val="003366"/>
      <w:sz w:val="17"/>
      <w:szCs w:val="17"/>
      <w:u w:val="none"/>
    </w:rPr>
  </w:style>
  <w:style w:type="character" w:customStyle="1" w:styleId="139">
    <w:name w:val="标题 6 字符"/>
    <w:qFormat/>
    <w:uiPriority w:val="0"/>
    <w:rPr>
      <w:rFonts w:ascii="FrutigerNext LT Light" w:hAnsi="FrutigerNext LT Light" w:eastAsia="FrutigerNext LT Light" w:cs="幼圆"/>
      <w:b/>
      <w:bCs/>
      <w:sz w:val="24"/>
      <w:szCs w:val="24"/>
    </w:rPr>
  </w:style>
  <w:style w:type="character" w:customStyle="1" w:styleId="140">
    <w:name w:val="font21"/>
    <w:basedOn w:val="57"/>
    <w:qFormat/>
    <w:uiPriority w:val="0"/>
    <w:rPr>
      <w:rFonts w:hint="eastAsia" w:ascii="等线 Light" w:hAnsi="等线 Light" w:eastAsia="等线 Light" w:cs="等线 Light"/>
      <w:color w:val="000000"/>
      <w:sz w:val="20"/>
      <w:szCs w:val="20"/>
      <w:u w:val="none"/>
    </w:rPr>
  </w:style>
  <w:style w:type="character" w:customStyle="1" w:styleId="141">
    <w:name w:val="标题 6 Char1"/>
    <w:qFormat/>
    <w:uiPriority w:val="0"/>
    <w:rPr>
      <w:rFonts w:ascii="楷体_GB2312" w:hAnsi="楷体_GB2312" w:eastAsia="PMingLiU"/>
      <w:b/>
      <w:bCs/>
      <w:kern w:val="2"/>
      <w:sz w:val="24"/>
      <w:szCs w:val="24"/>
      <w:lang w:val="en-US" w:eastAsia="zh-CN" w:bidi="ar-SA"/>
    </w:rPr>
  </w:style>
  <w:style w:type="character" w:customStyle="1" w:styleId="142">
    <w:name w:val="批注文字 Char2"/>
    <w:qFormat/>
    <w:uiPriority w:val="99"/>
  </w:style>
  <w:style w:type="character" w:customStyle="1" w:styleId="143">
    <w:name w:val="Char Char8"/>
    <w:qFormat/>
    <w:uiPriority w:val="0"/>
    <w:rPr>
      <w:kern w:val="2"/>
      <w:sz w:val="18"/>
      <w:szCs w:val="18"/>
    </w:rPr>
  </w:style>
  <w:style w:type="character" w:customStyle="1" w:styleId="144">
    <w:name w:val="l-btn-text36"/>
    <w:qFormat/>
    <w:uiPriority w:val="0"/>
  </w:style>
  <w:style w:type="character" w:customStyle="1" w:styleId="145">
    <w:name w:val="cdropleft"/>
    <w:basedOn w:val="57"/>
    <w:qFormat/>
    <w:uiPriority w:val="0"/>
  </w:style>
  <w:style w:type="character" w:customStyle="1" w:styleId="146">
    <w:name w:val="标书正文格式 Char Char"/>
    <w:link w:val="147"/>
    <w:qFormat/>
    <w:uiPriority w:val="0"/>
    <w:rPr>
      <w:rFonts w:eastAsia="Cambria Math"/>
      <w:kern w:val="2"/>
      <w:sz w:val="24"/>
      <w:lang w:val="en-US" w:eastAsia="zh-CN" w:bidi="ar-SA"/>
    </w:rPr>
  </w:style>
  <w:style w:type="paragraph" w:customStyle="1" w:styleId="147">
    <w:name w:val="标书正文格式"/>
    <w:link w:val="146"/>
    <w:qFormat/>
    <w:uiPriority w:val="0"/>
    <w:pPr>
      <w:spacing w:line="360" w:lineRule="auto"/>
      <w:ind w:firstLine="200" w:firstLineChars="200"/>
    </w:pPr>
    <w:rPr>
      <w:rFonts w:ascii="Times New Roman" w:hAnsi="Times New Roman" w:eastAsia="Cambria Math" w:cs="Times New Roman"/>
      <w:kern w:val="2"/>
      <w:sz w:val="24"/>
      <w:lang w:val="en-US" w:eastAsia="zh-CN" w:bidi="ar-SA"/>
    </w:rPr>
  </w:style>
  <w:style w:type="character" w:customStyle="1" w:styleId="148">
    <w:name w:val="简述正文"/>
    <w:qFormat/>
    <w:uiPriority w:val="0"/>
    <w:rPr>
      <w:sz w:val="23"/>
    </w:rPr>
  </w:style>
  <w:style w:type="character" w:customStyle="1" w:styleId="149">
    <w:name w:val="apple-style-span"/>
    <w:qFormat/>
    <w:uiPriority w:val="0"/>
  </w:style>
  <w:style w:type="character" w:customStyle="1" w:styleId="150">
    <w:name w:val="font81"/>
    <w:qFormat/>
    <w:uiPriority w:val="0"/>
    <w:rPr>
      <w:rFonts w:hint="default" w:ascii="幼圆" w:hAnsi="幼圆" w:cs="幼圆"/>
      <w:color w:val="000000"/>
      <w:sz w:val="20"/>
      <w:szCs w:val="20"/>
      <w:u w:val="none"/>
    </w:rPr>
  </w:style>
  <w:style w:type="character" w:customStyle="1" w:styleId="151">
    <w:name w:val="postbody"/>
    <w:qFormat/>
    <w:uiPriority w:val="0"/>
  </w:style>
  <w:style w:type="character" w:customStyle="1" w:styleId="152">
    <w:name w:val="标题 4 Char1"/>
    <w:qFormat/>
    <w:uiPriority w:val="9"/>
    <w:rPr>
      <w:rFonts w:ascii="楷体_GB2312" w:hAnsi="楷体_GB2312" w:eastAsia="等线 Light" w:cs="幼圆"/>
      <w:b/>
      <w:bCs/>
      <w:szCs w:val="28"/>
    </w:rPr>
  </w:style>
  <w:style w:type="character" w:customStyle="1" w:styleId="153">
    <w:name w:val="正文文本缩进 Char"/>
    <w:qFormat/>
    <w:uiPriority w:val="0"/>
    <w:rPr>
      <w:rFonts w:ascii="幼圆" w:hAnsi="幼圆" w:eastAsia="等线 Light" w:cs="幼圆"/>
      <w:szCs w:val="20"/>
      <w:lang w:val="en-US" w:eastAsia="zh-CN"/>
    </w:rPr>
  </w:style>
  <w:style w:type="character" w:customStyle="1" w:styleId="154">
    <w:name w:val="Char Char3"/>
    <w:qFormat/>
    <w:uiPriority w:val="0"/>
    <w:rPr>
      <w:rFonts w:eastAsia="等线 Light"/>
      <w:kern w:val="2"/>
      <w:sz w:val="28"/>
      <w:szCs w:val="24"/>
      <w:lang w:val="en-US" w:eastAsia="zh-CN" w:bidi="ar-SA"/>
    </w:rPr>
  </w:style>
  <w:style w:type="character" w:customStyle="1" w:styleId="155">
    <w:name w:val="彩色列表 - 强调文字颜色 1 Char"/>
    <w:link w:val="156"/>
    <w:qFormat/>
    <w:uiPriority w:val="0"/>
    <w:rPr>
      <w:rFonts w:ascii="等线 Light"/>
      <w:sz w:val="24"/>
      <w:szCs w:val="24"/>
    </w:rPr>
  </w:style>
  <w:style w:type="paragraph" w:customStyle="1" w:styleId="156">
    <w:name w:val="彩色列表 - 强调文字颜色 11"/>
    <w:basedOn w:val="1"/>
    <w:link w:val="155"/>
    <w:qFormat/>
    <w:uiPriority w:val="0"/>
    <w:pPr>
      <w:ind w:firstLine="420" w:firstLineChars="200"/>
    </w:pPr>
  </w:style>
  <w:style w:type="character" w:customStyle="1" w:styleId="157">
    <w:name w:val="标题 字符1"/>
    <w:qFormat/>
    <w:uiPriority w:val="10"/>
    <w:rPr>
      <w:rFonts w:ascii="FrutigerNext LT Light" w:hAnsi="FrutigerNext LT Light" w:eastAsia="font-weight : 400"/>
      <w:b/>
      <w:bCs/>
      <w:kern w:val="2"/>
      <w:sz w:val="28"/>
      <w:szCs w:val="32"/>
    </w:rPr>
  </w:style>
  <w:style w:type="character" w:customStyle="1" w:styleId="158">
    <w:name w:val="页脚 Char"/>
    <w:qFormat/>
    <w:uiPriority w:val="99"/>
    <w:rPr>
      <w:rFonts w:eastAsia="Arial Unicode MS"/>
      <w:sz w:val="21"/>
    </w:rPr>
  </w:style>
  <w:style w:type="character" w:customStyle="1" w:styleId="159">
    <w:name w:val="签名 Char1"/>
    <w:qFormat/>
    <w:uiPriority w:val="0"/>
    <w:rPr>
      <w:rFonts w:eastAsia="等线 Light"/>
      <w:kern w:val="2"/>
      <w:sz w:val="21"/>
      <w:szCs w:val="24"/>
      <w:lang w:val="en-US" w:eastAsia="zh-CN" w:bidi="ar-SA"/>
    </w:rPr>
  </w:style>
  <w:style w:type="character" w:customStyle="1" w:styleId="160">
    <w:name w:val="正文文本 2 Char1"/>
    <w:qFormat/>
    <w:uiPriority w:val="0"/>
    <w:rPr>
      <w:rFonts w:ascii="等线 Light" w:hAnsi="等线 Light" w:eastAsia="等线 Light"/>
      <w:kern w:val="2"/>
      <w:sz w:val="24"/>
      <w:szCs w:val="24"/>
      <w:lang w:val="en-US" w:eastAsia="zh-CN" w:bidi="ar-SA"/>
    </w:rPr>
  </w:style>
  <w:style w:type="character" w:customStyle="1" w:styleId="161">
    <w:name w:val="正文文本 Char3"/>
    <w:qFormat/>
    <w:uiPriority w:val="0"/>
    <w:rPr>
      <w:rFonts w:eastAsia="等线 Light"/>
      <w:kern w:val="2"/>
      <w:sz w:val="21"/>
      <w:szCs w:val="24"/>
      <w:lang w:val="en-US" w:eastAsia="zh-CN" w:bidi="ar-SA"/>
    </w:rPr>
  </w:style>
  <w:style w:type="character" w:customStyle="1" w:styleId="162">
    <w:name w:val="正文文本 3 Char2"/>
    <w:qFormat/>
    <w:uiPriority w:val="0"/>
    <w:rPr>
      <w:rFonts w:ascii="等线 Light" w:hAnsi="等线 Light" w:eastAsia="等线 Light"/>
      <w:kern w:val="2"/>
      <w:sz w:val="28"/>
      <w:szCs w:val="24"/>
      <w:lang w:val="en-US" w:eastAsia="zh-CN" w:bidi="ar-SA"/>
    </w:rPr>
  </w:style>
  <w:style w:type="character" w:customStyle="1" w:styleId="163">
    <w:name w:val="ca-0"/>
    <w:qFormat/>
    <w:uiPriority w:val="0"/>
  </w:style>
  <w:style w:type="character" w:customStyle="1" w:styleId="164">
    <w:name w:val="hilite6"/>
    <w:qFormat/>
    <w:uiPriority w:val="0"/>
    <w:rPr>
      <w:color w:val="FFFFFF"/>
      <w:shd w:val="clear" w:color="auto" w:fill="666666"/>
    </w:rPr>
  </w:style>
  <w:style w:type="character" w:customStyle="1" w:styleId="165">
    <w:name w:val="Char Char31"/>
    <w:qFormat/>
    <w:uiPriority w:val="0"/>
    <w:rPr>
      <w:rFonts w:ascii="Cambria Math" w:eastAsia="Cambria Math"/>
      <w:sz w:val="18"/>
      <w:szCs w:val="18"/>
    </w:rPr>
  </w:style>
  <w:style w:type="character" w:customStyle="1" w:styleId="166">
    <w:name w:val="纯文本 Char2"/>
    <w:qFormat/>
    <w:uiPriority w:val="0"/>
    <w:rPr>
      <w:rFonts w:ascii="等线 Light" w:hAnsi="Helv" w:eastAsia="等线 Light"/>
    </w:rPr>
  </w:style>
  <w:style w:type="character" w:customStyle="1" w:styleId="167">
    <w:name w:val="签名 Char"/>
    <w:qFormat/>
    <w:uiPriority w:val="0"/>
    <w:rPr>
      <w:rFonts w:eastAsia="等线 Light"/>
      <w:kern w:val="2"/>
      <w:sz w:val="21"/>
      <w:szCs w:val="24"/>
      <w:lang w:val="en-US" w:eastAsia="zh-CN" w:bidi="ar-SA"/>
    </w:rPr>
  </w:style>
  <w:style w:type="character" w:customStyle="1" w:styleId="168">
    <w:name w:val="正文文本 Char2"/>
    <w:qFormat/>
    <w:uiPriority w:val="0"/>
  </w:style>
  <w:style w:type="character" w:customStyle="1" w:styleId="169">
    <w:name w:val="彩色列表 - 着色 1 字符"/>
    <w:link w:val="170"/>
    <w:qFormat/>
    <w:uiPriority w:val="0"/>
    <w:rPr>
      <w:rFonts w:ascii="Arial Unicode MS" w:hAnsi="Arial Unicode MS"/>
      <w:kern w:val="2"/>
      <w:sz w:val="21"/>
      <w:szCs w:val="22"/>
    </w:rPr>
  </w:style>
  <w:style w:type="paragraph" w:customStyle="1" w:styleId="170">
    <w:name w:val="彩色列表 - 着色 11"/>
    <w:basedOn w:val="1"/>
    <w:link w:val="169"/>
    <w:qFormat/>
    <w:uiPriority w:val="0"/>
    <w:pPr>
      <w:autoSpaceDE/>
      <w:autoSpaceDN/>
      <w:adjustRightInd/>
      <w:ind w:firstLine="420" w:firstLineChars="200"/>
      <w:jc w:val="both"/>
    </w:pPr>
    <w:rPr>
      <w:rFonts w:ascii="Arial Unicode MS" w:hAnsi="Arial Unicode MS"/>
      <w:kern w:val="2"/>
      <w:sz w:val="21"/>
      <w:szCs w:val="22"/>
    </w:rPr>
  </w:style>
  <w:style w:type="character" w:customStyle="1" w:styleId="171">
    <w:name w:val="正文首行缩进 Char1"/>
    <w:qFormat/>
    <w:uiPriority w:val="99"/>
  </w:style>
  <w:style w:type="character" w:customStyle="1" w:styleId="172">
    <w:name w:val="标题 1 Char"/>
    <w:qFormat/>
    <w:uiPriority w:val="9"/>
    <w:rPr>
      <w:rFonts w:ascii="幼圆" w:hAnsi="幼圆" w:eastAsia="等线 Light" w:cs="幼圆"/>
      <w:b/>
      <w:bCs/>
      <w:kern w:val="44"/>
      <w:sz w:val="44"/>
      <w:szCs w:val="44"/>
      <w:lang w:val="en-US" w:eastAsia="zh-CN" w:bidi="ar-SA"/>
    </w:rPr>
  </w:style>
  <w:style w:type="character" w:customStyle="1" w:styleId="173">
    <w:name w:val="尾注文本 Char2"/>
    <w:semiHidden/>
    <w:qFormat/>
    <w:uiPriority w:val="99"/>
    <w:rPr>
      <w:rFonts w:ascii="等线 Light"/>
      <w:sz w:val="24"/>
      <w:szCs w:val="24"/>
    </w:rPr>
  </w:style>
  <w:style w:type="character" w:customStyle="1" w:styleId="174">
    <w:name w:val="访问过的超链接1"/>
    <w:qFormat/>
    <w:uiPriority w:val="0"/>
    <w:rPr>
      <w:rFonts w:ascii="楷体_GB2312" w:hAnsi="楷体_GB2312" w:cs="楷体_GB2312"/>
      <w:color w:val="000000"/>
      <w:sz w:val="20"/>
      <w:szCs w:val="20"/>
      <w:u w:val="none"/>
    </w:rPr>
  </w:style>
  <w:style w:type="character" w:customStyle="1" w:styleId="175">
    <w:name w:val="font11"/>
    <w:qFormat/>
    <w:uiPriority w:val="0"/>
    <w:rPr>
      <w:rFonts w:hint="eastAsia" w:ascii="等线 Light" w:hAnsi="等线 Light" w:eastAsia="等线 Light" w:cs="等线 Light"/>
      <w:color w:val="000000"/>
      <w:sz w:val="21"/>
      <w:szCs w:val="21"/>
      <w:u w:val="none"/>
    </w:rPr>
  </w:style>
  <w:style w:type="character" w:customStyle="1" w:styleId="176">
    <w:name w:val="正文首行缩进 Char3"/>
    <w:semiHidden/>
    <w:qFormat/>
    <w:uiPriority w:val="99"/>
    <w:rPr>
      <w:rFonts w:ascii="等线 Light" w:eastAsia="等线 Light"/>
      <w:b/>
      <w:bCs/>
      <w:sz w:val="24"/>
      <w:szCs w:val="24"/>
      <w:lang w:val="zh-CN"/>
    </w:rPr>
  </w:style>
  <w:style w:type="character" w:customStyle="1" w:styleId="177">
    <w:name w:val="批注框文本 Char3"/>
    <w:qFormat/>
    <w:uiPriority w:val="99"/>
    <w:rPr>
      <w:rFonts w:eastAsia="等线 Light"/>
      <w:kern w:val="2"/>
      <w:sz w:val="18"/>
      <w:szCs w:val="18"/>
      <w:lang w:val="en-US" w:eastAsia="zh-CN" w:bidi="ar-SA"/>
    </w:rPr>
  </w:style>
  <w:style w:type="character" w:customStyle="1" w:styleId="178">
    <w:name w:val="脚注文本 Char"/>
    <w:qFormat/>
    <w:uiPriority w:val="99"/>
    <w:rPr>
      <w:rFonts w:ascii="幼圆" w:hAnsi="幼圆" w:eastAsia="等线 Light" w:cs="幼圆"/>
      <w:kern w:val="2"/>
      <w:sz w:val="18"/>
      <w:szCs w:val="18"/>
      <w:lang w:bidi="ar-SA"/>
    </w:rPr>
  </w:style>
  <w:style w:type="character" w:customStyle="1" w:styleId="179">
    <w:name w:val="fontstrikethrough"/>
    <w:qFormat/>
    <w:uiPriority w:val="0"/>
    <w:rPr>
      <w:strike/>
    </w:rPr>
  </w:style>
  <w:style w:type="character" w:customStyle="1" w:styleId="180">
    <w:name w:val="font101"/>
    <w:qFormat/>
    <w:uiPriority w:val="0"/>
    <w:rPr>
      <w:rFonts w:hint="default" w:ascii="幼圆" w:hAnsi="幼圆" w:cs="幼圆"/>
      <w:color w:val="000000"/>
      <w:sz w:val="21"/>
      <w:szCs w:val="21"/>
      <w:u w:val="none"/>
    </w:rPr>
  </w:style>
  <w:style w:type="character" w:customStyle="1" w:styleId="181">
    <w:name w:val="spantable1"/>
    <w:qFormat/>
    <w:uiPriority w:val="0"/>
    <w:rPr>
      <w:rFonts w:hint="default" w:eastAsia="等线 Light"/>
      <w:spacing w:val="360"/>
      <w:kern w:val="2"/>
      <w:sz w:val="18"/>
      <w:szCs w:val="18"/>
      <w:lang w:val="en-US" w:eastAsia="zh-CN" w:bidi="ar-SA"/>
    </w:rPr>
  </w:style>
  <w:style w:type="character" w:customStyle="1" w:styleId="182">
    <w:name w:val="disabled"/>
    <w:qFormat/>
    <w:uiPriority w:val="0"/>
    <w:rPr>
      <w:rFonts w:eastAsia="等线 Light"/>
      <w:color w:val="DFDFDF"/>
      <w:kern w:val="2"/>
      <w:sz w:val="24"/>
      <w:szCs w:val="24"/>
      <w:bdr w:val="single" w:color="DFDFDF" w:sz="6" w:space="0"/>
      <w:shd w:val="clear" w:color="auto" w:fill="FFFFFF"/>
      <w:lang w:val="en-US" w:eastAsia="zh-CN" w:bidi="ar-SA"/>
    </w:rPr>
  </w:style>
  <w:style w:type="character" w:customStyle="1" w:styleId="183">
    <w:name w:val="font61"/>
    <w:qFormat/>
    <w:uiPriority w:val="0"/>
    <w:rPr>
      <w:rFonts w:hint="eastAsia" w:ascii="等线 Light" w:hAnsi="等线 Light" w:eastAsia="等线 Light" w:cs="等线 Light"/>
      <w:color w:val="000000"/>
      <w:sz w:val="21"/>
      <w:szCs w:val="21"/>
      <w:u w:val="none"/>
    </w:rPr>
  </w:style>
  <w:style w:type="character" w:customStyle="1" w:styleId="184">
    <w:name w:val="Char Char6"/>
    <w:qFormat/>
    <w:uiPriority w:val="0"/>
    <w:rPr>
      <w:rFonts w:ascii="等线 Light" w:hAnsi="Helv" w:eastAsia="等线 Light"/>
      <w:szCs w:val="24"/>
    </w:rPr>
  </w:style>
  <w:style w:type="character" w:customStyle="1" w:styleId="185">
    <w:name w:val="正文无缩进 Char"/>
    <w:link w:val="186"/>
    <w:qFormat/>
    <w:locked/>
    <w:uiPriority w:val="0"/>
    <w:rPr>
      <w:rFonts w:ascii="微软雅黑" w:hAnsi="等线 Light" w:eastAsia="微软雅黑"/>
      <w:kern w:val="2"/>
      <w:sz w:val="31"/>
      <w:szCs w:val="28"/>
    </w:rPr>
  </w:style>
  <w:style w:type="paragraph" w:customStyle="1" w:styleId="186">
    <w:name w:val="正文无缩进"/>
    <w:basedOn w:val="187"/>
    <w:link w:val="185"/>
    <w:qFormat/>
    <w:uiPriority w:val="0"/>
    <w:pPr>
      <w:ind w:firstLine="0" w:firstLineChars="0"/>
    </w:pPr>
    <w:rPr>
      <w:kern w:val="2"/>
    </w:rPr>
  </w:style>
  <w:style w:type="paragraph" w:customStyle="1" w:styleId="187">
    <w:name w:val="正文缩进2格"/>
    <w:basedOn w:val="1"/>
    <w:next w:val="1"/>
    <w:link w:val="188"/>
    <w:qFormat/>
    <w:uiPriority w:val="0"/>
    <w:pPr>
      <w:autoSpaceDE/>
      <w:autoSpaceDN/>
      <w:adjustRightInd/>
      <w:spacing w:line="600" w:lineRule="exact"/>
      <w:ind w:firstLine="639" w:firstLineChars="206"/>
      <w:jc w:val="both"/>
    </w:pPr>
    <w:rPr>
      <w:rFonts w:ascii="微软雅黑" w:hAnsi="等线 Light" w:eastAsia="微软雅黑"/>
      <w:sz w:val="31"/>
      <w:szCs w:val="28"/>
    </w:rPr>
  </w:style>
  <w:style w:type="character" w:customStyle="1" w:styleId="188">
    <w:name w:val="正文缩进2格 Char"/>
    <w:link w:val="187"/>
    <w:qFormat/>
    <w:uiPriority w:val="0"/>
    <w:rPr>
      <w:rFonts w:ascii="微软雅黑" w:hAnsi="等线 Light" w:eastAsia="微软雅黑"/>
      <w:sz w:val="31"/>
      <w:szCs w:val="28"/>
    </w:rPr>
  </w:style>
  <w:style w:type="character" w:customStyle="1" w:styleId="189">
    <w:name w:val="font91"/>
    <w:qFormat/>
    <w:uiPriority w:val="0"/>
    <w:rPr>
      <w:rFonts w:hint="default" w:ascii="幼圆" w:hAnsi="幼圆" w:cs="幼圆"/>
      <w:color w:val="000000"/>
      <w:sz w:val="21"/>
      <w:szCs w:val="21"/>
      <w:u w:val="none"/>
      <w:vertAlign w:val="subscript"/>
    </w:rPr>
  </w:style>
  <w:style w:type="character" w:customStyle="1" w:styleId="190">
    <w:name w:val="页脚 Char1"/>
    <w:semiHidden/>
    <w:qFormat/>
    <w:uiPriority w:val="99"/>
    <w:rPr>
      <w:rFonts w:ascii="等线 Light" w:hAnsi="幼圆" w:eastAsia="等线 Light" w:cs="幼圆"/>
      <w:kern w:val="0"/>
      <w:sz w:val="18"/>
      <w:szCs w:val="18"/>
    </w:rPr>
  </w:style>
  <w:style w:type="character" w:customStyle="1" w:styleId="191">
    <w:name w:val="+正文 Char4"/>
    <w:link w:val="192"/>
    <w:qFormat/>
    <w:uiPriority w:val="0"/>
    <w:rPr>
      <w:kern w:val="2"/>
      <w:sz w:val="24"/>
      <w:szCs w:val="28"/>
    </w:rPr>
  </w:style>
  <w:style w:type="paragraph" w:customStyle="1" w:styleId="192">
    <w:name w:val="+正文"/>
    <w:basedOn w:val="1"/>
    <w:link w:val="191"/>
    <w:qFormat/>
    <w:uiPriority w:val="0"/>
    <w:pPr>
      <w:autoSpaceDE/>
      <w:autoSpaceDN/>
      <w:adjustRightInd/>
      <w:spacing w:line="360" w:lineRule="auto"/>
      <w:ind w:firstLine="200" w:firstLineChars="200"/>
      <w:jc w:val="both"/>
    </w:pPr>
    <w:rPr>
      <w:rFonts w:ascii="Times New Roman"/>
      <w:kern w:val="2"/>
      <w:szCs w:val="28"/>
    </w:rPr>
  </w:style>
  <w:style w:type="character" w:customStyle="1" w:styleId="193">
    <w:name w:val="表头文字 Char"/>
    <w:link w:val="194"/>
    <w:qFormat/>
    <w:uiPriority w:val="0"/>
    <w:rPr>
      <w:rFonts w:eastAsia="微软雅黑"/>
      <w:b/>
      <w:sz w:val="28"/>
      <w:szCs w:val="21"/>
    </w:rPr>
  </w:style>
  <w:style w:type="paragraph" w:customStyle="1" w:styleId="194">
    <w:name w:val="表头文字"/>
    <w:basedOn w:val="1"/>
    <w:link w:val="193"/>
    <w:qFormat/>
    <w:uiPriority w:val="0"/>
    <w:pPr>
      <w:autoSpaceDE/>
      <w:autoSpaceDN/>
      <w:snapToGrid w:val="0"/>
      <w:spacing w:before="120" w:line="360" w:lineRule="auto"/>
      <w:jc w:val="center"/>
      <w:textAlignment w:val="baseline"/>
    </w:pPr>
    <w:rPr>
      <w:rFonts w:ascii="Times New Roman" w:eastAsia="微软雅黑"/>
      <w:b/>
      <w:sz w:val="28"/>
      <w:szCs w:val="21"/>
    </w:rPr>
  </w:style>
  <w:style w:type="character" w:customStyle="1" w:styleId="195">
    <w:name w:val="日期 Char1"/>
    <w:semiHidden/>
    <w:qFormat/>
    <w:uiPriority w:val="0"/>
    <w:rPr>
      <w:rFonts w:ascii="宋体"/>
      <w:sz w:val="24"/>
      <w:szCs w:val="24"/>
    </w:rPr>
  </w:style>
  <w:style w:type="character" w:customStyle="1" w:styleId="196">
    <w:name w:val="标题 3.1 Char"/>
    <w:link w:val="197"/>
    <w:qFormat/>
    <w:uiPriority w:val="0"/>
    <w:rPr>
      <w:rFonts w:ascii="等线 Light" w:hAnsi="等线 Light"/>
      <w:b/>
      <w:bCs/>
      <w:sz w:val="32"/>
      <w:szCs w:val="32"/>
    </w:rPr>
  </w:style>
  <w:style w:type="paragraph" w:customStyle="1" w:styleId="197">
    <w:name w:val="标题 3.1"/>
    <w:basedOn w:val="6"/>
    <w:link w:val="196"/>
    <w:qFormat/>
    <w:uiPriority w:val="0"/>
    <w:pPr>
      <w:keepNext/>
      <w:keepLines/>
      <w:pageBreakBefore/>
      <w:tabs>
        <w:tab w:val="left" w:pos="1440"/>
        <w:tab w:val="left" w:pos="1620"/>
      </w:tabs>
      <w:autoSpaceDE/>
      <w:autoSpaceDN/>
      <w:adjustRightInd/>
      <w:spacing w:before="260" w:after="260" w:line="600" w:lineRule="exact"/>
      <w:jc w:val="both"/>
    </w:pPr>
    <w:rPr>
      <w:rFonts w:hAnsi="等线 Light" w:eastAsia="宋体"/>
      <w:b/>
      <w:bCs/>
      <w:sz w:val="32"/>
      <w:szCs w:val="32"/>
    </w:rPr>
  </w:style>
  <w:style w:type="character" w:customStyle="1" w:styleId="198">
    <w:name w:val="批注文字 Char3"/>
    <w:qFormat/>
    <w:uiPriority w:val="0"/>
    <w:rPr>
      <w:rFonts w:eastAsia="等线 Light"/>
      <w:kern w:val="2"/>
      <w:sz w:val="24"/>
      <w:szCs w:val="24"/>
      <w:lang w:val="en-US" w:eastAsia="zh-CN" w:bidi="ar-SA"/>
    </w:rPr>
  </w:style>
  <w:style w:type="character" w:customStyle="1" w:styleId="199">
    <w:name w:val="标题 2 字符2"/>
    <w:qFormat/>
    <w:uiPriority w:val="0"/>
    <w:rPr>
      <w:rFonts w:ascii="楷体_GB2312" w:hAnsi="楷体_GB2312" w:eastAsia="PMingLiU"/>
      <w:b/>
      <w:bCs/>
      <w:kern w:val="2"/>
      <w:sz w:val="32"/>
      <w:szCs w:val="32"/>
      <w:lang w:val="en-US" w:eastAsia="zh-CN" w:bidi="ar-SA"/>
    </w:rPr>
  </w:style>
  <w:style w:type="character" w:customStyle="1" w:styleId="200">
    <w:name w:val="img9"/>
    <w:basedOn w:val="57"/>
    <w:qFormat/>
    <w:uiPriority w:val="0"/>
  </w:style>
  <w:style w:type="character" w:customStyle="1" w:styleId="201">
    <w:name w:val="fontborder"/>
    <w:qFormat/>
    <w:uiPriority w:val="0"/>
    <w:rPr>
      <w:bdr w:val="single" w:color="000000" w:sz="6" w:space="0"/>
    </w:rPr>
  </w:style>
  <w:style w:type="character" w:customStyle="1" w:styleId="202">
    <w:name w:val="标题 7 Char"/>
    <w:qFormat/>
    <w:uiPriority w:val="0"/>
    <w:rPr>
      <w:rFonts w:ascii="幼圆" w:hAnsi="幼圆" w:eastAsia="等线 Light" w:cs="幼圆"/>
      <w:bCs/>
      <w:color w:val="000000"/>
      <w:kern w:val="2"/>
      <w:sz w:val="32"/>
      <w:szCs w:val="21"/>
      <w:lang w:val="en-US" w:eastAsia="zh-CN" w:bidi="ar-SA"/>
    </w:rPr>
  </w:style>
  <w:style w:type="character" w:customStyle="1" w:styleId="203">
    <w:name w:val="active7"/>
    <w:qFormat/>
    <w:uiPriority w:val="0"/>
    <w:rPr>
      <w:color w:val="00FF00"/>
      <w:shd w:val="clear" w:color="auto" w:fill="111111"/>
    </w:rPr>
  </w:style>
  <w:style w:type="character" w:customStyle="1" w:styleId="204">
    <w:name w:val="curr"/>
    <w:qFormat/>
    <w:uiPriority w:val="0"/>
    <w:rPr>
      <w:rFonts w:eastAsia="等线 Light"/>
      <w:color w:val="FF6600"/>
      <w:kern w:val="2"/>
      <w:sz w:val="24"/>
      <w:szCs w:val="24"/>
      <w:bdr w:val="single" w:color="FF6600" w:sz="6" w:space="0"/>
      <w:shd w:val="clear" w:color="auto" w:fill="FFEEE5"/>
      <w:lang w:val="en-US" w:eastAsia="zh-CN" w:bidi="ar-SA"/>
    </w:rPr>
  </w:style>
  <w:style w:type="character" w:customStyle="1" w:styleId="205">
    <w:name w:val="正文缩进2格 Char Char"/>
    <w:qFormat/>
    <w:uiPriority w:val="0"/>
    <w:rPr>
      <w:rFonts w:ascii="微软雅黑" w:hAnsi="等线 Light" w:eastAsia="微软雅黑"/>
      <w:kern w:val="2"/>
      <w:sz w:val="31"/>
      <w:szCs w:val="28"/>
      <w:lang w:val="en-US" w:eastAsia="zh-CN" w:bidi="ar-SA"/>
    </w:rPr>
  </w:style>
  <w:style w:type="character" w:customStyle="1" w:styleId="206">
    <w:name w:val="font01"/>
    <w:qFormat/>
    <w:uiPriority w:val="0"/>
    <w:rPr>
      <w:rFonts w:hint="eastAsia" w:ascii="等线 Light" w:hAnsi="等线 Light" w:eastAsia="等线 Light" w:cs="等线 Light"/>
      <w:color w:val="000000"/>
      <w:sz w:val="28"/>
      <w:szCs w:val="28"/>
      <w:u w:val="none"/>
    </w:rPr>
  </w:style>
  <w:style w:type="character" w:customStyle="1" w:styleId="207">
    <w:name w:val="show"/>
    <w:qFormat/>
    <w:uiPriority w:val="0"/>
  </w:style>
  <w:style w:type="character" w:customStyle="1" w:styleId="208">
    <w:name w:val="批注文字 Char"/>
    <w:qFormat/>
    <w:uiPriority w:val="99"/>
    <w:rPr>
      <w:rFonts w:ascii="幼圆" w:hAnsi="幼圆" w:eastAsia="等线 Light" w:cs="幼圆"/>
      <w:kern w:val="2"/>
      <w:sz w:val="24"/>
      <w:szCs w:val="24"/>
      <w:lang w:val="en-US" w:eastAsia="zh-CN" w:bidi="ar-SA"/>
    </w:rPr>
  </w:style>
  <w:style w:type="character" w:customStyle="1" w:styleId="209">
    <w:name w:val="ziti"/>
    <w:qFormat/>
    <w:uiPriority w:val="0"/>
    <w:rPr>
      <w:rFonts w:hint="default" w:ascii="楷体_GB2312" w:hAnsi="楷体_GB2312" w:cs="楷体_GB2312"/>
      <w:sz w:val="16"/>
      <w:szCs w:val="16"/>
    </w:rPr>
  </w:style>
  <w:style w:type="character" w:customStyle="1" w:styleId="210">
    <w:name w:val="脚注文本 字符2"/>
    <w:semiHidden/>
    <w:qFormat/>
    <w:uiPriority w:val="99"/>
    <w:rPr>
      <w:rFonts w:ascii="等线 Light"/>
      <w:sz w:val="18"/>
      <w:szCs w:val="18"/>
    </w:rPr>
  </w:style>
  <w:style w:type="character" w:customStyle="1" w:styleId="211">
    <w:name w:val="标题 Char"/>
    <w:qFormat/>
    <w:uiPriority w:val="10"/>
    <w:rPr>
      <w:rFonts w:ascii="Cambria" w:hAnsi="Cambria"/>
      <w:b/>
      <w:bCs/>
      <w:sz w:val="32"/>
      <w:szCs w:val="32"/>
    </w:rPr>
  </w:style>
  <w:style w:type="character" w:customStyle="1" w:styleId="212">
    <w:name w:val="正文缩进 Char"/>
    <w:qFormat/>
    <w:uiPriority w:val="0"/>
    <w:rPr>
      <w:rFonts w:ascii="幼圆" w:hAnsi="幼圆" w:eastAsia="等线 Light" w:cs="幼圆"/>
      <w:kern w:val="0"/>
      <w:sz w:val="20"/>
      <w:szCs w:val="20"/>
    </w:rPr>
  </w:style>
  <w:style w:type="character" w:customStyle="1" w:styleId="213">
    <w:name w:val="hover23"/>
    <w:qFormat/>
    <w:uiPriority w:val="0"/>
    <w:rPr>
      <w:color w:val="D52222"/>
    </w:rPr>
  </w:style>
  <w:style w:type="character" w:customStyle="1" w:styleId="214">
    <w:name w:val="标题 3 字符1"/>
    <w:qFormat/>
    <w:uiPriority w:val="0"/>
    <w:rPr>
      <w:rFonts w:ascii="等线 Light" w:hAnsi="幼圆" w:eastAsia="等线 Light" w:cs="幼圆"/>
      <w:kern w:val="0"/>
      <w:sz w:val="24"/>
      <w:szCs w:val="24"/>
    </w:rPr>
  </w:style>
  <w:style w:type="character" w:customStyle="1" w:styleId="215">
    <w:name w:val="ico1656"/>
    <w:basedOn w:val="57"/>
    <w:qFormat/>
    <w:uiPriority w:val="0"/>
  </w:style>
  <w:style w:type="character" w:customStyle="1" w:styleId="216">
    <w:name w:val="中等深浅网格 2 字符"/>
    <w:link w:val="217"/>
    <w:qFormat/>
    <w:uiPriority w:val="1"/>
    <w:rPr>
      <w:kern w:val="2"/>
      <w:sz w:val="21"/>
      <w:szCs w:val="22"/>
      <w:lang w:val="en-US" w:eastAsia="zh-CN" w:bidi="ar-SA"/>
    </w:rPr>
  </w:style>
  <w:style w:type="paragraph" w:customStyle="1" w:styleId="217">
    <w:name w:val="中等深浅网格 21"/>
    <w:link w:val="216"/>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8">
    <w:name w:val="font41"/>
    <w:qFormat/>
    <w:uiPriority w:val="0"/>
    <w:rPr>
      <w:rFonts w:hint="default" w:ascii="幼圆" w:hAnsi="幼圆" w:cs="幼圆"/>
      <w:color w:val="000000"/>
      <w:sz w:val="21"/>
      <w:szCs w:val="21"/>
      <w:u w:val="none"/>
    </w:rPr>
  </w:style>
  <w:style w:type="character" w:customStyle="1" w:styleId="219">
    <w:name w:val="正文首行缩进 字符"/>
    <w:basedOn w:val="161"/>
    <w:qFormat/>
    <w:uiPriority w:val="0"/>
    <w:rPr>
      <w:rFonts w:eastAsia="等线 Light"/>
      <w:kern w:val="2"/>
      <w:sz w:val="21"/>
      <w:szCs w:val="24"/>
      <w:lang w:val="en-US" w:eastAsia="zh-CN" w:bidi="ar-SA"/>
    </w:rPr>
  </w:style>
  <w:style w:type="character" w:customStyle="1" w:styleId="220">
    <w:name w:val="标题 9 Char"/>
    <w:qFormat/>
    <w:uiPriority w:val="0"/>
    <w:rPr>
      <w:rFonts w:ascii="楷体_GB2312" w:hAnsi="楷体_GB2312" w:eastAsia="等线 Light" w:cs="幼圆"/>
      <w:color w:val="000000"/>
      <w:kern w:val="2"/>
      <w:sz w:val="32"/>
      <w:szCs w:val="21"/>
      <w:lang w:val="en-US" w:eastAsia="zh-CN" w:bidi="ar-SA"/>
    </w:rPr>
  </w:style>
  <w:style w:type="character" w:customStyle="1" w:styleId="221">
    <w:name w:val="标书正文格式 Char"/>
    <w:qFormat/>
    <w:uiPriority w:val="0"/>
    <w:rPr>
      <w:rFonts w:eastAsia="Cambria Math"/>
      <w:kern w:val="2"/>
      <w:sz w:val="24"/>
      <w:lang w:val="en-US" w:eastAsia="zh-CN" w:bidi="ar-SA"/>
    </w:rPr>
  </w:style>
  <w:style w:type="character" w:customStyle="1" w:styleId="222">
    <w:name w:val="layui-layer-tabnow"/>
    <w:qFormat/>
    <w:uiPriority w:val="0"/>
    <w:rPr>
      <w:rFonts w:eastAsia="等线 Light"/>
      <w:kern w:val="2"/>
      <w:sz w:val="24"/>
      <w:szCs w:val="24"/>
      <w:bdr w:val="single" w:color="CCCCCC" w:sz="6" w:space="0"/>
      <w:shd w:val="clear" w:color="auto" w:fill="FFFFFF"/>
      <w:lang w:val="en-US" w:eastAsia="zh-CN" w:bidi="ar-SA"/>
    </w:rPr>
  </w:style>
  <w:style w:type="character" w:customStyle="1" w:styleId="223">
    <w:name w:val="Char Char61"/>
    <w:qFormat/>
    <w:uiPriority w:val="0"/>
    <w:rPr>
      <w:rFonts w:ascii="_x001A_" w:eastAsia="_x001A_"/>
      <w:b/>
      <w:sz w:val="28"/>
    </w:rPr>
  </w:style>
  <w:style w:type="character" w:customStyle="1" w:styleId="224">
    <w:name w:val="hover64"/>
    <w:qFormat/>
    <w:uiPriority w:val="0"/>
    <w:rPr>
      <w:rFonts w:eastAsia="等线 Light"/>
      <w:color w:val="D52222"/>
      <w:kern w:val="2"/>
      <w:sz w:val="24"/>
      <w:szCs w:val="24"/>
      <w:lang w:val="en-US" w:eastAsia="zh-CN" w:bidi="ar-SA"/>
    </w:rPr>
  </w:style>
  <w:style w:type="character" w:customStyle="1" w:styleId="225">
    <w:name w:val="正文文本缩进 Char1"/>
    <w:semiHidden/>
    <w:qFormat/>
    <w:uiPriority w:val="99"/>
    <w:rPr>
      <w:rFonts w:ascii="宋体"/>
      <w:sz w:val="24"/>
      <w:szCs w:val="24"/>
    </w:rPr>
  </w:style>
  <w:style w:type="character" w:customStyle="1" w:styleId="226">
    <w:name w:val="标题 2 Char"/>
    <w:qFormat/>
    <w:uiPriority w:val="0"/>
    <w:rPr>
      <w:rFonts w:ascii="楷体_GB2312" w:hAnsi="楷体_GB2312" w:eastAsia="PMingLiU" w:cs="幼圆"/>
      <w:b/>
      <w:bCs/>
      <w:kern w:val="2"/>
      <w:sz w:val="32"/>
      <w:szCs w:val="32"/>
      <w:lang w:val="en-US" w:eastAsia="zh-CN" w:bidi="ar-SA"/>
    </w:rPr>
  </w:style>
  <w:style w:type="character" w:customStyle="1" w:styleId="227">
    <w:name w:val="icon-pd-bbs"/>
    <w:qFormat/>
    <w:uiPriority w:val="0"/>
  </w:style>
  <w:style w:type="character" w:customStyle="1" w:styleId="228">
    <w:name w:val="正文文本 3 Char"/>
    <w:qFormat/>
    <w:uiPriority w:val="0"/>
    <w:rPr>
      <w:rFonts w:ascii="等线 Light" w:hAnsi="等线 Light" w:eastAsia="等线 Light" w:cs="幼圆"/>
      <w:kern w:val="2"/>
      <w:sz w:val="28"/>
      <w:szCs w:val="24"/>
      <w:lang w:val="en-US" w:eastAsia="zh-CN" w:bidi="ar-SA"/>
    </w:rPr>
  </w:style>
  <w:style w:type="character" w:customStyle="1" w:styleId="229">
    <w:name w:val="icontext11"/>
    <w:basedOn w:val="57"/>
    <w:qFormat/>
    <w:uiPriority w:val="0"/>
  </w:style>
  <w:style w:type="character" w:customStyle="1" w:styleId="230">
    <w:name w:val="associateddata"/>
    <w:qFormat/>
    <w:uiPriority w:val="0"/>
    <w:rPr>
      <w:shd w:val="clear" w:color="auto" w:fill="50A6F9"/>
    </w:rPr>
  </w:style>
  <w:style w:type="character" w:customStyle="1" w:styleId="231">
    <w:name w:val="bigfont1"/>
    <w:qFormat/>
    <w:uiPriority w:val="0"/>
    <w:rPr>
      <w:rFonts w:hint="default" w:ascii="MS Sans Serif" w:hAnsi="MS Sans Serif"/>
      <w:color w:val="000000"/>
      <w:sz w:val="24"/>
      <w:szCs w:val="24"/>
      <w:u w:val="none"/>
    </w:rPr>
  </w:style>
  <w:style w:type="character" w:customStyle="1" w:styleId="232">
    <w:name w:val="正文文本缩进 2 Char1"/>
    <w:qFormat/>
    <w:uiPriority w:val="0"/>
    <w:rPr>
      <w:rFonts w:eastAsia="等线 Light"/>
      <w:kern w:val="2"/>
      <w:sz w:val="21"/>
      <w:szCs w:val="24"/>
      <w:lang w:val="en-US" w:eastAsia="zh-CN" w:bidi="ar-SA"/>
    </w:rPr>
  </w:style>
  <w:style w:type="character" w:customStyle="1" w:styleId="233">
    <w:name w:val="正文文本缩进 3 Char"/>
    <w:qFormat/>
    <w:uiPriority w:val="0"/>
    <w:rPr>
      <w:rFonts w:ascii="幼圆" w:hAnsi="幼圆" w:eastAsia="等线 Light" w:cs="幼圆"/>
      <w:kern w:val="2"/>
      <w:sz w:val="24"/>
      <w:szCs w:val="21"/>
      <w:lang w:val="en-US" w:eastAsia="zh-CN" w:bidi="ar-SA"/>
    </w:rPr>
  </w:style>
  <w:style w:type="character" w:customStyle="1" w:styleId="234">
    <w:name w:val="DAS正文 Char"/>
    <w:qFormat/>
    <w:uiPriority w:val="0"/>
    <w:rPr>
      <w:rFonts w:ascii="Lucida Grande" w:hAnsi="Lucida Grande" w:eastAsia="等线 Light"/>
      <w:kern w:val="2"/>
      <w:sz w:val="21"/>
      <w:szCs w:val="21"/>
      <w:lang w:val="en-US" w:eastAsia="zh-CN" w:bidi="ar-SA"/>
    </w:rPr>
  </w:style>
  <w:style w:type="character" w:customStyle="1" w:styleId="235">
    <w:name w:val="iconline21"/>
    <w:basedOn w:val="57"/>
    <w:qFormat/>
    <w:uiPriority w:val="0"/>
  </w:style>
  <w:style w:type="character" w:customStyle="1" w:styleId="236">
    <w:name w:val="cdropright"/>
    <w:basedOn w:val="57"/>
    <w:qFormat/>
    <w:uiPriority w:val="0"/>
  </w:style>
  <w:style w:type="character" w:customStyle="1" w:styleId="237">
    <w:name w:val="drapbtn"/>
    <w:basedOn w:val="57"/>
    <w:qFormat/>
    <w:uiPriority w:val="0"/>
  </w:style>
  <w:style w:type="character" w:customStyle="1" w:styleId="238">
    <w:name w:val="HTML Markup"/>
    <w:qFormat/>
    <w:uiPriority w:val="0"/>
    <w:rPr>
      <w:vanish/>
      <w:color w:val="FF0000"/>
    </w:rPr>
  </w:style>
  <w:style w:type="character" w:customStyle="1" w:styleId="239">
    <w:name w:val="first-child"/>
    <w:qFormat/>
    <w:uiPriority w:val="0"/>
  </w:style>
  <w:style w:type="character" w:customStyle="1" w:styleId="240">
    <w:name w:val="标题 1 Char1"/>
    <w:qFormat/>
    <w:uiPriority w:val="0"/>
    <w:rPr>
      <w:rFonts w:eastAsia="等线 Light"/>
      <w:b/>
      <w:bCs/>
      <w:kern w:val="44"/>
      <w:sz w:val="44"/>
      <w:szCs w:val="44"/>
      <w:lang w:val="en-US" w:eastAsia="zh-CN" w:bidi="ar-SA"/>
    </w:rPr>
  </w:style>
  <w:style w:type="character" w:customStyle="1" w:styleId="241">
    <w:name w:val="普通(网站) Char"/>
    <w:qFormat/>
    <w:uiPriority w:val="99"/>
    <w:rPr>
      <w:rFonts w:ascii="等线 Light" w:hAnsi="等线 Light"/>
      <w:sz w:val="15"/>
      <w:szCs w:val="15"/>
    </w:rPr>
  </w:style>
  <w:style w:type="character" w:customStyle="1" w:styleId="242">
    <w:name w:val="style61"/>
    <w:qFormat/>
    <w:uiPriority w:val="0"/>
    <w:rPr>
      <w:b/>
      <w:bCs/>
    </w:rPr>
  </w:style>
  <w:style w:type="character" w:customStyle="1" w:styleId="243">
    <w:name w:val="font51"/>
    <w:qFormat/>
    <w:uiPriority w:val="0"/>
    <w:rPr>
      <w:rFonts w:hint="default" w:ascii="幼圆" w:hAnsi="幼圆" w:cs="幼圆"/>
      <w:color w:val="000000"/>
      <w:sz w:val="20"/>
      <w:szCs w:val="20"/>
      <w:u w:val="none"/>
    </w:rPr>
  </w:style>
  <w:style w:type="character" w:customStyle="1" w:styleId="244">
    <w:name w:val="Char Char Char Char Char Char Char1 Char"/>
    <w:qFormat/>
    <w:uiPriority w:val="0"/>
    <w:rPr>
      <w:rFonts w:ascii="PMingLiU" w:hAnsi="Lucida Grande" w:eastAsia="PMingLiU"/>
      <w:sz w:val="32"/>
      <w:szCs w:val="32"/>
      <w:lang w:eastAsia="en-US"/>
    </w:rPr>
  </w:style>
  <w:style w:type="character" w:customStyle="1" w:styleId="245">
    <w:name w:val="Char Char2"/>
    <w:qFormat/>
    <w:uiPriority w:val="0"/>
    <w:rPr>
      <w:kern w:val="2"/>
      <w:sz w:val="21"/>
      <w:szCs w:val="24"/>
    </w:rPr>
  </w:style>
  <w:style w:type="character" w:customStyle="1" w:styleId="246">
    <w:name w:val="标题 8 Char"/>
    <w:qFormat/>
    <w:uiPriority w:val="0"/>
    <w:rPr>
      <w:rFonts w:ascii="楷体_GB2312" w:hAnsi="楷体_GB2312" w:eastAsia="等线 Light" w:cs="幼圆"/>
      <w:color w:val="000000"/>
      <w:kern w:val="2"/>
      <w:sz w:val="32"/>
      <w:szCs w:val="21"/>
      <w:lang w:val="en-US" w:eastAsia="zh-CN" w:bidi="ar-SA"/>
    </w:rPr>
  </w:style>
  <w:style w:type="character" w:customStyle="1" w:styleId="247">
    <w:name w:val="样式 样式 标准正文 + 宋体 + 黑色 Char Char"/>
    <w:link w:val="248"/>
    <w:qFormat/>
    <w:uiPriority w:val="0"/>
    <w:rPr>
      <w:rFonts w:ascii="等线 Light" w:hAnsi="等线 Light"/>
      <w:color w:val="000000"/>
      <w:kern w:val="2"/>
      <w:sz w:val="24"/>
    </w:rPr>
  </w:style>
  <w:style w:type="paragraph" w:customStyle="1" w:styleId="248">
    <w:name w:val="样式 样式 标准正文 + 宋体 + 黑色"/>
    <w:basedOn w:val="1"/>
    <w:link w:val="247"/>
    <w:qFormat/>
    <w:uiPriority w:val="0"/>
    <w:pPr>
      <w:autoSpaceDE/>
      <w:autoSpaceDN/>
      <w:adjustRightInd/>
      <w:spacing w:before="60" w:after="60" w:line="360" w:lineRule="auto"/>
      <w:ind w:firstLine="482"/>
      <w:jc w:val="both"/>
    </w:pPr>
    <w:rPr>
      <w:rFonts w:hAnsi="等线 Light"/>
      <w:color w:val="000000"/>
      <w:kern w:val="2"/>
      <w:szCs w:val="20"/>
    </w:rPr>
  </w:style>
  <w:style w:type="character" w:customStyle="1" w:styleId="249">
    <w:name w:val="尾注文本 字符"/>
    <w:qFormat/>
    <w:uiPriority w:val="0"/>
    <w:rPr>
      <w:rFonts w:ascii="幼圆" w:hAnsi="幼圆" w:eastAsia="等线 Light" w:cs="幼圆"/>
      <w:kern w:val="2"/>
      <w:sz w:val="24"/>
      <w:szCs w:val="24"/>
      <w:lang w:bidi="ar-SA"/>
    </w:rPr>
  </w:style>
  <w:style w:type="character" w:customStyle="1" w:styleId="250">
    <w:name w:val="article1"/>
    <w:qFormat/>
    <w:uiPriority w:val="0"/>
    <w:rPr>
      <w:sz w:val="30"/>
      <w:szCs w:val="30"/>
    </w:rPr>
  </w:style>
  <w:style w:type="character" w:customStyle="1" w:styleId="251">
    <w:name w:val="apple-converted-space"/>
    <w:qFormat/>
    <w:uiPriority w:val="0"/>
  </w:style>
  <w:style w:type="character" w:customStyle="1" w:styleId="252">
    <w:name w:val="纯文本 Char1"/>
    <w:qFormat/>
    <w:uiPriority w:val="0"/>
    <w:rPr>
      <w:rFonts w:ascii="等线 Light" w:hAnsi="Helv" w:eastAsia="等线 Light" w:cs="Helv"/>
      <w:kern w:val="0"/>
      <w:szCs w:val="21"/>
    </w:rPr>
  </w:style>
  <w:style w:type="character" w:customStyle="1" w:styleId="253">
    <w:name w:val="文档结构图 Char1"/>
    <w:semiHidden/>
    <w:qFormat/>
    <w:uiPriority w:val="99"/>
    <w:rPr>
      <w:rFonts w:ascii="Microsoft YaHei UI" w:eastAsia="Microsoft YaHei UI"/>
      <w:sz w:val="18"/>
      <w:szCs w:val="18"/>
    </w:rPr>
  </w:style>
  <w:style w:type="character" w:customStyle="1" w:styleId="254">
    <w:name w:val="l-btn-text35"/>
    <w:qFormat/>
    <w:uiPriority w:val="0"/>
  </w:style>
  <w:style w:type="character" w:customStyle="1" w:styleId="255">
    <w:name w:val="Char Char Char Char Char Char Char1 Char Char"/>
    <w:link w:val="256"/>
    <w:qFormat/>
    <w:uiPriority w:val="0"/>
    <w:rPr>
      <w:rFonts w:ascii="PMingLiU" w:hAnsi="Lucida Grande" w:eastAsia="PMingLiU"/>
      <w:sz w:val="32"/>
      <w:szCs w:val="32"/>
      <w:lang w:eastAsia="en-US"/>
    </w:rPr>
  </w:style>
  <w:style w:type="paragraph" w:customStyle="1" w:styleId="256">
    <w:name w:val="Char Char Char Char Char Char Char1"/>
    <w:basedOn w:val="1"/>
    <w:link w:val="255"/>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57">
    <w:name w:val="hover41"/>
    <w:qFormat/>
    <w:uiPriority w:val="0"/>
    <w:rPr>
      <w:color w:val="2490F8"/>
    </w:rPr>
  </w:style>
  <w:style w:type="character" w:customStyle="1" w:styleId="258">
    <w:name w:val="font71"/>
    <w:qFormat/>
    <w:uiPriority w:val="0"/>
    <w:rPr>
      <w:rFonts w:hint="eastAsia" w:ascii="等线 Light" w:hAnsi="等线 Light" w:eastAsia="等线 Light" w:cs="等线 Light"/>
      <w:color w:val="000000"/>
      <w:sz w:val="20"/>
      <w:szCs w:val="20"/>
      <w:u w:val="none"/>
    </w:rPr>
  </w:style>
  <w:style w:type="character" w:customStyle="1" w:styleId="259">
    <w:name w:val="页眉 Char2"/>
    <w:qFormat/>
    <w:uiPriority w:val="0"/>
    <w:rPr>
      <w:rFonts w:eastAsia="等线 Light"/>
      <w:kern w:val="2"/>
      <w:sz w:val="18"/>
      <w:szCs w:val="18"/>
      <w:lang w:val="en-US" w:eastAsia="zh-CN" w:bidi="ar-SA"/>
    </w:rPr>
  </w:style>
  <w:style w:type="character" w:customStyle="1" w:styleId="260">
    <w:name w:val="首航所进 Char"/>
    <w:qFormat/>
    <w:uiPriority w:val="0"/>
    <w:rPr>
      <w:rFonts w:eastAsia="等线 Light"/>
      <w:kern w:val="2"/>
      <w:sz w:val="24"/>
      <w:szCs w:val="24"/>
      <w:lang w:val="en-US" w:eastAsia="zh-CN" w:bidi="ar-SA"/>
    </w:rPr>
  </w:style>
  <w:style w:type="character" w:customStyle="1" w:styleId="261">
    <w:name w:val="样式 样式 标准正文 + 宋体 + 黑色 Char"/>
    <w:qFormat/>
    <w:uiPriority w:val="0"/>
    <w:rPr>
      <w:rFonts w:ascii="等线 Light" w:hAnsi="等线 Light" w:eastAsia="等线 Light"/>
      <w:color w:val="000000"/>
      <w:kern w:val="2"/>
      <w:sz w:val="24"/>
      <w:lang w:val="en-US" w:eastAsia="zh-CN" w:bidi="ar-SA"/>
    </w:rPr>
  </w:style>
  <w:style w:type="character" w:customStyle="1" w:styleId="262">
    <w:name w:val="Char Char Char Char Char Char Char1 Char Char1"/>
    <w:link w:val="263"/>
    <w:qFormat/>
    <w:uiPriority w:val="0"/>
    <w:rPr>
      <w:rFonts w:ascii="PMingLiU" w:hAnsi="Lucida Grande" w:eastAsia="PMingLiU"/>
      <w:sz w:val="32"/>
      <w:szCs w:val="32"/>
      <w:lang w:eastAsia="en-US"/>
    </w:rPr>
  </w:style>
  <w:style w:type="paragraph" w:customStyle="1" w:styleId="263">
    <w:name w:val="Char Char Char Char Char Char Char11"/>
    <w:basedOn w:val="1"/>
    <w:link w:val="262"/>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64">
    <w:name w:val="ca-31"/>
    <w:qFormat/>
    <w:uiPriority w:val="0"/>
    <w:rPr>
      <w:rFonts w:hint="eastAsia" w:ascii="微软雅黑" w:eastAsia="微软雅黑"/>
      <w:kern w:val="2"/>
      <w:sz w:val="32"/>
      <w:szCs w:val="32"/>
      <w:lang w:val="en-US" w:eastAsia="zh-CN" w:bidi="ar-SA"/>
    </w:rPr>
  </w:style>
  <w:style w:type="character" w:customStyle="1" w:styleId="265">
    <w:name w:val="hover63"/>
    <w:qFormat/>
    <w:uiPriority w:val="0"/>
    <w:rPr>
      <w:rFonts w:eastAsia="等线 Light"/>
      <w:color w:val="2B84B5"/>
      <w:kern w:val="2"/>
      <w:sz w:val="24"/>
      <w:szCs w:val="24"/>
      <w:lang w:val="en-US" w:eastAsia="zh-CN" w:bidi="ar-SA"/>
    </w:rPr>
  </w:style>
  <w:style w:type="character" w:customStyle="1" w:styleId="266">
    <w:name w:val="标题 2 字符1"/>
    <w:qFormat/>
    <w:uiPriority w:val="0"/>
    <w:rPr>
      <w:rFonts w:ascii="楷体_GB2312" w:hAnsi="楷体_GB2312" w:eastAsia="PMingLiU"/>
      <w:b/>
      <w:bCs/>
      <w:kern w:val="2"/>
      <w:sz w:val="32"/>
      <w:szCs w:val="32"/>
      <w:lang w:val="en-US" w:eastAsia="zh-CN" w:bidi="ar-SA"/>
    </w:rPr>
  </w:style>
  <w:style w:type="character" w:customStyle="1" w:styleId="267">
    <w:name w:val="页眉 Char"/>
    <w:qFormat/>
    <w:uiPriority w:val="99"/>
    <w:rPr>
      <w:rFonts w:eastAsia="等线 Light"/>
      <w:kern w:val="2"/>
      <w:sz w:val="18"/>
      <w:szCs w:val="18"/>
      <w:lang w:val="en-US" w:eastAsia="zh-CN" w:bidi="ar-SA"/>
    </w:rPr>
  </w:style>
  <w:style w:type="character" w:customStyle="1" w:styleId="268">
    <w:name w:val="after"/>
    <w:qFormat/>
    <w:uiPriority w:val="0"/>
    <w:rPr>
      <w:sz w:val="16"/>
      <w:szCs w:val="0"/>
    </w:rPr>
  </w:style>
  <w:style w:type="character" w:customStyle="1" w:styleId="269">
    <w:name w:val="pagechatarealistclose_box1"/>
    <w:basedOn w:val="57"/>
    <w:qFormat/>
    <w:uiPriority w:val="0"/>
  </w:style>
  <w:style w:type="character" w:customStyle="1" w:styleId="270">
    <w:name w:val="批注主题 Char2"/>
    <w:qFormat/>
    <w:uiPriority w:val="99"/>
    <w:rPr>
      <w:rFonts w:eastAsia="等线 Light"/>
      <w:b/>
      <w:bCs/>
      <w:kern w:val="2"/>
      <w:sz w:val="21"/>
      <w:szCs w:val="24"/>
      <w:lang w:val="en-US" w:eastAsia="zh-CN" w:bidi="ar-SA"/>
    </w:rPr>
  </w:style>
  <w:style w:type="character" w:customStyle="1" w:styleId="271">
    <w:name w:val="标题 7 Char1"/>
    <w:qFormat/>
    <w:uiPriority w:val="0"/>
    <w:rPr>
      <w:rFonts w:eastAsia="等线 Light"/>
      <w:bCs/>
      <w:color w:val="000000"/>
      <w:kern w:val="2"/>
      <w:sz w:val="32"/>
      <w:szCs w:val="21"/>
      <w:lang w:val="en-US" w:eastAsia="zh-CN" w:bidi="ar-SA"/>
    </w:rPr>
  </w:style>
  <w:style w:type="character" w:customStyle="1" w:styleId="272">
    <w:name w:val="tmpztreemove_arrow"/>
    <w:basedOn w:val="57"/>
    <w:qFormat/>
    <w:uiPriority w:val="0"/>
  </w:style>
  <w:style w:type="character" w:customStyle="1" w:styleId="273">
    <w:name w:val="页脚 Char2"/>
    <w:qFormat/>
    <w:uiPriority w:val="99"/>
    <w:rPr>
      <w:rFonts w:eastAsia="等线 Light"/>
      <w:kern w:val="2"/>
      <w:sz w:val="18"/>
      <w:szCs w:val="18"/>
      <w:lang w:val="en-US" w:eastAsia="zh-CN" w:bidi="ar-SA"/>
    </w:rPr>
  </w:style>
  <w:style w:type="character" w:customStyle="1" w:styleId="274">
    <w:name w:val="button"/>
    <w:basedOn w:val="57"/>
    <w:qFormat/>
    <w:uiPriority w:val="0"/>
  </w:style>
  <w:style w:type="character" w:customStyle="1" w:styleId="275">
    <w:name w:val="标题 5 字符"/>
    <w:qFormat/>
    <w:uiPriority w:val="0"/>
    <w:rPr>
      <w:rFonts w:ascii="等线 Light"/>
      <w:b/>
      <w:bCs/>
      <w:sz w:val="28"/>
      <w:szCs w:val="28"/>
    </w:rPr>
  </w:style>
  <w:style w:type="character" w:customStyle="1" w:styleId="276">
    <w:name w:val="icontext1"/>
    <w:basedOn w:val="57"/>
    <w:qFormat/>
    <w:uiPriority w:val="0"/>
  </w:style>
  <w:style w:type="character" w:customStyle="1" w:styleId="277">
    <w:name w:val="标题 Char1"/>
    <w:qFormat/>
    <w:uiPriority w:val="10"/>
    <w:rPr>
      <w:rFonts w:ascii="Calibri Light" w:hAnsi="Calibri Light" w:cs="Times New Roman"/>
      <w:b/>
      <w:bCs/>
      <w:sz w:val="32"/>
      <w:szCs w:val="32"/>
    </w:rPr>
  </w:style>
  <w:style w:type="character" w:customStyle="1" w:styleId="278">
    <w:name w:val="吉奥正文 Char"/>
    <w:link w:val="279"/>
    <w:qFormat/>
    <w:locked/>
    <w:uiPriority w:val="0"/>
    <w:rPr>
      <w:rFonts w:eastAsia="微软雅黑"/>
      <w:kern w:val="2"/>
      <w:sz w:val="28"/>
    </w:rPr>
  </w:style>
  <w:style w:type="paragraph" w:customStyle="1" w:styleId="279">
    <w:name w:val="吉奥正文"/>
    <w:basedOn w:val="1"/>
    <w:link w:val="278"/>
    <w:qFormat/>
    <w:uiPriority w:val="0"/>
    <w:pPr>
      <w:autoSpaceDE/>
      <w:autoSpaceDN/>
      <w:snapToGrid w:val="0"/>
      <w:spacing w:before="120" w:line="360" w:lineRule="auto"/>
      <w:ind w:firstLine="200" w:firstLineChars="200"/>
      <w:jc w:val="both"/>
      <w:textAlignment w:val="baseline"/>
    </w:pPr>
    <w:rPr>
      <w:rFonts w:ascii="Times New Roman" w:eastAsia="微软雅黑"/>
      <w:kern w:val="2"/>
      <w:sz w:val="28"/>
      <w:szCs w:val="20"/>
    </w:rPr>
  </w:style>
  <w:style w:type="character" w:customStyle="1" w:styleId="280">
    <w:name w:val="纯文本 字符2"/>
    <w:qFormat/>
    <w:uiPriority w:val="0"/>
    <w:rPr>
      <w:rFonts w:ascii="等线 Light" w:hAnsi="Helv" w:eastAsia="等线 Light"/>
    </w:rPr>
  </w:style>
  <w:style w:type="character" w:customStyle="1" w:styleId="281">
    <w:name w:val="ico1654"/>
    <w:basedOn w:val="57"/>
    <w:qFormat/>
    <w:uiPriority w:val="0"/>
  </w:style>
  <w:style w:type="character" w:customStyle="1" w:styleId="282">
    <w:name w:val="批注文字 字符2"/>
    <w:qFormat/>
    <w:uiPriority w:val="99"/>
    <w:rPr>
      <w:rFonts w:ascii="等线 Light" w:hAnsi="幼圆" w:eastAsia="等线 Light" w:cs="幼圆"/>
      <w:kern w:val="0"/>
      <w:sz w:val="24"/>
      <w:szCs w:val="24"/>
    </w:rPr>
  </w:style>
  <w:style w:type="character" w:customStyle="1" w:styleId="283">
    <w:name w:val="icon-help-center"/>
    <w:qFormat/>
    <w:uiPriority w:val="0"/>
  </w:style>
  <w:style w:type="character" w:customStyle="1" w:styleId="284">
    <w:name w:val="批注文字 Char1"/>
    <w:qFormat/>
    <w:uiPriority w:val="99"/>
    <w:rPr>
      <w:rFonts w:ascii="幼圆" w:hAnsi="幼圆" w:eastAsia="Cambria Math" w:cs="幼圆"/>
      <w:spacing w:val="-20"/>
      <w:sz w:val="32"/>
      <w:szCs w:val="20"/>
    </w:rPr>
  </w:style>
  <w:style w:type="character" w:customStyle="1" w:styleId="285">
    <w:name w:val="HTML 预设格式 Char1"/>
    <w:qFormat/>
    <w:uiPriority w:val="99"/>
    <w:rPr>
      <w:rFonts w:ascii="Helv" w:hAnsi="Helv" w:eastAsia="等线 Light" w:cs="Helv"/>
      <w:kern w:val="0"/>
      <w:sz w:val="20"/>
      <w:szCs w:val="20"/>
    </w:rPr>
  </w:style>
  <w:style w:type="character" w:customStyle="1" w:styleId="286">
    <w:name w:val="标题 3 Char"/>
    <w:qFormat/>
    <w:uiPriority w:val="0"/>
    <w:rPr>
      <w:rFonts w:ascii="幼圆" w:hAnsi="幼圆" w:eastAsia="等线 Light" w:cs="幼圆"/>
      <w:b/>
      <w:bCs/>
      <w:kern w:val="2"/>
      <w:sz w:val="32"/>
      <w:szCs w:val="32"/>
      <w:lang w:val="en-US" w:eastAsia="zh-CN" w:bidi="ar-SA"/>
    </w:rPr>
  </w:style>
  <w:style w:type="character" w:customStyle="1" w:styleId="287">
    <w:name w:val="正文文本缩进 字符1"/>
    <w:qFormat/>
    <w:uiPriority w:val="0"/>
    <w:rPr>
      <w:rFonts w:ascii="幼圆" w:hAnsi="幼圆" w:eastAsia="等线 Light" w:cs="幼圆"/>
      <w:szCs w:val="20"/>
    </w:rPr>
  </w:style>
  <w:style w:type="character" w:customStyle="1" w:styleId="288">
    <w:name w:val="Char Char21"/>
    <w:qFormat/>
    <w:uiPriority w:val="0"/>
    <w:rPr>
      <w:rFonts w:ascii="等线 Light" w:hAnsi="Helv" w:eastAsia="等线 Light"/>
      <w:kern w:val="2"/>
      <w:sz w:val="21"/>
      <w:lang w:val="en-US" w:eastAsia="zh-CN" w:bidi="ar-SA"/>
    </w:rPr>
  </w:style>
  <w:style w:type="character" w:customStyle="1" w:styleId="289">
    <w:name w:val="标题 3 Char1"/>
    <w:qFormat/>
    <w:uiPriority w:val="0"/>
    <w:rPr>
      <w:rFonts w:eastAsia="等线 Light"/>
      <w:b/>
      <w:bCs/>
      <w:kern w:val="2"/>
      <w:sz w:val="32"/>
      <w:szCs w:val="32"/>
      <w:lang w:val="en-US" w:eastAsia="zh-CN" w:bidi="ar-SA"/>
    </w:rPr>
  </w:style>
  <w:style w:type="character" w:customStyle="1" w:styleId="290">
    <w:name w:val="copytolefthover"/>
    <w:qFormat/>
    <w:uiPriority w:val="0"/>
    <w:rPr>
      <w:vanish/>
    </w:rPr>
  </w:style>
  <w:style w:type="character" w:customStyle="1" w:styleId="291">
    <w:name w:val="w32"/>
    <w:basedOn w:val="57"/>
    <w:qFormat/>
    <w:uiPriority w:val="0"/>
  </w:style>
  <w:style w:type="character" w:customStyle="1" w:styleId="292">
    <w:name w:val="纯文本 Char"/>
    <w:qFormat/>
    <w:uiPriority w:val="0"/>
    <w:rPr>
      <w:rFonts w:ascii="等线 Light" w:hAnsi="Helv" w:eastAsia="等线 Light" w:cs="幼圆"/>
      <w:szCs w:val="20"/>
    </w:rPr>
  </w:style>
  <w:style w:type="character" w:customStyle="1" w:styleId="293">
    <w:name w:val="标题 2 Char2"/>
    <w:qFormat/>
    <w:uiPriority w:val="0"/>
    <w:rPr>
      <w:rFonts w:ascii="楷体_GB2312" w:hAnsi="楷体_GB2312" w:eastAsia="PMingLiU"/>
      <w:b/>
      <w:bCs/>
      <w:kern w:val="2"/>
      <w:sz w:val="32"/>
      <w:szCs w:val="32"/>
      <w:lang w:val="en-US" w:eastAsia="zh-CN" w:bidi="ar-SA"/>
    </w:rPr>
  </w:style>
  <w:style w:type="character" w:customStyle="1" w:styleId="294">
    <w:name w:val="eschoolnr"/>
    <w:qFormat/>
    <w:uiPriority w:val="0"/>
    <w:rPr>
      <w:sz w:val="23"/>
      <w:szCs w:val="23"/>
    </w:rPr>
  </w:style>
  <w:style w:type="character" w:customStyle="1" w:styleId="295">
    <w:name w:val="题注 字符"/>
    <w:qFormat/>
    <w:uiPriority w:val="0"/>
    <w:rPr>
      <w:rFonts w:ascii="等线 Light" w:hAnsi="等线 Light" w:eastAsia="PMingLiU" w:cs="幼圆"/>
      <w:b/>
      <w:szCs w:val="21"/>
    </w:rPr>
  </w:style>
  <w:style w:type="character" w:customStyle="1" w:styleId="296">
    <w:name w:val="List Paragraph Char"/>
    <w:link w:val="297"/>
    <w:qFormat/>
    <w:uiPriority w:val="34"/>
    <w:rPr>
      <w:rFonts w:ascii="Arial Unicode MS" w:hAnsi="Arial Unicode MS"/>
      <w:kern w:val="2"/>
      <w:sz w:val="21"/>
      <w:szCs w:val="22"/>
    </w:rPr>
  </w:style>
  <w:style w:type="paragraph" w:customStyle="1" w:styleId="297">
    <w:name w:val="列出段落1"/>
    <w:basedOn w:val="1"/>
    <w:link w:val="296"/>
    <w:qFormat/>
    <w:uiPriority w:val="34"/>
    <w:pPr>
      <w:autoSpaceDE/>
      <w:autoSpaceDN/>
      <w:adjustRightInd/>
      <w:ind w:firstLine="420" w:firstLineChars="200"/>
      <w:jc w:val="both"/>
    </w:pPr>
    <w:rPr>
      <w:rFonts w:ascii="Arial Unicode MS" w:hAnsi="Arial Unicode MS"/>
      <w:kern w:val="2"/>
      <w:sz w:val="21"/>
      <w:szCs w:val="22"/>
    </w:rPr>
  </w:style>
  <w:style w:type="character" w:customStyle="1" w:styleId="298">
    <w:name w:val="网格表 1 浅色1"/>
    <w:qFormat/>
    <w:uiPriority w:val="33"/>
    <w:rPr>
      <w:rFonts w:eastAsia="等线 Light"/>
      <w:b/>
      <w:bCs/>
      <w:smallCaps/>
      <w:spacing w:val="5"/>
      <w:kern w:val="2"/>
      <w:sz w:val="24"/>
      <w:szCs w:val="24"/>
      <w:lang w:val="en-US" w:eastAsia="zh-CN" w:bidi="ar-SA"/>
    </w:rPr>
  </w:style>
  <w:style w:type="character" w:customStyle="1" w:styleId="299">
    <w:name w:val="标题 2 Char1"/>
    <w:qFormat/>
    <w:uiPriority w:val="0"/>
    <w:rPr>
      <w:rFonts w:ascii="楷体_GB2312" w:hAnsi="楷体_GB2312" w:eastAsia="PMingLiU" w:cs="幼圆"/>
      <w:b/>
      <w:kern w:val="0"/>
      <w:sz w:val="32"/>
      <w:szCs w:val="20"/>
    </w:rPr>
  </w:style>
  <w:style w:type="character" w:customStyle="1" w:styleId="300">
    <w:name w:val="日期 Char2"/>
    <w:qFormat/>
    <w:uiPriority w:val="0"/>
    <w:rPr>
      <w:rFonts w:eastAsia="等线 Light"/>
      <w:kern w:val="2"/>
      <w:sz w:val="24"/>
      <w:szCs w:val="24"/>
      <w:lang w:val="en-US" w:eastAsia="zh-CN" w:bidi="ar-SA"/>
    </w:rPr>
  </w:style>
  <w:style w:type="character" w:customStyle="1" w:styleId="301">
    <w:name w:val="页眉 Char1"/>
    <w:semiHidden/>
    <w:qFormat/>
    <w:uiPriority w:val="99"/>
    <w:rPr>
      <w:rFonts w:ascii="等线 Light" w:hAnsi="幼圆" w:eastAsia="等线 Light" w:cs="幼圆"/>
      <w:kern w:val="0"/>
      <w:sz w:val="18"/>
      <w:szCs w:val="18"/>
    </w:rPr>
  </w:style>
  <w:style w:type="character" w:customStyle="1" w:styleId="302">
    <w:name w:val="para"/>
    <w:qFormat/>
    <w:uiPriority w:val="0"/>
    <w:rPr>
      <w:rFonts w:eastAsia="等线 Light"/>
      <w:kern w:val="2"/>
      <w:sz w:val="24"/>
      <w:szCs w:val="24"/>
      <w:lang w:val="en-US" w:eastAsia="zh-CN" w:bidi="ar-SA"/>
    </w:rPr>
  </w:style>
  <w:style w:type="character" w:customStyle="1" w:styleId="303">
    <w:name w:val="标题 4 Char2"/>
    <w:qFormat/>
    <w:uiPriority w:val="0"/>
    <w:rPr>
      <w:rFonts w:ascii="楷体_GB2312" w:hAnsi="楷体_GB2312" w:eastAsia="PMingLiU"/>
      <w:b/>
      <w:bCs/>
      <w:kern w:val="2"/>
      <w:sz w:val="28"/>
      <w:szCs w:val="28"/>
      <w:lang w:val="en-US" w:eastAsia="zh-CN" w:bidi="ar-SA"/>
    </w:rPr>
  </w:style>
  <w:style w:type="character" w:customStyle="1" w:styleId="304">
    <w:name w:val="正文缩进 字符"/>
    <w:qFormat/>
    <w:uiPriority w:val="0"/>
    <w:rPr>
      <w:rFonts w:ascii="幼圆" w:hAnsi="幼圆" w:eastAsia="等线 Light" w:cs="幼圆"/>
      <w:kern w:val="0"/>
      <w:sz w:val="20"/>
      <w:szCs w:val="20"/>
    </w:rPr>
  </w:style>
  <w:style w:type="character" w:customStyle="1" w:styleId="305">
    <w:name w:val="批注主题 Char1"/>
    <w:semiHidden/>
    <w:qFormat/>
    <w:uiPriority w:val="99"/>
    <w:rPr>
      <w:rFonts w:ascii="宋体" w:hAnsi="幼圆" w:eastAsia="等线 Light" w:cs="幼圆"/>
      <w:b/>
      <w:bCs/>
      <w:kern w:val="2"/>
      <w:sz w:val="24"/>
      <w:szCs w:val="24"/>
      <w:lang w:val="en-US" w:eastAsia="zh-CN" w:bidi="ar-SA"/>
    </w:rPr>
  </w:style>
  <w:style w:type="character" w:customStyle="1" w:styleId="306">
    <w:name w:val="纯文本 字符1"/>
    <w:qFormat/>
    <w:uiPriority w:val="0"/>
    <w:rPr>
      <w:rFonts w:ascii="等线 Light" w:hAnsi="Helv" w:eastAsia="等线 Light"/>
      <w:kern w:val="2"/>
      <w:sz w:val="21"/>
      <w:szCs w:val="24"/>
      <w:lang w:val="en-US" w:eastAsia="zh-CN" w:bidi="ar-SA"/>
    </w:rPr>
  </w:style>
  <w:style w:type="character" w:customStyle="1" w:styleId="307">
    <w:name w:val="正文文本 Char1"/>
    <w:qFormat/>
    <w:uiPriority w:val="99"/>
    <w:rPr>
      <w:rFonts w:ascii="等线 Light" w:hAnsi="幼圆" w:eastAsia="等线 Light" w:cs="幼圆"/>
      <w:kern w:val="0"/>
      <w:sz w:val="24"/>
      <w:szCs w:val="24"/>
    </w:rPr>
  </w:style>
  <w:style w:type="character" w:customStyle="1" w:styleId="308">
    <w:name w:val="Char Char9"/>
    <w:qFormat/>
    <w:uiPriority w:val="0"/>
    <w:rPr>
      <w:kern w:val="2"/>
      <w:sz w:val="18"/>
      <w:szCs w:val="18"/>
    </w:rPr>
  </w:style>
  <w:style w:type="character" w:customStyle="1" w:styleId="309">
    <w:name w:val="d Char"/>
    <w:qFormat/>
    <w:uiPriority w:val="0"/>
    <w:rPr>
      <w:rFonts w:ascii="等线 Light" w:hAnsi="等线 Light" w:eastAsia="等线 Light" w:cs="楷体_GB2312"/>
      <w:snapToGrid w:val="0"/>
      <w:kern w:val="2"/>
      <w:sz w:val="21"/>
      <w:szCs w:val="21"/>
      <w:lang w:val="en-US" w:eastAsia="zh-CN" w:bidi="ar-SA"/>
    </w:rPr>
  </w:style>
  <w:style w:type="character" w:customStyle="1" w:styleId="310">
    <w:name w:val="标题 3 Char1 Char"/>
    <w:qFormat/>
    <w:uiPriority w:val="0"/>
    <w:rPr>
      <w:rFonts w:eastAsia="等线 Light"/>
      <w:b/>
      <w:bCs/>
      <w:kern w:val="2"/>
      <w:sz w:val="32"/>
      <w:szCs w:val="32"/>
      <w:lang w:val="en-US" w:eastAsia="zh-CN" w:bidi="ar-SA"/>
    </w:rPr>
  </w:style>
  <w:style w:type="character" w:customStyle="1" w:styleId="311">
    <w:name w:val="标题 6 Char"/>
    <w:qFormat/>
    <w:uiPriority w:val="0"/>
    <w:rPr>
      <w:rFonts w:ascii="楷体_GB2312" w:hAnsi="楷体_GB2312" w:eastAsia="PMingLiU" w:cs="幼圆"/>
      <w:b/>
      <w:bCs/>
      <w:kern w:val="2"/>
      <w:sz w:val="24"/>
      <w:szCs w:val="24"/>
      <w:lang w:val="en-US" w:eastAsia="zh-CN" w:bidi="ar-SA"/>
    </w:rPr>
  </w:style>
  <w:style w:type="character" w:customStyle="1" w:styleId="312">
    <w:name w:val="脚注文本 字符"/>
    <w:qFormat/>
    <w:uiPriority w:val="0"/>
    <w:rPr>
      <w:rFonts w:ascii="幼圆" w:hAnsi="幼圆" w:eastAsia="等线 Light" w:cs="幼圆"/>
      <w:kern w:val="2"/>
      <w:sz w:val="18"/>
      <w:szCs w:val="18"/>
      <w:lang w:bidi="ar-SA"/>
    </w:rPr>
  </w:style>
  <w:style w:type="character" w:customStyle="1" w:styleId="313">
    <w:name w:val="正文文本缩进 Char2"/>
    <w:qFormat/>
    <w:uiPriority w:val="0"/>
    <w:rPr>
      <w:rFonts w:eastAsia="等线 Light"/>
      <w:kern w:val="2"/>
      <w:sz w:val="28"/>
      <w:szCs w:val="24"/>
      <w:lang w:val="en-US" w:eastAsia="zh-CN" w:bidi="ar-SA"/>
    </w:rPr>
  </w:style>
  <w:style w:type="character" w:customStyle="1" w:styleId="314">
    <w:name w:val="标题 5 Char"/>
    <w:qFormat/>
    <w:uiPriority w:val="0"/>
    <w:rPr>
      <w:rFonts w:ascii="幼圆" w:hAnsi="幼圆" w:eastAsia="等线 Light" w:cs="幼圆"/>
      <w:b/>
      <w:bCs/>
      <w:kern w:val="2"/>
      <w:sz w:val="28"/>
      <w:szCs w:val="28"/>
      <w:lang w:val="en-US" w:eastAsia="zh-CN" w:bidi="ar-SA"/>
    </w:rPr>
  </w:style>
  <w:style w:type="character" w:customStyle="1" w:styleId="315">
    <w:name w:val="正文首行缩进 Char"/>
    <w:qFormat/>
    <w:uiPriority w:val="0"/>
    <w:rPr>
      <w:rFonts w:eastAsia="等线 Light"/>
      <w:kern w:val="2"/>
      <w:sz w:val="21"/>
      <w:szCs w:val="24"/>
      <w:lang w:val="en-US" w:eastAsia="zh-CN" w:bidi="ar-SA"/>
    </w:rPr>
  </w:style>
  <w:style w:type="character" w:customStyle="1" w:styleId="316">
    <w:name w:val="black11"/>
    <w:qFormat/>
    <w:uiPriority w:val="0"/>
    <w:rPr>
      <w:color w:val="000000"/>
      <w:sz w:val="18"/>
      <w:szCs w:val="18"/>
    </w:rPr>
  </w:style>
  <w:style w:type="character" w:customStyle="1" w:styleId="317">
    <w:name w:val="hover22"/>
    <w:qFormat/>
    <w:uiPriority w:val="0"/>
    <w:rPr>
      <w:color w:val="2B84B5"/>
    </w:rPr>
  </w:style>
  <w:style w:type="character" w:customStyle="1" w:styleId="318">
    <w:name w:val="正文文本缩进 3 Char2"/>
    <w:qFormat/>
    <w:uiPriority w:val="0"/>
    <w:rPr>
      <w:rFonts w:eastAsia="等线 Light"/>
      <w:kern w:val="2"/>
      <w:sz w:val="21"/>
      <w:szCs w:val="21"/>
      <w:lang w:val="en-US" w:eastAsia="zh-CN" w:bidi="ar-SA"/>
    </w:rPr>
  </w:style>
  <w:style w:type="character" w:customStyle="1" w:styleId="319">
    <w:name w:val="脚注文本 Char2"/>
    <w:semiHidden/>
    <w:qFormat/>
    <w:uiPriority w:val="99"/>
    <w:rPr>
      <w:rFonts w:ascii="等线 Light"/>
      <w:sz w:val="18"/>
      <w:szCs w:val="18"/>
    </w:rPr>
  </w:style>
  <w:style w:type="character" w:customStyle="1" w:styleId="320">
    <w:name w:val="ico1655"/>
    <w:basedOn w:val="57"/>
    <w:qFormat/>
    <w:uiPriority w:val="0"/>
  </w:style>
  <w:style w:type="character" w:customStyle="1" w:styleId="321">
    <w:name w:val="huei12b1"/>
    <w:qFormat/>
    <w:uiPriority w:val="0"/>
    <w:rPr>
      <w:b/>
      <w:bCs/>
      <w:color w:val="333333"/>
      <w:sz w:val="18"/>
      <w:szCs w:val="18"/>
    </w:rPr>
  </w:style>
  <w:style w:type="character" w:customStyle="1" w:styleId="322">
    <w:name w:val="普通(网站) 字符1"/>
    <w:qFormat/>
    <w:locked/>
    <w:uiPriority w:val="0"/>
    <w:rPr>
      <w:rFonts w:ascii="等线 Light" w:hAnsi="等线 Light"/>
      <w:sz w:val="15"/>
      <w:szCs w:val="15"/>
    </w:rPr>
  </w:style>
  <w:style w:type="character" w:customStyle="1" w:styleId="323">
    <w:name w:val="ca-51"/>
    <w:qFormat/>
    <w:uiPriority w:val="0"/>
    <w:rPr>
      <w:rFonts w:hint="eastAsia" w:ascii="微软雅黑" w:eastAsia="微软雅黑"/>
      <w:color w:val="FF00FF"/>
      <w:kern w:val="2"/>
      <w:sz w:val="32"/>
      <w:szCs w:val="32"/>
      <w:lang w:val="en-US" w:eastAsia="zh-CN" w:bidi="ar-SA"/>
    </w:rPr>
  </w:style>
  <w:style w:type="character" w:customStyle="1" w:styleId="324">
    <w:name w:val="_Style 323"/>
    <w:qFormat/>
    <w:uiPriority w:val="33"/>
    <w:rPr>
      <w:rFonts w:eastAsia="等线 Light"/>
      <w:b/>
      <w:bCs/>
      <w:smallCaps/>
      <w:spacing w:val="5"/>
      <w:kern w:val="2"/>
      <w:sz w:val="24"/>
      <w:szCs w:val="24"/>
      <w:lang w:val="en-US" w:eastAsia="zh-CN" w:bidi="ar-SA"/>
    </w:rPr>
  </w:style>
  <w:style w:type="character" w:customStyle="1" w:styleId="325">
    <w:name w:val="font31"/>
    <w:basedOn w:val="57"/>
    <w:qFormat/>
    <w:uiPriority w:val="0"/>
    <w:rPr>
      <w:rFonts w:ascii="黑体" w:hAnsi="黑体" w:eastAsia="黑体" w:cs="黑体"/>
      <w:color w:val="000000"/>
      <w:sz w:val="22"/>
      <w:szCs w:val="22"/>
      <w:u w:val="none"/>
    </w:rPr>
  </w:style>
  <w:style w:type="character" w:customStyle="1" w:styleId="326">
    <w:name w:val="ca-1"/>
    <w:qFormat/>
    <w:uiPriority w:val="0"/>
  </w:style>
  <w:style w:type="character" w:customStyle="1" w:styleId="327">
    <w:name w:val="签名 Char3"/>
    <w:semiHidden/>
    <w:qFormat/>
    <w:uiPriority w:val="99"/>
    <w:rPr>
      <w:rFonts w:ascii="等线 Light"/>
      <w:sz w:val="24"/>
      <w:szCs w:val="24"/>
    </w:rPr>
  </w:style>
  <w:style w:type="character" w:customStyle="1" w:styleId="328">
    <w:name w:val="pt9-hui-line201"/>
    <w:qFormat/>
    <w:uiPriority w:val="0"/>
    <w:rPr>
      <w:color w:val="333333"/>
      <w:sz w:val="18"/>
      <w:szCs w:val="18"/>
      <w:u w:val="none"/>
    </w:rPr>
  </w:style>
  <w:style w:type="character" w:customStyle="1" w:styleId="329">
    <w:name w:val="纯文本 Char3"/>
    <w:qFormat/>
    <w:uiPriority w:val="0"/>
    <w:rPr>
      <w:rFonts w:ascii="等线 Light" w:hAnsi="Helv" w:eastAsia="等线 Light"/>
      <w:kern w:val="2"/>
      <w:sz w:val="21"/>
      <w:szCs w:val="24"/>
      <w:lang w:val="en-US" w:eastAsia="zh-CN" w:bidi="ar-SA"/>
    </w:rPr>
  </w:style>
  <w:style w:type="character" w:customStyle="1" w:styleId="330">
    <w:name w:val="文档结构图 Char"/>
    <w:qFormat/>
    <w:uiPriority w:val="99"/>
    <w:rPr>
      <w:rFonts w:ascii="幼圆" w:hAnsi="幼圆" w:eastAsia="等线 Light" w:cs="幼圆"/>
      <w:kern w:val="2"/>
      <w:sz w:val="24"/>
      <w:szCs w:val="24"/>
      <w:shd w:val="clear" w:color="auto" w:fill="000080"/>
      <w:lang w:val="en-US" w:eastAsia="zh-CN" w:bidi="ar-SA"/>
    </w:rPr>
  </w:style>
  <w:style w:type="character" w:customStyle="1" w:styleId="331">
    <w:name w:val="标书正文 字符"/>
    <w:link w:val="332"/>
    <w:qFormat/>
    <w:uiPriority w:val="0"/>
    <w:rPr>
      <w:rFonts w:ascii="Arial Unicode MS" w:hAnsi="Arial Unicode MS" w:eastAsia="font-weight : 400"/>
      <w:kern w:val="2"/>
      <w:sz w:val="24"/>
      <w:szCs w:val="21"/>
    </w:rPr>
  </w:style>
  <w:style w:type="paragraph" w:customStyle="1" w:styleId="332">
    <w:name w:val="标书正文"/>
    <w:basedOn w:val="1"/>
    <w:link w:val="331"/>
    <w:qFormat/>
    <w:uiPriority w:val="0"/>
    <w:pPr>
      <w:autoSpaceDE/>
      <w:autoSpaceDN/>
      <w:snapToGrid w:val="0"/>
      <w:spacing w:beforeLines="50" w:line="360" w:lineRule="auto"/>
      <w:ind w:firstLine="200" w:firstLineChars="200"/>
      <w:jc w:val="both"/>
    </w:pPr>
    <w:rPr>
      <w:rFonts w:ascii="Arial Unicode MS" w:hAnsi="Arial Unicode MS" w:eastAsia="font-weight : 400"/>
      <w:kern w:val="2"/>
      <w:szCs w:val="21"/>
    </w:rPr>
  </w:style>
  <w:style w:type="character" w:customStyle="1" w:styleId="333">
    <w:name w:val="正文文本 2 Char"/>
    <w:qFormat/>
    <w:uiPriority w:val="0"/>
    <w:rPr>
      <w:rFonts w:ascii="等线 Light" w:hAnsi="等线 Light" w:eastAsia="等线 Light" w:cs="幼圆"/>
      <w:kern w:val="2"/>
      <w:sz w:val="24"/>
      <w:szCs w:val="24"/>
      <w:lang w:val="en-US" w:eastAsia="zh-CN" w:bidi="ar-SA"/>
    </w:rPr>
  </w:style>
  <w:style w:type="character" w:customStyle="1" w:styleId="334">
    <w:name w:val="t31"/>
    <w:qFormat/>
    <w:uiPriority w:val="0"/>
    <w:rPr>
      <w:rFonts w:hint="eastAsia" w:ascii="等线 Light" w:hAnsi="等线 Light" w:eastAsia="等线 Light"/>
      <w:color w:val="000060"/>
      <w:sz w:val="28"/>
      <w:szCs w:val="28"/>
    </w:rPr>
  </w:style>
  <w:style w:type="character" w:customStyle="1" w:styleId="335">
    <w:name w:val="正文文本 字符1"/>
    <w:qFormat/>
    <w:uiPriority w:val="0"/>
    <w:rPr>
      <w:rFonts w:ascii="等线 Light" w:eastAsia="等线 Light"/>
      <w:b/>
      <w:bCs/>
      <w:sz w:val="84"/>
      <w:szCs w:val="84"/>
      <w:lang w:val="zh-CN"/>
    </w:rPr>
  </w:style>
  <w:style w:type="character" w:customStyle="1" w:styleId="336">
    <w:name w:val="pagechatarealistclose_box"/>
    <w:basedOn w:val="57"/>
    <w:qFormat/>
    <w:uiPriority w:val="0"/>
  </w:style>
  <w:style w:type="character" w:customStyle="1" w:styleId="337">
    <w:name w:val="签名 字符1"/>
    <w:semiHidden/>
    <w:qFormat/>
    <w:uiPriority w:val="99"/>
    <w:rPr>
      <w:rFonts w:ascii="等线 Light"/>
      <w:sz w:val="24"/>
      <w:szCs w:val="24"/>
    </w:rPr>
  </w:style>
  <w:style w:type="character" w:customStyle="1" w:styleId="338">
    <w:name w:val="neir1"/>
    <w:qFormat/>
    <w:uiPriority w:val="0"/>
    <w:rPr>
      <w:rFonts w:hint="default" w:ascii="等线" w:hAnsi="等线"/>
      <w:color w:val="333333"/>
      <w:sz w:val="21"/>
      <w:szCs w:val="21"/>
      <w:u w:val="none"/>
    </w:rPr>
  </w:style>
  <w:style w:type="character" w:customStyle="1" w:styleId="339">
    <w:name w:val="icon-weibo"/>
    <w:qFormat/>
    <w:uiPriority w:val="0"/>
  </w:style>
  <w:style w:type="character" w:customStyle="1" w:styleId="340">
    <w:name w:val="标题 8 Char1"/>
    <w:qFormat/>
    <w:uiPriority w:val="0"/>
    <w:rPr>
      <w:rFonts w:ascii="楷体_GB2312" w:hAnsi="楷体_GB2312" w:eastAsia="等线 Light"/>
      <w:color w:val="000000"/>
      <w:kern w:val="2"/>
      <w:sz w:val="32"/>
      <w:szCs w:val="21"/>
      <w:lang w:val="en-US" w:eastAsia="zh-CN" w:bidi="ar-SA"/>
    </w:rPr>
  </w:style>
  <w:style w:type="character" w:customStyle="1" w:styleId="341">
    <w:name w:val="Char Char Char Char Char Char Char1 Char1"/>
    <w:qFormat/>
    <w:uiPriority w:val="0"/>
    <w:rPr>
      <w:rFonts w:ascii="PMingLiU" w:hAnsi="Lucida Grande" w:eastAsia="PMingLiU"/>
      <w:sz w:val="32"/>
      <w:szCs w:val="32"/>
      <w:lang w:val="en-US" w:eastAsia="en-US" w:bidi="ar-SA"/>
    </w:rPr>
  </w:style>
  <w:style w:type="character" w:customStyle="1" w:styleId="342">
    <w:name w:val="标题 31"/>
    <w:qFormat/>
    <w:uiPriority w:val="0"/>
    <w:rPr>
      <w:rFonts w:eastAsia="等线 Light"/>
      <w:b/>
      <w:bCs/>
      <w:kern w:val="2"/>
      <w:sz w:val="32"/>
      <w:szCs w:val="32"/>
      <w:lang w:val="en-US" w:eastAsia="zh-CN" w:bidi="ar-SA"/>
    </w:rPr>
  </w:style>
  <w:style w:type="character" w:customStyle="1" w:styleId="343">
    <w:name w:val="标题 5 Char1"/>
    <w:qFormat/>
    <w:uiPriority w:val="0"/>
    <w:rPr>
      <w:rFonts w:eastAsia="等线 Light"/>
      <w:b/>
      <w:bCs/>
      <w:kern w:val="2"/>
      <w:sz w:val="28"/>
      <w:szCs w:val="28"/>
      <w:lang w:val="en-US" w:eastAsia="zh-CN" w:bidi="ar-SA"/>
    </w:rPr>
  </w:style>
  <w:style w:type="paragraph" w:customStyle="1" w:styleId="344">
    <w:name w:val="xl3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345">
    <w:name w:val="sma."/>
    <w:basedOn w:val="1"/>
    <w:qFormat/>
    <w:uiPriority w:val="0"/>
    <w:pPr>
      <w:widowControl/>
      <w:tabs>
        <w:tab w:val="left" w:pos="1588"/>
      </w:tabs>
      <w:autoSpaceDE/>
      <w:autoSpaceDN/>
      <w:adjustRightInd/>
      <w:spacing w:before="240" w:line="240" w:lineRule="atLeast"/>
      <w:ind w:left="1588" w:hanging="454"/>
      <w:jc w:val="both"/>
    </w:pPr>
    <w:rPr>
      <w:rFonts w:ascii="Arial Unicode MS" w:hAnsi="Arial Unicode MS"/>
      <w:kern w:val="2"/>
    </w:rPr>
  </w:style>
  <w:style w:type="paragraph" w:customStyle="1" w:styleId="346">
    <w:name w:val="CM16"/>
    <w:basedOn w:val="347"/>
    <w:next w:val="347"/>
    <w:qFormat/>
    <w:uiPriority w:val="99"/>
    <w:rPr>
      <w:rFonts w:ascii="等线 Light" w:hAnsi="Arial Unicode MS" w:eastAsia="等线 Light" w:cs="幼圆"/>
      <w:color w:val="auto"/>
    </w:rPr>
  </w:style>
  <w:style w:type="paragraph" w:customStyle="1" w:styleId="347">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8">
    <w:name w:val="块引用"/>
    <w:basedOn w:val="1"/>
    <w:qFormat/>
    <w:uiPriority w:val="0"/>
    <w:pPr>
      <w:keepLines/>
      <w:autoSpaceDE/>
      <w:autoSpaceDN/>
      <w:adjustRightInd/>
      <w:ind w:left="360" w:right="360"/>
      <w:jc w:val="center"/>
    </w:pPr>
    <w:rPr>
      <w:rFonts w:ascii="Arial Unicode MS" w:hAnsi="Arial Unicode MS"/>
      <w:i/>
      <w:kern w:val="2"/>
      <w:sz w:val="21"/>
    </w:rPr>
  </w:style>
  <w:style w:type="paragraph" w:customStyle="1" w:styleId="349">
    <w:name w:val="样式 加粗 段前: 7.8 磅 段后: 7.8 磅 行距: 固定值 20 磅"/>
    <w:basedOn w:val="1"/>
    <w:qFormat/>
    <w:uiPriority w:val="0"/>
    <w:pPr>
      <w:autoSpaceDE/>
      <w:autoSpaceDN/>
      <w:adjustRightInd/>
      <w:spacing w:before="60" w:after="60" w:line="360" w:lineRule="exact"/>
      <w:jc w:val="both"/>
    </w:pPr>
    <w:rPr>
      <w:rFonts w:ascii="Arial Unicode MS" w:hAnsi="Arial Unicode MS" w:cs="等线 Light"/>
      <w:b/>
      <w:bCs/>
      <w:spacing w:val="-2"/>
      <w:kern w:val="2"/>
      <w:szCs w:val="20"/>
    </w:rPr>
  </w:style>
  <w:style w:type="paragraph" w:customStyle="1" w:styleId="350">
    <w:name w:val="14"/>
    <w:basedOn w:val="1"/>
    <w:qFormat/>
    <w:uiPriority w:val="0"/>
    <w:pPr>
      <w:widowControl/>
      <w:autoSpaceDE/>
      <w:autoSpaceDN/>
      <w:adjustRightInd/>
      <w:spacing w:after="160" w:line="240" w:lineRule="exact"/>
    </w:pPr>
    <w:rPr>
      <w:rFonts w:ascii="Arial Unicode MS" w:hAnsi="Arial Unicode MS"/>
      <w:kern w:val="2"/>
      <w:sz w:val="21"/>
      <w:szCs w:val="20"/>
    </w:rPr>
  </w:style>
  <w:style w:type="paragraph" w:customStyle="1" w:styleId="351">
    <w:name w:val="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52">
    <w:name w:val="space"/>
    <w:qFormat/>
    <w:uiPriority w:val="0"/>
    <w:rPr>
      <w:rFonts w:ascii="Arial Unicode MS" w:hAnsi="Arial Unicode MS" w:eastAsia="宋体" w:cs="Times New Roman"/>
      <w:caps/>
      <w:lang w:val="en-US" w:eastAsia="zh-CN" w:bidi="ar-SA"/>
    </w:rPr>
  </w:style>
  <w:style w:type="paragraph" w:customStyle="1" w:styleId="353">
    <w:name w:val="Pa8"/>
    <w:basedOn w:val="1"/>
    <w:next w:val="1"/>
    <w:qFormat/>
    <w:uiPriority w:val="99"/>
    <w:pPr>
      <w:spacing w:line="181" w:lineRule="atLeast"/>
    </w:pPr>
    <w:rPr>
      <w:rFonts w:ascii="font-weight : 400" w:hAnsi="Arial Unicode MS" w:eastAsia="font-weight : 400"/>
    </w:rPr>
  </w:style>
  <w:style w:type="paragraph" w:customStyle="1" w:styleId="354">
    <w:name w:val="Char"/>
    <w:basedOn w:val="19"/>
    <w:qFormat/>
    <w:uiPriority w:val="0"/>
    <w:pPr>
      <w:autoSpaceDE/>
      <w:autoSpaceDN/>
      <w:spacing w:line="436" w:lineRule="exact"/>
      <w:ind w:left="357"/>
      <w:outlineLvl w:val="3"/>
    </w:pPr>
    <w:rPr>
      <w:rFonts w:ascii="Calibri" w:hAnsi="Calibri"/>
      <w:b/>
      <w:kern w:val="2"/>
    </w:rPr>
  </w:style>
  <w:style w:type="paragraph" w:customStyle="1" w:styleId="355">
    <w:name w:val="xl39"/>
    <w:basedOn w:val="1"/>
    <w:qFormat/>
    <w:uiPriority w:val="0"/>
    <w:pPr>
      <w:widowControl/>
      <w:autoSpaceDE/>
      <w:autoSpaceDN/>
      <w:adjustRightInd/>
      <w:spacing w:before="100" w:beforeAutospacing="1" w:after="100" w:afterAutospacing="1"/>
      <w:jc w:val="center"/>
    </w:pPr>
    <w:rPr>
      <w:rFonts w:hAnsi="等线 Light"/>
    </w:rPr>
  </w:style>
  <w:style w:type="paragraph" w:customStyle="1" w:styleId="356">
    <w:name w:val="font9"/>
    <w:basedOn w:val="1"/>
    <w:qFormat/>
    <w:uiPriority w:val="0"/>
    <w:pPr>
      <w:widowControl/>
      <w:autoSpaceDE/>
      <w:autoSpaceDN/>
      <w:adjustRightInd/>
      <w:spacing w:before="100" w:beforeAutospacing="1" w:after="100" w:afterAutospacing="1"/>
    </w:pPr>
    <w:rPr>
      <w:rFonts w:ascii="Arial Unicode MS" w:hAnsi="Arial Unicode MS"/>
    </w:rPr>
  </w:style>
  <w:style w:type="paragraph" w:customStyle="1" w:styleId="357">
    <w:name w:val="xl49"/>
    <w:basedOn w:val="1"/>
    <w:qFormat/>
    <w:uiPriority w:val="0"/>
    <w:pPr>
      <w:widowControl/>
      <w:pBdr>
        <w:bottom w:val="single" w:color="auto" w:sz="4" w:space="0"/>
      </w:pBdr>
      <w:autoSpaceDE/>
      <w:autoSpaceDN/>
      <w:adjustRightInd/>
      <w:spacing w:before="100" w:beforeAutospacing="1" w:after="100" w:afterAutospacing="1"/>
    </w:pPr>
    <w:rPr>
      <w:rFonts w:hAnsi="等线 Light" w:cs="等线 Light"/>
    </w:rPr>
  </w:style>
  <w:style w:type="paragraph" w:customStyle="1" w:styleId="358">
    <w:name w:val="YB表格五号宋体"/>
    <w:basedOn w:val="1"/>
    <w:qFormat/>
    <w:uiPriority w:val="0"/>
    <w:pPr>
      <w:autoSpaceDE/>
      <w:autoSpaceDN/>
      <w:snapToGrid w:val="0"/>
      <w:jc w:val="center"/>
    </w:pPr>
    <w:rPr>
      <w:rFonts w:ascii="Times New Roman"/>
      <w:sz w:val="21"/>
      <w:szCs w:val="20"/>
    </w:rPr>
  </w:style>
  <w:style w:type="paragraph" w:customStyle="1" w:styleId="359">
    <w:name w:val="二级条标题"/>
    <w:basedOn w:val="360"/>
    <w:next w:val="362"/>
    <w:qFormat/>
    <w:uiPriority w:val="0"/>
    <w:pPr>
      <w:numPr>
        <w:ilvl w:val="3"/>
      </w:numPr>
      <w:tabs>
        <w:tab w:val="left" w:pos="360"/>
        <w:tab w:val="left" w:pos="840"/>
        <w:tab w:val="left" w:pos="1260"/>
        <w:tab w:val="left" w:pos="1680"/>
      </w:tabs>
      <w:outlineLvl w:val="3"/>
    </w:pPr>
  </w:style>
  <w:style w:type="paragraph" w:customStyle="1" w:styleId="360">
    <w:name w:val="一级条标题"/>
    <w:basedOn w:val="361"/>
    <w:next w:val="362"/>
    <w:qFormat/>
    <w:uiPriority w:val="0"/>
    <w:pPr>
      <w:numPr>
        <w:ilvl w:val="2"/>
      </w:numPr>
      <w:tabs>
        <w:tab w:val="left" w:pos="360"/>
        <w:tab w:val="left" w:pos="840"/>
        <w:tab w:val="left" w:pos="1260"/>
      </w:tabs>
      <w:spacing w:beforeLines="0" w:afterLines="0"/>
      <w:outlineLvl w:val="2"/>
    </w:pPr>
  </w:style>
  <w:style w:type="paragraph" w:customStyle="1" w:styleId="361">
    <w:name w:val="章标题"/>
    <w:next w:val="362"/>
    <w:qFormat/>
    <w:uiPriority w:val="0"/>
    <w:pPr>
      <w:numPr>
        <w:ilvl w:val="1"/>
        <w:numId w:val="3"/>
      </w:numPr>
      <w:tabs>
        <w:tab w:val="left" w:pos="840"/>
      </w:tabs>
      <w:spacing w:beforeLines="50" w:afterLines="50"/>
      <w:jc w:val="both"/>
      <w:outlineLvl w:val="1"/>
    </w:pPr>
    <w:rPr>
      <w:rFonts w:ascii="PMingLiU" w:hAnsi="Arial Unicode MS" w:eastAsia="PMingLiU" w:cs="Times New Roman"/>
      <w:sz w:val="21"/>
      <w:lang w:val="en-US" w:eastAsia="zh-CN" w:bidi="ar-SA"/>
    </w:rPr>
  </w:style>
  <w:style w:type="paragraph" w:customStyle="1" w:styleId="362">
    <w:name w:val="段"/>
    <w:qFormat/>
    <w:uiPriority w:val="0"/>
    <w:pPr>
      <w:autoSpaceDE w:val="0"/>
      <w:autoSpaceDN w:val="0"/>
      <w:ind w:firstLine="200" w:firstLineChars="200"/>
      <w:jc w:val="both"/>
    </w:pPr>
    <w:rPr>
      <w:rFonts w:ascii="等线 Light" w:hAnsi="Arial Unicode MS" w:eastAsia="宋体" w:cs="Times New Roman"/>
      <w:sz w:val="21"/>
      <w:lang w:val="en-US" w:eastAsia="zh-CN" w:bidi="ar-SA"/>
    </w:rPr>
  </w:style>
  <w:style w:type="paragraph" w:customStyle="1" w:styleId="363">
    <w:name w:val="List Paragraph1"/>
    <w:basedOn w:val="1"/>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364">
    <w:name w:val="d"/>
    <w:basedOn w:val="1"/>
    <w:qFormat/>
    <w:uiPriority w:val="0"/>
    <w:pPr>
      <w:overflowPunct w:val="0"/>
      <w:snapToGrid w:val="0"/>
      <w:spacing w:line="360" w:lineRule="auto"/>
      <w:ind w:left="709"/>
      <w:jc w:val="both"/>
    </w:pPr>
    <w:rPr>
      <w:rFonts w:ascii="Arial Unicode MS" w:hAnsi="Arial Unicode MS"/>
      <w:b/>
      <w:snapToGrid w:val="0"/>
      <w:sz w:val="21"/>
      <w:szCs w:val="21"/>
    </w:rPr>
  </w:style>
  <w:style w:type="paragraph" w:customStyle="1" w:styleId="36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66">
    <w:name w:val="三级条标题"/>
    <w:basedOn w:val="359"/>
    <w:next w:val="362"/>
    <w:qFormat/>
    <w:uiPriority w:val="0"/>
    <w:pPr>
      <w:numPr>
        <w:ilvl w:val="4"/>
      </w:numPr>
      <w:tabs>
        <w:tab w:val="left" w:pos="2100"/>
      </w:tabs>
      <w:outlineLvl w:val="4"/>
    </w:pPr>
  </w:style>
  <w:style w:type="paragraph" w:customStyle="1" w:styleId="367">
    <w:name w:val="样式 四号 行距: 1.5 倍行距"/>
    <w:basedOn w:val="1"/>
    <w:qFormat/>
    <w:uiPriority w:val="0"/>
    <w:pPr>
      <w:autoSpaceDE/>
      <w:autoSpaceDN/>
      <w:snapToGrid w:val="0"/>
      <w:ind w:firstLine="420" w:firstLineChars="200"/>
      <w:jc w:val="both"/>
    </w:pPr>
    <w:rPr>
      <w:rFonts w:ascii="Arial Unicode MS" w:hAnsi="Arial Unicode MS" w:cs="等线 Light"/>
      <w:kern w:val="2"/>
      <w:sz w:val="21"/>
      <w:szCs w:val="21"/>
    </w:rPr>
  </w:style>
  <w:style w:type="paragraph" w:customStyle="1" w:styleId="368">
    <w:name w:val="xl4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PMingLiU" w:hAnsi="等线 Light" w:eastAsia="PMingLiU"/>
      <w:sz w:val="26"/>
      <w:szCs w:val="26"/>
    </w:rPr>
  </w:style>
  <w:style w:type="paragraph" w:customStyle="1" w:styleId="369">
    <w:name w:val="表头"/>
    <w:basedOn w:val="17"/>
    <w:qFormat/>
    <w:uiPriority w:val="0"/>
    <w:pPr>
      <w:keepNext/>
      <w:keepLines/>
      <w:widowControl/>
      <w:autoSpaceDE/>
      <w:autoSpaceDN/>
      <w:adjustRightInd/>
      <w:spacing w:before="120" w:after="120" w:line="300" w:lineRule="auto"/>
      <w:jc w:val="center"/>
      <w:textAlignment w:val="baseline"/>
    </w:pPr>
    <w:rPr>
      <w:rFonts w:cs="幼圆"/>
      <w:sz w:val="21"/>
    </w:rPr>
  </w:style>
  <w:style w:type="paragraph" w:customStyle="1" w:styleId="370">
    <w:name w:val="head"/>
    <w:basedOn w:val="1"/>
    <w:qFormat/>
    <w:uiPriority w:val="0"/>
    <w:pPr>
      <w:widowControl/>
      <w:autoSpaceDE/>
      <w:autoSpaceDN/>
      <w:adjustRightInd/>
      <w:spacing w:before="100" w:beforeAutospacing="1" w:after="100" w:afterAutospacing="1"/>
      <w:jc w:val="center"/>
    </w:pPr>
    <w:rPr>
      <w:rFonts w:hint="eastAsia" w:ascii="PMingLiU" w:hAnsi="等线 Light" w:eastAsia="PMingLiU"/>
      <w:b/>
      <w:bCs/>
      <w:sz w:val="28"/>
      <w:szCs w:val="28"/>
    </w:rPr>
  </w:style>
  <w:style w:type="paragraph" w:customStyle="1" w:styleId="371">
    <w:name w:val="网格表 31"/>
    <w:basedOn w:val="4"/>
    <w:next w:val="1"/>
    <w:unhideWhenUsed/>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372">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73">
    <w:name w:val="默认段落字体 Para Char Char Char Char Char Char Char"/>
    <w:basedOn w:val="1"/>
    <w:qFormat/>
    <w:uiPriority w:val="0"/>
    <w:pPr>
      <w:autoSpaceDE/>
      <w:autoSpaceDN/>
      <w:adjustRightInd/>
      <w:jc w:val="both"/>
    </w:pPr>
    <w:rPr>
      <w:rFonts w:ascii="Arial Unicode MS" w:hAnsi="Arial Unicode MS"/>
      <w:kern w:val="2"/>
      <w:sz w:val="21"/>
      <w:szCs w:val="20"/>
    </w:rPr>
  </w:style>
  <w:style w:type="paragraph" w:customStyle="1" w:styleId="374">
    <w:name w:val="1册标题3"/>
    <w:basedOn w:val="1"/>
    <w:next w:val="1"/>
    <w:qFormat/>
    <w:uiPriority w:val="0"/>
    <w:pPr>
      <w:keepNext/>
      <w:keepLines/>
      <w:autoSpaceDE/>
      <w:autoSpaceDN/>
      <w:spacing w:before="156" w:beforeLines="50" w:after="156" w:afterLines="50"/>
      <w:jc w:val="both"/>
      <w:textAlignment w:val="baseline"/>
      <w:outlineLvl w:val="2"/>
    </w:pPr>
    <w:rPr>
      <w:rFonts w:ascii="楷体_GB2312" w:hAnsi="楷体_GB2312" w:eastAsia="PMingLiU"/>
      <w:szCs w:val="20"/>
    </w:rPr>
  </w:style>
  <w:style w:type="paragraph" w:customStyle="1" w:styleId="375">
    <w:name w:val="12册标题"/>
    <w:basedOn w:val="1"/>
    <w:next w:val="1"/>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376">
    <w:name w:val="规正文"/>
    <w:basedOn w:val="1"/>
    <w:qFormat/>
    <w:uiPriority w:val="0"/>
    <w:pPr>
      <w:autoSpaceDE/>
      <w:autoSpaceDN/>
      <w:adjustRightInd/>
      <w:ind w:firstLine="560" w:firstLineChars="200"/>
      <w:jc w:val="both"/>
    </w:pPr>
    <w:rPr>
      <w:rFonts w:ascii="Arial Unicode MS" w:hAnsi="Arial Unicode MS" w:eastAsia="等线 Light" w:cs="幼圆"/>
      <w:kern w:val="2"/>
      <w:sz w:val="28"/>
      <w:szCs w:val="28"/>
    </w:rPr>
  </w:style>
  <w:style w:type="paragraph" w:customStyle="1" w:styleId="377">
    <w:name w:val="Char Char Char Char Char Char Char Char Char Char Char Char1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78">
    <w:name w:val="A."/>
    <w:basedOn w:val="1"/>
    <w:qFormat/>
    <w:uiPriority w:val="0"/>
    <w:pPr>
      <w:widowControl/>
      <w:tabs>
        <w:tab w:val="left" w:pos="859"/>
        <w:tab w:val="left" w:pos="1200"/>
      </w:tabs>
      <w:autoSpaceDE/>
      <w:autoSpaceDN/>
      <w:adjustRightInd/>
      <w:spacing w:before="240" w:line="240" w:lineRule="atLeast"/>
      <w:ind w:left="859" w:hanging="453"/>
      <w:jc w:val="both"/>
    </w:pPr>
    <w:rPr>
      <w:rFonts w:ascii="Arial Unicode MS" w:hAnsi="Arial Unicode MS"/>
      <w:kern w:val="2"/>
    </w:rPr>
  </w:style>
  <w:style w:type="paragraph" w:customStyle="1" w:styleId="379">
    <w:name w:val="图"/>
    <w:basedOn w:val="1"/>
    <w:qFormat/>
    <w:uiPriority w:val="0"/>
    <w:pPr>
      <w:keepNext/>
      <w:autoSpaceDE/>
      <w:autoSpaceDN/>
      <w:spacing w:before="60" w:after="60" w:line="300" w:lineRule="auto"/>
      <w:jc w:val="center"/>
      <w:textAlignment w:val="center"/>
    </w:pPr>
    <w:rPr>
      <w:rFonts w:ascii="幼圆"/>
      <w:snapToGrid w:val="0"/>
      <w:spacing w:val="20"/>
      <w:szCs w:val="20"/>
    </w:rPr>
  </w:style>
  <w:style w:type="paragraph" w:customStyle="1" w:styleId="380">
    <w:name w:val="正文[858D7CFB-ED40-4347-BF05-701D383B685F][858D7CFB-ED40-4347-BF05-701D383B685F]"/>
    <w:qFormat/>
    <w:uiPriority w:val="0"/>
    <w:pPr>
      <w:widowControl w:val="0"/>
      <w:spacing w:line="360" w:lineRule="auto"/>
      <w:ind w:firstLine="200"/>
      <w:jc w:val="both"/>
    </w:pPr>
    <w:rPr>
      <w:rFonts w:ascii="_x001A_" w:hAnsi="_x001A_" w:eastAsia="宋体" w:cs="Times New Roman"/>
      <w:color w:val="000000"/>
      <w:kern w:val="2"/>
      <w:sz w:val="24"/>
      <w:lang w:val="en-US" w:eastAsia="zh-CN" w:bidi="ar-SA"/>
    </w:rPr>
  </w:style>
  <w:style w:type="paragraph" w:customStyle="1" w:styleId="381">
    <w:name w:val="Char Char1 Char Char Char Char Char Char Char Char Char Char Char Char Char"/>
    <w:basedOn w:val="1"/>
    <w:qFormat/>
    <w:uiPriority w:val="0"/>
    <w:pPr>
      <w:widowControl/>
      <w:autoSpaceDE/>
      <w:autoSpaceDN/>
      <w:adjustRightInd/>
      <w:spacing w:after="160" w:line="360" w:lineRule="auto"/>
    </w:pPr>
    <w:rPr>
      <w:rFonts w:ascii="Lucida Grande" w:hAnsi="Lucida Grande"/>
      <w:sz w:val="21"/>
      <w:szCs w:val="20"/>
      <w:lang w:eastAsia="en-US"/>
    </w:rPr>
  </w:style>
  <w:style w:type="paragraph" w:customStyle="1" w:styleId="382">
    <w:name w:val="日期1"/>
    <w:basedOn w:val="1"/>
    <w:next w:val="1"/>
    <w:qFormat/>
    <w:uiPriority w:val="0"/>
    <w:pPr>
      <w:autoSpaceDE/>
      <w:autoSpaceDN/>
      <w:adjustRightInd/>
      <w:ind w:left="100" w:leftChars="2500"/>
      <w:jc w:val="both"/>
    </w:pPr>
    <w:rPr>
      <w:rFonts w:ascii="Arial Unicode MS" w:hAnsi="Arial Unicode MS" w:eastAsia="ˎ̥"/>
      <w:kern w:val="2"/>
      <w:sz w:val="21"/>
    </w:rPr>
  </w:style>
  <w:style w:type="paragraph" w:customStyle="1" w:styleId="383">
    <w:name w:val="样式 标题 2H2Heading 2 HiddenHeading 2 CCBSh22nd levell2Titre...5"/>
    <w:basedOn w:val="6"/>
    <w:qFormat/>
    <w:uiPriority w:val="0"/>
    <w:pPr>
      <w:keepLines/>
      <w:widowControl/>
      <w:autoSpaceDE/>
      <w:autoSpaceDN/>
      <w:spacing w:before="260" w:after="260" w:line="416" w:lineRule="auto"/>
      <w:jc w:val="both"/>
    </w:pPr>
    <w:rPr>
      <w:rFonts w:ascii="楷体_GB2312" w:hAnsi="楷体_GB2312" w:cs="等线 Light"/>
      <w:b/>
      <w:bCs/>
      <w:kern w:val="2"/>
      <w:sz w:val="32"/>
      <w:szCs w:val="20"/>
    </w:rPr>
  </w:style>
  <w:style w:type="paragraph" w:customStyle="1" w:styleId="384">
    <w:name w:val="Char1 Char Char Char1 Char Char Char Char Char Char Char Char Char"/>
    <w:basedOn w:val="1"/>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385">
    <w:name w:val="xl25"/>
    <w:basedOn w:val="1"/>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386">
    <w:name w:val="Char Char Char Char Char Char Char"/>
    <w:basedOn w:val="1"/>
    <w:qFormat/>
    <w:uiPriority w:val="0"/>
    <w:pPr>
      <w:autoSpaceDE/>
      <w:autoSpaceDN/>
      <w:adjustRightInd/>
      <w:spacing w:line="360" w:lineRule="auto"/>
      <w:ind w:left="420" w:firstLine="420"/>
      <w:jc w:val="both"/>
    </w:pPr>
    <w:rPr>
      <w:rFonts w:ascii="Arial Unicode MS" w:hAnsi="Arial Unicode MS"/>
      <w:szCs w:val="21"/>
    </w:rPr>
  </w:style>
  <w:style w:type="paragraph" w:customStyle="1" w:styleId="387">
    <w:name w:val="修订2"/>
    <w:unhideWhenUsed/>
    <w:qFormat/>
    <w:uiPriority w:val="99"/>
    <w:rPr>
      <w:rFonts w:ascii="Times New Roman" w:hAnsi="Times New Roman" w:eastAsia="宋体" w:cs="Times New Roman"/>
      <w:kern w:val="2"/>
      <w:sz w:val="21"/>
      <w:szCs w:val="22"/>
      <w:lang w:val="en-US" w:eastAsia="zh-CN" w:bidi="ar-SA"/>
    </w:rPr>
  </w:style>
  <w:style w:type="paragraph" w:customStyle="1" w:styleId="388">
    <w:name w:val="zhang"/>
    <w:basedOn w:val="1"/>
    <w:qFormat/>
    <w:uiPriority w:val="0"/>
    <w:pPr>
      <w:autoSpaceDE/>
      <w:autoSpaceDN/>
      <w:adjustRightInd/>
      <w:ind w:firstLine="200" w:firstLineChars="200"/>
      <w:jc w:val="both"/>
    </w:pPr>
    <w:rPr>
      <w:rFonts w:ascii="Arial Unicode MS" w:hAnsi="Arial Unicode MS" w:eastAsia="微软雅黑"/>
      <w:bCs/>
      <w:kern w:val="2"/>
      <w:sz w:val="28"/>
      <w:szCs w:val="20"/>
    </w:rPr>
  </w:style>
  <w:style w:type="paragraph" w:customStyle="1" w:styleId="389">
    <w:name w:val="样式 标题 3头小节标题Heading 3 - oldh33rd levelH3l3CTLevel 3 Hea..."/>
    <w:basedOn w:val="6"/>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390">
    <w:name w:val="Char1"/>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91">
    <w:name w:val="Char2"/>
    <w:basedOn w:val="1"/>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392">
    <w:name w:val="Char11"/>
    <w:basedOn w:val="1"/>
    <w:qFormat/>
    <w:uiPriority w:val="0"/>
    <w:pPr>
      <w:tabs>
        <w:tab w:val="left" w:pos="360"/>
      </w:tabs>
      <w:autoSpaceDE/>
      <w:autoSpaceDN/>
      <w:adjustRightInd/>
      <w:jc w:val="both"/>
    </w:pPr>
    <w:rPr>
      <w:rFonts w:ascii="Arial Unicode MS" w:hAnsi="Arial Unicode MS"/>
      <w:kern w:val="2"/>
    </w:rPr>
  </w:style>
  <w:style w:type="paragraph" w:customStyle="1" w:styleId="393">
    <w:name w:val="Char1 Char Char Char1 Char Char Char"/>
    <w:basedOn w:val="1"/>
    <w:qFormat/>
    <w:uiPriority w:val="0"/>
    <w:pPr>
      <w:autoSpaceDE/>
      <w:autoSpaceDN/>
      <w:adjustRightInd/>
      <w:spacing w:line="360" w:lineRule="auto"/>
    </w:pPr>
    <w:rPr>
      <w:rFonts w:ascii="Arial Unicode MS" w:hAnsi="Arial Unicode MS"/>
      <w:kern w:val="2"/>
      <w:sz w:val="21"/>
    </w:rPr>
  </w:style>
  <w:style w:type="paragraph" w:customStyle="1" w:styleId="394">
    <w:name w:val="样式 样式 小四 首行缩进:  0.85 厘米 + 首行缩进:  2 字符"/>
    <w:basedOn w:val="1"/>
    <w:qFormat/>
    <w:uiPriority w:val="0"/>
    <w:pPr>
      <w:autoSpaceDE/>
      <w:autoSpaceDN/>
      <w:snapToGrid w:val="0"/>
      <w:spacing w:line="360" w:lineRule="auto"/>
      <w:ind w:firstLine="584" w:firstLineChars="200"/>
      <w:jc w:val="both"/>
    </w:pPr>
    <w:rPr>
      <w:rFonts w:ascii="Arial Unicode MS" w:hAnsi="Arial Unicode MS" w:cs="等线 Light"/>
      <w:snapToGrid w:val="0"/>
      <w:sz w:val="28"/>
      <w:szCs w:val="28"/>
    </w:rPr>
  </w:style>
  <w:style w:type="paragraph" w:customStyle="1" w:styleId="395">
    <w:name w:val="xl40"/>
    <w:basedOn w:val="1"/>
    <w:qFormat/>
    <w:uiPriority w:val="0"/>
    <w:pPr>
      <w:widowControl/>
      <w:autoSpaceDE/>
      <w:autoSpaceDN/>
      <w:adjustRightInd/>
      <w:spacing w:before="100" w:beforeAutospacing="1" w:after="100" w:afterAutospacing="1"/>
      <w:jc w:val="both"/>
    </w:pPr>
    <w:rPr>
      <w:rFonts w:hAnsi="等线 Light"/>
      <w:b/>
      <w:bCs/>
    </w:rPr>
  </w:style>
  <w:style w:type="paragraph" w:customStyle="1" w:styleId="396">
    <w:name w:val="表格"/>
    <w:basedOn w:val="1"/>
    <w:qFormat/>
    <w:uiPriority w:val="0"/>
    <w:pPr>
      <w:autoSpaceDE/>
      <w:autoSpaceDN/>
      <w:adjustRightInd/>
      <w:spacing w:line="400" w:lineRule="atLeast"/>
      <w:jc w:val="both"/>
    </w:pPr>
    <w:rPr>
      <w:rFonts w:ascii="Arial Unicode MS" w:hAnsi="Arial Unicode MS"/>
      <w:b/>
      <w:bCs/>
      <w:color w:val="FF00FF"/>
      <w:kern w:val="2"/>
    </w:rPr>
  </w:style>
  <w:style w:type="paragraph" w:customStyle="1" w:styleId="397">
    <w:name w:val="xl31"/>
    <w:basedOn w:val="1"/>
    <w:qFormat/>
    <w:uiPriority w:val="0"/>
    <w:pPr>
      <w:widowControl/>
      <w:pBdr>
        <w:left w:val="single" w:color="auto" w:sz="4" w:space="0"/>
        <w:bottom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98">
    <w:name w:val="Char3"/>
    <w:basedOn w:val="1"/>
    <w:qFormat/>
    <w:uiPriority w:val="99"/>
    <w:pPr>
      <w:widowControl/>
      <w:autoSpaceDE/>
      <w:autoSpaceDN/>
      <w:adjustRightInd/>
      <w:spacing w:line="400" w:lineRule="exact"/>
      <w:jc w:val="center"/>
    </w:pPr>
    <w:rPr>
      <w:rFonts w:ascii="Lucida Grande" w:hAnsi="Lucida Grande"/>
      <w:sz w:val="21"/>
      <w:szCs w:val="20"/>
      <w:lang w:eastAsia="en-US"/>
    </w:rPr>
  </w:style>
  <w:style w:type="paragraph" w:customStyle="1" w:styleId="399">
    <w:name w:val="p0"/>
    <w:basedOn w:val="1"/>
    <w:qFormat/>
    <w:uiPriority w:val="0"/>
    <w:pPr>
      <w:widowControl/>
      <w:autoSpaceDE/>
      <w:autoSpaceDN/>
      <w:adjustRightInd/>
      <w:jc w:val="both"/>
    </w:pPr>
    <w:rPr>
      <w:rFonts w:ascii="Arial Unicode MS" w:hAnsi="Arial Unicode MS"/>
      <w:sz w:val="21"/>
      <w:szCs w:val="20"/>
    </w:rPr>
  </w:style>
  <w:style w:type="paragraph" w:customStyle="1" w:styleId="400">
    <w:name w:val="1)"/>
    <w:basedOn w:val="1"/>
    <w:qFormat/>
    <w:uiPriority w:val="0"/>
    <w:pPr>
      <w:autoSpaceDE/>
      <w:autoSpaceDN/>
      <w:adjustRightInd/>
      <w:spacing w:line="264" w:lineRule="auto"/>
      <w:jc w:val="both"/>
    </w:pPr>
    <w:rPr>
      <w:rFonts w:ascii="Arial Unicode MS" w:hAnsi="Arial Unicode MS"/>
      <w:kern w:val="2"/>
    </w:rPr>
  </w:style>
  <w:style w:type="paragraph" w:customStyle="1" w:styleId="401">
    <w:name w:val="样式 标题 5五 + 首行缩进:  2 字符"/>
    <w:basedOn w:val="8"/>
    <w:qFormat/>
    <w:uiPriority w:val="0"/>
    <w:pPr>
      <w:autoSpaceDE/>
      <w:autoSpaceDN/>
      <w:adjustRightInd/>
      <w:snapToGrid w:val="0"/>
      <w:spacing w:before="0" w:after="0" w:line="360" w:lineRule="auto"/>
      <w:ind w:firstLine="500" w:firstLineChars="200"/>
      <w:jc w:val="both"/>
    </w:pPr>
    <w:rPr>
      <w:rFonts w:ascii="Arial Unicode MS" w:hAnsi="Arial Unicode MS" w:cs="等线 Light"/>
      <w:b w:val="0"/>
      <w:bCs w:val="0"/>
      <w:spacing w:val="20"/>
      <w:kern w:val="2"/>
      <w:sz w:val="24"/>
      <w:szCs w:val="20"/>
    </w:rPr>
  </w:style>
  <w:style w:type="paragraph" w:customStyle="1" w:styleId="402">
    <w:name w:val="1册标题2"/>
    <w:basedOn w:val="5"/>
    <w:next w:val="1"/>
    <w:qFormat/>
    <w:uiPriority w:val="0"/>
    <w:pPr>
      <w:autoSpaceDE/>
      <w:autoSpaceDN/>
      <w:adjustRightInd/>
      <w:jc w:val="both"/>
      <w:outlineLvl w:val="9"/>
    </w:pPr>
    <w:rPr>
      <w:rFonts w:hAnsi="等线 Light"/>
      <w:color w:val="008000"/>
      <w:kern w:val="2"/>
      <w:sz w:val="21"/>
      <w:szCs w:val="21"/>
    </w:rPr>
  </w:style>
  <w:style w:type="paragraph" w:customStyle="1" w:styleId="403">
    <w:name w:val="xl55"/>
    <w:basedOn w:val="1"/>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404">
    <w:name w:val="首航所进"/>
    <w:basedOn w:val="1"/>
    <w:qFormat/>
    <w:uiPriority w:val="0"/>
    <w:pPr>
      <w:autoSpaceDE/>
      <w:autoSpaceDN/>
      <w:adjustRightInd/>
      <w:spacing w:line="300" w:lineRule="auto"/>
      <w:ind w:firstLine="480" w:firstLineChars="200"/>
      <w:jc w:val="both"/>
    </w:pPr>
    <w:rPr>
      <w:rFonts w:ascii="Arial Unicode MS" w:hAnsi="Arial Unicode MS"/>
      <w:kern w:val="2"/>
    </w:rPr>
  </w:style>
  <w:style w:type="paragraph" w:customStyle="1" w:styleId="405">
    <w:name w:val="xl47"/>
    <w:basedOn w:val="1"/>
    <w:qFormat/>
    <w:uiPriority w:val="0"/>
    <w:pPr>
      <w:widowControl/>
      <w:pBdr>
        <w:top w:val="single" w:color="auto" w:sz="4" w:space="0"/>
        <w:right w:val="single" w:color="auto" w:sz="4" w:space="0"/>
      </w:pBdr>
      <w:autoSpaceDE/>
      <w:autoSpaceDN/>
      <w:adjustRightInd/>
      <w:spacing w:before="100" w:beforeAutospacing="1" w:after="100" w:afterAutospacing="1"/>
    </w:pPr>
    <w:rPr>
      <w:rFonts w:hAnsi="等线 Light" w:cs="等线 Light"/>
    </w:rPr>
  </w:style>
  <w:style w:type="paragraph" w:customStyle="1" w:styleId="406">
    <w:name w:val="图/图注"/>
    <w:basedOn w:val="10"/>
    <w:qFormat/>
    <w:uiPriority w:val="0"/>
    <w:pPr>
      <w:wordWrap/>
      <w:autoSpaceDE/>
      <w:autoSpaceDN/>
      <w:adjustRightInd/>
      <w:spacing w:before="50"/>
      <w:ind w:firstLine="0" w:firstLineChars="0"/>
      <w:jc w:val="center"/>
    </w:pPr>
    <w:rPr>
      <w:rFonts w:ascii="幼圆" w:eastAsia="PMingLiU"/>
      <w:b/>
      <w:kern w:val="2"/>
      <w:sz w:val="21"/>
      <w:szCs w:val="22"/>
    </w:rPr>
  </w:style>
  <w:style w:type="paragraph" w:customStyle="1" w:styleId="407">
    <w:name w:val="_Style 1"/>
    <w:basedOn w:val="1"/>
    <w:qFormat/>
    <w:uiPriority w:val="34"/>
    <w:pPr>
      <w:autoSpaceDE/>
      <w:autoSpaceDN/>
      <w:adjustRightInd/>
      <w:ind w:firstLine="420" w:firstLineChars="200"/>
      <w:jc w:val="both"/>
    </w:pPr>
    <w:rPr>
      <w:rFonts w:ascii="Arial Unicode MS" w:hAnsi="Arial Unicode MS"/>
      <w:kern w:val="2"/>
      <w:sz w:val="21"/>
      <w:szCs w:val="20"/>
    </w:rPr>
  </w:style>
  <w:style w:type="paragraph" w:customStyle="1" w:styleId="408">
    <w:name w:val="font8"/>
    <w:basedOn w:val="1"/>
    <w:qFormat/>
    <w:uiPriority w:val="0"/>
    <w:pPr>
      <w:widowControl/>
      <w:autoSpaceDE/>
      <w:autoSpaceDN/>
      <w:adjustRightInd/>
      <w:spacing w:before="100" w:beforeAutospacing="1" w:after="100" w:afterAutospacing="1"/>
    </w:pPr>
    <w:rPr>
      <w:rFonts w:hint="eastAsia" w:ascii="微软雅黑" w:hAnsi="等线 Light" w:eastAsia="微软雅黑"/>
    </w:rPr>
  </w:style>
  <w:style w:type="paragraph" w:customStyle="1" w:styleId="409">
    <w:name w:val="列出段落2"/>
    <w:basedOn w:val="1"/>
    <w:unhideWhenUsed/>
    <w:qFormat/>
    <w:uiPriority w:val="34"/>
    <w:pPr>
      <w:ind w:firstLine="420" w:firstLineChars="200"/>
    </w:pPr>
  </w:style>
  <w:style w:type="paragraph" w:customStyle="1" w:styleId="410">
    <w:name w:val="_Style 26"/>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11">
    <w:name w:val="head3"/>
    <w:qFormat/>
    <w:uiPriority w:val="0"/>
    <w:pPr>
      <w:spacing w:before="120" w:after="120"/>
    </w:pPr>
    <w:rPr>
      <w:rFonts w:ascii="等线 Light" w:hAnsi="Arial Unicode MS" w:eastAsia="宋体" w:cs="Times New Roman"/>
      <w:b/>
      <w:sz w:val="24"/>
      <w:lang w:val="en-US" w:eastAsia="zh-CN" w:bidi="ar-SA"/>
    </w:rPr>
  </w:style>
  <w:style w:type="paragraph" w:customStyle="1" w:styleId="412">
    <w:name w:val="_Style 142"/>
    <w:basedOn w:val="19"/>
    <w:qFormat/>
    <w:uiPriority w:val="0"/>
    <w:pPr>
      <w:autoSpaceDE/>
      <w:autoSpaceDN/>
      <w:adjustRightInd/>
      <w:jc w:val="both"/>
    </w:pPr>
    <w:rPr>
      <w:rFonts w:ascii="Arial Unicode MS" w:hAnsi="Arial Unicode MS"/>
      <w:kern w:val="2"/>
      <w:sz w:val="21"/>
    </w:rPr>
  </w:style>
  <w:style w:type="paragraph" w:customStyle="1" w:styleId="413">
    <w:name w:val="批注框文本1"/>
    <w:basedOn w:val="1"/>
    <w:next w:val="38"/>
    <w:qFormat/>
    <w:uiPriority w:val="0"/>
    <w:pPr>
      <w:autoSpaceDE/>
      <w:autoSpaceDN/>
      <w:adjustRightInd/>
      <w:jc w:val="both"/>
    </w:pPr>
    <w:rPr>
      <w:rFonts w:ascii="Arial Unicode MS" w:hAnsi="Arial Unicode MS" w:eastAsia="ˎ̥"/>
      <w:kern w:val="2"/>
      <w:sz w:val="18"/>
      <w:szCs w:val="18"/>
    </w:rPr>
  </w:style>
  <w:style w:type="paragraph" w:customStyle="1" w:styleId="414">
    <w:name w:val="无间隔1"/>
    <w:qFormat/>
    <w:uiPriority w:val="1"/>
    <w:pPr>
      <w:widowControl w:val="0"/>
      <w:ind w:left="198" w:hanging="198"/>
      <w:jc w:val="center"/>
    </w:pPr>
    <w:rPr>
      <w:rFonts w:ascii="Arial Unicode MS" w:hAnsi="Arial Unicode MS" w:eastAsia="宋体" w:cs="Times New Roman"/>
      <w:kern w:val="2"/>
      <w:sz w:val="24"/>
      <w:szCs w:val="22"/>
      <w:lang w:val="en-US" w:eastAsia="zh-CN" w:bidi="ar-SA"/>
    </w:rPr>
  </w:style>
  <w:style w:type="paragraph" w:customStyle="1" w:styleId="415">
    <w:name w:val="Char Char1 Char Char Char Char Char Char Char Char Char Char Char Char Char Char"/>
    <w:basedOn w:val="1"/>
    <w:qFormat/>
    <w:uiPriority w:val="0"/>
    <w:pPr>
      <w:widowControl/>
      <w:autoSpaceDE/>
      <w:autoSpaceDN/>
      <w:adjustRightInd/>
      <w:spacing w:after="160" w:line="240" w:lineRule="exact"/>
    </w:pPr>
    <w:rPr>
      <w:rFonts w:ascii="Lucida Grande" w:hAnsi="Lucida Grande"/>
      <w:sz w:val="20"/>
      <w:szCs w:val="20"/>
      <w:lang w:eastAsia="en-US"/>
    </w:rPr>
  </w:style>
  <w:style w:type="paragraph" w:customStyle="1" w:styleId="416">
    <w:name w:val="Char Char Char Char Char Char Char Char Char Char Char Char Char Char Char Char"/>
    <w:basedOn w:val="1"/>
    <w:qFormat/>
    <w:uiPriority w:val="0"/>
    <w:pPr>
      <w:autoSpaceDE/>
      <w:autoSpaceDN/>
      <w:adjustRightInd/>
      <w:spacing w:line="330" w:lineRule="atLeast"/>
      <w:ind w:left="360" w:firstLine="360" w:firstLineChars="150"/>
    </w:pPr>
    <w:rPr>
      <w:rFonts w:ascii="等线" w:hAnsi="等线" w:cs="等线 Light"/>
      <w:color w:val="51585D"/>
      <w:szCs w:val="18"/>
    </w:rPr>
  </w:style>
  <w:style w:type="paragraph" w:customStyle="1" w:styleId="417">
    <w:name w:val="目录文字"/>
    <w:basedOn w:val="1"/>
    <w:qFormat/>
    <w:uiPriority w:val="0"/>
    <w:pPr>
      <w:widowControl/>
      <w:autoSpaceDE/>
      <w:autoSpaceDN/>
      <w:adjustRightInd/>
      <w:spacing w:line="480" w:lineRule="auto"/>
    </w:pPr>
    <w:rPr>
      <w:rFonts w:hAnsi="等线 Light"/>
      <w:szCs w:val="20"/>
    </w:rPr>
  </w:style>
  <w:style w:type="paragraph" w:customStyle="1" w:styleId="418">
    <w:name w:val="默认段落字体 Para Char Char Char Char Char Char Char Char Char Char Char Char Char Char Char Char Char Char Char"/>
    <w:basedOn w:val="1"/>
    <w:qFormat/>
    <w:uiPriority w:val="0"/>
    <w:pPr>
      <w:autoSpaceDE/>
      <w:autoSpaceDN/>
      <w:adjustRightInd/>
      <w:jc w:val="both"/>
    </w:pPr>
    <w:rPr>
      <w:rFonts w:ascii="Calibri" w:hAnsi="Calibri"/>
      <w:kern w:val="2"/>
      <w:szCs w:val="20"/>
    </w:rPr>
  </w:style>
  <w:style w:type="paragraph" w:customStyle="1" w:styleId="419">
    <w:name w:val="Char Char"/>
    <w:basedOn w:val="1"/>
    <w:qFormat/>
    <w:uiPriority w:val="0"/>
    <w:pPr>
      <w:autoSpaceDE/>
      <w:autoSpaceDN/>
      <w:adjustRightInd/>
      <w:jc w:val="both"/>
    </w:pPr>
    <w:rPr>
      <w:rFonts w:ascii="Calibri" w:hAnsi="Calibri"/>
      <w:kern w:val="2"/>
      <w:szCs w:val="20"/>
    </w:rPr>
  </w:style>
  <w:style w:type="paragraph" w:customStyle="1" w:styleId="420">
    <w:name w:val="xl53"/>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21">
    <w:name w:val="Char Char Char Char11"/>
    <w:basedOn w:val="19"/>
    <w:qFormat/>
    <w:uiPriority w:val="0"/>
    <w:pPr>
      <w:autoSpaceDE/>
      <w:autoSpaceDN/>
      <w:adjustRightInd/>
      <w:jc w:val="both"/>
    </w:pPr>
    <w:rPr>
      <w:rFonts w:ascii="Arial Unicode MS" w:hAnsi="Arial Unicode MS"/>
      <w:kern w:val="2"/>
    </w:rPr>
  </w:style>
  <w:style w:type="paragraph" w:customStyle="1" w:styleId="422">
    <w:name w:val="xl57"/>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3">
    <w:name w:val="样式 四号 左 行距: 1.5 倍行距 首行缩进:  2 字符"/>
    <w:basedOn w:val="1"/>
    <w:qFormat/>
    <w:uiPriority w:val="0"/>
    <w:pPr>
      <w:autoSpaceDE/>
      <w:autoSpaceDN/>
      <w:adjustRightInd/>
      <w:spacing w:line="360" w:lineRule="auto"/>
      <w:ind w:firstLine="560" w:firstLineChars="200"/>
    </w:pPr>
    <w:rPr>
      <w:rFonts w:ascii="Arial Unicode MS" w:hAnsi="Arial Unicode MS" w:cs="等线 Light"/>
      <w:kern w:val="2"/>
      <w:szCs w:val="20"/>
    </w:rPr>
  </w:style>
  <w:style w:type="paragraph" w:customStyle="1" w:styleId="424">
    <w:name w:val="保留正文"/>
    <w:basedOn w:val="2"/>
    <w:qFormat/>
    <w:uiPriority w:val="0"/>
    <w:pPr>
      <w:keepNext/>
      <w:autoSpaceDE/>
      <w:autoSpaceDN/>
      <w:adjustRightInd/>
      <w:spacing w:after="160"/>
      <w:ind w:right="0"/>
      <w:jc w:val="both"/>
    </w:pPr>
    <w:rPr>
      <w:rFonts w:ascii="幼圆" w:hAnsi="幼圆"/>
      <w:b w:val="0"/>
      <w:bCs w:val="0"/>
      <w:kern w:val="2"/>
      <w:sz w:val="21"/>
      <w:szCs w:val="24"/>
      <w:lang w:val="en-US"/>
    </w:rPr>
  </w:style>
  <w:style w:type="paragraph" w:customStyle="1" w:styleId="425">
    <w:name w:val="表格内文字"/>
    <w:basedOn w:val="1"/>
    <w:qFormat/>
    <w:uiPriority w:val="0"/>
    <w:pPr>
      <w:widowControl/>
      <w:autoSpaceDE/>
      <w:autoSpaceDN/>
      <w:snapToGrid w:val="0"/>
      <w:ind w:left="13" w:hanging="13" w:hangingChars="6"/>
      <w:jc w:val="center"/>
    </w:pPr>
    <w:rPr>
      <w:rFonts w:ascii="Arial Unicode MS" w:hAnsi="等线" w:eastAsia="微软雅黑"/>
      <w:snapToGrid w:val="0"/>
      <w:color w:val="333333"/>
      <w:sz w:val="21"/>
      <w:szCs w:val="21"/>
    </w:rPr>
  </w:style>
  <w:style w:type="paragraph" w:customStyle="1" w:styleId="426">
    <w:name w:val="标题5"/>
    <w:qFormat/>
    <w:uiPriority w:val="0"/>
    <w:pPr>
      <w:adjustRightInd w:val="0"/>
      <w:spacing w:line="400" w:lineRule="exact"/>
      <w:textAlignment w:val="baseline"/>
    </w:pPr>
    <w:rPr>
      <w:rFonts w:ascii="Arial Unicode MS" w:hAnsi="Arial Unicode MS" w:eastAsia="微软雅黑" w:cs="Times New Roman"/>
      <w:b/>
      <w:sz w:val="24"/>
      <w:lang w:val="en-US" w:eastAsia="zh-CN" w:bidi="ar-SA"/>
    </w:rPr>
  </w:style>
  <w:style w:type="paragraph" w:customStyle="1" w:styleId="427">
    <w:name w:val="xl59"/>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8">
    <w:name w:val="Char Char Char Char Char Char Char2"/>
    <w:basedOn w:val="19"/>
    <w:qFormat/>
    <w:uiPriority w:val="0"/>
    <w:pPr>
      <w:autoSpaceDE/>
      <w:autoSpaceDN/>
      <w:adjustRightInd/>
      <w:jc w:val="both"/>
    </w:pPr>
    <w:rPr>
      <w:rFonts w:ascii="Calibri" w:hAnsi="Calibri"/>
      <w:kern w:val="2"/>
      <w:szCs w:val="20"/>
    </w:rPr>
  </w:style>
  <w:style w:type="paragraph" w:customStyle="1" w:styleId="429">
    <w:name w:val="reader-word-layer"/>
    <w:basedOn w:val="1"/>
    <w:qFormat/>
    <w:uiPriority w:val="0"/>
    <w:pPr>
      <w:widowControl/>
      <w:autoSpaceDE/>
      <w:autoSpaceDN/>
      <w:adjustRightInd/>
      <w:spacing w:before="100" w:beforeAutospacing="1" w:after="100" w:afterAutospacing="1"/>
    </w:pPr>
    <w:rPr>
      <w:rFonts w:hAnsi="等线 Light" w:cs="等线 Light"/>
    </w:rPr>
  </w:style>
  <w:style w:type="paragraph" w:customStyle="1" w:styleId="430">
    <w:name w:val="正文缩进6格"/>
    <w:basedOn w:val="431"/>
    <w:qFormat/>
    <w:uiPriority w:val="0"/>
    <w:pPr>
      <w:spacing w:line="600" w:lineRule="exact"/>
      <w:ind w:left="1758" w:leftChars="854" w:firstLine="403" w:firstLineChars="192"/>
      <w:jc w:val="left"/>
    </w:pPr>
    <w:rPr>
      <w:rFonts w:ascii="微软雅黑" w:eastAsia="微软雅黑"/>
      <w:kern w:val="2"/>
      <w:lang w:val="en-US"/>
    </w:rPr>
  </w:style>
  <w:style w:type="paragraph" w:customStyle="1" w:styleId="431">
    <w:name w:val="正文缩进4格"/>
    <w:basedOn w:val="187"/>
    <w:qFormat/>
    <w:uiPriority w:val="0"/>
    <w:pPr>
      <w:spacing w:line="360" w:lineRule="auto"/>
      <w:ind w:left="964" w:leftChars="314" w:hanging="210" w:hangingChars="100"/>
    </w:pPr>
    <w:rPr>
      <w:rFonts w:ascii="等线 Light" w:eastAsia="等线 Light"/>
      <w:sz w:val="21"/>
      <w:szCs w:val="21"/>
      <w:lang w:val="zh-CN"/>
    </w:rPr>
  </w:style>
  <w:style w:type="paragraph" w:customStyle="1" w:styleId="432">
    <w:name w:val="样式 标题 3头小节标题Heading 3 - oldh33rd levelH3l3CTLevel 3 Hea...6"/>
    <w:basedOn w:val="6"/>
    <w:qFormat/>
    <w:uiPriority w:val="0"/>
    <w:pPr>
      <w:keepNext/>
      <w:keepLines/>
      <w:tabs>
        <w:tab w:val="left" w:pos="964"/>
      </w:tabs>
      <w:autoSpaceDE/>
      <w:autoSpaceDN/>
      <w:adjustRightInd/>
      <w:spacing w:line="360" w:lineRule="auto"/>
      <w:jc w:val="both"/>
    </w:pPr>
    <w:rPr>
      <w:rFonts w:hAnsi="等线 Light"/>
      <w:bCs/>
      <w:szCs w:val="32"/>
    </w:rPr>
  </w:style>
  <w:style w:type="paragraph" w:customStyle="1" w:styleId="433">
    <w:name w:val="_Style 218"/>
    <w:next w:val="1"/>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34">
    <w:name w:val="af3-TBL-BR-1"/>
    <w:qFormat/>
    <w:uiPriority w:val="0"/>
    <w:pPr>
      <w:widowControl w:val="0"/>
      <w:ind w:left="100" w:leftChars="2500"/>
      <w:jc w:val="both"/>
    </w:pPr>
    <w:rPr>
      <w:rFonts w:ascii="Arial Unicode MS" w:hAnsi="Arial Unicode MS" w:eastAsia="宋体" w:cs="Times New Roman"/>
      <w:kern w:val="2"/>
      <w:sz w:val="21"/>
      <w:szCs w:val="24"/>
      <w:lang w:val="en-US" w:eastAsia="zh-CN" w:bidi="ar-SA"/>
    </w:rPr>
  </w:style>
  <w:style w:type="paragraph" w:customStyle="1" w:styleId="435">
    <w:name w:val="Char1 Char Char Char"/>
    <w:basedOn w:val="1"/>
    <w:qFormat/>
    <w:uiPriority w:val="0"/>
    <w:pPr>
      <w:tabs>
        <w:tab w:val="left" w:pos="4301"/>
      </w:tabs>
      <w:autoSpaceDE/>
      <w:autoSpaceDN/>
      <w:adjustRightInd/>
      <w:ind w:left="4301" w:hanging="420"/>
      <w:jc w:val="both"/>
    </w:pPr>
    <w:rPr>
      <w:rFonts w:ascii="Arial Unicode MS" w:hAnsi="Arial Unicode MS"/>
      <w:kern w:val="2"/>
    </w:rPr>
  </w:style>
  <w:style w:type="paragraph" w:customStyle="1" w:styleId="436">
    <w:name w:val="编号列项（三级）"/>
    <w:qFormat/>
    <w:uiPriority w:val="0"/>
    <w:pPr>
      <w:ind w:left="800" w:leftChars="600" w:hanging="200" w:hangingChars="200"/>
    </w:pPr>
    <w:rPr>
      <w:rFonts w:ascii="等线 Light" w:hAnsi="Arial Unicode MS" w:eastAsia="宋体" w:cs="Times New Roman"/>
      <w:sz w:val="21"/>
      <w:lang w:val="en-US" w:eastAsia="zh-CN" w:bidi="ar-SA"/>
    </w:rPr>
  </w:style>
  <w:style w:type="paragraph" w:customStyle="1" w:styleId="437">
    <w:name w:val="pa-4"/>
    <w:basedOn w:val="1"/>
    <w:qFormat/>
    <w:uiPriority w:val="0"/>
    <w:pPr>
      <w:widowControl/>
      <w:autoSpaceDE/>
      <w:autoSpaceDN/>
      <w:adjustRightInd/>
      <w:spacing w:line="360" w:lineRule="atLeast"/>
      <w:jc w:val="both"/>
    </w:pPr>
    <w:rPr>
      <w:rFonts w:hAnsi="等线 Light" w:cs="等线 Light"/>
    </w:rPr>
  </w:style>
  <w:style w:type="paragraph" w:customStyle="1" w:styleId="438">
    <w:name w:val="样式 标题 3 + (中文) 黑体 小四 非加粗 段前: 7.8 磅 段后: 0 磅 行距: 固定值 20 磅"/>
    <w:basedOn w:val="6"/>
    <w:qFormat/>
    <w:uiPriority w:val="0"/>
    <w:pPr>
      <w:keepNext/>
      <w:keepLines/>
      <w:autoSpaceDE/>
      <w:autoSpaceDN/>
      <w:adjustRightInd/>
      <w:spacing w:line="400" w:lineRule="exact"/>
      <w:jc w:val="both"/>
    </w:pPr>
    <w:rPr>
      <w:rFonts w:ascii="Arial Unicode MS" w:hAnsi="Arial Unicode MS" w:eastAsia="PMingLiU" w:cs="等线 Light"/>
      <w:kern w:val="2"/>
      <w:szCs w:val="20"/>
    </w:rPr>
  </w:style>
  <w:style w:type="paragraph" w:customStyle="1" w:styleId="439">
    <w:name w:val="afff0-TBL-BR-1"/>
    <w:qFormat/>
    <w:uiPriority w:val="0"/>
    <w:pPr>
      <w:spacing w:line="480" w:lineRule="auto"/>
    </w:pPr>
    <w:rPr>
      <w:rFonts w:ascii="等线 Light" w:hAnsi="等线 Light" w:eastAsia="宋体" w:cs="Times New Roman"/>
      <w:sz w:val="24"/>
      <w:lang w:val="en-US" w:eastAsia="zh-CN" w:bidi="ar-SA"/>
    </w:rPr>
  </w:style>
  <w:style w:type="paragraph" w:customStyle="1" w:styleId="440">
    <w:name w:val="0"/>
    <w:basedOn w:val="1"/>
    <w:qFormat/>
    <w:uiPriority w:val="0"/>
    <w:pPr>
      <w:widowControl/>
      <w:autoSpaceDE/>
      <w:autoSpaceDN/>
      <w:adjustRightInd/>
      <w:spacing w:before="100" w:beforeAutospacing="1" w:after="100" w:afterAutospacing="1"/>
    </w:pPr>
    <w:rPr>
      <w:rFonts w:hAnsi="等线 Light" w:cs="等线 Light"/>
    </w:rPr>
  </w:style>
  <w:style w:type="paragraph" w:customStyle="1" w:styleId="441">
    <w:name w:val="修订3"/>
    <w:qFormat/>
    <w:uiPriority w:val="99"/>
    <w:pPr>
      <w:tabs>
        <w:tab w:val="left" w:pos="840"/>
      </w:tabs>
    </w:pPr>
    <w:rPr>
      <w:rFonts w:ascii="Arial Unicode MS" w:hAnsi="Arial Unicode MS" w:eastAsia="宋体" w:cs="Times New Roman"/>
      <w:kern w:val="2"/>
      <w:sz w:val="21"/>
      <w:lang w:val="en-US" w:eastAsia="zh-CN" w:bidi="ar-SA"/>
    </w:rPr>
  </w:style>
  <w:style w:type="paragraph" w:customStyle="1" w:styleId="442">
    <w:name w:val="样式 标题 3头小节标题Heading 3 - oldh33rd levelH3l3CTLevel 3 Hea...4"/>
    <w:basedOn w:val="6"/>
    <w:qFormat/>
    <w:uiPriority w:val="0"/>
    <w:pPr>
      <w:keepNext/>
      <w:keepLines/>
      <w:tabs>
        <w:tab w:val="left" w:pos="964"/>
      </w:tabs>
      <w:autoSpaceDE/>
      <w:autoSpaceDN/>
      <w:adjustRightInd/>
      <w:spacing w:line="360" w:lineRule="auto"/>
      <w:ind w:firstLine="200" w:firstLineChars="200"/>
      <w:jc w:val="both"/>
    </w:pPr>
    <w:rPr>
      <w:rFonts w:hAnsi="等线 Light" w:cs="等线 Light"/>
      <w:kern w:val="2"/>
      <w:szCs w:val="20"/>
    </w:rPr>
  </w:style>
  <w:style w:type="paragraph" w:customStyle="1" w:styleId="443">
    <w:name w:val="xl101"/>
    <w:basedOn w:val="1"/>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444">
    <w:name w:val="Char Char Char Char Char Char Char Char Char Char Char Char1 Char Char Char Char11"/>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5">
    <w:name w:val="Char Char Char Char Char Char Char Char Char Char Char Char Char Char Char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6">
    <w:name w:val="2册标题5"/>
    <w:basedOn w:val="447"/>
    <w:next w:val="1"/>
    <w:qFormat/>
    <w:uiPriority w:val="0"/>
    <w:pPr>
      <w:ind w:left="720" w:leftChars="300"/>
      <w:outlineLvl w:val="4"/>
    </w:pPr>
    <w:rPr>
      <w:rFonts w:eastAsia="Cambria Math" w:cs="楷体_GB2312"/>
      <w:b/>
    </w:rPr>
  </w:style>
  <w:style w:type="paragraph" w:customStyle="1" w:styleId="447">
    <w:name w:val="2册标题4"/>
    <w:basedOn w:val="1"/>
    <w:next w:val="1"/>
    <w:qFormat/>
    <w:uiPriority w:val="0"/>
    <w:pPr>
      <w:autoSpaceDE/>
      <w:autoSpaceDN/>
      <w:adjustRightInd/>
      <w:spacing w:before="156" w:beforeLines="50" w:after="156" w:afterLines="50"/>
      <w:ind w:left="480" w:leftChars="200"/>
      <w:jc w:val="both"/>
      <w:outlineLvl w:val="3"/>
    </w:pPr>
    <w:rPr>
      <w:rFonts w:ascii="楷体_GB2312" w:hAnsi="楷体_GB2312" w:eastAsia="PMingLiU"/>
      <w:kern w:val="2"/>
    </w:rPr>
  </w:style>
  <w:style w:type="paragraph" w:customStyle="1" w:styleId="448">
    <w:name w:val="È±Ê¡ÎÄ±¾"/>
    <w:basedOn w:val="1"/>
    <w:qFormat/>
    <w:uiPriority w:val="0"/>
    <w:pPr>
      <w:widowControl/>
      <w:overflowPunct w:val="0"/>
      <w:textAlignment w:val="baseline"/>
    </w:pPr>
    <w:rPr>
      <w:rFonts w:ascii="Arial Unicode MS" w:hAnsi="Arial Unicode MS"/>
      <w:szCs w:val="20"/>
    </w:rPr>
  </w:style>
  <w:style w:type="paragraph" w:customStyle="1" w:styleId="449">
    <w:name w:val="1册标题1"/>
    <w:basedOn w:val="1"/>
    <w:next w:val="1"/>
    <w:qFormat/>
    <w:uiPriority w:val="0"/>
    <w:pPr>
      <w:autoSpaceDE/>
      <w:autoSpaceDN/>
      <w:adjustRightInd/>
      <w:spacing w:before="156" w:beforeLines="50" w:after="156" w:afterLines="50"/>
      <w:jc w:val="center"/>
      <w:outlineLvl w:val="0"/>
    </w:pPr>
    <w:rPr>
      <w:rFonts w:ascii="楷体_GB2312" w:hAnsi="楷体_GB2312" w:eastAsia="PMingLiU"/>
      <w:b/>
      <w:bCs/>
      <w:kern w:val="2"/>
      <w:sz w:val="48"/>
      <w:szCs w:val="20"/>
    </w:rPr>
  </w:style>
  <w:style w:type="paragraph" w:customStyle="1" w:styleId="450">
    <w:name w:val="xl28"/>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51">
    <w:name w:val="i."/>
    <w:basedOn w:val="1"/>
    <w:qFormat/>
    <w:uiPriority w:val="0"/>
    <w:pPr>
      <w:tabs>
        <w:tab w:val="left" w:pos="2041"/>
        <w:tab w:val="left" w:pos="2308"/>
      </w:tabs>
      <w:autoSpaceDE/>
      <w:autoSpaceDN/>
      <w:adjustRightInd/>
      <w:spacing w:before="60" w:after="60" w:line="264" w:lineRule="auto"/>
      <w:ind w:left="2041" w:hanging="453"/>
      <w:jc w:val="both"/>
    </w:pPr>
    <w:rPr>
      <w:rFonts w:ascii="Arial Unicode MS" w:hAnsi="Arial Unicode MS"/>
      <w:kern w:val="2"/>
      <w:sz w:val="22"/>
      <w:szCs w:val="22"/>
    </w:rPr>
  </w:style>
  <w:style w:type="paragraph" w:customStyle="1" w:styleId="452">
    <w:name w:val="Body Text(ch)1"/>
    <w:basedOn w:val="1"/>
    <w:next w:val="2"/>
    <w:qFormat/>
    <w:uiPriority w:val="0"/>
    <w:pPr>
      <w:tabs>
        <w:tab w:val="left" w:pos="562"/>
        <w:tab w:val="left" w:pos="3372"/>
        <w:tab w:val="left" w:pos="3653"/>
      </w:tabs>
      <w:autoSpaceDE/>
      <w:autoSpaceDN/>
      <w:adjustRightInd/>
      <w:jc w:val="both"/>
    </w:pPr>
    <w:rPr>
      <w:rFonts w:ascii="Arial Unicode MS" w:hAnsi="Arial Unicode MS"/>
    </w:rPr>
  </w:style>
  <w:style w:type="paragraph" w:customStyle="1" w:styleId="453">
    <w:name w:val="样式 目录 4 + 首行缩进:  2 字符"/>
    <w:basedOn w:val="43"/>
    <w:qFormat/>
    <w:uiPriority w:val="0"/>
    <w:pPr>
      <w:autoSpaceDE/>
      <w:autoSpaceDN/>
      <w:snapToGrid w:val="0"/>
      <w:ind w:firstLine="360" w:firstLineChars="400"/>
    </w:pPr>
    <w:rPr>
      <w:rFonts w:cs="等线 Light"/>
      <w:kern w:val="2"/>
      <w:szCs w:val="20"/>
    </w:rPr>
  </w:style>
  <w:style w:type="paragraph" w:customStyle="1" w:styleId="454">
    <w:name w:val="xl2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455">
    <w:name w:val="Char Char Char Char Char Char Char Char Char Char Char Char Char"/>
    <w:basedOn w:val="19"/>
    <w:qFormat/>
    <w:uiPriority w:val="0"/>
    <w:pPr>
      <w:autoSpaceDE/>
      <w:autoSpaceDN/>
      <w:adjustRightInd/>
      <w:jc w:val="both"/>
    </w:pPr>
    <w:rPr>
      <w:rFonts w:ascii="Arial Unicode MS" w:hAnsi="Arial Unicode MS"/>
      <w:kern w:val="2"/>
      <w:sz w:val="21"/>
      <w:szCs w:val="20"/>
    </w:rPr>
  </w:style>
  <w:style w:type="paragraph" w:customStyle="1" w:styleId="456">
    <w:name w:val="样式3"/>
    <w:basedOn w:val="26"/>
    <w:qFormat/>
    <w:uiPriority w:val="0"/>
    <w:pPr>
      <w:autoSpaceDE/>
      <w:autoSpaceDN/>
      <w:adjustRightInd/>
      <w:spacing w:before="240" w:after="60" w:line="360" w:lineRule="auto"/>
      <w:ind w:left="0" w:firstLine="0" w:firstLineChars="0"/>
      <w:jc w:val="center"/>
    </w:pPr>
    <w:rPr>
      <w:rFonts w:ascii="幼圆" w:hAnsi="Arial Unicode MS" w:eastAsia="PMingLiU"/>
      <w:kern w:val="2"/>
      <w:szCs w:val="20"/>
    </w:rPr>
  </w:style>
  <w:style w:type="paragraph" w:customStyle="1" w:styleId="457">
    <w:name w:val="缺省文本"/>
    <w:basedOn w:val="1"/>
    <w:qFormat/>
    <w:uiPriority w:val="0"/>
    <w:rPr>
      <w:rFonts w:ascii="Arial Unicode MS" w:hAnsi="Arial Unicode MS"/>
    </w:rPr>
  </w:style>
  <w:style w:type="paragraph" w:customStyle="1" w:styleId="458">
    <w:name w:val="6.3.5.5"/>
    <w:basedOn w:val="1"/>
    <w:qFormat/>
    <w:uiPriority w:val="0"/>
    <w:pPr>
      <w:tabs>
        <w:tab w:val="left" w:pos="851"/>
      </w:tabs>
      <w:autoSpaceDE/>
      <w:autoSpaceDN/>
      <w:adjustRightInd/>
      <w:spacing w:before="120" w:after="120"/>
      <w:jc w:val="both"/>
    </w:pPr>
    <w:rPr>
      <w:rFonts w:ascii="Arial Unicode MS" w:hAnsi="Arial Unicode MS"/>
      <w:kern w:val="2"/>
      <w:szCs w:val="20"/>
    </w:rPr>
  </w:style>
  <w:style w:type="paragraph" w:customStyle="1" w:styleId="459">
    <w:name w:val="LED标题1"/>
    <w:basedOn w:val="1"/>
    <w:next w:val="1"/>
    <w:qFormat/>
    <w:uiPriority w:val="0"/>
    <w:pPr>
      <w:autoSpaceDE/>
      <w:autoSpaceDN/>
      <w:adjustRightInd/>
      <w:spacing w:before="156" w:beforeLines="50" w:after="156" w:afterLines="50"/>
      <w:ind w:firstLine="320" w:firstLineChars="100"/>
      <w:jc w:val="center"/>
      <w:outlineLvl w:val="0"/>
    </w:pPr>
    <w:rPr>
      <w:rFonts w:ascii="楷体_GB2312" w:hAnsi="楷体_GB2312" w:eastAsia="PMingLiU"/>
      <w:color w:val="FF0000"/>
      <w:kern w:val="2"/>
      <w:sz w:val="32"/>
      <w:szCs w:val="32"/>
    </w:rPr>
  </w:style>
  <w:style w:type="paragraph" w:customStyle="1" w:styleId="460">
    <w:name w:val="修订1"/>
    <w:unhideWhenUsed/>
    <w:qFormat/>
    <w:uiPriority w:val="0"/>
    <w:rPr>
      <w:rFonts w:ascii="Times New Roman" w:hAnsi="Times New Roman" w:eastAsia="宋体" w:cs="Times New Roman"/>
      <w:kern w:val="2"/>
      <w:sz w:val="21"/>
      <w:szCs w:val="22"/>
      <w:lang w:val="en-US" w:eastAsia="zh-CN" w:bidi="ar-SA"/>
    </w:rPr>
  </w:style>
  <w:style w:type="paragraph" w:customStyle="1" w:styleId="461">
    <w:name w:val="Char Char Char Char Char Char Char Char Char Char Char Char Char1"/>
    <w:basedOn w:val="19"/>
    <w:qFormat/>
    <w:uiPriority w:val="0"/>
    <w:pPr>
      <w:autoSpaceDE/>
      <w:autoSpaceDN/>
      <w:adjustRightInd/>
      <w:jc w:val="both"/>
    </w:pPr>
    <w:rPr>
      <w:rFonts w:ascii="Arial Unicode MS" w:hAnsi="Arial Unicode MS"/>
      <w:kern w:val="2"/>
      <w:sz w:val="21"/>
      <w:szCs w:val="20"/>
    </w:rPr>
  </w:style>
  <w:style w:type="paragraph" w:customStyle="1" w:styleId="462">
    <w:name w:val="Graphics"/>
    <w:basedOn w:val="1"/>
    <w:qFormat/>
    <w:uiPriority w:val="0"/>
    <w:pPr>
      <w:widowControl/>
      <w:autoSpaceDE/>
      <w:autoSpaceDN/>
      <w:adjustRightInd/>
      <w:spacing w:before="120"/>
    </w:pPr>
    <w:rPr>
      <w:rFonts w:ascii="Arial Unicode MS" w:hAnsi="Arial Unicode MS"/>
      <w:color w:val="000000"/>
      <w:sz w:val="20"/>
      <w:szCs w:val="20"/>
      <w:lang w:eastAsia="en-US"/>
    </w:rPr>
  </w:style>
  <w:style w:type="paragraph" w:customStyle="1" w:styleId="463">
    <w:name w:val="xl33"/>
    <w:basedOn w:val="1"/>
    <w:qFormat/>
    <w:uiPriority w:val="0"/>
    <w:pPr>
      <w:widowControl/>
      <w:autoSpaceDE/>
      <w:autoSpaceDN/>
      <w:adjustRightInd/>
      <w:spacing w:before="100" w:beforeAutospacing="1" w:after="100" w:afterAutospacing="1"/>
    </w:pPr>
    <w:rPr>
      <w:rFonts w:hint="eastAsia" w:hAnsi="等线 Light"/>
      <w:sz w:val="20"/>
      <w:szCs w:val="20"/>
    </w:rPr>
  </w:style>
  <w:style w:type="paragraph" w:customStyle="1" w:styleId="464">
    <w:name w:val="Char Char Char Char Char Char Char Char Char Char Char Char1 Char Char Char Char1"/>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65">
    <w:name w:val="表内文"/>
    <w:qFormat/>
    <w:uiPriority w:val="0"/>
    <w:rPr>
      <w:rFonts w:ascii="Arial Unicode MS" w:hAnsi="Arial Unicode MS" w:eastAsia="宋体" w:cs="Times New Roman"/>
      <w:kern w:val="2"/>
      <w:sz w:val="21"/>
      <w:szCs w:val="22"/>
      <w:lang w:val="en-US" w:eastAsia="zh-CN" w:bidi="ar-SA"/>
    </w:rPr>
  </w:style>
  <w:style w:type="paragraph" w:customStyle="1" w:styleId="466">
    <w:name w:val="编号1"/>
    <w:basedOn w:val="1"/>
    <w:qFormat/>
    <w:uiPriority w:val="0"/>
    <w:pPr>
      <w:tabs>
        <w:tab w:val="left" w:pos="425"/>
        <w:tab w:val="left" w:pos="851"/>
      </w:tabs>
      <w:autoSpaceDE/>
      <w:autoSpaceDN/>
      <w:adjustRightInd/>
      <w:spacing w:line="360" w:lineRule="auto"/>
      <w:ind w:left="425" w:hanging="425"/>
    </w:pPr>
    <w:rPr>
      <w:rFonts w:hAnsi="等线 Light"/>
      <w:bCs/>
      <w:kern w:val="2"/>
      <w:szCs w:val="20"/>
    </w:rPr>
  </w:style>
  <w:style w:type="paragraph" w:customStyle="1" w:styleId="467">
    <w:name w:val="彩色底纹 - 着色 11"/>
    <w:qFormat/>
    <w:uiPriority w:val="0"/>
    <w:rPr>
      <w:rFonts w:ascii="等线 Light" w:hAnsi="Times New Roman" w:eastAsia="宋体" w:cs="Times New Roman"/>
      <w:sz w:val="24"/>
      <w:szCs w:val="24"/>
      <w:lang w:val="en-US" w:eastAsia="zh-CN" w:bidi="ar-SA"/>
    </w:rPr>
  </w:style>
  <w:style w:type="paragraph" w:customStyle="1" w:styleId="468">
    <w:name w:val="默认段落字体 Para Char Char Char Char Char Char Char Char Char1 Char Char Char Char Char Char Char"/>
    <w:basedOn w:val="19"/>
    <w:qFormat/>
    <w:uiPriority w:val="0"/>
    <w:pPr>
      <w:autoSpaceDE/>
      <w:autoSpaceDN/>
      <w:adjustRightInd/>
      <w:jc w:val="both"/>
    </w:pPr>
    <w:rPr>
      <w:rFonts w:ascii="Calibri" w:hAnsi="Calibri"/>
      <w:kern w:val="2"/>
    </w:rPr>
  </w:style>
  <w:style w:type="paragraph" w:customStyle="1" w:styleId="469">
    <w:name w:val="Char Char Char"/>
    <w:basedOn w:val="1"/>
    <w:qFormat/>
    <w:uiPriority w:val="0"/>
    <w:pPr>
      <w:autoSpaceDE/>
      <w:autoSpaceDN/>
      <w:adjustRightInd/>
      <w:jc w:val="both"/>
    </w:pPr>
    <w:rPr>
      <w:rFonts w:ascii="Calibri" w:hAnsi="Calibri"/>
      <w:kern w:val="2"/>
      <w:szCs w:val="20"/>
    </w:rPr>
  </w:style>
  <w:style w:type="paragraph" w:customStyle="1" w:styleId="470">
    <w:name w:val="Blockquote"/>
    <w:basedOn w:val="1"/>
    <w:qFormat/>
    <w:uiPriority w:val="0"/>
    <w:pPr>
      <w:spacing w:before="100" w:after="100"/>
      <w:ind w:left="360" w:right="360"/>
    </w:pPr>
    <w:rPr>
      <w:rFonts w:ascii="Arial Unicode MS" w:hAnsi="Arial Unicode MS"/>
      <w:szCs w:val="20"/>
    </w:rPr>
  </w:style>
  <w:style w:type="paragraph" w:customStyle="1" w:styleId="471">
    <w:name w:val="TOC 标题1"/>
    <w:basedOn w:val="4"/>
    <w:next w:val="1"/>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72">
    <w:name w:val="xl58"/>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等线 Light"/>
    </w:rPr>
  </w:style>
  <w:style w:type="paragraph" w:customStyle="1" w:styleId="473">
    <w:name w:val="_Style 3"/>
    <w:basedOn w:val="1"/>
    <w:qFormat/>
    <w:uiPriority w:val="34"/>
    <w:pPr>
      <w:ind w:firstLine="420" w:firstLineChars="200"/>
    </w:pPr>
    <w:rPr>
      <w:kern w:val="2"/>
      <w:sz w:val="21"/>
    </w:rPr>
  </w:style>
  <w:style w:type="paragraph" w:customStyle="1" w:styleId="474">
    <w:name w:val="xl22"/>
    <w:basedOn w:val="1"/>
    <w:qFormat/>
    <w:uiPriority w:val="0"/>
    <w:pPr>
      <w:widowControl/>
      <w:autoSpaceDE/>
      <w:autoSpaceDN/>
      <w:adjustRightInd/>
      <w:spacing w:before="100" w:beforeAutospacing="1" w:after="100" w:afterAutospacing="1"/>
    </w:pPr>
    <w:rPr>
      <w:rFonts w:ascii="微软雅黑" w:hAnsi="等线 Light" w:eastAsia="微软雅黑" w:cs="等线 Light"/>
    </w:rPr>
  </w:style>
  <w:style w:type="paragraph" w:customStyle="1" w:styleId="475">
    <w:name w:val="附录章标题"/>
    <w:next w:val="362"/>
    <w:qFormat/>
    <w:uiPriority w:val="0"/>
    <w:pPr>
      <w:numPr>
        <w:ilvl w:val="1"/>
        <w:numId w:val="4"/>
      </w:numPr>
      <w:tabs>
        <w:tab w:val="left" w:pos="1440"/>
      </w:tabs>
      <w:wordWrap w:val="0"/>
      <w:overflowPunct w:val="0"/>
      <w:autoSpaceDE w:val="0"/>
      <w:spacing w:beforeLines="50" w:afterLines="50"/>
      <w:jc w:val="both"/>
      <w:textAlignment w:val="baseline"/>
      <w:outlineLvl w:val="1"/>
    </w:pPr>
    <w:rPr>
      <w:rFonts w:ascii="PMingLiU" w:hAnsi="Arial Unicode MS" w:eastAsia="PMingLiU" w:cs="Times New Roman"/>
      <w:kern w:val="21"/>
      <w:sz w:val="21"/>
      <w:lang w:val="en-US" w:eastAsia="zh-CN" w:bidi="ar-SA"/>
    </w:rPr>
  </w:style>
  <w:style w:type="paragraph" w:customStyle="1" w:styleId="476">
    <w:name w:val="Char Char Char Char Char Char Char Char Char Char Char Char Char Char Char Char Char Char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77">
    <w:name w:val="注×："/>
    <w:qFormat/>
    <w:uiPriority w:val="0"/>
    <w:pPr>
      <w:widowControl w:val="0"/>
      <w:numPr>
        <w:ilvl w:val="0"/>
        <w:numId w:val="5"/>
      </w:numPr>
      <w:tabs>
        <w:tab w:val="left" w:pos="630"/>
        <w:tab w:val="left" w:pos="3444"/>
      </w:tabs>
      <w:autoSpaceDE w:val="0"/>
      <w:autoSpaceDN w:val="0"/>
      <w:jc w:val="both"/>
    </w:pPr>
    <w:rPr>
      <w:rFonts w:ascii="等线 Light" w:hAnsi="Arial Unicode MS" w:eastAsia="宋体" w:cs="Times New Roman"/>
      <w:sz w:val="18"/>
      <w:lang w:val="en-US" w:eastAsia="zh-CN" w:bidi="ar-SA"/>
    </w:rPr>
  </w:style>
  <w:style w:type="paragraph" w:customStyle="1" w:styleId="478">
    <w:name w:val="Level2Bullet"/>
    <w:basedOn w:val="1"/>
    <w:qFormat/>
    <w:uiPriority w:val="0"/>
    <w:pPr>
      <w:widowControl/>
      <w:numPr>
        <w:ilvl w:val="8"/>
        <w:numId w:val="6"/>
      </w:numPr>
      <w:tabs>
        <w:tab w:val="left" w:pos="3969"/>
        <w:tab w:val="left" w:pos="5954"/>
        <w:tab w:val="left" w:pos="7938"/>
      </w:tabs>
      <w:autoSpaceDE/>
      <w:autoSpaceDN/>
      <w:adjustRightInd/>
      <w:ind w:left="2268" w:hanging="283"/>
    </w:pPr>
    <w:rPr>
      <w:rFonts w:ascii="Cambria" w:hAnsi="Cambria"/>
      <w:sz w:val="20"/>
      <w:szCs w:val="20"/>
      <w:lang w:val="en-GB"/>
    </w:rPr>
  </w:style>
  <w:style w:type="paragraph" w:customStyle="1" w:styleId="479">
    <w:name w:val="2册标题1"/>
    <w:basedOn w:val="1"/>
    <w:next w:val="1"/>
    <w:qFormat/>
    <w:uiPriority w:val="0"/>
    <w:pPr>
      <w:autoSpaceDE/>
      <w:autoSpaceDN/>
      <w:adjustRightInd/>
      <w:spacing w:before="156" w:beforeLines="50" w:after="156" w:afterLines="50"/>
      <w:jc w:val="center"/>
      <w:outlineLvl w:val="0"/>
    </w:pPr>
    <w:rPr>
      <w:rFonts w:ascii="楷体_GB2312" w:hAnsi="楷体_GB2312" w:eastAsia="PMingLiU"/>
      <w:kern w:val="2"/>
      <w:sz w:val="32"/>
      <w:szCs w:val="32"/>
    </w:rPr>
  </w:style>
  <w:style w:type="paragraph" w:customStyle="1" w:styleId="480">
    <w:name w:val="Char Char Char Char Char Char Char Char Char Char Char Char Char Char Char Char Char Char Char Char Char Char Char Char Char Char Char Char Char Char Char Char Char"/>
    <w:basedOn w:val="1"/>
    <w:qFormat/>
    <w:uiPriority w:val="0"/>
    <w:pPr>
      <w:widowControl/>
      <w:autoSpaceDE/>
      <w:autoSpaceDN/>
      <w:adjustRightInd/>
      <w:spacing w:after="160" w:line="240" w:lineRule="exact"/>
    </w:pPr>
    <w:rPr>
      <w:rFonts w:ascii="Arial Unicode MS" w:hAnsi="Arial Unicode MS"/>
      <w:kern w:val="2"/>
    </w:rPr>
  </w:style>
  <w:style w:type="paragraph" w:customStyle="1" w:styleId="481">
    <w:name w:val="批注文字1"/>
    <w:basedOn w:val="1"/>
    <w:next w:val="21"/>
    <w:qFormat/>
    <w:uiPriority w:val="0"/>
    <w:pPr>
      <w:autoSpaceDE/>
      <w:autoSpaceDN/>
      <w:spacing w:line="360" w:lineRule="atLeast"/>
      <w:ind w:firstLine="480" w:firstLineChars="200"/>
      <w:textAlignment w:val="baseline"/>
    </w:pPr>
    <w:rPr>
      <w:rFonts w:ascii="Arial Unicode MS" w:hAnsi="Arial Unicode MS"/>
      <w:kern w:val="2"/>
      <w:szCs w:val="22"/>
    </w:rPr>
  </w:style>
  <w:style w:type="paragraph" w:customStyle="1" w:styleId="482">
    <w:name w:val="Table Text"/>
    <w:qFormat/>
    <w:uiPriority w:val="0"/>
    <w:pPr>
      <w:snapToGrid w:val="0"/>
      <w:spacing w:before="80" w:after="80"/>
      <w:ind w:left="51"/>
    </w:pPr>
    <w:rPr>
      <w:rFonts w:ascii="楷体_GB2312" w:hAnsi="楷体_GB2312" w:eastAsia="宋体" w:cs="Times New Roman"/>
      <w:sz w:val="21"/>
      <w:lang w:val="en-US" w:eastAsia="zh-CN" w:bidi="ar-SA"/>
    </w:rPr>
  </w:style>
  <w:style w:type="paragraph" w:customStyle="1" w:styleId="483">
    <w:name w:val="样式 标题 3头小节标题Heading 3 - oldh33rd levelH3l3CTLevel 3 Hea...1"/>
    <w:basedOn w:val="6"/>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484">
    <w:name w:val="表格文字居中"/>
    <w:basedOn w:val="137"/>
    <w:qFormat/>
    <w:uiPriority w:val="0"/>
    <w:pPr>
      <w:jc w:val="center"/>
    </w:pPr>
    <w:rPr>
      <w:rFonts w:cs="等线 Light"/>
      <w:szCs w:val="20"/>
    </w:rPr>
  </w:style>
  <w:style w:type="paragraph" w:customStyle="1" w:styleId="485">
    <w:name w:val="xl62"/>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486">
    <w:name w:val="TOC 标题2"/>
    <w:basedOn w:val="4"/>
    <w:next w:val="1"/>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87">
    <w:name w:val="xl35"/>
    <w:basedOn w:val="1"/>
    <w:qFormat/>
    <w:uiPriority w:val="0"/>
    <w:pPr>
      <w:widowControl/>
      <w:pBdr>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88">
    <w:name w:val="af0-TBL-BR-1-TBL-BR-1"/>
    <w:qFormat/>
    <w:uiPriority w:val="0"/>
    <w:pPr>
      <w:widowControl w:val="0"/>
      <w:ind w:left="100" w:leftChars="2500"/>
      <w:jc w:val="both"/>
    </w:pPr>
    <w:rPr>
      <w:rFonts w:ascii="Arial Unicode MS" w:hAnsi="Arial Unicode MS" w:eastAsia="Verdana" w:cs="Times New Roman"/>
      <w:kern w:val="2"/>
      <w:sz w:val="21"/>
      <w:szCs w:val="24"/>
      <w:lang w:val="en-US" w:eastAsia="zh-CN" w:bidi="ar-SA"/>
    </w:rPr>
  </w:style>
  <w:style w:type="paragraph" w:customStyle="1" w:styleId="489">
    <w:name w:val="Default Paragraph Font Para Char"/>
    <w:basedOn w:val="1"/>
    <w:qFormat/>
    <w:uiPriority w:val="0"/>
    <w:pPr>
      <w:widowControl/>
      <w:autoSpaceDE/>
      <w:autoSpaceDN/>
      <w:adjustRightInd/>
      <w:spacing w:after="160" w:line="240" w:lineRule="exact"/>
    </w:pPr>
    <w:rPr>
      <w:rFonts w:ascii="Arial Unicode MS" w:hAnsi="Arial Unicode MS"/>
      <w:kern w:val="2"/>
      <w:sz w:val="21"/>
    </w:rPr>
  </w:style>
  <w:style w:type="paragraph" w:customStyle="1" w:styleId="490">
    <w:name w:val="pa-3"/>
    <w:basedOn w:val="1"/>
    <w:qFormat/>
    <w:uiPriority w:val="0"/>
    <w:pPr>
      <w:widowControl/>
      <w:autoSpaceDE/>
      <w:autoSpaceDN/>
      <w:adjustRightInd/>
      <w:spacing w:line="360" w:lineRule="atLeast"/>
      <w:ind w:firstLine="640"/>
      <w:jc w:val="both"/>
    </w:pPr>
    <w:rPr>
      <w:rFonts w:hAnsi="等线 Light" w:cs="等线 Light"/>
    </w:rPr>
  </w:style>
  <w:style w:type="paragraph" w:customStyle="1" w:styleId="491">
    <w:name w:val="样式 左侧:  0 厘米 悬挂缩进: 2.5 字符"/>
    <w:basedOn w:val="1"/>
    <w:qFormat/>
    <w:uiPriority w:val="0"/>
    <w:pPr>
      <w:autoSpaceDE/>
      <w:autoSpaceDN/>
      <w:adjustRightInd/>
      <w:ind w:left="525" w:hanging="525" w:hangingChars="250"/>
      <w:jc w:val="both"/>
    </w:pPr>
    <w:rPr>
      <w:rFonts w:ascii="Arial Unicode MS" w:hAnsi="Arial Unicode MS"/>
      <w:kern w:val="2"/>
      <w:sz w:val="21"/>
      <w:szCs w:val="20"/>
    </w:rPr>
  </w:style>
  <w:style w:type="paragraph" w:customStyle="1" w:styleId="492">
    <w:name w:val="正文 + 仿宋_GB2312"/>
    <w:basedOn w:val="1"/>
    <w:qFormat/>
    <w:uiPriority w:val="99"/>
    <w:pPr>
      <w:tabs>
        <w:tab w:val="left" w:pos="-720"/>
      </w:tabs>
      <w:spacing w:line="360" w:lineRule="auto"/>
      <w:ind w:firstLine="620"/>
    </w:pPr>
    <w:rPr>
      <w:rFonts w:ascii="微软雅黑" w:hAnsi="等线 Light" w:cs="等线 Light"/>
      <w:bCs/>
      <w:sz w:val="31"/>
      <w:szCs w:val="31"/>
    </w:rPr>
  </w:style>
  <w:style w:type="paragraph" w:customStyle="1" w:styleId="493">
    <w:name w:val="默认段落字体 Para Char Char Char Char"/>
    <w:basedOn w:val="1"/>
    <w:qFormat/>
    <w:uiPriority w:val="0"/>
    <w:pPr>
      <w:keepNext/>
      <w:tabs>
        <w:tab w:val="left" w:pos="2940"/>
      </w:tabs>
      <w:ind w:hanging="420"/>
    </w:pPr>
    <w:rPr>
      <w:rFonts w:ascii="Arial Unicode MS" w:hAnsi="Arial Unicode MS"/>
      <w:sz w:val="20"/>
      <w:szCs w:val="20"/>
    </w:rPr>
  </w:style>
  <w:style w:type="paragraph" w:customStyle="1" w:styleId="494">
    <w:name w:val="xl56"/>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95">
    <w:name w:val="样式 标题 5 + 非加粗 自动设置"/>
    <w:basedOn w:val="8"/>
    <w:qFormat/>
    <w:uiPriority w:val="0"/>
    <w:pPr>
      <w:numPr>
        <w:ilvl w:val="4"/>
        <w:numId w:val="3"/>
      </w:numPr>
      <w:tabs>
        <w:tab w:val="left" w:pos="2100"/>
        <w:tab w:val="left" w:pos="2551"/>
      </w:tabs>
      <w:autoSpaceDE/>
      <w:autoSpaceDN/>
      <w:snapToGrid w:val="0"/>
      <w:spacing w:before="0" w:after="0" w:line="360" w:lineRule="auto"/>
      <w:jc w:val="both"/>
      <w:textAlignment w:val="baseline"/>
    </w:pPr>
    <w:rPr>
      <w:rFonts w:hAnsi="Arial Unicode MS"/>
      <w:b w:val="0"/>
      <w:bCs w:val="0"/>
      <w:kern w:val="2"/>
      <w:sz w:val="21"/>
      <w:szCs w:val="21"/>
    </w:rPr>
  </w:style>
  <w:style w:type="paragraph" w:customStyle="1" w:styleId="496">
    <w:name w:val="xl4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rPr>
  </w:style>
  <w:style w:type="paragraph" w:customStyle="1" w:styleId="497">
    <w:name w:val="xl46"/>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top"/>
    </w:pPr>
    <w:rPr>
      <w:rFonts w:hAnsi="等线 Light" w:eastAsia="等线 Light" w:cs="等线 Light"/>
      <w:sz w:val="20"/>
      <w:szCs w:val="20"/>
    </w:rPr>
  </w:style>
  <w:style w:type="paragraph" w:customStyle="1" w:styleId="498">
    <w:name w:val="方案标题3"/>
    <w:basedOn w:val="1"/>
    <w:next w:val="1"/>
    <w:qFormat/>
    <w:uiPriority w:val="0"/>
    <w:pPr>
      <w:keepLines/>
      <w:numPr>
        <w:ilvl w:val="2"/>
        <w:numId w:val="7"/>
      </w:numPr>
      <w:tabs>
        <w:tab w:val="left" w:pos="360"/>
        <w:tab w:val="left" w:pos="1200"/>
        <w:tab w:val="left" w:pos="2160"/>
        <w:tab w:val="left" w:pos="3300"/>
      </w:tabs>
      <w:autoSpaceDE/>
      <w:autoSpaceDN/>
      <w:spacing w:before="200" w:after="40"/>
      <w:jc w:val="both"/>
      <w:outlineLvl w:val="2"/>
    </w:pPr>
    <w:rPr>
      <w:rFonts w:ascii="楷体_GB2312" w:hAnsi="楷体_GB2312" w:eastAsia="PMingLiU"/>
      <w:spacing w:val="14"/>
      <w:sz w:val="28"/>
      <w:szCs w:val="20"/>
    </w:rPr>
  </w:style>
  <w:style w:type="paragraph" w:customStyle="1" w:styleId="499">
    <w:name w:val="3"/>
    <w:basedOn w:val="1"/>
    <w:next w:val="500"/>
    <w:qFormat/>
    <w:uiPriority w:val="34"/>
    <w:pPr>
      <w:autoSpaceDE/>
      <w:autoSpaceDN/>
      <w:adjustRightInd/>
      <w:ind w:firstLine="420" w:firstLineChars="200"/>
      <w:jc w:val="both"/>
    </w:pPr>
    <w:rPr>
      <w:rFonts w:ascii="Arial Unicode MS" w:hAnsi="Arial Unicode MS"/>
      <w:kern w:val="2"/>
      <w:sz w:val="21"/>
      <w:szCs w:val="22"/>
    </w:rPr>
  </w:style>
  <w:style w:type="paragraph" w:styleId="500">
    <w:name w:val="List Paragraph"/>
    <w:basedOn w:val="1"/>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01">
    <w:name w:val="Char Char Char Char Char Char1 Char Char Char Char Char Char Char Char Char Char Char Char Char Char Char Char Char Char Char Char Char Char Char Char Char Char Char Char Char Char Char Char Char Char"/>
    <w:basedOn w:val="1"/>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2">
    <w:name w:val="affa-TBL-BR-1"/>
    <w:qFormat/>
    <w:uiPriority w:val="0"/>
    <w:pPr>
      <w:spacing w:line="480" w:lineRule="auto"/>
    </w:pPr>
    <w:rPr>
      <w:rFonts w:ascii="等线 Light" w:hAnsi="等线 Light" w:eastAsia="Courier New" w:cs="Times New Roman"/>
      <w:sz w:val="24"/>
      <w:lang w:val="en-US" w:eastAsia="zh-CN" w:bidi="ar-SA"/>
    </w:rPr>
  </w:style>
  <w:style w:type="paragraph" w:customStyle="1" w:styleId="503">
    <w:name w:val="样式 四号 红色 行距: 1.5 倍行距"/>
    <w:basedOn w:val="1"/>
    <w:qFormat/>
    <w:uiPriority w:val="0"/>
    <w:pPr>
      <w:autoSpaceDE/>
      <w:autoSpaceDN/>
      <w:snapToGrid w:val="0"/>
      <w:spacing w:line="360" w:lineRule="auto"/>
      <w:jc w:val="both"/>
    </w:pPr>
    <w:rPr>
      <w:rFonts w:ascii="Arial Unicode MS" w:hAnsi="Arial Unicode MS" w:cs="等线 Light"/>
      <w:color w:val="FF0000"/>
      <w:kern w:val="2"/>
      <w:sz w:val="28"/>
      <w:szCs w:val="20"/>
    </w:rPr>
  </w:style>
  <w:style w:type="paragraph" w:customStyle="1" w:styleId="504">
    <w:name w:val="样式 标题 2节H2Heading 2 HiddenHeading 2 CCBSheading 2h2节名正文二...1"/>
    <w:basedOn w:val="5"/>
    <w:qFormat/>
    <w:uiPriority w:val="0"/>
    <w:pPr>
      <w:keepNext/>
      <w:keepLines/>
      <w:autoSpaceDE/>
      <w:autoSpaceDN/>
      <w:adjustRightInd/>
      <w:spacing w:line="360" w:lineRule="auto"/>
      <w:jc w:val="both"/>
    </w:pPr>
    <w:rPr>
      <w:rFonts w:hAnsi="等线 Light"/>
      <w:bCs/>
      <w:caps/>
      <w:kern w:val="2"/>
      <w:szCs w:val="32"/>
    </w:rPr>
  </w:style>
  <w:style w:type="paragraph" w:customStyle="1" w:styleId="505">
    <w:name w:val="样式 目录 2 + 首行缩进:  2 字符"/>
    <w:basedOn w:val="47"/>
    <w:qFormat/>
    <w:uiPriority w:val="0"/>
    <w:pPr>
      <w:tabs>
        <w:tab w:val="right" w:leader="dot" w:pos="9072"/>
      </w:tabs>
      <w:autoSpaceDE/>
      <w:autoSpaceDN/>
      <w:snapToGrid w:val="0"/>
      <w:spacing w:line="360" w:lineRule="auto"/>
      <w:ind w:left="238" w:right="281" w:rightChars="134" w:firstLine="200" w:firstLineChars="200"/>
    </w:pPr>
    <w:rPr>
      <w:rFonts w:cs="等线 Light"/>
      <w:kern w:val="2"/>
    </w:rPr>
  </w:style>
  <w:style w:type="paragraph" w:customStyle="1" w:styleId="506">
    <w:name w:val="Char4"/>
    <w:basedOn w:val="1"/>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7">
    <w:name w:val="xl4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微软雅黑" w:hAnsi="等线 Light" w:eastAsia="微软雅黑"/>
      <w:sz w:val="32"/>
      <w:szCs w:val="32"/>
    </w:rPr>
  </w:style>
  <w:style w:type="paragraph" w:customStyle="1" w:styleId="508">
    <w:name w:val="基准标题"/>
    <w:basedOn w:val="2"/>
    <w:next w:val="2"/>
    <w:qFormat/>
    <w:uiPriority w:val="0"/>
    <w:pPr>
      <w:keepNext/>
      <w:keepLines/>
      <w:widowControl/>
      <w:autoSpaceDE/>
      <w:autoSpaceDN/>
      <w:adjustRightInd/>
      <w:spacing w:line="240" w:lineRule="atLeast"/>
      <w:ind w:right="0"/>
      <w:jc w:val="left"/>
    </w:pPr>
    <w:rPr>
      <w:rFonts w:ascii="仿宋_GB2312" w:hAnsi="仿宋_GB2312"/>
      <w:b w:val="0"/>
      <w:bCs w:val="0"/>
      <w:spacing w:val="-5"/>
      <w:kern w:val="20"/>
      <w:sz w:val="24"/>
      <w:szCs w:val="20"/>
      <w:lang w:val="en-US"/>
    </w:rPr>
  </w:style>
  <w:style w:type="paragraph" w:customStyle="1" w:styleId="509">
    <w:name w:val="a)"/>
    <w:basedOn w:val="1"/>
    <w:qFormat/>
    <w:uiPriority w:val="0"/>
    <w:pPr>
      <w:autoSpaceDE/>
      <w:autoSpaceDN/>
      <w:adjustRightInd/>
      <w:spacing w:line="264" w:lineRule="auto"/>
      <w:jc w:val="both"/>
    </w:pPr>
    <w:rPr>
      <w:rFonts w:ascii="Arial Unicode MS" w:hAnsi="Arial Unicode MS"/>
      <w:kern w:val="2"/>
    </w:rPr>
  </w:style>
  <w:style w:type="paragraph" w:customStyle="1" w:styleId="510">
    <w:name w:val="版本说明标题"/>
    <w:basedOn w:val="1"/>
    <w:qFormat/>
    <w:uiPriority w:val="0"/>
    <w:pPr>
      <w:autoSpaceDE/>
      <w:autoSpaceDN/>
      <w:snapToGrid w:val="0"/>
      <w:spacing w:beforeLines="50" w:afterLines="50"/>
      <w:ind w:firstLine="560"/>
      <w:jc w:val="center"/>
      <w:textAlignment w:val="baseline"/>
    </w:pPr>
    <w:rPr>
      <w:rFonts w:ascii="幼圆" w:eastAsia="微软雅黑"/>
      <w:b/>
      <w:color w:val="000000"/>
      <w:kern w:val="2"/>
      <w:sz w:val="28"/>
      <w:szCs w:val="28"/>
    </w:rPr>
  </w:style>
  <w:style w:type="paragraph" w:customStyle="1" w:styleId="511">
    <w:name w:val="1."/>
    <w:basedOn w:val="1"/>
    <w:qFormat/>
    <w:uiPriority w:val="0"/>
    <w:pPr>
      <w:widowControl/>
      <w:tabs>
        <w:tab w:val="left" w:pos="1134"/>
      </w:tabs>
      <w:autoSpaceDE/>
      <w:autoSpaceDN/>
      <w:adjustRightInd/>
      <w:spacing w:before="240" w:line="240" w:lineRule="atLeast"/>
      <w:ind w:left="1134" w:hanging="454"/>
      <w:jc w:val="both"/>
    </w:pPr>
    <w:rPr>
      <w:rFonts w:ascii="Arial Unicode MS" w:hAnsi="Arial Unicode MS"/>
      <w:kern w:val="2"/>
    </w:rPr>
  </w:style>
  <w:style w:type="paragraph" w:customStyle="1" w:styleId="512">
    <w:name w:val="样式 标题 2节H2Heading 2 HiddenHeading 2 CCBSheading 2h2节名正文二..."/>
    <w:basedOn w:val="5"/>
    <w:qFormat/>
    <w:uiPriority w:val="0"/>
    <w:pPr>
      <w:keepNext/>
      <w:keepLines/>
      <w:autoSpaceDE/>
      <w:autoSpaceDN/>
      <w:adjustRightInd/>
      <w:spacing w:line="360" w:lineRule="auto"/>
      <w:ind w:firstLine="200" w:firstLineChars="200"/>
      <w:jc w:val="both"/>
    </w:pPr>
    <w:rPr>
      <w:rFonts w:ascii="幼圆" w:cs="等线 Light"/>
      <w:bCs/>
      <w:caps/>
      <w:kern w:val="2"/>
      <w:sz w:val="28"/>
      <w:szCs w:val="20"/>
    </w:rPr>
  </w:style>
  <w:style w:type="paragraph" w:customStyle="1" w:styleId="513">
    <w:name w:val="xl51"/>
    <w:basedOn w:val="1"/>
    <w:qFormat/>
    <w:uiPriority w:val="0"/>
    <w:pPr>
      <w:widowControl/>
      <w:pBdr>
        <w:bottom w:val="single" w:color="auto" w:sz="4" w:space="0"/>
        <w:right w:val="single" w:color="auto" w:sz="4" w:space="0"/>
      </w:pBdr>
      <w:autoSpaceDE/>
      <w:autoSpaceDN/>
      <w:adjustRightInd/>
      <w:spacing w:before="100" w:beforeAutospacing="1" w:after="100" w:afterAutospacing="1"/>
      <w:jc w:val="both"/>
      <w:textAlignment w:val="center"/>
    </w:pPr>
    <w:rPr>
      <w:rFonts w:ascii="楷体_GB2312" w:hAnsi="楷体_GB2312" w:eastAsia="等线 Light" w:cs="楷体_GB2312"/>
      <w:sz w:val="21"/>
      <w:szCs w:val="21"/>
    </w:rPr>
  </w:style>
  <w:style w:type="paragraph" w:customStyle="1" w:styleId="514">
    <w:name w:val="样式 标题 3H3l3CTh33rd levelLevel 3 HeadHeading 3 - oldISO2..."/>
    <w:basedOn w:val="6"/>
    <w:qFormat/>
    <w:uiPriority w:val="0"/>
    <w:pPr>
      <w:autoSpaceDE/>
      <w:autoSpaceDN/>
      <w:adjustRightInd/>
      <w:spacing w:line="360" w:lineRule="auto"/>
      <w:ind w:left="737" w:hanging="539"/>
      <w:jc w:val="both"/>
    </w:pPr>
    <w:rPr>
      <w:rFonts w:hAnsi="等线 Light"/>
      <w:b/>
      <w:kern w:val="2"/>
      <w:szCs w:val="20"/>
    </w:rPr>
  </w:style>
  <w:style w:type="paragraph" w:customStyle="1" w:styleId="515">
    <w:name w:val="需求书2"/>
    <w:basedOn w:val="1"/>
    <w:qFormat/>
    <w:uiPriority w:val="0"/>
    <w:pPr>
      <w:tabs>
        <w:tab w:val="left" w:pos="630"/>
      </w:tabs>
      <w:autoSpaceDE/>
      <w:autoSpaceDN/>
      <w:adjustRightInd/>
      <w:spacing w:line="360" w:lineRule="auto"/>
      <w:jc w:val="both"/>
    </w:pPr>
    <w:rPr>
      <w:rFonts w:hAnsi="Arial Unicode MS"/>
      <w:b/>
      <w:kern w:val="2"/>
    </w:rPr>
  </w:style>
  <w:style w:type="paragraph" w:customStyle="1" w:styleId="516">
    <w:name w:val="r3"/>
    <w:basedOn w:val="1"/>
    <w:qFormat/>
    <w:uiPriority w:val="0"/>
    <w:pPr>
      <w:autoSpaceDE/>
      <w:autoSpaceDN/>
      <w:spacing w:line="360" w:lineRule="atLeast"/>
      <w:jc w:val="both"/>
      <w:textAlignment w:val="baseline"/>
    </w:pPr>
    <w:rPr>
      <w:rFonts w:hAnsi="楷体_GB2312"/>
      <w:sz w:val="28"/>
      <w:szCs w:val="20"/>
    </w:rPr>
  </w:style>
  <w:style w:type="paragraph" w:customStyle="1" w:styleId="517">
    <w:name w:val="ÆÕÍ¨"/>
    <w:basedOn w:val="1"/>
    <w:qFormat/>
    <w:uiPriority w:val="0"/>
    <w:pPr>
      <w:widowControl/>
      <w:tabs>
        <w:tab w:val="left" w:pos="1276"/>
      </w:tabs>
      <w:overflowPunct w:val="0"/>
      <w:ind w:left="851"/>
      <w:textAlignment w:val="baseline"/>
    </w:pPr>
    <w:rPr>
      <w:rFonts w:ascii="楷体_GB2312" w:hAnsi="楷体_GB2312"/>
      <w:b/>
      <w:kern w:val="16"/>
      <w:sz w:val="20"/>
      <w:szCs w:val="20"/>
      <w:lang w:val="fr-FR"/>
    </w:rPr>
  </w:style>
  <w:style w:type="paragraph" w:customStyle="1" w:styleId="518">
    <w:name w:val="Normal1"/>
    <w:qFormat/>
    <w:uiPriority w:val="0"/>
    <w:pPr>
      <w:widowControl w:val="0"/>
      <w:adjustRightInd w:val="0"/>
      <w:spacing w:line="315" w:lineRule="atLeast"/>
      <w:jc w:val="both"/>
      <w:textAlignment w:val="baseline"/>
    </w:pPr>
    <w:rPr>
      <w:rFonts w:ascii="等线 Light" w:hAnsi="Arial Unicode MS" w:eastAsia="宋体" w:cs="Times New Roman"/>
      <w:sz w:val="21"/>
      <w:lang w:val="en-US" w:eastAsia="zh-CN" w:bidi="ar-SA"/>
    </w:rPr>
  </w:style>
  <w:style w:type="paragraph" w:customStyle="1" w:styleId="519">
    <w:name w:val="样式 首行缩进:  1.02 厘米"/>
    <w:basedOn w:val="1"/>
    <w:qFormat/>
    <w:uiPriority w:val="0"/>
    <w:pPr>
      <w:autoSpaceDE/>
      <w:autoSpaceDN/>
      <w:snapToGrid w:val="0"/>
      <w:spacing w:line="360" w:lineRule="auto"/>
      <w:ind w:firstLine="576"/>
    </w:pPr>
    <w:rPr>
      <w:rFonts w:ascii="Arial Unicode MS" w:hAnsi="Arial Unicode MS" w:cs="等线 Light"/>
      <w:szCs w:val="20"/>
    </w:rPr>
  </w:style>
  <w:style w:type="paragraph" w:customStyle="1" w:styleId="520">
    <w:name w:val="m1"/>
    <w:basedOn w:val="1"/>
    <w:qFormat/>
    <w:uiPriority w:val="0"/>
    <w:pPr>
      <w:autoSpaceDE/>
      <w:autoSpaceDN/>
      <w:snapToGrid w:val="0"/>
      <w:spacing w:line="320" w:lineRule="atLeast"/>
      <w:textAlignment w:val="bottom"/>
    </w:pPr>
    <w:rPr>
      <w:rFonts w:ascii="Arial Unicode MS" w:hAnsi="Arial Unicode MS" w:eastAsia="_x001A_"/>
      <w:sz w:val="28"/>
      <w:szCs w:val="20"/>
    </w:rPr>
  </w:style>
  <w:style w:type="paragraph" w:customStyle="1" w:styleId="521">
    <w:name w:val="xl61"/>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522">
    <w:name w:val="正文(一卡通)"/>
    <w:qFormat/>
    <w:uiPriority w:val="0"/>
    <w:pPr>
      <w:spacing w:line="360" w:lineRule="auto"/>
      <w:ind w:left="108" w:firstLine="482"/>
      <w:jc w:val="both"/>
    </w:pPr>
    <w:rPr>
      <w:rFonts w:ascii="Arial Unicode MS" w:hAnsi="Arial Unicode MS" w:eastAsia="宋体" w:cs="Times New Roman"/>
      <w:kern w:val="2"/>
      <w:sz w:val="24"/>
      <w:lang w:val="en-US" w:eastAsia="zh-CN" w:bidi="ar-SA"/>
    </w:rPr>
  </w:style>
  <w:style w:type="paragraph" w:customStyle="1" w:styleId="523">
    <w:name w:val="规2"/>
    <w:basedOn w:val="1"/>
    <w:qFormat/>
    <w:uiPriority w:val="0"/>
    <w:pPr>
      <w:autoSpaceDE/>
      <w:autoSpaceDN/>
      <w:adjustRightInd/>
      <w:jc w:val="both"/>
      <w:outlineLvl w:val="1"/>
    </w:pPr>
    <w:rPr>
      <w:rFonts w:ascii="Arial Unicode MS" w:hAnsi="Arial Unicode MS" w:eastAsia="PMingLiU" w:cs="幼圆"/>
      <w:kern w:val="2"/>
      <w:sz w:val="28"/>
      <w:szCs w:val="28"/>
    </w:rPr>
  </w:style>
  <w:style w:type="paragraph" w:customStyle="1" w:styleId="524">
    <w:name w:val="招标文件－表格用正文"/>
    <w:basedOn w:val="1"/>
    <w:qFormat/>
    <w:uiPriority w:val="0"/>
    <w:pPr>
      <w:autoSpaceDE/>
      <w:autoSpaceDN/>
      <w:adjustRightInd/>
      <w:spacing w:before="156" w:beforeLines="50" w:after="156" w:afterLines="50"/>
      <w:jc w:val="both"/>
    </w:pPr>
    <w:rPr>
      <w:rFonts w:hAnsi="Helv"/>
      <w:snapToGrid w:val="0"/>
      <w:color w:val="000000"/>
      <w:kern w:val="2"/>
      <w:szCs w:val="20"/>
    </w:rPr>
  </w:style>
  <w:style w:type="paragraph" w:customStyle="1" w:styleId="525">
    <w:name w:val="项目编号1"/>
    <w:basedOn w:val="16"/>
    <w:qFormat/>
    <w:uiPriority w:val="0"/>
    <w:pPr>
      <w:widowControl w:val="0"/>
      <w:numPr>
        <w:ilvl w:val="0"/>
        <w:numId w:val="8"/>
      </w:numPr>
      <w:tabs>
        <w:tab w:val="left" w:pos="851"/>
        <w:tab w:val="left" w:pos="964"/>
      </w:tabs>
      <w:spacing w:line="360" w:lineRule="auto"/>
      <w:ind w:firstLine="0" w:firstLineChars="0"/>
    </w:pPr>
    <w:rPr>
      <w:rFonts w:ascii="Arial Unicode MS" w:hAnsi="Arial Unicode MS"/>
      <w:snapToGrid w:val="0"/>
      <w:kern w:val="21"/>
      <w:sz w:val="21"/>
      <w:szCs w:val="21"/>
    </w:rPr>
  </w:style>
  <w:style w:type="paragraph" w:customStyle="1" w:styleId="526">
    <w:name w:val="偶数页篇眉"/>
    <w:basedOn w:val="40"/>
    <w:qFormat/>
    <w:uiPriority w:val="0"/>
    <w:pPr>
      <w:keepLines/>
      <w:pBdr>
        <w:bottom w:val="none" w:color="auto" w:sz="0" w:space="0"/>
      </w:pBdr>
      <w:tabs>
        <w:tab w:val="right" w:pos="0"/>
        <w:tab w:val="center" w:pos="7200"/>
        <w:tab w:val="right" w:pos="14400"/>
        <w:tab w:val="clear" w:pos="4153"/>
        <w:tab w:val="clear" w:pos="8306"/>
      </w:tabs>
      <w:autoSpaceDE/>
      <w:autoSpaceDN/>
      <w:adjustRightInd/>
      <w:snapToGrid/>
      <w:jc w:val="right"/>
    </w:pPr>
    <w:rPr>
      <w:rFonts w:ascii="Arial Unicode MS" w:hAnsi="Arial Unicode MS"/>
      <w:spacing w:val="80"/>
      <w:kern w:val="2"/>
      <w:sz w:val="21"/>
      <w:szCs w:val="24"/>
    </w:rPr>
  </w:style>
  <w:style w:type="paragraph" w:customStyle="1" w:styleId="527">
    <w:name w:val="样式 正文缩进 + 首行缩进:  2 字符"/>
    <w:basedOn w:val="16"/>
    <w:qFormat/>
    <w:uiPriority w:val="0"/>
    <w:pPr>
      <w:widowControl w:val="0"/>
      <w:spacing w:line="360" w:lineRule="auto"/>
      <w:ind w:firstLine="480"/>
      <w:jc w:val="both"/>
    </w:pPr>
    <w:rPr>
      <w:rFonts w:ascii="Arial Unicode MS" w:hAnsi="Arial Unicode MS"/>
      <w:kern w:val="2"/>
      <w:sz w:val="24"/>
    </w:rPr>
  </w:style>
  <w:style w:type="paragraph" w:customStyle="1" w:styleId="528">
    <w:name w:val="Char Char Char Char Char Char Char Char Char Char Char Char Char Char Char Char Char Char Char Char Char Char1"/>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29">
    <w:name w:val="普通(Web)111"/>
    <w:basedOn w:val="1"/>
    <w:next w:val="51"/>
    <w:qFormat/>
    <w:uiPriority w:val="0"/>
    <w:pPr>
      <w:autoSpaceDE/>
      <w:autoSpaceDN/>
      <w:adjustRightInd/>
      <w:jc w:val="both"/>
    </w:pPr>
    <w:rPr>
      <w:rFonts w:ascii="Arial Unicode MS" w:hAnsi="Arial Unicode MS"/>
      <w:kern w:val="2"/>
    </w:rPr>
  </w:style>
  <w:style w:type="paragraph" w:customStyle="1" w:styleId="530">
    <w:name w:val="A- Arial.9 Normal"/>
    <w:qFormat/>
    <w:uiPriority w:val="0"/>
    <w:pPr>
      <w:widowControl w:val="0"/>
      <w:spacing w:line="220" w:lineRule="exact"/>
      <w:ind w:left="3572"/>
    </w:pPr>
    <w:rPr>
      <w:rFonts w:ascii="楷体_GB2312" w:hAnsi="楷体_GB2312" w:eastAsia="宋体" w:cs="Times New Roman"/>
      <w:color w:val="000000"/>
      <w:sz w:val="18"/>
      <w:lang w:val="fr-FR" w:eastAsia="zh-CN" w:bidi="ar-SA"/>
    </w:rPr>
  </w:style>
  <w:style w:type="paragraph" w:customStyle="1" w:styleId="531">
    <w:name w:val="Char Char1"/>
    <w:basedOn w:val="1"/>
    <w:qFormat/>
    <w:uiPriority w:val="0"/>
    <w:pPr>
      <w:autoSpaceDE/>
      <w:autoSpaceDN/>
      <w:adjustRightInd/>
      <w:jc w:val="both"/>
    </w:pPr>
    <w:rPr>
      <w:rFonts w:ascii="Calibri" w:hAnsi="Calibri"/>
      <w:kern w:val="2"/>
      <w:szCs w:val="20"/>
    </w:rPr>
  </w:style>
  <w:style w:type="paragraph" w:customStyle="1" w:styleId="532">
    <w:name w:val="(1)"/>
    <w:basedOn w:val="1"/>
    <w:qFormat/>
    <w:uiPriority w:val="0"/>
    <w:pPr>
      <w:widowControl/>
      <w:tabs>
        <w:tab w:val="left" w:pos="2608"/>
      </w:tabs>
      <w:overflowPunct w:val="0"/>
      <w:spacing w:before="120" w:after="120" w:line="264" w:lineRule="auto"/>
      <w:ind w:left="2608" w:hanging="567"/>
      <w:jc w:val="both"/>
      <w:textAlignment w:val="baseline"/>
    </w:pPr>
    <w:rPr>
      <w:rFonts w:ascii="Arial Unicode MS" w:hAnsi="Arial Unicode MS"/>
      <w:sz w:val="22"/>
      <w:szCs w:val="22"/>
    </w:rPr>
  </w:style>
  <w:style w:type="paragraph" w:customStyle="1" w:styleId="533">
    <w:name w:val="2册标题2"/>
    <w:basedOn w:val="1"/>
    <w:next w:val="1"/>
    <w:qFormat/>
    <w:uiPriority w:val="0"/>
    <w:pPr>
      <w:tabs>
        <w:tab w:val="left" w:pos="900"/>
        <w:tab w:val="left" w:pos="1410"/>
      </w:tabs>
      <w:autoSpaceDE/>
      <w:autoSpaceDN/>
      <w:adjustRightInd/>
      <w:spacing w:before="156" w:beforeLines="50" w:after="156" w:afterLines="50"/>
      <w:ind w:left="1410" w:hanging="510"/>
      <w:jc w:val="both"/>
      <w:outlineLvl w:val="1"/>
    </w:pPr>
    <w:rPr>
      <w:rFonts w:ascii="楷体_GB2312" w:hAnsi="楷体_GB2312" w:eastAsia="PMingLiU"/>
      <w:kern w:val="2"/>
      <w:sz w:val="30"/>
      <w:szCs w:val="30"/>
    </w:rPr>
  </w:style>
  <w:style w:type="paragraph" w:customStyle="1" w:styleId="534">
    <w:name w:val="WPSOffice手动目录 1"/>
    <w:qFormat/>
    <w:uiPriority w:val="0"/>
    <w:rPr>
      <w:rFonts w:ascii="Times New Roman" w:hAnsi="Times New Roman" w:eastAsia="宋体" w:cs="Times New Roman"/>
      <w:lang w:val="en-US" w:eastAsia="zh-CN" w:bidi="ar-SA"/>
    </w:rPr>
  </w:style>
  <w:style w:type="paragraph" w:customStyle="1" w:styleId="535">
    <w:name w:val="_Style 349"/>
    <w:next w:val="1"/>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36">
    <w:name w:val="F00"/>
    <w:basedOn w:val="1"/>
    <w:qFormat/>
    <w:uiPriority w:val="0"/>
    <w:pPr>
      <w:autoSpaceDE/>
      <w:autoSpaceDN/>
      <w:adjustRightInd/>
      <w:spacing w:before="50" w:after="50" w:line="0" w:lineRule="atLeast"/>
      <w:ind w:firstLine="200"/>
      <w:jc w:val="both"/>
    </w:pPr>
    <w:rPr>
      <w:rFonts w:ascii="Arial Unicode MS" w:hAnsi="Arial Unicode MS" w:eastAsia="微软雅黑"/>
      <w:kern w:val="24"/>
      <w:sz w:val="28"/>
    </w:rPr>
  </w:style>
  <w:style w:type="paragraph" w:customStyle="1" w:styleId="537">
    <w:name w:val="默认段落字体 Para Char Char Char Char Char Char Char Char Char Char"/>
    <w:basedOn w:val="1"/>
    <w:qFormat/>
    <w:uiPriority w:val="0"/>
    <w:pPr>
      <w:autoSpaceDE/>
      <w:autoSpaceDN/>
      <w:adjustRightInd/>
      <w:jc w:val="both"/>
    </w:pPr>
    <w:rPr>
      <w:rFonts w:ascii="Calibri" w:hAnsi="Calibri"/>
      <w:kern w:val="2"/>
      <w:szCs w:val="20"/>
    </w:rPr>
  </w:style>
  <w:style w:type="paragraph" w:customStyle="1" w:styleId="538">
    <w:name w:val="font5"/>
    <w:basedOn w:val="1"/>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539">
    <w:name w:val="xl32"/>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40">
    <w:name w:val="font0"/>
    <w:basedOn w:val="1"/>
    <w:qFormat/>
    <w:uiPriority w:val="0"/>
    <w:pPr>
      <w:widowControl/>
      <w:autoSpaceDE/>
      <w:autoSpaceDN/>
      <w:adjustRightInd/>
      <w:spacing w:before="100" w:beforeAutospacing="1" w:after="100" w:afterAutospacing="1"/>
    </w:pPr>
    <w:rPr>
      <w:rFonts w:hint="eastAsia" w:hAnsi="等线 Light"/>
    </w:rPr>
  </w:style>
  <w:style w:type="paragraph" w:customStyle="1" w:styleId="541">
    <w:name w:val="l_text"/>
    <w:basedOn w:val="1"/>
    <w:qFormat/>
    <w:uiPriority w:val="0"/>
    <w:pPr>
      <w:widowControl/>
      <w:overflowPunct w:val="0"/>
      <w:spacing w:before="120" w:after="120" w:line="360" w:lineRule="auto"/>
      <w:ind w:firstLine="561"/>
      <w:jc w:val="both"/>
      <w:textAlignment w:val="baseline"/>
    </w:pPr>
    <w:rPr>
      <w:rFonts w:ascii="Arial Unicode MS" w:hAnsi="Arial Unicode MS"/>
      <w:kern w:val="28"/>
      <w:sz w:val="28"/>
    </w:rPr>
  </w:style>
  <w:style w:type="paragraph" w:customStyle="1" w:styleId="542">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等线 Light"/>
    </w:rPr>
  </w:style>
  <w:style w:type="paragraph" w:customStyle="1" w:styleId="543">
    <w:name w:val="af0-TBL-BR-1"/>
    <w:qFormat/>
    <w:uiPriority w:val="0"/>
    <w:pPr>
      <w:widowControl w:val="0"/>
      <w:ind w:left="100" w:leftChars="2500"/>
      <w:jc w:val="both"/>
    </w:pPr>
    <w:rPr>
      <w:rFonts w:ascii="Arial Unicode MS" w:hAnsi="Arial Unicode MS" w:eastAsia="Courier New" w:cs="Times New Roman"/>
      <w:kern w:val="2"/>
      <w:sz w:val="21"/>
      <w:szCs w:val="24"/>
      <w:lang w:val="en-US" w:eastAsia="zh-CN" w:bidi="ar-SA"/>
    </w:rPr>
  </w:style>
  <w:style w:type="paragraph" w:customStyle="1" w:styleId="544">
    <w:name w:val="首航缩进 Char"/>
    <w:basedOn w:val="1"/>
    <w:qFormat/>
    <w:uiPriority w:val="0"/>
    <w:pPr>
      <w:autoSpaceDE/>
      <w:autoSpaceDN/>
      <w:adjustRightInd/>
      <w:spacing w:line="300" w:lineRule="auto"/>
      <w:ind w:firstLine="480" w:firstLineChars="200"/>
      <w:jc w:val="both"/>
    </w:pPr>
    <w:rPr>
      <w:rFonts w:ascii="Arial Unicode MS" w:hAnsi="Arial Unicode MS" w:eastAsia="微软雅黑"/>
      <w:color w:val="000000"/>
      <w:kern w:val="2"/>
    </w:rPr>
  </w:style>
  <w:style w:type="paragraph" w:customStyle="1" w:styleId="545">
    <w:name w:val="xl102"/>
    <w:basedOn w:val="1"/>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546">
    <w:name w:val="正文文本缩进1"/>
    <w:basedOn w:val="1"/>
    <w:next w:val="24"/>
    <w:qFormat/>
    <w:uiPriority w:val="0"/>
    <w:pPr>
      <w:autoSpaceDE/>
      <w:autoSpaceDN/>
      <w:adjustRightInd/>
      <w:spacing w:line="400" w:lineRule="atLeast"/>
      <w:ind w:firstLine="432"/>
      <w:jc w:val="both"/>
    </w:pPr>
    <w:rPr>
      <w:rFonts w:ascii="Arial Unicode MS" w:hAnsi="Arial Unicode MS" w:eastAsia="ˎ̥"/>
      <w:kern w:val="2"/>
    </w:rPr>
  </w:style>
  <w:style w:type="paragraph" w:styleId="54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8">
    <w:name w:val="通用2"/>
    <w:basedOn w:val="1"/>
    <w:qFormat/>
    <w:uiPriority w:val="0"/>
    <w:pPr>
      <w:tabs>
        <w:tab w:val="left" w:pos="1391"/>
      </w:tabs>
      <w:autoSpaceDE/>
      <w:autoSpaceDN/>
      <w:adjustRightInd/>
      <w:spacing w:beforeLines="50" w:line="360" w:lineRule="auto"/>
      <w:ind w:left="1391" w:hanging="851"/>
      <w:jc w:val="both"/>
    </w:pPr>
    <w:rPr>
      <w:rFonts w:hAnsi="Arial Unicode MS"/>
      <w:kern w:val="2"/>
      <w:sz w:val="21"/>
      <w:szCs w:val="20"/>
    </w:rPr>
  </w:style>
  <w:style w:type="paragraph" w:customStyle="1" w:styleId="549">
    <w:name w:val="xl37"/>
    <w:basedOn w:val="1"/>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50">
    <w:name w:val="列表段落1"/>
    <w:basedOn w:val="1"/>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551">
    <w:name w:val="样式1"/>
    <w:basedOn w:val="1"/>
    <w:qFormat/>
    <w:uiPriority w:val="0"/>
    <w:pPr>
      <w:autoSpaceDE/>
      <w:autoSpaceDN/>
      <w:adjustRightInd/>
      <w:spacing w:before="120" w:after="120" w:line="300" w:lineRule="auto"/>
      <w:jc w:val="both"/>
    </w:pPr>
    <w:rPr>
      <w:rFonts w:hAnsi="等线 Light"/>
      <w:b/>
      <w:kern w:val="2"/>
      <w:szCs w:val="20"/>
    </w:rPr>
  </w:style>
  <w:style w:type="paragraph" w:customStyle="1" w:styleId="552">
    <w:name w:val="a0-TBL-BR-1"/>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53">
    <w:name w:val="6.4.2"/>
    <w:basedOn w:val="6"/>
    <w:qFormat/>
    <w:uiPriority w:val="0"/>
    <w:pPr>
      <w:tabs>
        <w:tab w:val="left" w:pos="425"/>
        <w:tab w:val="left" w:pos="960"/>
        <w:tab w:val="left" w:pos="1440"/>
        <w:tab w:val="left" w:leader="dot" w:pos="8160"/>
      </w:tabs>
      <w:overflowPunct w:val="0"/>
      <w:adjustRightInd/>
      <w:spacing w:before="260" w:beforeLines="60"/>
      <w:ind w:left="425" w:hanging="425" w:firstLineChars="196"/>
      <w:jc w:val="both"/>
      <w:outlineLvl w:val="9"/>
    </w:pPr>
    <w:rPr>
      <w:rFonts w:hAnsi="等线 Light"/>
      <w:bCs/>
      <w:snapToGrid w:val="0"/>
      <w:sz w:val="28"/>
      <w:szCs w:val="28"/>
    </w:rPr>
  </w:style>
  <w:style w:type="paragraph" w:customStyle="1" w:styleId="554">
    <w:name w:val="SINOPEC-0"/>
    <w:basedOn w:val="1"/>
    <w:qFormat/>
    <w:uiPriority w:val="0"/>
    <w:pPr>
      <w:autoSpaceDE/>
      <w:autoSpaceDN/>
      <w:adjustRightInd/>
      <w:spacing w:line="360" w:lineRule="auto"/>
      <w:ind w:firstLine="480" w:firstLineChars="200"/>
      <w:jc w:val="both"/>
    </w:pPr>
    <w:rPr>
      <w:rFonts w:ascii="楷体_GB2312" w:hAnsi="楷体_GB2312"/>
      <w:color w:val="0000FF"/>
      <w:kern w:val="2"/>
      <w:szCs w:val="20"/>
    </w:rPr>
  </w:style>
  <w:style w:type="paragraph" w:customStyle="1" w:styleId="555">
    <w:name w:val="xl54"/>
    <w:basedOn w:val="1"/>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556">
    <w:name w:val="yyn"/>
    <w:basedOn w:val="1"/>
    <w:qFormat/>
    <w:uiPriority w:val="0"/>
    <w:pPr>
      <w:keepNext/>
      <w:widowControl/>
      <w:overflowPunct w:val="0"/>
      <w:spacing w:line="360" w:lineRule="auto"/>
      <w:ind w:right="562" w:firstLine="576"/>
      <w:jc w:val="both"/>
      <w:textAlignment w:val="baseline"/>
    </w:pPr>
    <w:rPr>
      <w:rFonts w:hAnsi="Arial Unicode MS"/>
      <w:kern w:val="16"/>
      <w:sz w:val="28"/>
      <w:szCs w:val="20"/>
    </w:rPr>
  </w:style>
  <w:style w:type="paragraph" w:customStyle="1" w:styleId="557">
    <w:name w:val="_Style 6"/>
    <w:basedOn w:val="1"/>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58">
    <w:name w:val="正文2"/>
    <w:basedOn w:val="1"/>
    <w:qFormat/>
    <w:uiPriority w:val="0"/>
    <w:pPr>
      <w:widowControl/>
      <w:autoSpaceDE/>
      <w:autoSpaceDN/>
      <w:adjustRightInd/>
      <w:spacing w:after="160"/>
      <w:ind w:left="-85" w:firstLine="420" w:firstLineChars="200"/>
      <w:jc w:val="center"/>
    </w:pPr>
    <w:rPr>
      <w:rFonts w:ascii="Lucida Grande" w:hAnsi="Lucida Grande" w:eastAsia="PMingLiU"/>
      <w:sz w:val="21"/>
      <w:szCs w:val="21"/>
    </w:rPr>
  </w:style>
  <w:style w:type="paragraph" w:customStyle="1" w:styleId="5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60">
    <w:name w:val="xl60"/>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561">
    <w:name w:val="样式 标题 3头小节标题Heading 3 - oldh33rd levelH3l3CTLevel 3 Hea...2"/>
    <w:basedOn w:val="6"/>
    <w:qFormat/>
    <w:uiPriority w:val="0"/>
    <w:pPr>
      <w:keepNext/>
      <w:keepLines/>
      <w:tabs>
        <w:tab w:val="left" w:pos="964"/>
      </w:tabs>
      <w:autoSpaceDE/>
      <w:autoSpaceDN/>
      <w:adjustRightInd/>
      <w:spacing w:line="360" w:lineRule="auto"/>
      <w:ind w:firstLine="482" w:firstLineChars="200"/>
      <w:jc w:val="both"/>
    </w:pPr>
    <w:rPr>
      <w:rFonts w:hAnsi="等线 Light" w:cs="等线 Light"/>
      <w:bCs/>
      <w:kern w:val="2"/>
      <w:szCs w:val="20"/>
    </w:rPr>
  </w:style>
  <w:style w:type="paragraph" w:customStyle="1" w:styleId="562">
    <w:name w:val="xl30"/>
    <w:basedOn w:val="1"/>
    <w:qFormat/>
    <w:uiPriority w:val="0"/>
    <w:pPr>
      <w:widowControl/>
      <w:pBdr>
        <w:lef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63">
    <w:name w:val="表内容"/>
    <w:basedOn w:val="1"/>
    <w:qFormat/>
    <w:uiPriority w:val="0"/>
    <w:pPr>
      <w:spacing w:before="60" w:after="60" w:line="288" w:lineRule="auto"/>
      <w:jc w:val="center"/>
      <w:textAlignment w:val="baseline"/>
    </w:pPr>
    <w:rPr>
      <w:rFonts w:ascii="楷体_GB2312" w:hAnsi="楷体_GB2312"/>
      <w:sz w:val="21"/>
      <w:szCs w:val="20"/>
    </w:rPr>
  </w:style>
  <w:style w:type="paragraph" w:customStyle="1" w:styleId="564">
    <w:name w:val="xl23"/>
    <w:basedOn w:val="1"/>
    <w:qFormat/>
    <w:uiPriority w:val="0"/>
    <w:pPr>
      <w:widowControl/>
      <w:autoSpaceDE/>
      <w:autoSpaceDN/>
      <w:adjustRightInd/>
      <w:spacing w:before="100" w:beforeAutospacing="1" w:after="100" w:afterAutospacing="1"/>
      <w:jc w:val="center"/>
    </w:pPr>
    <w:rPr>
      <w:rFonts w:ascii="微软雅黑" w:hAnsi="等线 Light" w:eastAsia="微软雅黑" w:cs="等线 Light"/>
    </w:rPr>
  </w:style>
  <w:style w:type="paragraph" w:customStyle="1" w:styleId="565">
    <w:name w:val="样式2"/>
    <w:basedOn w:val="8"/>
    <w:qFormat/>
    <w:uiPriority w:val="0"/>
    <w:pPr>
      <w:tabs>
        <w:tab w:val="left" w:pos="360"/>
        <w:tab w:val="left" w:pos="1931"/>
      </w:tabs>
      <w:autoSpaceDE/>
      <w:autoSpaceDN/>
      <w:snapToGrid w:val="0"/>
      <w:spacing w:before="240" w:after="120" w:line="300" w:lineRule="auto"/>
      <w:ind w:left="360" w:hanging="360" w:hangingChars="200"/>
      <w:jc w:val="both"/>
    </w:pPr>
    <w:rPr>
      <w:rFonts w:ascii="楷体_GB2312" w:hAnsi="楷体_GB2312"/>
      <w:bCs w:val="0"/>
      <w:kern w:val="2"/>
      <w:sz w:val="24"/>
      <w:szCs w:val="20"/>
    </w:rPr>
  </w:style>
  <w:style w:type="paragraph" w:customStyle="1" w:styleId="566">
    <w:name w:val="第12册用标题"/>
    <w:basedOn w:val="1"/>
    <w:next w:val="1"/>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567">
    <w:name w:val="正文段"/>
    <w:basedOn w:val="1"/>
    <w:qFormat/>
    <w:uiPriority w:val="0"/>
    <w:pPr>
      <w:widowControl/>
      <w:autoSpaceDE/>
      <w:autoSpaceDN/>
      <w:spacing w:after="240" w:line="360" w:lineRule="atLeast"/>
      <w:ind w:firstLine="454"/>
      <w:jc w:val="both"/>
      <w:textAlignment w:val="bottom"/>
    </w:pPr>
    <w:rPr>
      <w:rFonts w:hAnsi="Arial Unicode MS"/>
      <w:szCs w:val="20"/>
    </w:rPr>
  </w:style>
  <w:style w:type="paragraph" w:customStyle="1" w:styleId="568">
    <w:name w:val="xl36"/>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69">
    <w:name w:val="_Style 568"/>
    <w:basedOn w:val="4"/>
    <w:next w:val="1"/>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70">
    <w:name w:val="black1"/>
    <w:basedOn w:val="1"/>
    <w:qFormat/>
    <w:uiPriority w:val="0"/>
    <w:pPr>
      <w:widowControl/>
      <w:autoSpaceDE/>
      <w:autoSpaceDN/>
      <w:adjustRightInd/>
      <w:spacing w:before="100" w:beforeAutospacing="1" w:after="100" w:afterAutospacing="1" w:line="280" w:lineRule="atLeast"/>
    </w:pPr>
    <w:rPr>
      <w:rFonts w:ascii="Arial Unicode MS" w:hAnsi="Arial Unicode MS"/>
      <w:color w:val="000000"/>
      <w:sz w:val="18"/>
      <w:szCs w:val="18"/>
    </w:rPr>
  </w:style>
  <w:style w:type="paragraph" w:customStyle="1" w:styleId="571">
    <w:name w:val="_Style 2"/>
    <w:basedOn w:val="1"/>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72">
    <w:name w:val="+标题1"/>
    <w:basedOn w:val="4"/>
    <w:qFormat/>
    <w:uiPriority w:val="0"/>
    <w:pPr>
      <w:keepNext/>
      <w:keepLines/>
      <w:pageBreakBefore/>
      <w:numPr>
        <w:ilvl w:val="0"/>
        <w:numId w:val="9"/>
      </w:numPr>
      <w:autoSpaceDE/>
      <w:autoSpaceDN/>
      <w:adjustRightInd/>
      <w:spacing w:before="240" w:after="240" w:line="360" w:lineRule="auto"/>
      <w:jc w:val="both"/>
    </w:pPr>
    <w:rPr>
      <w:rFonts w:ascii="Arial Unicode MS" w:hAnsi="Arial Unicode MS" w:eastAsia="PMingLiU"/>
      <w:b/>
      <w:bCs/>
      <w:kern w:val="32"/>
      <w:sz w:val="28"/>
      <w:szCs w:val="28"/>
    </w:rPr>
  </w:style>
  <w:style w:type="paragraph" w:customStyle="1" w:styleId="573">
    <w:name w:val="目录"/>
    <w:basedOn w:val="1"/>
    <w:qFormat/>
    <w:uiPriority w:val="0"/>
    <w:pPr>
      <w:widowControl/>
      <w:autoSpaceDE/>
      <w:autoSpaceDN/>
      <w:adjustRightInd/>
      <w:jc w:val="center"/>
    </w:pPr>
    <w:rPr>
      <w:rFonts w:hAnsi="Arial Unicode MS"/>
      <w:b/>
      <w:sz w:val="36"/>
      <w:szCs w:val="20"/>
    </w:rPr>
  </w:style>
  <w:style w:type="paragraph" w:customStyle="1" w:styleId="574">
    <w:name w:val="纯文本1"/>
    <w:basedOn w:val="1"/>
    <w:qFormat/>
    <w:uiPriority w:val="0"/>
    <w:pPr>
      <w:autoSpaceDE/>
      <w:autoSpaceDN/>
      <w:jc w:val="both"/>
      <w:textAlignment w:val="baseline"/>
    </w:pPr>
    <w:rPr>
      <w:rFonts w:hAnsi="Helv" w:eastAsia="Cambria Math"/>
      <w:kern w:val="2"/>
      <w:sz w:val="26"/>
      <w:szCs w:val="20"/>
    </w:rPr>
  </w:style>
  <w:style w:type="paragraph" w:customStyle="1" w:styleId="575">
    <w:name w:val="彩色底纹 - 强调文字颜色 11"/>
    <w:semiHidden/>
    <w:qFormat/>
    <w:uiPriority w:val="99"/>
    <w:rPr>
      <w:rFonts w:ascii="等线 Light" w:hAnsi="Times New Roman" w:eastAsia="宋体" w:cs="Times New Roman"/>
      <w:sz w:val="24"/>
      <w:szCs w:val="24"/>
      <w:lang w:val="en-US" w:eastAsia="zh-CN" w:bidi="ar-SA"/>
    </w:rPr>
  </w:style>
  <w:style w:type="paragraph" w:customStyle="1" w:styleId="576">
    <w:name w:val="列出段落11"/>
    <w:basedOn w:val="1"/>
    <w:qFormat/>
    <w:uiPriority w:val="34"/>
    <w:pPr>
      <w:ind w:firstLine="420" w:firstLineChars="200"/>
    </w:pPr>
  </w:style>
  <w:style w:type="paragraph" w:customStyle="1" w:styleId="577">
    <w:name w:val="_Style 166"/>
    <w:next w:val="1"/>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57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Helv" w:hAnsi="Helv"/>
      <w:sz w:val="20"/>
      <w:szCs w:val="20"/>
    </w:rPr>
  </w:style>
  <w:style w:type="paragraph" w:customStyle="1" w:styleId="579">
    <w:name w:val="网格表 32"/>
    <w:basedOn w:val="4"/>
    <w:next w:val="1"/>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80">
    <w:name w:val="Char1 Char Char Char1"/>
    <w:basedOn w:val="1"/>
    <w:qFormat/>
    <w:uiPriority w:val="0"/>
    <w:pPr>
      <w:autoSpaceDE/>
      <w:autoSpaceDN/>
      <w:adjustRightInd/>
      <w:jc w:val="both"/>
    </w:pPr>
    <w:rPr>
      <w:rFonts w:ascii="Arial Unicode MS" w:hAnsi="Arial Unicode MS"/>
      <w:kern w:val="2"/>
      <w:sz w:val="21"/>
    </w:rPr>
  </w:style>
  <w:style w:type="paragraph" w:customStyle="1" w:styleId="581">
    <w:name w:val="+标题3"/>
    <w:basedOn w:val="6"/>
    <w:qFormat/>
    <w:uiPriority w:val="0"/>
    <w:pPr>
      <w:autoSpaceDE/>
      <w:autoSpaceDN/>
      <w:snapToGrid w:val="0"/>
      <w:spacing w:line="360" w:lineRule="auto"/>
      <w:ind w:left="-2" w:leftChars="-1" w:firstLine="420"/>
      <w:jc w:val="both"/>
    </w:pPr>
    <w:rPr>
      <w:rFonts w:hAnsi="等线 Light"/>
      <w:b/>
      <w:sz w:val="32"/>
      <w:szCs w:val="21"/>
    </w:rPr>
  </w:style>
  <w:style w:type="paragraph" w:customStyle="1" w:styleId="582">
    <w:name w:val="2"/>
    <w:basedOn w:val="1"/>
    <w:next w:val="32"/>
    <w:qFormat/>
    <w:uiPriority w:val="0"/>
    <w:pPr>
      <w:autoSpaceDE/>
      <w:autoSpaceDN/>
      <w:adjustRightInd/>
      <w:jc w:val="both"/>
    </w:pPr>
    <w:rPr>
      <w:rFonts w:hAnsi="Helv"/>
      <w:kern w:val="2"/>
      <w:sz w:val="21"/>
      <w:szCs w:val="20"/>
    </w:rPr>
  </w:style>
  <w:style w:type="paragraph" w:customStyle="1" w:styleId="583">
    <w:name w:val="_Style 582"/>
    <w:qFormat/>
    <w:uiPriority w:val="99"/>
    <w:rPr>
      <w:rFonts w:ascii="等线 Light" w:hAnsi="Times New Roman" w:eastAsia="宋体" w:cs="Times New Roman"/>
      <w:sz w:val="24"/>
      <w:szCs w:val="24"/>
      <w:lang w:val="en-US" w:eastAsia="zh-CN" w:bidi="ar-SA"/>
    </w:rPr>
  </w:style>
  <w:style w:type="paragraph" w:customStyle="1" w:styleId="584">
    <w:name w:val="编号"/>
    <w:basedOn w:val="1"/>
    <w:qFormat/>
    <w:uiPriority w:val="0"/>
    <w:pPr>
      <w:numPr>
        <w:ilvl w:val="0"/>
        <w:numId w:val="10"/>
      </w:numPr>
      <w:autoSpaceDE/>
      <w:autoSpaceDN/>
      <w:adjustRightInd/>
      <w:snapToGrid w:val="0"/>
      <w:spacing w:line="300" w:lineRule="auto"/>
      <w:jc w:val="both"/>
    </w:pPr>
    <w:rPr>
      <w:rFonts w:hAnsi="等线 Light"/>
      <w:color w:val="000000"/>
      <w:kern w:val="2"/>
    </w:rPr>
  </w:style>
  <w:style w:type="paragraph" w:customStyle="1" w:styleId="585">
    <w:name w:val="a0-TBL-BR-1-TBL-BR-1"/>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86">
    <w:name w:val="head4"/>
    <w:basedOn w:val="411"/>
    <w:qFormat/>
    <w:uiPriority w:val="0"/>
    <w:pPr>
      <w:jc w:val="both"/>
    </w:pPr>
    <w:rPr>
      <w:b w:val="0"/>
    </w:rPr>
  </w:style>
  <w:style w:type="paragraph" w:customStyle="1" w:styleId="587">
    <w:name w:val="xl34"/>
    <w:basedOn w:val="1"/>
    <w:qFormat/>
    <w:uiPriority w:val="0"/>
    <w:pPr>
      <w:widowControl/>
      <w:pBdr>
        <w:top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88">
    <w:name w:val="xl48"/>
    <w:basedOn w:val="1"/>
    <w:qFormat/>
    <w:uiPriority w:val="0"/>
    <w:pPr>
      <w:widowControl/>
      <w:pBdr>
        <w:left w:val="single" w:color="auto" w:sz="4" w:space="0"/>
        <w:bottom w:val="single" w:color="auto" w:sz="4" w:space="0"/>
      </w:pBdr>
      <w:autoSpaceDE/>
      <w:autoSpaceDN/>
      <w:adjustRightInd/>
      <w:spacing w:before="100" w:beforeAutospacing="1" w:after="100" w:afterAutospacing="1"/>
    </w:pPr>
    <w:rPr>
      <w:rFonts w:hAnsi="等线 Light" w:cs="等线 Light"/>
    </w:rPr>
  </w:style>
  <w:style w:type="paragraph" w:customStyle="1" w:styleId="589">
    <w:name w:val="_Style 66"/>
    <w:next w:val="1"/>
    <w:qFormat/>
    <w:uiPriority w:val="99"/>
    <w:pPr>
      <w:widowControl w:val="0"/>
      <w:autoSpaceDE w:val="0"/>
      <w:autoSpaceDN w:val="0"/>
      <w:adjustRightInd w:val="0"/>
    </w:pPr>
    <w:rPr>
      <w:rFonts w:ascii="等线 Light" w:hAnsi="Times New Roman" w:eastAsia="宋体" w:cs="Times New Roman"/>
      <w:sz w:val="24"/>
      <w:szCs w:val="24"/>
      <w:lang w:val="en-US" w:eastAsia="zh-CN" w:bidi="ar-SA"/>
    </w:rPr>
  </w:style>
  <w:style w:type="paragraph" w:customStyle="1" w:styleId="590">
    <w:name w:val="Char1 Char Char Char1 Char Char Char Char Char Char Char Char Char1"/>
    <w:basedOn w:val="1"/>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591">
    <w:name w:val="Char Char Char Char Char Char Char Char Char Char Char Char Char Char Char Char Char Char Char1"/>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2">
    <w:name w:val="样式 宋体 行距: 固定值 18 磅"/>
    <w:basedOn w:val="1"/>
    <w:qFormat/>
    <w:uiPriority w:val="0"/>
    <w:pPr>
      <w:autoSpaceDE/>
      <w:autoSpaceDN/>
      <w:adjustRightInd/>
      <w:spacing w:before="30" w:beforeLines="30" w:line="360" w:lineRule="exact"/>
      <w:jc w:val="both"/>
    </w:pPr>
    <w:rPr>
      <w:rFonts w:hAnsi="等线 Light"/>
      <w:kern w:val="2"/>
      <w:sz w:val="21"/>
      <w:szCs w:val="20"/>
    </w:rPr>
  </w:style>
  <w:style w:type="paragraph" w:customStyle="1" w:styleId="593">
    <w:name w:val="Default Text"/>
    <w:basedOn w:val="1"/>
    <w:qFormat/>
    <w:uiPriority w:val="0"/>
    <w:rPr>
      <w:rFonts w:ascii="Arial Unicode MS" w:hAnsi="Arial Unicode MS"/>
    </w:rPr>
  </w:style>
  <w:style w:type="paragraph" w:customStyle="1" w:styleId="594">
    <w:name w:val="项目"/>
    <w:basedOn w:val="1"/>
    <w:qFormat/>
    <w:uiPriority w:val="0"/>
    <w:pPr>
      <w:widowControl/>
      <w:tabs>
        <w:tab w:val="left" w:pos="300"/>
        <w:tab w:val="left" w:pos="840"/>
        <w:tab w:val="left" w:pos="993"/>
      </w:tabs>
      <w:overflowPunct w:val="0"/>
      <w:autoSpaceDE/>
      <w:autoSpaceDN/>
      <w:spacing w:line="336" w:lineRule="auto"/>
      <w:ind w:left="840" w:hanging="420"/>
      <w:jc w:val="both"/>
    </w:pPr>
    <w:rPr>
      <w:rFonts w:ascii="楷体_GB2312" w:hAnsi="Arial Unicode MS"/>
      <w:kern w:val="24"/>
      <w:szCs w:val="20"/>
    </w:rPr>
  </w:style>
  <w:style w:type="paragraph" w:customStyle="1" w:styleId="595">
    <w:name w:val="xl43"/>
    <w:basedOn w:val="1"/>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96">
    <w:name w:val="Char Char Char Char Char"/>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7">
    <w:name w:val="Char Char Char Char1"/>
    <w:basedOn w:val="1"/>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8">
    <w:name w:val="样式 标题 3头小节标题Heading 3 - oldh33rd levelH3l3CTLevel 3 Hea...3"/>
    <w:basedOn w:val="6"/>
    <w:qFormat/>
    <w:uiPriority w:val="0"/>
    <w:pPr>
      <w:keepNext/>
      <w:keepLines/>
      <w:tabs>
        <w:tab w:val="left" w:pos="964"/>
      </w:tabs>
      <w:autoSpaceDE/>
      <w:autoSpaceDN/>
      <w:adjustRightInd/>
      <w:spacing w:line="360" w:lineRule="auto"/>
      <w:jc w:val="both"/>
    </w:pPr>
    <w:rPr>
      <w:rFonts w:hAnsi="等线 Light"/>
      <w:kern w:val="2"/>
      <w:szCs w:val="32"/>
    </w:rPr>
  </w:style>
  <w:style w:type="paragraph" w:customStyle="1" w:styleId="599">
    <w:name w:val="Char Char Char Char Char Char Char Char Char Char"/>
    <w:basedOn w:val="1"/>
    <w:qFormat/>
    <w:uiPriority w:val="0"/>
    <w:pPr>
      <w:widowControl/>
      <w:autoSpaceDE/>
      <w:autoSpaceDN/>
      <w:adjustRightInd/>
      <w:spacing w:after="160" w:line="240" w:lineRule="exact"/>
    </w:pPr>
    <w:rPr>
      <w:rFonts w:ascii="Lucida Grande" w:hAnsi="Lucida Grande" w:cs="Lucida Grande"/>
      <w:sz w:val="20"/>
      <w:szCs w:val="20"/>
      <w:lang w:eastAsia="en-US"/>
    </w:rPr>
  </w:style>
  <w:style w:type="paragraph" w:customStyle="1" w:styleId="600">
    <w:name w:val="affa-TBL-BR-1-TBL-BR-1"/>
    <w:qFormat/>
    <w:uiPriority w:val="0"/>
    <w:pPr>
      <w:spacing w:line="480" w:lineRule="auto"/>
    </w:pPr>
    <w:rPr>
      <w:rFonts w:ascii="等线 Light" w:hAnsi="等线 Light" w:eastAsia="Verdana" w:cs="Times New Roman"/>
      <w:sz w:val="24"/>
      <w:lang w:val="en-US" w:eastAsia="zh-CN" w:bidi="ar-SA"/>
    </w:rPr>
  </w:style>
  <w:style w:type="paragraph" w:customStyle="1" w:styleId="601">
    <w:name w:val="样式 标题 3头小节标题Heading 3 - oldh33rd levelH3l3CTLevel 3 Hea...5"/>
    <w:basedOn w:val="6"/>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2">
    <w:name w:val="样式 标题 3头小节标题Heading 3 - oldh33rd levelH3l3CTLevel 3 Hea...7"/>
    <w:basedOn w:val="6"/>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603">
    <w:name w:val="正文首缩"/>
    <w:basedOn w:val="1"/>
    <w:next w:val="7"/>
    <w:qFormat/>
    <w:uiPriority w:val="0"/>
    <w:pPr>
      <w:autoSpaceDE/>
      <w:autoSpaceDN/>
      <w:spacing w:line="324" w:lineRule="auto"/>
      <w:ind w:firstLine="425"/>
      <w:jc w:val="both"/>
      <w:textAlignment w:val="baseline"/>
    </w:pPr>
    <w:rPr>
      <w:rFonts w:ascii="Arial Unicode MS" w:hAnsi="Arial Unicode MS"/>
      <w:sz w:val="28"/>
      <w:szCs w:val="20"/>
    </w:rPr>
  </w:style>
  <w:style w:type="paragraph" w:customStyle="1" w:styleId="604">
    <w:name w:val="默认段落字体 Para Char"/>
    <w:basedOn w:val="1"/>
    <w:qFormat/>
    <w:uiPriority w:val="0"/>
    <w:pPr>
      <w:autoSpaceDE/>
      <w:autoSpaceDN/>
      <w:spacing w:line="360" w:lineRule="auto"/>
      <w:jc w:val="both"/>
    </w:pPr>
    <w:rPr>
      <w:rFonts w:ascii="Arial Unicode MS" w:hAnsi="Arial Unicode MS"/>
      <w:szCs w:val="20"/>
    </w:rPr>
  </w:style>
  <w:style w:type="paragraph" w:customStyle="1" w:styleId="605">
    <w:name w:val="xl50"/>
    <w:basedOn w:val="1"/>
    <w:qFormat/>
    <w:uiPriority w:val="0"/>
    <w:pPr>
      <w:widowControl/>
      <w:autoSpaceDE/>
      <w:autoSpaceDN/>
      <w:adjustRightInd/>
      <w:spacing w:before="100" w:beforeAutospacing="1" w:after="100" w:afterAutospacing="1"/>
      <w:jc w:val="center"/>
    </w:pPr>
    <w:rPr>
      <w:rFonts w:hint="eastAsia" w:hAnsi="等线 Light"/>
    </w:rPr>
  </w:style>
  <w:style w:type="paragraph" w:customStyle="1" w:styleId="606">
    <w:name w:val="样式 标题 3头小节标题Heading 3 - oldh33rd levelH3l3CTLevel 3 Hea...8"/>
    <w:basedOn w:val="6"/>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7">
    <w:name w:val="正文表标题"/>
    <w:next w:val="1"/>
    <w:qFormat/>
    <w:uiPriority w:val="0"/>
    <w:pPr>
      <w:numPr>
        <w:ilvl w:val="0"/>
        <w:numId w:val="11"/>
      </w:numPr>
      <w:jc w:val="center"/>
    </w:pPr>
    <w:rPr>
      <w:rFonts w:ascii="PMingLiU" w:hAnsi="Arial Unicode MS" w:eastAsia="PMingLiU" w:cs="Times New Roman"/>
      <w:sz w:val="21"/>
      <w:lang w:val="en-US" w:eastAsia="zh-CN" w:bidi="ar-SA"/>
    </w:rPr>
  </w:style>
  <w:style w:type="paragraph" w:customStyle="1" w:styleId="608">
    <w:name w:val="font7"/>
    <w:basedOn w:val="1"/>
    <w:qFormat/>
    <w:uiPriority w:val="0"/>
    <w:pPr>
      <w:widowControl/>
      <w:autoSpaceDE/>
      <w:autoSpaceDN/>
      <w:adjustRightInd/>
      <w:spacing w:before="100" w:beforeAutospacing="1" w:after="100" w:afterAutospacing="1"/>
    </w:pPr>
    <w:rPr>
      <w:rFonts w:hint="eastAsia" w:ascii="微软雅黑" w:hAnsi="等线 Light" w:eastAsia="微软雅黑"/>
      <w:sz w:val="32"/>
      <w:szCs w:val="32"/>
    </w:rPr>
  </w:style>
  <w:style w:type="paragraph" w:customStyle="1" w:styleId="609">
    <w:name w:val="xl10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10">
    <w:name w:val="1"/>
    <w:basedOn w:val="1"/>
    <w:next w:val="27"/>
    <w:qFormat/>
    <w:uiPriority w:val="0"/>
    <w:pPr>
      <w:autoSpaceDE/>
      <w:autoSpaceDN/>
      <w:ind w:left="420" w:right="33"/>
      <w:textAlignment w:val="baseline"/>
    </w:pPr>
    <w:rPr>
      <w:rFonts w:ascii="Arial Unicode MS" w:hAnsi="Arial Unicode MS"/>
      <w:szCs w:val="20"/>
    </w:rPr>
  </w:style>
  <w:style w:type="paragraph" w:customStyle="1" w:styleId="611">
    <w:name w:val="文字"/>
    <w:basedOn w:val="1"/>
    <w:qFormat/>
    <w:uiPriority w:val="0"/>
    <w:pPr>
      <w:tabs>
        <w:tab w:val="left" w:pos="8520"/>
      </w:tabs>
      <w:autoSpaceDE/>
      <w:autoSpaceDN/>
      <w:adjustRightInd/>
      <w:spacing w:line="312" w:lineRule="auto"/>
      <w:ind w:right="-210" w:firstLine="556"/>
      <w:jc w:val="both"/>
    </w:pPr>
    <w:rPr>
      <w:rFonts w:ascii="Cambria Math" w:hAnsi="Arial Unicode MS" w:eastAsia="Cambria Math"/>
      <w:kern w:val="2"/>
      <w:sz w:val="28"/>
      <w:szCs w:val="20"/>
    </w:rPr>
  </w:style>
  <w:style w:type="paragraph" w:customStyle="1" w:styleId="612">
    <w:name w:val="font6"/>
    <w:basedOn w:val="1"/>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613">
    <w:name w:val="默认段落字体 Para Char Char Char Char Char Char Char Char Char1 Char Char Char Char Char Char Char Char Char Char"/>
    <w:basedOn w:val="19"/>
    <w:qFormat/>
    <w:uiPriority w:val="0"/>
    <w:pPr>
      <w:autoSpaceDE/>
      <w:autoSpaceDN/>
      <w:adjustRightInd/>
      <w:ind w:firstLine="540" w:firstLineChars="225"/>
      <w:jc w:val="both"/>
    </w:pPr>
    <w:rPr>
      <w:rFonts w:ascii="Calibri" w:hAnsi="Calibri"/>
      <w:kern w:val="2"/>
      <w:szCs w:val="20"/>
    </w:rPr>
  </w:style>
  <w:style w:type="paragraph" w:customStyle="1" w:styleId="614">
    <w:name w:val="2册标题3"/>
    <w:basedOn w:val="1"/>
    <w:next w:val="1"/>
    <w:qFormat/>
    <w:uiPriority w:val="0"/>
    <w:pPr>
      <w:autoSpaceDE/>
      <w:autoSpaceDN/>
      <w:adjustRightInd/>
      <w:spacing w:before="156" w:beforeLines="50" w:after="156" w:afterLines="50"/>
      <w:ind w:left="100" w:leftChars="100"/>
      <w:jc w:val="both"/>
      <w:outlineLvl w:val="2"/>
    </w:pPr>
    <w:rPr>
      <w:rFonts w:ascii="楷体_GB2312" w:hAnsi="楷体_GB2312" w:eastAsia="PMingLiU"/>
      <w:kern w:val="2"/>
      <w:sz w:val="28"/>
      <w:szCs w:val="28"/>
    </w:rPr>
  </w:style>
  <w:style w:type="paragraph" w:customStyle="1" w:styleId="615">
    <w:name w:val="样式4"/>
    <w:basedOn w:val="42"/>
    <w:qFormat/>
    <w:uiPriority w:val="0"/>
    <w:pPr>
      <w:tabs>
        <w:tab w:val="right" w:leader="dot" w:pos="9458"/>
      </w:tabs>
      <w:autoSpaceDE/>
      <w:autoSpaceDN/>
      <w:adjustRightInd/>
    </w:pPr>
    <w:rPr>
      <w:rFonts w:cs="幼圆"/>
      <w:b w:val="0"/>
      <w:kern w:val="2"/>
      <w:sz w:val="21"/>
      <w:szCs w:val="24"/>
    </w:rPr>
  </w:style>
  <w:style w:type="paragraph" w:customStyle="1" w:styleId="616">
    <w:name w:val="xl52"/>
    <w:basedOn w:val="1"/>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617">
    <w:name w:val="标题44"/>
    <w:basedOn w:val="7"/>
    <w:qFormat/>
    <w:uiPriority w:val="0"/>
    <w:pPr>
      <w:autoSpaceDE/>
      <w:autoSpaceDN/>
      <w:adjustRightInd/>
      <w:spacing w:before="0" w:after="0" w:line="300" w:lineRule="auto"/>
      <w:jc w:val="both"/>
    </w:pPr>
    <w:rPr>
      <w:rFonts w:ascii="幼圆" w:hAnsi="幼圆"/>
      <w:b w:val="0"/>
      <w:kern w:val="2"/>
      <w:sz w:val="24"/>
      <w:szCs w:val="24"/>
    </w:rPr>
  </w:style>
  <w:style w:type="paragraph" w:customStyle="1" w:styleId="618">
    <w:name w:val="xl29"/>
    <w:basedOn w:val="1"/>
    <w:qFormat/>
    <w:uiPriority w:val="0"/>
    <w:pPr>
      <w:widowControl/>
      <w:pBdr>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619">
    <w:name w:val="首行缩进"/>
    <w:basedOn w:val="1"/>
    <w:qFormat/>
    <w:uiPriority w:val="0"/>
    <w:pPr>
      <w:ind w:firstLine="480" w:firstLineChars="200"/>
    </w:pPr>
    <w:rPr>
      <w:lang w:val="zh-CN"/>
    </w:rPr>
  </w:style>
  <w:style w:type="paragraph" w:customStyle="1" w:styleId="620">
    <w:name w:val="xl9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21">
    <w:name w:val="Char Char Char1"/>
    <w:basedOn w:val="1"/>
    <w:qFormat/>
    <w:uiPriority w:val="0"/>
    <w:pPr>
      <w:autoSpaceDE/>
      <w:autoSpaceDN/>
      <w:adjustRightInd/>
      <w:jc w:val="both"/>
    </w:pPr>
    <w:rPr>
      <w:rFonts w:ascii="Calibri" w:hAnsi="Calibri"/>
      <w:kern w:val="2"/>
      <w:szCs w:val="20"/>
    </w:rPr>
  </w:style>
  <w:style w:type="paragraph" w:customStyle="1" w:styleId="622">
    <w:name w:val="font10"/>
    <w:basedOn w:val="1"/>
    <w:qFormat/>
    <w:uiPriority w:val="0"/>
    <w:pPr>
      <w:widowControl/>
      <w:autoSpaceDE/>
      <w:autoSpaceDN/>
      <w:adjustRightInd/>
      <w:spacing w:before="100" w:beforeAutospacing="1" w:after="100" w:afterAutospacing="1"/>
    </w:pPr>
    <w:rPr>
      <w:rFonts w:ascii="Arial Unicode MS" w:hAnsi="Arial Unicode MS"/>
      <w:sz w:val="20"/>
      <w:szCs w:val="20"/>
    </w:rPr>
  </w:style>
  <w:style w:type="paragraph" w:customStyle="1" w:styleId="623">
    <w:name w:val="6.3.5.4"/>
    <w:basedOn w:val="1"/>
    <w:qFormat/>
    <w:uiPriority w:val="0"/>
    <w:pPr>
      <w:tabs>
        <w:tab w:val="left" w:pos="360"/>
        <w:tab w:val="left" w:pos="851"/>
      </w:tabs>
      <w:autoSpaceDE/>
      <w:autoSpaceDN/>
      <w:adjustRightInd/>
      <w:spacing w:before="120" w:after="120"/>
      <w:ind w:left="288" w:hanging="288"/>
      <w:jc w:val="both"/>
    </w:pPr>
    <w:rPr>
      <w:rFonts w:ascii="Arial Unicode MS" w:hAnsi="Arial Unicode MS"/>
      <w:kern w:val="2"/>
      <w:szCs w:val="20"/>
    </w:rPr>
  </w:style>
  <w:style w:type="paragraph" w:customStyle="1" w:styleId="624">
    <w:name w:val="样式 SINOPEC-0"/>
    <w:basedOn w:val="1"/>
    <w:qFormat/>
    <w:uiPriority w:val="0"/>
    <w:pPr>
      <w:autoSpaceDE/>
      <w:autoSpaceDN/>
      <w:adjustRightInd/>
      <w:spacing w:line="360" w:lineRule="auto"/>
      <w:ind w:firstLine="200" w:firstLineChars="200"/>
      <w:jc w:val="both"/>
    </w:pPr>
    <w:rPr>
      <w:rFonts w:ascii="楷体_GB2312" w:hAnsi="楷体_GB2312"/>
      <w:kern w:val="2"/>
      <w:szCs w:val="20"/>
    </w:rPr>
  </w:style>
  <w:style w:type="paragraph" w:customStyle="1" w:styleId="625">
    <w:name w:val="xl27"/>
    <w:basedOn w:val="1"/>
    <w:qFormat/>
    <w:uiPriority w:val="0"/>
    <w:pPr>
      <w:widowControl/>
      <w:pBdr>
        <w:top w:val="single" w:color="auto" w:sz="4" w:space="0"/>
        <w:left w:val="single" w:color="auto" w:sz="4" w:space="0"/>
      </w:pBdr>
      <w:autoSpaceDE/>
      <w:autoSpaceDN/>
      <w:adjustRightInd/>
      <w:spacing w:before="100" w:beforeAutospacing="1" w:after="100" w:afterAutospacing="1"/>
    </w:pPr>
    <w:rPr>
      <w:rFonts w:hint="eastAsia" w:hAnsi="等线 Light"/>
      <w:sz w:val="20"/>
      <w:szCs w:val="20"/>
    </w:rPr>
  </w:style>
  <w:style w:type="table" w:customStyle="1" w:styleId="626">
    <w:name w:val="网格型2"/>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网格型1"/>
    <w:basedOn w:val="55"/>
    <w:qFormat/>
    <w:uiPriority w:val="59"/>
    <w:rPr>
      <w:rFonts w:ascii="Arial Unicode MS" w:hAnsi="Arial Unicode MS" w:eastAsia="等线 Light" w:cs="幼圆"/>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8">
    <w:name w:val="正文_0"/>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629">
    <w:name w:val="cf01"/>
    <w:qFormat/>
    <w:uiPriority w:val="0"/>
    <w:rPr>
      <w:rFonts w:hint="eastAsia" w:ascii="Microsoft YaHei UI" w:hAnsi="Microsoft YaHei UI" w:eastAsia="Microsoft YaHei UI"/>
      <w:sz w:val="18"/>
      <w:szCs w:val="18"/>
    </w:rPr>
  </w:style>
  <w:style w:type="paragraph" w:customStyle="1" w:styleId="630">
    <w:name w:val="Table Paragraph"/>
    <w:basedOn w:val="1"/>
    <w:qFormat/>
    <w:uiPriority w:val="1"/>
    <w:rPr>
      <w:rFonts w:cs="宋体"/>
      <w:sz w:val="22"/>
      <w:szCs w:val="22"/>
      <w:lang w:eastAsia="en-US"/>
    </w:rPr>
  </w:style>
  <w:style w:type="paragraph" w:customStyle="1" w:styleId="631">
    <w:name w:val="图表内容格式"/>
    <w:basedOn w:val="1"/>
    <w:qFormat/>
    <w:uiPriority w:val="0"/>
    <w:pPr>
      <w:jc w:val="center"/>
    </w:pPr>
    <w:rPr>
      <w:rFonts w:eastAsia="等线"/>
    </w:rPr>
  </w:style>
  <w:style w:type="paragraph" w:customStyle="1" w:styleId="632">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63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38384</Words>
  <Characters>40425</Characters>
  <Lines>334</Lines>
  <Paragraphs>94</Paragraphs>
  <TotalTime>195</TotalTime>
  <ScaleCrop>false</ScaleCrop>
  <LinksUpToDate>false</LinksUpToDate>
  <CharactersWithSpaces>42715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2021-07-26T01:01:00Z</dcterms:created>
  <dc:creator>采联（燕）</dc:creator>
  <cp:lastModifiedBy>杨冬妮</cp:lastModifiedBy>
  <cp:lastPrinted>2024-11-25T12:47:00Z</cp:lastPrinted>
  <dcterms:modified xsi:type="dcterms:W3CDTF">2024-11-26T09:14:40Z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367BBC92E86942A08ED3B2272FE78B6A_13</vt:lpwstr>
  </property>
</Properties>
</file>