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26"/>
        <w:jc w:val="center"/>
        <w:rPr>
          <w:rFonts w:hAnsi="宋体" w:cs="宋体"/>
          <w:b/>
          <w:bCs/>
          <w:kern w:val="2"/>
          <w:sz w:val="48"/>
          <w:szCs w:val="48"/>
          <w:highlight w:val="none"/>
          <w:lang w:val="zh-CN"/>
        </w:rPr>
      </w:pPr>
    </w:p>
    <w:p>
      <w:pPr>
        <w:spacing w:line="360" w:lineRule="auto"/>
        <w:ind w:right="-26"/>
        <w:jc w:val="center"/>
        <w:rPr>
          <w:rFonts w:hAnsi="宋体" w:cs="宋体"/>
          <w:b/>
          <w:bCs/>
          <w:kern w:val="2"/>
          <w:sz w:val="48"/>
          <w:szCs w:val="48"/>
          <w:highlight w:val="none"/>
          <w:lang w:val="zh-CN"/>
        </w:rPr>
      </w:pPr>
    </w:p>
    <w:p>
      <w:pPr>
        <w:spacing w:line="360" w:lineRule="auto"/>
        <w:ind w:right="-26"/>
        <w:jc w:val="center"/>
        <w:rPr>
          <w:rFonts w:hAnsi="宋体" w:cs="宋体"/>
          <w:b/>
          <w:bCs/>
          <w:kern w:val="2"/>
          <w:sz w:val="48"/>
          <w:szCs w:val="48"/>
          <w:highlight w:val="none"/>
          <w:lang w:val="zh-CN"/>
        </w:rPr>
      </w:pPr>
    </w:p>
    <w:p>
      <w:pPr>
        <w:spacing w:line="360" w:lineRule="auto"/>
        <w:ind w:right="-26"/>
        <w:jc w:val="center"/>
        <w:rPr>
          <w:rFonts w:hAnsi="宋体" w:cs="宋体"/>
          <w:b/>
          <w:bCs/>
          <w:kern w:val="2"/>
          <w:sz w:val="48"/>
          <w:szCs w:val="48"/>
          <w:highlight w:val="none"/>
          <w:lang w:val="zh-CN"/>
        </w:rPr>
      </w:pPr>
    </w:p>
    <w:p>
      <w:pPr>
        <w:spacing w:line="360" w:lineRule="auto"/>
        <w:ind w:right="-26"/>
        <w:jc w:val="center"/>
        <w:rPr>
          <w:rFonts w:hAnsi="宋体" w:cs="宋体"/>
          <w:b/>
          <w:bCs/>
          <w:kern w:val="2"/>
          <w:sz w:val="48"/>
          <w:szCs w:val="48"/>
          <w:highlight w:val="none"/>
          <w:lang w:val="zh-CN"/>
        </w:rPr>
      </w:pPr>
    </w:p>
    <w:p>
      <w:pPr>
        <w:spacing w:line="360" w:lineRule="auto"/>
        <w:ind w:right="-26"/>
        <w:jc w:val="center"/>
        <w:rPr>
          <w:rFonts w:hAnsi="宋体" w:cs="宋体"/>
          <w:b/>
          <w:bCs/>
          <w:kern w:val="2"/>
          <w:sz w:val="48"/>
          <w:szCs w:val="48"/>
          <w:highlight w:val="none"/>
        </w:rPr>
      </w:pPr>
      <w:r>
        <w:rPr>
          <w:rFonts w:hint="eastAsia" w:hAnsi="宋体" w:cs="宋体"/>
          <w:b/>
          <w:bCs/>
          <w:kern w:val="2"/>
          <w:sz w:val="48"/>
          <w:szCs w:val="48"/>
          <w:highlight w:val="none"/>
        </w:rPr>
        <w:t>东莞市水务集团有限公司OA系统信息安全加固</w:t>
      </w:r>
      <w:r>
        <w:rPr>
          <w:rFonts w:hint="eastAsia" w:hAnsi="宋体" w:cs="宋体"/>
          <w:b/>
          <w:bCs/>
          <w:kern w:val="2"/>
          <w:sz w:val="48"/>
          <w:szCs w:val="48"/>
          <w:highlight w:val="none"/>
          <w:lang w:val="en-US" w:eastAsia="zh-CN"/>
        </w:rPr>
        <w:t>服务</w:t>
      </w:r>
      <w:r>
        <w:rPr>
          <w:rFonts w:hint="eastAsia" w:hAnsi="宋体" w:cs="宋体"/>
          <w:b/>
          <w:bCs/>
          <w:kern w:val="2"/>
          <w:sz w:val="48"/>
          <w:szCs w:val="48"/>
          <w:highlight w:val="none"/>
        </w:rPr>
        <w:t>项目</w:t>
      </w:r>
    </w:p>
    <w:p>
      <w:pPr>
        <w:spacing w:line="360" w:lineRule="auto"/>
        <w:ind w:right="-26"/>
        <w:jc w:val="center"/>
        <w:rPr>
          <w:rFonts w:hAnsi="宋体" w:cs="宋体"/>
          <w:b/>
          <w:bCs/>
          <w:kern w:val="2"/>
          <w:sz w:val="48"/>
          <w:szCs w:val="48"/>
          <w:highlight w:val="none"/>
          <w:lang w:val="zh-CN"/>
        </w:rPr>
      </w:pPr>
    </w:p>
    <w:p>
      <w:pPr>
        <w:spacing w:line="360" w:lineRule="auto"/>
        <w:ind w:right="-26"/>
        <w:jc w:val="center"/>
        <w:rPr>
          <w:rFonts w:hAnsi="宋体" w:cs="宋体"/>
          <w:b/>
          <w:bCs/>
          <w:kern w:val="2"/>
          <w:sz w:val="48"/>
          <w:szCs w:val="48"/>
          <w:highlight w:val="none"/>
          <w:lang w:val="zh-CN"/>
        </w:rPr>
      </w:pPr>
    </w:p>
    <w:p>
      <w:pPr>
        <w:spacing w:line="360" w:lineRule="auto"/>
        <w:ind w:right="-26"/>
        <w:jc w:val="center"/>
        <w:rPr>
          <w:rFonts w:hAnsi="宋体" w:cs="宋体"/>
          <w:b/>
          <w:bCs/>
          <w:kern w:val="2"/>
          <w:sz w:val="48"/>
          <w:szCs w:val="48"/>
          <w:highlight w:val="none"/>
          <w:lang w:val="zh-CN"/>
        </w:rPr>
      </w:pPr>
      <w:r>
        <w:rPr>
          <w:rFonts w:hint="eastAsia" w:hAnsi="宋体" w:cs="宋体"/>
          <w:b/>
          <w:bCs/>
          <w:kern w:val="2"/>
          <w:sz w:val="48"/>
          <w:szCs w:val="48"/>
          <w:highlight w:val="none"/>
          <w:lang w:val="zh-CN"/>
        </w:rPr>
        <w:t>询价文件</w:t>
      </w:r>
    </w:p>
    <w:p>
      <w:pPr>
        <w:spacing w:line="360" w:lineRule="auto"/>
        <w:ind w:right="-26"/>
        <w:jc w:val="center"/>
        <w:rPr>
          <w:rFonts w:hAnsi="宋体" w:cs="宋体"/>
          <w:b/>
          <w:bCs/>
          <w:kern w:val="2"/>
          <w:sz w:val="48"/>
          <w:szCs w:val="48"/>
          <w:highlight w:val="none"/>
          <w:lang w:val="zh-CN"/>
        </w:rPr>
      </w:pPr>
    </w:p>
    <w:p>
      <w:pPr>
        <w:spacing w:line="360" w:lineRule="auto"/>
        <w:ind w:right="-26"/>
        <w:jc w:val="center"/>
        <w:rPr>
          <w:rFonts w:hAnsi="宋体" w:cs="宋体"/>
          <w:b/>
          <w:bCs/>
          <w:kern w:val="2"/>
          <w:sz w:val="48"/>
          <w:szCs w:val="48"/>
          <w:highlight w:val="none"/>
          <w:lang w:val="zh-CN"/>
        </w:rPr>
      </w:pPr>
    </w:p>
    <w:p>
      <w:pPr>
        <w:spacing w:line="360" w:lineRule="auto"/>
        <w:ind w:right="-26"/>
        <w:jc w:val="center"/>
        <w:rPr>
          <w:rFonts w:hAnsi="宋体" w:cs="宋体"/>
          <w:b/>
          <w:bCs/>
          <w:kern w:val="2"/>
          <w:sz w:val="48"/>
          <w:szCs w:val="48"/>
          <w:highlight w:val="none"/>
          <w:lang w:val="zh-CN"/>
        </w:rPr>
      </w:pPr>
    </w:p>
    <w:p>
      <w:pPr>
        <w:spacing w:line="360" w:lineRule="auto"/>
        <w:ind w:right="-26"/>
        <w:jc w:val="center"/>
        <w:rPr>
          <w:rFonts w:hAnsi="宋体" w:cs="宋体"/>
          <w:b/>
          <w:bCs/>
          <w:kern w:val="2"/>
          <w:sz w:val="48"/>
          <w:szCs w:val="48"/>
          <w:highlight w:val="none"/>
          <w:lang w:val="zh-CN"/>
        </w:rPr>
      </w:pPr>
    </w:p>
    <w:p>
      <w:pPr>
        <w:spacing w:line="360" w:lineRule="auto"/>
        <w:ind w:right="-26"/>
        <w:jc w:val="center"/>
        <w:rPr>
          <w:rFonts w:hAnsi="宋体" w:cs="宋体"/>
          <w:b/>
          <w:bCs/>
          <w:kern w:val="2"/>
          <w:sz w:val="48"/>
          <w:szCs w:val="48"/>
          <w:highlight w:val="none"/>
          <w:lang w:val="zh-CN"/>
        </w:rPr>
      </w:pPr>
    </w:p>
    <w:p>
      <w:pPr>
        <w:spacing w:line="360" w:lineRule="auto"/>
        <w:ind w:right="-26"/>
        <w:jc w:val="center"/>
        <w:rPr>
          <w:rFonts w:hAnsi="宋体" w:cs="宋体"/>
          <w:b/>
          <w:bCs/>
          <w:kern w:val="2"/>
          <w:sz w:val="48"/>
          <w:szCs w:val="48"/>
          <w:highlight w:val="none"/>
          <w:lang w:val="zh-CN"/>
        </w:rPr>
      </w:pPr>
    </w:p>
    <w:p>
      <w:pPr>
        <w:spacing w:line="360" w:lineRule="auto"/>
        <w:ind w:right="-26"/>
        <w:jc w:val="center"/>
        <w:rPr>
          <w:rFonts w:hAnsi="宋体" w:cs="宋体"/>
          <w:b/>
          <w:bCs/>
          <w:kern w:val="2"/>
          <w:sz w:val="48"/>
          <w:szCs w:val="48"/>
          <w:highlight w:val="none"/>
          <w:lang w:val="zh-CN"/>
        </w:rPr>
      </w:pPr>
    </w:p>
    <w:p>
      <w:pPr>
        <w:spacing w:line="360" w:lineRule="auto"/>
        <w:jc w:val="center"/>
        <w:rPr>
          <w:rFonts w:hAnsi="宋体" w:cs="宋体"/>
          <w:b/>
          <w:bCs/>
          <w:sz w:val="32"/>
          <w:szCs w:val="32"/>
          <w:highlight w:val="none"/>
        </w:rPr>
      </w:pPr>
      <w:bookmarkStart w:id="0" w:name="_Hlk26971294"/>
      <w:r>
        <w:rPr>
          <w:rFonts w:hint="eastAsia" w:hAnsi="宋体" w:cs="宋体"/>
          <w:b/>
          <w:bCs/>
          <w:spacing w:val="28"/>
          <w:sz w:val="32"/>
          <w:szCs w:val="32"/>
          <w:highlight w:val="none"/>
        </w:rPr>
        <w:t>东莞市水务集团有限公司</w:t>
      </w:r>
    </w:p>
    <w:bookmarkEnd w:id="0"/>
    <w:p>
      <w:pPr>
        <w:spacing w:after="156" w:line="360" w:lineRule="auto"/>
        <w:jc w:val="center"/>
        <w:rPr>
          <w:rFonts w:hAnsi="宋体" w:cs="宋体"/>
          <w:b/>
          <w:bCs/>
          <w:kern w:val="2"/>
          <w:sz w:val="32"/>
          <w:szCs w:val="32"/>
          <w:highlight w:val="none"/>
          <w:lang w:val="zh-CN"/>
        </w:rPr>
        <w:sectPr>
          <w:footerReference r:id="rId3" w:type="default"/>
          <w:pgSz w:w="11906" w:h="16838"/>
          <w:pgMar w:top="1440" w:right="1800" w:bottom="1440" w:left="1800" w:header="851" w:footer="992" w:gutter="0"/>
          <w:cols w:space="0" w:num="1"/>
          <w:docGrid w:type="lines" w:linePitch="332" w:charSpace="0"/>
        </w:sectPr>
      </w:pPr>
      <w:r>
        <w:rPr>
          <w:rFonts w:hint="eastAsia" w:hAnsi="宋体" w:cs="宋体"/>
          <w:b/>
          <w:bCs/>
          <w:kern w:val="2"/>
          <w:sz w:val="32"/>
          <w:szCs w:val="32"/>
          <w:highlight w:val="none"/>
          <w:lang w:val="zh-CN"/>
        </w:rPr>
        <w:t>202</w:t>
      </w:r>
      <w:r>
        <w:rPr>
          <w:rFonts w:hint="eastAsia" w:hAnsi="宋体" w:cs="宋体"/>
          <w:b/>
          <w:bCs/>
          <w:kern w:val="2"/>
          <w:sz w:val="32"/>
          <w:szCs w:val="32"/>
          <w:highlight w:val="none"/>
        </w:rPr>
        <w:t>4</w:t>
      </w:r>
      <w:r>
        <w:rPr>
          <w:rFonts w:hint="eastAsia" w:hAnsi="宋体" w:cs="宋体"/>
          <w:b/>
          <w:bCs/>
          <w:kern w:val="2"/>
          <w:sz w:val="32"/>
          <w:szCs w:val="32"/>
          <w:highlight w:val="none"/>
          <w:lang w:val="zh-CN"/>
        </w:rPr>
        <w:t>年</w:t>
      </w:r>
      <w:r>
        <w:rPr>
          <w:rFonts w:hint="eastAsia" w:hAnsi="宋体" w:cs="宋体"/>
          <w:b/>
          <w:bCs/>
          <w:kern w:val="2"/>
          <w:sz w:val="32"/>
          <w:szCs w:val="32"/>
          <w:highlight w:val="none"/>
        </w:rPr>
        <w:t xml:space="preserve"> </w:t>
      </w:r>
      <w:r>
        <w:rPr>
          <w:rFonts w:hint="eastAsia" w:hAnsi="宋体" w:cs="宋体"/>
          <w:b/>
          <w:bCs/>
          <w:kern w:val="2"/>
          <w:sz w:val="32"/>
          <w:szCs w:val="32"/>
          <w:highlight w:val="none"/>
          <w:lang w:val="en-US" w:eastAsia="zh-CN"/>
        </w:rPr>
        <w:t>11</w:t>
      </w:r>
      <w:r>
        <w:rPr>
          <w:rFonts w:hint="eastAsia" w:hAnsi="宋体" w:cs="宋体"/>
          <w:b/>
          <w:bCs/>
          <w:kern w:val="2"/>
          <w:sz w:val="32"/>
          <w:szCs w:val="32"/>
          <w:highlight w:val="none"/>
        </w:rPr>
        <w:t xml:space="preserve"> </w:t>
      </w:r>
      <w:r>
        <w:rPr>
          <w:rFonts w:hint="eastAsia" w:hAnsi="宋体" w:cs="宋体"/>
          <w:b/>
          <w:bCs/>
          <w:kern w:val="2"/>
          <w:sz w:val="32"/>
          <w:szCs w:val="32"/>
          <w:highlight w:val="none"/>
          <w:lang w:val="zh-CN"/>
        </w:rPr>
        <w:t>月</w:t>
      </w:r>
      <w:r>
        <w:rPr>
          <w:rFonts w:hint="eastAsia" w:hAnsi="宋体" w:cs="宋体"/>
          <w:b/>
          <w:bCs/>
          <w:kern w:val="2"/>
          <w:sz w:val="32"/>
          <w:szCs w:val="32"/>
          <w:highlight w:val="none"/>
        </w:rPr>
        <w:t xml:space="preserve"> </w:t>
      </w:r>
      <w:r>
        <w:rPr>
          <w:rFonts w:hint="eastAsia" w:hAnsi="宋体" w:cs="宋体"/>
          <w:b/>
          <w:bCs/>
          <w:kern w:val="2"/>
          <w:sz w:val="32"/>
          <w:szCs w:val="32"/>
          <w:highlight w:val="none"/>
          <w:lang w:val="en-US" w:eastAsia="zh-CN"/>
        </w:rPr>
        <w:t>15</w:t>
      </w:r>
      <w:r>
        <w:rPr>
          <w:rFonts w:hint="eastAsia" w:hAnsi="宋体" w:cs="宋体"/>
          <w:b/>
          <w:bCs/>
          <w:kern w:val="2"/>
          <w:sz w:val="32"/>
          <w:szCs w:val="32"/>
          <w:highlight w:val="none"/>
        </w:rPr>
        <w:t xml:space="preserve"> </w:t>
      </w:r>
      <w:r>
        <w:rPr>
          <w:rFonts w:hint="eastAsia" w:hAnsi="宋体" w:cs="宋体"/>
          <w:b/>
          <w:bCs/>
          <w:kern w:val="2"/>
          <w:sz w:val="32"/>
          <w:szCs w:val="32"/>
          <w:highlight w:val="none"/>
          <w:lang w:val="zh-CN"/>
        </w:rPr>
        <w:t>日</w:t>
      </w:r>
    </w:p>
    <w:sdt>
      <w:sdtPr>
        <w:rPr>
          <w:rFonts w:hint="eastAsia" w:ascii="宋体" w:hAnsi="宋体" w:eastAsia="宋体" w:cs="宋体"/>
          <w:color w:val="auto"/>
          <w:sz w:val="24"/>
          <w:szCs w:val="24"/>
          <w:highlight w:val="none"/>
          <w:lang w:val="zh-CN"/>
        </w:rPr>
        <w:id w:val="1797334744"/>
        <w:docPartObj>
          <w:docPartGallery w:val="Table of Contents"/>
          <w:docPartUnique/>
        </w:docPartObj>
      </w:sdtPr>
      <w:sdtEndPr>
        <w:rPr>
          <w:rFonts w:hint="eastAsia" w:ascii="宋体" w:hAnsi="宋体" w:eastAsia="宋体" w:cs="宋体"/>
          <w:b/>
          <w:bCs/>
          <w:color w:val="auto"/>
          <w:sz w:val="24"/>
          <w:szCs w:val="24"/>
          <w:highlight w:val="none"/>
          <w:lang w:val="zh-CN"/>
        </w:rPr>
      </w:sdtEndPr>
      <w:sdtContent>
        <w:p>
          <w:pPr>
            <w:pStyle w:val="21"/>
            <w:spacing w:before="0" w:line="360" w:lineRule="auto"/>
            <w:jc w:val="center"/>
            <w:rPr>
              <w:rFonts w:ascii="宋体" w:hAnsi="宋体" w:eastAsia="宋体" w:cs="宋体"/>
              <w:b/>
              <w:bCs/>
              <w:color w:val="auto"/>
              <w:highlight w:val="none"/>
            </w:rPr>
          </w:pPr>
          <w:r>
            <w:rPr>
              <w:rFonts w:hint="eastAsia" w:ascii="宋体" w:hAnsi="宋体" w:eastAsia="宋体" w:cs="宋体"/>
              <w:b/>
              <w:bCs/>
              <w:color w:val="auto"/>
              <w:highlight w:val="none"/>
              <w:lang w:val="zh-CN"/>
            </w:rPr>
            <w:t>目   录</w:t>
          </w:r>
        </w:p>
        <w:p>
          <w:pPr>
            <w:pStyle w:val="12"/>
            <w:rPr>
              <w:rFonts w:hAnsi="宋体" w:cs="宋体"/>
              <w:kern w:val="2"/>
              <w:sz w:val="22"/>
              <w:highlight w:val="none"/>
            </w:rPr>
          </w:pPr>
          <w:r>
            <w:rPr>
              <w:rFonts w:hint="eastAsia" w:hAnsi="宋体" w:cs="宋体"/>
              <w:sz w:val="40"/>
              <w:szCs w:val="40"/>
              <w:highlight w:val="none"/>
            </w:rPr>
            <w:fldChar w:fldCharType="begin"/>
          </w:r>
          <w:r>
            <w:rPr>
              <w:rFonts w:hint="eastAsia" w:hAnsi="宋体" w:cs="宋体"/>
              <w:sz w:val="40"/>
              <w:szCs w:val="40"/>
              <w:highlight w:val="none"/>
            </w:rPr>
            <w:instrText xml:space="preserve"> TOC \o "1-3" \h \z \u </w:instrText>
          </w:r>
          <w:r>
            <w:rPr>
              <w:rFonts w:hint="eastAsia" w:hAnsi="宋体" w:cs="宋体"/>
              <w:sz w:val="40"/>
              <w:szCs w:val="40"/>
              <w:highlight w:val="none"/>
            </w:rPr>
            <w:fldChar w:fldCharType="separate"/>
          </w:r>
          <w:r>
            <w:rPr>
              <w:highlight w:val="none"/>
            </w:rPr>
            <w:fldChar w:fldCharType="begin"/>
          </w:r>
          <w:r>
            <w:rPr>
              <w:highlight w:val="none"/>
            </w:rPr>
            <w:instrText xml:space="preserve"> HYPERLINK \l "_Toc29476690" </w:instrText>
          </w:r>
          <w:r>
            <w:rPr>
              <w:highlight w:val="none"/>
            </w:rPr>
            <w:fldChar w:fldCharType="separate"/>
          </w:r>
          <w:r>
            <w:rPr>
              <w:rStyle w:val="19"/>
              <w:rFonts w:hint="eastAsia" w:hAnsi="宋体" w:cs="宋体"/>
              <w:color w:val="auto"/>
              <w:sz w:val="28"/>
              <w:szCs w:val="28"/>
              <w:highlight w:val="none"/>
            </w:rPr>
            <w:t>第一章 询价邀请函</w:t>
          </w:r>
          <w:r>
            <w:rPr>
              <w:rFonts w:hint="eastAsia" w:hAnsi="宋体" w:cs="宋体"/>
              <w:sz w:val="28"/>
              <w:szCs w:val="28"/>
              <w:highlight w:val="none"/>
            </w:rPr>
            <w:tab/>
          </w:r>
          <w:r>
            <w:rPr>
              <w:rFonts w:hint="eastAsia" w:hAnsi="宋体" w:cs="宋体"/>
              <w:sz w:val="28"/>
              <w:szCs w:val="28"/>
              <w:highlight w:val="none"/>
            </w:rPr>
            <w:fldChar w:fldCharType="begin"/>
          </w:r>
          <w:r>
            <w:rPr>
              <w:rFonts w:hint="eastAsia" w:hAnsi="宋体" w:cs="宋体"/>
              <w:sz w:val="28"/>
              <w:szCs w:val="28"/>
              <w:highlight w:val="none"/>
            </w:rPr>
            <w:instrText xml:space="preserve"> PAGEREF _Toc29476690 \h </w:instrText>
          </w:r>
          <w:r>
            <w:rPr>
              <w:rFonts w:hint="eastAsia" w:hAnsi="宋体" w:cs="宋体"/>
              <w:sz w:val="28"/>
              <w:szCs w:val="28"/>
              <w:highlight w:val="none"/>
            </w:rPr>
            <w:fldChar w:fldCharType="separate"/>
          </w:r>
          <w:r>
            <w:rPr>
              <w:rFonts w:hint="eastAsia" w:hAnsi="宋体" w:cs="宋体"/>
              <w:sz w:val="28"/>
              <w:szCs w:val="28"/>
              <w:highlight w:val="none"/>
            </w:rPr>
            <w:t>3</w:t>
          </w:r>
          <w:r>
            <w:rPr>
              <w:rFonts w:hint="eastAsia" w:hAnsi="宋体" w:cs="宋体"/>
              <w:sz w:val="28"/>
              <w:szCs w:val="28"/>
              <w:highlight w:val="none"/>
            </w:rPr>
            <w:fldChar w:fldCharType="end"/>
          </w:r>
          <w:r>
            <w:rPr>
              <w:rFonts w:hint="eastAsia" w:hAnsi="宋体" w:cs="宋体"/>
              <w:sz w:val="28"/>
              <w:szCs w:val="28"/>
              <w:highlight w:val="none"/>
            </w:rPr>
            <w:fldChar w:fldCharType="end"/>
          </w:r>
        </w:p>
        <w:p>
          <w:pPr>
            <w:pStyle w:val="12"/>
            <w:rPr>
              <w:rFonts w:hAnsi="宋体" w:cs="宋体"/>
              <w:kern w:val="2"/>
              <w:sz w:val="22"/>
              <w:highlight w:val="none"/>
            </w:rPr>
          </w:pPr>
          <w:r>
            <w:rPr>
              <w:highlight w:val="none"/>
            </w:rPr>
            <w:fldChar w:fldCharType="begin"/>
          </w:r>
          <w:r>
            <w:rPr>
              <w:highlight w:val="none"/>
            </w:rPr>
            <w:instrText xml:space="preserve"> HYPERLINK \l "_Toc29476691" </w:instrText>
          </w:r>
          <w:r>
            <w:rPr>
              <w:highlight w:val="none"/>
            </w:rPr>
            <w:fldChar w:fldCharType="separate"/>
          </w:r>
          <w:r>
            <w:rPr>
              <w:rStyle w:val="19"/>
              <w:rFonts w:hint="eastAsia" w:hAnsi="宋体" w:cs="宋体"/>
              <w:color w:val="auto"/>
              <w:sz w:val="28"/>
              <w:szCs w:val="28"/>
              <w:highlight w:val="none"/>
            </w:rPr>
            <w:t>第二章 用户需求</w:t>
          </w:r>
          <w:r>
            <w:rPr>
              <w:rFonts w:hint="eastAsia" w:hAnsi="宋体" w:cs="宋体"/>
              <w:sz w:val="28"/>
              <w:szCs w:val="28"/>
              <w:highlight w:val="none"/>
            </w:rPr>
            <w:tab/>
          </w:r>
          <w:r>
            <w:rPr>
              <w:rFonts w:hint="eastAsia" w:hAnsi="宋体" w:cs="宋体"/>
              <w:sz w:val="28"/>
              <w:szCs w:val="28"/>
              <w:highlight w:val="none"/>
            </w:rPr>
            <w:fldChar w:fldCharType="begin"/>
          </w:r>
          <w:r>
            <w:rPr>
              <w:rFonts w:hint="eastAsia" w:hAnsi="宋体" w:cs="宋体"/>
              <w:sz w:val="28"/>
              <w:szCs w:val="28"/>
              <w:highlight w:val="none"/>
            </w:rPr>
            <w:instrText xml:space="preserve"> PAGEREF _Toc29476691 \h </w:instrText>
          </w:r>
          <w:r>
            <w:rPr>
              <w:rFonts w:hint="eastAsia" w:hAnsi="宋体" w:cs="宋体"/>
              <w:sz w:val="28"/>
              <w:szCs w:val="28"/>
              <w:highlight w:val="none"/>
            </w:rPr>
            <w:fldChar w:fldCharType="separate"/>
          </w:r>
          <w:r>
            <w:rPr>
              <w:rFonts w:hint="eastAsia" w:hAnsi="宋体" w:cs="宋体"/>
              <w:sz w:val="28"/>
              <w:szCs w:val="28"/>
              <w:highlight w:val="none"/>
            </w:rPr>
            <w:t>4</w:t>
          </w:r>
          <w:r>
            <w:rPr>
              <w:rFonts w:hint="eastAsia" w:hAnsi="宋体" w:cs="宋体"/>
              <w:sz w:val="28"/>
              <w:szCs w:val="28"/>
              <w:highlight w:val="none"/>
            </w:rPr>
            <w:fldChar w:fldCharType="end"/>
          </w:r>
          <w:r>
            <w:rPr>
              <w:rFonts w:hint="eastAsia" w:hAnsi="宋体" w:cs="宋体"/>
              <w:sz w:val="28"/>
              <w:szCs w:val="28"/>
              <w:highlight w:val="none"/>
            </w:rPr>
            <w:fldChar w:fldCharType="end"/>
          </w:r>
        </w:p>
        <w:p>
          <w:pPr>
            <w:pStyle w:val="12"/>
            <w:rPr>
              <w:rFonts w:hAnsi="宋体" w:cs="宋体"/>
              <w:kern w:val="2"/>
              <w:sz w:val="22"/>
              <w:highlight w:val="none"/>
            </w:rPr>
          </w:pPr>
          <w:r>
            <w:rPr>
              <w:highlight w:val="none"/>
            </w:rPr>
            <w:fldChar w:fldCharType="begin"/>
          </w:r>
          <w:r>
            <w:rPr>
              <w:highlight w:val="none"/>
            </w:rPr>
            <w:instrText xml:space="preserve"> HYPERLINK \l "_Toc29476692" </w:instrText>
          </w:r>
          <w:r>
            <w:rPr>
              <w:highlight w:val="none"/>
            </w:rPr>
            <w:fldChar w:fldCharType="separate"/>
          </w:r>
          <w:r>
            <w:rPr>
              <w:rStyle w:val="19"/>
              <w:rFonts w:hint="eastAsia" w:hAnsi="宋体" w:cs="宋体"/>
              <w:color w:val="auto"/>
              <w:sz w:val="28"/>
              <w:szCs w:val="28"/>
              <w:highlight w:val="none"/>
            </w:rPr>
            <w:t>第三章 合同条款</w:t>
          </w:r>
          <w:r>
            <w:rPr>
              <w:rFonts w:hint="eastAsia" w:hAnsi="宋体" w:cs="宋体"/>
              <w:sz w:val="28"/>
              <w:szCs w:val="28"/>
              <w:highlight w:val="none"/>
            </w:rPr>
            <w:tab/>
          </w:r>
          <w:r>
            <w:rPr>
              <w:rFonts w:hint="eastAsia" w:hAnsi="宋体" w:cs="宋体"/>
              <w:sz w:val="28"/>
              <w:szCs w:val="28"/>
              <w:highlight w:val="none"/>
            </w:rPr>
            <w:fldChar w:fldCharType="begin"/>
          </w:r>
          <w:r>
            <w:rPr>
              <w:rFonts w:hint="eastAsia" w:hAnsi="宋体" w:cs="宋体"/>
              <w:sz w:val="28"/>
              <w:szCs w:val="28"/>
              <w:highlight w:val="none"/>
            </w:rPr>
            <w:instrText xml:space="preserve"> PAGEREF _Toc29476692 \h </w:instrText>
          </w:r>
          <w:r>
            <w:rPr>
              <w:rFonts w:hint="eastAsia" w:hAnsi="宋体" w:cs="宋体"/>
              <w:sz w:val="28"/>
              <w:szCs w:val="28"/>
              <w:highlight w:val="none"/>
            </w:rPr>
            <w:fldChar w:fldCharType="separate"/>
          </w:r>
          <w:r>
            <w:rPr>
              <w:rFonts w:hint="eastAsia" w:hAnsi="宋体" w:cs="宋体"/>
              <w:sz w:val="28"/>
              <w:szCs w:val="28"/>
              <w:highlight w:val="none"/>
            </w:rPr>
            <w:t>5</w:t>
          </w:r>
          <w:r>
            <w:rPr>
              <w:rFonts w:hint="eastAsia" w:hAnsi="宋体" w:cs="宋体"/>
              <w:sz w:val="28"/>
              <w:szCs w:val="28"/>
              <w:highlight w:val="none"/>
            </w:rPr>
            <w:fldChar w:fldCharType="end"/>
          </w:r>
          <w:r>
            <w:rPr>
              <w:rFonts w:hint="eastAsia" w:hAnsi="宋体" w:cs="宋体"/>
              <w:sz w:val="28"/>
              <w:szCs w:val="28"/>
              <w:highlight w:val="none"/>
            </w:rPr>
            <w:fldChar w:fldCharType="end"/>
          </w:r>
        </w:p>
        <w:p>
          <w:pPr>
            <w:pStyle w:val="12"/>
            <w:rPr>
              <w:rFonts w:hAnsi="宋体" w:cs="宋体"/>
              <w:kern w:val="2"/>
              <w:sz w:val="22"/>
              <w:highlight w:val="none"/>
            </w:rPr>
          </w:pPr>
          <w:r>
            <w:rPr>
              <w:highlight w:val="none"/>
            </w:rPr>
            <w:fldChar w:fldCharType="begin"/>
          </w:r>
          <w:r>
            <w:rPr>
              <w:highlight w:val="none"/>
            </w:rPr>
            <w:instrText xml:space="preserve"> HYPERLINK \l "_Toc29476707" </w:instrText>
          </w:r>
          <w:r>
            <w:rPr>
              <w:highlight w:val="none"/>
            </w:rPr>
            <w:fldChar w:fldCharType="separate"/>
          </w:r>
          <w:r>
            <w:rPr>
              <w:rStyle w:val="19"/>
              <w:rFonts w:hint="eastAsia" w:hAnsi="宋体" w:cs="宋体"/>
              <w:color w:val="auto"/>
              <w:sz w:val="28"/>
              <w:szCs w:val="28"/>
              <w:highlight w:val="none"/>
            </w:rPr>
            <w:t>第四章 报价须知</w:t>
          </w:r>
          <w:r>
            <w:rPr>
              <w:rFonts w:hint="eastAsia" w:hAnsi="宋体" w:cs="宋体"/>
              <w:sz w:val="28"/>
              <w:szCs w:val="28"/>
              <w:highlight w:val="none"/>
            </w:rPr>
            <w:tab/>
          </w:r>
          <w:r>
            <w:rPr>
              <w:rFonts w:hint="eastAsia" w:hAnsi="宋体" w:cs="宋体"/>
              <w:sz w:val="28"/>
              <w:szCs w:val="28"/>
              <w:highlight w:val="none"/>
            </w:rPr>
            <w:fldChar w:fldCharType="begin"/>
          </w:r>
          <w:r>
            <w:rPr>
              <w:rFonts w:hint="eastAsia" w:hAnsi="宋体" w:cs="宋体"/>
              <w:sz w:val="28"/>
              <w:szCs w:val="28"/>
              <w:highlight w:val="none"/>
            </w:rPr>
            <w:instrText xml:space="preserve"> PAGEREF _Toc29476707 \h </w:instrText>
          </w:r>
          <w:r>
            <w:rPr>
              <w:rFonts w:hint="eastAsia" w:hAnsi="宋体" w:cs="宋体"/>
              <w:sz w:val="28"/>
              <w:szCs w:val="28"/>
              <w:highlight w:val="none"/>
            </w:rPr>
            <w:fldChar w:fldCharType="separate"/>
          </w:r>
          <w:r>
            <w:rPr>
              <w:rFonts w:hint="eastAsia" w:hAnsi="宋体" w:cs="宋体"/>
              <w:sz w:val="28"/>
              <w:szCs w:val="28"/>
              <w:highlight w:val="none"/>
            </w:rPr>
            <w:t>6</w:t>
          </w:r>
          <w:r>
            <w:rPr>
              <w:rFonts w:hint="eastAsia" w:hAnsi="宋体" w:cs="宋体"/>
              <w:sz w:val="28"/>
              <w:szCs w:val="28"/>
              <w:highlight w:val="none"/>
            </w:rPr>
            <w:fldChar w:fldCharType="end"/>
          </w:r>
          <w:r>
            <w:rPr>
              <w:rFonts w:hint="eastAsia" w:hAnsi="宋体" w:cs="宋体"/>
              <w:sz w:val="28"/>
              <w:szCs w:val="28"/>
              <w:highlight w:val="none"/>
            </w:rPr>
            <w:fldChar w:fldCharType="end"/>
          </w:r>
        </w:p>
        <w:p>
          <w:pPr>
            <w:pStyle w:val="12"/>
            <w:rPr>
              <w:rFonts w:hAnsi="宋体" w:cs="宋体"/>
              <w:kern w:val="2"/>
              <w:sz w:val="22"/>
              <w:highlight w:val="none"/>
            </w:rPr>
          </w:pPr>
          <w:r>
            <w:rPr>
              <w:highlight w:val="none"/>
            </w:rPr>
            <w:fldChar w:fldCharType="begin"/>
          </w:r>
          <w:r>
            <w:rPr>
              <w:highlight w:val="none"/>
            </w:rPr>
            <w:instrText xml:space="preserve"> HYPERLINK \l "_Toc29476708" </w:instrText>
          </w:r>
          <w:r>
            <w:rPr>
              <w:highlight w:val="none"/>
            </w:rPr>
            <w:fldChar w:fldCharType="separate"/>
          </w:r>
          <w:r>
            <w:rPr>
              <w:rStyle w:val="19"/>
              <w:rFonts w:hint="eastAsia" w:hAnsi="宋体" w:cs="宋体"/>
              <w:color w:val="auto"/>
              <w:sz w:val="28"/>
              <w:szCs w:val="28"/>
              <w:highlight w:val="none"/>
            </w:rPr>
            <w:t>第五章 报价文件（格式）</w:t>
          </w:r>
          <w:r>
            <w:rPr>
              <w:rFonts w:hint="eastAsia" w:hAnsi="宋体" w:cs="宋体"/>
              <w:sz w:val="28"/>
              <w:szCs w:val="28"/>
              <w:highlight w:val="none"/>
            </w:rPr>
            <w:tab/>
          </w:r>
          <w:r>
            <w:rPr>
              <w:rFonts w:hint="eastAsia" w:hAnsi="宋体" w:cs="宋体"/>
              <w:sz w:val="28"/>
              <w:szCs w:val="28"/>
              <w:highlight w:val="none"/>
            </w:rPr>
            <w:fldChar w:fldCharType="begin"/>
          </w:r>
          <w:r>
            <w:rPr>
              <w:rFonts w:hint="eastAsia" w:hAnsi="宋体" w:cs="宋体"/>
              <w:sz w:val="28"/>
              <w:szCs w:val="28"/>
              <w:highlight w:val="none"/>
            </w:rPr>
            <w:instrText xml:space="preserve"> PAGEREF _Toc29476708 \h </w:instrText>
          </w:r>
          <w:r>
            <w:rPr>
              <w:rFonts w:hint="eastAsia" w:hAnsi="宋体" w:cs="宋体"/>
              <w:sz w:val="28"/>
              <w:szCs w:val="28"/>
              <w:highlight w:val="none"/>
            </w:rPr>
            <w:fldChar w:fldCharType="separate"/>
          </w:r>
          <w:r>
            <w:rPr>
              <w:rFonts w:hint="eastAsia" w:hAnsi="宋体" w:cs="宋体"/>
              <w:sz w:val="28"/>
              <w:szCs w:val="28"/>
              <w:highlight w:val="none"/>
            </w:rPr>
            <w:t>8</w:t>
          </w:r>
          <w:r>
            <w:rPr>
              <w:rFonts w:hint="eastAsia" w:hAnsi="宋体" w:cs="宋体"/>
              <w:sz w:val="28"/>
              <w:szCs w:val="28"/>
              <w:highlight w:val="none"/>
            </w:rPr>
            <w:fldChar w:fldCharType="end"/>
          </w:r>
          <w:r>
            <w:rPr>
              <w:rFonts w:hint="eastAsia" w:hAnsi="宋体" w:cs="宋体"/>
              <w:sz w:val="28"/>
              <w:szCs w:val="28"/>
              <w:highlight w:val="none"/>
            </w:rPr>
            <w:fldChar w:fldCharType="end"/>
          </w:r>
        </w:p>
        <w:p>
          <w:pPr>
            <w:spacing w:line="360" w:lineRule="auto"/>
            <w:rPr>
              <w:rFonts w:hAnsi="宋体" w:cs="宋体"/>
              <w:sz w:val="32"/>
              <w:szCs w:val="32"/>
              <w:highlight w:val="none"/>
            </w:rPr>
          </w:pPr>
          <w:r>
            <w:rPr>
              <w:rFonts w:hint="eastAsia" w:hAnsi="宋体" w:cs="宋体"/>
              <w:sz w:val="40"/>
              <w:szCs w:val="40"/>
              <w:highlight w:val="none"/>
              <w:lang w:val="zh-CN"/>
            </w:rPr>
            <w:fldChar w:fldCharType="end"/>
          </w:r>
        </w:p>
      </w:sdtContent>
    </w:sdt>
    <w:p>
      <w:pPr>
        <w:spacing w:after="156" w:line="360" w:lineRule="auto"/>
        <w:jc w:val="center"/>
        <w:rPr>
          <w:rFonts w:hAnsi="宋体" w:cs="宋体"/>
          <w:b/>
          <w:bCs/>
          <w:spacing w:val="28"/>
          <w:sz w:val="32"/>
          <w:szCs w:val="32"/>
          <w:highlight w:val="none"/>
        </w:rPr>
      </w:pPr>
    </w:p>
    <w:p>
      <w:pPr>
        <w:spacing w:line="360" w:lineRule="auto"/>
        <w:rPr>
          <w:rFonts w:hAnsi="宋体" w:cs="宋体"/>
          <w:highlight w:val="none"/>
        </w:rPr>
        <w:sectPr>
          <w:pgSz w:w="11906" w:h="16838"/>
          <w:pgMar w:top="1440" w:right="1803" w:bottom="1440" w:left="1803" w:header="851" w:footer="992" w:gutter="0"/>
          <w:cols w:space="0" w:num="1"/>
          <w:docGrid w:type="lines" w:linePitch="332" w:charSpace="0"/>
        </w:sectPr>
      </w:pPr>
    </w:p>
    <w:p>
      <w:pPr>
        <w:pStyle w:val="3"/>
        <w:spacing w:before="0" w:after="0"/>
        <w:jc w:val="center"/>
        <w:rPr>
          <w:rFonts w:hAnsi="宋体" w:cs="宋体"/>
          <w:b w:val="0"/>
          <w:bCs w:val="0"/>
          <w:szCs w:val="32"/>
          <w:highlight w:val="none"/>
        </w:rPr>
      </w:pPr>
      <w:bookmarkStart w:id="1" w:name="_Toc29476690"/>
      <w:r>
        <w:rPr>
          <w:rFonts w:hint="eastAsia" w:hAnsi="宋体" w:cs="宋体"/>
          <w:szCs w:val="32"/>
          <w:highlight w:val="none"/>
        </w:rPr>
        <w:t>第一章 询价邀请函</w:t>
      </w:r>
      <w:bookmarkEnd w:id="1"/>
    </w:p>
    <w:p>
      <w:pPr>
        <w:spacing w:line="460" w:lineRule="exact"/>
        <w:rPr>
          <w:rFonts w:hAnsi="宋体" w:cs="宋体"/>
          <w:highlight w:val="none"/>
        </w:rPr>
      </w:pPr>
      <w:r>
        <w:rPr>
          <w:rFonts w:hint="eastAsia" w:hAnsi="宋体" w:cs="宋体"/>
          <w:highlight w:val="none"/>
        </w:rPr>
        <w:t>各供应商：</w:t>
      </w:r>
    </w:p>
    <w:p>
      <w:pPr>
        <w:spacing w:line="460" w:lineRule="exact"/>
        <w:ind w:firstLine="480" w:firstLineChars="200"/>
        <w:rPr>
          <w:rFonts w:hAnsi="宋体" w:cs="宋体"/>
          <w:highlight w:val="none"/>
        </w:rPr>
      </w:pPr>
      <w:r>
        <w:rPr>
          <w:rFonts w:hint="eastAsia" w:hAnsi="宋体" w:cs="宋体"/>
          <w:highlight w:val="none"/>
        </w:rPr>
        <w:t>我公司的</w:t>
      </w:r>
      <w:r>
        <w:rPr>
          <w:rFonts w:hint="eastAsia" w:hAnsi="宋体" w:cs="宋体"/>
          <w:highlight w:val="none"/>
          <w:u w:val="single"/>
        </w:rPr>
        <w:t>“</w:t>
      </w:r>
      <w:r>
        <w:rPr>
          <w:rFonts w:hint="eastAsia" w:hAnsi="宋体" w:cs="宋体"/>
          <w:highlight w:val="none"/>
          <w:u w:val="single"/>
          <w:lang w:eastAsia="zh-CN"/>
        </w:rPr>
        <w:t>东莞市水务集团有限公司OA系统信息安全加固服务项目</w:t>
      </w:r>
      <w:r>
        <w:rPr>
          <w:rFonts w:hint="eastAsia" w:hAnsi="宋体" w:cs="宋体"/>
          <w:highlight w:val="none"/>
          <w:u w:val="single"/>
        </w:rPr>
        <w:t>”</w:t>
      </w:r>
      <w:r>
        <w:rPr>
          <w:rFonts w:hint="eastAsia" w:hAnsi="宋体" w:cs="宋体"/>
          <w:highlight w:val="none"/>
        </w:rPr>
        <w:t>正式开展，现邀请贵司参与本项目的询价采购。具体采购信息如下：</w:t>
      </w:r>
    </w:p>
    <w:p>
      <w:pPr>
        <w:numPr>
          <w:ilvl w:val="0"/>
          <w:numId w:val="3"/>
        </w:numPr>
        <w:spacing w:line="460" w:lineRule="exact"/>
        <w:rPr>
          <w:rFonts w:hAnsi="宋体" w:cs="宋体"/>
          <w:highlight w:val="none"/>
        </w:rPr>
      </w:pPr>
      <w:r>
        <w:rPr>
          <w:rFonts w:hint="eastAsia" w:hAnsi="宋体" w:cs="宋体"/>
          <w:highlight w:val="none"/>
        </w:rPr>
        <w:t>采购项目名称：</w:t>
      </w:r>
      <w:r>
        <w:rPr>
          <w:rFonts w:hint="eastAsia" w:hAnsi="宋体" w:cs="宋体"/>
          <w:highlight w:val="none"/>
          <w:lang w:eastAsia="zh-CN"/>
        </w:rPr>
        <w:t>东莞市水务集团有限公司OA系统信息安全加固服务项目</w:t>
      </w:r>
    </w:p>
    <w:p>
      <w:pPr>
        <w:numPr>
          <w:ilvl w:val="0"/>
          <w:numId w:val="3"/>
        </w:numPr>
        <w:spacing w:line="460" w:lineRule="exact"/>
        <w:rPr>
          <w:rFonts w:hAnsi="宋体" w:cs="宋体"/>
          <w:highlight w:val="none"/>
        </w:rPr>
      </w:pPr>
      <w:r>
        <w:rPr>
          <w:rFonts w:hint="eastAsia" w:hAnsi="宋体" w:cs="宋体"/>
          <w:highlight w:val="none"/>
        </w:rPr>
        <w:t>采购预算：不含税最高限价为344,484.55元。</w:t>
      </w:r>
    </w:p>
    <w:p>
      <w:pPr>
        <w:numPr>
          <w:ilvl w:val="0"/>
          <w:numId w:val="3"/>
        </w:numPr>
        <w:spacing w:line="460" w:lineRule="exact"/>
        <w:rPr>
          <w:rFonts w:hAnsi="宋体" w:cs="宋体"/>
          <w:highlight w:val="none"/>
        </w:rPr>
      </w:pPr>
      <w:r>
        <w:rPr>
          <w:rFonts w:hint="eastAsia" w:hAnsi="宋体" w:cs="宋体"/>
          <w:highlight w:val="none"/>
        </w:rPr>
        <w:t>采购内容：东莞市水务集团有限公司OA系统信息安全加固服务（具体详见用户需求书）</w:t>
      </w:r>
    </w:p>
    <w:p>
      <w:pPr>
        <w:numPr>
          <w:ilvl w:val="0"/>
          <w:numId w:val="3"/>
        </w:numPr>
        <w:spacing w:line="460" w:lineRule="exact"/>
        <w:rPr>
          <w:rFonts w:hAnsi="宋体" w:cs="宋体"/>
          <w:highlight w:val="none"/>
        </w:rPr>
      </w:pPr>
      <w:r>
        <w:rPr>
          <w:rFonts w:hint="eastAsia" w:hAnsi="宋体" w:cs="宋体"/>
          <w:highlight w:val="none"/>
        </w:rPr>
        <w:t>资质要求</w:t>
      </w:r>
    </w:p>
    <w:p>
      <w:pPr>
        <w:spacing w:line="460" w:lineRule="exact"/>
        <w:ind w:firstLine="424" w:firstLineChars="177"/>
        <w:rPr>
          <w:rFonts w:hAnsi="宋体" w:cs="宋体"/>
          <w:highlight w:val="none"/>
        </w:rPr>
      </w:pPr>
      <w:r>
        <w:rPr>
          <w:rFonts w:hint="eastAsia" w:hAnsi="宋体" w:cs="宋体"/>
          <w:highlight w:val="none"/>
        </w:rPr>
        <w:t>1.在中华人民共和国境内登记注册、合法存续、正常经营且具有独立承担民事责任能力的法人或其他组织。</w:t>
      </w:r>
    </w:p>
    <w:p>
      <w:pPr>
        <w:spacing w:line="460" w:lineRule="exact"/>
        <w:ind w:firstLine="424" w:firstLineChars="177"/>
        <w:rPr>
          <w:rFonts w:hAnsi="宋体" w:cs="宋体"/>
          <w:highlight w:val="none"/>
        </w:rPr>
      </w:pPr>
      <w:r>
        <w:rPr>
          <w:rFonts w:hint="eastAsia" w:hAnsi="宋体" w:cs="宋体"/>
          <w:highlight w:val="none"/>
        </w:rPr>
        <w:t>2.报价人应具备致远办公系统A8+产品服务原厂证明或授权代理资质。</w:t>
      </w:r>
    </w:p>
    <w:p>
      <w:pPr>
        <w:numPr>
          <w:ilvl w:val="0"/>
          <w:numId w:val="3"/>
        </w:numPr>
        <w:spacing w:line="460" w:lineRule="exact"/>
        <w:rPr>
          <w:rFonts w:hAnsi="宋体" w:cs="宋体"/>
          <w:highlight w:val="none"/>
        </w:rPr>
      </w:pPr>
      <w:r>
        <w:rPr>
          <w:rFonts w:hint="eastAsia" w:hAnsi="宋体" w:cs="宋体"/>
          <w:highlight w:val="none"/>
        </w:rPr>
        <w:t>成交原则：从实质性满足采购需求的供应商中，按不含税价最低成交原则确定成交供应商。</w:t>
      </w:r>
    </w:p>
    <w:p>
      <w:pPr>
        <w:numPr>
          <w:ilvl w:val="0"/>
          <w:numId w:val="3"/>
        </w:numPr>
        <w:spacing w:line="460" w:lineRule="exact"/>
        <w:rPr>
          <w:rFonts w:hAnsi="宋体" w:cs="宋体"/>
          <w:highlight w:val="none"/>
        </w:rPr>
      </w:pPr>
      <w:r>
        <w:rPr>
          <w:rFonts w:hint="eastAsia" w:hAnsi="宋体" w:cs="宋体"/>
          <w:highlight w:val="none"/>
        </w:rPr>
        <w:t>报价文件递交截止时间：</w:t>
      </w:r>
      <w:bookmarkStart w:id="2" w:name="_Hlk27138379"/>
      <w:r>
        <w:rPr>
          <w:rFonts w:hint="eastAsia" w:hAnsi="宋体" w:cs="宋体"/>
          <w:highlight w:val="none"/>
        </w:rPr>
        <w:t xml:space="preserve">2024年 </w:t>
      </w:r>
      <w:r>
        <w:rPr>
          <w:rFonts w:hint="eastAsia" w:hAnsi="宋体" w:cs="宋体"/>
          <w:highlight w:val="none"/>
          <w:lang w:val="en-US" w:eastAsia="zh-CN"/>
        </w:rPr>
        <w:t>11</w:t>
      </w:r>
      <w:r>
        <w:rPr>
          <w:rFonts w:hint="eastAsia" w:hAnsi="宋体" w:cs="宋体"/>
          <w:highlight w:val="none"/>
        </w:rPr>
        <w:t xml:space="preserve"> 月 </w:t>
      </w:r>
      <w:r>
        <w:rPr>
          <w:rFonts w:hint="eastAsia" w:hAnsi="宋体" w:cs="宋体"/>
          <w:highlight w:val="none"/>
          <w:lang w:val="en-US" w:eastAsia="zh-CN"/>
        </w:rPr>
        <w:t>21</w:t>
      </w:r>
      <w:r>
        <w:rPr>
          <w:rFonts w:hint="eastAsia" w:hAnsi="宋体" w:cs="宋体"/>
          <w:highlight w:val="none"/>
        </w:rPr>
        <w:t xml:space="preserve"> 日10时00分</w:t>
      </w:r>
      <w:bookmarkEnd w:id="2"/>
      <w:r>
        <w:rPr>
          <w:rFonts w:hint="eastAsia" w:hAnsi="宋体" w:cs="宋体"/>
          <w:highlight w:val="none"/>
        </w:rPr>
        <w:t>。</w:t>
      </w:r>
    </w:p>
    <w:p>
      <w:pPr>
        <w:numPr>
          <w:ilvl w:val="0"/>
          <w:numId w:val="3"/>
        </w:numPr>
        <w:spacing w:line="460" w:lineRule="exact"/>
        <w:rPr>
          <w:rFonts w:hAnsi="宋体" w:cs="宋体"/>
          <w:highlight w:val="none"/>
        </w:rPr>
      </w:pPr>
      <w:r>
        <w:rPr>
          <w:rFonts w:hint="eastAsia" w:hAnsi="宋体" w:cs="宋体"/>
          <w:highlight w:val="none"/>
        </w:rPr>
        <w:t>报价文件递交地点：东莞市东城街道育华路1号东莞市水务集团有限公司。</w:t>
      </w:r>
    </w:p>
    <w:p>
      <w:pPr>
        <w:numPr>
          <w:ilvl w:val="0"/>
          <w:numId w:val="3"/>
        </w:numPr>
        <w:spacing w:line="460" w:lineRule="exact"/>
        <w:rPr>
          <w:rFonts w:hAnsi="宋体" w:cs="宋体"/>
          <w:highlight w:val="none"/>
        </w:rPr>
      </w:pPr>
      <w:r>
        <w:rPr>
          <w:rFonts w:hint="eastAsia" w:hAnsi="宋体" w:cs="宋体"/>
          <w:highlight w:val="none"/>
        </w:rPr>
        <w:t xml:space="preserve">报价文件开封时间：2024年 </w:t>
      </w:r>
      <w:r>
        <w:rPr>
          <w:rFonts w:hint="eastAsia" w:hAnsi="宋体" w:cs="宋体"/>
          <w:highlight w:val="none"/>
          <w:lang w:val="en-US" w:eastAsia="zh-CN"/>
        </w:rPr>
        <w:t>11</w:t>
      </w:r>
      <w:r>
        <w:rPr>
          <w:rFonts w:hint="eastAsia" w:hAnsi="宋体" w:cs="宋体"/>
          <w:highlight w:val="none"/>
        </w:rPr>
        <w:t xml:space="preserve"> 月 </w:t>
      </w:r>
      <w:r>
        <w:rPr>
          <w:rFonts w:hint="eastAsia" w:hAnsi="宋体" w:cs="宋体"/>
          <w:highlight w:val="none"/>
          <w:lang w:val="en-US" w:eastAsia="zh-CN"/>
        </w:rPr>
        <w:t>21</w:t>
      </w:r>
      <w:r>
        <w:rPr>
          <w:rFonts w:hint="eastAsia" w:hAnsi="宋体" w:cs="宋体"/>
          <w:highlight w:val="none"/>
        </w:rPr>
        <w:t xml:space="preserve"> 日10时00分。</w:t>
      </w:r>
    </w:p>
    <w:p>
      <w:pPr>
        <w:numPr>
          <w:ilvl w:val="0"/>
          <w:numId w:val="3"/>
        </w:numPr>
        <w:spacing w:line="460" w:lineRule="exact"/>
        <w:rPr>
          <w:rFonts w:hAnsi="宋体" w:cs="宋体"/>
          <w:highlight w:val="none"/>
        </w:rPr>
      </w:pPr>
      <w:r>
        <w:rPr>
          <w:rFonts w:hint="eastAsia" w:hAnsi="宋体" w:cs="宋体"/>
          <w:highlight w:val="none"/>
        </w:rPr>
        <w:t>开封地点：东莞市水务集团有限公司会议室。</w:t>
      </w:r>
    </w:p>
    <w:p>
      <w:pPr>
        <w:numPr>
          <w:ilvl w:val="0"/>
          <w:numId w:val="3"/>
        </w:numPr>
        <w:spacing w:line="460" w:lineRule="exact"/>
        <w:rPr>
          <w:rFonts w:hAnsi="宋体" w:cs="宋体"/>
          <w:highlight w:val="none"/>
        </w:rPr>
      </w:pPr>
      <w:r>
        <w:rPr>
          <w:rFonts w:hint="eastAsia" w:hAnsi="宋体" w:cs="宋体"/>
          <w:highlight w:val="none"/>
        </w:rPr>
        <w:t>采购人联系方式：</w:t>
      </w:r>
    </w:p>
    <w:p>
      <w:pPr>
        <w:spacing w:line="460" w:lineRule="exact"/>
        <w:ind w:left="566" w:leftChars="236" w:firstLine="285"/>
        <w:rPr>
          <w:rFonts w:hAnsi="宋体" w:cs="宋体"/>
          <w:highlight w:val="none"/>
        </w:rPr>
      </w:pPr>
      <w:bookmarkStart w:id="3" w:name="_Hlk27138405"/>
      <w:r>
        <w:rPr>
          <w:rFonts w:hint="eastAsia" w:hAnsi="宋体" w:cs="宋体"/>
          <w:highlight w:val="none"/>
        </w:rPr>
        <w:t>采购联系人：程先生</w:t>
      </w:r>
    </w:p>
    <w:p>
      <w:pPr>
        <w:spacing w:line="460" w:lineRule="exact"/>
        <w:ind w:left="566" w:leftChars="236" w:firstLine="285"/>
        <w:rPr>
          <w:rFonts w:hAnsi="宋体" w:cs="宋体"/>
          <w:highlight w:val="none"/>
        </w:rPr>
      </w:pPr>
      <w:r>
        <w:rPr>
          <w:rFonts w:hint="eastAsia" w:hAnsi="宋体" w:cs="宋体"/>
          <w:highlight w:val="none"/>
        </w:rPr>
        <w:t>联系电话：0769-28823251</w:t>
      </w:r>
    </w:p>
    <w:p>
      <w:pPr>
        <w:spacing w:line="460" w:lineRule="exact"/>
        <w:ind w:left="566" w:leftChars="236" w:firstLine="285"/>
        <w:rPr>
          <w:rFonts w:hAnsi="宋体" w:cs="宋体"/>
          <w:highlight w:val="none"/>
        </w:rPr>
      </w:pPr>
      <w:r>
        <w:rPr>
          <w:rFonts w:hint="eastAsia" w:hAnsi="宋体" w:cs="宋体"/>
          <w:highlight w:val="none"/>
        </w:rPr>
        <w:t>联系地址：广东省东莞市东城街道育华路1号</w:t>
      </w:r>
    </w:p>
    <w:bookmarkEnd w:id="3"/>
    <w:p>
      <w:pPr>
        <w:spacing w:line="460" w:lineRule="exact"/>
        <w:rPr>
          <w:rFonts w:hAnsi="宋体" w:cs="宋体"/>
          <w:highlight w:val="none"/>
        </w:rPr>
      </w:pPr>
    </w:p>
    <w:p>
      <w:pPr>
        <w:tabs>
          <w:tab w:val="left" w:pos="10103"/>
        </w:tabs>
        <w:spacing w:line="460" w:lineRule="exact"/>
        <w:ind w:right="139" w:rightChars="58"/>
        <w:jc w:val="right"/>
        <w:rPr>
          <w:rFonts w:hAnsi="宋体" w:cs="宋体"/>
          <w:highlight w:val="none"/>
        </w:rPr>
      </w:pPr>
      <w:bookmarkStart w:id="52" w:name="_GoBack"/>
      <w:bookmarkEnd w:id="52"/>
      <w:bookmarkStart w:id="4" w:name="_Hlk27138410"/>
      <w:r>
        <w:rPr>
          <w:rFonts w:hint="eastAsia" w:hAnsi="宋体" w:cs="宋体"/>
          <w:highlight w:val="none"/>
        </w:rPr>
        <w:t>东莞市水务集团有限公司</w:t>
      </w:r>
    </w:p>
    <w:p>
      <w:pPr>
        <w:wordWrap w:val="0"/>
        <w:spacing w:line="460" w:lineRule="exact"/>
        <w:jc w:val="right"/>
        <w:rPr>
          <w:rFonts w:hAnsi="宋体" w:cs="宋体"/>
          <w:highlight w:val="none"/>
        </w:rPr>
      </w:pPr>
      <w:r>
        <w:rPr>
          <w:rFonts w:hint="eastAsia" w:hAnsi="宋体" w:cs="宋体"/>
          <w:highlight w:val="none"/>
        </w:rPr>
        <w:t xml:space="preserve">2024年 </w:t>
      </w:r>
      <w:r>
        <w:rPr>
          <w:rFonts w:hint="eastAsia" w:hAnsi="宋体" w:cs="宋体"/>
          <w:highlight w:val="none"/>
          <w:lang w:val="en-US" w:eastAsia="zh-CN"/>
        </w:rPr>
        <w:t>11</w:t>
      </w:r>
      <w:r>
        <w:rPr>
          <w:rFonts w:hint="eastAsia" w:hAnsi="宋体" w:cs="宋体"/>
          <w:highlight w:val="none"/>
        </w:rPr>
        <w:t xml:space="preserve"> 月 </w:t>
      </w:r>
      <w:r>
        <w:rPr>
          <w:rFonts w:hint="eastAsia" w:hAnsi="宋体" w:cs="宋体"/>
          <w:highlight w:val="none"/>
          <w:lang w:val="en-US" w:eastAsia="zh-CN"/>
        </w:rPr>
        <w:t>15</w:t>
      </w:r>
      <w:r>
        <w:rPr>
          <w:rFonts w:hint="eastAsia" w:hAnsi="宋体" w:cs="宋体"/>
          <w:highlight w:val="none"/>
        </w:rPr>
        <w:t xml:space="preserve"> 日     </w:t>
      </w:r>
    </w:p>
    <w:bookmarkEnd w:id="4"/>
    <w:p>
      <w:pPr>
        <w:spacing w:line="360" w:lineRule="auto"/>
        <w:ind w:firstLine="5822" w:firstLineChars="2426"/>
        <w:rPr>
          <w:rFonts w:hAnsi="宋体" w:cs="宋体"/>
          <w:highlight w:val="none"/>
        </w:rPr>
      </w:pPr>
    </w:p>
    <w:p>
      <w:pPr>
        <w:spacing w:line="360" w:lineRule="auto"/>
        <w:rPr>
          <w:rFonts w:hAnsi="宋体" w:cs="宋体"/>
          <w:highlight w:val="none"/>
        </w:rPr>
        <w:sectPr>
          <w:pgSz w:w="11906" w:h="16838"/>
          <w:pgMar w:top="1440" w:right="1803" w:bottom="1440" w:left="1803" w:header="851" w:footer="992" w:gutter="0"/>
          <w:cols w:space="0" w:num="1"/>
          <w:docGrid w:type="lines" w:linePitch="332" w:charSpace="0"/>
        </w:sectPr>
      </w:pPr>
    </w:p>
    <w:p>
      <w:pPr>
        <w:pStyle w:val="3"/>
        <w:spacing w:before="0" w:after="0"/>
        <w:jc w:val="center"/>
        <w:rPr>
          <w:rFonts w:hAnsi="宋体" w:cs="宋体"/>
          <w:szCs w:val="32"/>
          <w:highlight w:val="none"/>
        </w:rPr>
      </w:pPr>
      <w:bookmarkStart w:id="5" w:name="_Toc29476691"/>
      <w:r>
        <w:rPr>
          <w:rFonts w:hint="eastAsia" w:hAnsi="宋体" w:cs="宋体"/>
          <w:szCs w:val="32"/>
          <w:highlight w:val="none"/>
        </w:rPr>
        <w:t>第二章 用户需求</w:t>
      </w:r>
      <w:bookmarkEnd w:id="5"/>
    </w:p>
    <w:p>
      <w:pPr>
        <w:pStyle w:val="24"/>
        <w:autoSpaceDE/>
        <w:autoSpaceDN/>
        <w:adjustRightInd/>
        <w:spacing w:before="0" w:beforeLines="0" w:after="0" w:afterLines="0" w:line="360" w:lineRule="auto"/>
        <w:ind w:firstLine="482"/>
        <w:rPr>
          <w:rFonts w:ascii="宋体" w:hAnsi="宋体"/>
          <w:b/>
          <w:bCs/>
          <w:sz w:val="24"/>
          <w:szCs w:val="24"/>
          <w:highlight w:val="none"/>
        </w:rPr>
      </w:pPr>
      <w:bookmarkStart w:id="6" w:name="_Toc447044476"/>
      <w:bookmarkStart w:id="7" w:name="_Toc15653"/>
      <w:bookmarkStart w:id="8" w:name="_Toc447045087"/>
      <w:bookmarkStart w:id="9" w:name="_Toc447044600"/>
      <w:r>
        <w:rPr>
          <w:rFonts w:hint="eastAsia" w:ascii="宋体" w:hAnsi="宋体"/>
          <w:b/>
          <w:bCs/>
          <w:sz w:val="24"/>
          <w:szCs w:val="24"/>
          <w:highlight w:val="none"/>
        </w:rPr>
        <w:t>一、项目背景</w:t>
      </w:r>
    </w:p>
    <w:p>
      <w:pPr>
        <w:pStyle w:val="24"/>
        <w:autoSpaceDE/>
        <w:autoSpaceDN/>
        <w:adjustRightInd/>
        <w:spacing w:before="0" w:beforeLines="0" w:after="0" w:afterLines="0" w:line="360" w:lineRule="auto"/>
        <w:ind w:firstLine="480"/>
        <w:rPr>
          <w:rFonts w:ascii="宋体" w:hAnsi="宋体"/>
          <w:sz w:val="24"/>
          <w:szCs w:val="24"/>
          <w:highlight w:val="none"/>
        </w:rPr>
      </w:pPr>
      <w:r>
        <w:rPr>
          <w:rFonts w:hint="eastAsia" w:ascii="宋体" w:hAnsi="宋体"/>
          <w:sz w:val="24"/>
          <w:szCs w:val="24"/>
          <w:highlight w:val="none"/>
        </w:rPr>
        <w:t>近年来，随着国家对信息安全的日益重视，安全可靠的信息基础设施建设已成为国家战略的重要组成部分。国家层面对安全可靠的操作系统和数据库技术给予了大力支持，推动了这一领域的成熟发展。这些系统具备自主可控、安全可靠、性能优越的特点，能够兼容传统应用和数据库的迁移，确保数据的安全和系统的稳定运行。在广州、深圳等水务行业，安全可靠环境改造已逐步开展并取得显著成果，为其他行业提供了宝贵的经验。</w:t>
      </w:r>
    </w:p>
    <w:p>
      <w:pPr>
        <w:pStyle w:val="24"/>
        <w:autoSpaceDE/>
        <w:autoSpaceDN/>
        <w:adjustRightInd/>
        <w:spacing w:before="0" w:beforeLines="0" w:after="0" w:afterLines="0" w:line="360" w:lineRule="auto"/>
        <w:ind w:firstLine="480"/>
        <w:rPr>
          <w:rFonts w:ascii="宋体" w:hAnsi="宋体"/>
          <w:sz w:val="24"/>
          <w:szCs w:val="24"/>
          <w:highlight w:val="none"/>
        </w:rPr>
      </w:pPr>
      <w:r>
        <w:rPr>
          <w:rFonts w:hint="eastAsia" w:ascii="宋体" w:hAnsi="宋体"/>
          <w:sz w:val="24"/>
          <w:szCs w:val="24"/>
          <w:highlight w:val="none"/>
        </w:rPr>
        <w:t>集团自引入OA系统以来，极大地提高了工作效率，优化了业务流程，实现了信息资源的共享和高效利用。然而，随着集团业务的不断扩展和信息量的快速增长，现有的OA系统在处理能力、安全性和可靠性等方面逐渐暴露出不足，现计划进行OA系统的迁移升级，以满足未来发展的需求。</w:t>
      </w:r>
    </w:p>
    <w:p>
      <w:pPr>
        <w:pStyle w:val="24"/>
        <w:autoSpaceDE/>
        <w:autoSpaceDN/>
        <w:adjustRightInd/>
        <w:spacing w:before="0" w:beforeLines="0" w:after="0" w:afterLines="0" w:line="360" w:lineRule="auto"/>
        <w:ind w:firstLine="482"/>
        <w:rPr>
          <w:rFonts w:ascii="宋体" w:hAnsi="宋体"/>
          <w:b/>
          <w:bCs/>
          <w:sz w:val="24"/>
          <w:szCs w:val="24"/>
          <w:highlight w:val="none"/>
        </w:rPr>
      </w:pPr>
      <w:r>
        <w:rPr>
          <w:rFonts w:hint="eastAsia" w:ascii="宋体" w:hAnsi="宋体"/>
          <w:b/>
          <w:bCs/>
          <w:sz w:val="24"/>
          <w:szCs w:val="24"/>
          <w:highlight w:val="none"/>
        </w:rPr>
        <w:t>二、项目目标</w:t>
      </w:r>
    </w:p>
    <w:p>
      <w:pPr>
        <w:pStyle w:val="24"/>
        <w:autoSpaceDE/>
        <w:autoSpaceDN/>
        <w:adjustRightInd/>
        <w:spacing w:before="0" w:beforeLines="0" w:after="0" w:afterLines="0" w:line="360" w:lineRule="auto"/>
        <w:ind w:firstLine="480"/>
        <w:rPr>
          <w:rFonts w:ascii="宋体" w:hAnsi="宋体"/>
          <w:sz w:val="24"/>
          <w:szCs w:val="24"/>
          <w:highlight w:val="none"/>
        </w:rPr>
      </w:pPr>
      <w:r>
        <w:rPr>
          <w:rFonts w:hint="eastAsia" w:ascii="宋体" w:hAnsi="宋体"/>
          <w:sz w:val="24"/>
          <w:szCs w:val="24"/>
          <w:highlight w:val="none"/>
        </w:rPr>
        <w:t>（一）保障企业信息安全可控</w:t>
      </w:r>
    </w:p>
    <w:p>
      <w:pPr>
        <w:pStyle w:val="24"/>
        <w:autoSpaceDE/>
        <w:autoSpaceDN/>
        <w:adjustRightInd/>
        <w:spacing w:before="0" w:beforeLines="0" w:after="0" w:afterLines="0" w:line="360" w:lineRule="auto"/>
        <w:ind w:firstLine="480"/>
        <w:rPr>
          <w:rFonts w:ascii="宋体" w:hAnsi="宋体"/>
          <w:sz w:val="24"/>
          <w:szCs w:val="24"/>
          <w:highlight w:val="none"/>
        </w:rPr>
      </w:pPr>
      <w:r>
        <w:rPr>
          <w:rFonts w:hint="eastAsia" w:ascii="宋体" w:hAnsi="宋体"/>
          <w:sz w:val="24"/>
          <w:szCs w:val="24"/>
          <w:highlight w:val="none"/>
        </w:rPr>
        <w:t>完成OA系统安全可控的运行环境和数据库迁移工作，迁移将严格遵守国家信息安全相关法规与标准，确保系统数据的保密性、完整性和可用性，防范信息泄露与非法侵入；通过采用国内安全可控的技术与设备，增强系统自主可控能力，降低外部技术制裁与依赖风险，从而保障集团信息安全的可靠性。</w:t>
      </w:r>
    </w:p>
    <w:p>
      <w:pPr>
        <w:pStyle w:val="24"/>
        <w:autoSpaceDE/>
        <w:autoSpaceDN/>
        <w:adjustRightInd/>
        <w:spacing w:before="0" w:beforeLines="0" w:after="0" w:afterLines="0" w:line="360" w:lineRule="auto"/>
        <w:ind w:firstLine="480"/>
        <w:rPr>
          <w:rFonts w:ascii="宋体" w:hAnsi="宋体"/>
          <w:sz w:val="24"/>
          <w:szCs w:val="24"/>
          <w:highlight w:val="none"/>
        </w:rPr>
      </w:pPr>
      <w:r>
        <w:rPr>
          <w:rFonts w:hint="eastAsia" w:ascii="宋体" w:hAnsi="宋体"/>
          <w:sz w:val="24"/>
          <w:szCs w:val="24"/>
          <w:highlight w:val="none"/>
        </w:rPr>
        <w:t>（二）系统功能与性能提升</w:t>
      </w:r>
    </w:p>
    <w:p>
      <w:pPr>
        <w:pStyle w:val="24"/>
        <w:autoSpaceDE/>
        <w:autoSpaceDN/>
        <w:adjustRightInd/>
        <w:spacing w:before="0" w:beforeLines="0" w:after="0" w:afterLines="0" w:line="360" w:lineRule="auto"/>
        <w:ind w:firstLine="480"/>
        <w:rPr>
          <w:rFonts w:ascii="宋体" w:hAnsi="宋体"/>
          <w:sz w:val="24"/>
          <w:szCs w:val="24"/>
          <w:highlight w:val="none"/>
        </w:rPr>
      </w:pPr>
      <w:r>
        <w:rPr>
          <w:rFonts w:hint="eastAsia" w:ascii="宋体" w:hAnsi="宋体"/>
          <w:sz w:val="24"/>
          <w:szCs w:val="24"/>
          <w:highlight w:val="none"/>
        </w:rPr>
        <w:t>对现有OA系统进行升级，将引入更先进的信息化技术，升级OA版本、丰富系统功能，优化系统部署方式，以满足集团日益复杂的办公需求，确保在高并发场景下系统仍能稳定运行，减少因系统性能瓶颈导致的工作延误，提高集团整体运行效率。</w:t>
      </w:r>
    </w:p>
    <w:p>
      <w:pPr>
        <w:pStyle w:val="24"/>
        <w:autoSpaceDE/>
        <w:autoSpaceDN/>
        <w:adjustRightInd/>
        <w:spacing w:before="0" w:beforeLines="0" w:after="0" w:afterLines="0" w:line="360" w:lineRule="auto"/>
        <w:ind w:firstLine="480"/>
        <w:rPr>
          <w:rFonts w:ascii="宋体" w:hAnsi="宋体"/>
          <w:sz w:val="24"/>
          <w:szCs w:val="24"/>
          <w:highlight w:val="none"/>
        </w:rPr>
      </w:pPr>
      <w:r>
        <w:rPr>
          <w:rFonts w:hint="eastAsia" w:ascii="宋体" w:hAnsi="宋体"/>
          <w:sz w:val="24"/>
          <w:szCs w:val="24"/>
          <w:highlight w:val="none"/>
        </w:rPr>
        <w:t>（三）满足业务发展需求</w:t>
      </w:r>
    </w:p>
    <w:p>
      <w:pPr>
        <w:pStyle w:val="24"/>
        <w:autoSpaceDE/>
        <w:autoSpaceDN/>
        <w:adjustRightInd/>
        <w:spacing w:before="0" w:beforeLines="0" w:after="0" w:afterLines="0" w:line="360" w:lineRule="auto"/>
        <w:ind w:firstLine="480"/>
        <w:rPr>
          <w:rFonts w:ascii="宋体" w:hAnsi="宋体"/>
          <w:sz w:val="24"/>
          <w:szCs w:val="24"/>
          <w:highlight w:val="none"/>
        </w:rPr>
      </w:pPr>
      <w:r>
        <w:rPr>
          <w:rFonts w:hint="eastAsia" w:ascii="宋体" w:hAnsi="宋体"/>
          <w:sz w:val="24"/>
          <w:szCs w:val="24"/>
          <w:highlight w:val="none"/>
        </w:rPr>
        <w:t>以业务用户为中心，添加或完善新功能模块，优化用户体验，使系统更加灵活，高效、流畅的工作流程，降低用户使用难度，提升用户满意度，为用户带来更加流畅、高效的工作体验。</w:t>
      </w:r>
    </w:p>
    <w:p>
      <w:pPr>
        <w:pStyle w:val="24"/>
        <w:autoSpaceDE/>
        <w:autoSpaceDN/>
        <w:adjustRightInd/>
        <w:spacing w:before="0" w:beforeLines="0" w:after="0" w:afterLines="0" w:line="360" w:lineRule="auto"/>
        <w:ind w:firstLine="482"/>
        <w:rPr>
          <w:rFonts w:ascii="宋体" w:hAnsi="宋体"/>
          <w:b/>
          <w:bCs/>
          <w:sz w:val="24"/>
          <w:szCs w:val="24"/>
          <w:highlight w:val="none"/>
        </w:rPr>
      </w:pPr>
    </w:p>
    <w:p>
      <w:pPr>
        <w:pStyle w:val="24"/>
        <w:autoSpaceDE/>
        <w:autoSpaceDN/>
        <w:adjustRightInd/>
        <w:spacing w:before="0" w:beforeLines="0" w:after="0" w:afterLines="0" w:line="360" w:lineRule="auto"/>
        <w:ind w:firstLine="482"/>
        <w:rPr>
          <w:rFonts w:ascii="宋体" w:hAnsi="宋体"/>
          <w:b/>
          <w:bCs/>
          <w:sz w:val="24"/>
          <w:szCs w:val="24"/>
          <w:highlight w:val="none"/>
        </w:rPr>
      </w:pPr>
      <w:r>
        <w:rPr>
          <w:rFonts w:hint="eastAsia" w:ascii="宋体" w:hAnsi="宋体"/>
          <w:b/>
          <w:bCs/>
          <w:sz w:val="24"/>
          <w:szCs w:val="24"/>
          <w:highlight w:val="none"/>
        </w:rPr>
        <w:t>三、项目现状及必要性</w:t>
      </w:r>
    </w:p>
    <w:p>
      <w:pPr>
        <w:pStyle w:val="24"/>
        <w:autoSpaceDE/>
        <w:autoSpaceDN/>
        <w:adjustRightInd/>
        <w:spacing w:before="0" w:beforeLines="0" w:after="0" w:afterLines="0" w:line="360" w:lineRule="auto"/>
        <w:ind w:firstLine="480"/>
        <w:rPr>
          <w:rFonts w:ascii="宋体" w:hAnsi="宋体"/>
          <w:sz w:val="24"/>
          <w:szCs w:val="24"/>
          <w:highlight w:val="none"/>
        </w:rPr>
      </w:pPr>
      <w:r>
        <w:rPr>
          <w:rFonts w:hint="eastAsia" w:ascii="宋体" w:hAnsi="宋体"/>
          <w:sz w:val="24"/>
          <w:szCs w:val="24"/>
          <w:highlight w:val="none"/>
        </w:rPr>
        <w:t>（一）项目现状</w:t>
      </w:r>
    </w:p>
    <w:p>
      <w:pPr>
        <w:pStyle w:val="24"/>
        <w:autoSpaceDE/>
        <w:autoSpaceDN/>
        <w:adjustRightInd/>
        <w:spacing w:before="0" w:beforeLines="0" w:after="0" w:afterLines="0" w:line="360" w:lineRule="auto"/>
        <w:ind w:firstLine="480"/>
        <w:rPr>
          <w:rFonts w:ascii="宋体" w:hAnsi="宋体"/>
          <w:sz w:val="24"/>
          <w:szCs w:val="24"/>
          <w:highlight w:val="none"/>
        </w:rPr>
      </w:pPr>
      <w:r>
        <w:rPr>
          <w:rFonts w:hint="eastAsia" w:ascii="宋体" w:hAnsi="宋体"/>
          <w:sz w:val="24"/>
          <w:szCs w:val="24"/>
          <w:highlight w:val="none"/>
        </w:rPr>
        <w:t>1.OA系统现状</w:t>
      </w:r>
    </w:p>
    <w:p>
      <w:pPr>
        <w:pStyle w:val="24"/>
        <w:autoSpaceDE/>
        <w:autoSpaceDN/>
        <w:adjustRightInd/>
        <w:spacing w:before="0" w:beforeLines="0" w:after="0" w:afterLines="0" w:line="360" w:lineRule="auto"/>
        <w:ind w:firstLine="480"/>
        <w:rPr>
          <w:rFonts w:ascii="宋体" w:hAnsi="宋体"/>
          <w:sz w:val="24"/>
          <w:szCs w:val="24"/>
          <w:highlight w:val="none"/>
        </w:rPr>
      </w:pPr>
      <w:r>
        <w:rPr>
          <w:rFonts w:hint="eastAsia" w:ascii="宋体" w:hAnsi="宋体"/>
          <w:sz w:val="24"/>
          <w:szCs w:val="24"/>
          <w:highlight w:val="none"/>
        </w:rPr>
        <w:t>集团的OA系统自2019年10月上线以来，在原有基础上增加了多个业务系统，使用用户从原来300个增加到9100个，平均在线用户数约为2200人，系统负载超出正常运行的范围，因此系统资源性能经常会达到瓶颈而遭遇服务中断，这种频繁的中断严重影响了业务的连续性和效率；另外，随着OA系统业务功能的不断拓展与深化，现行系统在业务功能需求和用户体验上逐渐呈现不足。</w:t>
      </w:r>
    </w:p>
    <w:p>
      <w:pPr>
        <w:pStyle w:val="24"/>
        <w:autoSpaceDE/>
        <w:autoSpaceDN/>
        <w:adjustRightInd/>
        <w:spacing w:before="0" w:beforeLines="0" w:after="0" w:afterLines="0" w:line="360" w:lineRule="auto"/>
        <w:ind w:firstLine="480"/>
        <w:rPr>
          <w:rFonts w:ascii="宋体" w:hAnsi="宋体"/>
          <w:sz w:val="24"/>
          <w:szCs w:val="24"/>
          <w:highlight w:val="none"/>
        </w:rPr>
      </w:pPr>
      <w:r>
        <w:rPr>
          <w:rFonts w:hint="eastAsia" w:ascii="宋体" w:hAnsi="宋体"/>
          <w:sz w:val="24"/>
          <w:szCs w:val="24"/>
          <w:highlight w:val="none"/>
        </w:rPr>
        <w:t>具体信息如下：</w:t>
      </w:r>
    </w:p>
    <w:p>
      <w:pPr>
        <w:widowControl/>
        <w:numPr>
          <w:ilvl w:val="255"/>
          <w:numId w:val="0"/>
        </w:numPr>
        <w:ind w:firstLine="562" w:firstLineChars="200"/>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 xml:space="preserve">表1 </w:t>
      </w:r>
      <w:r>
        <w:rPr>
          <w:rFonts w:ascii="仿宋_GB2312" w:hAnsi="仿宋_GB2312" w:eastAsia="仿宋_GB2312" w:cs="仿宋_GB2312"/>
          <w:b/>
          <w:bCs/>
          <w:sz w:val="28"/>
          <w:szCs w:val="28"/>
          <w:highlight w:val="none"/>
        </w:rPr>
        <w:t>OA系统服务器信息表</w:t>
      </w:r>
    </w:p>
    <w:tbl>
      <w:tblPr>
        <w:tblStyle w:val="15"/>
        <w:tblW w:w="8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752"/>
        <w:gridCol w:w="3383"/>
        <w:gridCol w:w="3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7" w:hRule="atLeast"/>
          <w:tblHeader/>
          <w:jc w:val="center"/>
        </w:trPr>
        <w:tc>
          <w:tcPr>
            <w:tcW w:w="1752" w:type="dxa"/>
            <w:shd w:val="clear" w:color="auto" w:fill="DCE9F9"/>
            <w:tcMar>
              <w:top w:w="75" w:type="dxa"/>
              <w:left w:w="120" w:type="dxa"/>
              <w:bottom w:w="75" w:type="dxa"/>
              <w:right w:w="120" w:type="dxa"/>
            </w:tcMar>
            <w:vAlign w:val="center"/>
          </w:tcPr>
          <w:p>
            <w:pPr>
              <w:widowControl/>
              <w:jc w:val="center"/>
              <w:rPr>
                <w:rFonts w:asciiTheme="minorEastAsia" w:hAnsiTheme="minorEastAsia" w:eastAsiaTheme="minorEastAsia" w:cstheme="minorEastAsia"/>
                <w:b/>
                <w:bCs/>
                <w:spacing w:val="8"/>
                <w:sz w:val="21"/>
                <w:szCs w:val="21"/>
                <w:highlight w:val="none"/>
              </w:rPr>
            </w:pPr>
            <w:r>
              <w:rPr>
                <w:rFonts w:hint="eastAsia" w:asciiTheme="minorEastAsia" w:hAnsiTheme="minorEastAsia" w:eastAsiaTheme="minorEastAsia" w:cstheme="minorEastAsia"/>
                <w:b/>
                <w:bCs/>
                <w:spacing w:val="8"/>
                <w:sz w:val="21"/>
                <w:szCs w:val="21"/>
                <w:highlight w:val="none"/>
                <w:lang w:bidi="ar"/>
              </w:rPr>
              <w:t>服务器类型</w:t>
            </w:r>
          </w:p>
        </w:tc>
        <w:tc>
          <w:tcPr>
            <w:tcW w:w="3383" w:type="dxa"/>
            <w:shd w:val="clear" w:color="auto" w:fill="DCE9F9"/>
            <w:tcMar>
              <w:top w:w="75" w:type="dxa"/>
              <w:left w:w="120" w:type="dxa"/>
              <w:bottom w:w="75" w:type="dxa"/>
              <w:right w:w="120" w:type="dxa"/>
            </w:tcMar>
            <w:vAlign w:val="center"/>
          </w:tcPr>
          <w:p>
            <w:pPr>
              <w:widowControl/>
              <w:jc w:val="center"/>
              <w:rPr>
                <w:rFonts w:asciiTheme="minorEastAsia" w:hAnsiTheme="minorEastAsia" w:eastAsiaTheme="minorEastAsia" w:cstheme="minorEastAsia"/>
                <w:b/>
                <w:bCs/>
                <w:spacing w:val="8"/>
                <w:sz w:val="21"/>
                <w:szCs w:val="21"/>
                <w:highlight w:val="none"/>
              </w:rPr>
            </w:pPr>
            <w:r>
              <w:rPr>
                <w:rFonts w:hint="eastAsia" w:asciiTheme="minorEastAsia" w:hAnsiTheme="minorEastAsia" w:eastAsiaTheme="minorEastAsia" w:cstheme="minorEastAsia"/>
                <w:b/>
                <w:bCs/>
                <w:spacing w:val="8"/>
                <w:sz w:val="21"/>
                <w:szCs w:val="21"/>
                <w:highlight w:val="none"/>
                <w:lang w:bidi="ar"/>
              </w:rPr>
              <w:t>OA数据库</w:t>
            </w:r>
          </w:p>
        </w:tc>
        <w:tc>
          <w:tcPr>
            <w:tcW w:w="0" w:type="auto"/>
            <w:shd w:val="clear" w:color="auto" w:fill="DCE9F9"/>
            <w:tcMar>
              <w:top w:w="75" w:type="dxa"/>
              <w:left w:w="120" w:type="dxa"/>
              <w:bottom w:w="75" w:type="dxa"/>
              <w:right w:w="120" w:type="dxa"/>
            </w:tcMar>
            <w:vAlign w:val="center"/>
          </w:tcPr>
          <w:p>
            <w:pPr>
              <w:widowControl/>
              <w:jc w:val="center"/>
              <w:rPr>
                <w:rFonts w:asciiTheme="minorEastAsia" w:hAnsiTheme="minorEastAsia" w:eastAsiaTheme="minorEastAsia" w:cstheme="minorEastAsia"/>
                <w:b/>
                <w:bCs/>
                <w:spacing w:val="8"/>
                <w:sz w:val="21"/>
                <w:szCs w:val="21"/>
                <w:highlight w:val="none"/>
              </w:rPr>
            </w:pPr>
            <w:r>
              <w:rPr>
                <w:rFonts w:hint="eastAsia" w:asciiTheme="minorEastAsia" w:hAnsiTheme="minorEastAsia" w:eastAsiaTheme="minorEastAsia" w:cstheme="minorEastAsia"/>
                <w:b/>
                <w:bCs/>
                <w:spacing w:val="8"/>
                <w:sz w:val="21"/>
                <w:szCs w:val="21"/>
                <w:highlight w:val="none"/>
                <w:lang w:bidi="ar"/>
              </w:rPr>
              <w:t>OA应用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7" w:hRule="atLeast"/>
          <w:jc w:val="center"/>
        </w:trPr>
        <w:tc>
          <w:tcPr>
            <w:tcW w:w="1752" w:type="dxa"/>
            <w:shd w:val="clear" w:color="auto" w:fill="auto"/>
            <w:tcMar>
              <w:top w:w="75" w:type="dxa"/>
              <w:left w:w="120" w:type="dxa"/>
              <w:bottom w:w="75" w:type="dxa"/>
              <w:right w:w="120" w:type="dxa"/>
            </w:tcMar>
            <w:vAlign w:val="center"/>
          </w:tcPr>
          <w:p>
            <w:pPr>
              <w:widowControl/>
              <w:jc w:val="center"/>
              <w:rPr>
                <w:rFonts w:asciiTheme="minorEastAsia" w:hAnsiTheme="minorEastAsia" w:eastAsiaTheme="minorEastAsia" w:cstheme="minorEastAsia"/>
                <w:spacing w:val="8"/>
                <w:sz w:val="21"/>
                <w:szCs w:val="21"/>
                <w:highlight w:val="none"/>
              </w:rPr>
            </w:pPr>
            <w:r>
              <w:rPr>
                <w:rFonts w:hint="eastAsia" w:asciiTheme="minorEastAsia" w:hAnsiTheme="minorEastAsia" w:eastAsiaTheme="minorEastAsia" w:cstheme="minorEastAsia"/>
                <w:spacing w:val="8"/>
                <w:sz w:val="21"/>
                <w:szCs w:val="21"/>
                <w:highlight w:val="none"/>
                <w:lang w:bidi="ar"/>
              </w:rPr>
              <w:t>服务器型号</w:t>
            </w:r>
          </w:p>
        </w:tc>
        <w:tc>
          <w:tcPr>
            <w:tcW w:w="3383" w:type="dxa"/>
            <w:shd w:val="clear" w:color="auto" w:fill="auto"/>
            <w:tcMar>
              <w:top w:w="75" w:type="dxa"/>
              <w:left w:w="120" w:type="dxa"/>
              <w:bottom w:w="75" w:type="dxa"/>
              <w:right w:w="120" w:type="dxa"/>
            </w:tcMar>
            <w:vAlign w:val="center"/>
          </w:tcPr>
          <w:p>
            <w:pPr>
              <w:widowControl/>
              <w:jc w:val="center"/>
              <w:rPr>
                <w:rFonts w:asciiTheme="minorEastAsia" w:hAnsiTheme="minorEastAsia" w:eastAsiaTheme="minorEastAsia" w:cstheme="minorEastAsia"/>
                <w:spacing w:val="8"/>
                <w:sz w:val="21"/>
                <w:szCs w:val="21"/>
                <w:highlight w:val="none"/>
              </w:rPr>
            </w:pPr>
            <w:r>
              <w:rPr>
                <w:rFonts w:hint="eastAsia" w:asciiTheme="minorEastAsia" w:hAnsiTheme="minorEastAsia" w:eastAsiaTheme="minorEastAsia" w:cstheme="minorEastAsia"/>
                <w:spacing w:val="8"/>
                <w:sz w:val="21"/>
                <w:szCs w:val="21"/>
                <w:highlight w:val="none"/>
                <w:lang w:bidi="ar"/>
              </w:rPr>
              <w:t>Lenove X3650 M5</w:t>
            </w:r>
          </w:p>
        </w:tc>
        <w:tc>
          <w:tcPr>
            <w:tcW w:w="0" w:type="auto"/>
            <w:shd w:val="clear" w:color="auto" w:fill="auto"/>
            <w:tcMar>
              <w:top w:w="75" w:type="dxa"/>
              <w:left w:w="120" w:type="dxa"/>
              <w:bottom w:w="75" w:type="dxa"/>
              <w:right w:w="120" w:type="dxa"/>
            </w:tcMar>
            <w:vAlign w:val="center"/>
          </w:tcPr>
          <w:p>
            <w:pPr>
              <w:widowControl/>
              <w:jc w:val="center"/>
              <w:rPr>
                <w:rFonts w:asciiTheme="minorEastAsia" w:hAnsiTheme="minorEastAsia" w:eastAsiaTheme="minorEastAsia" w:cstheme="minorEastAsia"/>
                <w:spacing w:val="8"/>
                <w:sz w:val="21"/>
                <w:szCs w:val="21"/>
                <w:highlight w:val="none"/>
              </w:rPr>
            </w:pPr>
            <w:r>
              <w:rPr>
                <w:rFonts w:hint="eastAsia" w:asciiTheme="minorEastAsia" w:hAnsiTheme="minorEastAsia" w:eastAsiaTheme="minorEastAsia" w:cstheme="minorEastAsia"/>
                <w:spacing w:val="8"/>
                <w:sz w:val="21"/>
                <w:szCs w:val="21"/>
                <w:highlight w:val="none"/>
                <w:lang w:bidi="ar"/>
              </w:rPr>
              <w:t>Lenove X3650 M5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7" w:hRule="atLeast"/>
          <w:jc w:val="center"/>
        </w:trPr>
        <w:tc>
          <w:tcPr>
            <w:tcW w:w="1752" w:type="dxa"/>
            <w:shd w:val="clear" w:color="auto" w:fill="auto"/>
            <w:tcMar>
              <w:top w:w="75" w:type="dxa"/>
              <w:left w:w="120" w:type="dxa"/>
              <w:bottom w:w="75" w:type="dxa"/>
              <w:right w:w="120" w:type="dxa"/>
            </w:tcMar>
            <w:vAlign w:val="center"/>
          </w:tcPr>
          <w:p>
            <w:pPr>
              <w:widowControl/>
              <w:jc w:val="center"/>
              <w:rPr>
                <w:rFonts w:asciiTheme="minorEastAsia" w:hAnsiTheme="minorEastAsia" w:eastAsiaTheme="minorEastAsia" w:cstheme="minorEastAsia"/>
                <w:spacing w:val="8"/>
                <w:sz w:val="21"/>
                <w:szCs w:val="21"/>
                <w:highlight w:val="none"/>
              </w:rPr>
            </w:pPr>
            <w:r>
              <w:rPr>
                <w:rFonts w:hint="eastAsia" w:asciiTheme="minorEastAsia" w:hAnsiTheme="minorEastAsia" w:eastAsiaTheme="minorEastAsia" w:cstheme="minorEastAsia"/>
                <w:spacing w:val="8"/>
                <w:sz w:val="21"/>
                <w:szCs w:val="21"/>
                <w:highlight w:val="none"/>
                <w:lang w:bidi="ar"/>
              </w:rPr>
              <w:t>内存</w:t>
            </w:r>
          </w:p>
        </w:tc>
        <w:tc>
          <w:tcPr>
            <w:tcW w:w="3383" w:type="dxa"/>
            <w:shd w:val="clear" w:color="auto" w:fill="auto"/>
            <w:tcMar>
              <w:top w:w="75" w:type="dxa"/>
              <w:left w:w="120" w:type="dxa"/>
              <w:bottom w:w="75" w:type="dxa"/>
              <w:right w:w="120" w:type="dxa"/>
            </w:tcMar>
            <w:vAlign w:val="center"/>
          </w:tcPr>
          <w:p>
            <w:pPr>
              <w:widowControl/>
              <w:jc w:val="center"/>
              <w:rPr>
                <w:rFonts w:asciiTheme="minorEastAsia" w:hAnsiTheme="minorEastAsia" w:eastAsiaTheme="minorEastAsia" w:cstheme="minorEastAsia"/>
                <w:spacing w:val="8"/>
                <w:sz w:val="21"/>
                <w:szCs w:val="21"/>
                <w:highlight w:val="none"/>
              </w:rPr>
            </w:pPr>
            <w:r>
              <w:rPr>
                <w:rFonts w:hint="eastAsia" w:asciiTheme="minorEastAsia" w:hAnsiTheme="minorEastAsia" w:eastAsiaTheme="minorEastAsia" w:cstheme="minorEastAsia"/>
                <w:spacing w:val="8"/>
                <w:sz w:val="21"/>
                <w:szCs w:val="21"/>
                <w:highlight w:val="none"/>
                <w:lang w:bidi="ar"/>
              </w:rPr>
              <w:t>64G</w:t>
            </w:r>
          </w:p>
        </w:tc>
        <w:tc>
          <w:tcPr>
            <w:tcW w:w="0" w:type="auto"/>
            <w:shd w:val="clear" w:color="auto" w:fill="auto"/>
            <w:tcMar>
              <w:top w:w="75" w:type="dxa"/>
              <w:left w:w="120" w:type="dxa"/>
              <w:bottom w:w="75" w:type="dxa"/>
              <w:right w:w="120" w:type="dxa"/>
            </w:tcMar>
            <w:vAlign w:val="center"/>
          </w:tcPr>
          <w:p>
            <w:pPr>
              <w:widowControl/>
              <w:jc w:val="center"/>
              <w:rPr>
                <w:rFonts w:asciiTheme="minorEastAsia" w:hAnsiTheme="minorEastAsia" w:eastAsiaTheme="minorEastAsia" w:cstheme="minorEastAsia"/>
                <w:spacing w:val="8"/>
                <w:sz w:val="21"/>
                <w:szCs w:val="21"/>
                <w:highlight w:val="none"/>
              </w:rPr>
            </w:pPr>
            <w:r>
              <w:rPr>
                <w:rFonts w:hint="eastAsia" w:asciiTheme="minorEastAsia" w:hAnsiTheme="minorEastAsia" w:eastAsiaTheme="minorEastAsia" w:cstheme="minorEastAsia"/>
                <w:spacing w:val="8"/>
                <w:sz w:val="21"/>
                <w:szCs w:val="21"/>
                <w:highlight w:val="none"/>
                <w:lang w:bidi="ar"/>
              </w:rPr>
              <w:t>128G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7" w:hRule="atLeast"/>
          <w:jc w:val="center"/>
        </w:trPr>
        <w:tc>
          <w:tcPr>
            <w:tcW w:w="1752" w:type="dxa"/>
            <w:shd w:val="clear" w:color="auto" w:fill="auto"/>
            <w:tcMar>
              <w:top w:w="75" w:type="dxa"/>
              <w:left w:w="120" w:type="dxa"/>
              <w:bottom w:w="75" w:type="dxa"/>
              <w:right w:w="120" w:type="dxa"/>
            </w:tcMar>
            <w:vAlign w:val="center"/>
          </w:tcPr>
          <w:p>
            <w:pPr>
              <w:widowControl/>
              <w:jc w:val="center"/>
              <w:rPr>
                <w:rFonts w:asciiTheme="minorEastAsia" w:hAnsiTheme="minorEastAsia" w:eastAsiaTheme="minorEastAsia" w:cstheme="minorEastAsia"/>
                <w:spacing w:val="8"/>
                <w:sz w:val="21"/>
                <w:szCs w:val="21"/>
                <w:highlight w:val="none"/>
              </w:rPr>
            </w:pPr>
            <w:r>
              <w:rPr>
                <w:rFonts w:hint="eastAsia" w:asciiTheme="minorEastAsia" w:hAnsiTheme="minorEastAsia" w:eastAsiaTheme="minorEastAsia" w:cstheme="minorEastAsia"/>
                <w:spacing w:val="8"/>
                <w:sz w:val="21"/>
                <w:szCs w:val="21"/>
                <w:highlight w:val="none"/>
                <w:lang w:bidi="ar"/>
              </w:rPr>
              <w:t>CPU数量及规格</w:t>
            </w:r>
          </w:p>
        </w:tc>
        <w:tc>
          <w:tcPr>
            <w:tcW w:w="3383" w:type="dxa"/>
            <w:shd w:val="clear" w:color="auto" w:fill="auto"/>
            <w:tcMar>
              <w:top w:w="75" w:type="dxa"/>
              <w:left w:w="120" w:type="dxa"/>
              <w:bottom w:w="75" w:type="dxa"/>
              <w:right w:w="120" w:type="dxa"/>
            </w:tcMar>
            <w:vAlign w:val="center"/>
          </w:tcPr>
          <w:p>
            <w:pPr>
              <w:widowControl/>
              <w:jc w:val="center"/>
              <w:rPr>
                <w:rFonts w:asciiTheme="minorEastAsia" w:hAnsiTheme="minorEastAsia" w:eastAsiaTheme="minorEastAsia" w:cstheme="minorEastAsia"/>
                <w:spacing w:val="8"/>
                <w:sz w:val="21"/>
                <w:szCs w:val="21"/>
                <w:highlight w:val="none"/>
              </w:rPr>
            </w:pPr>
            <w:r>
              <w:rPr>
                <w:rFonts w:hint="eastAsia" w:asciiTheme="minorEastAsia" w:hAnsiTheme="minorEastAsia" w:eastAsiaTheme="minorEastAsia" w:cstheme="minorEastAsia"/>
                <w:spacing w:val="8"/>
                <w:sz w:val="21"/>
                <w:szCs w:val="21"/>
                <w:highlight w:val="none"/>
                <w:lang w:bidi="ar"/>
              </w:rPr>
              <w:t>E5-2640v4 2.4GHz*2</w:t>
            </w:r>
          </w:p>
        </w:tc>
        <w:tc>
          <w:tcPr>
            <w:tcW w:w="0" w:type="auto"/>
            <w:shd w:val="clear" w:color="auto" w:fill="auto"/>
            <w:tcMar>
              <w:top w:w="75" w:type="dxa"/>
              <w:left w:w="120" w:type="dxa"/>
              <w:bottom w:w="75" w:type="dxa"/>
              <w:right w:w="120" w:type="dxa"/>
            </w:tcMar>
            <w:vAlign w:val="center"/>
          </w:tcPr>
          <w:p>
            <w:pPr>
              <w:widowControl/>
              <w:jc w:val="center"/>
              <w:rPr>
                <w:rFonts w:asciiTheme="minorEastAsia" w:hAnsiTheme="minorEastAsia" w:eastAsiaTheme="minorEastAsia" w:cstheme="minorEastAsia"/>
                <w:spacing w:val="8"/>
                <w:sz w:val="21"/>
                <w:szCs w:val="21"/>
                <w:highlight w:val="none"/>
              </w:rPr>
            </w:pPr>
            <w:r>
              <w:rPr>
                <w:rFonts w:hint="eastAsia" w:asciiTheme="minorEastAsia" w:hAnsiTheme="minorEastAsia" w:eastAsiaTheme="minorEastAsia" w:cstheme="minorEastAsia"/>
                <w:spacing w:val="8"/>
                <w:sz w:val="21"/>
                <w:szCs w:val="21"/>
                <w:highlight w:val="none"/>
                <w:lang w:bidi="ar"/>
              </w:rPr>
              <w:t>E5-2640v4 2.4GHz*2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7" w:hRule="atLeast"/>
          <w:jc w:val="center"/>
        </w:trPr>
        <w:tc>
          <w:tcPr>
            <w:tcW w:w="1752" w:type="dxa"/>
            <w:shd w:val="clear" w:color="auto" w:fill="auto"/>
            <w:tcMar>
              <w:top w:w="75" w:type="dxa"/>
              <w:left w:w="120" w:type="dxa"/>
              <w:bottom w:w="75" w:type="dxa"/>
              <w:right w:w="120" w:type="dxa"/>
            </w:tcMar>
            <w:vAlign w:val="center"/>
          </w:tcPr>
          <w:p>
            <w:pPr>
              <w:widowControl/>
              <w:jc w:val="center"/>
              <w:rPr>
                <w:rFonts w:asciiTheme="minorEastAsia" w:hAnsiTheme="minorEastAsia" w:eastAsiaTheme="minorEastAsia" w:cstheme="minorEastAsia"/>
                <w:spacing w:val="8"/>
                <w:sz w:val="21"/>
                <w:szCs w:val="21"/>
                <w:highlight w:val="none"/>
              </w:rPr>
            </w:pPr>
            <w:r>
              <w:rPr>
                <w:rFonts w:hint="eastAsia" w:asciiTheme="minorEastAsia" w:hAnsiTheme="minorEastAsia" w:eastAsiaTheme="minorEastAsia" w:cstheme="minorEastAsia"/>
                <w:spacing w:val="8"/>
                <w:sz w:val="21"/>
                <w:szCs w:val="21"/>
                <w:highlight w:val="none"/>
                <w:lang w:bidi="ar"/>
              </w:rPr>
              <w:t>硬盘数量及规格</w:t>
            </w:r>
          </w:p>
        </w:tc>
        <w:tc>
          <w:tcPr>
            <w:tcW w:w="3383" w:type="dxa"/>
            <w:shd w:val="clear" w:color="auto" w:fill="auto"/>
            <w:tcMar>
              <w:top w:w="75" w:type="dxa"/>
              <w:left w:w="120" w:type="dxa"/>
              <w:bottom w:w="75" w:type="dxa"/>
              <w:right w:w="120" w:type="dxa"/>
            </w:tcMar>
            <w:vAlign w:val="center"/>
          </w:tcPr>
          <w:p>
            <w:pPr>
              <w:widowControl/>
              <w:jc w:val="center"/>
              <w:rPr>
                <w:rFonts w:asciiTheme="minorEastAsia" w:hAnsiTheme="minorEastAsia" w:eastAsiaTheme="minorEastAsia" w:cstheme="minorEastAsia"/>
                <w:spacing w:val="8"/>
                <w:sz w:val="21"/>
                <w:szCs w:val="21"/>
                <w:highlight w:val="none"/>
              </w:rPr>
            </w:pPr>
            <w:r>
              <w:rPr>
                <w:rFonts w:hint="eastAsia" w:asciiTheme="minorEastAsia" w:hAnsiTheme="minorEastAsia" w:eastAsiaTheme="minorEastAsia" w:cstheme="minorEastAsia"/>
                <w:spacing w:val="8"/>
                <w:sz w:val="21"/>
                <w:szCs w:val="21"/>
                <w:highlight w:val="none"/>
                <w:lang w:bidi="ar"/>
              </w:rPr>
              <w:t>SAS/2TB*4</w:t>
            </w:r>
          </w:p>
        </w:tc>
        <w:tc>
          <w:tcPr>
            <w:tcW w:w="0" w:type="auto"/>
            <w:shd w:val="clear" w:color="auto" w:fill="auto"/>
            <w:tcMar>
              <w:top w:w="75" w:type="dxa"/>
              <w:left w:w="120" w:type="dxa"/>
              <w:bottom w:w="75" w:type="dxa"/>
              <w:right w:w="120" w:type="dxa"/>
            </w:tcMar>
            <w:vAlign w:val="center"/>
          </w:tcPr>
          <w:p>
            <w:pPr>
              <w:widowControl/>
              <w:jc w:val="center"/>
              <w:rPr>
                <w:rFonts w:asciiTheme="minorEastAsia" w:hAnsiTheme="minorEastAsia" w:eastAsiaTheme="minorEastAsia" w:cstheme="minorEastAsia"/>
                <w:spacing w:val="8"/>
                <w:sz w:val="21"/>
                <w:szCs w:val="21"/>
                <w:highlight w:val="none"/>
              </w:rPr>
            </w:pPr>
            <w:r>
              <w:rPr>
                <w:rFonts w:hint="eastAsia" w:asciiTheme="minorEastAsia" w:hAnsiTheme="minorEastAsia" w:eastAsiaTheme="minorEastAsia" w:cstheme="minorEastAsia"/>
                <w:spacing w:val="8"/>
                <w:sz w:val="21"/>
                <w:szCs w:val="21"/>
                <w:highlight w:val="none"/>
                <w:lang w:bidi="ar"/>
              </w:rPr>
              <w:t>SAS/2TB*4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7" w:hRule="atLeast"/>
          <w:jc w:val="center"/>
        </w:trPr>
        <w:tc>
          <w:tcPr>
            <w:tcW w:w="1752" w:type="dxa"/>
            <w:shd w:val="clear" w:color="auto" w:fill="auto"/>
            <w:tcMar>
              <w:top w:w="75" w:type="dxa"/>
              <w:left w:w="120" w:type="dxa"/>
              <w:bottom w:w="75" w:type="dxa"/>
              <w:right w:w="120" w:type="dxa"/>
            </w:tcMar>
            <w:vAlign w:val="center"/>
          </w:tcPr>
          <w:p>
            <w:pPr>
              <w:widowControl/>
              <w:jc w:val="center"/>
              <w:rPr>
                <w:rFonts w:asciiTheme="minorEastAsia" w:hAnsiTheme="minorEastAsia" w:eastAsiaTheme="minorEastAsia" w:cstheme="minorEastAsia"/>
                <w:spacing w:val="8"/>
                <w:sz w:val="21"/>
                <w:szCs w:val="21"/>
                <w:highlight w:val="none"/>
              </w:rPr>
            </w:pPr>
            <w:r>
              <w:rPr>
                <w:rFonts w:hint="eastAsia" w:asciiTheme="minorEastAsia" w:hAnsiTheme="minorEastAsia" w:eastAsiaTheme="minorEastAsia" w:cstheme="minorEastAsia"/>
                <w:spacing w:val="8"/>
                <w:sz w:val="21"/>
                <w:szCs w:val="21"/>
                <w:highlight w:val="none"/>
                <w:lang w:bidi="ar"/>
              </w:rPr>
              <w:t>操作系统</w:t>
            </w:r>
          </w:p>
        </w:tc>
        <w:tc>
          <w:tcPr>
            <w:tcW w:w="3383" w:type="dxa"/>
            <w:shd w:val="clear" w:color="auto" w:fill="auto"/>
            <w:tcMar>
              <w:top w:w="75" w:type="dxa"/>
              <w:left w:w="120" w:type="dxa"/>
              <w:bottom w:w="75" w:type="dxa"/>
              <w:right w:w="120" w:type="dxa"/>
            </w:tcMar>
            <w:vAlign w:val="center"/>
          </w:tcPr>
          <w:p>
            <w:pPr>
              <w:widowControl/>
              <w:jc w:val="center"/>
              <w:rPr>
                <w:rFonts w:asciiTheme="minorEastAsia" w:hAnsiTheme="minorEastAsia" w:eastAsiaTheme="minorEastAsia" w:cstheme="minorEastAsia"/>
                <w:spacing w:val="8"/>
                <w:sz w:val="21"/>
                <w:szCs w:val="21"/>
                <w:highlight w:val="none"/>
              </w:rPr>
            </w:pPr>
            <w:r>
              <w:rPr>
                <w:rFonts w:hint="eastAsia" w:asciiTheme="minorEastAsia" w:hAnsiTheme="minorEastAsia" w:eastAsiaTheme="minorEastAsia" w:cstheme="minorEastAsia"/>
                <w:spacing w:val="8"/>
                <w:sz w:val="21"/>
                <w:szCs w:val="21"/>
                <w:highlight w:val="none"/>
                <w:lang w:bidi="ar"/>
              </w:rPr>
              <w:t>Windows Server2012 r2 Standard</w:t>
            </w:r>
          </w:p>
        </w:tc>
        <w:tc>
          <w:tcPr>
            <w:tcW w:w="0" w:type="auto"/>
            <w:shd w:val="clear" w:color="auto" w:fill="auto"/>
            <w:tcMar>
              <w:top w:w="75" w:type="dxa"/>
              <w:left w:w="120" w:type="dxa"/>
              <w:bottom w:w="75" w:type="dxa"/>
              <w:right w:w="120" w:type="dxa"/>
            </w:tcMar>
            <w:vAlign w:val="center"/>
          </w:tcPr>
          <w:p>
            <w:pPr>
              <w:widowControl/>
              <w:jc w:val="center"/>
              <w:rPr>
                <w:rFonts w:asciiTheme="minorEastAsia" w:hAnsiTheme="minorEastAsia" w:eastAsiaTheme="minorEastAsia" w:cstheme="minorEastAsia"/>
                <w:spacing w:val="8"/>
                <w:sz w:val="21"/>
                <w:szCs w:val="21"/>
                <w:highlight w:val="none"/>
              </w:rPr>
            </w:pPr>
            <w:r>
              <w:rPr>
                <w:rFonts w:hint="eastAsia" w:asciiTheme="minorEastAsia" w:hAnsiTheme="minorEastAsia" w:eastAsiaTheme="minorEastAsia" w:cstheme="minorEastAsia"/>
                <w:spacing w:val="8"/>
                <w:sz w:val="21"/>
                <w:szCs w:val="21"/>
                <w:highlight w:val="none"/>
                <w:lang w:bidi="ar"/>
              </w:rPr>
              <w:t>Windows Server2012 r2 Standard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0" w:hRule="atLeast"/>
          <w:jc w:val="center"/>
        </w:trPr>
        <w:tc>
          <w:tcPr>
            <w:tcW w:w="1752" w:type="dxa"/>
            <w:shd w:val="clear" w:color="auto" w:fill="auto"/>
            <w:tcMar>
              <w:top w:w="75" w:type="dxa"/>
              <w:left w:w="120" w:type="dxa"/>
              <w:bottom w:w="75" w:type="dxa"/>
              <w:right w:w="120" w:type="dxa"/>
            </w:tcMar>
            <w:vAlign w:val="center"/>
          </w:tcPr>
          <w:p>
            <w:pPr>
              <w:widowControl/>
              <w:jc w:val="center"/>
              <w:rPr>
                <w:rFonts w:asciiTheme="minorEastAsia" w:hAnsiTheme="minorEastAsia" w:eastAsiaTheme="minorEastAsia" w:cstheme="minorEastAsia"/>
                <w:spacing w:val="8"/>
                <w:sz w:val="21"/>
                <w:szCs w:val="21"/>
                <w:highlight w:val="none"/>
              </w:rPr>
            </w:pPr>
            <w:r>
              <w:rPr>
                <w:rFonts w:hint="eastAsia" w:asciiTheme="minorEastAsia" w:hAnsiTheme="minorEastAsia" w:eastAsiaTheme="minorEastAsia" w:cstheme="minorEastAsia"/>
                <w:spacing w:val="8"/>
                <w:sz w:val="21"/>
                <w:szCs w:val="21"/>
                <w:highlight w:val="none"/>
                <w:lang w:bidi="ar"/>
              </w:rPr>
              <w:t>运行模式</w:t>
            </w:r>
          </w:p>
        </w:tc>
        <w:tc>
          <w:tcPr>
            <w:tcW w:w="3383" w:type="dxa"/>
            <w:shd w:val="clear" w:color="auto" w:fill="auto"/>
            <w:tcMar>
              <w:top w:w="75" w:type="dxa"/>
              <w:left w:w="120" w:type="dxa"/>
              <w:bottom w:w="75" w:type="dxa"/>
              <w:right w:w="120" w:type="dxa"/>
            </w:tcMar>
            <w:vAlign w:val="center"/>
          </w:tcPr>
          <w:p>
            <w:pPr>
              <w:widowControl/>
              <w:jc w:val="center"/>
              <w:rPr>
                <w:rFonts w:asciiTheme="minorEastAsia" w:hAnsiTheme="minorEastAsia" w:eastAsiaTheme="minorEastAsia" w:cstheme="minorEastAsia"/>
                <w:spacing w:val="8"/>
                <w:sz w:val="21"/>
                <w:szCs w:val="21"/>
                <w:highlight w:val="none"/>
              </w:rPr>
            </w:pPr>
            <w:r>
              <w:rPr>
                <w:rFonts w:hint="eastAsia" w:asciiTheme="minorEastAsia" w:hAnsiTheme="minorEastAsia" w:eastAsiaTheme="minorEastAsia" w:cstheme="minorEastAsia"/>
                <w:spacing w:val="8"/>
                <w:sz w:val="21"/>
                <w:szCs w:val="21"/>
                <w:highlight w:val="none"/>
                <w:lang w:bidi="ar"/>
              </w:rPr>
              <w:t>单机（非集群）</w:t>
            </w:r>
          </w:p>
        </w:tc>
        <w:tc>
          <w:tcPr>
            <w:tcW w:w="0" w:type="auto"/>
            <w:shd w:val="clear" w:color="auto" w:fill="auto"/>
            <w:tcMar>
              <w:top w:w="75" w:type="dxa"/>
              <w:left w:w="120" w:type="dxa"/>
              <w:bottom w:w="75" w:type="dxa"/>
              <w:right w:w="120" w:type="dxa"/>
            </w:tcMar>
            <w:vAlign w:val="center"/>
          </w:tcPr>
          <w:p>
            <w:pPr>
              <w:widowControl/>
              <w:jc w:val="center"/>
              <w:rPr>
                <w:rFonts w:asciiTheme="minorEastAsia" w:hAnsiTheme="minorEastAsia" w:eastAsiaTheme="minorEastAsia" w:cstheme="minorEastAsia"/>
                <w:spacing w:val="8"/>
                <w:sz w:val="21"/>
                <w:szCs w:val="21"/>
                <w:highlight w:val="none"/>
              </w:rPr>
            </w:pPr>
            <w:r>
              <w:rPr>
                <w:rFonts w:hint="eastAsia" w:asciiTheme="minorEastAsia" w:hAnsiTheme="minorEastAsia" w:eastAsiaTheme="minorEastAsia" w:cstheme="minorEastAsia"/>
                <w:spacing w:val="8"/>
                <w:sz w:val="21"/>
                <w:szCs w:val="21"/>
                <w:highlight w:val="none"/>
                <w:lang w:bidi="ar"/>
              </w:rPr>
              <w:t>单机（非集群）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0" w:hRule="atLeast"/>
          <w:jc w:val="center"/>
        </w:trPr>
        <w:tc>
          <w:tcPr>
            <w:tcW w:w="1752" w:type="dxa"/>
            <w:shd w:val="clear" w:color="auto" w:fill="auto"/>
            <w:tcMar>
              <w:top w:w="75" w:type="dxa"/>
              <w:left w:w="120" w:type="dxa"/>
              <w:bottom w:w="75" w:type="dxa"/>
              <w:right w:w="120" w:type="dxa"/>
            </w:tcMar>
            <w:vAlign w:val="center"/>
          </w:tcPr>
          <w:p>
            <w:pPr>
              <w:widowControl/>
              <w:jc w:val="center"/>
              <w:rPr>
                <w:rFonts w:asciiTheme="minorEastAsia" w:hAnsiTheme="minorEastAsia" w:eastAsiaTheme="minorEastAsia" w:cstheme="minorEastAsia"/>
                <w:spacing w:val="8"/>
                <w:sz w:val="21"/>
                <w:szCs w:val="21"/>
                <w:highlight w:val="none"/>
                <w:lang w:bidi="ar"/>
              </w:rPr>
            </w:pPr>
            <w:r>
              <w:rPr>
                <w:rFonts w:hint="eastAsia" w:asciiTheme="minorEastAsia" w:hAnsiTheme="minorEastAsia" w:eastAsiaTheme="minorEastAsia" w:cstheme="minorEastAsia"/>
                <w:spacing w:val="8"/>
                <w:sz w:val="21"/>
                <w:szCs w:val="21"/>
                <w:highlight w:val="none"/>
                <w:lang w:bidi="ar"/>
              </w:rPr>
              <w:t>版本</w:t>
            </w:r>
          </w:p>
        </w:tc>
        <w:tc>
          <w:tcPr>
            <w:tcW w:w="3383" w:type="dxa"/>
            <w:shd w:val="clear" w:color="auto" w:fill="auto"/>
            <w:tcMar>
              <w:top w:w="75" w:type="dxa"/>
              <w:left w:w="120" w:type="dxa"/>
              <w:bottom w:w="75" w:type="dxa"/>
              <w:right w:w="120" w:type="dxa"/>
            </w:tcMar>
            <w:vAlign w:val="center"/>
          </w:tcPr>
          <w:p>
            <w:pPr>
              <w:widowControl/>
              <w:jc w:val="center"/>
              <w:rPr>
                <w:rFonts w:asciiTheme="minorEastAsia" w:hAnsiTheme="minorEastAsia" w:eastAsiaTheme="minorEastAsia" w:cstheme="minorEastAsia"/>
                <w:spacing w:val="8"/>
                <w:sz w:val="21"/>
                <w:szCs w:val="21"/>
                <w:highlight w:val="none"/>
                <w:lang w:bidi="ar"/>
              </w:rPr>
            </w:pPr>
            <w:r>
              <w:rPr>
                <w:rFonts w:hint="eastAsia" w:asciiTheme="minorEastAsia" w:hAnsiTheme="minorEastAsia" w:eastAsiaTheme="minorEastAsia" w:cstheme="minorEastAsia"/>
                <w:spacing w:val="8"/>
                <w:sz w:val="21"/>
                <w:szCs w:val="21"/>
                <w:highlight w:val="none"/>
                <w:lang w:bidi="ar"/>
              </w:rPr>
              <w:t>Oracle 11g</w:t>
            </w:r>
          </w:p>
        </w:tc>
        <w:tc>
          <w:tcPr>
            <w:tcW w:w="0" w:type="auto"/>
            <w:shd w:val="clear" w:color="auto" w:fill="auto"/>
            <w:tcMar>
              <w:top w:w="75" w:type="dxa"/>
              <w:left w:w="120" w:type="dxa"/>
              <w:bottom w:w="75" w:type="dxa"/>
              <w:right w:w="120" w:type="dxa"/>
            </w:tcMar>
            <w:vAlign w:val="center"/>
          </w:tcPr>
          <w:p>
            <w:pPr>
              <w:widowControl/>
              <w:jc w:val="center"/>
              <w:rPr>
                <w:rFonts w:asciiTheme="minorEastAsia" w:hAnsiTheme="minorEastAsia" w:eastAsiaTheme="minorEastAsia" w:cstheme="minorEastAsia"/>
                <w:spacing w:val="8"/>
                <w:sz w:val="21"/>
                <w:szCs w:val="21"/>
                <w:highlight w:val="none"/>
                <w:lang w:bidi="ar"/>
              </w:rPr>
            </w:pPr>
            <w:r>
              <w:rPr>
                <w:rFonts w:hint="eastAsia" w:asciiTheme="minorEastAsia" w:hAnsiTheme="minorEastAsia" w:eastAsiaTheme="minorEastAsia" w:cstheme="minorEastAsia"/>
                <w:spacing w:val="8"/>
                <w:sz w:val="21"/>
                <w:szCs w:val="21"/>
                <w:highlight w:val="none"/>
                <w:lang w:bidi="ar"/>
              </w:rPr>
              <w:t>致远A8+集团版V8.1SP1</w:t>
            </w:r>
          </w:p>
        </w:tc>
      </w:tr>
    </w:tbl>
    <w:p>
      <w:pPr>
        <w:pStyle w:val="24"/>
        <w:autoSpaceDE/>
        <w:autoSpaceDN/>
        <w:adjustRightInd/>
        <w:spacing w:before="0" w:beforeLines="0" w:after="0" w:afterLines="0" w:line="360" w:lineRule="auto"/>
        <w:ind w:firstLine="480"/>
        <w:rPr>
          <w:rFonts w:ascii="宋体" w:hAnsi="宋体"/>
          <w:sz w:val="24"/>
          <w:szCs w:val="24"/>
          <w:highlight w:val="none"/>
        </w:rPr>
      </w:pPr>
      <w:r>
        <w:rPr>
          <w:rFonts w:hint="eastAsia" w:ascii="宋体" w:hAnsi="宋体"/>
          <w:sz w:val="24"/>
          <w:szCs w:val="24"/>
          <w:highlight w:val="none"/>
        </w:rPr>
        <w:t>2.IT基础设施现状</w:t>
      </w:r>
    </w:p>
    <w:p>
      <w:pPr>
        <w:pStyle w:val="24"/>
        <w:autoSpaceDE/>
        <w:autoSpaceDN/>
        <w:adjustRightInd/>
        <w:spacing w:before="0" w:beforeLines="0" w:after="0" w:afterLines="0" w:line="360" w:lineRule="auto"/>
        <w:ind w:firstLine="480"/>
        <w:rPr>
          <w:rFonts w:ascii="宋体" w:hAnsi="宋体"/>
          <w:sz w:val="24"/>
          <w:szCs w:val="24"/>
          <w:highlight w:val="none"/>
        </w:rPr>
      </w:pPr>
      <w:r>
        <w:rPr>
          <w:rFonts w:hint="eastAsia" w:ascii="宋体" w:hAnsi="宋体"/>
          <w:sz w:val="24"/>
          <w:szCs w:val="24"/>
          <w:highlight w:val="none"/>
        </w:rPr>
        <w:t>集团本部建有IT设备机房、虎门临时数据中心和正在筹备建设芦花坑水厂数据中心。当前临时数据中心已以集群方式部署了通过安全可靠测评的人大金仓数据库管理系统；并且正在筹备建设芦花坑水厂数据中心将以提供安全可靠的IT基础设施资源。</w:t>
      </w:r>
    </w:p>
    <w:p>
      <w:pPr>
        <w:pStyle w:val="24"/>
        <w:autoSpaceDE/>
        <w:autoSpaceDN/>
        <w:adjustRightInd/>
        <w:spacing w:before="0" w:beforeLines="0" w:after="0" w:afterLines="0" w:line="360" w:lineRule="auto"/>
        <w:ind w:firstLine="482"/>
        <w:rPr>
          <w:rFonts w:ascii="宋体" w:hAnsi="宋体"/>
          <w:b/>
          <w:bCs/>
          <w:sz w:val="24"/>
          <w:szCs w:val="24"/>
          <w:highlight w:val="none"/>
        </w:rPr>
      </w:pPr>
    </w:p>
    <w:p>
      <w:pPr>
        <w:pStyle w:val="24"/>
        <w:autoSpaceDE/>
        <w:autoSpaceDN/>
        <w:adjustRightInd/>
        <w:spacing w:before="0" w:beforeLines="0" w:after="0" w:afterLines="0" w:line="360" w:lineRule="auto"/>
        <w:ind w:firstLine="482"/>
        <w:rPr>
          <w:rFonts w:ascii="宋体" w:hAnsi="宋体"/>
          <w:b/>
          <w:bCs/>
          <w:sz w:val="24"/>
          <w:szCs w:val="24"/>
          <w:highlight w:val="none"/>
        </w:rPr>
      </w:pPr>
      <w:r>
        <w:rPr>
          <w:rFonts w:hint="eastAsia" w:ascii="宋体" w:hAnsi="宋体"/>
          <w:b/>
          <w:bCs/>
          <w:sz w:val="24"/>
          <w:szCs w:val="24"/>
          <w:highlight w:val="none"/>
        </w:rPr>
        <w:t>（二）项目必要性</w:t>
      </w:r>
    </w:p>
    <w:p>
      <w:pPr>
        <w:pStyle w:val="24"/>
        <w:autoSpaceDE/>
        <w:autoSpaceDN/>
        <w:adjustRightInd/>
        <w:spacing w:before="0" w:beforeLines="0" w:after="0" w:afterLines="0" w:line="360" w:lineRule="auto"/>
        <w:ind w:firstLine="480"/>
        <w:rPr>
          <w:rFonts w:ascii="宋体" w:hAnsi="宋体"/>
          <w:sz w:val="24"/>
          <w:szCs w:val="24"/>
          <w:highlight w:val="none"/>
        </w:rPr>
      </w:pPr>
      <w:r>
        <w:rPr>
          <w:rFonts w:hint="eastAsia" w:ascii="宋体" w:hAnsi="宋体"/>
          <w:sz w:val="24"/>
          <w:szCs w:val="24"/>
          <w:highlight w:val="none"/>
        </w:rPr>
        <w:t>1.在信息技术迅猛发展的今天，集团面临着日益严峻的信息安全挑战。原有的OA系统可能无法满足当前的安全需求，存在潜在的数据泄露和非法访问风险。通过迁移升级到符合国家安全可靠标准的系统，可以有效提高数据的安全性和系统的防护能力，确保集团信息资产的安全可控。</w:t>
      </w:r>
    </w:p>
    <w:p>
      <w:pPr>
        <w:pStyle w:val="24"/>
        <w:autoSpaceDE/>
        <w:autoSpaceDN/>
        <w:adjustRightInd/>
        <w:spacing w:before="0" w:beforeLines="0" w:after="0" w:afterLines="0" w:line="360" w:lineRule="auto"/>
        <w:ind w:firstLine="480"/>
        <w:rPr>
          <w:rFonts w:ascii="宋体" w:hAnsi="宋体"/>
          <w:sz w:val="24"/>
          <w:szCs w:val="24"/>
          <w:highlight w:val="none"/>
        </w:rPr>
      </w:pPr>
      <w:r>
        <w:rPr>
          <w:rFonts w:hint="eastAsia" w:ascii="宋体" w:hAnsi="宋体"/>
          <w:sz w:val="24"/>
          <w:szCs w:val="24"/>
          <w:highlight w:val="none"/>
        </w:rPr>
        <w:t>2.伴随集团业务的持续扩展，现有的OA系统可能在功能和性能上无法满足日益增长的需求。系统功能的增强可以提高业务处理的效率，减少人为错误，优化用户体验。性能的提升则意味着更快的响应时间和更高的处理能力，能够支持更多并发用户和更大数据量的处理。通过迁移升级，可以引入新技术和架构，使得系统更加稳定、可扩展和易于维护。</w:t>
      </w:r>
    </w:p>
    <w:p>
      <w:pPr>
        <w:pStyle w:val="24"/>
        <w:autoSpaceDE/>
        <w:autoSpaceDN/>
        <w:adjustRightInd/>
        <w:spacing w:before="0" w:beforeLines="0" w:after="0" w:afterLines="0" w:line="360" w:lineRule="auto"/>
        <w:ind w:firstLine="480"/>
        <w:rPr>
          <w:rFonts w:ascii="宋体" w:hAnsi="宋体"/>
          <w:sz w:val="24"/>
          <w:szCs w:val="24"/>
          <w:highlight w:val="none"/>
        </w:rPr>
      </w:pPr>
      <w:r>
        <w:rPr>
          <w:rFonts w:hint="eastAsia" w:ascii="宋体" w:hAnsi="宋体"/>
          <w:sz w:val="24"/>
          <w:szCs w:val="24"/>
          <w:highlight w:val="none"/>
        </w:rPr>
        <w:t>3.随着集团规模的扩大和业务复杂度的提高，对系统的要求也越来越高。新的业务需求渐显。为了保持竞争力，这就要求OA系统能够提供新的功能模块以适应这些变化。</w:t>
      </w:r>
    </w:p>
    <w:p>
      <w:pPr>
        <w:pStyle w:val="24"/>
        <w:autoSpaceDE/>
        <w:autoSpaceDN/>
        <w:adjustRightInd/>
        <w:spacing w:before="0" w:beforeLines="0" w:after="0" w:afterLines="0" w:line="360" w:lineRule="auto"/>
        <w:ind w:firstLine="482"/>
        <w:rPr>
          <w:rFonts w:ascii="宋体" w:hAnsi="宋体"/>
          <w:b/>
          <w:bCs/>
          <w:sz w:val="24"/>
          <w:szCs w:val="24"/>
          <w:highlight w:val="none"/>
        </w:rPr>
      </w:pPr>
      <w:r>
        <w:rPr>
          <w:rFonts w:hint="eastAsia" w:ascii="宋体" w:hAnsi="宋体"/>
          <w:b/>
          <w:bCs/>
          <w:sz w:val="24"/>
          <w:szCs w:val="24"/>
          <w:highlight w:val="none"/>
        </w:rPr>
        <w:t>四、项目内容</w:t>
      </w:r>
    </w:p>
    <w:p>
      <w:pPr>
        <w:pStyle w:val="24"/>
        <w:autoSpaceDE/>
        <w:autoSpaceDN/>
        <w:adjustRightInd/>
        <w:spacing w:before="0" w:beforeLines="0" w:after="0" w:afterLines="0" w:line="360" w:lineRule="auto"/>
        <w:ind w:firstLine="480"/>
        <w:rPr>
          <w:rFonts w:ascii="宋体" w:hAnsi="宋体"/>
          <w:sz w:val="24"/>
          <w:szCs w:val="24"/>
          <w:highlight w:val="none"/>
        </w:rPr>
      </w:pPr>
      <w:r>
        <w:rPr>
          <w:rFonts w:hint="eastAsia" w:ascii="宋体" w:hAnsi="宋体"/>
          <w:sz w:val="24"/>
          <w:szCs w:val="24"/>
          <w:highlight w:val="none"/>
        </w:rPr>
        <w:t>（一）系统升级</w:t>
      </w:r>
    </w:p>
    <w:p>
      <w:pPr>
        <w:pStyle w:val="24"/>
        <w:autoSpaceDE/>
        <w:autoSpaceDN/>
        <w:adjustRightInd/>
        <w:spacing w:before="0" w:beforeLines="0" w:after="0" w:afterLines="0" w:line="360" w:lineRule="auto"/>
        <w:ind w:firstLine="480"/>
        <w:rPr>
          <w:rFonts w:ascii="宋体" w:hAnsi="宋体"/>
          <w:sz w:val="24"/>
          <w:szCs w:val="24"/>
          <w:highlight w:val="none"/>
        </w:rPr>
      </w:pPr>
      <w:r>
        <w:rPr>
          <w:rFonts w:hint="eastAsia" w:ascii="宋体" w:hAnsi="宋体"/>
          <w:sz w:val="24"/>
          <w:szCs w:val="24"/>
          <w:highlight w:val="none"/>
        </w:rPr>
        <w:t>1.版本升级：OA系统现版本致远A8+集团版V8.1SP1，升级后确保OA系统兼容已通过国家安全可靠测评的芯片、操作系统和数据库软件，符合国家安全可靠的标准。</w:t>
      </w:r>
    </w:p>
    <w:p>
      <w:pPr>
        <w:pStyle w:val="24"/>
        <w:autoSpaceDE/>
        <w:autoSpaceDN/>
        <w:adjustRightInd/>
        <w:spacing w:before="0" w:beforeLines="0" w:after="0" w:afterLines="0" w:line="360" w:lineRule="auto"/>
        <w:ind w:firstLine="480"/>
        <w:rPr>
          <w:rFonts w:ascii="宋体" w:hAnsi="宋体"/>
          <w:sz w:val="24"/>
          <w:szCs w:val="24"/>
          <w:highlight w:val="none"/>
        </w:rPr>
      </w:pPr>
      <w:r>
        <w:rPr>
          <w:rFonts w:hint="eastAsia" w:ascii="宋体" w:hAnsi="宋体"/>
          <w:sz w:val="24"/>
          <w:szCs w:val="24"/>
          <w:highlight w:val="none"/>
        </w:rPr>
        <w:t>（二）系统迁移服务</w:t>
      </w:r>
    </w:p>
    <w:p>
      <w:pPr>
        <w:pStyle w:val="24"/>
        <w:autoSpaceDE/>
        <w:autoSpaceDN/>
        <w:adjustRightInd/>
        <w:spacing w:before="0" w:beforeLines="0" w:after="0" w:afterLines="0" w:line="360" w:lineRule="auto"/>
        <w:ind w:firstLine="480"/>
        <w:rPr>
          <w:rFonts w:ascii="宋体" w:hAnsi="宋体"/>
          <w:sz w:val="24"/>
          <w:szCs w:val="24"/>
          <w:highlight w:val="none"/>
        </w:rPr>
      </w:pPr>
      <w:r>
        <w:rPr>
          <w:rFonts w:hint="eastAsia" w:ascii="宋体" w:hAnsi="宋体"/>
          <w:sz w:val="24"/>
          <w:szCs w:val="24"/>
          <w:highlight w:val="none"/>
        </w:rPr>
        <w:t>1.迁移到虎门临时数据中心</w:t>
      </w:r>
    </w:p>
    <w:p>
      <w:pPr>
        <w:pStyle w:val="24"/>
        <w:autoSpaceDE/>
        <w:autoSpaceDN/>
        <w:adjustRightInd/>
        <w:spacing w:before="0" w:beforeLines="0" w:after="0" w:afterLines="0" w:line="360" w:lineRule="auto"/>
        <w:ind w:firstLine="480"/>
        <w:rPr>
          <w:rFonts w:ascii="宋体" w:hAnsi="宋体"/>
          <w:sz w:val="24"/>
          <w:szCs w:val="24"/>
          <w:highlight w:val="none"/>
        </w:rPr>
      </w:pPr>
      <w:r>
        <w:rPr>
          <w:rFonts w:hint="eastAsia" w:ascii="宋体" w:hAnsi="宋体"/>
          <w:sz w:val="24"/>
          <w:szCs w:val="24"/>
          <w:highlight w:val="none"/>
        </w:rPr>
        <w:t>（1）应用迁移：将应用从当前集团本部迁移到虎门临时数据中心。</w:t>
      </w:r>
    </w:p>
    <w:p>
      <w:pPr>
        <w:pStyle w:val="24"/>
        <w:autoSpaceDE/>
        <w:autoSpaceDN/>
        <w:adjustRightInd/>
        <w:spacing w:before="0" w:beforeLines="0" w:after="0" w:afterLines="0" w:line="360" w:lineRule="auto"/>
        <w:ind w:firstLine="480"/>
        <w:rPr>
          <w:rFonts w:ascii="宋体" w:hAnsi="宋体"/>
          <w:sz w:val="24"/>
          <w:szCs w:val="24"/>
          <w:highlight w:val="none"/>
        </w:rPr>
      </w:pPr>
      <w:r>
        <w:rPr>
          <w:rFonts w:hint="eastAsia" w:ascii="宋体" w:hAnsi="宋体"/>
          <w:sz w:val="24"/>
          <w:szCs w:val="24"/>
          <w:highlight w:val="none"/>
        </w:rPr>
        <w:t>（2）数据迁移：包括数据库数据迁移和文件数据迁移，当前OA系统的数据库数据要从原Oracle 11g数据库迁移到人大金仓KingbaseES V8数据库；文件迁移，要求从集团原NAS盘迁移到新的文件存储环境中。</w:t>
      </w:r>
    </w:p>
    <w:p>
      <w:pPr>
        <w:pStyle w:val="24"/>
        <w:autoSpaceDE/>
        <w:autoSpaceDN/>
        <w:adjustRightInd/>
        <w:spacing w:before="0" w:beforeLines="0" w:after="0" w:afterLines="0" w:line="360" w:lineRule="auto"/>
        <w:ind w:firstLine="480"/>
        <w:rPr>
          <w:rFonts w:ascii="宋体" w:hAnsi="宋体"/>
          <w:sz w:val="24"/>
          <w:szCs w:val="24"/>
          <w:highlight w:val="none"/>
        </w:rPr>
      </w:pPr>
      <w:r>
        <w:rPr>
          <w:rFonts w:hint="eastAsia" w:ascii="宋体" w:hAnsi="宋体"/>
          <w:sz w:val="24"/>
          <w:szCs w:val="24"/>
          <w:highlight w:val="none"/>
        </w:rPr>
        <w:t>（3）集群部署：为了提高系统的可靠性和高可用性，需要在虎门临时数据中心实施集群部署。这包括配置3个服务器形成一个集群，共同执行任务和分担负载。</w:t>
      </w:r>
    </w:p>
    <w:p>
      <w:pPr>
        <w:pStyle w:val="24"/>
        <w:autoSpaceDE/>
        <w:autoSpaceDN/>
        <w:adjustRightInd/>
        <w:spacing w:before="0" w:beforeLines="0" w:after="0" w:afterLines="0" w:line="360" w:lineRule="auto"/>
        <w:ind w:firstLine="480"/>
        <w:rPr>
          <w:rFonts w:ascii="宋体" w:hAnsi="宋体"/>
          <w:sz w:val="24"/>
          <w:szCs w:val="24"/>
          <w:highlight w:val="none"/>
        </w:rPr>
      </w:pPr>
      <w:r>
        <w:rPr>
          <w:rFonts w:hint="eastAsia" w:ascii="宋体" w:hAnsi="宋体"/>
          <w:sz w:val="24"/>
          <w:szCs w:val="24"/>
          <w:highlight w:val="none"/>
        </w:rPr>
        <w:t>2.迁移到符合安全可靠测评设备环境</w:t>
      </w:r>
    </w:p>
    <w:p>
      <w:pPr>
        <w:pStyle w:val="24"/>
        <w:autoSpaceDE/>
        <w:autoSpaceDN/>
        <w:adjustRightInd/>
        <w:spacing w:before="0" w:beforeLines="0" w:after="0" w:afterLines="0" w:line="360" w:lineRule="auto"/>
        <w:ind w:firstLine="480"/>
        <w:rPr>
          <w:rFonts w:ascii="宋体" w:hAnsi="宋体"/>
          <w:sz w:val="24"/>
          <w:szCs w:val="24"/>
          <w:highlight w:val="none"/>
        </w:rPr>
      </w:pPr>
      <w:r>
        <w:rPr>
          <w:rFonts w:hint="eastAsia" w:ascii="宋体" w:hAnsi="宋体"/>
          <w:sz w:val="24"/>
          <w:szCs w:val="24"/>
          <w:highlight w:val="none"/>
        </w:rPr>
        <w:t>（1）应用迁移：第二阶段的应用迁移涉及到将应用从虎门临时数据中心迁移到符合安全可靠测评设备环境。</w:t>
      </w:r>
    </w:p>
    <w:p>
      <w:pPr>
        <w:pStyle w:val="24"/>
        <w:autoSpaceDE/>
        <w:autoSpaceDN/>
        <w:adjustRightInd/>
        <w:spacing w:before="0" w:beforeLines="0" w:after="0" w:afterLines="0" w:line="360" w:lineRule="auto"/>
        <w:ind w:firstLine="480"/>
        <w:rPr>
          <w:rFonts w:ascii="宋体" w:hAnsi="宋体"/>
          <w:sz w:val="24"/>
          <w:szCs w:val="24"/>
          <w:highlight w:val="none"/>
        </w:rPr>
      </w:pPr>
      <w:r>
        <w:rPr>
          <w:rFonts w:hint="eastAsia" w:ascii="宋体" w:hAnsi="宋体"/>
          <w:sz w:val="24"/>
          <w:szCs w:val="24"/>
          <w:highlight w:val="none"/>
        </w:rPr>
        <w:t>（2）数据迁移：数据迁移，要求将数据库从虎门临时数据中心迁移到符合安全可靠测评设备环境；文件迁移，要求从虎门临时数据中心迁移到符合安全可靠测评设备环境。</w:t>
      </w:r>
    </w:p>
    <w:p>
      <w:pPr>
        <w:pStyle w:val="24"/>
        <w:autoSpaceDE/>
        <w:autoSpaceDN/>
        <w:adjustRightInd/>
        <w:spacing w:before="0" w:beforeLines="0" w:after="0" w:afterLines="0" w:line="360" w:lineRule="auto"/>
        <w:ind w:firstLine="480"/>
        <w:rPr>
          <w:rFonts w:ascii="宋体" w:hAnsi="宋体"/>
          <w:sz w:val="24"/>
          <w:szCs w:val="24"/>
          <w:highlight w:val="none"/>
        </w:rPr>
      </w:pPr>
      <w:r>
        <w:rPr>
          <w:rFonts w:hint="eastAsia" w:ascii="宋体" w:hAnsi="宋体"/>
          <w:sz w:val="24"/>
          <w:szCs w:val="24"/>
          <w:highlight w:val="none"/>
        </w:rPr>
        <w:t>（3）集群优化：在符合安全可靠测评设备环境进一步完善和优化集群部署。根据新数据中心的硬件和网络环境，调整集群配置，实现更高的服务可用性和灾难恢复能力。</w:t>
      </w:r>
    </w:p>
    <w:p>
      <w:pPr>
        <w:pStyle w:val="24"/>
        <w:autoSpaceDE/>
        <w:autoSpaceDN/>
        <w:adjustRightInd/>
        <w:spacing w:before="0" w:beforeLines="0" w:after="0" w:afterLines="0" w:line="360" w:lineRule="auto"/>
        <w:ind w:firstLine="480"/>
        <w:rPr>
          <w:rFonts w:ascii="宋体" w:hAnsi="宋体"/>
          <w:sz w:val="24"/>
          <w:szCs w:val="24"/>
          <w:highlight w:val="none"/>
        </w:rPr>
      </w:pPr>
      <w:r>
        <w:rPr>
          <w:rFonts w:hint="eastAsia" w:ascii="宋体" w:hAnsi="宋体"/>
          <w:sz w:val="24"/>
          <w:szCs w:val="24"/>
          <w:highlight w:val="none"/>
        </w:rPr>
        <w:t>（三）系统优化</w:t>
      </w:r>
    </w:p>
    <w:p>
      <w:pPr>
        <w:pStyle w:val="24"/>
        <w:autoSpaceDE/>
        <w:autoSpaceDN/>
        <w:adjustRightInd/>
        <w:spacing w:before="0" w:beforeLines="0" w:after="0" w:afterLines="0" w:line="360" w:lineRule="auto"/>
        <w:ind w:firstLine="480"/>
        <w:rPr>
          <w:rFonts w:ascii="宋体" w:hAnsi="宋体"/>
          <w:sz w:val="24"/>
          <w:szCs w:val="24"/>
          <w:highlight w:val="none"/>
        </w:rPr>
      </w:pPr>
      <w:r>
        <w:rPr>
          <w:rFonts w:hint="eastAsia" w:ascii="宋体" w:hAnsi="宋体"/>
          <w:sz w:val="24"/>
          <w:szCs w:val="24"/>
          <w:highlight w:val="none"/>
        </w:rPr>
        <w:t>1.在线文档插件升级：在线文档插件升级，改进用户在线预览文档和编辑文档的操作方式，提升Web端和移动端的兼容性和集成性，优化文档在线操作的体验。</w:t>
      </w:r>
    </w:p>
    <w:p>
      <w:pPr>
        <w:pStyle w:val="24"/>
        <w:autoSpaceDE/>
        <w:autoSpaceDN/>
        <w:adjustRightInd/>
        <w:spacing w:before="0" w:beforeLines="0" w:after="0" w:afterLines="0" w:line="360" w:lineRule="auto"/>
        <w:ind w:firstLine="480"/>
        <w:rPr>
          <w:rFonts w:ascii="宋体" w:hAnsi="宋体"/>
          <w:sz w:val="24"/>
          <w:szCs w:val="24"/>
          <w:highlight w:val="none"/>
        </w:rPr>
      </w:pPr>
      <w:r>
        <w:rPr>
          <w:rFonts w:hint="eastAsia" w:ascii="宋体" w:hAnsi="宋体"/>
          <w:sz w:val="24"/>
          <w:szCs w:val="24"/>
          <w:highlight w:val="none"/>
        </w:rPr>
        <w:t>2.移动端零信任集成：在移动端集成深信服零信任网络访问功能，实现安全的内外网访问，保护移动用户的内部资源访问安全。</w:t>
      </w:r>
    </w:p>
    <w:p>
      <w:pPr>
        <w:pStyle w:val="24"/>
        <w:autoSpaceDE/>
        <w:autoSpaceDN/>
        <w:adjustRightInd/>
        <w:spacing w:before="0" w:beforeLines="0" w:after="0" w:afterLines="0" w:line="360" w:lineRule="auto"/>
        <w:ind w:firstLine="480"/>
        <w:rPr>
          <w:rFonts w:ascii="宋体" w:hAnsi="宋体"/>
          <w:sz w:val="24"/>
          <w:szCs w:val="24"/>
          <w:highlight w:val="none"/>
        </w:rPr>
      </w:pPr>
      <w:r>
        <w:rPr>
          <w:rFonts w:hint="eastAsia" w:ascii="宋体" w:hAnsi="宋体"/>
          <w:sz w:val="24"/>
          <w:szCs w:val="24"/>
          <w:highlight w:val="none"/>
        </w:rPr>
        <w:t>3.统一认证集成：OA系统与集团在建的统一认证平台集成，实现用户在通过OA门户单点登录后（包括移动端或电脑端），访问其他系统时应无需再次输入认证信息，实现无缝切换的体验。</w:t>
      </w:r>
    </w:p>
    <w:p>
      <w:pPr>
        <w:pStyle w:val="24"/>
        <w:autoSpaceDE/>
        <w:autoSpaceDN/>
        <w:adjustRightInd/>
        <w:spacing w:before="0" w:beforeLines="0" w:after="0" w:afterLines="0" w:line="360" w:lineRule="auto"/>
        <w:ind w:firstLine="480"/>
        <w:rPr>
          <w:rFonts w:ascii="宋体" w:hAnsi="宋体"/>
          <w:sz w:val="24"/>
          <w:szCs w:val="24"/>
          <w:highlight w:val="none"/>
        </w:rPr>
      </w:pPr>
    </w:p>
    <w:p>
      <w:pPr>
        <w:pStyle w:val="24"/>
        <w:autoSpaceDE/>
        <w:autoSpaceDN/>
        <w:adjustRightInd/>
        <w:spacing w:before="0" w:beforeLines="0" w:after="0" w:afterLines="0" w:line="360" w:lineRule="auto"/>
        <w:ind w:firstLine="480"/>
        <w:rPr>
          <w:rFonts w:ascii="宋体" w:hAnsi="宋体"/>
          <w:sz w:val="24"/>
          <w:szCs w:val="24"/>
          <w:highlight w:val="none"/>
        </w:rPr>
      </w:pPr>
      <w:r>
        <w:rPr>
          <w:rFonts w:hint="eastAsia" w:ascii="宋体" w:hAnsi="宋体"/>
          <w:sz w:val="24"/>
          <w:szCs w:val="24"/>
          <w:highlight w:val="none"/>
        </w:rPr>
        <w:t>（四）项目内容清单</w:t>
      </w:r>
    </w:p>
    <w:tbl>
      <w:tblPr>
        <w:tblStyle w:val="16"/>
        <w:tblW w:w="82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254"/>
        <w:gridCol w:w="1767"/>
        <w:gridCol w:w="4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44" w:type="dxa"/>
            <w:shd w:val="clear" w:color="auto" w:fill="BDD6EE" w:themeFill="accent1" w:themeFillTint="66"/>
            <w:vAlign w:val="center"/>
          </w:tcPr>
          <w:p>
            <w:pPr>
              <w:tabs>
                <w:tab w:val="right" w:pos="9120"/>
              </w:tabs>
              <w:ind w:right="38"/>
              <w:jc w:val="center"/>
              <w:rPr>
                <w:rFonts w:ascii="仿宋" w:hAnsi="仿宋" w:eastAsia="仿宋" w:cs="仿宋"/>
                <w:b/>
                <w:bCs/>
                <w:highlight w:val="none"/>
              </w:rPr>
            </w:pPr>
            <w:r>
              <w:rPr>
                <w:rFonts w:hint="eastAsia" w:ascii="仿宋" w:hAnsi="仿宋" w:eastAsia="仿宋" w:cs="仿宋"/>
                <w:b/>
                <w:bCs/>
                <w:highlight w:val="none"/>
              </w:rPr>
              <w:t>序号</w:t>
            </w:r>
          </w:p>
        </w:tc>
        <w:tc>
          <w:tcPr>
            <w:tcW w:w="1254" w:type="dxa"/>
            <w:shd w:val="clear" w:color="auto" w:fill="BDD6EE" w:themeFill="accent1" w:themeFillTint="66"/>
            <w:vAlign w:val="center"/>
          </w:tcPr>
          <w:p>
            <w:pPr>
              <w:tabs>
                <w:tab w:val="right" w:pos="9120"/>
              </w:tabs>
              <w:ind w:right="38"/>
              <w:jc w:val="center"/>
              <w:rPr>
                <w:rFonts w:ascii="仿宋" w:hAnsi="仿宋" w:eastAsia="仿宋" w:cs="仿宋"/>
                <w:b/>
                <w:bCs/>
                <w:highlight w:val="none"/>
              </w:rPr>
            </w:pPr>
            <w:r>
              <w:rPr>
                <w:rFonts w:hint="eastAsia" w:ascii="仿宋" w:hAnsi="仿宋" w:eastAsia="仿宋" w:cs="仿宋"/>
                <w:b/>
                <w:bCs/>
                <w:highlight w:val="none"/>
              </w:rPr>
              <w:t>分类</w:t>
            </w:r>
          </w:p>
        </w:tc>
        <w:tc>
          <w:tcPr>
            <w:tcW w:w="1767" w:type="dxa"/>
            <w:shd w:val="clear" w:color="auto" w:fill="BDD6EE" w:themeFill="accent1" w:themeFillTint="66"/>
            <w:vAlign w:val="center"/>
          </w:tcPr>
          <w:p>
            <w:pPr>
              <w:tabs>
                <w:tab w:val="right" w:pos="9120"/>
              </w:tabs>
              <w:ind w:right="38"/>
              <w:jc w:val="center"/>
              <w:rPr>
                <w:rFonts w:ascii="仿宋" w:hAnsi="仿宋" w:eastAsia="仿宋" w:cs="仿宋"/>
                <w:b/>
                <w:bCs/>
                <w:highlight w:val="none"/>
              </w:rPr>
            </w:pPr>
            <w:r>
              <w:rPr>
                <w:rFonts w:hint="eastAsia" w:ascii="仿宋" w:hAnsi="仿宋" w:eastAsia="仿宋" w:cs="仿宋"/>
                <w:b/>
                <w:bCs/>
                <w:highlight w:val="none"/>
              </w:rPr>
              <w:t>内容</w:t>
            </w:r>
          </w:p>
        </w:tc>
        <w:tc>
          <w:tcPr>
            <w:tcW w:w="4436" w:type="dxa"/>
            <w:shd w:val="clear" w:color="auto" w:fill="BDD6EE" w:themeFill="accent1" w:themeFillTint="66"/>
            <w:vAlign w:val="center"/>
          </w:tcPr>
          <w:p>
            <w:pPr>
              <w:tabs>
                <w:tab w:val="right" w:pos="9120"/>
              </w:tabs>
              <w:ind w:right="38"/>
              <w:jc w:val="center"/>
              <w:rPr>
                <w:rFonts w:ascii="仿宋" w:hAnsi="仿宋" w:eastAsia="仿宋" w:cs="仿宋"/>
                <w:b/>
                <w:bCs/>
                <w:kern w:val="2"/>
                <w:highlight w:val="none"/>
              </w:rPr>
            </w:pPr>
            <w:r>
              <w:rPr>
                <w:rFonts w:hint="eastAsia" w:ascii="仿宋" w:hAnsi="仿宋" w:eastAsia="仿宋" w:cs="仿宋"/>
                <w:b/>
                <w:bCs/>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pPr>
              <w:tabs>
                <w:tab w:val="right" w:pos="9120"/>
              </w:tabs>
              <w:ind w:right="38"/>
              <w:jc w:val="center"/>
              <w:rPr>
                <w:rFonts w:ascii="仿宋" w:hAnsi="仿宋" w:eastAsia="仿宋" w:cs="仿宋"/>
                <w:color w:val="000000"/>
                <w:highlight w:val="none"/>
                <w:lang w:bidi="ar"/>
              </w:rPr>
            </w:pPr>
            <w:r>
              <w:rPr>
                <w:rFonts w:hint="eastAsia" w:ascii="仿宋" w:hAnsi="仿宋" w:eastAsia="仿宋" w:cs="仿宋"/>
                <w:color w:val="000000"/>
                <w:highlight w:val="none"/>
                <w:lang w:bidi="ar"/>
              </w:rPr>
              <w:t>1</w:t>
            </w:r>
          </w:p>
        </w:tc>
        <w:tc>
          <w:tcPr>
            <w:tcW w:w="1254" w:type="dxa"/>
            <w:vMerge w:val="restart"/>
            <w:vAlign w:val="center"/>
          </w:tcPr>
          <w:p>
            <w:pPr>
              <w:widowControl/>
              <w:jc w:val="center"/>
              <w:textAlignment w:val="center"/>
              <w:rPr>
                <w:rFonts w:ascii="仿宋" w:hAnsi="仿宋" w:eastAsia="仿宋" w:cs="仿宋"/>
                <w:color w:val="000000"/>
                <w:highlight w:val="none"/>
              </w:rPr>
            </w:pPr>
            <w:r>
              <w:rPr>
                <w:rFonts w:hint="eastAsia" w:ascii="仿宋" w:hAnsi="仿宋" w:eastAsia="仿宋" w:cs="仿宋"/>
                <w:highlight w:val="none"/>
              </w:rPr>
              <w:t>系统升级</w:t>
            </w:r>
          </w:p>
        </w:tc>
        <w:tc>
          <w:tcPr>
            <w:tcW w:w="1767" w:type="dxa"/>
            <w:vAlign w:val="center"/>
          </w:tcPr>
          <w:p>
            <w:pPr>
              <w:widowControl/>
              <w:jc w:val="center"/>
              <w:textAlignment w:val="center"/>
              <w:rPr>
                <w:rFonts w:ascii="仿宋" w:hAnsi="仿宋" w:eastAsia="仿宋" w:cs="仿宋"/>
                <w:highlight w:val="none"/>
              </w:rPr>
            </w:pPr>
            <w:r>
              <w:rPr>
                <w:rFonts w:hint="eastAsia" w:ascii="仿宋" w:hAnsi="仿宋" w:eastAsia="仿宋" w:cs="仿宋"/>
                <w:highlight w:val="none"/>
              </w:rPr>
              <w:t>版本升级</w:t>
            </w:r>
          </w:p>
        </w:tc>
        <w:tc>
          <w:tcPr>
            <w:tcW w:w="4436" w:type="dxa"/>
            <w:vAlign w:val="center"/>
          </w:tcPr>
          <w:p>
            <w:pPr>
              <w:tabs>
                <w:tab w:val="right" w:pos="9120"/>
              </w:tabs>
              <w:autoSpaceDE/>
              <w:autoSpaceDN/>
              <w:adjustRightInd/>
              <w:ind w:right="38"/>
              <w:rPr>
                <w:rFonts w:ascii="仿宋" w:hAnsi="仿宋" w:eastAsia="仿宋" w:cs="仿宋"/>
                <w:highlight w:val="none"/>
              </w:rPr>
            </w:pPr>
            <w:r>
              <w:rPr>
                <w:rFonts w:hint="eastAsia" w:ascii="仿宋" w:hAnsi="仿宋" w:eastAsia="仿宋" w:cs="仿宋"/>
                <w:highlight w:val="none"/>
              </w:rPr>
              <w:t>致远A8+集团版V8.1SP1升级到兼容已通过国家安全可靠测评的芯片、操作系统和数据库软件的最新版本。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pPr>
              <w:tabs>
                <w:tab w:val="right" w:pos="9120"/>
              </w:tabs>
              <w:ind w:right="38"/>
              <w:jc w:val="center"/>
              <w:rPr>
                <w:rFonts w:ascii="仿宋" w:hAnsi="仿宋" w:eastAsia="仿宋" w:cs="仿宋"/>
                <w:color w:val="000000"/>
                <w:highlight w:val="none"/>
                <w:lang w:bidi="ar"/>
              </w:rPr>
            </w:pPr>
            <w:r>
              <w:rPr>
                <w:rFonts w:hint="eastAsia" w:ascii="仿宋" w:hAnsi="仿宋" w:eastAsia="仿宋" w:cs="仿宋"/>
                <w:color w:val="000000"/>
                <w:highlight w:val="none"/>
                <w:lang w:bidi="ar"/>
              </w:rPr>
              <w:t>2</w:t>
            </w:r>
          </w:p>
        </w:tc>
        <w:tc>
          <w:tcPr>
            <w:tcW w:w="1254" w:type="dxa"/>
            <w:vMerge w:val="restart"/>
            <w:vAlign w:val="center"/>
          </w:tcPr>
          <w:p>
            <w:pPr>
              <w:widowControl/>
              <w:jc w:val="center"/>
              <w:textAlignment w:val="center"/>
              <w:rPr>
                <w:rFonts w:ascii="仿宋" w:hAnsi="仿宋" w:eastAsia="仿宋" w:cs="仿宋"/>
                <w:highlight w:val="none"/>
              </w:rPr>
            </w:pPr>
            <w:r>
              <w:rPr>
                <w:rFonts w:hint="eastAsia" w:ascii="仿宋" w:hAnsi="仿宋" w:eastAsia="仿宋" w:cs="仿宋"/>
                <w:highlight w:val="none"/>
              </w:rPr>
              <w:t>系统迁移服务</w:t>
            </w:r>
          </w:p>
        </w:tc>
        <w:tc>
          <w:tcPr>
            <w:tcW w:w="1767" w:type="dxa"/>
            <w:vAlign w:val="center"/>
          </w:tcPr>
          <w:p>
            <w:pPr>
              <w:widowControl/>
              <w:jc w:val="center"/>
              <w:textAlignment w:val="center"/>
              <w:rPr>
                <w:rFonts w:ascii="仿宋" w:hAnsi="仿宋" w:eastAsia="仿宋" w:cs="仿宋"/>
                <w:highlight w:val="none"/>
              </w:rPr>
            </w:pPr>
            <w:r>
              <w:rPr>
                <w:rFonts w:hint="eastAsia" w:ascii="仿宋" w:hAnsi="仿宋" w:eastAsia="仿宋" w:cs="仿宋"/>
                <w:highlight w:val="none"/>
              </w:rPr>
              <w:t>迁移到虎门临时数据中心</w:t>
            </w:r>
          </w:p>
        </w:tc>
        <w:tc>
          <w:tcPr>
            <w:tcW w:w="4436" w:type="dxa"/>
            <w:vAlign w:val="center"/>
          </w:tcPr>
          <w:p>
            <w:pPr>
              <w:tabs>
                <w:tab w:val="right" w:pos="9120"/>
              </w:tabs>
              <w:autoSpaceDE/>
              <w:autoSpaceDN/>
              <w:adjustRightInd/>
              <w:ind w:right="38"/>
              <w:rPr>
                <w:rFonts w:ascii="仿宋" w:hAnsi="仿宋" w:eastAsia="仿宋" w:cs="仿宋"/>
                <w:highlight w:val="none"/>
              </w:rPr>
            </w:pPr>
            <w:r>
              <w:rPr>
                <w:rFonts w:hint="eastAsia" w:ascii="仿宋" w:hAnsi="仿宋" w:eastAsia="仿宋" w:cs="仿宋"/>
                <w:highlight w:val="none"/>
              </w:rPr>
              <w:t>1.应用迁移：将应用从当前集团本部迁移到虎门临时数据中心。</w:t>
            </w:r>
          </w:p>
          <w:p>
            <w:pPr>
              <w:tabs>
                <w:tab w:val="right" w:pos="9120"/>
              </w:tabs>
              <w:autoSpaceDE/>
              <w:autoSpaceDN/>
              <w:adjustRightInd/>
              <w:ind w:right="38"/>
              <w:rPr>
                <w:rFonts w:ascii="仿宋" w:hAnsi="仿宋" w:eastAsia="仿宋" w:cs="仿宋"/>
                <w:highlight w:val="none"/>
              </w:rPr>
            </w:pPr>
            <w:r>
              <w:rPr>
                <w:rFonts w:hint="eastAsia" w:ascii="仿宋" w:hAnsi="仿宋" w:eastAsia="仿宋" w:cs="仿宋"/>
                <w:highlight w:val="none"/>
              </w:rPr>
              <w:t>2.数据迁移：将当前OA系统的数据（Oracle11g数据库数据和文件数据）迁移到虎门临时数据中心人大金仓数据库。</w:t>
            </w:r>
          </w:p>
          <w:p>
            <w:pPr>
              <w:tabs>
                <w:tab w:val="right" w:pos="9120"/>
              </w:tabs>
              <w:autoSpaceDE/>
              <w:autoSpaceDN/>
              <w:adjustRightInd/>
              <w:ind w:right="38"/>
              <w:rPr>
                <w:rFonts w:ascii="仿宋" w:hAnsi="仿宋" w:eastAsia="仿宋" w:cs="仿宋"/>
                <w:highlight w:val="none"/>
              </w:rPr>
            </w:pPr>
            <w:r>
              <w:rPr>
                <w:rFonts w:hint="eastAsia" w:ascii="仿宋" w:hAnsi="仿宋" w:eastAsia="仿宋" w:cs="仿宋"/>
                <w:highlight w:val="none"/>
              </w:rPr>
              <w:t>3.集群部署：实施3个服务器集群部署。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pPr>
              <w:tabs>
                <w:tab w:val="right" w:pos="9120"/>
              </w:tabs>
              <w:ind w:right="38"/>
              <w:jc w:val="center"/>
              <w:rPr>
                <w:rFonts w:ascii="仿宋" w:hAnsi="仿宋" w:eastAsia="仿宋" w:cs="仿宋"/>
                <w:color w:val="000000"/>
                <w:highlight w:val="none"/>
                <w:lang w:bidi="ar"/>
              </w:rPr>
            </w:pPr>
            <w:r>
              <w:rPr>
                <w:rFonts w:hint="eastAsia" w:ascii="仿宋" w:hAnsi="仿宋" w:eastAsia="仿宋" w:cs="仿宋"/>
                <w:color w:val="000000"/>
                <w:highlight w:val="none"/>
                <w:lang w:bidi="ar"/>
              </w:rPr>
              <w:t>3</w:t>
            </w:r>
          </w:p>
        </w:tc>
        <w:tc>
          <w:tcPr>
            <w:tcW w:w="1254" w:type="dxa"/>
            <w:vMerge w:val="continue"/>
            <w:vAlign w:val="center"/>
          </w:tcPr>
          <w:p>
            <w:pPr>
              <w:widowControl/>
              <w:jc w:val="center"/>
              <w:textAlignment w:val="center"/>
              <w:rPr>
                <w:rFonts w:ascii="仿宋" w:hAnsi="仿宋" w:eastAsia="仿宋" w:cs="仿宋"/>
                <w:highlight w:val="none"/>
              </w:rPr>
            </w:pPr>
          </w:p>
        </w:tc>
        <w:tc>
          <w:tcPr>
            <w:tcW w:w="1767" w:type="dxa"/>
            <w:vAlign w:val="center"/>
          </w:tcPr>
          <w:p>
            <w:pPr>
              <w:widowControl/>
              <w:jc w:val="center"/>
              <w:textAlignment w:val="center"/>
              <w:rPr>
                <w:rFonts w:ascii="仿宋" w:hAnsi="仿宋" w:eastAsia="仿宋" w:cs="仿宋"/>
                <w:highlight w:val="none"/>
              </w:rPr>
            </w:pPr>
            <w:r>
              <w:rPr>
                <w:rFonts w:hint="eastAsia" w:ascii="仿宋" w:hAnsi="仿宋" w:eastAsia="仿宋" w:cs="仿宋"/>
                <w:highlight w:val="none"/>
              </w:rPr>
              <w:t>迁移到符合安全可靠测评设备环境</w:t>
            </w:r>
          </w:p>
        </w:tc>
        <w:tc>
          <w:tcPr>
            <w:tcW w:w="4436" w:type="dxa"/>
            <w:vAlign w:val="center"/>
          </w:tcPr>
          <w:p>
            <w:pPr>
              <w:tabs>
                <w:tab w:val="right" w:pos="9120"/>
              </w:tabs>
              <w:autoSpaceDE/>
              <w:autoSpaceDN/>
              <w:adjustRightInd/>
              <w:ind w:right="38"/>
              <w:rPr>
                <w:rFonts w:ascii="仿宋" w:hAnsi="仿宋" w:eastAsia="仿宋" w:cs="仿宋"/>
                <w:highlight w:val="none"/>
              </w:rPr>
            </w:pPr>
            <w:r>
              <w:rPr>
                <w:rFonts w:hint="eastAsia" w:ascii="仿宋" w:hAnsi="仿宋" w:eastAsia="仿宋" w:cs="仿宋"/>
                <w:highlight w:val="none"/>
              </w:rPr>
              <w:t>1.应用迁移：将应用从虎门临时数据中心应用环境迁移到符合安全可靠测评设备环境。</w:t>
            </w:r>
          </w:p>
          <w:p>
            <w:pPr>
              <w:tabs>
                <w:tab w:val="right" w:pos="9120"/>
              </w:tabs>
              <w:autoSpaceDE/>
              <w:autoSpaceDN/>
              <w:adjustRightInd/>
              <w:ind w:right="38"/>
              <w:rPr>
                <w:rFonts w:ascii="仿宋" w:hAnsi="仿宋" w:eastAsia="仿宋" w:cs="仿宋"/>
                <w:highlight w:val="none"/>
              </w:rPr>
            </w:pPr>
            <w:r>
              <w:rPr>
                <w:rFonts w:hint="eastAsia" w:ascii="仿宋" w:hAnsi="仿宋" w:eastAsia="仿宋" w:cs="仿宋"/>
                <w:highlight w:val="none"/>
              </w:rPr>
              <w:t>2.数据迁移：将虎门临时数据中心的数据（包括数据库数据和文件数据）迁移到符合安全可靠测评设备环境。</w:t>
            </w:r>
          </w:p>
          <w:p>
            <w:pPr>
              <w:tabs>
                <w:tab w:val="right" w:pos="9120"/>
              </w:tabs>
              <w:autoSpaceDE/>
              <w:autoSpaceDN/>
              <w:adjustRightInd/>
              <w:ind w:right="38"/>
              <w:rPr>
                <w:rFonts w:ascii="仿宋" w:hAnsi="仿宋" w:eastAsia="仿宋" w:cs="仿宋"/>
                <w:highlight w:val="none"/>
              </w:rPr>
            </w:pPr>
            <w:r>
              <w:rPr>
                <w:rFonts w:hint="eastAsia" w:ascii="仿宋" w:hAnsi="仿宋" w:eastAsia="仿宋" w:cs="仿宋"/>
                <w:highlight w:val="none"/>
              </w:rPr>
              <w:t>3.集群部署：实施3个服务器集群部署。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pPr>
              <w:tabs>
                <w:tab w:val="right" w:pos="9120"/>
              </w:tabs>
              <w:ind w:right="38"/>
              <w:jc w:val="center"/>
              <w:rPr>
                <w:rFonts w:ascii="仿宋" w:hAnsi="仿宋" w:eastAsia="仿宋" w:cs="仿宋"/>
                <w:color w:val="000000"/>
                <w:highlight w:val="none"/>
                <w:lang w:bidi="ar"/>
              </w:rPr>
            </w:pPr>
            <w:r>
              <w:rPr>
                <w:rFonts w:hint="eastAsia" w:ascii="仿宋" w:hAnsi="仿宋" w:eastAsia="仿宋" w:cs="仿宋"/>
                <w:color w:val="000000"/>
                <w:highlight w:val="none"/>
                <w:lang w:bidi="ar"/>
              </w:rPr>
              <w:t>4</w:t>
            </w:r>
          </w:p>
        </w:tc>
        <w:tc>
          <w:tcPr>
            <w:tcW w:w="1254" w:type="dxa"/>
            <w:vMerge w:val="restart"/>
            <w:vAlign w:val="center"/>
          </w:tcPr>
          <w:p>
            <w:pPr>
              <w:widowControl/>
              <w:jc w:val="center"/>
              <w:textAlignment w:val="center"/>
              <w:rPr>
                <w:rFonts w:ascii="仿宋" w:hAnsi="仿宋" w:eastAsia="仿宋" w:cs="仿宋"/>
                <w:highlight w:val="none"/>
              </w:rPr>
            </w:pPr>
            <w:r>
              <w:rPr>
                <w:rFonts w:hint="eastAsia" w:ascii="仿宋" w:hAnsi="仿宋" w:eastAsia="仿宋" w:cs="仿宋"/>
                <w:color w:val="000000"/>
                <w:highlight w:val="none"/>
              </w:rPr>
              <w:t>系统优化</w:t>
            </w:r>
          </w:p>
        </w:tc>
        <w:tc>
          <w:tcPr>
            <w:tcW w:w="1767" w:type="dxa"/>
            <w:vAlign w:val="center"/>
          </w:tcPr>
          <w:p>
            <w:pPr>
              <w:widowControl/>
              <w:jc w:val="center"/>
              <w:textAlignment w:val="center"/>
              <w:rPr>
                <w:rFonts w:ascii="仿宋" w:hAnsi="仿宋" w:eastAsia="仿宋" w:cs="仿宋"/>
                <w:kern w:val="2"/>
                <w:highlight w:val="none"/>
              </w:rPr>
            </w:pPr>
            <w:r>
              <w:rPr>
                <w:rFonts w:hint="eastAsia" w:ascii="仿宋" w:hAnsi="仿宋" w:eastAsia="仿宋" w:cs="仿宋"/>
                <w:highlight w:val="none"/>
              </w:rPr>
              <w:t>在线文档插件</w:t>
            </w:r>
          </w:p>
        </w:tc>
        <w:tc>
          <w:tcPr>
            <w:tcW w:w="4436" w:type="dxa"/>
            <w:vAlign w:val="center"/>
          </w:tcPr>
          <w:p>
            <w:pPr>
              <w:tabs>
                <w:tab w:val="right" w:pos="9120"/>
              </w:tabs>
              <w:ind w:right="38"/>
              <w:rPr>
                <w:rFonts w:ascii="仿宋" w:hAnsi="仿宋" w:eastAsia="仿宋" w:cs="仿宋"/>
                <w:highlight w:val="none"/>
              </w:rPr>
            </w:pPr>
            <w:r>
              <w:rPr>
                <w:rFonts w:hint="eastAsia" w:ascii="仿宋" w:hAnsi="仿宋" w:eastAsia="仿宋" w:cs="仿宋"/>
                <w:highlight w:val="none"/>
              </w:rPr>
              <w:t>改进用户在线预览文档和编辑文档的操作方式，提升Web端和移动端的兼容性和集成性，优化文档在线操作的体验。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pPr>
              <w:tabs>
                <w:tab w:val="right" w:pos="9120"/>
              </w:tabs>
              <w:ind w:right="38"/>
              <w:jc w:val="center"/>
              <w:rPr>
                <w:rFonts w:ascii="仿宋" w:hAnsi="仿宋" w:eastAsia="仿宋" w:cs="仿宋"/>
                <w:color w:val="000000"/>
                <w:highlight w:val="none"/>
                <w:lang w:bidi="ar"/>
              </w:rPr>
            </w:pPr>
            <w:r>
              <w:rPr>
                <w:rFonts w:hint="eastAsia" w:ascii="仿宋" w:hAnsi="仿宋" w:eastAsia="仿宋" w:cs="仿宋"/>
                <w:color w:val="000000"/>
                <w:highlight w:val="none"/>
                <w:lang w:bidi="ar"/>
              </w:rPr>
              <w:t>5</w:t>
            </w:r>
          </w:p>
        </w:tc>
        <w:tc>
          <w:tcPr>
            <w:tcW w:w="1254" w:type="dxa"/>
            <w:vMerge w:val="continue"/>
            <w:vAlign w:val="center"/>
          </w:tcPr>
          <w:p>
            <w:pPr>
              <w:widowControl/>
              <w:jc w:val="center"/>
              <w:textAlignment w:val="center"/>
              <w:rPr>
                <w:rFonts w:ascii="仿宋" w:hAnsi="仿宋" w:eastAsia="仿宋" w:cs="仿宋"/>
                <w:highlight w:val="none"/>
              </w:rPr>
            </w:pPr>
          </w:p>
        </w:tc>
        <w:tc>
          <w:tcPr>
            <w:tcW w:w="1767" w:type="dxa"/>
            <w:vAlign w:val="center"/>
          </w:tcPr>
          <w:p>
            <w:pPr>
              <w:widowControl/>
              <w:jc w:val="center"/>
              <w:textAlignment w:val="center"/>
              <w:rPr>
                <w:rFonts w:ascii="仿宋" w:hAnsi="仿宋" w:eastAsia="仿宋" w:cs="仿宋"/>
                <w:kern w:val="2"/>
                <w:highlight w:val="none"/>
              </w:rPr>
            </w:pPr>
            <w:r>
              <w:rPr>
                <w:rFonts w:hint="eastAsia" w:ascii="仿宋" w:hAnsi="仿宋" w:eastAsia="仿宋" w:cs="仿宋"/>
                <w:highlight w:val="none"/>
              </w:rPr>
              <w:t>移动端零信任集成</w:t>
            </w:r>
          </w:p>
        </w:tc>
        <w:tc>
          <w:tcPr>
            <w:tcW w:w="4436" w:type="dxa"/>
            <w:vAlign w:val="center"/>
          </w:tcPr>
          <w:p>
            <w:pPr>
              <w:tabs>
                <w:tab w:val="right" w:pos="9120"/>
              </w:tabs>
              <w:ind w:right="38"/>
              <w:rPr>
                <w:rFonts w:ascii="仿宋" w:hAnsi="仿宋" w:eastAsia="仿宋" w:cs="仿宋"/>
                <w:highlight w:val="none"/>
              </w:rPr>
            </w:pPr>
            <w:r>
              <w:rPr>
                <w:rFonts w:hint="eastAsia" w:ascii="仿宋" w:hAnsi="仿宋" w:eastAsia="仿宋" w:cs="仿宋"/>
                <w:highlight w:val="none"/>
              </w:rPr>
              <w:t>在移动端集成深信服零信任网络访问功能。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pPr>
              <w:tabs>
                <w:tab w:val="right" w:pos="9120"/>
              </w:tabs>
              <w:ind w:right="38"/>
              <w:jc w:val="center"/>
              <w:rPr>
                <w:rFonts w:ascii="仿宋" w:hAnsi="仿宋" w:eastAsia="仿宋" w:cs="仿宋"/>
                <w:color w:val="000000"/>
                <w:highlight w:val="none"/>
                <w:lang w:bidi="ar"/>
              </w:rPr>
            </w:pPr>
            <w:r>
              <w:rPr>
                <w:rFonts w:hint="eastAsia" w:ascii="仿宋" w:hAnsi="仿宋" w:eastAsia="仿宋" w:cs="仿宋"/>
                <w:color w:val="000000"/>
                <w:highlight w:val="none"/>
                <w:lang w:bidi="ar"/>
              </w:rPr>
              <w:t>6</w:t>
            </w:r>
          </w:p>
        </w:tc>
        <w:tc>
          <w:tcPr>
            <w:tcW w:w="1254" w:type="dxa"/>
            <w:vMerge w:val="continue"/>
            <w:vAlign w:val="center"/>
          </w:tcPr>
          <w:p>
            <w:pPr>
              <w:widowControl/>
              <w:jc w:val="center"/>
              <w:textAlignment w:val="center"/>
              <w:rPr>
                <w:rFonts w:ascii="仿宋" w:hAnsi="仿宋" w:eastAsia="仿宋" w:cs="仿宋"/>
                <w:highlight w:val="none"/>
              </w:rPr>
            </w:pPr>
          </w:p>
        </w:tc>
        <w:tc>
          <w:tcPr>
            <w:tcW w:w="1767" w:type="dxa"/>
            <w:vAlign w:val="center"/>
          </w:tcPr>
          <w:p>
            <w:pPr>
              <w:widowControl/>
              <w:jc w:val="center"/>
              <w:textAlignment w:val="center"/>
              <w:rPr>
                <w:rFonts w:ascii="仿宋" w:hAnsi="仿宋" w:eastAsia="仿宋" w:cs="仿宋"/>
                <w:kern w:val="2"/>
                <w:highlight w:val="none"/>
              </w:rPr>
            </w:pPr>
            <w:r>
              <w:rPr>
                <w:rFonts w:hint="eastAsia" w:ascii="仿宋" w:hAnsi="仿宋" w:eastAsia="仿宋" w:cs="仿宋"/>
                <w:highlight w:val="none"/>
              </w:rPr>
              <w:t>统一认证集成</w:t>
            </w:r>
          </w:p>
        </w:tc>
        <w:tc>
          <w:tcPr>
            <w:tcW w:w="4436" w:type="dxa"/>
            <w:vAlign w:val="center"/>
          </w:tcPr>
          <w:p>
            <w:pPr>
              <w:tabs>
                <w:tab w:val="right" w:pos="9120"/>
              </w:tabs>
              <w:ind w:right="38"/>
              <w:rPr>
                <w:rFonts w:ascii="仿宋" w:hAnsi="仿宋" w:eastAsia="仿宋" w:cs="仿宋"/>
                <w:highlight w:val="none"/>
              </w:rPr>
            </w:pPr>
            <w:r>
              <w:rPr>
                <w:rFonts w:hint="eastAsia" w:ascii="仿宋" w:hAnsi="仿宋" w:eastAsia="仿宋" w:cs="仿宋"/>
                <w:highlight w:val="none"/>
              </w:rPr>
              <w:t>与集团在建的统一认证平台集成，实现用户在通过OA门户单点登录后（包括移动端或电脑端），访问其他系统时应无需再次输入认证信息。</w:t>
            </w:r>
          </w:p>
        </w:tc>
      </w:tr>
    </w:tbl>
    <w:p>
      <w:pPr>
        <w:pStyle w:val="24"/>
        <w:autoSpaceDE/>
        <w:autoSpaceDN/>
        <w:adjustRightInd/>
        <w:spacing w:before="0" w:beforeLines="0" w:after="0" w:afterLines="0" w:line="360" w:lineRule="auto"/>
        <w:ind w:firstLine="482"/>
        <w:rPr>
          <w:rFonts w:ascii="宋体" w:hAnsi="宋体"/>
          <w:b/>
          <w:bCs/>
          <w:sz w:val="24"/>
          <w:szCs w:val="24"/>
          <w:highlight w:val="none"/>
        </w:rPr>
      </w:pPr>
    </w:p>
    <w:p>
      <w:pPr>
        <w:pStyle w:val="24"/>
        <w:autoSpaceDE/>
        <w:autoSpaceDN/>
        <w:adjustRightInd/>
        <w:spacing w:before="0" w:beforeLines="0" w:after="0" w:afterLines="0" w:line="360" w:lineRule="auto"/>
        <w:ind w:firstLine="482"/>
        <w:rPr>
          <w:rFonts w:ascii="宋体" w:hAnsi="宋体"/>
          <w:b/>
          <w:bCs/>
          <w:sz w:val="24"/>
          <w:szCs w:val="24"/>
          <w:highlight w:val="none"/>
        </w:rPr>
      </w:pPr>
      <w:r>
        <w:rPr>
          <w:rFonts w:hint="eastAsia" w:ascii="宋体" w:hAnsi="宋体"/>
          <w:b/>
          <w:bCs/>
          <w:sz w:val="24"/>
          <w:szCs w:val="24"/>
          <w:highlight w:val="none"/>
        </w:rPr>
        <w:t>五、项目要求</w:t>
      </w:r>
    </w:p>
    <w:p>
      <w:pPr>
        <w:pStyle w:val="24"/>
        <w:numPr>
          <w:ilvl w:val="0"/>
          <w:numId w:val="4"/>
        </w:numPr>
        <w:autoSpaceDE/>
        <w:autoSpaceDN/>
        <w:adjustRightInd/>
        <w:spacing w:before="0" w:beforeLines="0" w:after="0" w:afterLines="0" w:line="360" w:lineRule="auto"/>
        <w:ind w:firstLineChars="0"/>
        <w:rPr>
          <w:rFonts w:ascii="宋体" w:hAnsi="宋体"/>
          <w:sz w:val="24"/>
          <w:szCs w:val="24"/>
          <w:highlight w:val="none"/>
        </w:rPr>
      </w:pPr>
      <w:r>
        <w:rPr>
          <w:rFonts w:hint="eastAsia" w:ascii="宋体" w:hAnsi="宋体"/>
          <w:sz w:val="24"/>
          <w:szCs w:val="24"/>
          <w:highlight w:val="none"/>
        </w:rPr>
        <w:t>系统升级要求</w:t>
      </w:r>
    </w:p>
    <w:p>
      <w:pPr>
        <w:pStyle w:val="24"/>
        <w:autoSpaceDE/>
        <w:autoSpaceDN/>
        <w:adjustRightInd/>
        <w:spacing w:before="0" w:beforeLines="0" w:after="0" w:afterLines="0" w:line="360" w:lineRule="auto"/>
        <w:ind w:firstLine="480"/>
        <w:rPr>
          <w:rFonts w:ascii="宋体" w:hAnsi="宋体"/>
          <w:sz w:val="24"/>
          <w:szCs w:val="24"/>
          <w:highlight w:val="none"/>
        </w:rPr>
      </w:pPr>
      <w:r>
        <w:rPr>
          <w:rFonts w:hint="eastAsia" w:ascii="宋体" w:hAnsi="宋体"/>
          <w:sz w:val="24"/>
          <w:szCs w:val="24"/>
          <w:highlight w:val="none"/>
        </w:rPr>
        <w:t>1.系统升级所涉及的软件，必须提供系统原厂的标准适配服务授权，提供原厂授权书或相关证明。</w:t>
      </w:r>
    </w:p>
    <w:p>
      <w:pPr>
        <w:pStyle w:val="24"/>
        <w:autoSpaceDE/>
        <w:autoSpaceDN/>
        <w:adjustRightInd/>
        <w:spacing w:before="0" w:beforeLines="0" w:after="0" w:afterLines="0" w:line="360" w:lineRule="auto"/>
        <w:ind w:firstLine="480"/>
        <w:rPr>
          <w:rFonts w:ascii="宋体" w:hAnsi="宋体"/>
          <w:sz w:val="24"/>
          <w:szCs w:val="24"/>
          <w:highlight w:val="none"/>
        </w:rPr>
      </w:pPr>
      <w:r>
        <w:rPr>
          <w:rFonts w:hint="eastAsia" w:ascii="宋体" w:hAnsi="宋体"/>
          <w:sz w:val="24"/>
          <w:szCs w:val="24"/>
          <w:highlight w:val="none"/>
        </w:rPr>
        <w:t>2.系统升级要求保留原系统中的功能和原使用中的业务功能模块不受影响。</w:t>
      </w:r>
    </w:p>
    <w:p>
      <w:pPr>
        <w:pStyle w:val="24"/>
        <w:autoSpaceDE/>
        <w:autoSpaceDN/>
        <w:adjustRightInd/>
        <w:spacing w:before="0" w:beforeLines="0" w:after="0" w:afterLines="0" w:line="360" w:lineRule="auto"/>
        <w:ind w:firstLine="480"/>
        <w:rPr>
          <w:rFonts w:ascii="宋体" w:hAnsi="宋体"/>
          <w:sz w:val="24"/>
          <w:szCs w:val="24"/>
          <w:highlight w:val="none"/>
        </w:rPr>
      </w:pPr>
      <w:r>
        <w:rPr>
          <w:rFonts w:hint="eastAsia" w:ascii="宋体" w:hAnsi="宋体"/>
          <w:sz w:val="24"/>
          <w:szCs w:val="24"/>
          <w:highlight w:val="none"/>
        </w:rPr>
        <w:t>3.系统升级后保障所有应用服务的稳定性和安全性，性能的优化响应速度、并发处理能力等，确保升级能够带来性能上的提升或至少保持现有水平。</w:t>
      </w:r>
    </w:p>
    <w:p>
      <w:pPr>
        <w:pStyle w:val="24"/>
        <w:numPr>
          <w:ilvl w:val="0"/>
          <w:numId w:val="4"/>
        </w:numPr>
        <w:autoSpaceDE/>
        <w:autoSpaceDN/>
        <w:adjustRightInd/>
        <w:spacing w:before="0" w:beforeLines="0" w:after="0" w:afterLines="0" w:line="360" w:lineRule="auto"/>
        <w:ind w:firstLineChars="0"/>
        <w:rPr>
          <w:rFonts w:ascii="宋体" w:hAnsi="宋体"/>
          <w:sz w:val="24"/>
          <w:szCs w:val="24"/>
          <w:highlight w:val="none"/>
        </w:rPr>
      </w:pPr>
      <w:r>
        <w:rPr>
          <w:rFonts w:hint="eastAsia" w:ascii="宋体" w:hAnsi="宋体"/>
          <w:sz w:val="24"/>
          <w:szCs w:val="24"/>
          <w:highlight w:val="none"/>
        </w:rPr>
        <w:t>数据迁移要求</w:t>
      </w:r>
    </w:p>
    <w:p>
      <w:pPr>
        <w:pStyle w:val="24"/>
        <w:autoSpaceDE/>
        <w:autoSpaceDN/>
        <w:adjustRightInd/>
        <w:spacing w:before="0" w:beforeLines="0" w:after="0" w:afterLines="0" w:line="360" w:lineRule="auto"/>
        <w:ind w:firstLine="480"/>
        <w:rPr>
          <w:rFonts w:ascii="宋体" w:hAnsi="宋体"/>
          <w:sz w:val="24"/>
          <w:szCs w:val="24"/>
          <w:highlight w:val="none"/>
        </w:rPr>
      </w:pPr>
      <w:r>
        <w:rPr>
          <w:rFonts w:hint="eastAsia" w:ascii="宋体" w:hAnsi="宋体"/>
          <w:sz w:val="24"/>
          <w:szCs w:val="24"/>
          <w:highlight w:val="none"/>
        </w:rPr>
        <w:t>1．在迁移工作开始之前，供应商需建立一个详细的迁移计划，包括时间表、资源分配、关键里程碑、沟通计划和风险管理策略。迁移计划经采购人确认，再开展实施工作。</w:t>
      </w:r>
    </w:p>
    <w:p>
      <w:pPr>
        <w:pStyle w:val="24"/>
        <w:autoSpaceDE/>
        <w:autoSpaceDN/>
        <w:adjustRightInd/>
        <w:spacing w:before="0" w:beforeLines="0" w:after="0" w:afterLines="0" w:line="360" w:lineRule="auto"/>
        <w:ind w:firstLine="480"/>
        <w:rPr>
          <w:rFonts w:ascii="宋体" w:hAnsi="宋体"/>
          <w:sz w:val="24"/>
          <w:szCs w:val="24"/>
          <w:highlight w:val="none"/>
        </w:rPr>
      </w:pPr>
      <w:r>
        <w:rPr>
          <w:rFonts w:hint="eastAsia" w:ascii="宋体" w:hAnsi="宋体"/>
          <w:sz w:val="24"/>
          <w:szCs w:val="24"/>
          <w:highlight w:val="none"/>
        </w:rPr>
        <w:t>2．数据在迁移之前应对当前数据库进行完整备份，以防万一需要恢复数据时使用。</w:t>
      </w:r>
    </w:p>
    <w:p>
      <w:pPr>
        <w:pStyle w:val="24"/>
        <w:autoSpaceDE/>
        <w:autoSpaceDN/>
        <w:adjustRightInd/>
        <w:spacing w:before="0" w:beforeLines="0" w:after="0" w:afterLines="0" w:line="360" w:lineRule="auto"/>
        <w:ind w:firstLine="480"/>
        <w:rPr>
          <w:rFonts w:ascii="宋体" w:hAnsi="宋体"/>
          <w:sz w:val="24"/>
          <w:szCs w:val="24"/>
          <w:highlight w:val="none"/>
        </w:rPr>
      </w:pPr>
      <w:r>
        <w:rPr>
          <w:rFonts w:hint="eastAsia" w:ascii="宋体" w:hAnsi="宋体"/>
          <w:sz w:val="24"/>
          <w:szCs w:val="24"/>
          <w:highlight w:val="none"/>
        </w:rPr>
        <w:t>3．数据迁移完成后应进行全面的测试来验证数据的完整性，数据的完整性和一致性应达到99.99%。</w:t>
      </w:r>
    </w:p>
    <w:p>
      <w:pPr>
        <w:pStyle w:val="24"/>
        <w:autoSpaceDE/>
        <w:autoSpaceDN/>
        <w:adjustRightInd/>
        <w:spacing w:before="0" w:beforeLines="0" w:after="0" w:afterLines="0" w:line="360" w:lineRule="auto"/>
        <w:ind w:firstLine="480"/>
        <w:rPr>
          <w:rFonts w:ascii="宋体" w:hAnsi="宋体"/>
          <w:sz w:val="24"/>
          <w:szCs w:val="24"/>
          <w:highlight w:val="none"/>
        </w:rPr>
      </w:pPr>
      <w:r>
        <w:rPr>
          <w:rFonts w:hint="eastAsia" w:ascii="宋体" w:hAnsi="宋体"/>
          <w:sz w:val="24"/>
          <w:szCs w:val="24"/>
          <w:highlight w:val="none"/>
        </w:rPr>
        <w:t>4．确保在整个迁移过程中，保障业务受影响最小。通过合理的迁移时间和快速的故障恢复策略，保障业务连续性。</w:t>
      </w:r>
    </w:p>
    <w:p>
      <w:pPr>
        <w:pStyle w:val="24"/>
        <w:autoSpaceDE/>
        <w:autoSpaceDN/>
        <w:adjustRightInd/>
        <w:spacing w:before="0" w:beforeLines="0" w:after="0" w:afterLines="0" w:line="360" w:lineRule="auto"/>
        <w:ind w:firstLine="480"/>
        <w:rPr>
          <w:rFonts w:ascii="宋体" w:hAnsi="宋体"/>
          <w:sz w:val="24"/>
          <w:szCs w:val="24"/>
          <w:highlight w:val="none"/>
        </w:rPr>
      </w:pPr>
      <w:r>
        <w:rPr>
          <w:rFonts w:hint="eastAsia" w:ascii="宋体" w:hAnsi="宋体"/>
          <w:sz w:val="24"/>
          <w:szCs w:val="24"/>
          <w:highlight w:val="none"/>
        </w:rPr>
        <w:t>5．OA系统应用集群部署要求，实现访问负载均衡、故障转移机制和自动恢复策略。确保系统服务的持续可用性和数据的一致性。在部署完成后进行全面的功能测试，确保每个服务都能按照预期工作。</w:t>
      </w:r>
    </w:p>
    <w:p>
      <w:pPr>
        <w:pStyle w:val="24"/>
        <w:numPr>
          <w:ilvl w:val="0"/>
          <w:numId w:val="4"/>
        </w:numPr>
        <w:autoSpaceDE/>
        <w:autoSpaceDN/>
        <w:adjustRightInd/>
        <w:spacing w:before="0" w:beforeLines="0" w:after="0" w:afterLines="0" w:line="360" w:lineRule="auto"/>
        <w:ind w:firstLineChars="0"/>
        <w:rPr>
          <w:rFonts w:ascii="宋体" w:hAnsi="宋体"/>
          <w:sz w:val="24"/>
          <w:szCs w:val="24"/>
          <w:highlight w:val="none"/>
        </w:rPr>
      </w:pPr>
      <w:r>
        <w:rPr>
          <w:rFonts w:hint="eastAsia" w:ascii="宋体" w:hAnsi="宋体"/>
          <w:sz w:val="24"/>
          <w:szCs w:val="24"/>
          <w:highlight w:val="none"/>
        </w:rPr>
        <w:t>系统优化要求</w:t>
      </w:r>
    </w:p>
    <w:p>
      <w:pPr>
        <w:pStyle w:val="24"/>
        <w:autoSpaceDE/>
        <w:autoSpaceDN/>
        <w:adjustRightInd/>
        <w:spacing w:before="0" w:beforeLines="0" w:after="0" w:afterLines="0" w:line="360" w:lineRule="auto"/>
        <w:ind w:firstLine="480"/>
        <w:rPr>
          <w:rFonts w:ascii="宋体" w:hAnsi="宋体"/>
          <w:sz w:val="24"/>
          <w:szCs w:val="24"/>
          <w:highlight w:val="none"/>
        </w:rPr>
      </w:pPr>
      <w:r>
        <w:rPr>
          <w:rFonts w:hint="eastAsia" w:ascii="宋体" w:hAnsi="宋体"/>
          <w:sz w:val="24"/>
          <w:szCs w:val="24"/>
          <w:highlight w:val="none"/>
        </w:rPr>
        <w:t>1．在线文档插件要求：支持服务端安装文档插件（客户端免安装），用户在Web端和移动端可在线打开文档进行编辑，并保留用户编辑痕迹。支持格式包括Word、WPS文字、Excel、WPS表格。</w:t>
      </w:r>
    </w:p>
    <w:p>
      <w:pPr>
        <w:pStyle w:val="24"/>
        <w:autoSpaceDE/>
        <w:autoSpaceDN/>
        <w:adjustRightInd/>
        <w:spacing w:before="0" w:beforeLines="0" w:after="0" w:afterLines="0" w:line="360" w:lineRule="auto"/>
        <w:ind w:firstLine="480"/>
        <w:rPr>
          <w:rFonts w:ascii="宋体" w:hAnsi="宋体"/>
          <w:sz w:val="24"/>
          <w:szCs w:val="24"/>
          <w:highlight w:val="none"/>
        </w:rPr>
      </w:pPr>
      <w:r>
        <w:rPr>
          <w:rFonts w:hint="eastAsia" w:ascii="宋体" w:hAnsi="宋体"/>
          <w:sz w:val="24"/>
          <w:szCs w:val="24"/>
          <w:highlight w:val="none"/>
        </w:rPr>
        <w:t>2．移动端零信任集成要求：OA系统的移动端集成深信服零信任网络访问功能，即OA系统移动端登录时自动完成深信服零信任网络登录验证，解决用户在移动端先登录零信任网络再登录OA的复杂操作。</w:t>
      </w:r>
    </w:p>
    <w:p>
      <w:pPr>
        <w:pStyle w:val="24"/>
        <w:autoSpaceDE/>
        <w:autoSpaceDN/>
        <w:adjustRightInd/>
        <w:spacing w:before="0" w:beforeLines="0" w:after="0" w:afterLines="0" w:line="360" w:lineRule="auto"/>
        <w:ind w:firstLine="480"/>
        <w:rPr>
          <w:rFonts w:ascii="宋体" w:hAnsi="宋体"/>
          <w:sz w:val="24"/>
          <w:szCs w:val="24"/>
          <w:highlight w:val="none"/>
        </w:rPr>
      </w:pPr>
      <w:r>
        <w:rPr>
          <w:rFonts w:hint="eastAsia" w:ascii="宋体" w:hAnsi="宋体"/>
          <w:sz w:val="24"/>
          <w:szCs w:val="24"/>
          <w:highlight w:val="none"/>
        </w:rPr>
        <w:t>3．统一认证集成要求：实现系统用户在通过OA门户单点登录后（包括移动端或电脑端），访问其他系统时应自动登录，无需再次输入认证信息。根据甲方要求，通过接入甲方统一认证系统或OA系统配置完成认证集成。</w:t>
      </w:r>
    </w:p>
    <w:p>
      <w:pPr>
        <w:pStyle w:val="24"/>
        <w:numPr>
          <w:ilvl w:val="0"/>
          <w:numId w:val="4"/>
        </w:numPr>
        <w:autoSpaceDE/>
        <w:autoSpaceDN/>
        <w:adjustRightInd/>
        <w:spacing w:before="0" w:beforeLines="0" w:after="0" w:afterLines="0" w:line="360" w:lineRule="auto"/>
        <w:ind w:firstLineChars="0"/>
        <w:rPr>
          <w:rFonts w:ascii="宋体" w:hAnsi="宋体"/>
          <w:sz w:val="24"/>
          <w:szCs w:val="24"/>
          <w:highlight w:val="none"/>
        </w:rPr>
      </w:pPr>
      <w:r>
        <w:rPr>
          <w:rFonts w:hint="eastAsia" w:ascii="宋体" w:hAnsi="宋体"/>
          <w:sz w:val="24"/>
          <w:szCs w:val="24"/>
          <w:highlight w:val="none"/>
        </w:rPr>
        <w:t>项目培训要求</w:t>
      </w:r>
    </w:p>
    <w:p>
      <w:pPr>
        <w:pStyle w:val="24"/>
        <w:autoSpaceDE/>
        <w:autoSpaceDN/>
        <w:adjustRightInd/>
        <w:spacing w:before="0" w:beforeLines="0" w:after="0" w:afterLines="0" w:line="360" w:lineRule="auto"/>
        <w:ind w:firstLine="480"/>
        <w:rPr>
          <w:rFonts w:ascii="宋体" w:hAnsi="宋体"/>
          <w:sz w:val="24"/>
          <w:szCs w:val="24"/>
          <w:highlight w:val="none"/>
        </w:rPr>
      </w:pPr>
      <w:r>
        <w:rPr>
          <w:rFonts w:hint="eastAsia" w:ascii="宋体" w:hAnsi="宋体"/>
          <w:sz w:val="24"/>
          <w:szCs w:val="24"/>
          <w:highlight w:val="none"/>
        </w:rPr>
        <w:t>1．按照采购人的要求，对系统管理人员、使用操作人员等相关人员进行免费现场培训和不少于两次的集中培训，培训时间和期限由集团根据需要确定。</w:t>
      </w:r>
    </w:p>
    <w:p>
      <w:pPr>
        <w:pStyle w:val="24"/>
        <w:numPr>
          <w:ilvl w:val="0"/>
          <w:numId w:val="4"/>
        </w:numPr>
        <w:autoSpaceDE/>
        <w:autoSpaceDN/>
        <w:adjustRightInd/>
        <w:spacing w:before="0" w:beforeLines="0" w:after="0" w:afterLines="0" w:line="360" w:lineRule="auto"/>
        <w:ind w:firstLineChars="0"/>
        <w:rPr>
          <w:rFonts w:ascii="宋体" w:hAnsi="宋体"/>
          <w:sz w:val="24"/>
          <w:szCs w:val="24"/>
          <w:highlight w:val="none"/>
        </w:rPr>
      </w:pPr>
      <w:r>
        <w:rPr>
          <w:rFonts w:hint="eastAsia" w:ascii="宋体" w:hAnsi="宋体"/>
          <w:sz w:val="24"/>
          <w:szCs w:val="24"/>
          <w:highlight w:val="none"/>
        </w:rPr>
        <w:t>项目进度要求</w:t>
      </w:r>
    </w:p>
    <w:p>
      <w:pPr>
        <w:pStyle w:val="24"/>
        <w:autoSpaceDE/>
        <w:autoSpaceDN/>
        <w:adjustRightInd/>
        <w:spacing w:before="0" w:beforeLines="0" w:after="0" w:afterLines="0" w:line="360" w:lineRule="auto"/>
        <w:ind w:firstLine="480"/>
        <w:rPr>
          <w:rFonts w:ascii="宋体" w:hAnsi="宋体"/>
          <w:sz w:val="24"/>
          <w:szCs w:val="24"/>
          <w:highlight w:val="none"/>
        </w:rPr>
      </w:pPr>
      <w:r>
        <w:rPr>
          <w:rFonts w:hint="eastAsia" w:ascii="宋体" w:hAnsi="宋体"/>
          <w:sz w:val="24"/>
          <w:szCs w:val="24"/>
          <w:highlight w:val="none"/>
        </w:rPr>
        <w:t>1．系统升级、迁移到虎门临时数据中心：自合同签订之日起60天内完成测试并上线试运行。</w:t>
      </w:r>
    </w:p>
    <w:p>
      <w:pPr>
        <w:pStyle w:val="24"/>
        <w:autoSpaceDE/>
        <w:autoSpaceDN/>
        <w:adjustRightInd/>
        <w:spacing w:before="0" w:beforeLines="0" w:after="0" w:afterLines="0" w:line="360" w:lineRule="auto"/>
        <w:ind w:firstLine="480"/>
        <w:rPr>
          <w:rFonts w:ascii="宋体" w:hAnsi="宋体"/>
          <w:sz w:val="24"/>
          <w:szCs w:val="24"/>
          <w:highlight w:val="none"/>
        </w:rPr>
      </w:pPr>
      <w:r>
        <w:rPr>
          <w:rFonts w:hint="eastAsia" w:ascii="宋体" w:hAnsi="宋体"/>
          <w:sz w:val="24"/>
          <w:szCs w:val="24"/>
          <w:highlight w:val="none"/>
        </w:rPr>
        <w:t>2．系统迁移到符合安全可靠测评设备环境：供应商接到采购人通知后，30天内完成迁移、测试并上线试运行。</w:t>
      </w:r>
    </w:p>
    <w:p>
      <w:pPr>
        <w:pStyle w:val="24"/>
        <w:autoSpaceDE/>
        <w:autoSpaceDN/>
        <w:adjustRightInd/>
        <w:spacing w:before="0" w:beforeLines="0" w:after="0" w:afterLines="0" w:line="360" w:lineRule="auto"/>
        <w:ind w:firstLine="480"/>
        <w:rPr>
          <w:rFonts w:ascii="宋体" w:hAnsi="宋体"/>
          <w:sz w:val="24"/>
          <w:szCs w:val="24"/>
          <w:highlight w:val="none"/>
        </w:rPr>
      </w:pPr>
      <w:r>
        <w:rPr>
          <w:rFonts w:hint="eastAsia" w:ascii="宋体" w:hAnsi="宋体"/>
          <w:sz w:val="24"/>
          <w:szCs w:val="24"/>
          <w:highlight w:val="none"/>
        </w:rPr>
        <w:t>3．系统优化：（1）在线文档插件和移动端零信任集成，与本项目进度要求第1项同时完成。（2）统一认证集成，接到采购人通知后15个工作日内完成。</w:t>
      </w:r>
    </w:p>
    <w:p>
      <w:pPr>
        <w:pStyle w:val="24"/>
        <w:numPr>
          <w:ilvl w:val="0"/>
          <w:numId w:val="4"/>
        </w:numPr>
        <w:autoSpaceDE/>
        <w:autoSpaceDN/>
        <w:adjustRightInd/>
        <w:spacing w:before="0" w:beforeLines="0" w:after="0" w:afterLines="0" w:line="360" w:lineRule="auto"/>
        <w:ind w:firstLineChars="0"/>
        <w:rPr>
          <w:rFonts w:ascii="宋体" w:hAnsi="宋体"/>
          <w:sz w:val="24"/>
          <w:szCs w:val="24"/>
          <w:highlight w:val="none"/>
        </w:rPr>
      </w:pPr>
      <w:r>
        <w:rPr>
          <w:rFonts w:hint="eastAsia" w:ascii="宋体" w:hAnsi="宋体"/>
          <w:sz w:val="24"/>
          <w:szCs w:val="24"/>
          <w:highlight w:val="none"/>
        </w:rPr>
        <w:t>项目交付要求</w:t>
      </w:r>
    </w:p>
    <w:p>
      <w:pPr>
        <w:pStyle w:val="24"/>
        <w:autoSpaceDE/>
        <w:autoSpaceDN/>
        <w:adjustRightInd/>
        <w:spacing w:before="0" w:beforeLines="0" w:after="0" w:afterLines="0" w:line="360" w:lineRule="auto"/>
        <w:ind w:firstLine="480"/>
        <w:rPr>
          <w:rFonts w:ascii="宋体" w:hAnsi="宋体"/>
          <w:sz w:val="24"/>
          <w:szCs w:val="24"/>
          <w:highlight w:val="none"/>
        </w:rPr>
      </w:pPr>
      <w:r>
        <w:rPr>
          <w:rFonts w:hint="eastAsia" w:ascii="宋体" w:hAnsi="宋体"/>
          <w:sz w:val="24"/>
          <w:szCs w:val="24"/>
          <w:highlight w:val="none"/>
        </w:rPr>
        <w:t>1．安装包及配置文件</w:t>
      </w:r>
    </w:p>
    <w:p>
      <w:pPr>
        <w:pStyle w:val="24"/>
        <w:autoSpaceDE/>
        <w:autoSpaceDN/>
        <w:adjustRightInd/>
        <w:spacing w:before="0" w:beforeLines="0" w:after="0" w:afterLines="0" w:line="360" w:lineRule="auto"/>
        <w:ind w:firstLine="480"/>
        <w:rPr>
          <w:rFonts w:ascii="宋体" w:hAnsi="宋体"/>
          <w:sz w:val="24"/>
          <w:szCs w:val="24"/>
          <w:highlight w:val="none"/>
        </w:rPr>
      </w:pPr>
      <w:r>
        <w:rPr>
          <w:rFonts w:hint="eastAsia" w:ascii="宋体" w:hAnsi="宋体"/>
          <w:sz w:val="24"/>
          <w:szCs w:val="24"/>
          <w:highlight w:val="none"/>
        </w:rPr>
        <w:t>（1）完整性：提供包含所有必要的文件和组件的安装包，确保安装包无缺失，可以支持无人值守的安装模式。</w:t>
      </w:r>
    </w:p>
    <w:p>
      <w:pPr>
        <w:pStyle w:val="24"/>
        <w:autoSpaceDE/>
        <w:autoSpaceDN/>
        <w:adjustRightInd/>
        <w:spacing w:before="0" w:beforeLines="0" w:after="0" w:afterLines="0" w:line="360" w:lineRule="auto"/>
        <w:ind w:firstLine="480"/>
        <w:rPr>
          <w:rFonts w:ascii="宋体" w:hAnsi="宋体"/>
          <w:sz w:val="24"/>
          <w:szCs w:val="24"/>
          <w:highlight w:val="none"/>
        </w:rPr>
      </w:pPr>
      <w:r>
        <w:rPr>
          <w:rFonts w:hint="eastAsia" w:ascii="宋体" w:hAnsi="宋体"/>
          <w:sz w:val="24"/>
          <w:szCs w:val="24"/>
          <w:highlight w:val="none"/>
        </w:rPr>
        <w:t>（2）配置指南：附带详细的配置文件和安装指南，说明每项配置的作用和修改方法，确保甲方团队能够根据实际环境自行调整配置。</w:t>
      </w:r>
    </w:p>
    <w:p>
      <w:pPr>
        <w:pStyle w:val="24"/>
        <w:autoSpaceDE/>
        <w:autoSpaceDN/>
        <w:adjustRightInd/>
        <w:spacing w:before="0" w:beforeLines="0" w:after="0" w:afterLines="0" w:line="360" w:lineRule="auto"/>
        <w:ind w:firstLine="480"/>
        <w:rPr>
          <w:rFonts w:ascii="宋体" w:hAnsi="宋体"/>
          <w:sz w:val="24"/>
          <w:szCs w:val="24"/>
          <w:highlight w:val="none"/>
        </w:rPr>
      </w:pPr>
      <w:r>
        <w:rPr>
          <w:rFonts w:hint="eastAsia" w:ascii="宋体" w:hAnsi="宋体"/>
          <w:sz w:val="24"/>
          <w:szCs w:val="24"/>
          <w:highlight w:val="none"/>
        </w:rPr>
        <w:t>（3）许可证明：附带软件使用和修改所需的所有版权和许可证明，确保甲方在使用过程中不会因版权问题遇到法律风险。</w:t>
      </w:r>
    </w:p>
    <w:p>
      <w:pPr>
        <w:pStyle w:val="24"/>
        <w:autoSpaceDE/>
        <w:autoSpaceDN/>
        <w:adjustRightInd/>
        <w:spacing w:before="0" w:beforeLines="0" w:after="0" w:afterLines="0" w:line="360" w:lineRule="auto"/>
        <w:ind w:firstLine="480"/>
        <w:rPr>
          <w:rFonts w:ascii="宋体" w:hAnsi="宋体"/>
          <w:sz w:val="24"/>
          <w:szCs w:val="24"/>
          <w:highlight w:val="none"/>
        </w:rPr>
      </w:pPr>
      <w:r>
        <w:rPr>
          <w:rFonts w:hint="eastAsia" w:ascii="宋体" w:hAnsi="宋体"/>
          <w:sz w:val="24"/>
          <w:szCs w:val="24"/>
          <w:highlight w:val="none"/>
        </w:rPr>
        <w:t>2．用户文档</w:t>
      </w:r>
    </w:p>
    <w:p>
      <w:pPr>
        <w:pStyle w:val="24"/>
        <w:autoSpaceDE/>
        <w:autoSpaceDN/>
        <w:adjustRightInd/>
        <w:spacing w:before="0" w:beforeLines="0" w:after="0" w:afterLines="0" w:line="360" w:lineRule="auto"/>
        <w:ind w:firstLine="480"/>
        <w:rPr>
          <w:rFonts w:ascii="宋体" w:hAnsi="宋体"/>
          <w:sz w:val="24"/>
          <w:szCs w:val="24"/>
          <w:highlight w:val="none"/>
        </w:rPr>
      </w:pPr>
      <w:r>
        <w:rPr>
          <w:rFonts w:hint="eastAsia" w:ascii="宋体" w:hAnsi="宋体"/>
          <w:sz w:val="24"/>
          <w:szCs w:val="24"/>
          <w:highlight w:val="none"/>
        </w:rPr>
        <w:t>（1）易用性：用户手册应清晰描述系统的功能使用流程，包括文本说明及图示，易于用户学习和参考。</w:t>
      </w:r>
    </w:p>
    <w:p>
      <w:pPr>
        <w:pStyle w:val="24"/>
        <w:autoSpaceDE/>
        <w:autoSpaceDN/>
        <w:adjustRightInd/>
        <w:spacing w:before="0" w:beforeLines="0" w:after="0" w:afterLines="0" w:line="360" w:lineRule="auto"/>
        <w:ind w:firstLine="480"/>
        <w:rPr>
          <w:rFonts w:ascii="宋体" w:hAnsi="宋体"/>
          <w:sz w:val="24"/>
          <w:szCs w:val="24"/>
          <w:highlight w:val="none"/>
        </w:rPr>
      </w:pPr>
      <w:r>
        <w:rPr>
          <w:rFonts w:hint="eastAsia" w:ascii="宋体" w:hAnsi="宋体"/>
          <w:sz w:val="24"/>
          <w:szCs w:val="24"/>
          <w:highlight w:val="none"/>
        </w:rPr>
        <w:t>（2）全面性：除了用户操作手册外，还需要提供操作培训资料、系统维护和故障排除等相关文档，提供尽可能全面的信息供用户参考。</w:t>
      </w:r>
    </w:p>
    <w:p>
      <w:pPr>
        <w:pStyle w:val="24"/>
        <w:autoSpaceDE/>
        <w:autoSpaceDN/>
        <w:adjustRightInd/>
        <w:spacing w:before="0" w:beforeLines="0" w:after="0" w:afterLines="0" w:line="360" w:lineRule="auto"/>
        <w:ind w:firstLine="480"/>
        <w:rPr>
          <w:rFonts w:ascii="宋体" w:hAnsi="宋体"/>
          <w:sz w:val="24"/>
          <w:szCs w:val="24"/>
          <w:highlight w:val="none"/>
        </w:rPr>
      </w:pPr>
      <w:r>
        <w:rPr>
          <w:rFonts w:hint="eastAsia" w:ascii="宋体" w:hAnsi="宋体"/>
          <w:sz w:val="24"/>
          <w:szCs w:val="24"/>
          <w:highlight w:val="none"/>
        </w:rPr>
        <w:t>3．维护指南，详细介绍系统的日常维护工作指南和常见问题处理方法，包括系统监控、备份、恢复等操作指南。</w:t>
      </w:r>
    </w:p>
    <w:p>
      <w:pPr>
        <w:pStyle w:val="24"/>
        <w:autoSpaceDE/>
        <w:autoSpaceDN/>
        <w:adjustRightInd/>
        <w:spacing w:before="0" w:beforeLines="0" w:after="0" w:afterLines="0" w:line="360" w:lineRule="auto"/>
        <w:ind w:firstLine="482"/>
        <w:rPr>
          <w:rFonts w:ascii="宋体" w:hAnsi="宋体"/>
          <w:b/>
          <w:bCs/>
          <w:sz w:val="24"/>
          <w:szCs w:val="24"/>
          <w:highlight w:val="none"/>
        </w:rPr>
      </w:pPr>
      <w:r>
        <w:rPr>
          <w:rFonts w:hint="eastAsia" w:ascii="宋体" w:hAnsi="宋体"/>
          <w:b/>
          <w:bCs/>
          <w:sz w:val="24"/>
          <w:szCs w:val="24"/>
          <w:highlight w:val="none"/>
        </w:rPr>
        <w:t>六、项目验收及售后要求</w:t>
      </w:r>
    </w:p>
    <w:p>
      <w:pPr>
        <w:pStyle w:val="24"/>
        <w:autoSpaceDE/>
        <w:autoSpaceDN/>
        <w:adjustRightInd/>
        <w:spacing w:before="0" w:beforeLines="0" w:after="0" w:afterLines="0" w:line="360" w:lineRule="auto"/>
        <w:ind w:firstLine="480"/>
        <w:rPr>
          <w:rFonts w:ascii="宋体" w:hAnsi="宋体"/>
          <w:sz w:val="24"/>
          <w:szCs w:val="24"/>
          <w:highlight w:val="none"/>
        </w:rPr>
      </w:pPr>
      <w:r>
        <w:rPr>
          <w:rFonts w:hint="eastAsia" w:ascii="宋体" w:hAnsi="宋体"/>
          <w:sz w:val="24"/>
          <w:szCs w:val="24"/>
          <w:highlight w:val="none"/>
        </w:rPr>
        <w:t>（一）验收要求</w:t>
      </w:r>
    </w:p>
    <w:p>
      <w:pPr>
        <w:pStyle w:val="24"/>
        <w:autoSpaceDE/>
        <w:autoSpaceDN/>
        <w:adjustRightInd/>
        <w:spacing w:before="0" w:beforeLines="0" w:after="0" w:afterLines="0" w:line="360" w:lineRule="auto"/>
        <w:ind w:firstLine="480"/>
        <w:rPr>
          <w:rFonts w:ascii="宋体" w:hAnsi="宋体"/>
          <w:sz w:val="24"/>
          <w:szCs w:val="24"/>
          <w:highlight w:val="none"/>
        </w:rPr>
      </w:pPr>
      <w:r>
        <w:rPr>
          <w:rFonts w:hint="eastAsia" w:ascii="宋体" w:hAnsi="宋体"/>
          <w:sz w:val="24"/>
          <w:szCs w:val="24"/>
          <w:highlight w:val="none"/>
        </w:rPr>
        <w:t>1．系统升级、迁移到当前虎门临时数据中心，正式运行30日后，可以向采购人申请系统升级验收。供应商提交运行期间监测报告（详见附件一）。监测报告各项运行指标无异常，经采购人确认后，由采购人出具《OA系统升级迁移验收报告》。</w:t>
      </w:r>
    </w:p>
    <w:p>
      <w:pPr>
        <w:pStyle w:val="24"/>
        <w:autoSpaceDE/>
        <w:autoSpaceDN/>
        <w:adjustRightInd/>
        <w:spacing w:before="0" w:beforeLines="0" w:after="0" w:afterLines="0" w:line="360" w:lineRule="auto"/>
        <w:ind w:firstLine="480"/>
        <w:rPr>
          <w:rFonts w:ascii="宋体" w:hAnsi="宋体"/>
          <w:sz w:val="24"/>
          <w:szCs w:val="24"/>
          <w:highlight w:val="none"/>
        </w:rPr>
      </w:pPr>
      <w:r>
        <w:rPr>
          <w:rFonts w:hint="eastAsia" w:ascii="宋体" w:hAnsi="宋体"/>
          <w:sz w:val="24"/>
          <w:szCs w:val="24"/>
          <w:highlight w:val="none"/>
        </w:rPr>
        <w:t>2．系统迁移符合安全可靠测评设备环境：OA系统全套运行环境迁移至符合安全可靠测评设备环境正式运行15天后，供应商提交运行期间监测报告（详见附件一）。监测报告各项运行指标无异常，经采购人确认后，由采购人出具《OA系统迁移符合安全可靠测评设备环境验收报告》。</w:t>
      </w:r>
    </w:p>
    <w:p>
      <w:pPr>
        <w:pStyle w:val="24"/>
        <w:autoSpaceDE/>
        <w:autoSpaceDN/>
        <w:adjustRightInd/>
        <w:spacing w:before="0" w:beforeLines="0" w:after="0" w:afterLines="0" w:line="360" w:lineRule="auto"/>
        <w:ind w:firstLine="480"/>
        <w:rPr>
          <w:rFonts w:ascii="宋体" w:hAnsi="宋体"/>
          <w:sz w:val="24"/>
          <w:szCs w:val="24"/>
          <w:highlight w:val="none"/>
        </w:rPr>
      </w:pPr>
      <w:r>
        <w:rPr>
          <w:rFonts w:hint="eastAsia" w:ascii="宋体" w:hAnsi="宋体"/>
          <w:sz w:val="24"/>
          <w:szCs w:val="24"/>
          <w:highlight w:val="none"/>
        </w:rPr>
        <w:t>3．系统优化验收：优化的功能在试运行期满，期间使用人员发现的问题和提出的功能优化要求完成调整，供应商可以向采购人申请系统优化的验收，经采购人确认后，由采购人出具《OA系统优化验收报告》。</w:t>
      </w:r>
    </w:p>
    <w:p>
      <w:pPr>
        <w:pStyle w:val="24"/>
        <w:autoSpaceDE/>
        <w:autoSpaceDN/>
        <w:adjustRightInd/>
        <w:spacing w:before="0" w:beforeLines="0" w:after="0" w:afterLines="0" w:line="360" w:lineRule="auto"/>
        <w:ind w:firstLine="480"/>
        <w:rPr>
          <w:rFonts w:ascii="宋体" w:hAnsi="宋体"/>
          <w:sz w:val="24"/>
          <w:szCs w:val="24"/>
          <w:highlight w:val="none"/>
        </w:rPr>
      </w:pPr>
      <w:r>
        <w:rPr>
          <w:rFonts w:hint="eastAsia" w:ascii="宋体" w:hAnsi="宋体"/>
          <w:sz w:val="24"/>
          <w:szCs w:val="24"/>
          <w:highlight w:val="none"/>
        </w:rPr>
        <w:t>（二）售后要求</w:t>
      </w:r>
    </w:p>
    <w:p>
      <w:pPr>
        <w:pStyle w:val="24"/>
        <w:autoSpaceDE/>
        <w:autoSpaceDN/>
        <w:adjustRightInd/>
        <w:spacing w:before="0" w:beforeLines="0" w:after="0" w:afterLines="0" w:line="360" w:lineRule="auto"/>
        <w:ind w:firstLine="480"/>
        <w:rPr>
          <w:rFonts w:ascii="宋体" w:hAnsi="宋体"/>
          <w:sz w:val="24"/>
          <w:szCs w:val="24"/>
          <w:highlight w:val="none"/>
        </w:rPr>
      </w:pPr>
      <w:r>
        <w:rPr>
          <w:rFonts w:hint="eastAsia" w:ascii="宋体" w:hAnsi="宋体"/>
          <w:sz w:val="24"/>
          <w:szCs w:val="24"/>
          <w:highlight w:val="none"/>
        </w:rPr>
        <w:t>1．供应商提供为期一年的质保服务（OA系统现有运维服务合同到期日期为2025年5月25日，如果项目三份验收报告的最后验收日期在此日期之前，质保期需在此日期基础上延长，否则从最后验收日期起算），系统维护的范围包括：系统优化和升级、系统的正常运行和数据维护；对系统使用中暴露出的缺陷和问题进行必要的调整；每个季度对客户产品和系统使用情况的定期回访。</w:t>
      </w:r>
    </w:p>
    <w:p>
      <w:pPr>
        <w:pStyle w:val="24"/>
        <w:autoSpaceDE/>
        <w:autoSpaceDN/>
        <w:adjustRightInd/>
        <w:spacing w:before="0" w:beforeLines="0" w:after="0" w:afterLines="0" w:line="360" w:lineRule="auto"/>
        <w:ind w:firstLine="480"/>
        <w:rPr>
          <w:rFonts w:ascii="宋体" w:hAnsi="宋体"/>
          <w:sz w:val="24"/>
          <w:szCs w:val="24"/>
          <w:highlight w:val="none"/>
        </w:rPr>
      </w:pPr>
      <w:r>
        <w:rPr>
          <w:rFonts w:hint="eastAsia" w:ascii="宋体" w:hAnsi="宋体"/>
          <w:sz w:val="24"/>
          <w:szCs w:val="24"/>
          <w:highlight w:val="none"/>
        </w:rPr>
        <w:t>2．服务响应要求：供应商需向采购人提供本地化服务，须向采购人提供7×24小时电话支持、远程服务，并按要求确保在0.5小时内响应，2小时内到达现场。</w:t>
      </w:r>
    </w:p>
    <w:p>
      <w:pPr>
        <w:pStyle w:val="24"/>
        <w:autoSpaceDE/>
        <w:autoSpaceDN/>
        <w:adjustRightInd/>
        <w:spacing w:before="0" w:beforeLines="0" w:after="0" w:afterLines="0" w:line="360" w:lineRule="auto"/>
        <w:ind w:firstLine="482"/>
        <w:rPr>
          <w:rFonts w:ascii="宋体" w:hAnsi="宋体"/>
          <w:b/>
          <w:bCs/>
          <w:sz w:val="24"/>
          <w:szCs w:val="24"/>
          <w:highlight w:val="none"/>
        </w:rPr>
      </w:pPr>
      <w:r>
        <w:rPr>
          <w:rFonts w:hint="eastAsia" w:ascii="宋体" w:hAnsi="宋体"/>
          <w:b/>
          <w:bCs/>
          <w:sz w:val="24"/>
          <w:szCs w:val="24"/>
          <w:highlight w:val="none"/>
        </w:rPr>
        <w:t>七、项目报价及付款方式</w:t>
      </w:r>
    </w:p>
    <w:p>
      <w:pPr>
        <w:pStyle w:val="24"/>
        <w:autoSpaceDE/>
        <w:autoSpaceDN/>
        <w:adjustRightInd/>
        <w:spacing w:before="0" w:beforeLines="0" w:after="0" w:afterLines="0" w:line="360" w:lineRule="auto"/>
        <w:ind w:firstLine="480"/>
        <w:rPr>
          <w:rFonts w:ascii="宋体" w:hAnsi="宋体"/>
          <w:sz w:val="24"/>
          <w:szCs w:val="24"/>
          <w:highlight w:val="none"/>
        </w:rPr>
      </w:pPr>
      <w:r>
        <w:rPr>
          <w:rFonts w:hint="eastAsia" w:ascii="宋体" w:hAnsi="宋体"/>
          <w:sz w:val="24"/>
          <w:szCs w:val="24"/>
          <w:highlight w:val="none"/>
        </w:rPr>
        <w:t>（一）本项目总费用为不含税总价，包括但不限于合理利润、开发费、安装调试费，系统集成费、第三方商业软件费、培训费、电子设备费、人工费、驻点办公食宿及水电等费用、管理费、交通费、通讯费、加班费以及供应商销项税额以外的税费等服务范围内所有应预见和不可预见费用及完成服务内容所需的一切费用。供应商须了解项目情况、各类费用以及风险情况，合同签订后，不再另行增加任何费用。</w:t>
      </w:r>
    </w:p>
    <w:p>
      <w:pPr>
        <w:pStyle w:val="24"/>
        <w:autoSpaceDE/>
        <w:autoSpaceDN/>
        <w:adjustRightInd/>
        <w:spacing w:before="0" w:beforeLines="0" w:after="0" w:afterLines="0" w:line="360" w:lineRule="auto"/>
        <w:ind w:firstLine="480"/>
        <w:rPr>
          <w:rFonts w:ascii="宋体" w:hAnsi="宋体"/>
          <w:sz w:val="24"/>
          <w:szCs w:val="24"/>
          <w:highlight w:val="none"/>
        </w:rPr>
      </w:pPr>
      <w:r>
        <w:rPr>
          <w:rFonts w:hint="eastAsia" w:ascii="宋体" w:hAnsi="宋体"/>
          <w:sz w:val="24"/>
          <w:szCs w:val="24"/>
          <w:highlight w:val="none"/>
        </w:rPr>
        <w:t>（二）依法计得并根据本合同约定确定的销项税额由采购人承担。在本合同履行过程中，税收政策变动导致增值税税率调整，依法应调整销项税额的，依法调整；但因供应商未按合同约定完成服务，未根据合同约定提供合法、完整的请款资料等原因导致销项税额增加的，相应损失由供应商承担。</w:t>
      </w:r>
    </w:p>
    <w:p>
      <w:pPr>
        <w:pStyle w:val="24"/>
        <w:autoSpaceDE/>
        <w:autoSpaceDN/>
        <w:adjustRightInd/>
        <w:spacing w:before="0" w:beforeLines="0" w:after="0" w:afterLines="0" w:line="360" w:lineRule="auto"/>
        <w:ind w:firstLine="480"/>
        <w:rPr>
          <w:rFonts w:ascii="宋体" w:hAnsi="宋体"/>
          <w:sz w:val="24"/>
          <w:szCs w:val="24"/>
          <w:highlight w:val="none"/>
        </w:rPr>
      </w:pPr>
      <w:r>
        <w:rPr>
          <w:rFonts w:hint="eastAsia" w:ascii="宋体" w:hAnsi="宋体"/>
          <w:sz w:val="24"/>
          <w:szCs w:val="24"/>
          <w:highlight w:val="none"/>
        </w:rPr>
        <w:t>（三）本项目付款分为四个阶段：</w:t>
      </w:r>
    </w:p>
    <w:p>
      <w:pPr>
        <w:pStyle w:val="24"/>
        <w:autoSpaceDE/>
        <w:autoSpaceDN/>
        <w:adjustRightInd/>
        <w:spacing w:before="0" w:beforeLines="0" w:after="0" w:afterLines="0" w:line="360" w:lineRule="auto"/>
        <w:ind w:firstLine="480"/>
        <w:rPr>
          <w:rFonts w:ascii="宋体" w:hAnsi="宋体"/>
          <w:sz w:val="24"/>
          <w:szCs w:val="24"/>
          <w:highlight w:val="none"/>
        </w:rPr>
      </w:pPr>
      <w:r>
        <w:rPr>
          <w:rFonts w:hint="eastAsia" w:ascii="宋体" w:hAnsi="宋体"/>
          <w:sz w:val="24"/>
          <w:szCs w:val="24"/>
          <w:highlight w:val="none"/>
        </w:rPr>
        <w:t>1．采购人出具《OA系统升级迁移验收报告》后，供应商向采购人申请支付合同价的50%及对应税额。</w:t>
      </w:r>
    </w:p>
    <w:p>
      <w:pPr>
        <w:pStyle w:val="24"/>
        <w:autoSpaceDE/>
        <w:autoSpaceDN/>
        <w:adjustRightInd/>
        <w:spacing w:before="0" w:beforeLines="0" w:after="0" w:afterLines="0" w:line="360" w:lineRule="auto"/>
        <w:ind w:firstLine="480"/>
        <w:rPr>
          <w:rFonts w:ascii="宋体" w:hAnsi="宋体"/>
          <w:sz w:val="24"/>
          <w:szCs w:val="24"/>
          <w:highlight w:val="none"/>
        </w:rPr>
      </w:pPr>
      <w:r>
        <w:rPr>
          <w:rFonts w:hint="eastAsia" w:ascii="宋体" w:hAnsi="宋体"/>
          <w:sz w:val="24"/>
          <w:szCs w:val="24"/>
          <w:highlight w:val="none"/>
        </w:rPr>
        <w:t>2．采购人出具《OA系统迁移符合安全可靠测评设备环境验收报告》后，供应商向采购人申请支付合同价的25%及对应税额。</w:t>
      </w:r>
    </w:p>
    <w:p>
      <w:pPr>
        <w:pStyle w:val="24"/>
        <w:autoSpaceDE/>
        <w:autoSpaceDN/>
        <w:adjustRightInd/>
        <w:spacing w:before="0" w:beforeLines="0" w:after="0" w:afterLines="0" w:line="360" w:lineRule="auto"/>
        <w:ind w:firstLine="480"/>
        <w:rPr>
          <w:rFonts w:ascii="宋体" w:hAnsi="宋体"/>
          <w:sz w:val="24"/>
          <w:szCs w:val="24"/>
          <w:highlight w:val="none"/>
        </w:rPr>
      </w:pPr>
      <w:r>
        <w:rPr>
          <w:rFonts w:hint="eastAsia" w:ascii="宋体" w:hAnsi="宋体"/>
          <w:sz w:val="24"/>
          <w:szCs w:val="24"/>
          <w:highlight w:val="none"/>
        </w:rPr>
        <w:t>3．采购人出具《OA系统优化验收报告》后，供应商向采购人申请支付合同价的20%及对应税额。</w:t>
      </w:r>
    </w:p>
    <w:p>
      <w:pPr>
        <w:pStyle w:val="24"/>
        <w:autoSpaceDE/>
        <w:autoSpaceDN/>
        <w:adjustRightInd/>
        <w:spacing w:before="0" w:beforeLines="0" w:after="0" w:afterLines="0" w:line="360" w:lineRule="auto"/>
        <w:ind w:firstLine="480"/>
        <w:rPr>
          <w:rFonts w:ascii="宋体" w:hAnsi="宋体"/>
          <w:sz w:val="24"/>
          <w:szCs w:val="24"/>
          <w:highlight w:val="none"/>
        </w:rPr>
      </w:pPr>
      <w:r>
        <w:rPr>
          <w:rFonts w:hint="eastAsia" w:ascii="宋体" w:hAnsi="宋体"/>
          <w:sz w:val="24"/>
          <w:szCs w:val="24"/>
          <w:highlight w:val="none"/>
        </w:rPr>
        <w:t>4．剩余5%的合同价及对应税额作为质保金，质保期届满后，供应商向采购人申请支付质保金。系统无质量问题、供应商无违约行为且按照本合同约定提供质保服务的，采购人将质保金无息支付给供应商。如质保期内供应商未能按合同约定提供质保服务的，在质保期满后由采购人根据供应商实际履行质保服务情况与供应商结算质保。</w:t>
      </w:r>
    </w:p>
    <w:p>
      <w:pPr>
        <w:pStyle w:val="24"/>
        <w:autoSpaceDE/>
        <w:autoSpaceDN/>
        <w:adjustRightInd/>
        <w:spacing w:before="0" w:beforeLines="0" w:after="0" w:afterLines="0" w:line="360" w:lineRule="auto"/>
        <w:ind w:firstLine="480"/>
        <w:rPr>
          <w:rFonts w:ascii="宋体" w:hAnsi="宋体"/>
          <w:sz w:val="24"/>
          <w:szCs w:val="24"/>
          <w:highlight w:val="none"/>
        </w:rPr>
      </w:pPr>
      <w:r>
        <w:rPr>
          <w:rFonts w:hint="eastAsia" w:ascii="宋体" w:hAnsi="宋体"/>
          <w:sz w:val="24"/>
          <w:szCs w:val="24"/>
          <w:highlight w:val="none"/>
        </w:rPr>
        <w:t>供应商每次请款需向采购人提交请款报告及合法、请款金额等额、有效的增值税专用发票，采购人在收到前述材料后20个工作日完成款项支付工作。</w:t>
      </w:r>
    </w:p>
    <w:p>
      <w:pPr>
        <w:pStyle w:val="24"/>
        <w:autoSpaceDE/>
        <w:autoSpaceDN/>
        <w:adjustRightInd/>
        <w:spacing w:before="0" w:beforeLines="0" w:after="0" w:afterLines="0" w:line="600" w:lineRule="exact"/>
        <w:ind w:firstLine="0" w:firstLineChars="0"/>
        <w:rPr>
          <w:rFonts w:ascii="Times New Roman" w:hAnsi="Times New Roman" w:eastAsia="仿宋_GB2312"/>
          <w:sz w:val="32"/>
          <w:szCs w:val="32"/>
          <w:highlight w:val="none"/>
        </w:rPr>
      </w:pPr>
    </w:p>
    <w:bookmarkEnd w:id="6"/>
    <w:bookmarkEnd w:id="7"/>
    <w:bookmarkEnd w:id="8"/>
    <w:bookmarkEnd w:id="9"/>
    <w:p>
      <w:pPr>
        <w:widowControl/>
        <w:spacing w:line="360" w:lineRule="auto"/>
        <w:rPr>
          <w:rFonts w:hAnsi="宋体" w:cs="宋体"/>
          <w:highlight w:val="none"/>
        </w:rPr>
      </w:pPr>
    </w:p>
    <w:p>
      <w:pPr>
        <w:widowControl/>
        <w:spacing w:line="360" w:lineRule="auto"/>
        <w:rPr>
          <w:rFonts w:hAnsi="宋体" w:cs="宋体"/>
          <w:highlight w:val="none"/>
        </w:rPr>
      </w:pPr>
    </w:p>
    <w:p>
      <w:pPr>
        <w:widowControl/>
        <w:spacing w:line="360" w:lineRule="auto"/>
        <w:rPr>
          <w:rFonts w:hAnsi="宋体" w:cs="宋体"/>
          <w:highlight w:val="none"/>
        </w:rPr>
      </w:pPr>
    </w:p>
    <w:p>
      <w:pPr>
        <w:spacing w:line="360" w:lineRule="auto"/>
        <w:jc w:val="center"/>
        <w:outlineLvl w:val="0"/>
        <w:rPr>
          <w:rFonts w:ascii="黑体" w:hAnsi="黑体" w:eastAsia="黑体" w:cs="黑体"/>
          <w:sz w:val="40"/>
          <w:szCs w:val="40"/>
          <w:highlight w:val="none"/>
        </w:rPr>
      </w:pPr>
      <w:bookmarkStart w:id="10" w:name="_Toc18353"/>
      <w:r>
        <w:rPr>
          <w:rFonts w:hint="eastAsia" w:ascii="黑体" w:hAnsi="黑体" w:eastAsia="黑体" w:cs="黑体"/>
          <w:sz w:val="40"/>
          <w:szCs w:val="40"/>
          <w:highlight w:val="none"/>
        </w:rPr>
        <w:t>附件一OA系统运行情况监测报告</w:t>
      </w:r>
      <w:bookmarkEnd w:id="10"/>
    </w:p>
    <w:p>
      <w:pPr>
        <w:pStyle w:val="13"/>
        <w:widowControl/>
        <w:numPr>
          <w:ilvl w:val="0"/>
          <w:numId w:val="5"/>
        </w:numPr>
        <w:spacing w:beforeAutospacing="0" w:afterAutospacing="0" w:line="360" w:lineRule="auto"/>
        <w:ind w:left="0"/>
        <w:rPr>
          <w:rFonts w:hAnsi="宋体" w:cs="宋体"/>
          <w:highlight w:val="none"/>
        </w:rPr>
      </w:pPr>
      <w:r>
        <w:rPr>
          <w:rStyle w:val="18"/>
          <w:rFonts w:hint="eastAsia" w:hAnsi="宋体" w:cs="宋体"/>
          <w:bCs/>
          <w:spacing w:val="6"/>
          <w:highlight w:val="none"/>
        </w:rPr>
        <w:t>概述</w:t>
      </w:r>
      <w:r>
        <w:rPr>
          <w:rFonts w:hint="eastAsia" w:hAnsi="宋体" w:cs="宋体"/>
          <w:spacing w:val="6"/>
          <w:highlight w:val="none"/>
        </w:rPr>
        <w:t>：</w:t>
      </w:r>
    </w:p>
    <w:p>
      <w:pPr>
        <w:widowControl/>
        <w:spacing w:line="360" w:lineRule="auto"/>
        <w:ind w:left="240" w:leftChars="100"/>
        <w:rPr>
          <w:rFonts w:hAnsi="宋体" w:cs="宋体"/>
          <w:spacing w:val="6"/>
          <w:highlight w:val="none"/>
        </w:rPr>
      </w:pPr>
      <w:r>
        <w:rPr>
          <w:rFonts w:hint="eastAsia" w:hAnsi="宋体" w:cs="宋体"/>
          <w:spacing w:val="6"/>
          <w:highlight w:val="none"/>
        </w:rPr>
        <w:t>报告目的与范围</w:t>
      </w:r>
    </w:p>
    <w:p>
      <w:pPr>
        <w:widowControl/>
        <w:spacing w:line="360" w:lineRule="auto"/>
        <w:ind w:left="240" w:leftChars="100"/>
        <w:rPr>
          <w:rFonts w:hAnsi="宋体" w:cs="宋体"/>
          <w:highlight w:val="none"/>
        </w:rPr>
      </w:pPr>
      <w:r>
        <w:rPr>
          <w:rFonts w:hint="eastAsia" w:hAnsi="宋体" w:cs="宋体"/>
          <w:spacing w:val="6"/>
          <w:highlight w:val="none"/>
        </w:rPr>
        <w:t>监测时间周期</w:t>
      </w:r>
    </w:p>
    <w:p>
      <w:pPr>
        <w:widowControl/>
        <w:spacing w:line="360" w:lineRule="auto"/>
        <w:ind w:left="240" w:leftChars="100"/>
        <w:rPr>
          <w:rFonts w:hAnsi="宋体" w:cs="宋体"/>
          <w:highlight w:val="none"/>
        </w:rPr>
      </w:pPr>
      <w:r>
        <w:rPr>
          <w:rFonts w:hint="eastAsia" w:hAnsi="宋体" w:cs="宋体"/>
          <w:spacing w:val="6"/>
          <w:highlight w:val="none"/>
        </w:rPr>
        <w:t>监测工具和技术</w:t>
      </w:r>
    </w:p>
    <w:p>
      <w:pPr>
        <w:pStyle w:val="13"/>
        <w:numPr>
          <w:ilvl w:val="0"/>
          <w:numId w:val="5"/>
        </w:numPr>
        <w:spacing w:beforeAutospacing="0" w:afterAutospacing="0" w:line="360" w:lineRule="auto"/>
        <w:ind w:left="0"/>
        <w:rPr>
          <w:rFonts w:hAnsi="宋体" w:cs="宋体"/>
          <w:highlight w:val="none"/>
        </w:rPr>
      </w:pPr>
      <w:r>
        <w:rPr>
          <w:rStyle w:val="18"/>
          <w:rFonts w:hint="eastAsia" w:hAnsi="宋体" w:cs="宋体"/>
          <w:bCs/>
          <w:spacing w:val="6"/>
          <w:highlight w:val="none"/>
        </w:rPr>
        <w:t>系统性能</w:t>
      </w:r>
      <w:r>
        <w:rPr>
          <w:rFonts w:hint="eastAsia" w:hAnsi="宋体" w:cs="宋体"/>
          <w:spacing w:val="6"/>
          <w:highlight w:val="none"/>
        </w:rPr>
        <w:t>：</w:t>
      </w:r>
    </w:p>
    <w:p>
      <w:pPr>
        <w:widowControl/>
        <w:spacing w:line="360" w:lineRule="auto"/>
        <w:ind w:left="240" w:leftChars="100"/>
        <w:rPr>
          <w:rFonts w:hAnsi="宋体" w:cs="宋体"/>
          <w:highlight w:val="none"/>
        </w:rPr>
      </w:pPr>
      <w:r>
        <w:rPr>
          <w:rFonts w:hint="eastAsia" w:hAnsi="宋体" w:cs="宋体"/>
          <w:spacing w:val="6"/>
          <w:highlight w:val="none"/>
        </w:rPr>
        <w:t>响应时间：用户请求的平均响应时间</w:t>
      </w:r>
    </w:p>
    <w:p>
      <w:pPr>
        <w:widowControl/>
        <w:spacing w:line="360" w:lineRule="auto"/>
        <w:ind w:left="240" w:leftChars="100"/>
        <w:rPr>
          <w:rFonts w:hAnsi="宋体" w:cs="宋体"/>
          <w:highlight w:val="none"/>
        </w:rPr>
      </w:pPr>
      <w:r>
        <w:rPr>
          <w:rFonts w:hint="eastAsia" w:hAnsi="宋体" w:cs="宋体"/>
          <w:spacing w:val="6"/>
          <w:highlight w:val="none"/>
        </w:rPr>
        <w:t>吞吐量：系统每秒能处理的事务数量</w:t>
      </w:r>
    </w:p>
    <w:p>
      <w:pPr>
        <w:widowControl/>
        <w:spacing w:line="360" w:lineRule="auto"/>
        <w:ind w:left="240" w:leftChars="100"/>
        <w:rPr>
          <w:rFonts w:hAnsi="宋体" w:cs="宋体"/>
          <w:highlight w:val="none"/>
        </w:rPr>
      </w:pPr>
      <w:r>
        <w:rPr>
          <w:rFonts w:hint="eastAsia" w:hAnsi="宋体" w:cs="宋体"/>
          <w:spacing w:val="6"/>
          <w:highlight w:val="none"/>
        </w:rPr>
        <w:t>CPU使用率：处理器资源的占用情况</w:t>
      </w:r>
    </w:p>
    <w:p>
      <w:pPr>
        <w:widowControl/>
        <w:spacing w:line="360" w:lineRule="auto"/>
        <w:ind w:left="240" w:leftChars="100"/>
        <w:rPr>
          <w:rFonts w:hAnsi="宋体" w:cs="宋体"/>
          <w:highlight w:val="none"/>
        </w:rPr>
      </w:pPr>
      <w:r>
        <w:rPr>
          <w:rFonts w:hint="eastAsia" w:hAnsi="宋体" w:cs="宋体"/>
          <w:spacing w:val="6"/>
          <w:highlight w:val="none"/>
        </w:rPr>
        <w:t>内存使用率：内存资源的占用情况</w:t>
      </w:r>
    </w:p>
    <w:p>
      <w:pPr>
        <w:widowControl/>
        <w:spacing w:line="360" w:lineRule="auto"/>
        <w:ind w:left="240" w:leftChars="100"/>
        <w:rPr>
          <w:rFonts w:hAnsi="宋体" w:cs="宋体"/>
          <w:highlight w:val="none"/>
        </w:rPr>
      </w:pPr>
      <w:r>
        <w:rPr>
          <w:rFonts w:hint="eastAsia" w:hAnsi="宋体" w:cs="宋体"/>
          <w:spacing w:val="6"/>
          <w:highlight w:val="none"/>
        </w:rPr>
        <w:t>存储空间：硬盘等存储设备的使用情况</w:t>
      </w:r>
    </w:p>
    <w:p>
      <w:pPr>
        <w:pStyle w:val="13"/>
        <w:numPr>
          <w:ilvl w:val="0"/>
          <w:numId w:val="5"/>
        </w:numPr>
        <w:spacing w:beforeAutospacing="0" w:afterAutospacing="0" w:line="360" w:lineRule="auto"/>
        <w:ind w:left="0"/>
        <w:rPr>
          <w:rFonts w:hAnsi="宋体" w:cs="宋体"/>
          <w:highlight w:val="none"/>
        </w:rPr>
      </w:pPr>
      <w:r>
        <w:rPr>
          <w:rStyle w:val="18"/>
          <w:rFonts w:hint="eastAsia" w:hAnsi="宋体" w:cs="宋体"/>
          <w:bCs/>
          <w:spacing w:val="6"/>
          <w:highlight w:val="none"/>
        </w:rPr>
        <w:t>稳定性与可靠性</w:t>
      </w:r>
      <w:r>
        <w:rPr>
          <w:rFonts w:hint="eastAsia" w:hAnsi="宋体" w:cs="宋体"/>
          <w:spacing w:val="6"/>
          <w:highlight w:val="none"/>
        </w:rPr>
        <w:t>：</w:t>
      </w:r>
    </w:p>
    <w:p>
      <w:pPr>
        <w:widowControl/>
        <w:spacing w:line="360" w:lineRule="auto"/>
        <w:ind w:left="240" w:leftChars="100"/>
        <w:rPr>
          <w:rFonts w:hAnsi="宋体" w:cs="宋体"/>
          <w:spacing w:val="6"/>
          <w:highlight w:val="none"/>
        </w:rPr>
      </w:pPr>
      <w:r>
        <w:rPr>
          <w:rFonts w:hint="eastAsia" w:hAnsi="宋体" w:cs="宋体"/>
          <w:spacing w:val="6"/>
          <w:highlight w:val="none"/>
        </w:rPr>
        <w:t>长时间运行测试结果：系统连续运行时的表现</w:t>
      </w:r>
    </w:p>
    <w:p>
      <w:pPr>
        <w:widowControl/>
        <w:spacing w:line="360" w:lineRule="auto"/>
        <w:ind w:left="240" w:leftChars="100"/>
        <w:rPr>
          <w:rFonts w:hAnsi="宋体" w:cs="宋体"/>
          <w:spacing w:val="6"/>
          <w:highlight w:val="none"/>
        </w:rPr>
      </w:pPr>
      <w:r>
        <w:rPr>
          <w:rFonts w:hint="eastAsia" w:hAnsi="宋体" w:cs="宋体"/>
          <w:spacing w:val="6"/>
          <w:highlight w:val="none"/>
        </w:rPr>
        <w:t>高负载测试结果：在高并发情况下系统的处理能力</w:t>
      </w:r>
    </w:p>
    <w:p>
      <w:pPr>
        <w:widowControl/>
        <w:spacing w:line="360" w:lineRule="auto"/>
        <w:ind w:left="240" w:leftChars="100"/>
        <w:rPr>
          <w:rFonts w:hAnsi="宋体" w:cs="宋体"/>
          <w:spacing w:val="6"/>
          <w:highlight w:val="none"/>
        </w:rPr>
      </w:pPr>
      <w:r>
        <w:rPr>
          <w:rFonts w:hint="eastAsia" w:hAnsi="宋体" w:cs="宋体"/>
          <w:spacing w:val="6"/>
          <w:highlight w:val="none"/>
        </w:rPr>
        <w:t>故障恢复时间：发生故障时系统恢复到正常工作状态所需的时间</w:t>
      </w:r>
    </w:p>
    <w:p>
      <w:pPr>
        <w:pStyle w:val="13"/>
        <w:numPr>
          <w:ilvl w:val="0"/>
          <w:numId w:val="5"/>
        </w:numPr>
        <w:spacing w:beforeAutospacing="0" w:afterAutospacing="0" w:line="360" w:lineRule="auto"/>
        <w:ind w:left="0"/>
        <w:rPr>
          <w:rFonts w:hAnsi="宋体" w:cs="宋体"/>
          <w:highlight w:val="none"/>
        </w:rPr>
      </w:pPr>
      <w:r>
        <w:rPr>
          <w:rStyle w:val="18"/>
          <w:rFonts w:hint="eastAsia" w:hAnsi="宋体" w:cs="宋体"/>
          <w:bCs/>
          <w:spacing w:val="6"/>
          <w:highlight w:val="none"/>
        </w:rPr>
        <w:t>安全性检查</w:t>
      </w:r>
      <w:r>
        <w:rPr>
          <w:rFonts w:hint="eastAsia" w:hAnsi="宋体" w:cs="宋体"/>
          <w:spacing w:val="6"/>
          <w:highlight w:val="none"/>
        </w:rPr>
        <w:t>：</w:t>
      </w:r>
    </w:p>
    <w:p>
      <w:pPr>
        <w:widowControl/>
        <w:spacing w:line="360" w:lineRule="auto"/>
        <w:ind w:left="240" w:leftChars="100"/>
        <w:rPr>
          <w:rFonts w:hAnsi="宋体" w:cs="宋体"/>
          <w:spacing w:val="6"/>
          <w:highlight w:val="none"/>
        </w:rPr>
      </w:pPr>
      <w:r>
        <w:rPr>
          <w:rFonts w:hint="eastAsia" w:hAnsi="宋体" w:cs="宋体"/>
          <w:spacing w:val="6"/>
          <w:highlight w:val="none"/>
        </w:rPr>
        <w:t>安全漏洞扫描结果</w:t>
      </w:r>
    </w:p>
    <w:p>
      <w:pPr>
        <w:widowControl/>
        <w:spacing w:line="360" w:lineRule="auto"/>
        <w:ind w:left="240" w:leftChars="100"/>
        <w:rPr>
          <w:rFonts w:hAnsi="宋体" w:cs="宋体"/>
          <w:spacing w:val="6"/>
          <w:highlight w:val="none"/>
        </w:rPr>
      </w:pPr>
      <w:r>
        <w:rPr>
          <w:rFonts w:hint="eastAsia" w:hAnsi="宋体" w:cs="宋体"/>
          <w:spacing w:val="6"/>
          <w:highlight w:val="none"/>
        </w:rPr>
        <w:t>非法访问尝试记录</w:t>
      </w:r>
    </w:p>
    <w:p>
      <w:pPr>
        <w:widowControl/>
        <w:spacing w:line="360" w:lineRule="auto"/>
        <w:ind w:left="240" w:leftChars="100"/>
        <w:rPr>
          <w:rFonts w:hAnsi="宋体" w:cs="宋体"/>
          <w:spacing w:val="6"/>
          <w:highlight w:val="none"/>
        </w:rPr>
      </w:pPr>
      <w:r>
        <w:rPr>
          <w:rFonts w:hint="eastAsia" w:hAnsi="宋体" w:cs="宋体"/>
          <w:spacing w:val="6"/>
          <w:highlight w:val="none"/>
        </w:rPr>
        <w:t>数据加密和备份策略执行情况</w:t>
      </w:r>
    </w:p>
    <w:p>
      <w:pPr>
        <w:pStyle w:val="13"/>
        <w:numPr>
          <w:ilvl w:val="0"/>
          <w:numId w:val="5"/>
        </w:numPr>
        <w:spacing w:beforeAutospacing="0" w:afterAutospacing="0" w:line="360" w:lineRule="auto"/>
        <w:ind w:left="0"/>
        <w:rPr>
          <w:rFonts w:hAnsi="宋体" w:cs="宋体"/>
          <w:highlight w:val="none"/>
        </w:rPr>
      </w:pPr>
      <w:r>
        <w:rPr>
          <w:rStyle w:val="18"/>
          <w:rFonts w:hint="eastAsia" w:hAnsi="宋体" w:cs="宋体"/>
          <w:bCs/>
          <w:spacing w:val="6"/>
          <w:highlight w:val="none"/>
        </w:rPr>
        <w:t>优化建议</w:t>
      </w:r>
      <w:r>
        <w:rPr>
          <w:rFonts w:hint="eastAsia" w:hAnsi="宋体" w:cs="宋体"/>
          <w:spacing w:val="6"/>
          <w:highlight w:val="none"/>
        </w:rPr>
        <w:t>：</w:t>
      </w:r>
    </w:p>
    <w:p>
      <w:pPr>
        <w:widowControl/>
        <w:spacing w:line="360" w:lineRule="auto"/>
        <w:ind w:left="240" w:leftChars="100"/>
        <w:rPr>
          <w:rFonts w:hAnsi="宋体" w:cs="宋体"/>
          <w:spacing w:val="6"/>
          <w:highlight w:val="none"/>
        </w:rPr>
      </w:pPr>
      <w:r>
        <w:rPr>
          <w:rFonts w:hint="eastAsia" w:hAnsi="宋体" w:cs="宋体"/>
          <w:spacing w:val="6"/>
          <w:highlight w:val="none"/>
        </w:rPr>
        <w:t>基于监测结果提出的改进措施</w:t>
      </w:r>
    </w:p>
    <w:p>
      <w:pPr>
        <w:widowControl/>
        <w:spacing w:line="360" w:lineRule="auto"/>
        <w:ind w:left="240" w:leftChars="100"/>
        <w:rPr>
          <w:rFonts w:hAnsi="宋体" w:cs="宋体"/>
          <w:spacing w:val="6"/>
          <w:highlight w:val="none"/>
        </w:rPr>
      </w:pPr>
      <w:r>
        <w:rPr>
          <w:rFonts w:hint="eastAsia" w:hAnsi="宋体" w:cs="宋体"/>
          <w:spacing w:val="6"/>
          <w:highlight w:val="none"/>
        </w:rPr>
        <w:t>预计优化效果和实施时间表</w:t>
      </w:r>
    </w:p>
    <w:p>
      <w:pPr>
        <w:pStyle w:val="13"/>
        <w:numPr>
          <w:ilvl w:val="0"/>
          <w:numId w:val="5"/>
        </w:numPr>
        <w:spacing w:beforeAutospacing="0" w:afterAutospacing="0" w:line="360" w:lineRule="auto"/>
        <w:ind w:left="0"/>
        <w:rPr>
          <w:rFonts w:hAnsi="宋体" w:cs="宋体"/>
          <w:highlight w:val="none"/>
        </w:rPr>
      </w:pPr>
      <w:r>
        <w:rPr>
          <w:rStyle w:val="18"/>
          <w:rFonts w:hint="eastAsia" w:hAnsi="宋体" w:cs="宋体"/>
          <w:bCs/>
          <w:spacing w:val="6"/>
          <w:highlight w:val="none"/>
        </w:rPr>
        <w:t>结论</w:t>
      </w:r>
      <w:r>
        <w:rPr>
          <w:rFonts w:hint="eastAsia" w:hAnsi="宋体" w:cs="宋体"/>
          <w:spacing w:val="6"/>
          <w:highlight w:val="none"/>
        </w:rPr>
        <w:t>：</w:t>
      </w:r>
    </w:p>
    <w:p>
      <w:pPr>
        <w:widowControl/>
        <w:spacing w:line="360" w:lineRule="auto"/>
        <w:ind w:left="240" w:leftChars="100"/>
        <w:rPr>
          <w:rFonts w:hAnsi="宋体" w:cs="宋体"/>
          <w:spacing w:val="6"/>
          <w:highlight w:val="none"/>
        </w:rPr>
      </w:pPr>
      <w:r>
        <w:rPr>
          <w:rFonts w:hint="eastAsia" w:hAnsi="宋体" w:cs="宋体"/>
          <w:spacing w:val="6"/>
          <w:highlight w:val="none"/>
        </w:rPr>
        <w:t>系统是否满足既定的性能标准</w:t>
      </w:r>
    </w:p>
    <w:p>
      <w:pPr>
        <w:widowControl/>
        <w:spacing w:line="360" w:lineRule="auto"/>
        <w:ind w:left="240" w:leftChars="100"/>
        <w:rPr>
          <w:rFonts w:hAnsi="宋体" w:cs="宋体"/>
          <w:spacing w:val="6"/>
          <w:highlight w:val="none"/>
        </w:rPr>
      </w:pPr>
      <w:r>
        <w:rPr>
          <w:rFonts w:hint="eastAsia" w:hAnsi="宋体" w:cs="宋体"/>
          <w:spacing w:val="6"/>
          <w:highlight w:val="none"/>
        </w:rPr>
        <w:t>是否存在需要立即解决的问题</w:t>
      </w:r>
    </w:p>
    <w:p>
      <w:pPr>
        <w:pStyle w:val="13"/>
        <w:numPr>
          <w:ilvl w:val="0"/>
          <w:numId w:val="5"/>
        </w:numPr>
        <w:spacing w:beforeAutospacing="0" w:afterAutospacing="0" w:line="360" w:lineRule="auto"/>
        <w:ind w:left="0"/>
        <w:rPr>
          <w:rFonts w:hAnsi="宋体" w:cs="宋体"/>
          <w:highlight w:val="none"/>
        </w:rPr>
      </w:pPr>
      <w:r>
        <w:rPr>
          <w:rStyle w:val="18"/>
          <w:rFonts w:hint="eastAsia" w:hAnsi="宋体" w:cs="宋体"/>
          <w:bCs/>
          <w:spacing w:val="6"/>
          <w:highlight w:val="none"/>
        </w:rPr>
        <w:t>附件</w:t>
      </w:r>
      <w:r>
        <w:rPr>
          <w:rFonts w:hint="eastAsia" w:hAnsi="宋体" w:cs="宋体"/>
          <w:spacing w:val="6"/>
          <w:highlight w:val="none"/>
        </w:rPr>
        <w:t>：</w:t>
      </w:r>
    </w:p>
    <w:p>
      <w:pPr>
        <w:widowControl/>
        <w:spacing w:line="360" w:lineRule="auto"/>
        <w:ind w:left="240" w:leftChars="100"/>
        <w:rPr>
          <w:rFonts w:hAnsi="宋体" w:cs="宋体"/>
          <w:spacing w:val="6"/>
          <w:highlight w:val="none"/>
        </w:rPr>
      </w:pPr>
      <w:r>
        <w:rPr>
          <w:rFonts w:hint="eastAsia" w:hAnsi="宋体" w:cs="宋体"/>
          <w:spacing w:val="6"/>
          <w:highlight w:val="none"/>
        </w:rPr>
        <w:t>监测数据图表</w:t>
      </w:r>
    </w:p>
    <w:p>
      <w:pPr>
        <w:widowControl/>
        <w:spacing w:line="360" w:lineRule="auto"/>
        <w:ind w:left="240" w:leftChars="100"/>
        <w:rPr>
          <w:rFonts w:hAnsi="宋体" w:cs="宋体"/>
          <w:spacing w:val="6"/>
          <w:highlight w:val="none"/>
        </w:rPr>
      </w:pPr>
      <w:r>
        <w:rPr>
          <w:rFonts w:hint="eastAsia" w:hAnsi="宋体" w:cs="宋体"/>
          <w:spacing w:val="6"/>
          <w:highlight w:val="none"/>
        </w:rPr>
        <w:t>日志文件摘要</w:t>
      </w:r>
    </w:p>
    <w:p>
      <w:pPr>
        <w:widowControl/>
        <w:spacing w:line="360" w:lineRule="auto"/>
        <w:ind w:left="240" w:leftChars="100"/>
        <w:rPr>
          <w:rFonts w:hAnsi="宋体" w:cs="宋体"/>
          <w:spacing w:val="6"/>
          <w:sz w:val="21"/>
          <w:szCs w:val="21"/>
          <w:highlight w:val="none"/>
        </w:rPr>
      </w:pPr>
      <w:r>
        <w:rPr>
          <w:rFonts w:hint="eastAsia" w:hAnsi="宋体" w:cs="宋体"/>
          <w:spacing w:val="6"/>
          <w:sz w:val="21"/>
          <w:szCs w:val="21"/>
          <w:highlight w:val="none"/>
        </w:rPr>
        <w:t>相关技术文档引用</w:t>
      </w:r>
    </w:p>
    <w:p>
      <w:pPr>
        <w:widowControl/>
        <w:spacing w:line="360" w:lineRule="auto"/>
        <w:rPr>
          <w:rFonts w:hAnsi="宋体" w:cs="宋体"/>
          <w:highlight w:val="none"/>
        </w:rPr>
      </w:pPr>
    </w:p>
    <w:p>
      <w:pPr>
        <w:widowControl/>
        <w:spacing w:line="360" w:lineRule="auto"/>
        <w:rPr>
          <w:rFonts w:hAnsi="宋体" w:cs="宋体"/>
          <w:highlight w:val="none"/>
        </w:rPr>
      </w:pPr>
      <w:r>
        <w:rPr>
          <w:rFonts w:hint="eastAsia" w:hAnsi="宋体" w:cs="宋体"/>
          <w:highlight w:val="none"/>
        </w:rPr>
        <w:br w:type="page"/>
      </w:r>
    </w:p>
    <w:p>
      <w:pPr>
        <w:pStyle w:val="3"/>
        <w:spacing w:before="0" w:after="0"/>
        <w:jc w:val="center"/>
        <w:rPr>
          <w:rFonts w:hAnsi="宋体" w:cs="宋体"/>
          <w:szCs w:val="32"/>
          <w:highlight w:val="none"/>
        </w:rPr>
      </w:pPr>
      <w:bookmarkStart w:id="11" w:name="_Toc27990830"/>
      <w:bookmarkStart w:id="12" w:name="_Toc29476692"/>
      <w:r>
        <w:rPr>
          <w:rFonts w:hint="eastAsia" w:hAnsi="宋体" w:cs="宋体"/>
          <w:szCs w:val="32"/>
          <w:highlight w:val="none"/>
        </w:rPr>
        <w:t>第三章 合同条款</w:t>
      </w:r>
      <w:bookmarkEnd w:id="11"/>
      <w:bookmarkEnd w:id="12"/>
    </w:p>
    <w:p>
      <w:pPr>
        <w:wordWrap w:val="0"/>
        <w:spacing w:line="360" w:lineRule="auto"/>
        <w:jc w:val="righ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合同编号：</w:t>
      </w:r>
      <w:r>
        <w:rPr>
          <w:color w:val="000000" w:themeColor="text1"/>
          <w:highlight w:val="none"/>
          <w14:textFill>
            <w14:solidFill>
              <w14:schemeClr w14:val="tx1"/>
            </w14:solidFill>
          </w14:textFill>
        </w:rPr>
        <w:t xml:space="preserve">     </w:t>
      </w:r>
    </w:p>
    <w:p>
      <w:pPr>
        <w:spacing w:line="360" w:lineRule="auto"/>
        <w:jc w:val="center"/>
        <w:rPr>
          <w:color w:val="000000" w:themeColor="text1"/>
          <w:highlight w:val="none"/>
          <w14:textFill>
            <w14:solidFill>
              <w14:schemeClr w14:val="tx1"/>
            </w14:solidFill>
          </w14:textFill>
        </w:rPr>
      </w:pPr>
    </w:p>
    <w:p>
      <w:pPr>
        <w:spacing w:line="360" w:lineRule="auto"/>
        <w:jc w:val="center"/>
        <w:rPr>
          <w:color w:val="000000" w:themeColor="text1"/>
          <w:highlight w:val="none"/>
          <w14:textFill>
            <w14:solidFill>
              <w14:schemeClr w14:val="tx1"/>
            </w14:solidFill>
          </w14:textFill>
        </w:rPr>
      </w:pPr>
    </w:p>
    <w:p>
      <w:pPr>
        <w:spacing w:line="360" w:lineRule="auto"/>
        <w:jc w:val="center"/>
        <w:rPr>
          <w:color w:val="000000" w:themeColor="text1"/>
          <w:highlight w:val="none"/>
          <w14:textFill>
            <w14:solidFill>
              <w14:schemeClr w14:val="tx1"/>
            </w14:solidFill>
          </w14:textFill>
        </w:rPr>
      </w:pPr>
    </w:p>
    <w:p>
      <w:pPr>
        <w:spacing w:line="840" w:lineRule="exact"/>
        <w:rPr>
          <w:color w:val="000000" w:themeColor="text1"/>
          <w:highlight w:val="none"/>
          <w14:textFill>
            <w14:solidFill>
              <w14:schemeClr w14:val="tx1"/>
            </w14:solidFill>
          </w14:textFill>
        </w:rPr>
      </w:pPr>
    </w:p>
    <w:p>
      <w:pPr>
        <w:spacing w:line="480" w:lineRule="auto"/>
        <w:ind w:left="-142" w:leftChars="-59"/>
        <w:jc w:val="center"/>
        <w:rPr>
          <w:rFonts w:ascii="Times New Roman"/>
          <w:b/>
          <w:sz w:val="44"/>
          <w:szCs w:val="44"/>
          <w:highlight w:val="none"/>
        </w:rPr>
      </w:pPr>
      <w:r>
        <w:rPr>
          <w:rFonts w:hint="eastAsia" w:ascii="Times New Roman"/>
          <w:b/>
          <w:sz w:val="44"/>
          <w:szCs w:val="44"/>
          <w:highlight w:val="none"/>
        </w:rPr>
        <w:t>东莞市水务集团有限公司</w:t>
      </w:r>
    </w:p>
    <w:p>
      <w:pPr>
        <w:spacing w:line="480" w:lineRule="auto"/>
        <w:ind w:left="-142" w:leftChars="-59"/>
        <w:jc w:val="center"/>
        <w:rPr>
          <w:rFonts w:ascii="Times New Roman"/>
          <w:b/>
          <w:sz w:val="44"/>
          <w:szCs w:val="44"/>
          <w:highlight w:val="none"/>
        </w:rPr>
      </w:pPr>
      <w:r>
        <w:rPr>
          <w:rFonts w:hint="eastAsia" w:ascii="Times New Roman"/>
          <w:b/>
          <w:sz w:val="44"/>
          <w:szCs w:val="44"/>
          <w:highlight w:val="none"/>
        </w:rPr>
        <w:t>OA系统信息安全加固项目合同</w:t>
      </w:r>
    </w:p>
    <w:p>
      <w:pPr>
        <w:spacing w:line="360" w:lineRule="auto"/>
        <w:rPr>
          <w:rFonts w:ascii="Times New Roman"/>
          <w:highlight w:val="none"/>
        </w:rPr>
      </w:pPr>
    </w:p>
    <w:p>
      <w:pPr>
        <w:spacing w:line="360" w:lineRule="auto"/>
        <w:rPr>
          <w:rFonts w:ascii="Times New Roman"/>
          <w:highlight w:val="none"/>
        </w:rPr>
      </w:pPr>
    </w:p>
    <w:p>
      <w:pPr>
        <w:spacing w:line="360" w:lineRule="auto"/>
        <w:rPr>
          <w:rFonts w:ascii="Times New Roman"/>
          <w:highlight w:val="none"/>
        </w:rPr>
      </w:pPr>
    </w:p>
    <w:p>
      <w:pPr>
        <w:spacing w:line="360" w:lineRule="auto"/>
        <w:jc w:val="center"/>
        <w:rPr>
          <w:rFonts w:ascii="Times New Roman"/>
          <w:highlight w:val="none"/>
        </w:rPr>
      </w:pPr>
    </w:p>
    <w:p>
      <w:pPr>
        <w:spacing w:line="360" w:lineRule="auto"/>
        <w:jc w:val="center"/>
        <w:rPr>
          <w:rFonts w:ascii="Times New Roman"/>
          <w:highlight w:val="none"/>
        </w:rPr>
      </w:pPr>
    </w:p>
    <w:p>
      <w:pPr>
        <w:spacing w:line="360" w:lineRule="auto"/>
        <w:jc w:val="center"/>
        <w:rPr>
          <w:rFonts w:ascii="Times New Roman"/>
          <w:highlight w:val="none"/>
        </w:rPr>
      </w:pPr>
    </w:p>
    <w:p>
      <w:pPr>
        <w:spacing w:line="360" w:lineRule="auto"/>
        <w:rPr>
          <w:rFonts w:ascii="Times New Roman"/>
          <w:highlight w:val="none"/>
        </w:rPr>
      </w:pPr>
    </w:p>
    <w:p>
      <w:pPr>
        <w:spacing w:line="360" w:lineRule="auto"/>
        <w:jc w:val="center"/>
        <w:rPr>
          <w:rFonts w:ascii="Times New Roman"/>
          <w:highlight w:val="none"/>
        </w:rPr>
      </w:pPr>
    </w:p>
    <w:p>
      <w:pPr>
        <w:spacing w:line="360" w:lineRule="auto"/>
        <w:rPr>
          <w:rFonts w:ascii="Times New Roman"/>
          <w:highlight w:val="none"/>
        </w:rPr>
      </w:pPr>
      <w:r>
        <w:rPr>
          <w:rFonts w:hint="eastAsia" w:ascii="Times New Roman"/>
          <w:sz w:val="30"/>
          <w:szCs w:val="30"/>
          <w:highlight w:val="none"/>
        </w:rPr>
        <w:t xml:space="preserve">                             </w:t>
      </w:r>
    </w:p>
    <w:p>
      <w:pPr>
        <w:spacing w:line="360" w:lineRule="auto"/>
        <w:rPr>
          <w:rFonts w:ascii="Times New Roman"/>
          <w:highlight w:val="none"/>
        </w:rPr>
      </w:pPr>
    </w:p>
    <w:p>
      <w:pPr>
        <w:spacing w:line="360" w:lineRule="auto"/>
        <w:ind w:firstLine="1800" w:firstLineChars="600"/>
        <w:rPr>
          <w:rFonts w:ascii="Times New Roman"/>
          <w:b/>
          <w:bCs/>
          <w:sz w:val="30"/>
          <w:szCs w:val="30"/>
          <w:highlight w:val="none"/>
          <w:u w:val="single"/>
        </w:rPr>
      </w:pPr>
      <w:r>
        <w:rPr>
          <w:rFonts w:hint="eastAsia" w:ascii="Times New Roman"/>
          <w:sz w:val="30"/>
          <w:szCs w:val="30"/>
          <w:highlight w:val="none"/>
        </w:rPr>
        <w:t>甲方：</w:t>
      </w:r>
      <w:r>
        <w:rPr>
          <w:rFonts w:hint="eastAsia" w:ascii="Times New Roman"/>
          <w:sz w:val="30"/>
          <w:szCs w:val="30"/>
          <w:highlight w:val="none"/>
          <w:u w:val="single"/>
        </w:rPr>
        <w:t xml:space="preserve">                               </w:t>
      </w:r>
    </w:p>
    <w:p>
      <w:pPr>
        <w:spacing w:line="360" w:lineRule="auto"/>
        <w:ind w:firstLine="1800" w:firstLineChars="600"/>
        <w:rPr>
          <w:rFonts w:ascii="Times New Roman"/>
          <w:sz w:val="30"/>
          <w:szCs w:val="30"/>
          <w:highlight w:val="none"/>
        </w:rPr>
      </w:pPr>
    </w:p>
    <w:p>
      <w:pPr>
        <w:spacing w:line="360" w:lineRule="auto"/>
        <w:ind w:firstLine="1800" w:firstLineChars="600"/>
        <w:rPr>
          <w:rFonts w:ascii="Times New Roman"/>
          <w:sz w:val="30"/>
          <w:szCs w:val="30"/>
          <w:highlight w:val="none"/>
        </w:rPr>
      </w:pPr>
      <w:r>
        <w:rPr>
          <w:rFonts w:hint="eastAsia" w:ascii="Times New Roman"/>
          <w:sz w:val="30"/>
          <w:szCs w:val="30"/>
          <w:highlight w:val="none"/>
        </w:rPr>
        <w:t>乙方：</w:t>
      </w:r>
      <w:r>
        <w:rPr>
          <w:rFonts w:ascii="Times New Roman"/>
          <w:color w:val="000000"/>
          <w:sz w:val="30"/>
          <w:szCs w:val="30"/>
          <w:highlight w:val="none"/>
        </w:rPr>
        <w:t xml:space="preserve"> </w:t>
      </w:r>
      <w:r>
        <w:rPr>
          <w:rFonts w:ascii="Times New Roman"/>
          <w:color w:val="000000"/>
          <w:sz w:val="30"/>
          <w:szCs w:val="30"/>
          <w:highlight w:val="none"/>
          <w:u w:val="single"/>
        </w:rPr>
        <w:t xml:space="preserve">     </w:t>
      </w:r>
      <w:r>
        <w:rPr>
          <w:rFonts w:hint="eastAsia" w:ascii="Times New Roman"/>
          <w:color w:val="000000"/>
          <w:sz w:val="30"/>
          <w:szCs w:val="30"/>
          <w:highlight w:val="none"/>
          <w:u w:val="single"/>
        </w:rPr>
        <w:t xml:space="preserve">                         </w:t>
      </w:r>
      <w:r>
        <w:rPr>
          <w:rFonts w:ascii="Times New Roman"/>
          <w:color w:val="000000"/>
          <w:sz w:val="30"/>
          <w:szCs w:val="30"/>
          <w:highlight w:val="none"/>
          <w:u w:val="single"/>
        </w:rPr>
        <w:t xml:space="preserve"> </w:t>
      </w:r>
    </w:p>
    <w:p>
      <w:pPr>
        <w:spacing w:line="360" w:lineRule="auto"/>
        <w:rPr>
          <w:rFonts w:ascii="Times New Roman"/>
          <w:sz w:val="30"/>
          <w:szCs w:val="30"/>
          <w:highlight w:val="none"/>
          <w:u w:val="single"/>
        </w:rPr>
      </w:pPr>
    </w:p>
    <w:p>
      <w:pPr>
        <w:spacing w:line="360" w:lineRule="auto"/>
        <w:ind w:firstLine="1800" w:firstLineChars="600"/>
        <w:rPr>
          <w:rFonts w:ascii="Times New Roman"/>
          <w:highlight w:val="none"/>
        </w:rPr>
      </w:pPr>
      <w:r>
        <w:rPr>
          <w:rFonts w:hint="eastAsia" w:ascii="Times New Roman"/>
          <w:sz w:val="30"/>
          <w:szCs w:val="30"/>
          <w:highlight w:val="none"/>
        </w:rPr>
        <w:t>签订日期：</w:t>
      </w:r>
      <w:r>
        <w:rPr>
          <w:rFonts w:ascii="Times New Roman"/>
          <w:highlight w:val="none"/>
        </w:rPr>
        <w:t xml:space="preserve"> </w:t>
      </w:r>
      <w:r>
        <w:rPr>
          <w:rFonts w:ascii="Times New Roman"/>
          <w:highlight w:val="none"/>
        </w:rPr>
        <w:br w:type="page"/>
      </w:r>
      <w:r>
        <w:rPr>
          <w:rFonts w:hint="eastAsia" w:ascii="Times New Roman"/>
          <w:b/>
          <w:bCs/>
          <w:highlight w:val="none"/>
        </w:rPr>
        <w:t>甲</w:t>
      </w:r>
      <w:r>
        <w:rPr>
          <w:rFonts w:hint="eastAsia" w:ascii="Times New Roman"/>
          <w:b/>
          <w:highlight w:val="none"/>
        </w:rPr>
        <w:t>方：</w:t>
      </w:r>
      <w:r>
        <w:rPr>
          <w:rFonts w:hint="eastAsia" w:ascii="Times New Roman"/>
          <w:highlight w:val="none"/>
          <w:u w:val="single"/>
        </w:rPr>
        <w:t>东莞市水务集团有限公司</w:t>
      </w:r>
    </w:p>
    <w:p>
      <w:pPr>
        <w:spacing w:line="360" w:lineRule="auto"/>
        <w:rPr>
          <w:rFonts w:ascii="Times New Roman"/>
          <w:highlight w:val="none"/>
        </w:rPr>
      </w:pPr>
      <w:r>
        <w:rPr>
          <w:rFonts w:hint="eastAsia" w:ascii="Times New Roman"/>
          <w:highlight w:val="none"/>
        </w:rPr>
        <w:t>地址：</w:t>
      </w:r>
      <w:r>
        <w:rPr>
          <w:rFonts w:hint="eastAsia" w:ascii="Times New Roman"/>
          <w:highlight w:val="none"/>
          <w:u w:val="single"/>
        </w:rPr>
        <w:t xml:space="preserve">东莞市东城街道育华路1号 </w:t>
      </w:r>
      <w:r>
        <w:rPr>
          <w:rFonts w:hint="eastAsia" w:ascii="Times New Roman"/>
          <w:highlight w:val="none"/>
        </w:rPr>
        <w:t xml:space="preserve"> </w:t>
      </w:r>
    </w:p>
    <w:p>
      <w:pPr>
        <w:spacing w:line="360" w:lineRule="auto"/>
        <w:rPr>
          <w:rFonts w:ascii="Times New Roman"/>
          <w:color w:val="000000"/>
          <w:highlight w:val="none"/>
        </w:rPr>
      </w:pPr>
      <w:r>
        <w:rPr>
          <w:rFonts w:hint="eastAsia" w:ascii="Times New Roman"/>
          <w:b/>
          <w:color w:val="000000"/>
          <w:highlight w:val="none"/>
        </w:rPr>
        <w:t>乙方：</w:t>
      </w:r>
      <w:r>
        <w:rPr>
          <w:rFonts w:hint="eastAsia" w:ascii="Times New Roman"/>
          <w:bCs/>
          <w:color w:val="000000"/>
          <w:highlight w:val="none"/>
          <w:u w:val="single"/>
        </w:rPr>
        <w:t xml:space="preserve">                                              </w:t>
      </w:r>
    </w:p>
    <w:p>
      <w:pPr>
        <w:spacing w:line="360" w:lineRule="auto"/>
        <w:rPr>
          <w:rFonts w:ascii="Times New Roman"/>
          <w:color w:val="000000"/>
          <w:highlight w:val="none"/>
          <w:u w:val="single"/>
        </w:rPr>
      </w:pPr>
      <w:r>
        <w:rPr>
          <w:rFonts w:hint="eastAsia" w:ascii="Times New Roman"/>
          <w:color w:val="000000"/>
          <w:highlight w:val="none"/>
        </w:rPr>
        <w:t>地址：</w:t>
      </w:r>
      <w:r>
        <w:rPr>
          <w:rFonts w:hint="eastAsia" w:ascii="Times New Roman"/>
          <w:color w:val="000000"/>
          <w:highlight w:val="none"/>
          <w:u w:val="single"/>
        </w:rPr>
        <w:t xml:space="preserve">                                              </w:t>
      </w:r>
    </w:p>
    <w:p>
      <w:pPr>
        <w:spacing w:line="360" w:lineRule="auto"/>
        <w:ind w:firstLine="480" w:firstLineChars="200"/>
        <w:rPr>
          <w:rFonts w:ascii="Times New Roman"/>
          <w:highlight w:val="none"/>
        </w:rPr>
      </w:pPr>
    </w:p>
    <w:p>
      <w:pPr>
        <w:spacing w:line="360" w:lineRule="auto"/>
        <w:ind w:firstLine="480" w:firstLineChars="200"/>
        <w:rPr>
          <w:rFonts w:ascii="Times New Roman"/>
          <w:highlight w:val="none"/>
        </w:rPr>
      </w:pPr>
      <w:r>
        <w:rPr>
          <w:rFonts w:hint="eastAsia" w:ascii="Times New Roman"/>
          <w:highlight w:val="none"/>
        </w:rPr>
        <w:t>经甲方询价采购，现确定甲方向乙方采购</w:t>
      </w:r>
      <w:r>
        <w:rPr>
          <w:rFonts w:hint="eastAsia" w:ascii="Times New Roman"/>
          <w:highlight w:val="none"/>
          <w:u w:val="single"/>
        </w:rPr>
        <w:t>OA系统信息安全加固服务</w:t>
      </w:r>
      <w:r>
        <w:rPr>
          <w:rFonts w:hint="eastAsia" w:ascii="Times New Roman"/>
          <w:highlight w:val="none"/>
        </w:rPr>
        <w:t>。根据《中华人民共和国民法典》等法律、法规的规定，经双方平等协商，双方就</w:t>
      </w:r>
      <w:r>
        <w:rPr>
          <w:rFonts w:hint="eastAsia" w:ascii="Times New Roman"/>
          <w:highlight w:val="none"/>
          <w:u w:val="single"/>
        </w:rPr>
        <w:t>OA系统信息安全加固服务</w:t>
      </w:r>
      <w:r>
        <w:rPr>
          <w:rFonts w:hint="eastAsia" w:ascii="Times New Roman"/>
          <w:highlight w:val="none"/>
        </w:rPr>
        <w:t>（以下称</w:t>
      </w:r>
      <w:r>
        <w:rPr>
          <w:rFonts w:ascii="Times New Roman"/>
          <w:highlight w:val="none"/>
        </w:rPr>
        <w:t>“</w:t>
      </w:r>
      <w:r>
        <w:rPr>
          <w:rFonts w:hint="eastAsia" w:ascii="Times New Roman"/>
          <w:highlight w:val="none"/>
        </w:rPr>
        <w:t>服务</w:t>
      </w:r>
      <w:r>
        <w:rPr>
          <w:rFonts w:ascii="Times New Roman"/>
          <w:highlight w:val="none"/>
        </w:rPr>
        <w:t>”</w:t>
      </w:r>
      <w:r>
        <w:rPr>
          <w:rFonts w:hint="eastAsia" w:ascii="Times New Roman"/>
          <w:highlight w:val="none"/>
        </w:rPr>
        <w:t>）采购事宜，签订本合同。</w:t>
      </w:r>
    </w:p>
    <w:p>
      <w:pPr>
        <w:spacing w:line="360" w:lineRule="auto"/>
        <w:ind w:firstLine="480" w:firstLineChars="200"/>
        <w:rPr>
          <w:rFonts w:ascii="Times New Roman"/>
          <w:highlight w:val="none"/>
        </w:rPr>
      </w:pPr>
    </w:p>
    <w:p>
      <w:pPr>
        <w:autoSpaceDE/>
        <w:autoSpaceDN/>
        <w:adjustRightInd/>
        <w:spacing w:line="360" w:lineRule="auto"/>
        <w:ind w:left="-2" w:leftChars="-1" w:firstLine="2"/>
        <w:jc w:val="both"/>
        <w:outlineLvl w:val="1"/>
        <w:rPr>
          <w:rFonts w:ascii="Times New Roman"/>
          <w:b/>
          <w:highlight w:val="none"/>
        </w:rPr>
      </w:pPr>
      <w:bookmarkStart w:id="13" w:name="_Toc27495478"/>
      <w:r>
        <w:rPr>
          <w:rFonts w:hint="eastAsia" w:ascii="Times New Roman"/>
          <w:b/>
          <w:highlight w:val="none"/>
        </w:rPr>
        <w:t>第一条 采购服务清单</w:t>
      </w:r>
      <w:bookmarkEnd w:id="13"/>
    </w:p>
    <w:p>
      <w:pPr>
        <w:spacing w:line="360" w:lineRule="auto"/>
        <w:ind w:firstLine="480" w:firstLineChars="200"/>
        <w:rPr>
          <w:rFonts w:ascii="Times New Roman"/>
          <w:highlight w:val="none"/>
        </w:rPr>
      </w:pPr>
      <w:r>
        <w:rPr>
          <w:rFonts w:hint="eastAsia" w:ascii="Times New Roman"/>
          <w:highlight w:val="none"/>
        </w:rPr>
        <w:t>服务内容为对甲方</w:t>
      </w:r>
      <w:r>
        <w:rPr>
          <w:rFonts w:hint="eastAsia" w:ascii="Times New Roman"/>
          <w:highlight w:val="none"/>
          <w:u w:val="single"/>
        </w:rPr>
        <w:t>OA系统（致远A8+集团版V8.1SP1）</w:t>
      </w:r>
      <w:r>
        <w:rPr>
          <w:rFonts w:hint="eastAsia" w:ascii="Times New Roman"/>
          <w:highlight w:val="none"/>
        </w:rPr>
        <w:t>进行信息安全加固工作，主要工作包括以下内容：</w:t>
      </w:r>
    </w:p>
    <w:p>
      <w:pPr>
        <w:spacing w:line="360" w:lineRule="auto"/>
        <w:ind w:firstLine="482" w:firstLineChars="200"/>
        <w:rPr>
          <w:rFonts w:ascii="Times New Roman"/>
          <w:b/>
          <w:bCs/>
          <w:highlight w:val="none"/>
        </w:rPr>
      </w:pPr>
      <w:r>
        <w:rPr>
          <w:rFonts w:hint="eastAsia" w:ascii="Times New Roman"/>
          <w:b/>
          <w:bCs/>
          <w:highlight w:val="none"/>
        </w:rPr>
        <w:t>（一）系统升级</w:t>
      </w:r>
    </w:p>
    <w:p>
      <w:pPr>
        <w:spacing w:line="360" w:lineRule="auto"/>
        <w:ind w:firstLine="480" w:firstLineChars="200"/>
        <w:rPr>
          <w:rFonts w:ascii="Times New Roman"/>
          <w:highlight w:val="none"/>
        </w:rPr>
      </w:pPr>
      <w:r>
        <w:rPr>
          <w:rFonts w:hint="eastAsia" w:ascii="Times New Roman"/>
          <w:highlight w:val="none"/>
        </w:rPr>
        <w:t>版本升级：OA系统现版本致远A8+集团版V8.1SP1，升级后确保OA系统兼容已通过国家安全可靠测评的芯片、操作系统和数据库软件，符合国家安全可靠的标准。</w:t>
      </w:r>
    </w:p>
    <w:p>
      <w:pPr>
        <w:spacing w:line="360" w:lineRule="auto"/>
        <w:ind w:firstLine="482" w:firstLineChars="200"/>
        <w:rPr>
          <w:rFonts w:ascii="Times New Roman"/>
          <w:b/>
          <w:bCs/>
          <w:highlight w:val="none"/>
        </w:rPr>
      </w:pPr>
      <w:r>
        <w:rPr>
          <w:rFonts w:hint="eastAsia" w:ascii="Times New Roman"/>
          <w:b/>
          <w:bCs/>
          <w:highlight w:val="none"/>
        </w:rPr>
        <w:t>（二）系统迁移服务</w:t>
      </w:r>
    </w:p>
    <w:p>
      <w:pPr>
        <w:spacing w:line="360" w:lineRule="auto"/>
        <w:ind w:firstLine="480" w:firstLineChars="200"/>
        <w:rPr>
          <w:rFonts w:ascii="Times New Roman"/>
          <w:highlight w:val="none"/>
        </w:rPr>
      </w:pPr>
      <w:r>
        <w:rPr>
          <w:rFonts w:hint="eastAsia" w:ascii="Times New Roman"/>
          <w:highlight w:val="none"/>
        </w:rPr>
        <w:t>1、迁移到虎门临时数据中心</w:t>
      </w:r>
    </w:p>
    <w:p>
      <w:pPr>
        <w:spacing w:line="360" w:lineRule="auto"/>
        <w:ind w:firstLine="480" w:firstLineChars="200"/>
        <w:rPr>
          <w:rFonts w:ascii="Times New Roman"/>
          <w:highlight w:val="none"/>
        </w:rPr>
      </w:pPr>
      <w:r>
        <w:rPr>
          <w:rFonts w:hint="eastAsia" w:ascii="Times New Roman"/>
          <w:highlight w:val="none"/>
        </w:rPr>
        <w:t>（1）应用迁移：将应用从甲方当前集团本部迁移到虎门临时数据中心。</w:t>
      </w:r>
    </w:p>
    <w:p>
      <w:pPr>
        <w:spacing w:line="360" w:lineRule="auto"/>
        <w:ind w:firstLine="480" w:firstLineChars="200"/>
        <w:rPr>
          <w:rFonts w:ascii="Times New Roman"/>
          <w:highlight w:val="none"/>
        </w:rPr>
      </w:pPr>
      <w:r>
        <w:rPr>
          <w:rFonts w:hint="eastAsia" w:ascii="Times New Roman"/>
          <w:highlight w:val="none"/>
        </w:rPr>
        <w:t>（2）数据迁移：包括数据库数据迁移和文件数据迁移，当前OA系统的数据库数据要从原Oracle 11g数据库迁移到人大金仓KingbaseES V8数据库；文件迁移，要求从甲方集团原NAS盘迁移到新的文件存储环境中。</w:t>
      </w:r>
    </w:p>
    <w:p>
      <w:pPr>
        <w:spacing w:line="360" w:lineRule="auto"/>
        <w:ind w:firstLine="480" w:firstLineChars="200"/>
        <w:rPr>
          <w:rFonts w:ascii="Times New Roman"/>
          <w:highlight w:val="none"/>
        </w:rPr>
      </w:pPr>
      <w:r>
        <w:rPr>
          <w:rFonts w:hint="eastAsia" w:ascii="Times New Roman"/>
          <w:highlight w:val="none"/>
        </w:rPr>
        <w:t>（3）集群部署：为了提高系统的可靠性和高可用性，需要在虎门临时数据中心实施OA系统集群部署，包括配置3个服务器形成一个集群，共同执行任务和分担负载。</w:t>
      </w:r>
    </w:p>
    <w:p>
      <w:pPr>
        <w:spacing w:line="360" w:lineRule="auto"/>
        <w:ind w:firstLine="480" w:firstLineChars="200"/>
        <w:rPr>
          <w:rFonts w:ascii="Times New Roman"/>
          <w:highlight w:val="none"/>
        </w:rPr>
      </w:pPr>
      <w:r>
        <w:rPr>
          <w:rFonts w:hint="eastAsia" w:ascii="Times New Roman"/>
          <w:highlight w:val="none"/>
        </w:rPr>
        <w:t>2、迁移到符合安全可靠测评设备环境</w:t>
      </w:r>
    </w:p>
    <w:p>
      <w:pPr>
        <w:spacing w:line="360" w:lineRule="auto"/>
        <w:ind w:firstLine="480" w:firstLineChars="200"/>
        <w:rPr>
          <w:rFonts w:ascii="Times New Roman"/>
          <w:highlight w:val="none"/>
        </w:rPr>
      </w:pPr>
      <w:r>
        <w:rPr>
          <w:rFonts w:hint="eastAsia" w:ascii="Times New Roman"/>
          <w:highlight w:val="none"/>
        </w:rPr>
        <w:t>（1）应用迁移：第二阶段的应用迁移涉及到将应用从虎门临时数据中心迁移到符合安全可靠测评设备环境。</w:t>
      </w:r>
    </w:p>
    <w:p>
      <w:pPr>
        <w:spacing w:line="360" w:lineRule="auto"/>
        <w:ind w:firstLine="480" w:firstLineChars="200"/>
        <w:rPr>
          <w:rFonts w:ascii="Times New Roman"/>
          <w:highlight w:val="none"/>
        </w:rPr>
      </w:pPr>
      <w:r>
        <w:rPr>
          <w:rFonts w:hint="eastAsia" w:ascii="Times New Roman"/>
          <w:highlight w:val="none"/>
        </w:rPr>
        <w:t>（2）数据迁移：数据迁移，要求将数据库从虎门临时数据中心迁移到符合安全可靠测评设备环境；文件迁移，要求从虎门临时数据中心迁移到符合安全可靠测评设备环境。</w:t>
      </w:r>
    </w:p>
    <w:p>
      <w:pPr>
        <w:spacing w:line="360" w:lineRule="auto"/>
        <w:ind w:firstLine="480" w:firstLineChars="200"/>
        <w:rPr>
          <w:rFonts w:ascii="Times New Roman"/>
          <w:highlight w:val="none"/>
        </w:rPr>
      </w:pPr>
      <w:r>
        <w:rPr>
          <w:rFonts w:hint="eastAsia" w:ascii="Times New Roman"/>
          <w:highlight w:val="none"/>
        </w:rPr>
        <w:t>（3）集群优化：在符合安全可靠测评设备环境进一步完善和优化集群部署。根据新数据中心的硬件和网络环境，调整集群配置，实现更高的服务可用性和灾难恢复能力。</w:t>
      </w:r>
    </w:p>
    <w:p>
      <w:pPr>
        <w:spacing w:line="360" w:lineRule="auto"/>
        <w:ind w:firstLine="482" w:firstLineChars="200"/>
        <w:rPr>
          <w:rFonts w:ascii="Times New Roman"/>
          <w:b/>
          <w:bCs/>
          <w:highlight w:val="none"/>
        </w:rPr>
      </w:pPr>
      <w:r>
        <w:rPr>
          <w:rFonts w:hint="eastAsia" w:ascii="Times New Roman"/>
          <w:b/>
          <w:bCs/>
          <w:highlight w:val="none"/>
        </w:rPr>
        <w:t>（三）系统优化</w:t>
      </w:r>
    </w:p>
    <w:p>
      <w:pPr>
        <w:spacing w:line="360" w:lineRule="auto"/>
        <w:ind w:firstLine="480" w:firstLineChars="200"/>
        <w:rPr>
          <w:rFonts w:ascii="Times New Roman"/>
          <w:highlight w:val="none"/>
        </w:rPr>
      </w:pPr>
      <w:r>
        <w:rPr>
          <w:rFonts w:hint="eastAsia" w:ascii="Times New Roman"/>
          <w:highlight w:val="none"/>
        </w:rPr>
        <w:t>1、在线文档插件升级：在线文档插件升级，改进用户在线预览文档和编辑文档的操作方式，提升Web端和移动端的兼容性和集成性，优化文档在线操作的体验。</w:t>
      </w:r>
    </w:p>
    <w:p>
      <w:pPr>
        <w:spacing w:line="360" w:lineRule="auto"/>
        <w:ind w:firstLine="480" w:firstLineChars="200"/>
        <w:rPr>
          <w:rFonts w:ascii="Times New Roman"/>
          <w:highlight w:val="none"/>
        </w:rPr>
      </w:pPr>
      <w:r>
        <w:rPr>
          <w:rFonts w:hint="eastAsia" w:ascii="Times New Roman"/>
          <w:highlight w:val="none"/>
        </w:rPr>
        <w:t>2、移动端零信任集成：在移动端集成深信服零信任网络访问功能，实现安全的内外网访问，保护移动用户的内部资源访问安全。</w:t>
      </w:r>
    </w:p>
    <w:p>
      <w:pPr>
        <w:spacing w:line="360" w:lineRule="auto"/>
        <w:ind w:firstLine="480" w:firstLineChars="200"/>
        <w:rPr>
          <w:rFonts w:ascii="Times New Roman"/>
          <w:highlight w:val="none"/>
        </w:rPr>
      </w:pPr>
      <w:r>
        <w:rPr>
          <w:rFonts w:hint="eastAsia" w:ascii="Times New Roman"/>
          <w:highlight w:val="none"/>
        </w:rPr>
        <w:t>3、统一认证集成：实现用户在通过OA门户单点登录后（包括移动端或电脑端），访问其他系统时应无需再次输入认证信息，实现无缝切换的体验。</w:t>
      </w:r>
    </w:p>
    <w:p>
      <w:pPr>
        <w:spacing w:line="360" w:lineRule="auto"/>
        <w:ind w:firstLine="482" w:firstLineChars="200"/>
        <w:rPr>
          <w:rFonts w:ascii="Times New Roman"/>
          <w:b/>
          <w:bCs/>
          <w:highlight w:val="none"/>
        </w:rPr>
      </w:pPr>
      <w:r>
        <w:rPr>
          <w:rFonts w:hint="eastAsia" w:ascii="Times New Roman"/>
          <w:b/>
          <w:bCs/>
          <w:highlight w:val="none"/>
        </w:rPr>
        <w:t>（四）项目内容清单</w:t>
      </w:r>
    </w:p>
    <w:tbl>
      <w:tblPr>
        <w:tblStyle w:val="16"/>
        <w:tblW w:w="82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254"/>
        <w:gridCol w:w="1767"/>
        <w:gridCol w:w="4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44" w:type="dxa"/>
            <w:shd w:val="clear" w:color="auto" w:fill="F1F1F1" w:themeFill="background1" w:themeFillShade="F2"/>
            <w:vAlign w:val="center"/>
          </w:tcPr>
          <w:p>
            <w:pPr>
              <w:tabs>
                <w:tab w:val="right" w:pos="9120"/>
              </w:tabs>
              <w:ind w:right="38"/>
              <w:jc w:val="center"/>
              <w:rPr>
                <w:rFonts w:ascii="仿宋" w:hAnsi="仿宋" w:eastAsia="仿宋" w:cs="仿宋"/>
                <w:b/>
                <w:bCs/>
                <w:highlight w:val="none"/>
              </w:rPr>
            </w:pPr>
            <w:r>
              <w:rPr>
                <w:rFonts w:hint="eastAsia" w:ascii="仿宋" w:hAnsi="仿宋" w:eastAsia="仿宋" w:cs="仿宋"/>
                <w:b/>
                <w:bCs/>
                <w:highlight w:val="none"/>
              </w:rPr>
              <w:t>序号</w:t>
            </w:r>
          </w:p>
        </w:tc>
        <w:tc>
          <w:tcPr>
            <w:tcW w:w="1254" w:type="dxa"/>
            <w:shd w:val="clear" w:color="auto" w:fill="F1F1F1" w:themeFill="background1" w:themeFillShade="F2"/>
            <w:vAlign w:val="center"/>
          </w:tcPr>
          <w:p>
            <w:pPr>
              <w:tabs>
                <w:tab w:val="right" w:pos="9120"/>
              </w:tabs>
              <w:ind w:right="38"/>
              <w:jc w:val="center"/>
              <w:rPr>
                <w:rFonts w:ascii="仿宋" w:hAnsi="仿宋" w:eastAsia="仿宋" w:cs="仿宋"/>
                <w:b/>
                <w:bCs/>
                <w:highlight w:val="none"/>
              </w:rPr>
            </w:pPr>
            <w:r>
              <w:rPr>
                <w:rFonts w:hint="eastAsia" w:ascii="仿宋" w:hAnsi="仿宋" w:eastAsia="仿宋" w:cs="仿宋"/>
                <w:b/>
                <w:bCs/>
                <w:highlight w:val="none"/>
              </w:rPr>
              <w:t>分类</w:t>
            </w:r>
          </w:p>
        </w:tc>
        <w:tc>
          <w:tcPr>
            <w:tcW w:w="1767" w:type="dxa"/>
            <w:shd w:val="clear" w:color="auto" w:fill="F1F1F1" w:themeFill="background1" w:themeFillShade="F2"/>
            <w:vAlign w:val="center"/>
          </w:tcPr>
          <w:p>
            <w:pPr>
              <w:tabs>
                <w:tab w:val="right" w:pos="9120"/>
              </w:tabs>
              <w:ind w:right="38"/>
              <w:jc w:val="center"/>
              <w:rPr>
                <w:rFonts w:ascii="仿宋" w:hAnsi="仿宋" w:eastAsia="仿宋" w:cs="仿宋"/>
                <w:b/>
                <w:bCs/>
                <w:highlight w:val="none"/>
              </w:rPr>
            </w:pPr>
            <w:r>
              <w:rPr>
                <w:rFonts w:hint="eastAsia" w:ascii="仿宋" w:hAnsi="仿宋" w:eastAsia="仿宋" w:cs="仿宋"/>
                <w:b/>
                <w:bCs/>
                <w:highlight w:val="none"/>
              </w:rPr>
              <w:t>内容</w:t>
            </w:r>
          </w:p>
        </w:tc>
        <w:tc>
          <w:tcPr>
            <w:tcW w:w="4436" w:type="dxa"/>
            <w:shd w:val="clear" w:color="auto" w:fill="F1F1F1" w:themeFill="background1" w:themeFillShade="F2"/>
            <w:vAlign w:val="center"/>
          </w:tcPr>
          <w:p>
            <w:pPr>
              <w:tabs>
                <w:tab w:val="right" w:pos="9120"/>
              </w:tabs>
              <w:ind w:right="38"/>
              <w:jc w:val="center"/>
              <w:rPr>
                <w:rFonts w:ascii="仿宋" w:hAnsi="仿宋" w:eastAsia="仿宋" w:cs="仿宋"/>
                <w:b/>
                <w:bCs/>
                <w:kern w:val="2"/>
                <w:highlight w:val="none"/>
              </w:rPr>
            </w:pPr>
            <w:r>
              <w:rPr>
                <w:rFonts w:hint="eastAsia" w:ascii="仿宋" w:hAnsi="仿宋" w:eastAsia="仿宋" w:cs="仿宋"/>
                <w:b/>
                <w:bCs/>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pPr>
              <w:tabs>
                <w:tab w:val="right" w:pos="9120"/>
              </w:tabs>
              <w:ind w:right="38"/>
              <w:jc w:val="center"/>
              <w:rPr>
                <w:rFonts w:ascii="仿宋" w:hAnsi="仿宋" w:eastAsia="仿宋" w:cs="仿宋"/>
                <w:color w:val="000000"/>
                <w:highlight w:val="none"/>
                <w:lang w:bidi="ar"/>
              </w:rPr>
            </w:pPr>
            <w:r>
              <w:rPr>
                <w:rFonts w:hint="eastAsia" w:ascii="仿宋" w:hAnsi="仿宋" w:eastAsia="仿宋" w:cs="仿宋"/>
                <w:color w:val="000000"/>
                <w:highlight w:val="none"/>
                <w:lang w:bidi="ar"/>
              </w:rPr>
              <w:t>1</w:t>
            </w:r>
          </w:p>
        </w:tc>
        <w:tc>
          <w:tcPr>
            <w:tcW w:w="1254" w:type="dxa"/>
            <w:vMerge w:val="restart"/>
            <w:vAlign w:val="center"/>
          </w:tcPr>
          <w:p>
            <w:pPr>
              <w:widowControl/>
              <w:jc w:val="center"/>
              <w:textAlignment w:val="center"/>
              <w:rPr>
                <w:rFonts w:ascii="仿宋" w:hAnsi="仿宋" w:eastAsia="仿宋" w:cs="仿宋"/>
                <w:color w:val="000000"/>
                <w:highlight w:val="none"/>
              </w:rPr>
            </w:pPr>
            <w:r>
              <w:rPr>
                <w:rFonts w:hint="eastAsia" w:ascii="仿宋" w:hAnsi="仿宋" w:eastAsia="仿宋" w:cs="仿宋"/>
                <w:highlight w:val="none"/>
              </w:rPr>
              <w:t>系统升级</w:t>
            </w:r>
          </w:p>
        </w:tc>
        <w:tc>
          <w:tcPr>
            <w:tcW w:w="1767" w:type="dxa"/>
            <w:vAlign w:val="center"/>
          </w:tcPr>
          <w:p>
            <w:pPr>
              <w:widowControl/>
              <w:jc w:val="center"/>
              <w:textAlignment w:val="center"/>
              <w:rPr>
                <w:rFonts w:ascii="仿宋" w:hAnsi="仿宋" w:eastAsia="仿宋" w:cs="仿宋"/>
                <w:highlight w:val="none"/>
              </w:rPr>
            </w:pPr>
            <w:r>
              <w:rPr>
                <w:rFonts w:hint="eastAsia" w:ascii="仿宋" w:hAnsi="仿宋" w:eastAsia="仿宋" w:cs="仿宋"/>
                <w:highlight w:val="none"/>
              </w:rPr>
              <w:t>版本升级</w:t>
            </w:r>
          </w:p>
        </w:tc>
        <w:tc>
          <w:tcPr>
            <w:tcW w:w="4436" w:type="dxa"/>
            <w:vAlign w:val="center"/>
          </w:tcPr>
          <w:p>
            <w:pPr>
              <w:tabs>
                <w:tab w:val="right" w:pos="9120"/>
              </w:tabs>
              <w:autoSpaceDE/>
              <w:autoSpaceDN/>
              <w:adjustRightInd/>
              <w:ind w:right="38"/>
              <w:rPr>
                <w:rFonts w:ascii="仿宋" w:hAnsi="仿宋" w:eastAsia="仿宋" w:cs="仿宋"/>
                <w:highlight w:val="none"/>
              </w:rPr>
            </w:pPr>
            <w:r>
              <w:rPr>
                <w:rFonts w:hint="eastAsia" w:ascii="仿宋" w:hAnsi="仿宋" w:eastAsia="仿宋" w:cs="仿宋"/>
                <w:highlight w:val="none"/>
              </w:rPr>
              <w:t>致远A8+集团版V8.1SP1升级到兼容已通过国家安全可靠测评的芯片、操作系统和数据库软件的最新版本。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pPr>
              <w:tabs>
                <w:tab w:val="right" w:pos="9120"/>
              </w:tabs>
              <w:ind w:right="38"/>
              <w:jc w:val="center"/>
              <w:rPr>
                <w:rFonts w:ascii="仿宋" w:hAnsi="仿宋" w:eastAsia="仿宋" w:cs="仿宋"/>
                <w:color w:val="000000"/>
                <w:highlight w:val="none"/>
                <w:lang w:bidi="ar"/>
              </w:rPr>
            </w:pPr>
            <w:r>
              <w:rPr>
                <w:rFonts w:hint="eastAsia" w:ascii="仿宋" w:hAnsi="仿宋" w:eastAsia="仿宋" w:cs="仿宋"/>
                <w:color w:val="000000"/>
                <w:highlight w:val="none"/>
                <w:lang w:bidi="ar"/>
              </w:rPr>
              <w:t>2</w:t>
            </w:r>
          </w:p>
        </w:tc>
        <w:tc>
          <w:tcPr>
            <w:tcW w:w="1254" w:type="dxa"/>
            <w:vMerge w:val="restart"/>
            <w:vAlign w:val="center"/>
          </w:tcPr>
          <w:p>
            <w:pPr>
              <w:widowControl/>
              <w:jc w:val="center"/>
              <w:textAlignment w:val="center"/>
              <w:rPr>
                <w:rFonts w:ascii="仿宋" w:hAnsi="仿宋" w:eastAsia="仿宋" w:cs="仿宋"/>
                <w:highlight w:val="none"/>
              </w:rPr>
            </w:pPr>
            <w:r>
              <w:rPr>
                <w:rFonts w:hint="eastAsia" w:ascii="仿宋" w:hAnsi="仿宋" w:eastAsia="仿宋" w:cs="仿宋"/>
                <w:highlight w:val="none"/>
              </w:rPr>
              <w:t>系统迁移服务</w:t>
            </w:r>
          </w:p>
        </w:tc>
        <w:tc>
          <w:tcPr>
            <w:tcW w:w="1767" w:type="dxa"/>
            <w:vAlign w:val="center"/>
          </w:tcPr>
          <w:p>
            <w:pPr>
              <w:widowControl/>
              <w:jc w:val="center"/>
              <w:textAlignment w:val="center"/>
              <w:rPr>
                <w:rFonts w:ascii="仿宋" w:hAnsi="仿宋" w:eastAsia="仿宋" w:cs="仿宋"/>
                <w:highlight w:val="none"/>
              </w:rPr>
            </w:pPr>
            <w:r>
              <w:rPr>
                <w:rFonts w:hint="eastAsia" w:ascii="仿宋" w:hAnsi="仿宋" w:eastAsia="仿宋" w:cs="仿宋"/>
                <w:highlight w:val="none"/>
              </w:rPr>
              <w:t>迁移到虎门临时数据中心</w:t>
            </w:r>
          </w:p>
        </w:tc>
        <w:tc>
          <w:tcPr>
            <w:tcW w:w="4436" w:type="dxa"/>
            <w:vAlign w:val="center"/>
          </w:tcPr>
          <w:p>
            <w:pPr>
              <w:tabs>
                <w:tab w:val="right" w:pos="9120"/>
              </w:tabs>
              <w:autoSpaceDE/>
              <w:autoSpaceDN/>
              <w:adjustRightInd/>
              <w:ind w:right="38"/>
              <w:rPr>
                <w:rFonts w:ascii="仿宋" w:hAnsi="仿宋" w:eastAsia="仿宋" w:cs="仿宋"/>
                <w:highlight w:val="none"/>
              </w:rPr>
            </w:pPr>
            <w:r>
              <w:rPr>
                <w:rFonts w:hint="eastAsia" w:ascii="仿宋" w:hAnsi="仿宋" w:eastAsia="仿宋" w:cs="仿宋"/>
                <w:highlight w:val="none"/>
              </w:rPr>
              <w:t>1.应用迁移：将应用从当前集团本部迁移到虎门临时数据中心。</w:t>
            </w:r>
          </w:p>
          <w:p>
            <w:pPr>
              <w:tabs>
                <w:tab w:val="right" w:pos="9120"/>
              </w:tabs>
              <w:autoSpaceDE/>
              <w:autoSpaceDN/>
              <w:adjustRightInd/>
              <w:ind w:right="38"/>
              <w:rPr>
                <w:rFonts w:ascii="仿宋" w:hAnsi="仿宋" w:eastAsia="仿宋" w:cs="仿宋"/>
                <w:highlight w:val="none"/>
              </w:rPr>
            </w:pPr>
            <w:r>
              <w:rPr>
                <w:rFonts w:hint="eastAsia" w:ascii="仿宋" w:hAnsi="仿宋" w:eastAsia="仿宋" w:cs="仿宋"/>
                <w:highlight w:val="none"/>
              </w:rPr>
              <w:t>2.数据迁移：将当前OA系统的数据（Oracle11g数据库数据和文件数据）迁移到迁移到虎门临时数据中心人大金仓数据库。</w:t>
            </w:r>
          </w:p>
          <w:p>
            <w:pPr>
              <w:tabs>
                <w:tab w:val="right" w:pos="9120"/>
              </w:tabs>
              <w:autoSpaceDE/>
              <w:autoSpaceDN/>
              <w:adjustRightInd/>
              <w:ind w:right="38"/>
              <w:rPr>
                <w:rFonts w:ascii="仿宋" w:hAnsi="仿宋" w:eastAsia="仿宋" w:cs="仿宋"/>
                <w:highlight w:val="none"/>
              </w:rPr>
            </w:pPr>
            <w:r>
              <w:rPr>
                <w:rFonts w:hint="eastAsia" w:ascii="仿宋" w:hAnsi="仿宋" w:eastAsia="仿宋" w:cs="仿宋"/>
                <w:highlight w:val="none"/>
              </w:rPr>
              <w:t>3.集群部署：实施3个服务器集群部署。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pPr>
              <w:tabs>
                <w:tab w:val="right" w:pos="9120"/>
              </w:tabs>
              <w:ind w:right="38"/>
              <w:jc w:val="center"/>
              <w:rPr>
                <w:rFonts w:ascii="仿宋" w:hAnsi="仿宋" w:eastAsia="仿宋" w:cs="仿宋"/>
                <w:color w:val="000000"/>
                <w:highlight w:val="none"/>
                <w:lang w:bidi="ar"/>
              </w:rPr>
            </w:pPr>
            <w:r>
              <w:rPr>
                <w:rFonts w:hint="eastAsia" w:ascii="仿宋" w:hAnsi="仿宋" w:eastAsia="仿宋" w:cs="仿宋"/>
                <w:color w:val="000000"/>
                <w:highlight w:val="none"/>
                <w:lang w:bidi="ar"/>
              </w:rPr>
              <w:t>3</w:t>
            </w:r>
          </w:p>
        </w:tc>
        <w:tc>
          <w:tcPr>
            <w:tcW w:w="1254" w:type="dxa"/>
            <w:vMerge w:val="continue"/>
            <w:vAlign w:val="center"/>
          </w:tcPr>
          <w:p>
            <w:pPr>
              <w:widowControl/>
              <w:jc w:val="center"/>
              <w:textAlignment w:val="center"/>
              <w:rPr>
                <w:rFonts w:ascii="仿宋" w:hAnsi="仿宋" w:eastAsia="仿宋" w:cs="仿宋"/>
                <w:highlight w:val="none"/>
              </w:rPr>
            </w:pPr>
          </w:p>
        </w:tc>
        <w:tc>
          <w:tcPr>
            <w:tcW w:w="1767" w:type="dxa"/>
            <w:vAlign w:val="center"/>
          </w:tcPr>
          <w:p>
            <w:pPr>
              <w:widowControl/>
              <w:jc w:val="center"/>
              <w:textAlignment w:val="center"/>
              <w:rPr>
                <w:rFonts w:ascii="仿宋" w:hAnsi="仿宋" w:eastAsia="仿宋" w:cs="仿宋"/>
                <w:highlight w:val="none"/>
              </w:rPr>
            </w:pPr>
            <w:r>
              <w:rPr>
                <w:rFonts w:hint="eastAsia" w:ascii="仿宋" w:hAnsi="仿宋" w:eastAsia="仿宋" w:cs="仿宋"/>
                <w:highlight w:val="none"/>
              </w:rPr>
              <w:t>迁移到符合安全可靠测评设备环境</w:t>
            </w:r>
          </w:p>
        </w:tc>
        <w:tc>
          <w:tcPr>
            <w:tcW w:w="4436" w:type="dxa"/>
            <w:vAlign w:val="center"/>
          </w:tcPr>
          <w:p>
            <w:pPr>
              <w:tabs>
                <w:tab w:val="right" w:pos="9120"/>
              </w:tabs>
              <w:autoSpaceDE/>
              <w:autoSpaceDN/>
              <w:adjustRightInd/>
              <w:ind w:right="38"/>
              <w:rPr>
                <w:rFonts w:ascii="仿宋" w:hAnsi="仿宋" w:eastAsia="仿宋" w:cs="仿宋"/>
                <w:highlight w:val="none"/>
              </w:rPr>
            </w:pPr>
            <w:r>
              <w:rPr>
                <w:rFonts w:hint="eastAsia" w:ascii="仿宋" w:hAnsi="仿宋" w:eastAsia="仿宋" w:cs="仿宋"/>
                <w:highlight w:val="none"/>
              </w:rPr>
              <w:t>1.应用迁移：将应用从虎门临时数据中心迁移到符合安全可靠测评设备环境。</w:t>
            </w:r>
          </w:p>
          <w:p>
            <w:pPr>
              <w:tabs>
                <w:tab w:val="right" w:pos="9120"/>
              </w:tabs>
              <w:autoSpaceDE/>
              <w:autoSpaceDN/>
              <w:adjustRightInd/>
              <w:ind w:right="38"/>
              <w:rPr>
                <w:rFonts w:ascii="仿宋" w:hAnsi="仿宋" w:eastAsia="仿宋" w:cs="仿宋"/>
                <w:highlight w:val="none"/>
              </w:rPr>
            </w:pPr>
            <w:r>
              <w:rPr>
                <w:rFonts w:hint="eastAsia" w:ascii="仿宋" w:hAnsi="仿宋" w:eastAsia="仿宋" w:cs="仿宋"/>
                <w:highlight w:val="none"/>
              </w:rPr>
              <w:t>2.数据迁移：将虎门临时数据中心的数据（包括数据库数据和文件数据）迁移到符合安全可靠测评设备环境。</w:t>
            </w:r>
          </w:p>
          <w:p>
            <w:pPr>
              <w:tabs>
                <w:tab w:val="right" w:pos="9120"/>
              </w:tabs>
              <w:autoSpaceDE/>
              <w:autoSpaceDN/>
              <w:adjustRightInd/>
              <w:ind w:right="38"/>
              <w:rPr>
                <w:rFonts w:ascii="仿宋" w:hAnsi="仿宋" w:eastAsia="仿宋" w:cs="仿宋"/>
                <w:highlight w:val="none"/>
              </w:rPr>
            </w:pPr>
            <w:r>
              <w:rPr>
                <w:rFonts w:hint="eastAsia" w:ascii="仿宋" w:hAnsi="仿宋" w:eastAsia="仿宋" w:cs="仿宋"/>
                <w:highlight w:val="none"/>
              </w:rPr>
              <w:t>3.集群部署：实施3个服务器集群部署。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pPr>
              <w:tabs>
                <w:tab w:val="right" w:pos="9120"/>
              </w:tabs>
              <w:ind w:right="38"/>
              <w:jc w:val="center"/>
              <w:rPr>
                <w:rFonts w:ascii="仿宋" w:hAnsi="仿宋" w:eastAsia="仿宋" w:cs="仿宋"/>
                <w:color w:val="000000"/>
                <w:highlight w:val="none"/>
                <w:lang w:bidi="ar"/>
              </w:rPr>
            </w:pPr>
            <w:r>
              <w:rPr>
                <w:rFonts w:hint="eastAsia" w:ascii="仿宋" w:hAnsi="仿宋" w:eastAsia="仿宋" w:cs="仿宋"/>
                <w:color w:val="000000"/>
                <w:highlight w:val="none"/>
                <w:lang w:bidi="ar"/>
              </w:rPr>
              <w:t>4</w:t>
            </w:r>
          </w:p>
        </w:tc>
        <w:tc>
          <w:tcPr>
            <w:tcW w:w="1254" w:type="dxa"/>
            <w:vMerge w:val="restart"/>
            <w:vAlign w:val="center"/>
          </w:tcPr>
          <w:p>
            <w:pPr>
              <w:widowControl/>
              <w:jc w:val="center"/>
              <w:textAlignment w:val="center"/>
              <w:rPr>
                <w:rFonts w:ascii="仿宋" w:hAnsi="仿宋" w:eastAsia="仿宋" w:cs="仿宋"/>
                <w:highlight w:val="none"/>
              </w:rPr>
            </w:pPr>
            <w:r>
              <w:rPr>
                <w:rFonts w:hint="eastAsia" w:ascii="仿宋" w:hAnsi="仿宋" w:eastAsia="仿宋" w:cs="仿宋"/>
                <w:color w:val="000000"/>
                <w:highlight w:val="none"/>
              </w:rPr>
              <w:t>系统优化</w:t>
            </w:r>
          </w:p>
        </w:tc>
        <w:tc>
          <w:tcPr>
            <w:tcW w:w="1767" w:type="dxa"/>
            <w:vAlign w:val="center"/>
          </w:tcPr>
          <w:p>
            <w:pPr>
              <w:widowControl/>
              <w:jc w:val="center"/>
              <w:textAlignment w:val="center"/>
              <w:rPr>
                <w:rFonts w:ascii="仿宋" w:hAnsi="仿宋" w:eastAsia="仿宋" w:cs="仿宋"/>
                <w:kern w:val="2"/>
                <w:highlight w:val="none"/>
              </w:rPr>
            </w:pPr>
            <w:r>
              <w:rPr>
                <w:rFonts w:hint="eastAsia" w:ascii="仿宋" w:hAnsi="仿宋" w:eastAsia="仿宋" w:cs="仿宋"/>
                <w:highlight w:val="none"/>
              </w:rPr>
              <w:t>在线文档插件</w:t>
            </w:r>
          </w:p>
        </w:tc>
        <w:tc>
          <w:tcPr>
            <w:tcW w:w="4436" w:type="dxa"/>
            <w:vAlign w:val="center"/>
          </w:tcPr>
          <w:p>
            <w:pPr>
              <w:tabs>
                <w:tab w:val="right" w:pos="9120"/>
              </w:tabs>
              <w:ind w:right="38"/>
              <w:rPr>
                <w:rFonts w:ascii="仿宋" w:hAnsi="仿宋" w:eastAsia="仿宋" w:cs="仿宋"/>
                <w:highlight w:val="none"/>
              </w:rPr>
            </w:pPr>
            <w:r>
              <w:rPr>
                <w:rFonts w:hint="eastAsia" w:ascii="仿宋" w:hAnsi="仿宋" w:eastAsia="仿宋" w:cs="仿宋"/>
                <w:highlight w:val="none"/>
              </w:rPr>
              <w:t>改进用户在线预览文档和编辑文档的操作方式，提升Web端和移动端的兼容性和集成性，优化文档在线操作的体验。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pPr>
              <w:tabs>
                <w:tab w:val="right" w:pos="9120"/>
              </w:tabs>
              <w:ind w:right="38"/>
              <w:jc w:val="center"/>
              <w:rPr>
                <w:rFonts w:ascii="仿宋" w:hAnsi="仿宋" w:eastAsia="仿宋" w:cs="仿宋"/>
                <w:color w:val="000000"/>
                <w:highlight w:val="none"/>
                <w:lang w:bidi="ar"/>
              </w:rPr>
            </w:pPr>
            <w:r>
              <w:rPr>
                <w:rFonts w:hint="eastAsia" w:ascii="仿宋" w:hAnsi="仿宋" w:eastAsia="仿宋" w:cs="仿宋"/>
                <w:color w:val="000000"/>
                <w:highlight w:val="none"/>
                <w:lang w:bidi="ar"/>
              </w:rPr>
              <w:t>5</w:t>
            </w:r>
          </w:p>
        </w:tc>
        <w:tc>
          <w:tcPr>
            <w:tcW w:w="1254" w:type="dxa"/>
            <w:vMerge w:val="continue"/>
            <w:vAlign w:val="center"/>
          </w:tcPr>
          <w:p>
            <w:pPr>
              <w:widowControl/>
              <w:jc w:val="center"/>
              <w:textAlignment w:val="center"/>
              <w:rPr>
                <w:rFonts w:ascii="仿宋" w:hAnsi="仿宋" w:eastAsia="仿宋" w:cs="仿宋"/>
                <w:highlight w:val="none"/>
              </w:rPr>
            </w:pPr>
          </w:p>
        </w:tc>
        <w:tc>
          <w:tcPr>
            <w:tcW w:w="1767" w:type="dxa"/>
            <w:vAlign w:val="center"/>
          </w:tcPr>
          <w:p>
            <w:pPr>
              <w:widowControl/>
              <w:jc w:val="center"/>
              <w:textAlignment w:val="center"/>
              <w:rPr>
                <w:rFonts w:ascii="仿宋" w:hAnsi="仿宋" w:eastAsia="仿宋" w:cs="仿宋"/>
                <w:kern w:val="2"/>
                <w:highlight w:val="none"/>
              </w:rPr>
            </w:pPr>
            <w:r>
              <w:rPr>
                <w:rFonts w:hint="eastAsia" w:ascii="仿宋" w:hAnsi="仿宋" w:eastAsia="仿宋" w:cs="仿宋"/>
                <w:highlight w:val="none"/>
              </w:rPr>
              <w:t>移动端零信任集成</w:t>
            </w:r>
          </w:p>
        </w:tc>
        <w:tc>
          <w:tcPr>
            <w:tcW w:w="4436" w:type="dxa"/>
            <w:vAlign w:val="center"/>
          </w:tcPr>
          <w:p>
            <w:pPr>
              <w:tabs>
                <w:tab w:val="right" w:pos="9120"/>
              </w:tabs>
              <w:ind w:right="38"/>
              <w:rPr>
                <w:rFonts w:ascii="仿宋" w:hAnsi="仿宋" w:eastAsia="仿宋" w:cs="仿宋"/>
                <w:highlight w:val="none"/>
              </w:rPr>
            </w:pPr>
            <w:r>
              <w:rPr>
                <w:rFonts w:hint="eastAsia" w:ascii="仿宋" w:hAnsi="仿宋" w:eastAsia="仿宋" w:cs="仿宋"/>
                <w:highlight w:val="none"/>
              </w:rPr>
              <w:t>在移动端集成深信服零信任网络访问功能。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pPr>
              <w:tabs>
                <w:tab w:val="right" w:pos="9120"/>
              </w:tabs>
              <w:ind w:right="38"/>
              <w:jc w:val="center"/>
              <w:rPr>
                <w:rFonts w:ascii="仿宋" w:hAnsi="仿宋" w:eastAsia="仿宋" w:cs="仿宋"/>
                <w:color w:val="000000"/>
                <w:highlight w:val="none"/>
                <w:lang w:bidi="ar"/>
              </w:rPr>
            </w:pPr>
            <w:r>
              <w:rPr>
                <w:rFonts w:hint="eastAsia" w:ascii="仿宋" w:hAnsi="仿宋" w:eastAsia="仿宋" w:cs="仿宋"/>
                <w:color w:val="000000"/>
                <w:highlight w:val="none"/>
                <w:lang w:bidi="ar"/>
              </w:rPr>
              <w:t>6</w:t>
            </w:r>
          </w:p>
        </w:tc>
        <w:tc>
          <w:tcPr>
            <w:tcW w:w="1254" w:type="dxa"/>
            <w:vMerge w:val="continue"/>
            <w:vAlign w:val="center"/>
          </w:tcPr>
          <w:p>
            <w:pPr>
              <w:widowControl/>
              <w:jc w:val="center"/>
              <w:textAlignment w:val="center"/>
              <w:rPr>
                <w:rFonts w:ascii="仿宋" w:hAnsi="仿宋" w:eastAsia="仿宋" w:cs="仿宋"/>
                <w:highlight w:val="none"/>
              </w:rPr>
            </w:pPr>
          </w:p>
        </w:tc>
        <w:tc>
          <w:tcPr>
            <w:tcW w:w="1767" w:type="dxa"/>
            <w:vAlign w:val="center"/>
          </w:tcPr>
          <w:p>
            <w:pPr>
              <w:widowControl/>
              <w:jc w:val="center"/>
              <w:textAlignment w:val="center"/>
              <w:rPr>
                <w:rFonts w:ascii="仿宋" w:hAnsi="仿宋" w:eastAsia="仿宋" w:cs="仿宋"/>
                <w:kern w:val="2"/>
                <w:highlight w:val="none"/>
              </w:rPr>
            </w:pPr>
            <w:r>
              <w:rPr>
                <w:rFonts w:hint="eastAsia" w:ascii="仿宋" w:hAnsi="仿宋" w:eastAsia="仿宋" w:cs="仿宋"/>
                <w:highlight w:val="none"/>
              </w:rPr>
              <w:t>统一认证集成</w:t>
            </w:r>
          </w:p>
        </w:tc>
        <w:tc>
          <w:tcPr>
            <w:tcW w:w="4436" w:type="dxa"/>
            <w:vAlign w:val="center"/>
          </w:tcPr>
          <w:p>
            <w:pPr>
              <w:tabs>
                <w:tab w:val="right" w:pos="9120"/>
              </w:tabs>
              <w:ind w:right="38"/>
              <w:rPr>
                <w:rFonts w:ascii="仿宋" w:hAnsi="仿宋" w:eastAsia="仿宋" w:cs="仿宋"/>
                <w:highlight w:val="none"/>
              </w:rPr>
            </w:pPr>
            <w:r>
              <w:rPr>
                <w:rFonts w:hint="eastAsia" w:ascii="仿宋" w:hAnsi="仿宋" w:eastAsia="仿宋" w:cs="仿宋"/>
                <w:highlight w:val="none"/>
              </w:rPr>
              <w:t>实现用户在通过OA门户单点登录后（包括移动端或电脑端），访问其他系统时应无需再次输入认证信息。</w:t>
            </w:r>
          </w:p>
        </w:tc>
      </w:tr>
    </w:tbl>
    <w:p>
      <w:pPr>
        <w:spacing w:line="360" w:lineRule="auto"/>
        <w:ind w:firstLine="480" w:firstLineChars="200"/>
        <w:rPr>
          <w:rFonts w:ascii="Times New Roman"/>
          <w:highlight w:val="none"/>
        </w:rPr>
      </w:pPr>
    </w:p>
    <w:p>
      <w:pPr>
        <w:autoSpaceDE/>
        <w:autoSpaceDN/>
        <w:adjustRightInd/>
        <w:spacing w:line="360" w:lineRule="auto"/>
        <w:jc w:val="both"/>
        <w:outlineLvl w:val="1"/>
        <w:rPr>
          <w:rFonts w:ascii="Times New Roman"/>
          <w:b/>
          <w:highlight w:val="none"/>
        </w:rPr>
      </w:pPr>
      <w:bookmarkStart w:id="14" w:name="_Toc27495480"/>
      <w:r>
        <w:rPr>
          <w:rFonts w:hint="eastAsia" w:ascii="Times New Roman"/>
          <w:b/>
          <w:highlight w:val="none"/>
        </w:rPr>
        <w:t xml:space="preserve">第二条 </w:t>
      </w:r>
      <w:bookmarkEnd w:id="14"/>
      <w:r>
        <w:rPr>
          <w:rFonts w:hint="eastAsia" w:ascii="Times New Roman"/>
          <w:b/>
          <w:highlight w:val="none"/>
        </w:rPr>
        <w:t>服务要求</w:t>
      </w:r>
    </w:p>
    <w:p>
      <w:pPr>
        <w:spacing w:line="360" w:lineRule="auto"/>
        <w:ind w:firstLine="482" w:firstLineChars="200"/>
        <w:rPr>
          <w:rFonts w:ascii="Times New Roman"/>
          <w:b/>
          <w:bCs/>
          <w:highlight w:val="none"/>
        </w:rPr>
      </w:pPr>
      <w:bookmarkStart w:id="15" w:name="_Toc6166"/>
      <w:bookmarkStart w:id="16" w:name="_Toc15884"/>
      <w:bookmarkStart w:id="17" w:name="_Toc24756"/>
      <w:bookmarkStart w:id="18" w:name="_Toc20917"/>
      <w:bookmarkStart w:id="19" w:name="_Toc2875"/>
      <w:r>
        <w:rPr>
          <w:rFonts w:hint="eastAsia" w:ascii="Times New Roman"/>
          <w:b/>
          <w:bCs/>
          <w:highlight w:val="none"/>
        </w:rPr>
        <w:t>（一）系统升级要求</w:t>
      </w:r>
      <w:bookmarkEnd w:id="15"/>
      <w:bookmarkEnd w:id="16"/>
      <w:bookmarkEnd w:id="17"/>
      <w:bookmarkEnd w:id="18"/>
    </w:p>
    <w:p>
      <w:pPr>
        <w:widowControl/>
        <w:numPr>
          <w:ilvl w:val="255"/>
          <w:numId w:val="0"/>
        </w:numPr>
        <w:spacing w:line="360" w:lineRule="auto"/>
        <w:ind w:firstLine="480" w:firstLineChars="200"/>
        <w:rPr>
          <w:rFonts w:ascii="Times New Roman"/>
          <w:highlight w:val="none"/>
          <w:lang w:bidi="ar"/>
        </w:rPr>
      </w:pPr>
      <w:r>
        <w:rPr>
          <w:rFonts w:hint="eastAsia" w:ascii="Times New Roman"/>
          <w:highlight w:val="none"/>
          <w:lang w:bidi="ar"/>
        </w:rPr>
        <w:t>1、系统升级所涉及的软件，乙方必须提供原厂的标准适配服务，取得原厂授权书或相关证明。</w:t>
      </w:r>
    </w:p>
    <w:p>
      <w:pPr>
        <w:widowControl/>
        <w:numPr>
          <w:ilvl w:val="255"/>
          <w:numId w:val="0"/>
        </w:numPr>
        <w:spacing w:line="360" w:lineRule="auto"/>
        <w:ind w:firstLine="480" w:firstLineChars="200"/>
        <w:rPr>
          <w:rFonts w:ascii="Times New Roman"/>
          <w:highlight w:val="none"/>
          <w:lang w:bidi="ar"/>
        </w:rPr>
      </w:pPr>
      <w:r>
        <w:rPr>
          <w:rFonts w:hint="eastAsia" w:ascii="Times New Roman"/>
          <w:highlight w:val="none"/>
          <w:lang w:bidi="ar"/>
        </w:rPr>
        <w:t>2、系统升级要求保留原系统中的功能和原使用中的业务功能模块不受影响。</w:t>
      </w:r>
    </w:p>
    <w:p>
      <w:pPr>
        <w:widowControl/>
        <w:numPr>
          <w:ilvl w:val="255"/>
          <w:numId w:val="0"/>
        </w:numPr>
        <w:spacing w:line="360" w:lineRule="auto"/>
        <w:ind w:firstLine="480" w:firstLineChars="200"/>
        <w:rPr>
          <w:rFonts w:ascii="Times New Roman"/>
          <w:highlight w:val="none"/>
          <w:lang w:bidi="ar"/>
        </w:rPr>
      </w:pPr>
      <w:r>
        <w:rPr>
          <w:rFonts w:hint="eastAsia" w:ascii="Times New Roman"/>
          <w:highlight w:val="none"/>
          <w:lang w:bidi="ar"/>
        </w:rPr>
        <w:t>3、系统升级后保障所有应用服务的稳定性和安全性，性能的优化响应速度、并发处理能力等。</w:t>
      </w:r>
    </w:p>
    <w:p>
      <w:pPr>
        <w:widowControl/>
        <w:numPr>
          <w:ilvl w:val="255"/>
          <w:numId w:val="0"/>
        </w:numPr>
        <w:spacing w:line="360" w:lineRule="auto"/>
        <w:ind w:firstLine="480" w:firstLineChars="200"/>
        <w:rPr>
          <w:rFonts w:ascii="Times New Roman"/>
          <w:highlight w:val="none"/>
          <w:lang w:bidi="ar"/>
        </w:rPr>
      </w:pPr>
      <w:r>
        <w:rPr>
          <w:rFonts w:hint="eastAsia" w:ascii="Times New Roman"/>
          <w:highlight w:val="none"/>
          <w:lang w:bidi="ar"/>
        </w:rPr>
        <w:t>4、系统升级后数据结构必须与迁移后的数据兼容，系统中各项功能的数据必须完整且正确。</w:t>
      </w:r>
    </w:p>
    <w:p>
      <w:pPr>
        <w:spacing w:line="360" w:lineRule="auto"/>
        <w:ind w:firstLine="482" w:firstLineChars="200"/>
        <w:rPr>
          <w:rFonts w:ascii="Times New Roman"/>
          <w:b/>
          <w:bCs/>
          <w:highlight w:val="none"/>
        </w:rPr>
      </w:pPr>
      <w:bookmarkStart w:id="20" w:name="_Toc6930"/>
      <w:bookmarkStart w:id="21" w:name="_Toc32445"/>
      <w:bookmarkStart w:id="22" w:name="_Toc26843"/>
      <w:bookmarkStart w:id="23" w:name="_Toc3036"/>
      <w:r>
        <w:rPr>
          <w:rFonts w:hint="eastAsia" w:ascii="Times New Roman"/>
          <w:b/>
          <w:bCs/>
          <w:highlight w:val="none"/>
        </w:rPr>
        <w:t>（二）数据迁移要求</w:t>
      </w:r>
      <w:bookmarkEnd w:id="19"/>
      <w:bookmarkEnd w:id="20"/>
      <w:bookmarkEnd w:id="21"/>
      <w:bookmarkEnd w:id="22"/>
      <w:bookmarkEnd w:id="23"/>
    </w:p>
    <w:p>
      <w:pPr>
        <w:widowControl/>
        <w:numPr>
          <w:ilvl w:val="255"/>
          <w:numId w:val="0"/>
        </w:numPr>
        <w:autoSpaceDE/>
        <w:autoSpaceDN/>
        <w:adjustRightInd/>
        <w:spacing w:line="360" w:lineRule="auto"/>
        <w:ind w:firstLine="480" w:firstLineChars="200"/>
        <w:rPr>
          <w:rFonts w:ascii="Times New Roman"/>
          <w:highlight w:val="none"/>
          <w:lang w:bidi="ar"/>
        </w:rPr>
      </w:pPr>
      <w:r>
        <w:rPr>
          <w:rFonts w:hint="eastAsia" w:ascii="Times New Roman"/>
          <w:highlight w:val="none"/>
          <w:lang w:bidi="ar"/>
        </w:rPr>
        <w:t>1、在迁移工作开始之前，乙方需建立一个详细的迁移计划，包括时间表、资源分配、关键里程碑、沟通计划和风险管理策略。迁移计划经甲方确认，再开展实施工作。</w:t>
      </w:r>
    </w:p>
    <w:p>
      <w:pPr>
        <w:widowControl/>
        <w:numPr>
          <w:ilvl w:val="255"/>
          <w:numId w:val="0"/>
        </w:numPr>
        <w:autoSpaceDE/>
        <w:autoSpaceDN/>
        <w:adjustRightInd/>
        <w:spacing w:line="360" w:lineRule="auto"/>
        <w:ind w:firstLine="480" w:firstLineChars="200"/>
        <w:rPr>
          <w:rFonts w:ascii="Times New Roman"/>
          <w:highlight w:val="none"/>
          <w:lang w:bidi="ar"/>
        </w:rPr>
      </w:pPr>
      <w:r>
        <w:rPr>
          <w:rFonts w:hint="eastAsia" w:ascii="Times New Roman"/>
          <w:highlight w:val="none"/>
          <w:lang w:bidi="ar"/>
        </w:rPr>
        <w:t>2、数据在迁移之前应对当前数据库进行完整备份，以防万一需要恢复数据时使用。</w:t>
      </w:r>
    </w:p>
    <w:p>
      <w:pPr>
        <w:widowControl/>
        <w:numPr>
          <w:ilvl w:val="255"/>
          <w:numId w:val="0"/>
        </w:numPr>
        <w:autoSpaceDE/>
        <w:autoSpaceDN/>
        <w:adjustRightInd/>
        <w:spacing w:line="360" w:lineRule="auto"/>
        <w:ind w:firstLine="480" w:firstLineChars="200"/>
        <w:rPr>
          <w:rFonts w:ascii="Times New Roman"/>
          <w:highlight w:val="none"/>
          <w:lang w:bidi="ar"/>
        </w:rPr>
      </w:pPr>
      <w:r>
        <w:rPr>
          <w:rFonts w:hint="eastAsia" w:ascii="Times New Roman"/>
          <w:highlight w:val="none"/>
          <w:lang w:bidi="ar"/>
        </w:rPr>
        <w:t>3、数据迁移完成后应进行全面的测试来验证数据的完整性，数据的完整性和一致性应达到99.99%。</w:t>
      </w:r>
    </w:p>
    <w:p>
      <w:pPr>
        <w:widowControl/>
        <w:numPr>
          <w:ilvl w:val="255"/>
          <w:numId w:val="0"/>
        </w:numPr>
        <w:autoSpaceDE/>
        <w:autoSpaceDN/>
        <w:adjustRightInd/>
        <w:spacing w:line="360" w:lineRule="auto"/>
        <w:ind w:firstLine="480" w:firstLineChars="200"/>
        <w:rPr>
          <w:rFonts w:ascii="Times New Roman"/>
          <w:highlight w:val="none"/>
          <w:lang w:bidi="ar"/>
        </w:rPr>
      </w:pPr>
      <w:r>
        <w:rPr>
          <w:rFonts w:hint="eastAsia" w:ascii="Times New Roman"/>
          <w:highlight w:val="none"/>
          <w:lang w:bidi="ar"/>
        </w:rPr>
        <w:t>4、确保在整个迁移过程中，保障业务受影响最小。通过合理的迁移时间和快速的故障恢复策略，保障业务连续性。</w:t>
      </w:r>
    </w:p>
    <w:p>
      <w:pPr>
        <w:widowControl/>
        <w:numPr>
          <w:ilvl w:val="255"/>
          <w:numId w:val="0"/>
        </w:numPr>
        <w:autoSpaceDE/>
        <w:autoSpaceDN/>
        <w:adjustRightInd/>
        <w:spacing w:line="360" w:lineRule="auto"/>
        <w:ind w:firstLine="480" w:firstLineChars="200"/>
        <w:rPr>
          <w:rFonts w:ascii="Times New Roman"/>
          <w:highlight w:val="none"/>
          <w:lang w:bidi="ar"/>
        </w:rPr>
      </w:pPr>
      <w:r>
        <w:rPr>
          <w:rFonts w:hint="eastAsia" w:ascii="Times New Roman"/>
          <w:highlight w:val="none"/>
          <w:lang w:bidi="ar"/>
        </w:rPr>
        <w:t>5、OA系统应用集群部署要求，实现访问负载均衡、故障转移机制和自动恢复策略。确保系统服务的持续可用性和数据的一致性。在部署完成后进行全面的功能测试，确保每个服务都能按照预期工作。</w:t>
      </w:r>
    </w:p>
    <w:p>
      <w:pPr>
        <w:spacing w:line="360" w:lineRule="auto"/>
        <w:ind w:firstLine="482" w:firstLineChars="200"/>
        <w:rPr>
          <w:rFonts w:ascii="Times New Roman"/>
          <w:b/>
          <w:bCs/>
          <w:highlight w:val="none"/>
        </w:rPr>
      </w:pPr>
      <w:bookmarkStart w:id="24" w:name="_Toc25288"/>
      <w:bookmarkStart w:id="25" w:name="_Toc7815"/>
      <w:bookmarkStart w:id="26" w:name="_Toc18620"/>
      <w:bookmarkStart w:id="27" w:name="_Toc19997"/>
      <w:bookmarkStart w:id="28" w:name="_Toc4657"/>
      <w:r>
        <w:rPr>
          <w:rFonts w:hint="eastAsia" w:ascii="Times New Roman"/>
          <w:b/>
          <w:bCs/>
          <w:highlight w:val="none"/>
        </w:rPr>
        <w:t>（三）系统优化要求</w:t>
      </w:r>
      <w:bookmarkEnd w:id="24"/>
      <w:bookmarkEnd w:id="25"/>
      <w:bookmarkEnd w:id="26"/>
      <w:bookmarkEnd w:id="27"/>
      <w:bookmarkEnd w:id="28"/>
    </w:p>
    <w:p>
      <w:pPr>
        <w:widowControl/>
        <w:numPr>
          <w:ilvl w:val="255"/>
          <w:numId w:val="0"/>
        </w:numPr>
        <w:autoSpaceDE/>
        <w:autoSpaceDN/>
        <w:adjustRightInd/>
        <w:spacing w:line="360" w:lineRule="auto"/>
        <w:ind w:firstLine="480" w:firstLineChars="200"/>
        <w:rPr>
          <w:rFonts w:ascii="Times New Roman"/>
          <w:highlight w:val="none"/>
          <w:lang w:bidi="ar"/>
        </w:rPr>
      </w:pPr>
      <w:r>
        <w:rPr>
          <w:rFonts w:hint="eastAsia" w:ascii="Times New Roman"/>
          <w:highlight w:val="none"/>
          <w:lang w:bidi="ar"/>
        </w:rPr>
        <w:t>1、在线文档插件要求：支持服务端安装文档插件（客户端免安装），用户在Web端和移动端可在线打开文档进行编辑，并保留用户编辑痕迹。支持格式包括Word、WPS文字、Excel、WPS表格。</w:t>
      </w:r>
    </w:p>
    <w:p>
      <w:pPr>
        <w:widowControl/>
        <w:numPr>
          <w:ilvl w:val="255"/>
          <w:numId w:val="0"/>
        </w:numPr>
        <w:autoSpaceDE/>
        <w:autoSpaceDN/>
        <w:adjustRightInd/>
        <w:spacing w:line="360" w:lineRule="auto"/>
        <w:ind w:firstLine="480" w:firstLineChars="200"/>
        <w:rPr>
          <w:rFonts w:ascii="Times New Roman"/>
          <w:highlight w:val="none"/>
          <w:lang w:bidi="ar"/>
        </w:rPr>
      </w:pPr>
      <w:r>
        <w:rPr>
          <w:rFonts w:hint="eastAsia" w:ascii="Times New Roman"/>
          <w:highlight w:val="none"/>
          <w:lang w:bidi="ar"/>
        </w:rPr>
        <w:t>2、移动端零信任集成要求：OA系统的移动端集成深信服零信任网络访问功能，即OA系统移动端登录时自动完成深信服零信任网络登录验证，解决用户在移动端先登录零信任网络再登录OA的复杂操作。</w:t>
      </w:r>
    </w:p>
    <w:p>
      <w:pPr>
        <w:widowControl/>
        <w:numPr>
          <w:ilvl w:val="255"/>
          <w:numId w:val="0"/>
        </w:numPr>
        <w:autoSpaceDE/>
        <w:autoSpaceDN/>
        <w:adjustRightInd/>
        <w:spacing w:line="360" w:lineRule="auto"/>
        <w:ind w:firstLine="480" w:firstLineChars="200"/>
        <w:rPr>
          <w:rFonts w:ascii="Times New Roman"/>
          <w:highlight w:val="none"/>
          <w:lang w:bidi="ar"/>
        </w:rPr>
      </w:pPr>
      <w:r>
        <w:rPr>
          <w:rFonts w:hint="eastAsia" w:ascii="Times New Roman"/>
          <w:highlight w:val="none"/>
          <w:lang w:bidi="ar"/>
        </w:rPr>
        <w:t>3、统一认证集成要求：实现系统用户在通过OA门户单点登录后（包括移动端或电脑端），访问其他系统时应自动登录，无需再次输入认证信息。根据甲方要求，通过接入甲方统一认证系统或OA系统配置完成认证集成。</w:t>
      </w:r>
    </w:p>
    <w:p>
      <w:pPr>
        <w:spacing w:line="360" w:lineRule="auto"/>
        <w:ind w:firstLine="482" w:firstLineChars="200"/>
        <w:rPr>
          <w:rFonts w:ascii="Times New Roman"/>
          <w:b/>
          <w:bCs/>
          <w:highlight w:val="none"/>
          <w:lang w:bidi="ar"/>
        </w:rPr>
      </w:pPr>
      <w:r>
        <w:rPr>
          <w:rFonts w:hint="eastAsia" w:ascii="Times New Roman"/>
          <w:b/>
          <w:bCs/>
          <w:highlight w:val="none"/>
        </w:rPr>
        <w:t>（四）项目培训要求</w:t>
      </w:r>
    </w:p>
    <w:p>
      <w:pPr>
        <w:widowControl/>
        <w:numPr>
          <w:ilvl w:val="255"/>
          <w:numId w:val="0"/>
        </w:numPr>
        <w:autoSpaceDE/>
        <w:autoSpaceDN/>
        <w:adjustRightInd/>
        <w:spacing w:line="360" w:lineRule="auto"/>
        <w:ind w:firstLine="480" w:firstLineChars="200"/>
        <w:rPr>
          <w:rFonts w:ascii="Times New Roman"/>
          <w:highlight w:val="none"/>
          <w:lang w:bidi="ar"/>
        </w:rPr>
      </w:pPr>
      <w:r>
        <w:rPr>
          <w:rFonts w:hint="eastAsia" w:ascii="Times New Roman"/>
          <w:highlight w:val="none"/>
          <w:lang w:bidi="ar"/>
        </w:rPr>
        <w:t>1、按照甲方的要求，对系统管理人员、使用操作人员等相关人员进行免费现场培训和不少于两次的集中培训，培训时间和期限由甲方确定。</w:t>
      </w:r>
    </w:p>
    <w:p>
      <w:pPr>
        <w:spacing w:line="360" w:lineRule="auto"/>
        <w:ind w:firstLine="482" w:firstLineChars="200"/>
        <w:rPr>
          <w:rFonts w:ascii="Times New Roman"/>
          <w:b/>
          <w:bCs/>
          <w:highlight w:val="none"/>
        </w:rPr>
      </w:pPr>
      <w:bookmarkStart w:id="29" w:name="_Toc16239"/>
      <w:bookmarkStart w:id="30" w:name="_Toc24420"/>
      <w:bookmarkStart w:id="31" w:name="_Toc15930"/>
      <w:bookmarkStart w:id="32" w:name="_Toc18464"/>
      <w:bookmarkStart w:id="33" w:name="_Toc1693"/>
      <w:r>
        <w:rPr>
          <w:rFonts w:hint="eastAsia" w:ascii="Times New Roman"/>
          <w:b/>
          <w:bCs/>
          <w:highlight w:val="none"/>
        </w:rPr>
        <w:t>（五）项目进度要求</w:t>
      </w:r>
      <w:bookmarkEnd w:id="29"/>
      <w:bookmarkEnd w:id="30"/>
      <w:bookmarkEnd w:id="31"/>
      <w:bookmarkEnd w:id="32"/>
      <w:bookmarkEnd w:id="33"/>
    </w:p>
    <w:p>
      <w:pPr>
        <w:widowControl/>
        <w:numPr>
          <w:ilvl w:val="255"/>
          <w:numId w:val="0"/>
        </w:numPr>
        <w:autoSpaceDE/>
        <w:autoSpaceDN/>
        <w:adjustRightInd/>
        <w:spacing w:line="360" w:lineRule="auto"/>
        <w:ind w:firstLine="480" w:firstLineChars="200"/>
        <w:rPr>
          <w:rFonts w:ascii="Times New Roman"/>
          <w:highlight w:val="none"/>
          <w:lang w:bidi="ar"/>
        </w:rPr>
      </w:pPr>
      <w:r>
        <w:rPr>
          <w:rFonts w:hint="eastAsia" w:ascii="Times New Roman"/>
          <w:highlight w:val="none"/>
          <w:lang w:bidi="ar"/>
        </w:rPr>
        <w:t>1、系统升级、迁移到虎门临时数据中心：自合同签订之日起60天内完成测试并上线试运行。</w:t>
      </w:r>
    </w:p>
    <w:p>
      <w:pPr>
        <w:widowControl/>
        <w:numPr>
          <w:ilvl w:val="255"/>
          <w:numId w:val="0"/>
        </w:numPr>
        <w:autoSpaceDE/>
        <w:autoSpaceDN/>
        <w:adjustRightInd/>
        <w:spacing w:line="360" w:lineRule="auto"/>
        <w:ind w:firstLine="480" w:firstLineChars="200"/>
        <w:rPr>
          <w:rFonts w:ascii="Times New Roman"/>
          <w:highlight w:val="none"/>
          <w:lang w:bidi="ar"/>
        </w:rPr>
      </w:pPr>
      <w:r>
        <w:rPr>
          <w:rFonts w:hint="eastAsia" w:ascii="Times New Roman"/>
          <w:highlight w:val="none"/>
          <w:lang w:bidi="ar"/>
        </w:rPr>
        <w:t>2、系统迁移到符合安全可靠测评设备环境：供应商接到甲方通知后，30天内完成迁移、测试并上线试运行。</w:t>
      </w:r>
    </w:p>
    <w:p>
      <w:pPr>
        <w:widowControl/>
        <w:numPr>
          <w:ilvl w:val="255"/>
          <w:numId w:val="0"/>
        </w:numPr>
        <w:autoSpaceDE/>
        <w:autoSpaceDN/>
        <w:adjustRightInd/>
        <w:spacing w:line="360" w:lineRule="auto"/>
        <w:ind w:firstLine="480" w:firstLineChars="200"/>
        <w:rPr>
          <w:rFonts w:ascii="Times New Roman"/>
          <w:highlight w:val="none"/>
          <w:lang w:bidi="ar"/>
        </w:rPr>
      </w:pPr>
      <w:r>
        <w:rPr>
          <w:rFonts w:hint="eastAsia" w:ascii="Times New Roman"/>
          <w:highlight w:val="none"/>
          <w:lang w:bidi="ar"/>
        </w:rPr>
        <w:t>3、系统优化</w:t>
      </w:r>
    </w:p>
    <w:p>
      <w:pPr>
        <w:widowControl/>
        <w:numPr>
          <w:ilvl w:val="255"/>
          <w:numId w:val="0"/>
        </w:numPr>
        <w:autoSpaceDE/>
        <w:autoSpaceDN/>
        <w:adjustRightInd/>
        <w:spacing w:line="360" w:lineRule="auto"/>
        <w:ind w:firstLine="480" w:firstLineChars="200"/>
        <w:rPr>
          <w:rFonts w:ascii="Times New Roman"/>
          <w:highlight w:val="none"/>
          <w:lang w:bidi="ar"/>
        </w:rPr>
      </w:pPr>
      <w:r>
        <w:rPr>
          <w:rFonts w:hint="eastAsia" w:ascii="Times New Roman"/>
          <w:highlight w:val="none"/>
          <w:lang w:bidi="ar"/>
        </w:rPr>
        <w:t>（1）在线文档插件和移动端零信任集成，与项目进度要求第1项同时完成。</w:t>
      </w:r>
    </w:p>
    <w:p>
      <w:pPr>
        <w:widowControl/>
        <w:numPr>
          <w:ilvl w:val="255"/>
          <w:numId w:val="0"/>
        </w:numPr>
        <w:autoSpaceDE/>
        <w:autoSpaceDN/>
        <w:adjustRightInd/>
        <w:spacing w:line="360" w:lineRule="auto"/>
        <w:ind w:firstLine="480" w:firstLineChars="200"/>
        <w:rPr>
          <w:rFonts w:ascii="Times New Roman"/>
          <w:highlight w:val="none"/>
          <w:lang w:bidi="ar"/>
        </w:rPr>
      </w:pPr>
      <w:r>
        <w:rPr>
          <w:rFonts w:hint="eastAsia" w:ascii="Times New Roman"/>
          <w:highlight w:val="none"/>
          <w:lang w:bidi="ar"/>
        </w:rPr>
        <w:t>（2）统一认证集成，接到甲方通知后15个工作日内完成。</w:t>
      </w:r>
    </w:p>
    <w:p>
      <w:pPr>
        <w:spacing w:line="360" w:lineRule="auto"/>
        <w:ind w:firstLine="482" w:firstLineChars="200"/>
        <w:rPr>
          <w:rFonts w:ascii="Times New Roman"/>
          <w:b/>
          <w:bCs/>
          <w:highlight w:val="none"/>
        </w:rPr>
      </w:pPr>
      <w:bookmarkStart w:id="34" w:name="_Toc25005"/>
      <w:bookmarkStart w:id="35" w:name="_Toc15177"/>
      <w:bookmarkStart w:id="36" w:name="_Toc25785"/>
      <w:bookmarkStart w:id="37" w:name="_Toc1474"/>
      <w:r>
        <w:rPr>
          <w:rFonts w:hint="eastAsia" w:ascii="Times New Roman"/>
          <w:b/>
          <w:bCs/>
          <w:highlight w:val="none"/>
        </w:rPr>
        <w:t>（六）项目交付要求</w:t>
      </w:r>
      <w:bookmarkEnd w:id="34"/>
      <w:bookmarkEnd w:id="35"/>
      <w:bookmarkEnd w:id="36"/>
      <w:bookmarkEnd w:id="37"/>
    </w:p>
    <w:p>
      <w:pPr>
        <w:widowControl/>
        <w:numPr>
          <w:ilvl w:val="255"/>
          <w:numId w:val="0"/>
        </w:numPr>
        <w:autoSpaceDE/>
        <w:autoSpaceDN/>
        <w:adjustRightInd/>
        <w:spacing w:line="360" w:lineRule="auto"/>
        <w:ind w:firstLine="480" w:firstLineChars="200"/>
        <w:rPr>
          <w:rFonts w:ascii="Times New Roman"/>
          <w:highlight w:val="none"/>
          <w:lang w:bidi="ar"/>
        </w:rPr>
      </w:pPr>
      <w:r>
        <w:rPr>
          <w:rFonts w:hint="eastAsia" w:ascii="Times New Roman"/>
          <w:highlight w:val="none"/>
          <w:lang w:bidi="ar"/>
        </w:rPr>
        <w:t>1、安装包及配置文件</w:t>
      </w:r>
    </w:p>
    <w:p>
      <w:pPr>
        <w:widowControl/>
        <w:numPr>
          <w:ilvl w:val="255"/>
          <w:numId w:val="0"/>
        </w:numPr>
        <w:autoSpaceDE/>
        <w:autoSpaceDN/>
        <w:adjustRightInd/>
        <w:spacing w:line="360" w:lineRule="auto"/>
        <w:ind w:firstLine="480" w:firstLineChars="200"/>
        <w:rPr>
          <w:rFonts w:ascii="Times New Roman"/>
          <w:highlight w:val="none"/>
          <w:lang w:bidi="ar"/>
        </w:rPr>
      </w:pPr>
      <w:r>
        <w:rPr>
          <w:rFonts w:hint="eastAsia" w:ascii="Times New Roman"/>
          <w:highlight w:val="none"/>
          <w:lang w:bidi="ar"/>
        </w:rPr>
        <w:t>（1）完整性：提供包含所有必要的文件和组件的安装包，确保安装包无缺失，可以支持无人值守的安装模式。</w:t>
      </w:r>
    </w:p>
    <w:p>
      <w:pPr>
        <w:widowControl/>
        <w:numPr>
          <w:ilvl w:val="255"/>
          <w:numId w:val="0"/>
        </w:numPr>
        <w:autoSpaceDE/>
        <w:autoSpaceDN/>
        <w:adjustRightInd/>
        <w:spacing w:line="360" w:lineRule="auto"/>
        <w:ind w:firstLine="480" w:firstLineChars="200"/>
        <w:rPr>
          <w:rFonts w:ascii="Times New Roman"/>
          <w:highlight w:val="none"/>
          <w:lang w:bidi="ar"/>
        </w:rPr>
      </w:pPr>
      <w:r>
        <w:rPr>
          <w:rFonts w:hint="eastAsia" w:ascii="Times New Roman"/>
          <w:highlight w:val="none"/>
          <w:lang w:bidi="ar"/>
        </w:rPr>
        <w:t>（2）配置指南：附带详细的配置文件和安装指南，说明每项配置的作用和修改方法，确保甲方团队能够根据实际环境自行调整配置。</w:t>
      </w:r>
    </w:p>
    <w:p>
      <w:pPr>
        <w:widowControl/>
        <w:numPr>
          <w:ilvl w:val="255"/>
          <w:numId w:val="0"/>
        </w:numPr>
        <w:autoSpaceDE/>
        <w:autoSpaceDN/>
        <w:adjustRightInd/>
        <w:spacing w:line="360" w:lineRule="auto"/>
        <w:ind w:firstLine="480" w:firstLineChars="200"/>
        <w:rPr>
          <w:rFonts w:ascii="Times New Roman"/>
          <w:highlight w:val="none"/>
          <w:lang w:bidi="ar"/>
        </w:rPr>
      </w:pPr>
      <w:r>
        <w:rPr>
          <w:rFonts w:hint="eastAsia" w:ascii="Times New Roman"/>
          <w:highlight w:val="none"/>
          <w:lang w:bidi="ar"/>
        </w:rPr>
        <w:t>（3）许可证明：附带软件使用和修改所需的所有版权和许可证明，确保甲方在使用过程中不会因版权问题遇到法律风险。</w:t>
      </w:r>
    </w:p>
    <w:p>
      <w:pPr>
        <w:widowControl/>
        <w:numPr>
          <w:ilvl w:val="255"/>
          <w:numId w:val="0"/>
        </w:numPr>
        <w:autoSpaceDE/>
        <w:autoSpaceDN/>
        <w:adjustRightInd/>
        <w:spacing w:line="360" w:lineRule="auto"/>
        <w:ind w:firstLine="480" w:firstLineChars="200"/>
        <w:rPr>
          <w:rFonts w:ascii="Times New Roman"/>
          <w:highlight w:val="none"/>
          <w:lang w:bidi="ar"/>
        </w:rPr>
      </w:pPr>
      <w:r>
        <w:rPr>
          <w:rFonts w:hint="eastAsia" w:ascii="Times New Roman"/>
          <w:highlight w:val="none"/>
          <w:lang w:bidi="ar"/>
        </w:rPr>
        <w:t>2、用户文档</w:t>
      </w:r>
    </w:p>
    <w:p>
      <w:pPr>
        <w:widowControl/>
        <w:numPr>
          <w:ilvl w:val="255"/>
          <w:numId w:val="0"/>
        </w:numPr>
        <w:autoSpaceDE/>
        <w:autoSpaceDN/>
        <w:adjustRightInd/>
        <w:spacing w:line="360" w:lineRule="auto"/>
        <w:ind w:firstLine="480" w:firstLineChars="200"/>
        <w:rPr>
          <w:rFonts w:ascii="Times New Roman"/>
          <w:highlight w:val="none"/>
          <w:lang w:bidi="ar"/>
        </w:rPr>
      </w:pPr>
      <w:r>
        <w:rPr>
          <w:rFonts w:hint="eastAsia" w:ascii="Times New Roman"/>
          <w:highlight w:val="none"/>
          <w:lang w:bidi="ar"/>
        </w:rPr>
        <w:t>（1）易用性：用户手册应清晰描述系统的功能使用流程，包括文本说明及图示，易于用户学习和参考。</w:t>
      </w:r>
    </w:p>
    <w:p>
      <w:pPr>
        <w:widowControl/>
        <w:numPr>
          <w:ilvl w:val="255"/>
          <w:numId w:val="0"/>
        </w:numPr>
        <w:autoSpaceDE/>
        <w:autoSpaceDN/>
        <w:adjustRightInd/>
        <w:spacing w:line="360" w:lineRule="auto"/>
        <w:ind w:firstLine="480" w:firstLineChars="200"/>
        <w:rPr>
          <w:rFonts w:ascii="Times New Roman"/>
          <w:highlight w:val="none"/>
          <w:lang w:bidi="ar"/>
        </w:rPr>
      </w:pPr>
      <w:r>
        <w:rPr>
          <w:rFonts w:hint="eastAsia" w:ascii="Times New Roman"/>
          <w:highlight w:val="none"/>
          <w:lang w:bidi="ar"/>
        </w:rPr>
        <w:t>（2）全面性：除了用户操作手册外，还需要提供操作培训资料、系统维护和故障排除等相关文档，提供尽可能全面的信息供用户参考。</w:t>
      </w:r>
    </w:p>
    <w:p>
      <w:pPr>
        <w:widowControl/>
        <w:numPr>
          <w:ilvl w:val="255"/>
          <w:numId w:val="0"/>
        </w:numPr>
        <w:autoSpaceDE/>
        <w:autoSpaceDN/>
        <w:adjustRightInd/>
        <w:spacing w:line="360" w:lineRule="auto"/>
        <w:ind w:firstLine="480" w:firstLineChars="200"/>
        <w:rPr>
          <w:rFonts w:ascii="Times New Roman"/>
          <w:highlight w:val="none"/>
          <w:lang w:bidi="ar"/>
        </w:rPr>
      </w:pPr>
      <w:r>
        <w:rPr>
          <w:rFonts w:hint="eastAsia" w:ascii="Times New Roman"/>
          <w:highlight w:val="none"/>
          <w:lang w:bidi="ar"/>
        </w:rPr>
        <w:t>3、维护指南，详细介绍系统的日常维护工作指南和常见问题处理方法，包括系统监控、备份、恢复等操作指南。</w:t>
      </w:r>
    </w:p>
    <w:p>
      <w:pPr>
        <w:widowControl/>
        <w:autoSpaceDE/>
        <w:autoSpaceDN/>
        <w:adjustRightInd/>
        <w:spacing w:line="360" w:lineRule="auto"/>
        <w:ind w:firstLine="480" w:firstLineChars="200"/>
        <w:rPr>
          <w:rFonts w:ascii="Times New Roman"/>
          <w:highlight w:val="none"/>
          <w:lang w:bidi="ar"/>
        </w:rPr>
      </w:pPr>
      <w:r>
        <w:rPr>
          <w:rFonts w:hint="eastAsia" w:ascii="Times New Roman"/>
          <w:highlight w:val="none"/>
          <w:lang w:bidi="ar"/>
        </w:rPr>
        <w:t>4、联系方式：提供系统支持团队的联系方式和响应时间保证，确保甲方在遇到问题时能够及时获得帮助。</w:t>
      </w:r>
    </w:p>
    <w:p>
      <w:pPr>
        <w:rPr>
          <w:highlight w:val="none"/>
        </w:rPr>
      </w:pPr>
    </w:p>
    <w:p>
      <w:pPr>
        <w:autoSpaceDE/>
        <w:autoSpaceDN/>
        <w:adjustRightInd/>
        <w:spacing w:line="360" w:lineRule="auto"/>
        <w:jc w:val="both"/>
        <w:outlineLvl w:val="1"/>
        <w:rPr>
          <w:rFonts w:ascii="Times New Roman"/>
          <w:b/>
          <w:highlight w:val="none"/>
        </w:rPr>
      </w:pPr>
      <w:bookmarkStart w:id="38" w:name="_Toc27495481"/>
      <w:r>
        <w:rPr>
          <w:rFonts w:hint="eastAsia" w:ascii="Times New Roman"/>
          <w:b/>
          <w:highlight w:val="none"/>
        </w:rPr>
        <w:t xml:space="preserve">第三条 </w:t>
      </w:r>
      <w:bookmarkEnd w:id="38"/>
      <w:r>
        <w:rPr>
          <w:rFonts w:hint="eastAsia" w:ascii="Times New Roman"/>
          <w:b/>
          <w:highlight w:val="none"/>
        </w:rPr>
        <w:t>验收要求</w:t>
      </w:r>
    </w:p>
    <w:p>
      <w:pPr>
        <w:widowControl/>
        <w:autoSpaceDE/>
        <w:autoSpaceDN/>
        <w:adjustRightInd/>
        <w:spacing w:line="360" w:lineRule="auto"/>
        <w:ind w:firstLine="480" w:firstLineChars="200"/>
        <w:rPr>
          <w:rFonts w:ascii="Times New Roman"/>
          <w:highlight w:val="none"/>
          <w:lang w:bidi="ar"/>
        </w:rPr>
      </w:pPr>
      <w:r>
        <w:rPr>
          <w:rFonts w:hint="eastAsia" w:ascii="Times New Roman"/>
          <w:highlight w:val="none"/>
          <w:lang w:bidi="ar"/>
        </w:rPr>
        <w:t>1、系统升级、迁移到当前虎门临时数据中心，试运行30日后，乙方可以向甲方申请系统升级验收。乙方提交运行期间监测报告（详见附件三用户需求书）。监测报告各项运行指标无异常，经甲方确认后，由甲方出具《OA系统升级迁移验收报告》。</w:t>
      </w:r>
    </w:p>
    <w:p>
      <w:pPr>
        <w:widowControl/>
        <w:autoSpaceDE/>
        <w:autoSpaceDN/>
        <w:adjustRightInd/>
        <w:spacing w:line="360" w:lineRule="auto"/>
        <w:ind w:firstLine="480" w:firstLineChars="200"/>
        <w:rPr>
          <w:rFonts w:ascii="Times New Roman"/>
          <w:highlight w:val="none"/>
          <w:lang w:bidi="ar"/>
        </w:rPr>
      </w:pPr>
      <w:r>
        <w:rPr>
          <w:rFonts w:hint="eastAsia" w:ascii="Times New Roman"/>
          <w:highlight w:val="none"/>
          <w:lang w:bidi="ar"/>
        </w:rPr>
        <w:t>2、系统迁移到符合安全可靠测评设备环境：OA系统全套运行环境迁移至符合安全可靠测评设备环境试运行15天后，供应商提交运行期间监测报告（详见附件三用户需求书）。监测报告各项运行指标无异常，经甲方确认后，由甲方出具《OA系统迁移符合安全可靠测评设备环境验收报告》。</w:t>
      </w:r>
    </w:p>
    <w:p>
      <w:pPr>
        <w:widowControl/>
        <w:autoSpaceDE/>
        <w:autoSpaceDN/>
        <w:adjustRightInd/>
        <w:spacing w:line="360" w:lineRule="auto"/>
        <w:ind w:firstLine="480" w:firstLineChars="200"/>
        <w:rPr>
          <w:rFonts w:ascii="Times New Roman"/>
          <w:highlight w:val="none"/>
          <w:lang w:bidi="ar"/>
        </w:rPr>
      </w:pPr>
      <w:r>
        <w:rPr>
          <w:rFonts w:hint="eastAsia" w:ascii="Times New Roman"/>
          <w:highlight w:val="none"/>
          <w:lang w:bidi="ar"/>
        </w:rPr>
        <w:t>3、系统优化验收：优化的功能在试运行期满，乙方完成试运行期间使用人员提出的问题以及功能优化的要求后，乙方可以向甲方申请系统优化的验收，经甲方确认后，由甲方出具《OA系统优化验收报告》。</w:t>
      </w:r>
    </w:p>
    <w:p>
      <w:pPr>
        <w:rPr>
          <w:highlight w:val="none"/>
        </w:rPr>
      </w:pPr>
    </w:p>
    <w:p>
      <w:pPr>
        <w:autoSpaceDE/>
        <w:autoSpaceDN/>
        <w:adjustRightInd/>
        <w:spacing w:line="360" w:lineRule="auto"/>
        <w:jc w:val="both"/>
        <w:outlineLvl w:val="1"/>
        <w:rPr>
          <w:rFonts w:ascii="Times New Roman"/>
          <w:b/>
          <w:highlight w:val="none"/>
        </w:rPr>
      </w:pPr>
      <w:r>
        <w:rPr>
          <w:rFonts w:hint="eastAsia" w:ascii="Times New Roman"/>
          <w:b/>
          <w:highlight w:val="none"/>
        </w:rPr>
        <w:t>第四条 售后要求</w:t>
      </w:r>
    </w:p>
    <w:p>
      <w:pPr>
        <w:widowControl/>
        <w:autoSpaceDE/>
        <w:autoSpaceDN/>
        <w:adjustRightInd/>
        <w:spacing w:line="360" w:lineRule="auto"/>
        <w:ind w:firstLine="480" w:firstLineChars="200"/>
        <w:rPr>
          <w:rFonts w:ascii="Times New Roman"/>
          <w:highlight w:val="none"/>
          <w:lang w:bidi="ar"/>
        </w:rPr>
      </w:pPr>
      <w:r>
        <w:rPr>
          <w:rFonts w:hint="eastAsia" w:ascii="Times New Roman"/>
          <w:highlight w:val="none"/>
          <w:lang w:bidi="ar"/>
        </w:rPr>
        <w:t>1、乙方提供为期一年的质保服务（OA系统现有运维服务合同到期日期为2025年5月25日，如果项目三份验收报告的最后验收日期在此日期之前，质保期需在此日期基础上延长，否则从最后验收日期起算），系统维护的范围包括：系统优化和升级、系统的正常运行和数据维护；对系统使用中暴露出的缺陷和问题进行必要的调整；每个季度对客户产品和系统使用情况的定期回访。</w:t>
      </w:r>
    </w:p>
    <w:p>
      <w:pPr>
        <w:widowControl/>
        <w:autoSpaceDE/>
        <w:autoSpaceDN/>
        <w:adjustRightInd/>
        <w:spacing w:line="360" w:lineRule="auto"/>
        <w:ind w:firstLine="480" w:firstLineChars="200"/>
        <w:rPr>
          <w:rFonts w:ascii="Times New Roman"/>
          <w:highlight w:val="none"/>
          <w:lang w:bidi="ar"/>
        </w:rPr>
      </w:pPr>
      <w:r>
        <w:rPr>
          <w:rFonts w:hint="eastAsia" w:ascii="Times New Roman"/>
          <w:highlight w:val="none"/>
          <w:lang w:bidi="ar"/>
        </w:rPr>
        <w:t>2、服务响应要求：乙方需向甲方提供本地化服务，须向甲方提供7×24小时电话支持、远程服务，并按要求确保在0.5小时内响应，2小时内到达现场。</w:t>
      </w:r>
    </w:p>
    <w:p>
      <w:pPr>
        <w:rPr>
          <w:highlight w:val="none"/>
        </w:rPr>
      </w:pPr>
    </w:p>
    <w:p>
      <w:pPr>
        <w:autoSpaceDE/>
        <w:autoSpaceDN/>
        <w:adjustRightInd/>
        <w:spacing w:line="360" w:lineRule="auto"/>
        <w:jc w:val="both"/>
        <w:outlineLvl w:val="1"/>
        <w:rPr>
          <w:rFonts w:ascii="Times New Roman"/>
          <w:b/>
          <w:highlight w:val="none"/>
        </w:rPr>
      </w:pPr>
      <w:bookmarkStart w:id="39" w:name="_Toc27495483"/>
      <w:r>
        <w:rPr>
          <w:rFonts w:hint="eastAsia" w:ascii="Times New Roman"/>
          <w:b/>
          <w:highlight w:val="none"/>
        </w:rPr>
        <w:t>第五条 项目费用和付款方式</w:t>
      </w:r>
      <w:bookmarkEnd w:id="39"/>
    </w:p>
    <w:p>
      <w:pPr>
        <w:pStyle w:val="37"/>
        <w:spacing w:line="360" w:lineRule="auto"/>
        <w:ind w:firstLine="480"/>
        <w:rPr>
          <w:rFonts w:ascii="Times New Roman"/>
          <w:highlight w:val="none"/>
        </w:rPr>
      </w:pPr>
      <w:r>
        <w:rPr>
          <w:rFonts w:ascii="Times New Roman"/>
          <w:highlight w:val="none"/>
        </w:rPr>
        <w:t>1</w:t>
      </w:r>
      <w:r>
        <w:rPr>
          <w:rFonts w:hint="eastAsia" w:ascii="Times New Roman"/>
          <w:highlight w:val="none"/>
        </w:rPr>
        <w:t>、本合同价（即销售额，不含乙方销项税额）为</w:t>
      </w:r>
      <w:r>
        <w:rPr>
          <w:rFonts w:ascii="Times New Roman"/>
          <w:highlight w:val="none"/>
          <w:u w:val="single"/>
        </w:rPr>
        <w:t xml:space="preserve">¥ </w:t>
      </w:r>
      <w:r>
        <w:rPr>
          <w:rFonts w:hint="eastAsia" w:ascii="Times New Roman"/>
          <w:highlight w:val="none"/>
          <w:u w:val="single"/>
        </w:rPr>
        <w:t xml:space="preserve">        元</w:t>
      </w:r>
      <w:r>
        <w:rPr>
          <w:rFonts w:hint="eastAsia" w:ascii="Times New Roman"/>
          <w:highlight w:val="none"/>
        </w:rPr>
        <w:t>（大写人民币</w:t>
      </w:r>
      <w:r>
        <w:rPr>
          <w:rFonts w:hint="eastAsia" w:ascii="Times New Roman"/>
          <w:highlight w:val="none"/>
          <w:u w:val="single"/>
        </w:rPr>
        <w:t xml:space="preserve">              </w:t>
      </w:r>
      <w:r>
        <w:rPr>
          <w:rFonts w:hint="eastAsia" w:ascii="Times New Roman"/>
          <w:highlight w:val="none"/>
        </w:rPr>
        <w:t>）。以上合同价（即销售额，不含乙方销项税额）包括但不限于合理利润、开发费、安装调试费，系统集成费、第三方商业软件费、培训费、电子设备费、人工费、驻点办公食宿及水电等费用、管理费、交通费、通讯费、加班费以及供应商销项税额以外的税费等服务范围内所有应预见和不可预见费用及完成服务内容所需的一切费用。乙方须了解项目情况、各类费用以及风险情况，合同签订后，不再另行增加任何费用。</w:t>
      </w:r>
    </w:p>
    <w:p>
      <w:pPr>
        <w:pStyle w:val="37"/>
        <w:spacing w:line="360" w:lineRule="auto"/>
        <w:ind w:firstLine="480"/>
        <w:rPr>
          <w:rFonts w:ascii="Times New Roman"/>
          <w:highlight w:val="none"/>
        </w:rPr>
      </w:pPr>
      <w:r>
        <w:rPr>
          <w:rFonts w:hint="eastAsia" w:ascii="Times New Roman"/>
          <w:highlight w:val="none"/>
        </w:rPr>
        <w:t>2、依法计得并根据本合同约定确定的销项税额由甲方承担。根据《中华人民共和国增值税暂行条例》（国务院令第691号修订版）及当前税务部门的相关规定，本合同项目的增值税税率为</w:t>
      </w:r>
      <w:r>
        <w:rPr>
          <w:rFonts w:hint="eastAsia" w:ascii="Times New Roman"/>
          <w:highlight w:val="none"/>
          <w:u w:val="single"/>
        </w:rPr>
        <w:t xml:space="preserve">     %</w:t>
      </w:r>
      <w:r>
        <w:rPr>
          <w:rFonts w:ascii="Times New Roman"/>
          <w:highlight w:val="none"/>
          <w:u w:val="single"/>
        </w:rPr>
        <w:t xml:space="preserve"> </w:t>
      </w:r>
      <w:r>
        <w:rPr>
          <w:rFonts w:hint="eastAsia" w:ascii="Times New Roman"/>
          <w:highlight w:val="none"/>
        </w:rPr>
        <w:t>，对应的销项税额为</w:t>
      </w:r>
      <w:r>
        <w:rPr>
          <w:rFonts w:ascii="Times New Roman"/>
          <w:highlight w:val="none"/>
          <w:u w:val="single"/>
        </w:rPr>
        <w:t xml:space="preserve">¥  </w:t>
      </w:r>
      <w:r>
        <w:rPr>
          <w:rFonts w:hint="eastAsia" w:ascii="Times New Roman"/>
          <w:highlight w:val="none"/>
          <w:u w:val="single"/>
        </w:rPr>
        <w:t xml:space="preserve">   </w:t>
      </w:r>
      <w:r>
        <w:rPr>
          <w:rFonts w:ascii="Times New Roman"/>
          <w:highlight w:val="none"/>
          <w:u w:val="single"/>
        </w:rPr>
        <w:t xml:space="preserve">  </w:t>
      </w:r>
      <w:r>
        <w:rPr>
          <w:rFonts w:hint="eastAsia" w:ascii="Times New Roman"/>
          <w:highlight w:val="none"/>
          <w:u w:val="single"/>
        </w:rPr>
        <w:t>元</w:t>
      </w:r>
      <w:r>
        <w:rPr>
          <w:rFonts w:hint="eastAsia" w:ascii="Times New Roman"/>
          <w:highlight w:val="none"/>
        </w:rPr>
        <w:t>（大写人民币</w:t>
      </w:r>
      <w:r>
        <w:rPr>
          <w:rFonts w:hint="eastAsia" w:ascii="Times New Roman"/>
          <w:highlight w:val="none"/>
          <w:u w:val="single"/>
        </w:rPr>
        <w:t xml:space="preserve">             </w:t>
      </w:r>
      <w:r>
        <w:rPr>
          <w:rFonts w:hint="eastAsia" w:ascii="Times New Roman"/>
          <w:highlight w:val="none"/>
        </w:rPr>
        <w:t>）。在本合同履行过程中，税收政策变动导致增值税税率调整，依法应调整销项税额的，依法调整；但因乙方未按合同约定提供服务，未根据合同约定提供合法、完整的请款资料，服务验收不合格导致的返工，项目验收合格前的非正常损耗等原因导致销项税额增加的，相应损失由乙方承担。</w:t>
      </w:r>
    </w:p>
    <w:p>
      <w:pPr>
        <w:pStyle w:val="37"/>
        <w:spacing w:line="360" w:lineRule="auto"/>
        <w:ind w:firstLine="480"/>
        <w:rPr>
          <w:rFonts w:ascii="Times New Roman"/>
          <w:highlight w:val="none"/>
        </w:rPr>
      </w:pPr>
      <w:r>
        <w:rPr>
          <w:rFonts w:hint="eastAsia" w:ascii="Times New Roman"/>
          <w:highlight w:val="none"/>
        </w:rPr>
        <w:t>因乙方未按法定税率计算税额或未根据本合同约定出具对应税额的增值税专用发票等原因导致甲方多支付税额的，乙方必须退还甲方，给甲方造成损失的，乙方须向甲方赔偿相应损失。</w:t>
      </w:r>
    </w:p>
    <w:p>
      <w:pPr>
        <w:pStyle w:val="37"/>
        <w:spacing w:line="360" w:lineRule="auto"/>
        <w:ind w:firstLine="480"/>
        <w:rPr>
          <w:rFonts w:ascii="Times New Roman"/>
          <w:highlight w:val="none"/>
        </w:rPr>
      </w:pPr>
      <w:r>
        <w:rPr>
          <w:rFonts w:hint="eastAsia" w:ascii="Times New Roman"/>
          <w:highlight w:val="none"/>
        </w:rPr>
        <w:t>3、合同价税合计为</w:t>
      </w:r>
      <w:r>
        <w:rPr>
          <w:rFonts w:ascii="Times New Roman"/>
          <w:highlight w:val="none"/>
          <w:u w:val="single"/>
        </w:rPr>
        <w:t>¥</w:t>
      </w:r>
      <w:r>
        <w:rPr>
          <w:rFonts w:hint="eastAsia" w:ascii="Times New Roman"/>
          <w:highlight w:val="none"/>
          <w:u w:val="single"/>
        </w:rPr>
        <w:t xml:space="preserve">         </w:t>
      </w:r>
      <w:r>
        <w:rPr>
          <w:rFonts w:ascii="Times New Roman"/>
          <w:highlight w:val="none"/>
          <w:u w:val="single"/>
        </w:rPr>
        <w:t xml:space="preserve"> </w:t>
      </w:r>
      <w:r>
        <w:rPr>
          <w:rFonts w:hint="eastAsia" w:ascii="Times New Roman"/>
          <w:highlight w:val="none"/>
          <w:u w:val="single"/>
        </w:rPr>
        <w:t>元</w:t>
      </w:r>
      <w:r>
        <w:rPr>
          <w:rFonts w:hint="eastAsia" w:ascii="Times New Roman"/>
          <w:highlight w:val="none"/>
        </w:rPr>
        <w:t>（大写人民币</w:t>
      </w:r>
      <w:r>
        <w:rPr>
          <w:rFonts w:hint="eastAsia" w:ascii="Times New Roman"/>
          <w:highlight w:val="none"/>
          <w:u w:val="single"/>
        </w:rPr>
        <w:t xml:space="preserve">             </w:t>
      </w:r>
      <w:r>
        <w:rPr>
          <w:rFonts w:hint="eastAsia" w:ascii="Times New Roman"/>
          <w:highlight w:val="none"/>
        </w:rPr>
        <w:t>），合同履行期间根据本条第2项规定调整销项税额的，结算合同价税合计对应调整。</w:t>
      </w:r>
    </w:p>
    <w:p>
      <w:pPr>
        <w:spacing w:line="360" w:lineRule="auto"/>
        <w:ind w:firstLine="480" w:firstLineChars="200"/>
        <w:rPr>
          <w:rFonts w:ascii="Times New Roman"/>
          <w:highlight w:val="none"/>
        </w:rPr>
      </w:pPr>
      <w:r>
        <w:rPr>
          <w:rFonts w:ascii="Times New Roman"/>
          <w:highlight w:val="none"/>
        </w:rPr>
        <w:t>4</w:t>
      </w:r>
      <w:r>
        <w:rPr>
          <w:rFonts w:hint="eastAsia" w:ascii="Times New Roman"/>
          <w:highlight w:val="none"/>
        </w:rPr>
        <w:t>、合同在履约过程中，乙方根据本合同约定需向甲方支付违约金、赔偿金、或其他应付费用等款项的，甲方有权要求乙方向甲方支付完前述款项后，甲方才根据本合同向乙方支付合同价和税额，由此造成逾期付款的，甲方不构成违约；或者，甲方有权直接从未付合同款项中扣除前述款项，且乙方必须按照扣除前述款项前的合同价（销售额）开具增值税专用发票，保证增值税税额符合法律规定。</w:t>
      </w:r>
    </w:p>
    <w:p>
      <w:pPr>
        <w:spacing w:line="360" w:lineRule="auto"/>
        <w:ind w:firstLine="480" w:firstLineChars="200"/>
        <w:rPr>
          <w:rFonts w:ascii="Times New Roman"/>
          <w:highlight w:val="none"/>
        </w:rPr>
      </w:pPr>
      <w:r>
        <w:rPr>
          <w:rFonts w:ascii="Times New Roman"/>
          <w:highlight w:val="none"/>
        </w:rPr>
        <w:t>5</w:t>
      </w:r>
      <w:r>
        <w:rPr>
          <w:rFonts w:hint="eastAsia" w:ascii="Times New Roman"/>
          <w:highlight w:val="none"/>
        </w:rPr>
        <w:t>、本服务项目付款分为四个阶段：</w:t>
      </w:r>
    </w:p>
    <w:p>
      <w:pPr>
        <w:spacing w:line="360" w:lineRule="auto"/>
        <w:ind w:firstLine="480" w:firstLineChars="200"/>
        <w:rPr>
          <w:rFonts w:ascii="Times New Roman"/>
          <w:highlight w:val="none"/>
        </w:rPr>
      </w:pPr>
      <w:r>
        <w:rPr>
          <w:rFonts w:hint="eastAsia" w:ascii="Times New Roman"/>
          <w:highlight w:val="none"/>
        </w:rPr>
        <w:t>（1）甲方出具《OA系统升级迁移验收报告》后，乙方向甲方申请支付合同价的50%及对应税额。</w:t>
      </w:r>
    </w:p>
    <w:p>
      <w:pPr>
        <w:spacing w:line="360" w:lineRule="auto"/>
        <w:ind w:firstLine="480" w:firstLineChars="200"/>
        <w:rPr>
          <w:rFonts w:ascii="Times New Roman"/>
          <w:highlight w:val="none"/>
        </w:rPr>
      </w:pPr>
      <w:r>
        <w:rPr>
          <w:rFonts w:hint="eastAsia" w:ascii="Times New Roman"/>
          <w:highlight w:val="none"/>
        </w:rPr>
        <w:t>（2）甲方出具《OA系统迁移符合安全可靠测评设备环境验收报告》后，乙方向甲方申请支付合同价的25%及对应税额。</w:t>
      </w:r>
    </w:p>
    <w:p>
      <w:pPr>
        <w:ind w:firstLine="480" w:firstLineChars="200"/>
        <w:rPr>
          <w:rFonts w:ascii="Times New Roman"/>
          <w:highlight w:val="none"/>
        </w:rPr>
      </w:pPr>
      <w:r>
        <w:rPr>
          <w:rFonts w:hint="eastAsia" w:ascii="Times New Roman"/>
          <w:highlight w:val="none"/>
        </w:rPr>
        <w:t>（3）甲方出具《OA系统优化验收报告》后，乙方向甲方申请支付合同价的20%及对应税额。</w:t>
      </w:r>
    </w:p>
    <w:p>
      <w:pPr>
        <w:spacing w:line="360" w:lineRule="auto"/>
        <w:ind w:firstLine="480" w:firstLineChars="200"/>
        <w:rPr>
          <w:rFonts w:ascii="Times New Roman"/>
          <w:highlight w:val="none"/>
        </w:rPr>
      </w:pPr>
      <w:r>
        <w:rPr>
          <w:rFonts w:hint="eastAsia" w:ascii="Times New Roman"/>
          <w:highlight w:val="none"/>
        </w:rPr>
        <w:t>（4）剩余5%的合同价及对应税额作为质保金，质保期届满后，乙方向甲方申请支付质保金。项目内容无质量问题、乙方无违约行为且按照本合同约定提供质保服务的，甲方将质保金无息支付给乙方。如质保期内乙方未能按合同约定提供质保服务的，在质保期满后由甲方根据乙方实际履行质保服务情况与乙方结算质保金。</w:t>
      </w:r>
    </w:p>
    <w:p>
      <w:pPr>
        <w:spacing w:line="360" w:lineRule="auto"/>
        <w:ind w:firstLine="480" w:firstLineChars="200"/>
        <w:rPr>
          <w:rFonts w:ascii="Times New Roman"/>
          <w:highlight w:val="none"/>
        </w:rPr>
      </w:pPr>
      <w:r>
        <w:rPr>
          <w:rFonts w:hint="eastAsia" w:ascii="Times New Roman"/>
          <w:highlight w:val="none"/>
        </w:rPr>
        <w:t>6.在甲方支付每笔款项前，乙方应向甲方提供等额有效的增值税专用发票和请款报告等请款材料。因乙方逾期提供请款材料，或所提供的请款材料不符合甲方要求的，甲方有权顺延付款时间，并不承担任何违约责任。</w:t>
      </w:r>
    </w:p>
    <w:p>
      <w:pPr>
        <w:spacing w:line="360" w:lineRule="auto"/>
        <w:ind w:firstLine="480" w:firstLineChars="200"/>
        <w:rPr>
          <w:rFonts w:ascii="Times New Roman"/>
          <w:highlight w:val="none"/>
        </w:rPr>
      </w:pPr>
      <w:r>
        <w:rPr>
          <w:rFonts w:hint="eastAsia" w:ascii="Times New Roman"/>
          <w:highlight w:val="none"/>
        </w:rPr>
        <w:t>7.乙方指定收款银行账户信息如下：</w:t>
      </w:r>
    </w:p>
    <w:p>
      <w:pPr>
        <w:adjustRightInd/>
        <w:spacing w:line="360" w:lineRule="auto"/>
        <w:ind w:firstLine="440" w:firstLineChars="200"/>
        <w:rPr>
          <w:rFonts w:hAnsi="宋体"/>
          <w:sz w:val="22"/>
          <w:szCs w:val="22"/>
          <w:highlight w:val="none"/>
          <w:u w:val="single"/>
          <w:lang w:bidi="ar"/>
        </w:rPr>
      </w:pPr>
      <w:r>
        <w:rPr>
          <w:rFonts w:hAnsi="宋体"/>
          <w:sz w:val="22"/>
          <w:szCs w:val="22"/>
          <w:highlight w:val="none"/>
          <w:lang w:bidi="ar"/>
        </w:rPr>
        <w:t>公司名称：</w:t>
      </w:r>
      <w:r>
        <w:rPr>
          <w:rFonts w:hAnsi="宋体"/>
          <w:sz w:val="22"/>
          <w:szCs w:val="22"/>
          <w:highlight w:val="none"/>
          <w:u w:val="single"/>
          <w:lang w:bidi="ar"/>
        </w:rPr>
        <w:t xml:space="preserve">                                     </w:t>
      </w:r>
    </w:p>
    <w:p>
      <w:pPr>
        <w:adjustRightInd/>
        <w:spacing w:line="360" w:lineRule="auto"/>
        <w:ind w:firstLine="440" w:firstLineChars="200"/>
        <w:rPr>
          <w:rFonts w:hAnsi="宋体"/>
          <w:sz w:val="22"/>
          <w:szCs w:val="22"/>
          <w:highlight w:val="none"/>
          <w:lang w:bidi="ar"/>
        </w:rPr>
      </w:pPr>
      <w:r>
        <w:rPr>
          <w:rFonts w:hAnsi="宋体"/>
          <w:sz w:val="22"/>
          <w:szCs w:val="22"/>
          <w:highlight w:val="none"/>
          <w:lang w:bidi="ar"/>
        </w:rPr>
        <w:t>开户银行：</w:t>
      </w:r>
      <w:r>
        <w:rPr>
          <w:rFonts w:hAnsi="宋体"/>
          <w:sz w:val="22"/>
          <w:szCs w:val="22"/>
          <w:highlight w:val="none"/>
          <w:u w:val="single"/>
          <w:lang w:bidi="ar"/>
        </w:rPr>
        <w:t xml:space="preserve">                                     </w:t>
      </w:r>
    </w:p>
    <w:p>
      <w:pPr>
        <w:adjustRightInd/>
        <w:spacing w:line="360" w:lineRule="auto"/>
        <w:ind w:firstLine="440" w:firstLineChars="200"/>
        <w:rPr>
          <w:rFonts w:ascii="Times New Roman"/>
          <w:highlight w:val="none"/>
        </w:rPr>
      </w:pPr>
      <w:r>
        <w:rPr>
          <w:rFonts w:hAnsi="宋体"/>
          <w:sz w:val="22"/>
          <w:szCs w:val="22"/>
          <w:highlight w:val="none"/>
          <w:lang w:bidi="ar"/>
        </w:rPr>
        <w:t>账    号：</w:t>
      </w:r>
      <w:r>
        <w:rPr>
          <w:rFonts w:hAnsi="宋体"/>
          <w:sz w:val="22"/>
          <w:szCs w:val="22"/>
          <w:highlight w:val="none"/>
          <w:u w:val="single"/>
          <w:lang w:bidi="ar"/>
        </w:rPr>
        <w:t xml:space="preserve">                                     </w:t>
      </w:r>
      <w:r>
        <w:rPr>
          <w:rFonts w:hint="eastAsia" w:ascii="Times New Roman"/>
          <w:highlight w:val="none"/>
        </w:rPr>
        <w:t xml:space="preserve">   </w:t>
      </w:r>
    </w:p>
    <w:p>
      <w:pPr>
        <w:adjustRightInd/>
        <w:spacing w:line="360" w:lineRule="auto"/>
        <w:ind w:firstLine="480" w:firstLineChars="200"/>
        <w:rPr>
          <w:rFonts w:ascii="Times New Roman"/>
          <w:highlight w:val="none"/>
        </w:rPr>
      </w:pPr>
      <w:r>
        <w:rPr>
          <w:rFonts w:hint="eastAsia" w:ascii="Times New Roman"/>
          <w:highlight w:val="none"/>
        </w:rPr>
        <w:t xml:space="preserve">乙方提供的收款账户如需进行变更的，应当提前【】个工作日以书面形式通知甲方。乙方未及时履行书面通知义务的，由此造成的损失应自行负责。 </w:t>
      </w:r>
    </w:p>
    <w:p>
      <w:pPr>
        <w:adjustRightInd/>
        <w:spacing w:line="360" w:lineRule="auto"/>
        <w:ind w:firstLine="480" w:firstLineChars="200"/>
        <w:rPr>
          <w:rFonts w:ascii="Times New Roman"/>
          <w:highlight w:val="none"/>
        </w:rPr>
      </w:pPr>
      <w:r>
        <w:rPr>
          <w:rFonts w:hint="eastAsia" w:ascii="Times New Roman"/>
          <w:highlight w:val="none"/>
        </w:rPr>
        <w:t xml:space="preserve">                                </w:t>
      </w:r>
    </w:p>
    <w:p>
      <w:pPr>
        <w:autoSpaceDE/>
        <w:autoSpaceDN/>
        <w:adjustRightInd/>
        <w:spacing w:line="360" w:lineRule="auto"/>
        <w:jc w:val="both"/>
        <w:outlineLvl w:val="1"/>
        <w:rPr>
          <w:rFonts w:ascii="Times New Roman"/>
          <w:b/>
          <w:highlight w:val="none"/>
        </w:rPr>
      </w:pPr>
      <w:bookmarkStart w:id="40" w:name="_Toc27495485"/>
      <w:r>
        <w:rPr>
          <w:rFonts w:hint="eastAsia" w:ascii="Times New Roman"/>
          <w:b/>
          <w:highlight w:val="none"/>
        </w:rPr>
        <w:t>第六条 违约责任</w:t>
      </w:r>
      <w:bookmarkEnd w:id="40"/>
    </w:p>
    <w:p>
      <w:pPr>
        <w:spacing w:line="360" w:lineRule="auto"/>
        <w:ind w:firstLine="480" w:firstLineChars="200"/>
        <w:rPr>
          <w:rFonts w:ascii="Times New Roman"/>
          <w:highlight w:val="none"/>
        </w:rPr>
      </w:pPr>
      <w:r>
        <w:rPr>
          <w:rFonts w:hint="eastAsia" w:ascii="Times New Roman"/>
          <w:highlight w:val="none"/>
        </w:rPr>
        <w:t>1、乙方未能按本合同约定时间且经甲方通知后拒向甲方提供</w:t>
      </w:r>
      <w:r>
        <w:rPr>
          <w:rFonts w:hint="eastAsia" w:ascii="Times New Roman"/>
          <w:highlight w:val="none"/>
          <w:u w:val="single"/>
        </w:rPr>
        <w:t>OA系统信息安全加固</w:t>
      </w:r>
      <w:r>
        <w:rPr>
          <w:rFonts w:hint="eastAsia" w:ascii="Times New Roman"/>
          <w:highlight w:val="none"/>
        </w:rPr>
        <w:t>服务的，每延误一日，应按合同价1%为标准向甲方支付违约金，最高不超过合同价的10%，同时甲方有权随时另行委托其他第三人提供本合同项下</w:t>
      </w:r>
      <w:r>
        <w:rPr>
          <w:rFonts w:hint="eastAsia" w:ascii="Times New Roman"/>
          <w:highlight w:val="none"/>
          <w:u w:val="single"/>
        </w:rPr>
        <w:t>OA系统信息安全加固</w:t>
      </w:r>
      <w:r>
        <w:rPr>
          <w:rFonts w:hint="eastAsia" w:ascii="Times New Roman"/>
          <w:highlight w:val="none"/>
        </w:rPr>
        <w:t>服务，由此产生的费用、差价及其他一切损失由乙方承担。如延误超过3日，或累计出现3次前述违约行为的，甲方有权单方解除合同，除承担前述违约责任外，乙方还应向甲方支付合同价20%的违约金。</w:t>
      </w:r>
    </w:p>
    <w:p>
      <w:pPr>
        <w:spacing w:line="360" w:lineRule="auto"/>
        <w:ind w:firstLine="480" w:firstLineChars="200"/>
        <w:rPr>
          <w:rFonts w:ascii="Times New Roman"/>
          <w:highlight w:val="none"/>
        </w:rPr>
      </w:pPr>
      <w:r>
        <w:rPr>
          <w:rFonts w:ascii="Times New Roman"/>
          <w:highlight w:val="none"/>
        </w:rPr>
        <w:t>2</w:t>
      </w:r>
      <w:r>
        <w:rPr>
          <w:rFonts w:hint="eastAsia" w:ascii="Times New Roman"/>
          <w:highlight w:val="none"/>
        </w:rPr>
        <w:t>、乙方所交付的服务成果不符本合同、甲方及使用部门要求的，甲方有权拒绝接受，并有权要求乙方在甲方限定时间内对服务成果予以无条件、免费返工，直至符合本合同、甲方及使用部门的要求，同时乙方须向甲方支付合同价5 %的违约金。</w:t>
      </w:r>
      <w:r>
        <w:rPr>
          <w:rFonts w:hint="eastAsia" w:hAnsi="宋体" w:cs="宋体"/>
          <w:highlight w:val="none"/>
        </w:rPr>
        <w:t>若因乙方原因导致乙方无法按照本合同完成服务的，甲方有权单方解除合同，且有权要求乙方支付合同价20 %的违约金，</w:t>
      </w:r>
      <w:r>
        <w:rPr>
          <w:rFonts w:hint="eastAsia" w:ascii="Times New Roman"/>
          <w:highlight w:val="none"/>
        </w:rPr>
        <w:t>不予支付任何费用并有权另行委托其他第三人提供本合同项下</w:t>
      </w:r>
      <w:r>
        <w:rPr>
          <w:rFonts w:hint="eastAsia" w:ascii="Times New Roman"/>
          <w:highlight w:val="none"/>
          <w:u w:val="single"/>
        </w:rPr>
        <w:t>OA系统信息安全加固</w:t>
      </w:r>
      <w:r>
        <w:rPr>
          <w:rFonts w:hint="eastAsia" w:ascii="Times New Roman"/>
          <w:highlight w:val="none"/>
        </w:rPr>
        <w:t>服务，由此产生的费用、差价及其他一切损失由乙方承担。如违约金不足以弥补甲方损失的，甲方有权另行追偿。</w:t>
      </w:r>
    </w:p>
    <w:p>
      <w:pPr>
        <w:spacing w:line="360" w:lineRule="auto"/>
        <w:ind w:firstLine="480" w:firstLineChars="200"/>
        <w:rPr>
          <w:rFonts w:ascii="Times New Roman"/>
          <w:highlight w:val="none"/>
        </w:rPr>
      </w:pPr>
      <w:r>
        <w:rPr>
          <w:rFonts w:hint="eastAsia" w:ascii="Times New Roman"/>
          <w:highlight w:val="none"/>
        </w:rPr>
        <w:t>3、</w:t>
      </w:r>
      <w:r>
        <w:rPr>
          <w:rFonts w:hint="eastAsia" w:hAnsi="宋体" w:cs="宋体"/>
          <w:highlight w:val="none"/>
        </w:rPr>
        <w:t>若因乙方原因导致无法按照</w:t>
      </w:r>
      <w:r>
        <w:rPr>
          <w:rFonts w:hint="eastAsia" w:ascii="Times New Roman"/>
          <w:highlight w:val="none"/>
        </w:rPr>
        <w:t>本合同“第二条（五）项目进度要求</w:t>
      </w:r>
      <w:r>
        <w:rPr>
          <w:rFonts w:hint="eastAsia" w:ascii="Times New Roman"/>
          <w:b/>
          <w:bCs/>
          <w:highlight w:val="none"/>
        </w:rPr>
        <w:t>”</w:t>
      </w:r>
      <w:r>
        <w:rPr>
          <w:rFonts w:hint="eastAsia" w:ascii="Times New Roman"/>
          <w:highlight w:val="none"/>
        </w:rPr>
        <w:t>交付成果，各项进度每延迟一天，乙方须向甲方支付合同价0.5%的违约金，最高不超过合同价的20%。</w:t>
      </w:r>
    </w:p>
    <w:p>
      <w:pPr>
        <w:spacing w:line="360" w:lineRule="auto"/>
        <w:ind w:firstLine="480" w:firstLineChars="200"/>
        <w:rPr>
          <w:rFonts w:ascii="Times New Roman"/>
          <w:highlight w:val="none"/>
        </w:rPr>
      </w:pPr>
      <w:r>
        <w:rPr>
          <w:rFonts w:hint="eastAsia" w:ascii="Times New Roman"/>
          <w:highlight w:val="none"/>
        </w:rPr>
        <w:t>4、乙方违反第二条第六款第三项知识产权条款的约定，使甲方被第三方起诉或遭受其他损失的，应由乙方承担赔偿责任。</w:t>
      </w:r>
    </w:p>
    <w:p>
      <w:pPr>
        <w:spacing w:line="360" w:lineRule="auto"/>
        <w:ind w:firstLine="480" w:firstLineChars="200"/>
        <w:rPr>
          <w:rFonts w:ascii="Times New Roman"/>
          <w:highlight w:val="none"/>
        </w:rPr>
      </w:pPr>
      <w:r>
        <w:rPr>
          <w:rFonts w:hint="eastAsia" w:ascii="Times New Roman"/>
          <w:highlight w:val="none"/>
        </w:rPr>
        <w:t>5、乙方未经甲方书面同意，擅自将本合同项下服务内容全部或部分转让给第三方的，甲方有权单方解除合同，并要求乙方按本合同价的20%承担违约金，违约金不足以弥补甲方损失的，甲方有权继续向乙方追索。</w:t>
      </w:r>
    </w:p>
    <w:p>
      <w:pPr>
        <w:spacing w:line="360" w:lineRule="auto"/>
        <w:ind w:firstLine="480" w:firstLineChars="200"/>
        <w:rPr>
          <w:rFonts w:ascii="Times New Roman"/>
          <w:highlight w:val="none"/>
        </w:rPr>
      </w:pPr>
      <w:r>
        <w:rPr>
          <w:rFonts w:hint="eastAsia" w:ascii="Times New Roman"/>
          <w:highlight w:val="none"/>
        </w:rPr>
        <w:t>6、乙方未按约定履行售后服务义务的，甲方有权要求限期改正。如逾期仍未改正的，甲方有权单方解除合同，且有权要求乙方支付合同价5 %的违约金。</w:t>
      </w:r>
    </w:p>
    <w:p>
      <w:pPr>
        <w:spacing w:line="360" w:lineRule="auto"/>
        <w:ind w:firstLine="480" w:firstLineChars="200"/>
        <w:rPr>
          <w:rFonts w:ascii="Times New Roman"/>
          <w:highlight w:val="none"/>
        </w:rPr>
      </w:pPr>
      <w:r>
        <w:rPr>
          <w:rFonts w:hint="eastAsia" w:ascii="Times New Roman"/>
          <w:highlight w:val="none"/>
        </w:rPr>
        <w:t>7、乙方保证具有履行本合同的资质条件，并承诺在合同履行期限保证资质有效。同时加强对从业人员的执业管理，保证具有履行本合同的资质能力。如因资质丧失（包括但不限于注销、撤销、降低等）、人员缺乏导致无法继续履行的，甲方有权单方解除本合同，要求乙方向甲方支付合同价的20%作为违约金，并另行委托有资质的第三方继续进行（乙方应无条件配合移交相关工作），由此造成的损失由乙方承担。</w:t>
      </w:r>
    </w:p>
    <w:p>
      <w:pPr>
        <w:spacing w:line="360" w:lineRule="auto"/>
        <w:ind w:firstLine="480" w:firstLineChars="200"/>
        <w:rPr>
          <w:rFonts w:ascii="Times New Roman"/>
          <w:highlight w:val="none"/>
        </w:rPr>
      </w:pPr>
      <w:r>
        <w:rPr>
          <w:rFonts w:hint="eastAsia" w:ascii="Times New Roman"/>
          <w:highlight w:val="none"/>
        </w:rPr>
        <w:t>8、无论是否在质保期内，因乙方提供的服务的原因发生安全事故或引起其他损失、造成不良后果的，乙方应承担全部责任及损失赔偿。</w:t>
      </w:r>
    </w:p>
    <w:p>
      <w:pPr>
        <w:spacing w:line="360" w:lineRule="auto"/>
        <w:ind w:firstLine="480" w:firstLineChars="200"/>
        <w:rPr>
          <w:rFonts w:ascii="Times New Roman"/>
          <w:highlight w:val="none"/>
        </w:rPr>
      </w:pPr>
      <w:r>
        <w:rPr>
          <w:rFonts w:hint="eastAsia" w:ascii="Times New Roman"/>
          <w:highlight w:val="none"/>
        </w:rPr>
        <w:t>9、甲方损失无法计算的，乙方同意按合同价的20 %计算损失并赔偿给甲方。</w:t>
      </w:r>
    </w:p>
    <w:p>
      <w:pPr>
        <w:spacing w:line="360" w:lineRule="auto"/>
        <w:rPr>
          <w:rFonts w:ascii="Times New Roman"/>
          <w:highlight w:val="none"/>
        </w:rPr>
      </w:pPr>
    </w:p>
    <w:p>
      <w:pPr>
        <w:autoSpaceDE/>
        <w:autoSpaceDN/>
        <w:adjustRightInd/>
        <w:spacing w:line="360" w:lineRule="auto"/>
        <w:jc w:val="both"/>
        <w:outlineLvl w:val="1"/>
        <w:rPr>
          <w:rFonts w:ascii="Times New Roman"/>
          <w:b/>
          <w:highlight w:val="none"/>
        </w:rPr>
      </w:pPr>
      <w:bookmarkStart w:id="41" w:name="_Toc27495486"/>
      <w:r>
        <w:rPr>
          <w:rFonts w:hint="eastAsia" w:ascii="Times New Roman"/>
          <w:b/>
          <w:highlight w:val="none"/>
        </w:rPr>
        <w:t>第七条 不可抗力</w:t>
      </w:r>
      <w:bookmarkEnd w:id="41"/>
    </w:p>
    <w:p>
      <w:pPr>
        <w:spacing w:line="360" w:lineRule="auto"/>
        <w:ind w:firstLine="480" w:firstLineChars="200"/>
        <w:rPr>
          <w:rFonts w:ascii="Times New Roman"/>
          <w:highlight w:val="none"/>
        </w:rPr>
      </w:pPr>
      <w:r>
        <w:rPr>
          <w:rFonts w:hint="eastAsia" w:ascii="Times New Roman"/>
          <w:highlight w:val="none"/>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w:t>
      </w:r>
      <w:r>
        <w:rPr>
          <w:rFonts w:ascii="Times New Roman"/>
          <w:highlight w:val="none"/>
          <w:u w:val="single"/>
        </w:rPr>
        <w:t>15</w:t>
      </w:r>
      <w:r>
        <w:rPr>
          <w:rFonts w:hint="eastAsia" w:ascii="Times New Roman"/>
          <w:highlight w:val="none"/>
        </w:rPr>
        <w:t>个工作日内，提供事故详情及合同不能履行、或者部分不能履行、或者需要延期履行的理由的有效证明文件。按照事故对履行合同影响的程度，由各方协商决定是否解除合同，或者部分免除履行合同的责任，或者延期履行合同。</w:t>
      </w:r>
    </w:p>
    <w:p>
      <w:pPr>
        <w:spacing w:line="360" w:lineRule="auto"/>
        <w:ind w:firstLine="480" w:firstLineChars="200"/>
        <w:rPr>
          <w:rFonts w:ascii="Times New Roman"/>
          <w:highlight w:val="none"/>
        </w:rPr>
      </w:pPr>
    </w:p>
    <w:p>
      <w:pPr>
        <w:autoSpaceDE/>
        <w:autoSpaceDN/>
        <w:adjustRightInd/>
        <w:spacing w:line="360" w:lineRule="auto"/>
        <w:jc w:val="both"/>
        <w:outlineLvl w:val="1"/>
        <w:rPr>
          <w:rFonts w:ascii="Times New Roman"/>
          <w:b/>
          <w:highlight w:val="none"/>
        </w:rPr>
      </w:pPr>
      <w:bookmarkStart w:id="42" w:name="_Toc27495488"/>
      <w:r>
        <w:rPr>
          <w:rFonts w:hint="eastAsia" w:ascii="Times New Roman"/>
          <w:b/>
          <w:highlight w:val="none"/>
        </w:rPr>
        <w:t>第八条 合同争议的解决办法</w:t>
      </w:r>
      <w:bookmarkEnd w:id="42"/>
    </w:p>
    <w:p>
      <w:pPr>
        <w:spacing w:line="360" w:lineRule="auto"/>
        <w:ind w:firstLine="403"/>
        <w:rPr>
          <w:rFonts w:ascii="Times New Roman"/>
          <w:highlight w:val="none"/>
        </w:rPr>
      </w:pPr>
      <w:r>
        <w:rPr>
          <w:rFonts w:hint="eastAsia" w:ascii="Times New Roman"/>
          <w:highlight w:val="none"/>
        </w:rPr>
        <w:t>1、双方因本合同发生争议的，可协商解决。协商不成的，任何一方可向甲方住所地有管辖权的人民法院提起诉讼。</w:t>
      </w:r>
    </w:p>
    <w:p>
      <w:pPr>
        <w:spacing w:line="360" w:lineRule="auto"/>
        <w:ind w:firstLine="403"/>
        <w:rPr>
          <w:rFonts w:ascii="Times New Roman"/>
          <w:highlight w:val="none"/>
        </w:rPr>
      </w:pPr>
      <w:r>
        <w:rPr>
          <w:rFonts w:hint="eastAsia" w:ascii="Times New Roman"/>
          <w:highlight w:val="none"/>
        </w:rPr>
        <w:t>2、本合同中的甲方因追究乙方违约责任所产生的所有费用由乙方承担（包括但不限于诉讼费、财产保全费、担保费、公证费、评估费、鉴定费、律师费、差旅费、向第三人支付的赔偿款/违约金/费用、向政府部门支付的罚款等）。</w:t>
      </w:r>
    </w:p>
    <w:p>
      <w:pPr>
        <w:spacing w:line="360" w:lineRule="auto"/>
        <w:rPr>
          <w:rFonts w:ascii="Times New Roman"/>
          <w:highlight w:val="none"/>
        </w:rPr>
      </w:pPr>
    </w:p>
    <w:p>
      <w:pPr>
        <w:autoSpaceDE/>
        <w:autoSpaceDN/>
        <w:adjustRightInd/>
        <w:spacing w:line="360" w:lineRule="auto"/>
        <w:jc w:val="both"/>
        <w:outlineLvl w:val="1"/>
        <w:rPr>
          <w:rFonts w:ascii="Times New Roman"/>
          <w:b/>
          <w:highlight w:val="none"/>
        </w:rPr>
      </w:pPr>
      <w:bookmarkStart w:id="43" w:name="_Toc27495489"/>
      <w:r>
        <w:rPr>
          <w:rFonts w:hint="eastAsia" w:ascii="Times New Roman"/>
          <w:b/>
          <w:highlight w:val="none"/>
        </w:rPr>
        <w:t>第九条 其他</w:t>
      </w:r>
      <w:bookmarkEnd w:id="43"/>
    </w:p>
    <w:p>
      <w:pPr>
        <w:widowControl/>
        <w:spacing w:line="360" w:lineRule="auto"/>
        <w:ind w:firstLine="480" w:firstLineChars="200"/>
        <w:rPr>
          <w:rFonts w:ascii="Times New Roman"/>
          <w:highlight w:val="none"/>
        </w:rPr>
      </w:pPr>
      <w:r>
        <w:rPr>
          <w:rFonts w:ascii="Times New Roman"/>
          <w:highlight w:val="none"/>
        </w:rPr>
        <w:t>1</w:t>
      </w:r>
      <w:r>
        <w:rPr>
          <w:rFonts w:hint="eastAsia" w:ascii="Times New Roman"/>
          <w:highlight w:val="none"/>
        </w:rPr>
        <w:t>、乙方在签订本合同时，须与甲方签订《安全生产管理协议》。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r>
        <w:rPr>
          <w:rFonts w:ascii="Times New Roman"/>
          <w:highlight w:val="none"/>
        </w:rPr>
        <w:t>。</w:t>
      </w:r>
    </w:p>
    <w:p>
      <w:pPr>
        <w:widowControl/>
        <w:spacing w:line="360" w:lineRule="auto"/>
        <w:ind w:firstLine="480" w:firstLineChars="200"/>
        <w:rPr>
          <w:rFonts w:ascii="Times New Roman"/>
          <w:highlight w:val="none"/>
        </w:rPr>
      </w:pPr>
      <w:r>
        <w:rPr>
          <w:rFonts w:ascii="Times New Roman"/>
          <w:highlight w:val="none"/>
        </w:rPr>
        <w:t>2</w:t>
      </w:r>
      <w:r>
        <w:rPr>
          <w:rFonts w:hint="eastAsia" w:ascii="Times New Roman"/>
          <w:highlight w:val="none"/>
        </w:rPr>
        <w:t>、乙方确认：本合同中列明的乙方</w:t>
      </w:r>
      <w:r>
        <w:rPr>
          <w:rFonts w:ascii="Times New Roman"/>
          <w:highlight w:val="none"/>
        </w:rPr>
        <w:t>“</w:t>
      </w:r>
      <w:r>
        <w:rPr>
          <w:rFonts w:hint="eastAsia" w:ascii="Times New Roman"/>
          <w:highlight w:val="none"/>
        </w:rPr>
        <w:t>地址</w:t>
      </w:r>
      <w:r>
        <w:rPr>
          <w:rFonts w:ascii="Times New Roman"/>
          <w:highlight w:val="none"/>
        </w:rPr>
        <w:t>”</w:t>
      </w:r>
      <w:r>
        <w:rPr>
          <w:rFonts w:hint="eastAsia" w:ascii="Times New Roman"/>
          <w:highlight w:val="none"/>
        </w:rPr>
        <w:t>为有效的收件地址，甲方对乙方的相关通知、函件等可通过特快专递方式送达至该地址。甲方通过特快专递方式向乙方</w:t>
      </w:r>
      <w:r>
        <w:rPr>
          <w:rFonts w:ascii="Times New Roman"/>
          <w:highlight w:val="none"/>
        </w:rPr>
        <w:t>“</w:t>
      </w:r>
      <w:r>
        <w:rPr>
          <w:rFonts w:hint="eastAsia" w:ascii="Times New Roman"/>
          <w:highlight w:val="none"/>
        </w:rPr>
        <w:t>地址</w:t>
      </w:r>
      <w:r>
        <w:rPr>
          <w:rFonts w:ascii="Times New Roman"/>
          <w:highlight w:val="none"/>
        </w:rPr>
        <w:t>”</w:t>
      </w:r>
      <w:r>
        <w:rPr>
          <w:rFonts w:hint="eastAsia" w:ascii="Times New Roman"/>
          <w:highlight w:val="none"/>
        </w:rPr>
        <w:t>发出相关通知、函件等</w:t>
      </w:r>
      <w:r>
        <w:rPr>
          <w:rFonts w:ascii="Times New Roman"/>
          <w:highlight w:val="none"/>
          <w:u w:val="single"/>
        </w:rPr>
        <w:t>3</w:t>
      </w:r>
      <w:r>
        <w:rPr>
          <w:rFonts w:hint="eastAsia" w:ascii="Times New Roman"/>
          <w:highlight w:val="none"/>
        </w:rPr>
        <w:t>日后，即视为有效送达。乙方更换地址的，应该</w:t>
      </w:r>
      <w:r>
        <w:rPr>
          <w:rFonts w:ascii="Times New Roman"/>
          <w:highlight w:val="none"/>
          <w:u w:val="single"/>
        </w:rPr>
        <w:t>3</w:t>
      </w:r>
      <w:r>
        <w:rPr>
          <w:rFonts w:hint="eastAsia" w:ascii="Times New Roman"/>
          <w:highlight w:val="none"/>
        </w:rPr>
        <w:t>日内书面告知甲方。</w:t>
      </w:r>
    </w:p>
    <w:p>
      <w:pPr>
        <w:spacing w:line="360" w:lineRule="auto"/>
        <w:ind w:firstLine="480" w:firstLineChars="200"/>
        <w:rPr>
          <w:rFonts w:ascii="Times New Roman"/>
          <w:highlight w:val="none"/>
        </w:rPr>
      </w:pPr>
      <w:r>
        <w:rPr>
          <w:rFonts w:hint="eastAsia" w:ascii="Times New Roman"/>
          <w:highlight w:val="none"/>
        </w:rPr>
        <w:t>3、本合同一式</w:t>
      </w:r>
      <w:r>
        <w:rPr>
          <w:rFonts w:ascii="Times New Roman"/>
          <w:highlight w:val="none"/>
          <w:u w:val="single"/>
        </w:rPr>
        <w:t xml:space="preserve"> </w:t>
      </w:r>
      <w:r>
        <w:rPr>
          <w:rFonts w:hint="eastAsia" w:ascii="Times New Roman"/>
          <w:highlight w:val="none"/>
          <w:u w:val="single"/>
        </w:rPr>
        <w:t xml:space="preserve">伍 </w:t>
      </w:r>
      <w:r>
        <w:rPr>
          <w:rFonts w:hint="eastAsia" w:ascii="Times New Roman"/>
          <w:highlight w:val="none"/>
        </w:rPr>
        <w:t>份，其中甲方执</w:t>
      </w:r>
      <w:r>
        <w:rPr>
          <w:rFonts w:hint="eastAsia" w:ascii="Times New Roman"/>
          <w:highlight w:val="none"/>
          <w:u w:val="single"/>
        </w:rPr>
        <w:t xml:space="preserve"> 肆</w:t>
      </w:r>
      <w:r>
        <w:rPr>
          <w:rFonts w:ascii="Times New Roman"/>
          <w:highlight w:val="none"/>
          <w:u w:val="single"/>
        </w:rPr>
        <w:t xml:space="preserve"> </w:t>
      </w:r>
      <w:r>
        <w:rPr>
          <w:rFonts w:hint="eastAsia" w:ascii="Times New Roman"/>
          <w:highlight w:val="none"/>
        </w:rPr>
        <w:t>份，乙方执</w:t>
      </w:r>
      <w:r>
        <w:rPr>
          <w:rFonts w:hint="eastAsia" w:ascii="Times New Roman"/>
          <w:highlight w:val="none"/>
          <w:u w:val="single"/>
        </w:rPr>
        <w:t xml:space="preserve">  壹 </w:t>
      </w:r>
      <w:r>
        <w:rPr>
          <w:rFonts w:hint="eastAsia" w:ascii="Times New Roman"/>
          <w:highlight w:val="none"/>
        </w:rPr>
        <w:t>份，每份均具有同等法律效力。</w:t>
      </w:r>
    </w:p>
    <w:p>
      <w:pPr>
        <w:spacing w:line="360" w:lineRule="auto"/>
        <w:ind w:firstLine="480" w:firstLineChars="200"/>
        <w:rPr>
          <w:rFonts w:ascii="Times New Roman"/>
          <w:highlight w:val="none"/>
        </w:rPr>
      </w:pPr>
      <w:r>
        <w:rPr>
          <w:rFonts w:hint="eastAsia" w:ascii="Times New Roman"/>
          <w:highlight w:val="none"/>
        </w:rPr>
        <w:t>4、本合同经双方法定代表人或负责人签名并盖章后生效。</w:t>
      </w:r>
    </w:p>
    <w:p>
      <w:pPr>
        <w:spacing w:line="360" w:lineRule="auto"/>
        <w:ind w:firstLine="480" w:firstLineChars="200"/>
        <w:rPr>
          <w:rFonts w:ascii="Times New Roman"/>
          <w:highlight w:val="none"/>
        </w:rPr>
      </w:pPr>
      <w:r>
        <w:rPr>
          <w:rFonts w:hint="eastAsia" w:ascii="Times New Roman"/>
          <w:highlight w:val="none"/>
        </w:rPr>
        <w:t>5、本合同附件是本合同不可分割内容，与本合同同时生效，同具法律效力。合同条款与附件、采购文件、报价文件等其他文件不一致的，以有利于甲方的约定/解释为准。</w:t>
      </w:r>
    </w:p>
    <w:p>
      <w:pPr>
        <w:spacing w:line="360" w:lineRule="auto"/>
        <w:ind w:firstLine="480" w:firstLineChars="200"/>
        <w:rPr>
          <w:rFonts w:ascii="Times New Roman"/>
          <w:highlight w:val="none"/>
        </w:rPr>
      </w:pPr>
      <w:r>
        <w:rPr>
          <w:rFonts w:hint="eastAsia" w:ascii="Times New Roman"/>
          <w:highlight w:val="none"/>
        </w:rPr>
        <w:t>附件一：廉洁协议书；附件二：</w:t>
      </w:r>
      <w:r>
        <w:rPr>
          <w:rFonts w:hint="eastAsia" w:hAnsi="宋体"/>
          <w:bCs/>
          <w:highlight w:val="none"/>
        </w:rPr>
        <w:t>安全生产管理协议</w:t>
      </w:r>
      <w:r>
        <w:rPr>
          <w:rFonts w:hint="eastAsia" w:ascii="Times New Roman"/>
          <w:highlight w:val="none"/>
        </w:rPr>
        <w:t>；附件三：用户需求书。</w:t>
      </w:r>
    </w:p>
    <w:p>
      <w:pPr>
        <w:spacing w:line="360" w:lineRule="auto"/>
        <w:rPr>
          <w:rFonts w:ascii="Times New Roman"/>
          <w:highlight w:val="none"/>
        </w:rPr>
      </w:pPr>
    </w:p>
    <w:p>
      <w:pPr>
        <w:spacing w:line="360" w:lineRule="auto"/>
        <w:ind w:firstLine="480" w:firstLineChars="200"/>
        <w:rPr>
          <w:rFonts w:ascii="Times New Roman"/>
          <w:highlight w:val="none"/>
        </w:rPr>
      </w:pPr>
      <w:r>
        <w:rPr>
          <w:rFonts w:hint="eastAsia" w:ascii="Times New Roman"/>
          <w:highlight w:val="none"/>
        </w:rPr>
        <w:t>（以下无正文，转签章页）</w:t>
      </w:r>
    </w:p>
    <w:p>
      <w:pPr>
        <w:spacing w:line="360" w:lineRule="auto"/>
        <w:ind w:firstLine="480" w:firstLineChars="200"/>
        <w:rPr>
          <w:rFonts w:ascii="Times New Roman"/>
          <w:highlight w:val="none"/>
        </w:rPr>
      </w:pPr>
    </w:p>
    <w:tbl>
      <w:tblPr>
        <w:tblStyle w:val="16"/>
        <w:tblW w:w="102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02"/>
        <w:gridCol w:w="51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pPr>
              <w:spacing w:line="360" w:lineRule="auto"/>
              <w:jc w:val="both"/>
              <w:rPr>
                <w:rFonts w:ascii="Times New Roman"/>
                <w:highlight w:val="none"/>
              </w:rPr>
            </w:pPr>
            <w:r>
              <w:rPr>
                <w:rFonts w:hint="eastAsia" w:ascii="Times New Roman"/>
                <w:highlight w:val="none"/>
              </w:rPr>
              <w:t>甲方（盖章）：</w:t>
            </w:r>
          </w:p>
        </w:tc>
        <w:tc>
          <w:tcPr>
            <w:tcW w:w="5102" w:type="dxa"/>
            <w:tcBorders>
              <w:tl2br w:val="nil"/>
              <w:tr2bl w:val="nil"/>
            </w:tcBorders>
            <w:tcMar>
              <w:top w:w="0" w:type="dxa"/>
              <w:left w:w="57" w:type="dxa"/>
              <w:bottom w:w="0" w:type="dxa"/>
              <w:right w:w="57" w:type="dxa"/>
            </w:tcMar>
          </w:tcPr>
          <w:p>
            <w:pPr>
              <w:spacing w:line="360" w:lineRule="auto"/>
              <w:jc w:val="both"/>
              <w:rPr>
                <w:rFonts w:ascii="Times New Roman"/>
                <w:highlight w:val="none"/>
              </w:rPr>
            </w:pPr>
            <w:r>
              <w:rPr>
                <w:rFonts w:hint="eastAsia" w:ascii="Times New Roman"/>
                <w:highlight w:val="none"/>
              </w:rPr>
              <w:t>乙方（盖章）：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pPr>
              <w:spacing w:line="360" w:lineRule="auto"/>
              <w:jc w:val="both"/>
              <w:rPr>
                <w:rFonts w:ascii="Times New Roman"/>
                <w:highlight w:val="none"/>
              </w:rPr>
            </w:pPr>
            <w:r>
              <w:rPr>
                <w:rFonts w:hint="eastAsia" w:ascii="Times New Roman"/>
                <w:highlight w:val="none"/>
              </w:rPr>
              <w:t>法定代表人（或授权代表）：</w:t>
            </w:r>
          </w:p>
        </w:tc>
        <w:tc>
          <w:tcPr>
            <w:tcW w:w="5102" w:type="dxa"/>
            <w:tcBorders>
              <w:tl2br w:val="nil"/>
              <w:tr2bl w:val="nil"/>
            </w:tcBorders>
            <w:tcMar>
              <w:top w:w="0" w:type="dxa"/>
              <w:left w:w="57" w:type="dxa"/>
              <w:bottom w:w="0" w:type="dxa"/>
              <w:right w:w="57" w:type="dxa"/>
            </w:tcMar>
          </w:tcPr>
          <w:p>
            <w:pPr>
              <w:spacing w:line="360" w:lineRule="auto"/>
              <w:jc w:val="both"/>
              <w:rPr>
                <w:rFonts w:ascii="Times New Roman"/>
                <w:highlight w:val="none"/>
              </w:rPr>
            </w:pPr>
            <w:r>
              <w:rPr>
                <w:rFonts w:hint="eastAsia" w:ascii="Times New Roman"/>
                <w:highlight w:val="none"/>
              </w:rPr>
              <w:t>法定代表人（或授权代表）：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pPr>
              <w:spacing w:line="360" w:lineRule="auto"/>
              <w:ind w:firstLine="720" w:firstLineChars="300"/>
              <w:jc w:val="both"/>
              <w:rPr>
                <w:rFonts w:ascii="Times New Roman"/>
                <w:highlight w:val="none"/>
              </w:rPr>
            </w:pPr>
            <w:r>
              <w:rPr>
                <w:rFonts w:hint="eastAsia" w:ascii="Times New Roman"/>
                <w:highlight w:val="none"/>
              </w:rPr>
              <w:t>地址：</w:t>
            </w:r>
          </w:p>
        </w:tc>
        <w:tc>
          <w:tcPr>
            <w:tcW w:w="5102" w:type="dxa"/>
            <w:tcBorders>
              <w:tl2br w:val="nil"/>
              <w:tr2bl w:val="nil"/>
            </w:tcBorders>
            <w:tcMar>
              <w:top w:w="0" w:type="dxa"/>
              <w:left w:w="57" w:type="dxa"/>
              <w:bottom w:w="0" w:type="dxa"/>
              <w:right w:w="57" w:type="dxa"/>
            </w:tcMar>
          </w:tcPr>
          <w:p>
            <w:pPr>
              <w:spacing w:line="360" w:lineRule="auto"/>
              <w:jc w:val="both"/>
              <w:rPr>
                <w:rFonts w:ascii="Times New Roman"/>
                <w:highlight w:val="none"/>
              </w:rPr>
            </w:pPr>
            <w:r>
              <w:rPr>
                <w:rFonts w:hint="eastAsia" w:ascii="Times New Roman"/>
                <w:highlight w:val="none"/>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pPr>
              <w:spacing w:line="360" w:lineRule="auto"/>
              <w:jc w:val="both"/>
              <w:rPr>
                <w:rFonts w:ascii="Times New Roman"/>
                <w:highlight w:val="none"/>
              </w:rPr>
            </w:pPr>
          </w:p>
        </w:tc>
        <w:tc>
          <w:tcPr>
            <w:tcW w:w="5102" w:type="dxa"/>
            <w:tcBorders>
              <w:tl2br w:val="nil"/>
              <w:tr2bl w:val="nil"/>
            </w:tcBorders>
            <w:tcMar>
              <w:top w:w="0" w:type="dxa"/>
              <w:left w:w="57" w:type="dxa"/>
              <w:bottom w:w="0" w:type="dxa"/>
              <w:right w:w="57" w:type="dxa"/>
            </w:tcMar>
          </w:tcPr>
          <w:p>
            <w:pPr>
              <w:spacing w:line="360" w:lineRule="auto"/>
              <w:jc w:val="both"/>
              <w:rPr>
                <w:rFonts w:ascii="Times New Roman"/>
                <w:highlight w:val="none"/>
              </w:rPr>
            </w:pPr>
            <w:r>
              <w:rPr>
                <w:rFonts w:hint="eastAsia" w:ascii="Times New Roman"/>
                <w:highlight w:val="none"/>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pPr>
              <w:spacing w:line="360" w:lineRule="auto"/>
              <w:jc w:val="both"/>
              <w:rPr>
                <w:rFonts w:ascii="Times New Roman"/>
                <w:highlight w:val="none"/>
              </w:rPr>
            </w:pPr>
          </w:p>
        </w:tc>
        <w:tc>
          <w:tcPr>
            <w:tcW w:w="5102" w:type="dxa"/>
            <w:tcBorders>
              <w:tl2br w:val="nil"/>
              <w:tr2bl w:val="nil"/>
            </w:tcBorders>
            <w:tcMar>
              <w:top w:w="0" w:type="dxa"/>
              <w:left w:w="57" w:type="dxa"/>
              <w:bottom w:w="0" w:type="dxa"/>
              <w:right w:w="57" w:type="dxa"/>
            </w:tcMar>
          </w:tcPr>
          <w:p>
            <w:pPr>
              <w:spacing w:line="360" w:lineRule="auto"/>
              <w:jc w:val="both"/>
              <w:rPr>
                <w:rFonts w:ascii="Times New Roman"/>
                <w:highlight w:val="none"/>
              </w:rPr>
            </w:pPr>
            <w:r>
              <w:rPr>
                <w:rFonts w:hint="eastAsia" w:ascii="Times New Roman"/>
                <w:highlight w:val="none"/>
              </w:rPr>
              <w:t>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pPr>
              <w:spacing w:line="360" w:lineRule="auto"/>
              <w:jc w:val="both"/>
              <w:rPr>
                <w:rFonts w:ascii="Times New Roman"/>
                <w:highlight w:val="none"/>
              </w:rPr>
            </w:pPr>
          </w:p>
        </w:tc>
        <w:tc>
          <w:tcPr>
            <w:tcW w:w="5102" w:type="dxa"/>
            <w:tcBorders>
              <w:tl2br w:val="nil"/>
              <w:tr2bl w:val="nil"/>
            </w:tcBorders>
            <w:tcMar>
              <w:top w:w="0" w:type="dxa"/>
              <w:left w:w="57" w:type="dxa"/>
              <w:bottom w:w="0" w:type="dxa"/>
              <w:right w:w="57" w:type="dxa"/>
            </w:tcMar>
          </w:tcPr>
          <w:p>
            <w:pPr>
              <w:spacing w:line="360" w:lineRule="auto"/>
              <w:jc w:val="both"/>
              <w:rPr>
                <w:rFonts w:ascii="Times New Roman"/>
                <w:highlight w:val="none"/>
              </w:rPr>
            </w:pPr>
            <w:r>
              <w:rPr>
                <w:rFonts w:hint="eastAsia" w:ascii="Times New Roman"/>
                <w:highlight w:val="none"/>
              </w:rPr>
              <w:t>开户银行：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pPr>
              <w:spacing w:line="360" w:lineRule="auto"/>
              <w:jc w:val="both"/>
              <w:rPr>
                <w:rFonts w:ascii="Times New Roman"/>
                <w:highlight w:val="none"/>
              </w:rPr>
            </w:pPr>
          </w:p>
        </w:tc>
        <w:tc>
          <w:tcPr>
            <w:tcW w:w="5102" w:type="dxa"/>
            <w:tcBorders>
              <w:tl2br w:val="nil"/>
              <w:tr2bl w:val="nil"/>
            </w:tcBorders>
            <w:tcMar>
              <w:top w:w="0" w:type="dxa"/>
              <w:left w:w="57" w:type="dxa"/>
              <w:bottom w:w="0" w:type="dxa"/>
              <w:right w:w="57" w:type="dxa"/>
            </w:tcMar>
          </w:tcPr>
          <w:p>
            <w:pPr>
              <w:spacing w:line="360" w:lineRule="auto"/>
              <w:jc w:val="both"/>
              <w:rPr>
                <w:rFonts w:ascii="Times New Roman"/>
                <w:highlight w:val="none"/>
              </w:rPr>
            </w:pPr>
            <w:r>
              <w:rPr>
                <w:rFonts w:hint="eastAsia" w:ascii="Times New Roman"/>
                <w:highlight w:val="none"/>
              </w:rPr>
              <w:t>银行账号：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pPr>
              <w:spacing w:line="360" w:lineRule="auto"/>
              <w:jc w:val="both"/>
              <w:rPr>
                <w:rFonts w:ascii="Times New Roman"/>
                <w:highlight w:val="none"/>
              </w:rPr>
            </w:pPr>
          </w:p>
        </w:tc>
        <w:tc>
          <w:tcPr>
            <w:tcW w:w="5102" w:type="dxa"/>
            <w:tcBorders>
              <w:tl2br w:val="nil"/>
              <w:tr2bl w:val="nil"/>
            </w:tcBorders>
            <w:tcMar>
              <w:top w:w="0" w:type="dxa"/>
              <w:left w:w="57" w:type="dxa"/>
              <w:bottom w:w="0" w:type="dxa"/>
              <w:right w:w="57" w:type="dxa"/>
            </w:tcMar>
          </w:tcPr>
          <w:p>
            <w:pPr>
              <w:spacing w:line="360" w:lineRule="auto"/>
              <w:jc w:val="both"/>
              <w:rPr>
                <w:rFonts w:ascii="Times New Roman"/>
                <w:highlight w:val="none"/>
              </w:rPr>
            </w:pPr>
            <w:r>
              <w:rPr>
                <w:rFonts w:hint="eastAsia" w:ascii="Times New Roman"/>
                <w:highlight w:val="none"/>
              </w:rPr>
              <w:t>税号：</w:t>
            </w:r>
          </w:p>
        </w:tc>
      </w:tr>
    </w:tbl>
    <w:p>
      <w:pPr>
        <w:spacing w:line="360" w:lineRule="auto"/>
        <w:rPr>
          <w:rFonts w:ascii="Times New Roman"/>
          <w:highlight w:val="none"/>
        </w:rPr>
      </w:pPr>
    </w:p>
    <w:p>
      <w:pPr>
        <w:spacing w:line="360" w:lineRule="auto"/>
        <w:rPr>
          <w:rFonts w:ascii="Times New Roman"/>
          <w:highlight w:val="none"/>
        </w:rPr>
      </w:pPr>
      <w:r>
        <w:rPr>
          <w:rFonts w:hint="eastAsia" w:ascii="Times New Roman"/>
          <w:highlight w:val="none"/>
        </w:rPr>
        <w:t>签订日期：</w:t>
      </w:r>
      <w:r>
        <w:rPr>
          <w:rFonts w:ascii="Times New Roman"/>
          <w:highlight w:val="none"/>
        </w:rPr>
        <w:t xml:space="preserve"> </w:t>
      </w:r>
    </w:p>
    <w:p>
      <w:pPr>
        <w:spacing w:line="360" w:lineRule="auto"/>
        <w:rPr>
          <w:rFonts w:ascii="Times New Roman"/>
          <w:highlight w:val="none"/>
        </w:rPr>
      </w:pPr>
      <w:r>
        <w:rPr>
          <w:rFonts w:hint="eastAsia" w:ascii="Times New Roman"/>
          <w:highlight w:val="none"/>
        </w:rPr>
        <w:t>签订地点：广东省东莞市</w:t>
      </w:r>
    </w:p>
    <w:p>
      <w:pPr>
        <w:spacing w:line="420" w:lineRule="exact"/>
        <w:jc w:val="center"/>
        <w:rPr>
          <w:rFonts w:ascii="仿宋_GB2312" w:hAnsi="仿宋_GB2312" w:eastAsia="仿宋_GB2312" w:cs="仿宋_GB2312"/>
          <w:b/>
          <w:bCs/>
          <w:sz w:val="36"/>
          <w:szCs w:val="36"/>
          <w:highlight w:val="none"/>
        </w:rPr>
      </w:pPr>
    </w:p>
    <w:p>
      <w:pPr>
        <w:spacing w:line="420" w:lineRule="exact"/>
        <w:jc w:val="center"/>
        <w:rPr>
          <w:rFonts w:ascii="仿宋_GB2312" w:hAnsi="仿宋_GB2312" w:eastAsia="仿宋_GB2312" w:cs="仿宋_GB2312"/>
          <w:b/>
          <w:bCs/>
          <w:sz w:val="36"/>
          <w:szCs w:val="36"/>
          <w:highlight w:val="none"/>
        </w:rPr>
      </w:pPr>
    </w:p>
    <w:p>
      <w:pPr>
        <w:spacing w:line="420" w:lineRule="exact"/>
        <w:jc w:val="center"/>
        <w:rPr>
          <w:rFonts w:ascii="仿宋_GB2312" w:hAnsi="仿宋_GB2312" w:eastAsia="仿宋_GB2312" w:cs="仿宋_GB2312"/>
          <w:b/>
          <w:bCs/>
          <w:sz w:val="36"/>
          <w:szCs w:val="36"/>
          <w:highlight w:val="none"/>
        </w:rPr>
      </w:pPr>
    </w:p>
    <w:p>
      <w:pPr>
        <w:spacing w:line="420" w:lineRule="exact"/>
        <w:jc w:val="center"/>
        <w:rPr>
          <w:rFonts w:ascii="仿宋_GB2312" w:hAnsi="仿宋_GB2312" w:eastAsia="仿宋_GB2312" w:cs="仿宋_GB2312"/>
          <w:b/>
          <w:bCs/>
          <w:sz w:val="36"/>
          <w:szCs w:val="36"/>
          <w:highlight w:val="none"/>
        </w:rPr>
      </w:pPr>
    </w:p>
    <w:p>
      <w:pPr>
        <w:spacing w:line="420" w:lineRule="exact"/>
        <w:jc w:val="center"/>
        <w:rPr>
          <w:rFonts w:ascii="仿宋_GB2312" w:hAnsi="仿宋_GB2312" w:eastAsia="仿宋_GB2312" w:cs="仿宋_GB2312"/>
          <w:b/>
          <w:bCs/>
          <w:sz w:val="36"/>
          <w:szCs w:val="36"/>
          <w:highlight w:val="none"/>
        </w:rPr>
      </w:pPr>
    </w:p>
    <w:p>
      <w:pPr>
        <w:pStyle w:val="2"/>
        <w:rPr>
          <w:rFonts w:ascii="仿宋_GB2312" w:hAnsi="仿宋_GB2312" w:eastAsia="仿宋_GB2312" w:cs="仿宋_GB2312"/>
          <w:b/>
          <w:sz w:val="36"/>
          <w:szCs w:val="36"/>
          <w:highlight w:val="none"/>
        </w:rPr>
      </w:pPr>
    </w:p>
    <w:p>
      <w:pPr>
        <w:pStyle w:val="2"/>
        <w:rPr>
          <w:rFonts w:ascii="仿宋_GB2312" w:hAnsi="仿宋_GB2312" w:eastAsia="仿宋_GB2312" w:cs="仿宋_GB2312"/>
          <w:b/>
          <w:sz w:val="36"/>
          <w:szCs w:val="36"/>
          <w:highlight w:val="none"/>
        </w:rPr>
      </w:pPr>
    </w:p>
    <w:p>
      <w:pPr>
        <w:pStyle w:val="2"/>
        <w:rPr>
          <w:rFonts w:ascii="仿宋_GB2312" w:hAnsi="仿宋_GB2312" w:eastAsia="仿宋_GB2312" w:cs="仿宋_GB2312"/>
          <w:b/>
          <w:sz w:val="36"/>
          <w:szCs w:val="36"/>
          <w:highlight w:val="none"/>
        </w:rPr>
      </w:pPr>
    </w:p>
    <w:p>
      <w:pPr>
        <w:pStyle w:val="2"/>
        <w:rPr>
          <w:rFonts w:ascii="仿宋_GB2312" w:hAnsi="仿宋_GB2312" w:eastAsia="仿宋_GB2312" w:cs="仿宋_GB2312"/>
          <w:b/>
          <w:sz w:val="36"/>
          <w:szCs w:val="36"/>
          <w:highlight w:val="none"/>
        </w:rPr>
      </w:pPr>
    </w:p>
    <w:p>
      <w:pPr>
        <w:spacing w:line="420" w:lineRule="exact"/>
        <w:jc w:val="center"/>
        <w:rPr>
          <w:rFonts w:ascii="仿宋_GB2312" w:hAnsi="仿宋_GB2312" w:eastAsia="仿宋_GB2312" w:cs="仿宋_GB2312"/>
          <w:b/>
          <w:bCs/>
          <w:sz w:val="36"/>
          <w:szCs w:val="36"/>
          <w:highlight w:val="none"/>
        </w:rPr>
      </w:pPr>
    </w:p>
    <w:p>
      <w:pPr>
        <w:outlineLvl w:val="0"/>
        <w:rPr>
          <w:rFonts w:hAnsi="宋体"/>
          <w:b/>
          <w:bCs/>
          <w:sz w:val="21"/>
          <w:szCs w:val="21"/>
          <w:highlight w:val="none"/>
          <w:lang w:bidi="ar"/>
        </w:rPr>
      </w:pPr>
      <w:r>
        <w:rPr>
          <w:rFonts w:hint="eastAsia" w:hAnsi="宋体"/>
          <w:b/>
          <w:bCs/>
          <w:sz w:val="21"/>
          <w:szCs w:val="21"/>
          <w:highlight w:val="none"/>
          <w:lang w:bidi="ar"/>
        </w:rPr>
        <w:t>附件一：廉洁协议书</w:t>
      </w:r>
    </w:p>
    <w:p>
      <w:pPr>
        <w:spacing w:line="600" w:lineRule="exact"/>
        <w:ind w:right="36" w:rightChars="15"/>
        <w:jc w:val="center"/>
        <w:rPr>
          <w:rFonts w:hAnsi="宋体" w:cs="方正小标宋简体"/>
          <w:b/>
          <w:sz w:val="32"/>
          <w:szCs w:val="32"/>
          <w:highlight w:val="none"/>
        </w:rPr>
      </w:pPr>
      <w:r>
        <w:rPr>
          <w:rFonts w:hint="eastAsia" w:hAnsi="宋体" w:cs="方正小标宋简体"/>
          <w:b/>
          <w:sz w:val="32"/>
          <w:szCs w:val="32"/>
          <w:highlight w:val="none"/>
          <w:lang w:bidi="ar"/>
        </w:rPr>
        <w:t>廉洁协议书</w:t>
      </w:r>
    </w:p>
    <w:p>
      <w:pPr>
        <w:spacing w:line="600" w:lineRule="exact"/>
        <w:ind w:right="36" w:rightChars="15"/>
        <w:jc w:val="center"/>
        <w:rPr>
          <w:rFonts w:hAnsi="宋体" w:cs="宋体"/>
          <w:b/>
          <w:sz w:val="21"/>
          <w:szCs w:val="21"/>
          <w:highlight w:val="none"/>
        </w:rPr>
      </w:pPr>
    </w:p>
    <w:p>
      <w:pPr>
        <w:spacing w:line="560" w:lineRule="exact"/>
        <w:rPr>
          <w:rFonts w:hAnsi="宋体" w:cs="宋体"/>
          <w:sz w:val="21"/>
          <w:szCs w:val="21"/>
          <w:highlight w:val="none"/>
        </w:rPr>
      </w:pPr>
      <w:r>
        <w:rPr>
          <w:rFonts w:hint="eastAsia" w:hAnsi="宋体" w:cs="宋体"/>
          <w:b/>
          <w:bCs/>
          <w:sz w:val="21"/>
          <w:szCs w:val="21"/>
          <w:highlight w:val="none"/>
          <w:lang w:bidi="ar"/>
        </w:rPr>
        <w:t>项目名称：</w:t>
      </w:r>
      <w:r>
        <w:rPr>
          <w:rFonts w:hint="eastAsia" w:hAnsi="宋体" w:cs="宋体"/>
          <w:sz w:val="21"/>
          <w:szCs w:val="21"/>
          <w:highlight w:val="none"/>
          <w:lang w:bidi="ar"/>
        </w:rPr>
        <w:t xml:space="preserve">                 </w:t>
      </w:r>
    </w:p>
    <w:p>
      <w:pPr>
        <w:spacing w:line="560" w:lineRule="exact"/>
        <w:rPr>
          <w:rFonts w:hAnsi="宋体" w:cs="宋体"/>
          <w:b/>
          <w:bCs/>
          <w:sz w:val="21"/>
          <w:szCs w:val="21"/>
          <w:highlight w:val="none"/>
        </w:rPr>
      </w:pPr>
      <w:r>
        <w:rPr>
          <w:rFonts w:hint="eastAsia" w:hAnsi="宋体" w:cs="宋体"/>
          <w:b/>
          <w:bCs/>
          <w:sz w:val="21"/>
          <w:szCs w:val="21"/>
          <w:highlight w:val="none"/>
          <w:lang w:bidi="ar"/>
        </w:rPr>
        <w:t>甲方（业主单位）：</w:t>
      </w:r>
    </w:p>
    <w:p>
      <w:pPr>
        <w:spacing w:line="560" w:lineRule="exact"/>
        <w:rPr>
          <w:rFonts w:hAnsi="宋体" w:cs="宋体"/>
          <w:b/>
          <w:bCs/>
          <w:sz w:val="21"/>
          <w:szCs w:val="21"/>
          <w:highlight w:val="none"/>
        </w:rPr>
      </w:pPr>
      <w:r>
        <w:rPr>
          <w:rFonts w:hint="eastAsia" w:hAnsi="宋体" w:cs="宋体"/>
          <w:b/>
          <w:bCs/>
          <w:sz w:val="21"/>
          <w:szCs w:val="21"/>
          <w:highlight w:val="none"/>
          <w:lang w:bidi="ar"/>
        </w:rPr>
        <w:t>乙方：</w:t>
      </w:r>
    </w:p>
    <w:p>
      <w:pPr>
        <w:spacing w:line="560" w:lineRule="exact"/>
        <w:ind w:firstLine="420"/>
        <w:rPr>
          <w:rFonts w:hAnsi="宋体" w:cs="宋体"/>
          <w:sz w:val="21"/>
          <w:szCs w:val="21"/>
          <w:highlight w:val="none"/>
        </w:rPr>
      </w:pPr>
      <w:r>
        <w:rPr>
          <w:rFonts w:hint="eastAsia" w:hAnsi="宋体" w:cs="宋体"/>
          <w:sz w:val="21"/>
          <w:szCs w:val="21"/>
          <w:highlight w:val="none"/>
          <w:lang w:bidi="ar"/>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pPr>
        <w:spacing w:line="560" w:lineRule="exact"/>
        <w:ind w:firstLine="422"/>
        <w:rPr>
          <w:rFonts w:hAnsi="宋体" w:cs="宋体"/>
          <w:b/>
          <w:bCs/>
          <w:sz w:val="21"/>
          <w:szCs w:val="21"/>
          <w:highlight w:val="none"/>
        </w:rPr>
      </w:pPr>
      <w:r>
        <w:rPr>
          <w:rFonts w:hint="eastAsia" w:hAnsi="宋体" w:cs="宋体"/>
          <w:b/>
          <w:bCs/>
          <w:sz w:val="21"/>
          <w:szCs w:val="21"/>
          <w:highlight w:val="none"/>
          <w:lang w:bidi="ar"/>
        </w:rPr>
        <w:t>第一条  甲乙双方的权利和义务</w:t>
      </w:r>
    </w:p>
    <w:p>
      <w:pPr>
        <w:spacing w:line="560" w:lineRule="exact"/>
        <w:ind w:firstLine="420"/>
        <w:rPr>
          <w:rFonts w:hAnsi="宋体" w:cs="宋体"/>
          <w:sz w:val="21"/>
          <w:szCs w:val="21"/>
          <w:highlight w:val="none"/>
        </w:rPr>
      </w:pPr>
      <w:r>
        <w:rPr>
          <w:rFonts w:hint="eastAsia" w:hAnsi="宋体" w:cs="宋体"/>
          <w:sz w:val="21"/>
          <w:szCs w:val="21"/>
          <w:highlight w:val="none"/>
          <w:lang w:bidi="ar"/>
        </w:rPr>
        <w:t>（一）严格遵守党和国家有关法律法规等有关廉洁从业规定。</w:t>
      </w:r>
    </w:p>
    <w:p>
      <w:pPr>
        <w:spacing w:line="560" w:lineRule="exact"/>
        <w:ind w:firstLine="420"/>
        <w:rPr>
          <w:rFonts w:hAnsi="宋体" w:cs="宋体"/>
          <w:sz w:val="21"/>
          <w:szCs w:val="21"/>
          <w:highlight w:val="none"/>
        </w:rPr>
      </w:pPr>
      <w:r>
        <w:rPr>
          <w:rFonts w:hint="eastAsia" w:hAnsi="宋体" w:cs="宋体"/>
          <w:sz w:val="21"/>
          <w:szCs w:val="21"/>
          <w:highlight w:val="none"/>
          <w:lang w:bidi="ar"/>
        </w:rPr>
        <w:t>（二）严格执行本项目的合同文件，自觉按合同办事。</w:t>
      </w:r>
    </w:p>
    <w:p>
      <w:pPr>
        <w:spacing w:line="560" w:lineRule="exact"/>
        <w:ind w:firstLine="420"/>
        <w:rPr>
          <w:rFonts w:hAnsi="宋体" w:cs="宋体"/>
          <w:sz w:val="21"/>
          <w:szCs w:val="21"/>
          <w:highlight w:val="none"/>
        </w:rPr>
      </w:pPr>
      <w:r>
        <w:rPr>
          <w:rFonts w:hint="eastAsia" w:hAnsi="宋体" w:cs="宋体"/>
          <w:sz w:val="21"/>
          <w:szCs w:val="21"/>
          <w:highlight w:val="none"/>
          <w:lang w:bidi="ar"/>
        </w:rPr>
        <w:t>（三）双方的业务活动坚持公开、公正、诚信、透明的原则（除法律认定的商业秘密和合同文件另有规定之外）不得损害国家和集体利益，违反工程建设管理及其他法律法规规章制度。</w:t>
      </w:r>
    </w:p>
    <w:p>
      <w:pPr>
        <w:spacing w:line="560" w:lineRule="exact"/>
        <w:ind w:firstLine="420"/>
        <w:rPr>
          <w:rFonts w:hAnsi="宋体" w:cs="宋体"/>
          <w:sz w:val="21"/>
          <w:szCs w:val="21"/>
          <w:highlight w:val="none"/>
        </w:rPr>
      </w:pPr>
      <w:r>
        <w:rPr>
          <w:rFonts w:hint="eastAsia" w:hAnsi="宋体" w:cs="宋体"/>
          <w:sz w:val="21"/>
          <w:szCs w:val="21"/>
          <w:highlight w:val="none"/>
          <w:lang w:bidi="ar"/>
        </w:rPr>
        <w:t>（四）建立健全廉洁制度，开展廉洁教育，设立廉洁监督公示牌，公布举报电话，监督并认真查处违法违纪行为。</w:t>
      </w:r>
    </w:p>
    <w:p>
      <w:pPr>
        <w:spacing w:line="560" w:lineRule="exact"/>
        <w:ind w:firstLine="420"/>
        <w:rPr>
          <w:rFonts w:hAnsi="宋体" w:cs="宋体"/>
          <w:sz w:val="21"/>
          <w:szCs w:val="21"/>
          <w:highlight w:val="none"/>
        </w:rPr>
      </w:pPr>
      <w:r>
        <w:rPr>
          <w:rFonts w:hint="eastAsia" w:hAnsi="宋体" w:cs="宋体"/>
          <w:sz w:val="21"/>
          <w:szCs w:val="21"/>
          <w:highlight w:val="none"/>
          <w:lang w:bidi="ar"/>
        </w:rPr>
        <w:t>（五）发现对方在业务活动中有违反廉洁规定的行为，有及时提醒对方纠正的权利和义务。</w:t>
      </w:r>
    </w:p>
    <w:p>
      <w:pPr>
        <w:spacing w:line="560" w:lineRule="exact"/>
        <w:ind w:firstLine="420"/>
        <w:rPr>
          <w:rFonts w:hAnsi="宋体" w:cs="宋体"/>
          <w:sz w:val="21"/>
          <w:szCs w:val="21"/>
          <w:highlight w:val="none"/>
        </w:rPr>
      </w:pPr>
      <w:r>
        <w:rPr>
          <w:rFonts w:hint="eastAsia" w:hAnsi="宋体" w:cs="宋体"/>
          <w:sz w:val="21"/>
          <w:szCs w:val="21"/>
          <w:highlight w:val="none"/>
          <w:lang w:bidi="ar"/>
        </w:rPr>
        <w:t>（六）发现对方严重违反本协议义务条款的行为，有向其上级有关部门举报、建议给予处理并要求告知处理结果的权利。</w:t>
      </w:r>
    </w:p>
    <w:p>
      <w:pPr>
        <w:spacing w:line="560" w:lineRule="exact"/>
        <w:ind w:firstLine="422"/>
        <w:rPr>
          <w:rFonts w:hAnsi="宋体" w:cs="宋体"/>
          <w:b/>
          <w:bCs/>
          <w:sz w:val="21"/>
          <w:szCs w:val="21"/>
          <w:highlight w:val="none"/>
        </w:rPr>
      </w:pPr>
      <w:r>
        <w:rPr>
          <w:rFonts w:hint="eastAsia" w:hAnsi="宋体" w:cs="宋体"/>
          <w:b/>
          <w:bCs/>
          <w:sz w:val="21"/>
          <w:szCs w:val="21"/>
          <w:highlight w:val="none"/>
          <w:lang w:bidi="ar"/>
        </w:rPr>
        <w:t>第二条  甲方的义务</w:t>
      </w:r>
    </w:p>
    <w:p>
      <w:pPr>
        <w:spacing w:line="560" w:lineRule="exact"/>
        <w:ind w:firstLine="420"/>
        <w:rPr>
          <w:rFonts w:hAnsi="宋体" w:cs="宋体"/>
          <w:sz w:val="21"/>
          <w:szCs w:val="21"/>
          <w:highlight w:val="none"/>
        </w:rPr>
      </w:pPr>
      <w:r>
        <w:rPr>
          <w:rFonts w:hint="eastAsia" w:hAnsi="宋体" w:cs="宋体"/>
          <w:sz w:val="21"/>
          <w:szCs w:val="21"/>
          <w:highlight w:val="none"/>
          <w:lang w:bidi="ar"/>
        </w:rPr>
        <w:t>（一）甲方及其工作人员不得索要或接受乙方的礼金、有价证券和贵重物品，不得在乙方报销任何应由甲方或个人支付的费用。</w:t>
      </w:r>
    </w:p>
    <w:p>
      <w:pPr>
        <w:spacing w:line="560" w:lineRule="exact"/>
        <w:ind w:firstLine="420"/>
        <w:rPr>
          <w:rFonts w:hAnsi="宋体" w:cs="宋体"/>
          <w:sz w:val="21"/>
          <w:szCs w:val="21"/>
          <w:highlight w:val="none"/>
        </w:rPr>
      </w:pPr>
      <w:r>
        <w:rPr>
          <w:rFonts w:hint="eastAsia" w:hAnsi="宋体" w:cs="宋体"/>
          <w:sz w:val="21"/>
          <w:szCs w:val="21"/>
          <w:highlight w:val="none"/>
          <w:lang w:bidi="ar"/>
        </w:rPr>
        <w:t>（二）甲方工作人员不得参加乙方安排的高消费宴请和娱乐活动；不得接受乙方提供的通讯工具、交通工具和高档办公用品。</w:t>
      </w:r>
    </w:p>
    <w:p>
      <w:pPr>
        <w:spacing w:line="560" w:lineRule="exact"/>
        <w:ind w:firstLine="420"/>
        <w:rPr>
          <w:rFonts w:hAnsi="宋体" w:cs="宋体"/>
          <w:sz w:val="21"/>
          <w:szCs w:val="21"/>
          <w:highlight w:val="none"/>
        </w:rPr>
      </w:pPr>
      <w:r>
        <w:rPr>
          <w:rFonts w:hint="eastAsia" w:hAnsi="宋体" w:cs="宋体"/>
          <w:sz w:val="21"/>
          <w:szCs w:val="21"/>
          <w:highlight w:val="none"/>
          <w:lang w:bidi="ar"/>
        </w:rPr>
        <w:t>（三）甲方及其工作人员不得要求或者接受乙方为其住房装修、婚丧嫁娶活动、家属或亲友的工作安排以及出国出境、旅游等提供方便。</w:t>
      </w:r>
    </w:p>
    <w:p>
      <w:pPr>
        <w:spacing w:line="560" w:lineRule="exact"/>
        <w:ind w:firstLine="420"/>
        <w:rPr>
          <w:rFonts w:hAnsi="宋体" w:cs="宋体"/>
          <w:sz w:val="21"/>
          <w:szCs w:val="21"/>
          <w:highlight w:val="none"/>
        </w:rPr>
      </w:pPr>
      <w:r>
        <w:rPr>
          <w:rFonts w:hint="eastAsia" w:hAnsi="宋体" w:cs="宋体"/>
          <w:sz w:val="21"/>
          <w:szCs w:val="21"/>
          <w:highlight w:val="none"/>
          <w:lang w:bidi="ar"/>
        </w:rPr>
        <w:t>（四）甲方工作人员不得向乙方介绍其家属或者亲友（包括家属或亲友开办的公司企业）从事于本项目涉及的经济业务活动。</w:t>
      </w:r>
    </w:p>
    <w:p>
      <w:pPr>
        <w:spacing w:line="560" w:lineRule="exact"/>
        <w:ind w:firstLine="420"/>
        <w:rPr>
          <w:rFonts w:hAnsi="宋体" w:cs="宋体"/>
          <w:sz w:val="21"/>
          <w:szCs w:val="21"/>
          <w:highlight w:val="none"/>
        </w:rPr>
      </w:pPr>
      <w:r>
        <w:rPr>
          <w:rFonts w:hint="eastAsia" w:hAnsi="宋体" w:cs="宋体"/>
          <w:sz w:val="21"/>
          <w:szCs w:val="21"/>
          <w:highlight w:val="none"/>
          <w:lang w:bidi="ar"/>
        </w:rPr>
        <w:t>（五）甲方及其工作人员不得以任何理由向乙方推荐分包单位，不得要求乙方购买合同规定外的材料和设备。</w:t>
      </w:r>
    </w:p>
    <w:p>
      <w:pPr>
        <w:spacing w:line="560" w:lineRule="exact"/>
        <w:ind w:firstLine="420"/>
        <w:rPr>
          <w:rFonts w:hAnsi="宋体" w:cs="宋体"/>
          <w:sz w:val="21"/>
          <w:szCs w:val="21"/>
          <w:highlight w:val="none"/>
        </w:rPr>
      </w:pPr>
      <w:r>
        <w:rPr>
          <w:rFonts w:hint="eastAsia" w:hAnsi="宋体" w:cs="宋体"/>
          <w:sz w:val="21"/>
          <w:szCs w:val="21"/>
          <w:highlight w:val="none"/>
          <w:lang w:bidi="ar"/>
        </w:rPr>
        <w:t>（六）甲方及其工作人员不得进行违反廉洁规定的其他活动。</w:t>
      </w:r>
    </w:p>
    <w:p>
      <w:pPr>
        <w:spacing w:line="560" w:lineRule="exact"/>
        <w:ind w:firstLine="420"/>
        <w:rPr>
          <w:rFonts w:hAnsi="宋体" w:cs="宋体"/>
          <w:sz w:val="21"/>
          <w:szCs w:val="21"/>
          <w:highlight w:val="none"/>
        </w:rPr>
      </w:pPr>
      <w:r>
        <w:rPr>
          <w:rFonts w:hint="eastAsia" w:hAnsi="宋体" w:cs="宋体"/>
          <w:sz w:val="21"/>
          <w:szCs w:val="21"/>
          <w:highlight w:val="none"/>
          <w:lang w:bidi="ar"/>
        </w:rPr>
        <w:t>（七）甲方应对甲方工作人员进行廉洁监督管理，如甲方工作人员违反本协议第一、第二条，甲方应依据有关法律法规、党纪规定对其进行处理；涉嫌犯罪的，甲方应将其移交司法机关追究刑事责任。</w:t>
      </w:r>
    </w:p>
    <w:p>
      <w:pPr>
        <w:spacing w:line="560" w:lineRule="exact"/>
        <w:ind w:firstLine="422"/>
        <w:rPr>
          <w:rFonts w:hAnsi="宋体" w:cs="宋体"/>
          <w:b/>
          <w:bCs/>
          <w:sz w:val="21"/>
          <w:szCs w:val="21"/>
          <w:highlight w:val="none"/>
        </w:rPr>
      </w:pPr>
      <w:r>
        <w:rPr>
          <w:rFonts w:hint="eastAsia" w:hAnsi="宋体" w:cs="宋体"/>
          <w:b/>
          <w:bCs/>
          <w:sz w:val="21"/>
          <w:szCs w:val="21"/>
          <w:highlight w:val="none"/>
          <w:lang w:bidi="ar"/>
        </w:rPr>
        <w:t>第三条  乙方义务</w:t>
      </w:r>
    </w:p>
    <w:p>
      <w:pPr>
        <w:spacing w:line="560" w:lineRule="exact"/>
        <w:ind w:firstLine="420"/>
        <w:rPr>
          <w:rFonts w:hAnsi="宋体" w:cs="宋体"/>
          <w:sz w:val="21"/>
          <w:szCs w:val="21"/>
          <w:highlight w:val="none"/>
        </w:rPr>
      </w:pPr>
      <w:r>
        <w:rPr>
          <w:rFonts w:hint="eastAsia" w:hAnsi="宋体" w:cs="宋体"/>
          <w:sz w:val="21"/>
          <w:szCs w:val="21"/>
          <w:highlight w:val="none"/>
          <w:lang w:bidi="ar"/>
        </w:rPr>
        <w:t>（一）乙方不得以任何理由向甲方及其工作人员馈赠礼金、有价证券、贵重礼品，或报销应由甲方单位或个人支付的任何费用。</w:t>
      </w:r>
    </w:p>
    <w:p>
      <w:pPr>
        <w:spacing w:line="560" w:lineRule="exact"/>
        <w:ind w:firstLine="420"/>
        <w:rPr>
          <w:rFonts w:hAnsi="宋体" w:cs="宋体"/>
          <w:sz w:val="21"/>
          <w:szCs w:val="21"/>
          <w:highlight w:val="none"/>
        </w:rPr>
      </w:pPr>
      <w:r>
        <w:rPr>
          <w:rFonts w:hint="eastAsia" w:hAnsi="宋体" w:cs="宋体"/>
          <w:sz w:val="21"/>
          <w:szCs w:val="21"/>
          <w:highlight w:val="none"/>
          <w:lang w:bidi="ar"/>
        </w:rPr>
        <w:t>（二）乙方及其工作人员不得以考察、参观、洽谈业务、签订合同等的借口邀请甲方及其工作人员参加高消费的宴请、娱乐和健身等活动。</w:t>
      </w:r>
    </w:p>
    <w:p>
      <w:pPr>
        <w:spacing w:line="560" w:lineRule="exact"/>
        <w:ind w:firstLine="420"/>
        <w:rPr>
          <w:rFonts w:hAnsi="宋体" w:cs="宋体"/>
          <w:sz w:val="21"/>
          <w:szCs w:val="21"/>
          <w:highlight w:val="none"/>
        </w:rPr>
      </w:pPr>
      <w:r>
        <w:rPr>
          <w:rFonts w:hint="eastAsia" w:hAnsi="宋体" w:cs="宋体"/>
          <w:sz w:val="21"/>
          <w:szCs w:val="21"/>
          <w:highlight w:val="none"/>
          <w:lang w:bidi="ar"/>
        </w:rPr>
        <w:t>（三）乙方不得为甲方单位和个人购置或提供通讯工具、交通工具和高档办公用品等。</w:t>
      </w:r>
    </w:p>
    <w:p>
      <w:pPr>
        <w:spacing w:line="560" w:lineRule="exact"/>
        <w:ind w:firstLine="420"/>
        <w:rPr>
          <w:rFonts w:hAnsi="宋体" w:cs="宋体"/>
          <w:sz w:val="21"/>
          <w:szCs w:val="21"/>
          <w:highlight w:val="none"/>
        </w:rPr>
      </w:pPr>
      <w:r>
        <w:rPr>
          <w:rFonts w:hint="eastAsia" w:hAnsi="宋体" w:cs="宋体"/>
          <w:sz w:val="21"/>
          <w:szCs w:val="21"/>
          <w:highlight w:val="none"/>
          <w:lang w:bidi="ar"/>
        </w:rPr>
        <w:t>（四）乙方及其工作人员不得为甲方工作人员购买、装修、维修私人住房、汽车等。</w:t>
      </w:r>
    </w:p>
    <w:p>
      <w:pPr>
        <w:spacing w:line="560" w:lineRule="exact"/>
        <w:ind w:firstLine="420"/>
        <w:rPr>
          <w:rFonts w:hAnsi="宋体" w:cs="宋体"/>
          <w:sz w:val="21"/>
          <w:szCs w:val="21"/>
          <w:highlight w:val="none"/>
        </w:rPr>
      </w:pPr>
      <w:r>
        <w:rPr>
          <w:rFonts w:hint="eastAsia" w:hAnsi="宋体" w:cs="宋体"/>
          <w:sz w:val="21"/>
          <w:szCs w:val="21"/>
          <w:highlight w:val="none"/>
          <w:lang w:bidi="ar"/>
        </w:rPr>
        <w:t>（五）乙方及其工作人员不得为甲方工作人员的婚丧嫁娶、家属或亲友的工作安排，及出国出境提供方便以及报销任何私人消费的费用。</w:t>
      </w:r>
    </w:p>
    <w:p>
      <w:pPr>
        <w:spacing w:line="560" w:lineRule="exact"/>
        <w:ind w:firstLine="420"/>
        <w:rPr>
          <w:rFonts w:hAnsi="宋体" w:cs="宋体"/>
          <w:sz w:val="21"/>
          <w:szCs w:val="21"/>
          <w:highlight w:val="none"/>
        </w:rPr>
      </w:pPr>
      <w:r>
        <w:rPr>
          <w:rFonts w:hint="eastAsia" w:hAnsi="宋体" w:cs="宋体"/>
          <w:sz w:val="21"/>
          <w:szCs w:val="21"/>
          <w:highlight w:val="none"/>
          <w:lang w:bidi="ar"/>
        </w:rPr>
        <w:t>（六）乙方及其工作人员不得进行影响甲方及其工作人员公正执行合同和履行职务的其他活动。</w:t>
      </w:r>
    </w:p>
    <w:p>
      <w:pPr>
        <w:spacing w:line="560" w:lineRule="exact"/>
        <w:ind w:firstLine="420"/>
        <w:rPr>
          <w:rFonts w:hAnsi="宋体" w:cs="宋体"/>
          <w:sz w:val="21"/>
          <w:szCs w:val="21"/>
          <w:highlight w:val="none"/>
        </w:rPr>
      </w:pPr>
      <w:r>
        <w:rPr>
          <w:rFonts w:hint="eastAsia" w:hAnsi="宋体" w:cs="宋体"/>
          <w:sz w:val="21"/>
          <w:szCs w:val="21"/>
          <w:highlight w:val="none"/>
          <w:lang w:bidi="ar"/>
        </w:rPr>
        <w:t>（七）乙方应对乙方工作人员进行廉洁监督管理，如乙方工作人员违反本协议第一、第三条，乙方应依据有关法律法规、党纪规定对其进行处理；乙方工作人员涉嫌犯罪的，乙方应将其移交司法机关追究刑事责任。</w:t>
      </w:r>
    </w:p>
    <w:p>
      <w:pPr>
        <w:spacing w:line="560" w:lineRule="exact"/>
        <w:ind w:firstLine="422"/>
        <w:rPr>
          <w:rFonts w:hAnsi="宋体" w:cs="宋体"/>
          <w:b/>
          <w:bCs/>
          <w:sz w:val="21"/>
          <w:szCs w:val="21"/>
          <w:highlight w:val="none"/>
        </w:rPr>
      </w:pPr>
      <w:r>
        <w:rPr>
          <w:rFonts w:hint="eastAsia" w:hAnsi="宋体" w:cs="宋体"/>
          <w:b/>
          <w:bCs/>
          <w:sz w:val="21"/>
          <w:szCs w:val="21"/>
          <w:highlight w:val="none"/>
          <w:lang w:bidi="ar"/>
        </w:rPr>
        <w:t>第四条  违约责任</w:t>
      </w:r>
    </w:p>
    <w:p>
      <w:pPr>
        <w:spacing w:line="560" w:lineRule="exact"/>
        <w:ind w:firstLine="420"/>
        <w:rPr>
          <w:rFonts w:hAnsi="宋体" w:cs="宋体"/>
          <w:sz w:val="21"/>
          <w:szCs w:val="21"/>
          <w:highlight w:val="none"/>
        </w:rPr>
      </w:pPr>
      <w:r>
        <w:rPr>
          <w:rFonts w:hint="eastAsia" w:hAnsi="宋体" w:cs="宋体"/>
          <w:sz w:val="21"/>
          <w:szCs w:val="21"/>
          <w:highlight w:val="none"/>
          <w:lang w:bidi="ar"/>
        </w:rPr>
        <w:t>（一）甲方违反本协议第一、第二条给乙方单位造成经济损失的，应予以赔偿。</w:t>
      </w:r>
    </w:p>
    <w:p>
      <w:pPr>
        <w:spacing w:line="560" w:lineRule="exact"/>
        <w:ind w:firstLine="420"/>
        <w:rPr>
          <w:rFonts w:hAnsi="宋体" w:cs="宋体"/>
          <w:sz w:val="21"/>
          <w:szCs w:val="21"/>
          <w:highlight w:val="none"/>
        </w:rPr>
      </w:pPr>
      <w:r>
        <w:rPr>
          <w:rFonts w:hint="eastAsia" w:hAnsi="宋体" w:cs="宋体"/>
          <w:sz w:val="21"/>
          <w:szCs w:val="21"/>
          <w:highlight w:val="none"/>
          <w:lang w:bidi="ar"/>
        </w:rPr>
        <w:t>（二）乙方违反本协议第一、第三条给甲方单位造成经济损失的，应予以赔偿。</w:t>
      </w:r>
    </w:p>
    <w:p>
      <w:pPr>
        <w:spacing w:line="560" w:lineRule="exact"/>
        <w:ind w:firstLine="422"/>
        <w:rPr>
          <w:rFonts w:hAnsi="宋体" w:cs="宋体"/>
          <w:b/>
          <w:bCs/>
          <w:sz w:val="21"/>
          <w:szCs w:val="21"/>
          <w:highlight w:val="none"/>
        </w:rPr>
      </w:pPr>
      <w:r>
        <w:rPr>
          <w:rFonts w:hint="eastAsia" w:hAnsi="宋体" w:cs="宋体"/>
          <w:b/>
          <w:bCs/>
          <w:sz w:val="21"/>
          <w:szCs w:val="21"/>
          <w:highlight w:val="none"/>
          <w:lang w:bidi="ar"/>
        </w:rPr>
        <w:t>第五条  监督检查</w:t>
      </w:r>
    </w:p>
    <w:p>
      <w:pPr>
        <w:spacing w:line="560" w:lineRule="exact"/>
        <w:ind w:firstLine="420"/>
        <w:rPr>
          <w:rFonts w:hAnsi="宋体" w:cs="宋体"/>
          <w:sz w:val="21"/>
          <w:szCs w:val="21"/>
          <w:highlight w:val="none"/>
        </w:rPr>
      </w:pPr>
      <w:r>
        <w:rPr>
          <w:rFonts w:hint="eastAsia" w:hAnsi="宋体" w:cs="宋体"/>
          <w:sz w:val="21"/>
          <w:szCs w:val="21"/>
          <w:highlight w:val="none"/>
          <w:lang w:bidi="ar"/>
        </w:rPr>
        <w:t>甲乙双方的廉洁从业行为由甲乙双方或甲乙双方上级单位的纪检、监察部门负责监督，对本协议履行情况进行检查。</w:t>
      </w:r>
    </w:p>
    <w:p>
      <w:pPr>
        <w:spacing w:line="560" w:lineRule="exact"/>
        <w:ind w:firstLine="422"/>
        <w:rPr>
          <w:rFonts w:hAnsi="宋体" w:cs="宋体"/>
          <w:b/>
          <w:bCs/>
          <w:sz w:val="21"/>
          <w:szCs w:val="21"/>
          <w:highlight w:val="none"/>
        </w:rPr>
      </w:pPr>
      <w:r>
        <w:rPr>
          <w:rFonts w:hint="eastAsia" w:hAnsi="宋体" w:cs="宋体"/>
          <w:b/>
          <w:bCs/>
          <w:sz w:val="21"/>
          <w:szCs w:val="21"/>
          <w:highlight w:val="none"/>
          <w:lang w:bidi="ar"/>
        </w:rPr>
        <w:t>第六条 举报信访受理</w:t>
      </w:r>
    </w:p>
    <w:p>
      <w:pPr>
        <w:spacing w:line="560" w:lineRule="exact"/>
        <w:ind w:firstLine="420"/>
        <w:rPr>
          <w:rFonts w:hAnsi="宋体" w:cs="宋体"/>
          <w:sz w:val="21"/>
          <w:szCs w:val="21"/>
          <w:highlight w:val="none"/>
          <w:lang w:bidi="ar"/>
        </w:rPr>
      </w:pPr>
      <w:r>
        <w:rPr>
          <w:rFonts w:hint="eastAsia" w:hAnsi="宋体" w:cs="宋体"/>
          <w:sz w:val="21"/>
          <w:szCs w:val="21"/>
          <w:highlight w:val="none"/>
          <w:lang w:bidi="ar"/>
        </w:rPr>
        <w:t>（一）举报受理部门：东莞市水务集团有限公司纪检监察部。</w:t>
      </w:r>
    </w:p>
    <w:p>
      <w:pPr>
        <w:spacing w:line="560" w:lineRule="exact"/>
        <w:ind w:firstLine="420"/>
        <w:rPr>
          <w:rFonts w:hAnsi="宋体" w:cs="宋体"/>
          <w:sz w:val="21"/>
          <w:szCs w:val="21"/>
          <w:highlight w:val="none"/>
          <w:lang w:bidi="ar"/>
        </w:rPr>
      </w:pPr>
      <w:r>
        <w:rPr>
          <w:rFonts w:hint="eastAsia" w:hAnsi="宋体" w:cs="宋体"/>
          <w:sz w:val="21"/>
          <w:szCs w:val="21"/>
          <w:highlight w:val="none"/>
          <w:lang w:bidi="ar"/>
        </w:rPr>
        <w:t>（二）举报电话：（0769）23076092。</w:t>
      </w:r>
    </w:p>
    <w:p>
      <w:pPr>
        <w:spacing w:line="560" w:lineRule="exact"/>
        <w:ind w:firstLine="420"/>
        <w:rPr>
          <w:rFonts w:hAnsi="宋体" w:cs="宋体"/>
          <w:sz w:val="21"/>
          <w:szCs w:val="21"/>
          <w:highlight w:val="none"/>
          <w:lang w:bidi="ar"/>
        </w:rPr>
      </w:pPr>
      <w:r>
        <w:rPr>
          <w:rFonts w:hint="eastAsia" w:hAnsi="宋体" w:cs="宋体"/>
          <w:sz w:val="21"/>
          <w:szCs w:val="21"/>
          <w:highlight w:val="none"/>
          <w:lang w:bidi="ar"/>
        </w:rPr>
        <w:t>（三）举报邮箱：</w:t>
      </w:r>
      <w:r>
        <w:rPr>
          <w:highlight w:val="none"/>
        </w:rPr>
        <w:fldChar w:fldCharType="begin"/>
      </w:r>
      <w:r>
        <w:rPr>
          <w:highlight w:val="none"/>
        </w:rPr>
        <w:instrText xml:space="preserve"> HYPERLINK "mailto:jcsj@dgswjt.cn。" </w:instrText>
      </w:r>
      <w:r>
        <w:rPr>
          <w:highlight w:val="none"/>
        </w:rPr>
        <w:fldChar w:fldCharType="separate"/>
      </w:r>
      <w:r>
        <w:rPr>
          <w:rFonts w:hint="eastAsia" w:hAnsi="宋体" w:cs="宋体"/>
          <w:sz w:val="21"/>
          <w:szCs w:val="21"/>
          <w:highlight w:val="none"/>
          <w:lang w:bidi="ar"/>
        </w:rPr>
        <w:t>jcsj@dgswjt.cn。</w:t>
      </w:r>
      <w:r>
        <w:rPr>
          <w:rFonts w:hint="eastAsia" w:hAnsi="宋体" w:cs="宋体"/>
          <w:sz w:val="21"/>
          <w:szCs w:val="21"/>
          <w:highlight w:val="none"/>
          <w:lang w:bidi="ar"/>
        </w:rPr>
        <w:fldChar w:fldCharType="end"/>
      </w:r>
    </w:p>
    <w:p>
      <w:pPr>
        <w:spacing w:line="560" w:lineRule="exact"/>
        <w:ind w:firstLine="420"/>
        <w:rPr>
          <w:rFonts w:hAnsi="宋体" w:cs="宋体"/>
          <w:sz w:val="21"/>
          <w:szCs w:val="21"/>
          <w:highlight w:val="none"/>
          <w:lang w:bidi="ar"/>
        </w:rPr>
      </w:pPr>
      <w:r>
        <w:rPr>
          <w:rFonts w:hint="eastAsia" w:hAnsi="宋体" w:cs="宋体"/>
          <w:sz w:val="21"/>
          <w:szCs w:val="21"/>
          <w:highlight w:val="none"/>
          <w:lang w:bidi="ar"/>
        </w:rPr>
        <w:t>（四）信访地址：广东省东莞市东城街道育华路1号。</w:t>
      </w:r>
    </w:p>
    <w:p>
      <w:pPr>
        <w:spacing w:line="560" w:lineRule="exact"/>
        <w:ind w:firstLine="422"/>
        <w:rPr>
          <w:rFonts w:hAnsi="宋体" w:cs="宋体"/>
          <w:b/>
          <w:bCs/>
          <w:sz w:val="21"/>
          <w:szCs w:val="21"/>
          <w:highlight w:val="none"/>
        </w:rPr>
      </w:pPr>
      <w:r>
        <w:rPr>
          <w:rFonts w:hint="eastAsia" w:hAnsi="宋体" w:cs="宋体"/>
          <w:b/>
          <w:bCs/>
          <w:sz w:val="21"/>
          <w:szCs w:val="21"/>
          <w:highlight w:val="none"/>
          <w:lang w:bidi="ar"/>
        </w:rPr>
        <w:t>第七条 其他</w:t>
      </w:r>
    </w:p>
    <w:p>
      <w:pPr>
        <w:spacing w:line="560" w:lineRule="exact"/>
        <w:ind w:firstLine="420"/>
        <w:rPr>
          <w:rFonts w:hAnsi="宋体" w:cs="宋体"/>
          <w:sz w:val="21"/>
          <w:szCs w:val="21"/>
          <w:highlight w:val="none"/>
        </w:rPr>
      </w:pPr>
      <w:r>
        <w:rPr>
          <w:rFonts w:hint="eastAsia" w:hAnsi="宋体" w:cs="宋体"/>
          <w:sz w:val="21"/>
          <w:szCs w:val="21"/>
          <w:highlight w:val="none"/>
          <w:lang w:bidi="ar"/>
        </w:rPr>
        <w:t>本协议有效期为甲乙双方法定代表人或负责人签字并加盖章之日起至该工程/采购项目竣工验收完毕，质保期/服务期满后止。本协议一式</w:t>
      </w:r>
      <w:r>
        <w:rPr>
          <w:rFonts w:hint="eastAsia" w:hAnsi="宋体" w:cs="宋体"/>
          <w:sz w:val="21"/>
          <w:szCs w:val="21"/>
          <w:highlight w:val="none"/>
          <w:u w:val="single"/>
          <w:lang w:bidi="ar"/>
        </w:rPr>
        <w:t xml:space="preserve">   </w:t>
      </w:r>
      <w:r>
        <w:rPr>
          <w:rFonts w:hint="eastAsia" w:hAnsi="宋体" w:cs="宋体"/>
          <w:sz w:val="21"/>
          <w:szCs w:val="21"/>
          <w:highlight w:val="none"/>
          <w:lang w:bidi="ar"/>
        </w:rPr>
        <w:t>份，甲、乙双方各执</w:t>
      </w:r>
      <w:r>
        <w:rPr>
          <w:rFonts w:hint="eastAsia" w:hAnsi="宋体" w:cs="宋体"/>
          <w:sz w:val="21"/>
          <w:szCs w:val="21"/>
          <w:highlight w:val="none"/>
          <w:u w:val="single"/>
          <w:lang w:bidi="ar"/>
        </w:rPr>
        <w:t xml:space="preserve">   </w:t>
      </w:r>
      <w:r>
        <w:rPr>
          <w:rFonts w:hint="eastAsia" w:hAnsi="宋体" w:cs="宋体"/>
          <w:sz w:val="21"/>
          <w:szCs w:val="21"/>
          <w:highlight w:val="none"/>
          <w:lang w:bidi="ar"/>
        </w:rPr>
        <w:t>份，甲、乙双方上级主管部门各执</w:t>
      </w:r>
      <w:r>
        <w:rPr>
          <w:rFonts w:hint="eastAsia" w:hAnsi="宋体" w:cs="宋体"/>
          <w:sz w:val="21"/>
          <w:szCs w:val="21"/>
          <w:highlight w:val="none"/>
          <w:u w:val="single"/>
          <w:lang w:bidi="ar"/>
        </w:rPr>
        <w:t xml:space="preserve">   </w:t>
      </w:r>
      <w:r>
        <w:rPr>
          <w:rFonts w:hint="eastAsia" w:hAnsi="宋体" w:cs="宋体"/>
          <w:sz w:val="21"/>
          <w:szCs w:val="21"/>
          <w:highlight w:val="none"/>
          <w:lang w:bidi="ar"/>
        </w:rPr>
        <w:t>份。</w:t>
      </w:r>
    </w:p>
    <w:p>
      <w:pPr>
        <w:spacing w:line="560" w:lineRule="exact"/>
        <w:ind w:firstLine="420"/>
        <w:rPr>
          <w:rFonts w:hAnsi="宋体" w:cs="宋体"/>
          <w:sz w:val="21"/>
          <w:szCs w:val="21"/>
          <w:highlight w:val="none"/>
        </w:rPr>
      </w:pPr>
    </w:p>
    <w:p>
      <w:pPr>
        <w:spacing w:line="560" w:lineRule="exact"/>
        <w:rPr>
          <w:rFonts w:hAnsi="宋体" w:cs="宋体"/>
          <w:sz w:val="21"/>
          <w:szCs w:val="21"/>
          <w:highlight w:val="none"/>
        </w:rPr>
      </w:pPr>
    </w:p>
    <w:p>
      <w:pPr>
        <w:spacing w:line="560" w:lineRule="exact"/>
        <w:ind w:firstLine="420"/>
        <w:rPr>
          <w:rFonts w:hAnsi="宋体" w:cs="宋体"/>
          <w:sz w:val="21"/>
          <w:szCs w:val="21"/>
          <w:highlight w:val="none"/>
        </w:rPr>
      </w:pPr>
      <w:r>
        <w:rPr>
          <w:rFonts w:hint="eastAsia" w:hAnsi="宋体" w:cs="宋体"/>
          <w:sz w:val="21"/>
          <w:szCs w:val="21"/>
          <w:highlight w:val="none"/>
          <w:lang w:bidi="ar"/>
        </w:rPr>
        <w:t xml:space="preserve">甲方（盖章）：                乙方（盖章）： </w:t>
      </w:r>
    </w:p>
    <w:p>
      <w:pPr>
        <w:spacing w:line="560" w:lineRule="exact"/>
        <w:ind w:firstLine="420"/>
        <w:rPr>
          <w:rFonts w:hAnsi="宋体" w:cs="宋体"/>
          <w:sz w:val="21"/>
          <w:szCs w:val="21"/>
          <w:highlight w:val="none"/>
        </w:rPr>
      </w:pPr>
    </w:p>
    <w:p>
      <w:pPr>
        <w:spacing w:line="560" w:lineRule="exact"/>
        <w:ind w:firstLine="420"/>
        <w:rPr>
          <w:rFonts w:hAnsi="宋体" w:cs="宋体"/>
          <w:sz w:val="21"/>
          <w:szCs w:val="21"/>
          <w:highlight w:val="none"/>
        </w:rPr>
      </w:pPr>
      <w:r>
        <w:rPr>
          <w:rFonts w:hint="eastAsia" w:hAnsi="宋体" w:cs="宋体"/>
          <w:sz w:val="21"/>
          <w:szCs w:val="21"/>
          <w:highlight w:val="none"/>
          <w:lang w:bidi="ar"/>
        </w:rPr>
        <w:t>法定代表人（或授权代表）：           法定代表人（或授权代表）：</w:t>
      </w:r>
    </w:p>
    <w:p>
      <w:pPr>
        <w:spacing w:line="560" w:lineRule="exact"/>
        <w:rPr>
          <w:rFonts w:hAnsi="宋体" w:cs="宋体"/>
          <w:sz w:val="21"/>
          <w:szCs w:val="21"/>
          <w:highlight w:val="none"/>
        </w:rPr>
      </w:pPr>
    </w:p>
    <w:p>
      <w:pPr>
        <w:spacing w:line="560" w:lineRule="exact"/>
        <w:ind w:firstLine="420"/>
        <w:rPr>
          <w:rFonts w:hAnsi="宋体" w:cs="宋体"/>
          <w:sz w:val="21"/>
          <w:szCs w:val="21"/>
          <w:highlight w:val="none"/>
        </w:rPr>
      </w:pPr>
      <w:r>
        <w:rPr>
          <w:rFonts w:hint="eastAsia" w:hAnsi="宋体" w:cs="宋体"/>
          <w:sz w:val="21"/>
          <w:szCs w:val="21"/>
          <w:highlight w:val="none"/>
          <w:lang w:bidi="ar"/>
        </w:rPr>
        <w:t>签订日期：    年  月  日</w:t>
      </w:r>
    </w:p>
    <w:p>
      <w:pPr>
        <w:spacing w:line="420" w:lineRule="exact"/>
        <w:jc w:val="both"/>
        <w:rPr>
          <w:rFonts w:ascii="仿宋_GB2312" w:hAnsi="仿宋_GB2312" w:eastAsia="仿宋_GB2312" w:cs="仿宋_GB2312"/>
          <w:b/>
          <w:bCs/>
          <w:sz w:val="36"/>
          <w:szCs w:val="36"/>
          <w:highlight w:val="none"/>
        </w:rPr>
      </w:pPr>
    </w:p>
    <w:p>
      <w:pPr>
        <w:spacing w:line="420" w:lineRule="exact"/>
        <w:jc w:val="center"/>
        <w:rPr>
          <w:rFonts w:ascii="仿宋_GB2312" w:hAnsi="仿宋_GB2312" w:eastAsia="仿宋_GB2312" w:cs="仿宋_GB2312"/>
          <w:b/>
          <w:bCs/>
          <w:sz w:val="36"/>
          <w:szCs w:val="36"/>
          <w:highlight w:val="none"/>
        </w:rPr>
      </w:pPr>
    </w:p>
    <w:p>
      <w:pPr>
        <w:pStyle w:val="2"/>
        <w:rPr>
          <w:rFonts w:ascii="仿宋_GB2312" w:hAnsi="仿宋_GB2312" w:eastAsia="仿宋_GB2312" w:cs="仿宋_GB2312"/>
          <w:b/>
          <w:sz w:val="36"/>
          <w:szCs w:val="36"/>
          <w:highlight w:val="none"/>
        </w:rPr>
      </w:pPr>
    </w:p>
    <w:p>
      <w:pPr>
        <w:pStyle w:val="2"/>
        <w:rPr>
          <w:rFonts w:ascii="仿宋_GB2312" w:hAnsi="仿宋_GB2312" w:eastAsia="仿宋_GB2312" w:cs="仿宋_GB2312"/>
          <w:b/>
          <w:sz w:val="36"/>
          <w:szCs w:val="36"/>
          <w:highlight w:val="none"/>
        </w:rPr>
      </w:pPr>
    </w:p>
    <w:p>
      <w:pPr>
        <w:pStyle w:val="2"/>
        <w:rPr>
          <w:rFonts w:ascii="仿宋_GB2312" w:hAnsi="仿宋_GB2312" w:eastAsia="仿宋_GB2312" w:cs="仿宋_GB2312"/>
          <w:b/>
          <w:sz w:val="36"/>
          <w:szCs w:val="36"/>
          <w:highlight w:val="none"/>
        </w:rPr>
      </w:pPr>
    </w:p>
    <w:p>
      <w:pPr>
        <w:pStyle w:val="2"/>
        <w:rPr>
          <w:rFonts w:ascii="仿宋_GB2312" w:hAnsi="仿宋_GB2312" w:eastAsia="仿宋_GB2312" w:cs="仿宋_GB2312"/>
          <w:b/>
          <w:sz w:val="36"/>
          <w:szCs w:val="36"/>
          <w:highlight w:val="none"/>
        </w:rPr>
      </w:pPr>
    </w:p>
    <w:p>
      <w:pPr>
        <w:pStyle w:val="2"/>
        <w:rPr>
          <w:rFonts w:ascii="仿宋_GB2312" w:hAnsi="仿宋_GB2312" w:eastAsia="仿宋_GB2312" w:cs="仿宋_GB2312"/>
          <w:b/>
          <w:sz w:val="36"/>
          <w:szCs w:val="36"/>
          <w:highlight w:val="none"/>
        </w:rPr>
      </w:pPr>
    </w:p>
    <w:p>
      <w:pPr>
        <w:spacing w:line="420" w:lineRule="exact"/>
        <w:jc w:val="center"/>
        <w:rPr>
          <w:rFonts w:ascii="仿宋_GB2312" w:hAnsi="仿宋_GB2312" w:eastAsia="仿宋_GB2312" w:cs="仿宋_GB2312"/>
          <w:b/>
          <w:bCs/>
          <w:sz w:val="36"/>
          <w:szCs w:val="36"/>
          <w:highlight w:val="none"/>
        </w:rPr>
      </w:pPr>
    </w:p>
    <w:p>
      <w:pPr>
        <w:adjustRightInd/>
        <w:outlineLvl w:val="0"/>
        <w:rPr>
          <w:rFonts w:hAnsi="宋体"/>
          <w:b/>
          <w:bCs/>
          <w:sz w:val="21"/>
          <w:szCs w:val="21"/>
          <w:highlight w:val="none"/>
          <w:lang w:bidi="ar"/>
        </w:rPr>
      </w:pPr>
      <w:r>
        <w:rPr>
          <w:rFonts w:hint="eastAsia" w:hAnsi="宋体"/>
          <w:b/>
          <w:bCs/>
          <w:sz w:val="21"/>
          <w:szCs w:val="21"/>
          <w:highlight w:val="none"/>
          <w:lang w:bidi="ar"/>
        </w:rPr>
        <w:t>附件二：安全生产管理协议</w:t>
      </w:r>
    </w:p>
    <w:p>
      <w:pPr>
        <w:jc w:val="center"/>
        <w:rPr>
          <w:rFonts w:hAnsi="宋体" w:cs="仿宋"/>
          <w:bCs/>
          <w:szCs w:val="28"/>
          <w:highlight w:val="none"/>
        </w:rPr>
      </w:pPr>
      <w:r>
        <w:rPr>
          <w:rFonts w:hint="eastAsia" w:hAnsi="宋体" w:cs="仿宋"/>
          <w:b/>
          <w:bCs/>
          <w:szCs w:val="28"/>
          <w:highlight w:val="none"/>
        </w:rPr>
        <w:t xml:space="preserve">         </w:t>
      </w:r>
      <w:r>
        <w:rPr>
          <w:rFonts w:hint="eastAsia" w:hAnsi="宋体" w:cs="仿宋"/>
          <w:bCs/>
          <w:szCs w:val="28"/>
          <w:highlight w:val="none"/>
        </w:rPr>
        <w:t xml:space="preserve">                                         </w:t>
      </w:r>
    </w:p>
    <w:p>
      <w:pPr>
        <w:jc w:val="center"/>
        <w:rPr>
          <w:rFonts w:hAnsi="宋体" w:cs="仿宋"/>
          <w:b/>
          <w:bCs/>
          <w:sz w:val="30"/>
          <w:szCs w:val="30"/>
          <w:highlight w:val="none"/>
        </w:rPr>
      </w:pPr>
      <w:r>
        <w:rPr>
          <w:rFonts w:hint="eastAsia" w:hAnsi="宋体" w:cs="仿宋"/>
          <w:b/>
          <w:bCs/>
          <w:sz w:val="30"/>
          <w:szCs w:val="30"/>
          <w:highlight w:val="none"/>
        </w:rPr>
        <w:t>安全生产管理协议</w:t>
      </w:r>
    </w:p>
    <w:p>
      <w:pPr>
        <w:jc w:val="center"/>
        <w:rPr>
          <w:rFonts w:hAnsi="宋体" w:cs="仿宋"/>
          <w:bCs/>
          <w:szCs w:val="28"/>
          <w:highlight w:val="none"/>
        </w:rPr>
      </w:pPr>
      <w:r>
        <w:rPr>
          <w:rFonts w:hint="eastAsia" w:hAnsi="宋体" w:cs="仿宋"/>
          <w:b/>
          <w:bCs/>
          <w:szCs w:val="28"/>
          <w:highlight w:val="none"/>
        </w:rPr>
        <w:t xml:space="preserve">         </w:t>
      </w:r>
      <w:r>
        <w:rPr>
          <w:rFonts w:hint="eastAsia" w:hAnsi="宋体" w:cs="仿宋"/>
          <w:bCs/>
          <w:szCs w:val="28"/>
          <w:highlight w:val="none"/>
        </w:rPr>
        <w:t xml:space="preserve">                                         </w:t>
      </w:r>
    </w:p>
    <w:p>
      <w:pPr>
        <w:rPr>
          <w:rFonts w:hAnsi="宋体" w:cs="仿宋"/>
          <w:sz w:val="21"/>
          <w:szCs w:val="21"/>
          <w:highlight w:val="none"/>
        </w:rPr>
      </w:pPr>
      <w:r>
        <w:rPr>
          <w:rFonts w:hint="eastAsia" w:hAnsi="宋体" w:cs="仿宋"/>
          <w:sz w:val="21"/>
          <w:szCs w:val="21"/>
          <w:highlight w:val="none"/>
        </w:rPr>
        <w:t>甲方：</w:t>
      </w:r>
    </w:p>
    <w:p>
      <w:pPr>
        <w:rPr>
          <w:rFonts w:hAnsi="宋体" w:cs="仿宋"/>
          <w:sz w:val="21"/>
          <w:szCs w:val="21"/>
          <w:highlight w:val="none"/>
        </w:rPr>
      </w:pPr>
      <w:r>
        <w:rPr>
          <w:rFonts w:hint="eastAsia" w:hAnsi="宋体" w:cs="仿宋"/>
          <w:sz w:val="21"/>
          <w:szCs w:val="21"/>
          <w:highlight w:val="none"/>
        </w:rPr>
        <w:t>地址:</w:t>
      </w:r>
    </w:p>
    <w:p>
      <w:pPr>
        <w:rPr>
          <w:rFonts w:hAnsi="宋体" w:cs="仿宋"/>
          <w:sz w:val="21"/>
          <w:szCs w:val="21"/>
          <w:highlight w:val="none"/>
        </w:rPr>
      </w:pPr>
      <w:r>
        <w:rPr>
          <w:rFonts w:hint="eastAsia" w:hAnsi="宋体" w:cs="仿宋"/>
          <w:sz w:val="21"/>
          <w:szCs w:val="21"/>
          <w:highlight w:val="none"/>
        </w:rPr>
        <w:t xml:space="preserve">电话:                </w:t>
      </w:r>
    </w:p>
    <w:p>
      <w:pPr>
        <w:rPr>
          <w:rFonts w:hAnsi="宋体" w:cs="仿宋"/>
          <w:sz w:val="21"/>
          <w:szCs w:val="21"/>
          <w:highlight w:val="none"/>
        </w:rPr>
      </w:pPr>
      <w:r>
        <w:rPr>
          <w:rFonts w:hint="eastAsia" w:hAnsi="宋体" w:cs="仿宋"/>
          <w:sz w:val="21"/>
          <w:szCs w:val="21"/>
          <w:highlight w:val="none"/>
        </w:rPr>
        <w:t>传真</w:t>
      </w:r>
    </w:p>
    <w:p>
      <w:pPr>
        <w:rPr>
          <w:rFonts w:hAnsi="宋体" w:cs="仿宋"/>
          <w:sz w:val="21"/>
          <w:szCs w:val="21"/>
          <w:highlight w:val="none"/>
        </w:rPr>
      </w:pPr>
    </w:p>
    <w:p>
      <w:pPr>
        <w:rPr>
          <w:rFonts w:hAnsi="宋体" w:cs="仿宋"/>
          <w:sz w:val="21"/>
          <w:szCs w:val="21"/>
          <w:highlight w:val="none"/>
        </w:rPr>
      </w:pPr>
      <w:r>
        <w:rPr>
          <w:rFonts w:hint="eastAsia" w:hAnsi="宋体" w:cs="仿宋"/>
          <w:sz w:val="21"/>
          <w:szCs w:val="21"/>
          <w:highlight w:val="none"/>
        </w:rPr>
        <w:t>乙方：</w:t>
      </w:r>
    </w:p>
    <w:p>
      <w:pPr>
        <w:rPr>
          <w:rFonts w:hAnsi="宋体" w:cs="仿宋"/>
          <w:sz w:val="21"/>
          <w:szCs w:val="21"/>
          <w:highlight w:val="none"/>
        </w:rPr>
      </w:pPr>
      <w:r>
        <w:rPr>
          <w:rFonts w:hint="eastAsia" w:hAnsi="宋体" w:cs="仿宋"/>
          <w:sz w:val="21"/>
          <w:szCs w:val="21"/>
          <w:highlight w:val="none"/>
        </w:rPr>
        <w:t>地址:</w:t>
      </w:r>
    </w:p>
    <w:p>
      <w:pPr>
        <w:rPr>
          <w:rFonts w:hAnsi="宋体" w:cs="仿宋"/>
          <w:sz w:val="21"/>
          <w:szCs w:val="21"/>
          <w:highlight w:val="none"/>
        </w:rPr>
      </w:pPr>
      <w:r>
        <w:rPr>
          <w:rFonts w:hint="eastAsia" w:hAnsi="宋体" w:cs="仿宋"/>
          <w:sz w:val="21"/>
          <w:szCs w:val="21"/>
          <w:highlight w:val="none"/>
        </w:rPr>
        <w:t>电话:</w:t>
      </w:r>
    </w:p>
    <w:p>
      <w:pPr>
        <w:rPr>
          <w:rFonts w:hAnsi="宋体" w:cs="仿宋"/>
          <w:sz w:val="21"/>
          <w:szCs w:val="21"/>
          <w:highlight w:val="none"/>
        </w:rPr>
      </w:pPr>
      <w:r>
        <w:rPr>
          <w:rFonts w:hint="eastAsia" w:hAnsi="宋体" w:cs="仿宋"/>
          <w:sz w:val="21"/>
          <w:szCs w:val="21"/>
          <w:highlight w:val="none"/>
        </w:rPr>
        <w:t>传真</w:t>
      </w:r>
    </w:p>
    <w:p>
      <w:pPr>
        <w:rPr>
          <w:rFonts w:hAnsi="宋体" w:cs="仿宋"/>
          <w:sz w:val="21"/>
          <w:szCs w:val="21"/>
          <w:highlight w:val="none"/>
        </w:rPr>
      </w:pPr>
    </w:p>
    <w:p>
      <w:pPr>
        <w:ind w:firstLine="424" w:firstLineChars="202"/>
        <w:rPr>
          <w:rFonts w:hAnsi="宋体" w:cs="仿宋"/>
          <w:sz w:val="21"/>
          <w:szCs w:val="21"/>
          <w:highlight w:val="none"/>
        </w:rPr>
      </w:pPr>
      <w:r>
        <w:rPr>
          <w:rFonts w:hint="eastAsia" w:hAnsi="宋体" w:cs="仿宋"/>
          <w:sz w:val="21"/>
          <w:szCs w:val="21"/>
          <w:highlight w:val="none"/>
        </w:rPr>
        <w:t>根据《中华人民共和国安全生产法》和《建设工程安全生产管理条例》的要求，为加强施工现场的安全管理，落实各自的安全生产职责，进一步加强施工单位和施工（维修）人员的安全管理，杜绝施工单位和施工（维修）人员因安全管理不善而引发的各类安全事故，保证甲、乙双方的财产和员工的人身安全不受侵害，经甲乙双方协商一致，签订协议如下：</w:t>
      </w:r>
    </w:p>
    <w:p>
      <w:pPr>
        <w:ind w:firstLine="424" w:firstLineChars="202"/>
        <w:rPr>
          <w:rFonts w:hAnsi="宋体" w:cs="仿宋"/>
          <w:sz w:val="21"/>
          <w:szCs w:val="21"/>
          <w:highlight w:val="none"/>
        </w:rPr>
      </w:pPr>
      <w:r>
        <w:rPr>
          <w:rFonts w:hint="eastAsia" w:hAnsi="宋体" w:cs="仿宋"/>
          <w:sz w:val="21"/>
          <w:szCs w:val="21"/>
          <w:highlight w:val="none"/>
        </w:rPr>
        <w:t>1、进场前乙方应将本企业的营业执照、企业资质等级证书、安全生产许可证、进场人员花名册、进场人员身体检查表、携带进场的机具一览表、特种作业人员及特种作业操作证的复印件报甲方。进场职工必须办好施工所在地所需办理的各种证件，不得使用未成年工、童工、超龄工和安排女工从事禁忌劳动，进场前，乙方必须严格遵守甲方及项目所在地的相关防疫要求。</w:t>
      </w:r>
    </w:p>
    <w:p>
      <w:pPr>
        <w:ind w:firstLine="424" w:firstLineChars="202"/>
        <w:rPr>
          <w:rFonts w:hAnsi="宋体" w:cs="仿宋"/>
          <w:sz w:val="21"/>
          <w:szCs w:val="21"/>
          <w:highlight w:val="none"/>
        </w:rPr>
      </w:pPr>
      <w:r>
        <w:rPr>
          <w:rFonts w:hint="eastAsia" w:hAnsi="宋体" w:cs="仿宋"/>
          <w:sz w:val="21"/>
          <w:szCs w:val="21"/>
          <w:highlight w:val="none"/>
        </w:rPr>
        <w:t>2、乙方应设置专职或兼职安全员，对施工进行安全管理，并在施工作业前对所属员工进行安全教育培训，并且进行经常性的安全教育，</w:t>
      </w:r>
      <w:r>
        <w:rPr>
          <w:rFonts w:hAnsi="宋体" w:cs="仿宋"/>
          <w:sz w:val="21"/>
          <w:szCs w:val="21"/>
          <w:highlight w:val="none"/>
        </w:rPr>
        <w:t>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r>
        <w:rPr>
          <w:rFonts w:hAnsi="宋体" w:cs="仿宋"/>
          <w:sz w:val="21"/>
          <w:szCs w:val="21"/>
          <w:highlight w:val="none"/>
        </w:rPr>
        <w:br w:type="textWrapping"/>
      </w:r>
      <w:r>
        <w:rPr>
          <w:rFonts w:hAnsi="宋体" w:cs="仿宋"/>
          <w:sz w:val="21"/>
          <w:szCs w:val="21"/>
          <w:highlight w:val="none"/>
        </w:rPr>
        <w:t xml:space="preserve">  </w:t>
      </w:r>
      <w:r>
        <w:rPr>
          <w:rFonts w:hint="eastAsia" w:hAnsi="宋体" w:cs="仿宋"/>
          <w:sz w:val="21"/>
          <w:szCs w:val="21"/>
          <w:highlight w:val="none"/>
        </w:rPr>
        <w:t>3、乙方</w:t>
      </w:r>
      <w:r>
        <w:rPr>
          <w:rFonts w:hAnsi="宋体" w:cs="仿宋"/>
          <w:sz w:val="21"/>
          <w:szCs w:val="21"/>
          <w:highlight w:val="none"/>
        </w:rPr>
        <w:t>使用被派遣劳动者的，应当将被派遣劳动者纳入本单位从业人员统一管理，对被派遣劳动者进行岗位安全操作规程和安全操作技能的教育和培训。</w:t>
      </w:r>
    </w:p>
    <w:p>
      <w:pPr>
        <w:ind w:firstLine="424" w:firstLineChars="202"/>
        <w:rPr>
          <w:rFonts w:hAnsi="宋体" w:cs="仿宋"/>
          <w:sz w:val="21"/>
          <w:szCs w:val="21"/>
          <w:highlight w:val="none"/>
        </w:rPr>
      </w:pPr>
      <w:r>
        <w:rPr>
          <w:rFonts w:hint="eastAsia" w:hAnsi="宋体" w:cs="仿宋"/>
          <w:sz w:val="21"/>
          <w:szCs w:val="21"/>
          <w:highlight w:val="none"/>
        </w:rPr>
        <w:t>4、乙方</w:t>
      </w:r>
      <w:r>
        <w:rPr>
          <w:rFonts w:hAnsi="宋体" w:cs="仿宋"/>
          <w:sz w:val="21"/>
          <w:szCs w:val="21"/>
          <w:highlight w:val="none"/>
        </w:rPr>
        <w:t>应当在有较大危险因素的</w:t>
      </w:r>
      <w:r>
        <w:rPr>
          <w:rFonts w:hint="eastAsia" w:hAnsi="宋体" w:cs="仿宋"/>
          <w:sz w:val="21"/>
          <w:szCs w:val="21"/>
          <w:highlight w:val="none"/>
        </w:rPr>
        <w:t>施工</w:t>
      </w:r>
      <w:r>
        <w:rPr>
          <w:rFonts w:hAnsi="宋体" w:cs="仿宋"/>
          <w:sz w:val="21"/>
          <w:szCs w:val="21"/>
          <w:highlight w:val="none"/>
        </w:rPr>
        <w:t>场所和有关设施、设备上，设置明显的安全警示标志。</w:t>
      </w:r>
      <w:r>
        <w:rPr>
          <w:rFonts w:hint="eastAsia" w:hAnsi="宋体" w:cs="仿宋"/>
          <w:sz w:val="21"/>
          <w:szCs w:val="21"/>
          <w:highlight w:val="none"/>
        </w:rPr>
        <w:t>乙方应当</w:t>
      </w:r>
      <w:r>
        <w:rPr>
          <w:rFonts w:hAnsi="宋体" w:cs="仿宋"/>
          <w:sz w:val="21"/>
          <w:szCs w:val="21"/>
          <w:highlight w:val="none"/>
        </w:rPr>
        <w:t>对安全设备进行经常性维护、保养，并定期检测，保证正常运转。维护、保养、检测应当</w:t>
      </w:r>
      <w:r>
        <w:rPr>
          <w:rFonts w:hint="eastAsia" w:hAnsi="宋体" w:cs="仿宋"/>
          <w:sz w:val="21"/>
          <w:szCs w:val="21"/>
          <w:highlight w:val="none"/>
        </w:rPr>
        <w:t>做</w:t>
      </w:r>
      <w:r>
        <w:rPr>
          <w:rFonts w:hAnsi="宋体" w:cs="仿宋"/>
          <w:sz w:val="21"/>
          <w:szCs w:val="21"/>
          <w:highlight w:val="none"/>
        </w:rPr>
        <w:t>好记录，并由</w:t>
      </w:r>
      <w:r>
        <w:rPr>
          <w:rFonts w:hint="eastAsia" w:hAnsi="宋体" w:cs="仿宋"/>
          <w:sz w:val="21"/>
          <w:szCs w:val="21"/>
          <w:highlight w:val="none"/>
        </w:rPr>
        <w:t>乙方安全员或代表</w:t>
      </w:r>
      <w:r>
        <w:rPr>
          <w:rFonts w:hAnsi="宋体" w:cs="仿宋"/>
          <w:sz w:val="21"/>
          <w:szCs w:val="21"/>
          <w:highlight w:val="none"/>
        </w:rPr>
        <w:t>签字</w:t>
      </w:r>
      <w:r>
        <w:rPr>
          <w:rFonts w:hint="eastAsia" w:hAnsi="宋体" w:cs="仿宋"/>
          <w:sz w:val="21"/>
          <w:szCs w:val="21"/>
          <w:highlight w:val="none"/>
        </w:rPr>
        <w:t>。</w:t>
      </w:r>
    </w:p>
    <w:p>
      <w:pPr>
        <w:ind w:firstLine="424" w:firstLineChars="202"/>
        <w:rPr>
          <w:rFonts w:hAnsi="宋体" w:cs="仿宋"/>
          <w:sz w:val="21"/>
          <w:szCs w:val="21"/>
          <w:highlight w:val="none"/>
        </w:rPr>
      </w:pPr>
      <w:r>
        <w:rPr>
          <w:rFonts w:hint="eastAsia" w:hAnsi="宋体" w:cs="仿宋"/>
          <w:sz w:val="21"/>
          <w:szCs w:val="21"/>
          <w:highlight w:val="none"/>
        </w:rPr>
        <w:t>5、乙方</w:t>
      </w:r>
      <w:r>
        <w:rPr>
          <w:rFonts w:hAnsi="宋体" w:cs="仿宋"/>
          <w:sz w:val="21"/>
          <w:szCs w:val="21"/>
          <w:highlight w:val="none"/>
        </w:rPr>
        <w:t>应当教育和督促从业人员严格执行本单位的安全生产规章制度和安全操作规程；并向从业人员如实告知作业场所和工作岗位存在的危险因素、防范措施以及事故应急措施。</w:t>
      </w:r>
    </w:p>
    <w:p>
      <w:pPr>
        <w:ind w:firstLine="424" w:firstLineChars="202"/>
        <w:rPr>
          <w:rFonts w:hAnsi="宋体" w:cs="仿宋"/>
          <w:sz w:val="21"/>
          <w:szCs w:val="21"/>
          <w:highlight w:val="none"/>
        </w:rPr>
      </w:pPr>
      <w:r>
        <w:rPr>
          <w:rFonts w:hint="eastAsia" w:hAnsi="宋体" w:cs="仿宋"/>
          <w:sz w:val="21"/>
          <w:szCs w:val="21"/>
          <w:highlight w:val="none"/>
        </w:rPr>
        <w:t>6、乙方应严格遵守国家、地方政府有关安全生产及劳动保护的法律法规、标准、规定，贯彻执行甲方的各项安全管理规章制度。</w:t>
      </w:r>
    </w:p>
    <w:p>
      <w:pPr>
        <w:ind w:firstLine="424" w:firstLineChars="202"/>
        <w:rPr>
          <w:rFonts w:hAnsi="宋体" w:cs="仿宋"/>
          <w:sz w:val="21"/>
          <w:szCs w:val="21"/>
          <w:highlight w:val="none"/>
        </w:rPr>
      </w:pPr>
      <w:r>
        <w:rPr>
          <w:rFonts w:hint="eastAsia" w:hAnsi="宋体" w:cs="仿宋"/>
          <w:sz w:val="21"/>
          <w:szCs w:val="21"/>
          <w:highlight w:val="none"/>
        </w:rPr>
        <w:t>7、乙方</w:t>
      </w:r>
      <w:r>
        <w:rPr>
          <w:rFonts w:hAnsi="宋体" w:cs="仿宋"/>
          <w:sz w:val="21"/>
          <w:szCs w:val="21"/>
          <w:highlight w:val="none"/>
        </w:rPr>
        <w:t>依法参加工伤保险，为从业人员缴纳保险费</w:t>
      </w:r>
      <w:r>
        <w:rPr>
          <w:rFonts w:hint="eastAsia" w:hAnsi="宋体" w:cs="仿宋"/>
          <w:sz w:val="21"/>
          <w:szCs w:val="21"/>
          <w:highlight w:val="none"/>
        </w:rPr>
        <w:t>，并应当为从事危险作业的人员办理意外伤害保险</w:t>
      </w:r>
      <w:r>
        <w:rPr>
          <w:rFonts w:hAnsi="宋体" w:cs="仿宋"/>
          <w:sz w:val="21"/>
          <w:szCs w:val="21"/>
          <w:highlight w:val="none"/>
        </w:rPr>
        <w:t>。</w:t>
      </w:r>
    </w:p>
    <w:p>
      <w:pPr>
        <w:ind w:firstLine="424" w:firstLineChars="202"/>
        <w:rPr>
          <w:rFonts w:hAnsi="宋体" w:cs="仿宋"/>
          <w:sz w:val="21"/>
          <w:szCs w:val="21"/>
          <w:highlight w:val="none"/>
        </w:rPr>
      </w:pPr>
      <w:r>
        <w:rPr>
          <w:rFonts w:hint="eastAsia" w:hAnsi="宋体" w:cs="仿宋"/>
          <w:sz w:val="21"/>
          <w:szCs w:val="21"/>
          <w:highlight w:val="none"/>
        </w:rPr>
        <w:t>8、乙方应当服从甲方的安全管理，保证施工区域的现场文明安全管理达标，现场临时用电、机器设备、安全防护齐全、完好。接受和配合甲方的安全监督检查，乙方现场的所有安全装置、防护设施必须依据经甲方审批后的安全技术施工方案进行搭设、安装，乙方必须无条件保证安全防护设施使用的搭设材料的质量，在用于安全防护的物资进场前将有关物资的材质证明报甲方，经甲方确认后方可使用。</w:t>
      </w:r>
    </w:p>
    <w:p>
      <w:pPr>
        <w:ind w:firstLine="424" w:firstLineChars="202"/>
        <w:rPr>
          <w:rFonts w:hAnsi="宋体" w:cs="仿宋"/>
          <w:sz w:val="21"/>
          <w:szCs w:val="21"/>
          <w:highlight w:val="none"/>
        </w:rPr>
      </w:pPr>
      <w:r>
        <w:rPr>
          <w:rFonts w:hint="eastAsia" w:hAnsi="宋体" w:cs="仿宋"/>
          <w:sz w:val="21"/>
          <w:szCs w:val="21"/>
          <w:highlight w:val="none"/>
        </w:rPr>
        <w:t>9、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pPr>
        <w:ind w:firstLine="424" w:firstLineChars="202"/>
        <w:rPr>
          <w:rFonts w:hAnsi="宋体" w:cs="仿宋"/>
          <w:sz w:val="21"/>
          <w:szCs w:val="21"/>
          <w:highlight w:val="none"/>
        </w:rPr>
      </w:pPr>
      <w:r>
        <w:rPr>
          <w:rFonts w:hint="eastAsia" w:hAnsi="宋体" w:cs="仿宋"/>
          <w:sz w:val="21"/>
          <w:szCs w:val="21"/>
          <w:highlight w:val="none"/>
        </w:rPr>
        <w:t>10、甲方有权对整个施工现场的安全管理工作进行协调和监督管理。指导、监督、检查乙方的执业健康安全管理工作，对乙方施工中的违章指挥、违章作业和安全隐患提出整改意见，督促、检查乙方的隐患整改落实情况。</w:t>
      </w:r>
    </w:p>
    <w:p>
      <w:pPr>
        <w:ind w:firstLine="424" w:firstLineChars="202"/>
        <w:rPr>
          <w:rFonts w:hAnsi="宋体" w:cs="仿宋"/>
          <w:sz w:val="21"/>
          <w:szCs w:val="21"/>
          <w:highlight w:val="none"/>
        </w:rPr>
      </w:pPr>
      <w:r>
        <w:rPr>
          <w:rFonts w:hint="eastAsia" w:hAnsi="宋体" w:cs="仿宋"/>
          <w:sz w:val="21"/>
          <w:szCs w:val="21"/>
          <w:highlight w:val="none"/>
        </w:rPr>
        <w:t>11、乙方在施工过程中违反有关安全管理规定、有违章现象发生、安全问题整改不到位或拒不接受甲方的正常安全管理的，依据有关法律法规规定进行处理。乙方施工中存在重大隐患或险情时，甲方有权要求乙方立即整改直至隐患消除，若乙方整改后仍达不到甲方要求的，甲方有权要求与乙方单方解除合同，并要求乙方清退出场。</w:t>
      </w:r>
    </w:p>
    <w:p>
      <w:pPr>
        <w:ind w:firstLine="424" w:firstLineChars="202"/>
        <w:rPr>
          <w:rFonts w:hAnsi="宋体" w:cs="仿宋"/>
          <w:sz w:val="21"/>
          <w:szCs w:val="21"/>
          <w:highlight w:val="none"/>
        </w:rPr>
      </w:pPr>
      <w:r>
        <w:rPr>
          <w:rFonts w:hint="eastAsia" w:hAnsi="宋体" w:cs="仿宋"/>
          <w:sz w:val="21"/>
          <w:szCs w:val="21"/>
          <w:highlight w:val="none"/>
        </w:rPr>
        <w:t>12、乙方施工人员未经许可不得随意到施工区域以外的其它工作场所活动，乙方施工人员擅自到施工区域以外的其它工作场所活动，出现人身损伤或伤亡的，由乙方自行负责一切责任。乙方施工人员需动用或施工涉及到甲方所属设备、电器、管线及其他设施等，必须事先征得甲方代表的同意，并采取安全防护措施。</w:t>
      </w:r>
    </w:p>
    <w:p>
      <w:pPr>
        <w:ind w:firstLine="424" w:firstLineChars="202"/>
        <w:rPr>
          <w:rFonts w:hAnsi="宋体" w:cs="仿宋"/>
          <w:sz w:val="21"/>
          <w:szCs w:val="21"/>
          <w:highlight w:val="none"/>
        </w:rPr>
      </w:pPr>
      <w:r>
        <w:rPr>
          <w:rFonts w:hint="eastAsia" w:hAnsi="宋体" w:cs="仿宋"/>
          <w:sz w:val="21"/>
          <w:szCs w:val="21"/>
          <w:highlight w:val="none"/>
        </w:rPr>
        <w:t>13、在施工过程中，需要进行动土、动火、登高、吊装、断路、进入限制性空间等危险性较高的作业时，乙方的施工负责人、专职或兼职安全员必须现场确认，确保安全后，方可开始施工。</w:t>
      </w:r>
    </w:p>
    <w:p>
      <w:pPr>
        <w:ind w:firstLine="424" w:firstLineChars="202"/>
        <w:rPr>
          <w:rFonts w:hAnsi="宋体" w:cs="仿宋"/>
          <w:sz w:val="21"/>
          <w:szCs w:val="21"/>
          <w:highlight w:val="none"/>
        </w:rPr>
      </w:pPr>
      <w:r>
        <w:rPr>
          <w:rFonts w:hint="eastAsia" w:hAnsi="宋体" w:cs="仿宋"/>
          <w:sz w:val="21"/>
          <w:szCs w:val="21"/>
          <w:highlight w:val="none"/>
        </w:rPr>
        <w:t>14、因乙方原因，造成乙方损失，由乙方自负，给甲方造成财产损失和人员伤害，乙方要负全部责任，并全额赔偿甲方。</w:t>
      </w:r>
    </w:p>
    <w:p>
      <w:pPr>
        <w:ind w:firstLine="424" w:firstLineChars="202"/>
        <w:rPr>
          <w:rFonts w:hAnsi="宋体" w:cs="仿宋"/>
          <w:sz w:val="21"/>
          <w:szCs w:val="21"/>
          <w:highlight w:val="none"/>
        </w:rPr>
      </w:pPr>
      <w:r>
        <w:rPr>
          <w:rFonts w:hint="eastAsia" w:hAnsi="宋体" w:cs="仿宋"/>
          <w:sz w:val="21"/>
          <w:szCs w:val="21"/>
          <w:highlight w:val="none"/>
        </w:rPr>
        <w:t>15、非因甲方原因，造成乙方损失的，甲方不承担任何责任，由乙方自行承担全部责任。</w:t>
      </w:r>
    </w:p>
    <w:p>
      <w:pPr>
        <w:ind w:firstLine="424" w:firstLineChars="202"/>
        <w:rPr>
          <w:rFonts w:hAnsi="宋体" w:cs="仿宋"/>
          <w:sz w:val="21"/>
          <w:szCs w:val="21"/>
          <w:highlight w:val="none"/>
        </w:rPr>
      </w:pPr>
      <w:r>
        <w:rPr>
          <w:rFonts w:hint="eastAsia" w:hAnsi="宋体" w:cs="仿宋"/>
          <w:sz w:val="21"/>
          <w:szCs w:val="21"/>
          <w:highlight w:val="none"/>
        </w:rPr>
        <w:t>16、乙方应严格遵守法律法规以及甲方的安全管理要求，并接受甲方的安全生产工作协调和监督，积极消除安全隐患。安全管理的基本要求包括但不限于以下条款：</w:t>
      </w:r>
    </w:p>
    <w:p>
      <w:pPr>
        <w:ind w:firstLine="424" w:firstLineChars="202"/>
        <w:rPr>
          <w:rFonts w:hAnsi="宋体" w:cs="仿宋"/>
          <w:sz w:val="21"/>
          <w:szCs w:val="21"/>
          <w:highlight w:val="none"/>
        </w:rPr>
      </w:pPr>
      <w:r>
        <w:rPr>
          <w:rFonts w:hint="eastAsia" w:hAnsi="宋体" w:cs="仿宋"/>
          <w:sz w:val="21"/>
          <w:szCs w:val="21"/>
          <w:highlight w:val="none"/>
        </w:rPr>
        <w:t>①禁火区内严禁吸烟、动火。有火灾危险的作业区域，乙方必须配置足够的灭火设施。</w:t>
      </w:r>
    </w:p>
    <w:p>
      <w:pPr>
        <w:ind w:firstLine="424" w:firstLineChars="202"/>
        <w:rPr>
          <w:rFonts w:hAnsi="宋体" w:cs="仿宋"/>
          <w:sz w:val="21"/>
          <w:szCs w:val="21"/>
          <w:highlight w:val="none"/>
        </w:rPr>
      </w:pPr>
      <w:r>
        <w:rPr>
          <w:rFonts w:hint="eastAsia" w:hAnsi="宋体" w:cs="仿宋"/>
          <w:sz w:val="21"/>
          <w:szCs w:val="21"/>
          <w:highlight w:val="none"/>
        </w:rPr>
        <w:t>②焊接、气割作业时两瓶距离必须达到5M及以上，气瓶距可能产生火花的电器、设备和其它火源的间距必须达到10M及以上。</w:t>
      </w:r>
    </w:p>
    <w:p>
      <w:pPr>
        <w:ind w:firstLine="424" w:firstLineChars="202"/>
        <w:rPr>
          <w:rFonts w:hAnsi="宋体" w:cs="仿宋"/>
          <w:sz w:val="21"/>
          <w:szCs w:val="21"/>
          <w:highlight w:val="none"/>
        </w:rPr>
      </w:pPr>
      <w:bookmarkStart w:id="44" w:name="_Toc16324"/>
      <w:r>
        <w:rPr>
          <w:rFonts w:hint="eastAsia" w:hAnsi="宋体" w:cs="仿宋"/>
          <w:sz w:val="21"/>
          <w:szCs w:val="21"/>
          <w:highlight w:val="none"/>
        </w:rPr>
        <w:t>③严禁在厂内道路、消防通道内搭建临时建筑或堆放物资。</w:t>
      </w:r>
      <w:bookmarkEnd w:id="44"/>
    </w:p>
    <w:p>
      <w:pPr>
        <w:ind w:firstLine="424" w:firstLineChars="202"/>
        <w:rPr>
          <w:rFonts w:hAnsi="宋体" w:cs="仿宋"/>
          <w:sz w:val="21"/>
          <w:szCs w:val="21"/>
          <w:highlight w:val="none"/>
        </w:rPr>
      </w:pPr>
      <w:r>
        <w:rPr>
          <w:rFonts w:hint="eastAsia" w:hAnsi="宋体" w:cs="仿宋"/>
          <w:sz w:val="21"/>
          <w:szCs w:val="21"/>
          <w:highlight w:val="none"/>
        </w:rPr>
        <w:t>④施工场所的电动工具、电焊机等须有漏电保护器和相应的安全防护装置。</w:t>
      </w:r>
    </w:p>
    <w:p>
      <w:pPr>
        <w:ind w:firstLine="424" w:firstLineChars="202"/>
        <w:rPr>
          <w:rFonts w:hAnsi="宋体" w:cs="仿宋"/>
          <w:sz w:val="21"/>
          <w:szCs w:val="21"/>
          <w:highlight w:val="none"/>
        </w:rPr>
      </w:pPr>
      <w:r>
        <w:rPr>
          <w:rFonts w:hint="eastAsia" w:hAnsi="宋体" w:cs="仿宋"/>
          <w:sz w:val="21"/>
          <w:szCs w:val="21"/>
          <w:highlight w:val="none"/>
        </w:rPr>
        <w:t>⑤施工现场及居住室、办公室内的用电设施必须符合要求，严禁电线乱接、乱拉，刀闸和开关无盖，在电器设施上堆放物品。</w:t>
      </w:r>
    </w:p>
    <w:p>
      <w:pPr>
        <w:ind w:firstLine="424" w:firstLineChars="202"/>
        <w:rPr>
          <w:rFonts w:hAnsi="宋体" w:cs="仿宋"/>
          <w:sz w:val="21"/>
          <w:szCs w:val="21"/>
          <w:highlight w:val="none"/>
        </w:rPr>
      </w:pPr>
      <w:bookmarkStart w:id="45" w:name="_Toc4938"/>
      <w:r>
        <w:rPr>
          <w:rFonts w:hint="eastAsia" w:hAnsi="宋体" w:cs="仿宋"/>
          <w:sz w:val="21"/>
          <w:szCs w:val="21"/>
          <w:highlight w:val="none"/>
        </w:rPr>
        <w:t>⑥防雷、防静电设施及用电设施要有良好接地。</w:t>
      </w:r>
      <w:bookmarkEnd w:id="45"/>
    </w:p>
    <w:p>
      <w:pPr>
        <w:ind w:firstLine="424" w:firstLineChars="202"/>
        <w:rPr>
          <w:rFonts w:hAnsi="宋体" w:cs="仿宋"/>
          <w:sz w:val="21"/>
          <w:szCs w:val="21"/>
          <w:highlight w:val="none"/>
        </w:rPr>
      </w:pPr>
      <w:r>
        <w:rPr>
          <w:rFonts w:hint="eastAsia" w:hAnsi="宋体" w:cs="仿宋"/>
          <w:sz w:val="21"/>
          <w:szCs w:val="21"/>
          <w:highlight w:val="none"/>
        </w:rPr>
        <w:t>⑦施工现场的危险区域，如临边、深坑、土方堆填区等，必须设置围栏和危险标志，夜间要设信号灯。</w:t>
      </w:r>
    </w:p>
    <w:p>
      <w:pPr>
        <w:ind w:firstLine="424" w:firstLineChars="202"/>
        <w:rPr>
          <w:rFonts w:hAnsi="宋体" w:cs="仿宋"/>
          <w:sz w:val="21"/>
          <w:szCs w:val="21"/>
          <w:highlight w:val="none"/>
        </w:rPr>
      </w:pPr>
      <w:r>
        <w:rPr>
          <w:rFonts w:hint="eastAsia" w:hAnsi="宋体" w:cs="仿宋"/>
          <w:sz w:val="21"/>
          <w:szCs w:val="21"/>
          <w:highlight w:val="none"/>
        </w:rPr>
        <w:t>⑧乙方应当</w:t>
      </w:r>
      <w:r>
        <w:rPr>
          <w:rFonts w:hAnsi="宋体" w:cs="仿宋"/>
          <w:sz w:val="21"/>
          <w:szCs w:val="21"/>
          <w:highlight w:val="none"/>
        </w:rPr>
        <w:t>为从业人员提供符合国家标准或者行业标准的劳动防护用品，并监督、教育从业人员按照使用规则佩戴、使用</w:t>
      </w:r>
      <w:r>
        <w:rPr>
          <w:rFonts w:hint="eastAsia" w:hAnsi="宋体" w:cs="仿宋"/>
          <w:sz w:val="21"/>
          <w:szCs w:val="21"/>
          <w:highlight w:val="none"/>
        </w:rPr>
        <w:t>，防止工伤事故的发生。乙方发生各类工伤事故，严禁隐瞒不报。发生重伤及重伤以上事故，应及时组织抢救、保护好现场，并立即报告甲方主管领导。</w:t>
      </w:r>
    </w:p>
    <w:p>
      <w:pPr>
        <w:ind w:firstLine="424" w:firstLineChars="202"/>
        <w:rPr>
          <w:rFonts w:hAnsi="宋体" w:cs="仿宋"/>
          <w:sz w:val="21"/>
          <w:szCs w:val="21"/>
          <w:highlight w:val="none"/>
        </w:rPr>
      </w:pPr>
      <w:r>
        <w:rPr>
          <w:rFonts w:hint="eastAsia" w:hAnsi="宋体" w:cs="仿宋"/>
          <w:sz w:val="21"/>
          <w:szCs w:val="21"/>
          <w:highlight w:val="none"/>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施工指令后方可拆除，不得私自拆改任何安全防护设施，若因施工必须拆改，须向甲方主管领导报告，经批准后方可拆改，并做好临时防护设施和警戒，在施工完成后须立即恢复该处的安全防护设施。进行受限空间作业前，必须检测氧气、有毒有害气体，确保符合作业条件，做好个人防护和专人监护后，方可进入。</w:t>
      </w:r>
    </w:p>
    <w:p>
      <w:pPr>
        <w:ind w:firstLine="424" w:firstLineChars="202"/>
        <w:rPr>
          <w:rFonts w:hAnsi="宋体" w:cs="仿宋"/>
          <w:sz w:val="21"/>
          <w:szCs w:val="21"/>
          <w:highlight w:val="none"/>
        </w:rPr>
      </w:pPr>
      <w:r>
        <w:rPr>
          <w:rFonts w:hint="eastAsia" w:hAnsi="宋体" w:cs="仿宋"/>
          <w:sz w:val="21"/>
          <w:szCs w:val="21"/>
          <w:highlight w:val="none"/>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pPr>
        <w:ind w:firstLine="424" w:firstLineChars="202"/>
        <w:rPr>
          <w:rFonts w:hAnsi="宋体"/>
          <w:sz w:val="21"/>
          <w:szCs w:val="21"/>
          <w:highlight w:val="none"/>
        </w:rPr>
      </w:pPr>
      <w:r>
        <w:rPr>
          <w:rFonts w:hint="eastAsia" w:hAnsi="宋体"/>
          <w:sz w:val="21"/>
          <w:szCs w:val="21"/>
          <w:highlight w:val="none"/>
        </w:rPr>
        <w:t>17、乙方必须接受甲方的检查与监督，并应主动配合，做好安全工作，凡有违反上述协议的即视为乙方违约，甲方有权视情况从工程结算款/服务价款中扣除（1000-2000）元/次作为违约金。</w:t>
      </w:r>
    </w:p>
    <w:p>
      <w:pPr>
        <w:ind w:firstLine="424" w:firstLineChars="202"/>
        <w:rPr>
          <w:rFonts w:hAnsi="宋体" w:cs="仿宋"/>
          <w:sz w:val="21"/>
          <w:szCs w:val="21"/>
          <w:highlight w:val="none"/>
        </w:rPr>
      </w:pPr>
      <w:r>
        <w:rPr>
          <w:rFonts w:hint="eastAsia" w:hAnsi="宋体" w:cs="仿宋"/>
          <w:sz w:val="21"/>
          <w:szCs w:val="21"/>
          <w:highlight w:val="none"/>
        </w:rPr>
        <w:t>18、如乙方因违反本条款规定，造成甲方损失或被第三方追偿的，甲方有权向乙方追偿，甲方可直接从应付款项中扣除。同时，乙方应按照合同价的30%向甲方支付违约金，如违约金不足以弥补损失的，甲方可要求乙方继续赔偿损失，并承担由此引起的一切法律责任和费用，包括但不限于甲方为处理纠纷所产生的诉讼仲裁费、鉴定费、担保费、赔偿金、律师费、行政部门的罚款等。乙方仍必须继续履行或采取补救措施，并不得因承担了违约责任，而减少改进及免除继续承担责任的义务。</w:t>
      </w:r>
    </w:p>
    <w:p>
      <w:pPr>
        <w:ind w:firstLine="424" w:firstLineChars="202"/>
        <w:rPr>
          <w:rFonts w:hAnsi="宋体" w:cs="仿宋"/>
          <w:sz w:val="21"/>
          <w:szCs w:val="21"/>
          <w:highlight w:val="none"/>
        </w:rPr>
      </w:pPr>
      <w:r>
        <w:rPr>
          <w:rFonts w:hint="eastAsia" w:hAnsi="宋体" w:cs="仿宋"/>
          <w:sz w:val="21"/>
          <w:szCs w:val="21"/>
          <w:highlight w:val="none"/>
        </w:rPr>
        <w:t>19、乙方对施工过程中潜在的安全风险不明确的，不可盲目施工，否则，造成的不良后果由乙方独自承担。</w:t>
      </w:r>
    </w:p>
    <w:p>
      <w:pPr>
        <w:ind w:firstLine="424" w:firstLineChars="202"/>
        <w:rPr>
          <w:rFonts w:hAnsi="宋体" w:cs="仿宋"/>
          <w:sz w:val="21"/>
          <w:szCs w:val="21"/>
          <w:highlight w:val="none"/>
        </w:rPr>
      </w:pPr>
      <w:r>
        <w:rPr>
          <w:rFonts w:hint="eastAsia" w:hAnsi="宋体" w:cs="仿宋"/>
          <w:sz w:val="21"/>
          <w:szCs w:val="21"/>
          <w:highlight w:val="none"/>
        </w:rPr>
        <w:t>20、本协议自双方法定代表人或负责人签字并盖章后生效。</w:t>
      </w:r>
    </w:p>
    <w:p>
      <w:pPr>
        <w:rPr>
          <w:rFonts w:hAnsi="宋体" w:cs="仿宋"/>
          <w:b/>
          <w:bCs/>
          <w:sz w:val="21"/>
          <w:szCs w:val="21"/>
          <w:highlight w:val="none"/>
        </w:rPr>
      </w:pPr>
      <w:r>
        <w:rPr>
          <w:rFonts w:hint="eastAsia" w:hAnsi="宋体" w:cs="仿宋"/>
          <w:b/>
          <w:bCs/>
          <w:sz w:val="21"/>
          <w:szCs w:val="21"/>
          <w:highlight w:val="none"/>
        </w:rPr>
        <w:t>乙方声明：</w:t>
      </w:r>
    </w:p>
    <w:p>
      <w:pPr>
        <w:ind w:firstLine="481" w:firstLineChars="228"/>
        <w:rPr>
          <w:rFonts w:hAnsi="宋体" w:cs="仿宋"/>
          <w:b/>
          <w:bCs/>
          <w:sz w:val="21"/>
          <w:szCs w:val="21"/>
          <w:highlight w:val="none"/>
        </w:rPr>
      </w:pPr>
      <w:r>
        <w:rPr>
          <w:rFonts w:hint="eastAsia" w:hAnsi="宋体" w:cs="仿宋"/>
          <w:b/>
          <w:bCs/>
          <w:sz w:val="21"/>
          <w:szCs w:val="21"/>
          <w:highlight w:val="none"/>
        </w:rPr>
        <w:t>乙方已认真阅读协议内容，对协议条款、</w:t>
      </w:r>
      <w:r>
        <w:rPr>
          <w:rFonts w:hint="eastAsia" w:hAnsi="宋体" w:cs="仿宋"/>
          <w:b/>
          <w:bCs/>
          <w:sz w:val="21"/>
          <w:szCs w:val="21"/>
          <w:highlight w:val="none"/>
          <w:u w:val="single"/>
        </w:rPr>
        <w:t>东莞市石鼓净水有限公司污水处理厂生产运营管理平台建设项目调度指挥中心设备设施采购项目</w:t>
      </w:r>
      <w:r>
        <w:rPr>
          <w:rFonts w:hint="eastAsia" w:hAnsi="宋体" w:cs="仿宋"/>
          <w:b/>
          <w:bCs/>
          <w:sz w:val="21"/>
          <w:szCs w:val="21"/>
          <w:highlight w:val="none"/>
        </w:rPr>
        <w:t>的安全管理要求、安全风险充分理解，并自愿承担因违约造成的一切后果。</w:t>
      </w:r>
    </w:p>
    <w:p>
      <w:pPr>
        <w:ind w:firstLine="420"/>
        <w:rPr>
          <w:rFonts w:hAnsi="宋体" w:cs="仿宋"/>
          <w:sz w:val="21"/>
          <w:szCs w:val="21"/>
          <w:highlight w:val="none"/>
        </w:rPr>
      </w:pPr>
    </w:p>
    <w:p>
      <w:pPr>
        <w:ind w:firstLine="478" w:firstLineChars="228"/>
        <w:rPr>
          <w:rFonts w:hAnsi="宋体" w:cs="仿宋"/>
          <w:sz w:val="21"/>
          <w:szCs w:val="21"/>
          <w:highlight w:val="none"/>
        </w:rPr>
      </w:pPr>
      <w:r>
        <w:rPr>
          <w:rFonts w:hint="eastAsia" w:hAnsi="宋体" w:cs="仿宋"/>
          <w:sz w:val="21"/>
          <w:szCs w:val="21"/>
          <w:highlight w:val="none"/>
        </w:rPr>
        <w:t xml:space="preserve">甲方（盖章）：                      乙方（盖章）： </w:t>
      </w:r>
    </w:p>
    <w:p>
      <w:pPr>
        <w:ind w:firstLine="478" w:firstLineChars="228"/>
        <w:rPr>
          <w:rFonts w:hAnsi="宋体" w:cs="仿宋"/>
          <w:sz w:val="21"/>
          <w:szCs w:val="21"/>
          <w:highlight w:val="none"/>
        </w:rPr>
      </w:pPr>
      <w:r>
        <w:rPr>
          <w:rFonts w:hint="eastAsia" w:hAnsi="宋体" w:cs="仿宋"/>
          <w:sz w:val="21"/>
          <w:szCs w:val="21"/>
          <w:highlight w:val="none"/>
        </w:rPr>
        <w:t>法定代表人或授权代表：               法定代表人或授权代表：</w:t>
      </w:r>
    </w:p>
    <w:p>
      <w:pPr>
        <w:ind w:firstLine="478" w:firstLineChars="228"/>
        <w:rPr>
          <w:rFonts w:hAnsi="宋体" w:cs="仿宋"/>
          <w:sz w:val="21"/>
          <w:szCs w:val="21"/>
          <w:highlight w:val="none"/>
        </w:rPr>
      </w:pPr>
      <w:r>
        <w:rPr>
          <w:rFonts w:hint="eastAsia" w:hAnsi="宋体" w:cs="仿宋"/>
          <w:sz w:val="21"/>
          <w:szCs w:val="21"/>
          <w:highlight w:val="none"/>
        </w:rPr>
        <w:t xml:space="preserve">   </w:t>
      </w:r>
    </w:p>
    <w:p>
      <w:pPr>
        <w:ind w:firstLine="478" w:firstLineChars="228"/>
        <w:rPr>
          <w:rFonts w:hAnsi="宋体" w:cs="仿宋"/>
          <w:sz w:val="21"/>
          <w:szCs w:val="21"/>
          <w:highlight w:val="none"/>
        </w:rPr>
      </w:pPr>
      <w:r>
        <w:rPr>
          <w:rFonts w:hint="eastAsia" w:hAnsi="宋体" w:cs="仿宋"/>
          <w:sz w:val="21"/>
          <w:szCs w:val="21"/>
          <w:highlight w:val="none"/>
        </w:rPr>
        <w:t>签订日期：</w:t>
      </w:r>
    </w:p>
    <w:p>
      <w:pPr>
        <w:ind w:firstLine="478" w:firstLineChars="228"/>
        <w:rPr>
          <w:highlight w:val="none"/>
        </w:rPr>
      </w:pPr>
      <w:r>
        <w:rPr>
          <w:rFonts w:hint="eastAsia" w:hAnsi="宋体" w:cs="仿宋"/>
          <w:sz w:val="21"/>
          <w:szCs w:val="21"/>
          <w:highlight w:val="none"/>
        </w:rPr>
        <w:t>签订地点：广东省东莞市</w:t>
      </w:r>
    </w:p>
    <w:p>
      <w:pPr>
        <w:rPr>
          <w:highlight w:val="none"/>
        </w:rPr>
      </w:pPr>
    </w:p>
    <w:p>
      <w:pPr>
        <w:rPr>
          <w:rFonts w:ascii="Times New Roman"/>
          <w:highlight w:val="none"/>
        </w:rPr>
      </w:pPr>
      <w:r>
        <w:rPr>
          <w:rFonts w:ascii="Times New Roman"/>
          <w:highlight w:val="none"/>
        </w:rPr>
        <w:br w:type="page"/>
      </w:r>
    </w:p>
    <w:p>
      <w:pPr>
        <w:rPr>
          <w:rFonts w:ascii="Times New Roman"/>
          <w:highlight w:val="none"/>
        </w:rPr>
      </w:pPr>
    </w:p>
    <w:p>
      <w:pPr>
        <w:pStyle w:val="3"/>
        <w:spacing w:before="0" w:after="0"/>
        <w:jc w:val="center"/>
        <w:rPr>
          <w:rFonts w:hAnsi="宋体" w:cs="宋体"/>
          <w:szCs w:val="32"/>
          <w:highlight w:val="none"/>
        </w:rPr>
      </w:pPr>
      <w:bookmarkStart w:id="46" w:name="_Toc29476707"/>
      <w:r>
        <w:rPr>
          <w:rFonts w:hint="eastAsia" w:hAnsi="宋体" w:cs="宋体"/>
          <w:szCs w:val="32"/>
          <w:highlight w:val="none"/>
        </w:rPr>
        <w:t>第四章 报价须知</w:t>
      </w:r>
      <w:bookmarkEnd w:id="46"/>
    </w:p>
    <w:p>
      <w:pPr>
        <w:spacing w:line="360" w:lineRule="auto"/>
        <w:rPr>
          <w:rFonts w:hAnsi="宋体" w:cs="宋体"/>
          <w:b/>
          <w:bCs/>
          <w:highlight w:val="none"/>
        </w:rPr>
      </w:pPr>
      <w:r>
        <w:rPr>
          <w:rFonts w:hint="eastAsia" w:hAnsi="宋体" w:cs="宋体"/>
          <w:b/>
          <w:bCs/>
          <w:highlight w:val="none"/>
        </w:rPr>
        <w:t>一、项目费用说明</w:t>
      </w:r>
    </w:p>
    <w:p>
      <w:pPr>
        <w:spacing w:line="360" w:lineRule="auto"/>
        <w:ind w:firstLine="424" w:firstLineChars="177"/>
        <w:rPr>
          <w:rFonts w:hAnsi="宋体" w:cs="宋体"/>
          <w:highlight w:val="none"/>
        </w:rPr>
      </w:pPr>
      <w:r>
        <w:rPr>
          <w:rFonts w:hint="eastAsia" w:hAnsi="宋体" w:cs="宋体"/>
          <w:highlight w:val="none"/>
        </w:rPr>
        <w:t>报价人应按询价文件要求及企业的自身情况进行报价。所报的价格包含完成询价文件规定的工作所需的全部费用（除了报价人销项税额），并承担所有相应项目风险。</w:t>
      </w:r>
    </w:p>
    <w:p>
      <w:pPr>
        <w:spacing w:line="360" w:lineRule="auto"/>
        <w:rPr>
          <w:rFonts w:hAnsi="宋体" w:cs="宋体"/>
          <w:b/>
          <w:bCs/>
          <w:highlight w:val="none"/>
        </w:rPr>
      </w:pPr>
    </w:p>
    <w:p>
      <w:pPr>
        <w:spacing w:line="360" w:lineRule="auto"/>
        <w:rPr>
          <w:rFonts w:hAnsi="宋体" w:cs="宋体"/>
          <w:b/>
          <w:bCs/>
          <w:highlight w:val="none"/>
        </w:rPr>
      </w:pPr>
      <w:r>
        <w:rPr>
          <w:rFonts w:hint="eastAsia" w:hAnsi="宋体" w:cs="宋体"/>
          <w:b/>
          <w:bCs/>
          <w:highlight w:val="none"/>
        </w:rPr>
        <w:t>二、报价文件的组成</w:t>
      </w:r>
    </w:p>
    <w:p>
      <w:pPr>
        <w:spacing w:line="360" w:lineRule="auto"/>
        <w:ind w:firstLine="424" w:firstLineChars="177"/>
        <w:rPr>
          <w:rFonts w:hAnsi="宋体" w:cs="宋体"/>
          <w:highlight w:val="none"/>
        </w:rPr>
      </w:pPr>
      <w:r>
        <w:rPr>
          <w:rFonts w:hint="eastAsia" w:hAnsi="宋体" w:cs="宋体"/>
          <w:highlight w:val="none"/>
        </w:rPr>
        <w:t>1.报价表；</w:t>
      </w:r>
    </w:p>
    <w:p>
      <w:pPr>
        <w:spacing w:line="360" w:lineRule="auto"/>
        <w:ind w:firstLine="424" w:firstLineChars="177"/>
        <w:rPr>
          <w:rFonts w:hAnsi="宋体" w:cs="宋体"/>
          <w:highlight w:val="none"/>
        </w:rPr>
      </w:pPr>
      <w:r>
        <w:rPr>
          <w:rFonts w:hint="eastAsia" w:hAnsi="宋体" w:cs="宋体"/>
          <w:highlight w:val="none"/>
        </w:rPr>
        <w:t>2.用户需求偏离表；</w:t>
      </w:r>
    </w:p>
    <w:p>
      <w:pPr>
        <w:spacing w:line="360" w:lineRule="auto"/>
        <w:ind w:firstLine="424" w:firstLineChars="177"/>
        <w:rPr>
          <w:rFonts w:hAnsi="宋体" w:cs="宋体"/>
          <w:highlight w:val="none"/>
        </w:rPr>
      </w:pPr>
      <w:r>
        <w:rPr>
          <w:rFonts w:hint="eastAsia" w:hAnsi="宋体" w:cs="宋体"/>
          <w:highlight w:val="none"/>
        </w:rPr>
        <w:t>3.合同条款偏离表；</w:t>
      </w:r>
    </w:p>
    <w:p>
      <w:pPr>
        <w:spacing w:line="360" w:lineRule="auto"/>
        <w:ind w:firstLine="424" w:firstLineChars="177"/>
        <w:rPr>
          <w:rFonts w:hAnsi="宋体" w:cs="宋体"/>
          <w:highlight w:val="none"/>
        </w:rPr>
      </w:pPr>
      <w:r>
        <w:rPr>
          <w:rFonts w:hint="eastAsia" w:hAnsi="宋体" w:cs="宋体"/>
          <w:highlight w:val="none"/>
        </w:rPr>
        <w:t>4.报价人认为有必要提供的资料（不做强制要求）。</w:t>
      </w:r>
    </w:p>
    <w:p>
      <w:pPr>
        <w:spacing w:line="360" w:lineRule="auto"/>
        <w:rPr>
          <w:rFonts w:hAnsi="宋体" w:cs="宋体"/>
          <w:b/>
          <w:bCs/>
          <w:highlight w:val="none"/>
        </w:rPr>
      </w:pPr>
    </w:p>
    <w:p>
      <w:pPr>
        <w:spacing w:line="360" w:lineRule="auto"/>
        <w:rPr>
          <w:rFonts w:hAnsi="宋体" w:cs="宋体"/>
          <w:b/>
          <w:bCs/>
          <w:highlight w:val="none"/>
        </w:rPr>
      </w:pPr>
      <w:r>
        <w:rPr>
          <w:rFonts w:hint="eastAsia" w:hAnsi="宋体" w:cs="宋体"/>
          <w:b/>
          <w:bCs/>
          <w:highlight w:val="none"/>
        </w:rPr>
        <w:t>三、报价文件的封装和递交</w:t>
      </w:r>
    </w:p>
    <w:p>
      <w:pPr>
        <w:spacing w:line="360" w:lineRule="auto"/>
        <w:ind w:firstLine="424" w:firstLineChars="177"/>
        <w:rPr>
          <w:rFonts w:hAnsi="宋体" w:cs="宋体"/>
          <w:highlight w:val="none"/>
        </w:rPr>
      </w:pPr>
      <w:r>
        <w:rPr>
          <w:rFonts w:hint="eastAsia" w:hAnsi="宋体" w:cs="宋体"/>
          <w:highlight w:val="none"/>
        </w:rPr>
        <w:t>1.报价人应将报价文件一起密封在一个不透明的外层封装中。外层密封封装表面应正确标明报价人名称、地址、项目名称、报价文件名称、并注明报价文件递交截止时间之前不得开封（在封口位置的封条上标注注明），封口位置加盖报价人法人公章。</w:t>
      </w:r>
    </w:p>
    <w:p>
      <w:pPr>
        <w:spacing w:line="360" w:lineRule="auto"/>
        <w:ind w:firstLine="424" w:firstLineChars="177"/>
        <w:rPr>
          <w:rFonts w:hAnsi="宋体" w:cs="宋体"/>
          <w:highlight w:val="none"/>
        </w:rPr>
      </w:pPr>
      <w:r>
        <w:rPr>
          <w:rFonts w:hint="eastAsia" w:hAnsi="宋体" w:cs="宋体"/>
          <w:highlight w:val="none"/>
        </w:rPr>
        <w:t>2.</w:t>
      </w:r>
      <w:r>
        <w:rPr>
          <w:rFonts w:hint="eastAsia" w:hAnsi="宋体" w:cs="宋体"/>
          <w:b/>
          <w:bCs/>
          <w:highlight w:val="none"/>
        </w:rPr>
        <w:t>报价文件无须装订成册。</w:t>
      </w:r>
      <w:r>
        <w:rPr>
          <w:rFonts w:hint="eastAsia" w:hAnsi="宋体" w:cs="宋体"/>
          <w:highlight w:val="none"/>
        </w:rPr>
        <w:t>若报价文件装订成册，需同时提供电子文件，内容包括：签字、盖章后的报价文件扫描版PDF格式电子文件。电子文件不可设置密码，用U盘或DVD或CD-R光盘储存，并密封于“电子文件”内（电子文件的包装封面需注明项目名称、项目编号、报价人单位名称，并加盖报价人法人公章）。</w:t>
      </w:r>
    </w:p>
    <w:p>
      <w:pPr>
        <w:spacing w:line="360" w:lineRule="auto"/>
        <w:ind w:firstLine="424" w:firstLineChars="177"/>
        <w:rPr>
          <w:rFonts w:hAnsi="宋体" w:cs="宋体"/>
          <w:highlight w:val="none"/>
        </w:rPr>
      </w:pPr>
      <w:r>
        <w:rPr>
          <w:rFonts w:hint="eastAsia" w:hAnsi="宋体" w:cs="宋体"/>
          <w:highlight w:val="none"/>
        </w:rPr>
        <w:t>3.</w:t>
      </w:r>
      <w:r>
        <w:rPr>
          <w:rFonts w:hint="eastAsia" w:hAnsi="宋体" w:cs="宋体"/>
          <w:b/>
          <w:bCs/>
          <w:highlight w:val="none"/>
        </w:rPr>
        <w:t>密封好的报价文件，应于询价邀请函中规定的截止时间前递交到采购人指定的递交地点，否则视为放弃参与本项目。</w:t>
      </w:r>
    </w:p>
    <w:p>
      <w:pPr>
        <w:spacing w:line="360" w:lineRule="auto"/>
        <w:rPr>
          <w:rFonts w:hAnsi="宋体" w:cs="宋体"/>
          <w:highlight w:val="none"/>
        </w:rPr>
      </w:pPr>
    </w:p>
    <w:p>
      <w:pPr>
        <w:spacing w:line="360" w:lineRule="auto"/>
        <w:rPr>
          <w:rFonts w:hAnsi="宋体" w:cs="宋体"/>
          <w:b/>
          <w:bCs/>
          <w:highlight w:val="none"/>
        </w:rPr>
      </w:pPr>
      <w:r>
        <w:rPr>
          <w:rFonts w:hint="eastAsia" w:hAnsi="宋体" w:cs="宋体"/>
          <w:b/>
          <w:bCs/>
          <w:highlight w:val="none"/>
        </w:rPr>
        <w:t>四、报价有效性说明</w:t>
      </w:r>
    </w:p>
    <w:p>
      <w:pPr>
        <w:spacing w:line="360" w:lineRule="auto"/>
        <w:ind w:firstLine="482" w:firstLineChars="200"/>
        <w:rPr>
          <w:rFonts w:hAnsi="宋体" w:cs="宋体"/>
          <w:b/>
          <w:bCs/>
          <w:highlight w:val="none"/>
        </w:rPr>
      </w:pPr>
      <w:r>
        <w:rPr>
          <w:rFonts w:hint="eastAsia" w:hAnsi="宋体" w:cs="宋体"/>
          <w:b/>
          <w:bCs/>
          <w:highlight w:val="none"/>
        </w:rPr>
        <w:t>1.不含税报价不得高于本项目不含税最高限价，不含税报价不得高于不含税单价限价，否则视为无效报价；</w:t>
      </w:r>
    </w:p>
    <w:p>
      <w:pPr>
        <w:spacing w:line="360" w:lineRule="auto"/>
        <w:ind w:firstLine="482" w:firstLineChars="200"/>
        <w:rPr>
          <w:rFonts w:hAnsi="宋体" w:cs="宋体"/>
          <w:b/>
          <w:bCs/>
          <w:highlight w:val="none"/>
        </w:rPr>
      </w:pPr>
      <w:r>
        <w:rPr>
          <w:rFonts w:hint="eastAsia" w:hAnsi="宋体" w:cs="宋体"/>
          <w:b/>
          <w:bCs/>
          <w:highlight w:val="none"/>
        </w:rPr>
        <w:t>2.对用户需求书、合同条款响应有负偏离的，按无效响应处理；</w:t>
      </w:r>
    </w:p>
    <w:p>
      <w:pPr>
        <w:spacing w:line="360" w:lineRule="auto"/>
        <w:ind w:firstLine="482" w:firstLineChars="200"/>
        <w:rPr>
          <w:rFonts w:hAnsi="宋体" w:cs="宋体"/>
          <w:b/>
          <w:bCs/>
          <w:highlight w:val="none"/>
        </w:rPr>
      </w:pPr>
      <w:r>
        <w:rPr>
          <w:rFonts w:hint="eastAsia" w:hAnsi="宋体" w:cs="宋体"/>
          <w:b/>
          <w:bCs/>
          <w:highlight w:val="none"/>
        </w:rPr>
        <w:t>3.报价人未按报价文件格式提供相应材料的，按无效报价处理；</w:t>
      </w:r>
    </w:p>
    <w:p>
      <w:pPr>
        <w:spacing w:line="360" w:lineRule="auto"/>
        <w:ind w:firstLine="482" w:firstLineChars="200"/>
        <w:rPr>
          <w:rFonts w:hAnsi="宋体" w:cs="宋体"/>
          <w:b/>
          <w:bCs/>
          <w:highlight w:val="none"/>
        </w:rPr>
      </w:pPr>
      <w:r>
        <w:rPr>
          <w:rFonts w:hint="eastAsia" w:hAnsi="宋体" w:cs="宋体"/>
          <w:b/>
          <w:bCs/>
          <w:highlight w:val="none"/>
        </w:rPr>
        <w:t>4.若有效报价文件不足三家时，采购人有权重新进行采购。在实质性满足采购需求的情况下，若2家以上（含本数）供应商报价一致且同为最低价时，报价相同的供应商再进行一次报价，且再次报价不得高于前一次报价，以此类推，最终价低者得。当报价文件完全响应需求的最低价供应商放弃成交资格或经确认未实质性满足采购需求时，我公司有权确定实质性满足采购需求的第二低价供应商作为成交供应商，或重新进行采购。</w:t>
      </w:r>
    </w:p>
    <w:p>
      <w:pPr>
        <w:spacing w:line="360" w:lineRule="auto"/>
        <w:rPr>
          <w:rFonts w:hAnsi="宋体" w:cs="宋体"/>
          <w:highlight w:val="none"/>
        </w:rPr>
      </w:pPr>
      <w:r>
        <w:rPr>
          <w:rFonts w:hint="eastAsia" w:hAnsi="宋体" w:cs="宋体"/>
          <w:highlight w:val="none"/>
        </w:rPr>
        <w:br w:type="page"/>
      </w:r>
    </w:p>
    <w:p>
      <w:pPr>
        <w:pStyle w:val="3"/>
        <w:spacing w:before="0" w:after="0"/>
        <w:jc w:val="center"/>
        <w:rPr>
          <w:rFonts w:hAnsi="宋体" w:cs="宋体"/>
          <w:szCs w:val="32"/>
          <w:highlight w:val="none"/>
        </w:rPr>
      </w:pPr>
      <w:bookmarkStart w:id="47" w:name="_Toc29476708"/>
      <w:r>
        <w:rPr>
          <w:rFonts w:hint="eastAsia" w:hAnsi="宋体" w:cs="宋体"/>
          <w:szCs w:val="32"/>
          <w:highlight w:val="none"/>
        </w:rPr>
        <w:t>第五章 报价文件（格式）</w:t>
      </w:r>
      <w:bookmarkEnd w:id="47"/>
    </w:p>
    <w:p>
      <w:pPr>
        <w:spacing w:line="360" w:lineRule="auto"/>
        <w:rPr>
          <w:rFonts w:hAnsi="宋体" w:cs="宋体"/>
          <w:b/>
          <w:sz w:val="28"/>
          <w:szCs w:val="28"/>
          <w:highlight w:val="none"/>
        </w:rPr>
      </w:pPr>
      <w:r>
        <w:rPr>
          <w:rFonts w:hint="eastAsia" w:hAnsi="宋体" w:cs="宋体"/>
          <w:b/>
          <w:sz w:val="28"/>
          <w:szCs w:val="28"/>
          <w:highlight w:val="none"/>
        </w:rPr>
        <w:t>1. 报价表</w:t>
      </w:r>
    </w:p>
    <w:tbl>
      <w:tblPr>
        <w:tblStyle w:val="15"/>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7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127" w:type="dxa"/>
            <w:shd w:val="clear" w:color="auto" w:fill="auto"/>
            <w:vAlign w:val="center"/>
          </w:tcPr>
          <w:p>
            <w:pPr>
              <w:pStyle w:val="8"/>
              <w:jc w:val="center"/>
              <w:rPr>
                <w:rFonts w:hAnsi="宋体" w:cs="宋体"/>
                <w:sz w:val="24"/>
                <w:szCs w:val="28"/>
                <w:highlight w:val="none"/>
              </w:rPr>
            </w:pPr>
            <w:r>
              <w:rPr>
                <w:rFonts w:hint="eastAsia" w:hAnsi="宋体" w:cs="宋体"/>
                <w:sz w:val="24"/>
                <w:szCs w:val="28"/>
                <w:highlight w:val="none"/>
              </w:rPr>
              <w:t>项目名称</w:t>
            </w:r>
          </w:p>
        </w:tc>
        <w:tc>
          <w:tcPr>
            <w:tcW w:w="7370" w:type="dxa"/>
            <w:shd w:val="clear" w:color="auto" w:fill="auto"/>
            <w:vAlign w:val="center"/>
          </w:tcPr>
          <w:p>
            <w:pPr>
              <w:autoSpaceDE/>
              <w:autoSpaceDN/>
              <w:adjustRightInd/>
              <w:jc w:val="center"/>
              <w:rPr>
                <w:rFonts w:hint="eastAsia" w:hAnsi="宋体" w:eastAsia="宋体" w:cs="宋体"/>
                <w:szCs w:val="28"/>
                <w:highlight w:val="none"/>
                <w:lang w:eastAsia="zh-CN"/>
              </w:rPr>
            </w:pPr>
            <w:r>
              <w:rPr>
                <w:rFonts w:hint="eastAsia" w:hAnsi="宋体" w:cs="宋体"/>
                <w:szCs w:val="28"/>
                <w:highlight w:val="none"/>
                <w:lang w:eastAsia="zh-CN"/>
              </w:rPr>
              <w:t>东莞市水务集团有限公司OA系统信息安全加固服务项目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3" w:hRule="atLeast"/>
          <w:jc w:val="center"/>
        </w:trPr>
        <w:tc>
          <w:tcPr>
            <w:tcW w:w="2127" w:type="dxa"/>
            <w:shd w:val="clear" w:color="auto" w:fill="auto"/>
            <w:vAlign w:val="center"/>
          </w:tcPr>
          <w:p>
            <w:pPr>
              <w:pStyle w:val="8"/>
              <w:jc w:val="center"/>
              <w:rPr>
                <w:rFonts w:hAnsi="宋体" w:cs="宋体"/>
                <w:sz w:val="24"/>
                <w:szCs w:val="28"/>
                <w:highlight w:val="none"/>
              </w:rPr>
            </w:pPr>
            <w:r>
              <w:rPr>
                <w:rFonts w:hint="eastAsia" w:hAnsi="宋体" w:cs="宋体"/>
                <w:sz w:val="24"/>
                <w:szCs w:val="28"/>
                <w:highlight w:val="none"/>
              </w:rPr>
              <w:t>不含税报价</w:t>
            </w:r>
          </w:p>
          <w:p>
            <w:pPr>
              <w:pStyle w:val="8"/>
              <w:jc w:val="center"/>
              <w:rPr>
                <w:rFonts w:hAnsi="宋体" w:cs="宋体"/>
                <w:sz w:val="24"/>
                <w:szCs w:val="28"/>
                <w:highlight w:val="none"/>
              </w:rPr>
            </w:pPr>
            <w:r>
              <w:rPr>
                <w:rFonts w:hint="eastAsia" w:hAnsi="宋体" w:cs="宋体"/>
                <w:sz w:val="24"/>
                <w:szCs w:val="28"/>
                <w:highlight w:val="none"/>
              </w:rPr>
              <w:t>（单位：元）</w:t>
            </w:r>
          </w:p>
        </w:tc>
        <w:tc>
          <w:tcPr>
            <w:tcW w:w="7370" w:type="dxa"/>
            <w:shd w:val="clear" w:color="auto" w:fill="auto"/>
            <w:vAlign w:val="center"/>
          </w:tcPr>
          <w:p>
            <w:pPr>
              <w:pStyle w:val="8"/>
              <w:ind w:firstLine="480" w:firstLineChars="200"/>
              <w:rPr>
                <w:rFonts w:hAnsi="宋体" w:cs="宋体"/>
                <w:sz w:val="24"/>
                <w:szCs w:val="28"/>
                <w:highlight w:val="none"/>
                <w:u w:val="single"/>
              </w:rPr>
            </w:pPr>
            <w:r>
              <w:rPr>
                <w:rFonts w:hint="eastAsia" w:hAnsi="宋体" w:cs="宋体"/>
                <w:sz w:val="24"/>
                <w:szCs w:val="28"/>
                <w:highlight w:val="none"/>
              </w:rPr>
              <w:t>人民币（小写）：</w:t>
            </w:r>
            <w:r>
              <w:rPr>
                <w:rFonts w:hint="eastAsia" w:hAnsi="宋体" w:cs="宋体"/>
                <w:sz w:val="24"/>
                <w:szCs w:val="28"/>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2127" w:type="dxa"/>
            <w:shd w:val="clear" w:color="auto" w:fill="auto"/>
            <w:vAlign w:val="center"/>
          </w:tcPr>
          <w:p>
            <w:pPr>
              <w:pStyle w:val="8"/>
              <w:jc w:val="center"/>
              <w:rPr>
                <w:rFonts w:hAnsi="宋体" w:cs="宋体"/>
                <w:sz w:val="24"/>
                <w:szCs w:val="28"/>
                <w:highlight w:val="none"/>
              </w:rPr>
            </w:pPr>
            <w:r>
              <w:rPr>
                <w:rFonts w:hint="eastAsia" w:hAnsi="宋体" w:cs="宋体"/>
                <w:sz w:val="24"/>
                <w:szCs w:val="28"/>
                <w:highlight w:val="none"/>
              </w:rPr>
              <w:t>报价人纳税类型</w:t>
            </w:r>
          </w:p>
        </w:tc>
        <w:tc>
          <w:tcPr>
            <w:tcW w:w="7370" w:type="dxa"/>
            <w:shd w:val="clear" w:color="auto" w:fill="auto"/>
            <w:vAlign w:val="center"/>
          </w:tcPr>
          <w:p>
            <w:pPr>
              <w:autoSpaceDE/>
              <w:autoSpaceDN/>
              <w:adjustRightInd/>
              <w:ind w:firstLine="1800" w:firstLineChars="750"/>
              <w:rPr>
                <w:rFonts w:hAnsi="宋体" w:cs="宋体"/>
                <w:szCs w:val="28"/>
                <w:highlight w:val="none"/>
              </w:rPr>
            </w:pPr>
            <w:r>
              <w:rPr>
                <w:rFonts w:hint="eastAsia" w:hAnsi="宋体" w:cs="宋体"/>
                <w:szCs w:val="28"/>
                <w:highlight w:val="none"/>
              </w:rPr>
              <w:t>□ 一般纳税人</w:t>
            </w:r>
          </w:p>
          <w:p>
            <w:pPr>
              <w:autoSpaceDE/>
              <w:autoSpaceDN/>
              <w:adjustRightInd/>
              <w:ind w:firstLine="1800" w:firstLineChars="750"/>
              <w:rPr>
                <w:rFonts w:hAnsi="宋体" w:cs="宋体"/>
                <w:szCs w:val="28"/>
                <w:highlight w:val="none"/>
              </w:rPr>
            </w:pPr>
            <w:r>
              <w:rPr>
                <w:rFonts w:hint="eastAsia" w:hAnsi="宋体" w:cs="宋体"/>
                <w:szCs w:val="28"/>
                <w:highlight w:val="none"/>
              </w:rPr>
              <w:t>□ 小规模纳税人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2127" w:type="dxa"/>
            <w:shd w:val="clear" w:color="auto" w:fill="auto"/>
            <w:vAlign w:val="center"/>
          </w:tcPr>
          <w:p>
            <w:pPr>
              <w:pStyle w:val="8"/>
              <w:jc w:val="center"/>
              <w:rPr>
                <w:rFonts w:hAnsi="宋体" w:cs="宋体"/>
                <w:sz w:val="24"/>
                <w:szCs w:val="28"/>
                <w:highlight w:val="none"/>
              </w:rPr>
            </w:pPr>
            <w:r>
              <w:rPr>
                <w:rFonts w:hint="eastAsia" w:hAnsi="宋体" w:cs="宋体"/>
                <w:sz w:val="24"/>
                <w:szCs w:val="28"/>
                <w:highlight w:val="none"/>
              </w:rPr>
              <w:t>报价人提供的增值税专用发票的税率</w:t>
            </w:r>
          </w:p>
        </w:tc>
        <w:tc>
          <w:tcPr>
            <w:tcW w:w="7370" w:type="dxa"/>
            <w:shd w:val="clear" w:color="auto" w:fill="auto"/>
            <w:vAlign w:val="center"/>
          </w:tcPr>
          <w:p>
            <w:pPr>
              <w:autoSpaceDE/>
              <w:autoSpaceDN/>
              <w:adjustRightInd/>
              <w:jc w:val="center"/>
              <w:rPr>
                <w:rFonts w:hAnsi="宋体" w:cs="宋体"/>
                <w:szCs w:val="28"/>
                <w:highlight w:val="none"/>
              </w:rPr>
            </w:pPr>
            <w:r>
              <w:rPr>
                <w:rFonts w:hint="eastAsia" w:hAnsi="宋体" w:cs="宋体"/>
                <w:szCs w:val="28"/>
                <w:highlight w:val="none"/>
                <w:u w:val="single"/>
              </w:rPr>
              <w:t xml:space="preserve">    </w:t>
            </w:r>
            <w:r>
              <w:rPr>
                <w:rFonts w:hint="eastAsia" w:hAnsi="宋体" w:cs="宋体"/>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6" w:hRule="atLeast"/>
          <w:jc w:val="center"/>
        </w:trPr>
        <w:tc>
          <w:tcPr>
            <w:tcW w:w="2127" w:type="dxa"/>
            <w:shd w:val="clear" w:color="auto" w:fill="auto"/>
            <w:vAlign w:val="center"/>
          </w:tcPr>
          <w:p>
            <w:pPr>
              <w:pStyle w:val="8"/>
              <w:jc w:val="center"/>
              <w:rPr>
                <w:rFonts w:hAnsi="宋体" w:cs="宋体"/>
                <w:sz w:val="24"/>
                <w:szCs w:val="24"/>
                <w:highlight w:val="none"/>
              </w:rPr>
            </w:pPr>
            <w:r>
              <w:rPr>
                <w:rFonts w:hint="eastAsia" w:hAnsi="宋体" w:cs="宋体"/>
                <w:sz w:val="24"/>
                <w:szCs w:val="24"/>
                <w:highlight w:val="none"/>
              </w:rPr>
              <w:t>备注</w:t>
            </w:r>
          </w:p>
        </w:tc>
        <w:tc>
          <w:tcPr>
            <w:tcW w:w="7370" w:type="dxa"/>
            <w:shd w:val="clear" w:color="auto" w:fill="auto"/>
            <w:vAlign w:val="center"/>
          </w:tcPr>
          <w:p>
            <w:pPr>
              <w:numPr>
                <w:ilvl w:val="0"/>
                <w:numId w:val="6"/>
              </w:numPr>
              <w:autoSpaceDE/>
              <w:autoSpaceDN/>
              <w:adjustRightInd/>
              <w:jc w:val="both"/>
              <w:rPr>
                <w:rFonts w:hAnsi="宋体" w:cs="宋体"/>
                <w:b/>
                <w:bCs/>
                <w:highlight w:val="none"/>
              </w:rPr>
            </w:pPr>
            <w:r>
              <w:rPr>
                <w:rFonts w:hint="eastAsia" w:hAnsi="宋体" w:cs="宋体"/>
                <w:b/>
                <w:bCs/>
                <w:highlight w:val="none"/>
              </w:rPr>
              <w:t>本次所报价格为不含销项税额，包含供应商销项税额以外的税费及完成本项目所需的全部费用。</w:t>
            </w:r>
          </w:p>
          <w:p>
            <w:pPr>
              <w:numPr>
                <w:ilvl w:val="0"/>
                <w:numId w:val="6"/>
              </w:numPr>
              <w:autoSpaceDE/>
              <w:autoSpaceDN/>
              <w:adjustRightInd/>
              <w:jc w:val="both"/>
              <w:rPr>
                <w:highlight w:val="none"/>
              </w:rPr>
            </w:pPr>
            <w:r>
              <w:rPr>
                <w:rFonts w:hint="eastAsia" w:hAnsi="宋体" w:cs="宋体"/>
                <w:b/>
                <w:bCs/>
                <w:highlight w:val="none"/>
              </w:rPr>
              <w:t>不含税报价不得高于本项目不含税最高限价（344,484.55元），不含税报价不得高于不含税最高限价，否则视为无效报价。</w:t>
            </w:r>
          </w:p>
          <w:p>
            <w:pPr>
              <w:numPr>
                <w:ilvl w:val="0"/>
                <w:numId w:val="6"/>
              </w:numPr>
              <w:autoSpaceDE/>
              <w:autoSpaceDN/>
              <w:adjustRightInd/>
              <w:jc w:val="both"/>
              <w:rPr>
                <w:highlight w:val="none"/>
              </w:rPr>
            </w:pPr>
            <w:r>
              <w:rPr>
                <w:rFonts w:hint="eastAsia" w:hAnsi="宋体" w:cs="宋体"/>
                <w:b/>
                <w:bCs/>
                <w:highlight w:val="none"/>
              </w:rPr>
              <w:t>报价人应提供致远办公系统A8+产品服务原厂证明或授权代理资质复印件，否则视为无效报价。</w:t>
            </w:r>
          </w:p>
        </w:tc>
      </w:tr>
    </w:tbl>
    <w:p>
      <w:pPr>
        <w:pStyle w:val="8"/>
        <w:spacing w:line="360" w:lineRule="auto"/>
        <w:rPr>
          <w:rFonts w:hAnsi="宋体" w:cs="宋体"/>
          <w:sz w:val="24"/>
          <w:szCs w:val="24"/>
          <w:highlight w:val="none"/>
        </w:rPr>
      </w:pPr>
    </w:p>
    <w:p>
      <w:pPr>
        <w:pStyle w:val="8"/>
        <w:spacing w:line="360" w:lineRule="auto"/>
        <w:rPr>
          <w:rFonts w:hAnsi="宋体" w:cs="宋体"/>
          <w:sz w:val="24"/>
          <w:szCs w:val="28"/>
          <w:highlight w:val="none"/>
        </w:rPr>
      </w:pPr>
      <w:r>
        <w:rPr>
          <w:rFonts w:hint="eastAsia" w:hAnsi="宋体" w:cs="宋体"/>
          <w:sz w:val="24"/>
          <w:szCs w:val="28"/>
          <w:highlight w:val="none"/>
        </w:rPr>
        <w:t>联系人：                          联系电话：</w:t>
      </w:r>
    </w:p>
    <w:p>
      <w:pPr>
        <w:pStyle w:val="8"/>
        <w:spacing w:line="360" w:lineRule="auto"/>
        <w:rPr>
          <w:rFonts w:hAnsi="宋体" w:cs="宋体"/>
          <w:sz w:val="24"/>
          <w:szCs w:val="28"/>
          <w:highlight w:val="none"/>
        </w:rPr>
      </w:pPr>
      <w:r>
        <w:rPr>
          <w:rFonts w:hint="eastAsia" w:hAnsi="宋体" w:cs="宋体"/>
          <w:sz w:val="24"/>
          <w:szCs w:val="28"/>
          <w:highlight w:val="none"/>
        </w:rPr>
        <w:t>联系地址：</w:t>
      </w:r>
    </w:p>
    <w:p>
      <w:pPr>
        <w:wordWrap w:val="0"/>
        <w:spacing w:line="360" w:lineRule="auto"/>
        <w:jc w:val="right"/>
        <w:rPr>
          <w:rFonts w:hAnsi="宋体" w:cs="宋体"/>
          <w:kern w:val="2"/>
          <w:szCs w:val="28"/>
          <w:highlight w:val="none"/>
        </w:rPr>
      </w:pPr>
      <w:r>
        <w:rPr>
          <w:rFonts w:hint="eastAsia" w:hAnsi="宋体" w:cs="宋体"/>
          <w:kern w:val="2"/>
          <w:szCs w:val="28"/>
          <w:highlight w:val="none"/>
          <w:lang w:val="zh-CN"/>
        </w:rPr>
        <w:t>报价人：（公章）</w:t>
      </w:r>
      <w:r>
        <w:rPr>
          <w:rFonts w:hint="eastAsia" w:hAnsi="宋体" w:cs="宋体"/>
          <w:kern w:val="2"/>
          <w:szCs w:val="28"/>
          <w:highlight w:val="none"/>
        </w:rPr>
        <w:t xml:space="preserve">       </w:t>
      </w:r>
    </w:p>
    <w:p>
      <w:pPr>
        <w:spacing w:line="360" w:lineRule="auto"/>
        <w:jc w:val="right"/>
        <w:rPr>
          <w:rFonts w:hAnsi="宋体" w:cs="宋体"/>
          <w:kern w:val="2"/>
          <w:szCs w:val="28"/>
          <w:highlight w:val="none"/>
          <w:lang w:val="zh-CN"/>
        </w:rPr>
      </w:pPr>
      <w:r>
        <w:rPr>
          <w:rFonts w:hint="eastAsia" w:hAnsi="宋体" w:cs="宋体"/>
          <w:kern w:val="2"/>
          <w:szCs w:val="28"/>
          <w:highlight w:val="none"/>
          <w:lang w:val="zh-CN"/>
        </w:rPr>
        <w:t>日期：   年    月   日</w:t>
      </w:r>
    </w:p>
    <w:p>
      <w:pPr>
        <w:spacing w:line="360" w:lineRule="auto"/>
        <w:jc w:val="right"/>
        <w:rPr>
          <w:rFonts w:hAnsi="宋体" w:cs="宋体"/>
          <w:kern w:val="2"/>
          <w:szCs w:val="28"/>
          <w:highlight w:val="none"/>
          <w:lang w:val="zh-CN"/>
        </w:rPr>
      </w:pPr>
    </w:p>
    <w:p>
      <w:pPr>
        <w:spacing w:line="360" w:lineRule="auto"/>
        <w:jc w:val="right"/>
        <w:rPr>
          <w:rFonts w:hAnsi="宋体" w:cs="宋体"/>
          <w:kern w:val="2"/>
          <w:szCs w:val="28"/>
          <w:highlight w:val="none"/>
          <w:lang w:val="zh-CN"/>
        </w:rPr>
        <w:sectPr>
          <w:headerReference r:id="rId4" w:type="default"/>
          <w:footerReference r:id="rId5" w:type="default"/>
          <w:pgSz w:w="11906" w:h="16838"/>
          <w:pgMar w:top="1440" w:right="1803" w:bottom="1440" w:left="1803" w:header="851" w:footer="992" w:gutter="0"/>
          <w:cols w:space="0" w:num="1"/>
          <w:docGrid w:type="lines" w:linePitch="332" w:charSpace="0"/>
        </w:sectPr>
      </w:pPr>
    </w:p>
    <w:p>
      <w:pPr>
        <w:numPr>
          <w:ilvl w:val="0"/>
          <w:numId w:val="7"/>
        </w:numPr>
        <w:spacing w:line="360" w:lineRule="auto"/>
        <w:rPr>
          <w:rFonts w:hAnsi="宋体" w:cs="宋体"/>
          <w:b/>
          <w:sz w:val="28"/>
          <w:szCs w:val="28"/>
          <w:highlight w:val="none"/>
        </w:rPr>
      </w:pPr>
      <w:r>
        <w:rPr>
          <w:rFonts w:hint="eastAsia" w:hAnsi="宋体" w:cs="宋体"/>
          <w:b/>
          <w:sz w:val="28"/>
          <w:szCs w:val="28"/>
          <w:highlight w:val="none"/>
        </w:rPr>
        <w:t>用户需求偏离表</w:t>
      </w:r>
    </w:p>
    <w:p>
      <w:pPr>
        <w:spacing w:line="360" w:lineRule="auto"/>
        <w:jc w:val="center"/>
        <w:rPr>
          <w:rFonts w:hAnsi="宋体" w:cs="宋体"/>
          <w:b/>
          <w:sz w:val="28"/>
          <w:szCs w:val="28"/>
          <w:highlight w:val="none"/>
        </w:rPr>
      </w:pPr>
      <w:bookmarkStart w:id="48" w:name="_Hlk26973180"/>
      <w:r>
        <w:rPr>
          <w:rFonts w:hint="eastAsia" w:hAnsi="宋体" w:cs="宋体"/>
          <w:b/>
          <w:sz w:val="28"/>
          <w:szCs w:val="28"/>
          <w:highlight w:val="none"/>
          <w:lang w:val="zh-CN"/>
        </w:rPr>
        <w:t>用户需求偏离表</w:t>
      </w:r>
    </w:p>
    <w:bookmarkEnd w:id="48"/>
    <w:tbl>
      <w:tblPr>
        <w:tblStyle w:val="15"/>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954"/>
        <w:gridCol w:w="2246"/>
        <w:gridCol w:w="2431"/>
        <w:gridCol w:w="2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06" w:type="dxa"/>
            <w:vMerge w:val="restart"/>
            <w:vAlign w:val="center"/>
          </w:tcPr>
          <w:p>
            <w:pPr>
              <w:spacing w:line="360" w:lineRule="auto"/>
              <w:jc w:val="center"/>
              <w:rPr>
                <w:rFonts w:hAnsi="宋体" w:cs="宋体"/>
                <w:b/>
                <w:bCs/>
                <w:szCs w:val="21"/>
                <w:highlight w:val="none"/>
              </w:rPr>
            </w:pPr>
            <w:r>
              <w:rPr>
                <w:rFonts w:hint="eastAsia" w:hAnsi="宋体" w:cs="宋体"/>
                <w:b/>
                <w:bCs/>
                <w:szCs w:val="21"/>
                <w:highlight w:val="none"/>
              </w:rPr>
              <w:t>序号</w:t>
            </w:r>
          </w:p>
        </w:tc>
        <w:tc>
          <w:tcPr>
            <w:tcW w:w="3200" w:type="dxa"/>
            <w:gridSpan w:val="2"/>
            <w:vAlign w:val="center"/>
          </w:tcPr>
          <w:p>
            <w:pPr>
              <w:spacing w:line="360" w:lineRule="auto"/>
              <w:jc w:val="center"/>
              <w:rPr>
                <w:rFonts w:hAnsi="宋体" w:cs="宋体"/>
                <w:b/>
                <w:bCs/>
                <w:szCs w:val="21"/>
                <w:highlight w:val="none"/>
              </w:rPr>
            </w:pPr>
            <w:r>
              <w:rPr>
                <w:rFonts w:hint="eastAsia" w:hAnsi="宋体" w:cs="宋体"/>
                <w:b/>
                <w:bCs/>
                <w:szCs w:val="21"/>
                <w:highlight w:val="none"/>
              </w:rPr>
              <w:t>需求书要求</w:t>
            </w:r>
          </w:p>
        </w:tc>
        <w:tc>
          <w:tcPr>
            <w:tcW w:w="5180" w:type="dxa"/>
            <w:gridSpan w:val="2"/>
            <w:vAlign w:val="center"/>
          </w:tcPr>
          <w:p>
            <w:pPr>
              <w:spacing w:line="360" w:lineRule="auto"/>
              <w:jc w:val="center"/>
              <w:rPr>
                <w:rFonts w:hAnsi="宋体" w:cs="宋体"/>
                <w:b/>
                <w:bCs/>
                <w:szCs w:val="21"/>
                <w:highlight w:val="none"/>
              </w:rPr>
            </w:pPr>
            <w:r>
              <w:rPr>
                <w:rFonts w:hint="eastAsia" w:hAnsi="宋体" w:cs="宋体"/>
                <w:b/>
                <w:bCs/>
                <w:szCs w:val="21"/>
                <w:highlight w:val="none"/>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06" w:type="dxa"/>
            <w:vMerge w:val="continue"/>
            <w:vAlign w:val="center"/>
          </w:tcPr>
          <w:p>
            <w:pPr>
              <w:spacing w:line="360" w:lineRule="auto"/>
              <w:jc w:val="center"/>
              <w:rPr>
                <w:rFonts w:hAnsi="宋体" w:cs="宋体"/>
                <w:b/>
                <w:bCs/>
                <w:szCs w:val="21"/>
                <w:highlight w:val="none"/>
              </w:rPr>
            </w:pPr>
          </w:p>
        </w:tc>
        <w:tc>
          <w:tcPr>
            <w:tcW w:w="954" w:type="dxa"/>
            <w:vAlign w:val="center"/>
          </w:tcPr>
          <w:p>
            <w:pPr>
              <w:spacing w:line="360" w:lineRule="auto"/>
              <w:jc w:val="center"/>
              <w:rPr>
                <w:rFonts w:hAnsi="宋体" w:cs="宋体"/>
                <w:b/>
                <w:bCs/>
                <w:szCs w:val="21"/>
                <w:highlight w:val="none"/>
              </w:rPr>
            </w:pPr>
            <w:r>
              <w:rPr>
                <w:rFonts w:hint="eastAsia" w:hAnsi="宋体" w:cs="宋体"/>
                <w:b/>
                <w:bCs/>
                <w:szCs w:val="21"/>
                <w:highlight w:val="none"/>
              </w:rPr>
              <w:t>条款号</w:t>
            </w:r>
          </w:p>
        </w:tc>
        <w:tc>
          <w:tcPr>
            <w:tcW w:w="2246" w:type="dxa"/>
            <w:vAlign w:val="center"/>
          </w:tcPr>
          <w:p>
            <w:pPr>
              <w:spacing w:line="360" w:lineRule="auto"/>
              <w:jc w:val="center"/>
              <w:rPr>
                <w:rFonts w:hAnsi="宋体" w:cs="宋体"/>
                <w:b/>
                <w:bCs/>
                <w:szCs w:val="21"/>
                <w:highlight w:val="none"/>
              </w:rPr>
            </w:pPr>
            <w:r>
              <w:rPr>
                <w:rFonts w:hint="eastAsia" w:hAnsi="宋体" w:cs="宋体"/>
                <w:b/>
                <w:bCs/>
                <w:szCs w:val="21"/>
                <w:highlight w:val="none"/>
              </w:rPr>
              <w:t>简要内容</w:t>
            </w:r>
          </w:p>
        </w:tc>
        <w:tc>
          <w:tcPr>
            <w:tcW w:w="2431" w:type="dxa"/>
            <w:vAlign w:val="center"/>
          </w:tcPr>
          <w:p>
            <w:pPr>
              <w:spacing w:line="360" w:lineRule="auto"/>
              <w:jc w:val="center"/>
              <w:rPr>
                <w:rFonts w:hAnsi="宋体" w:cs="宋体"/>
                <w:b/>
                <w:bCs/>
                <w:szCs w:val="21"/>
                <w:highlight w:val="none"/>
              </w:rPr>
            </w:pPr>
            <w:r>
              <w:rPr>
                <w:rFonts w:hint="eastAsia" w:hAnsi="宋体" w:cs="宋体"/>
                <w:b/>
                <w:bCs/>
                <w:szCs w:val="21"/>
                <w:highlight w:val="none"/>
              </w:rPr>
              <w:t>偏离情况</w:t>
            </w:r>
          </w:p>
        </w:tc>
        <w:tc>
          <w:tcPr>
            <w:tcW w:w="2749" w:type="dxa"/>
            <w:vAlign w:val="center"/>
          </w:tcPr>
          <w:p>
            <w:pPr>
              <w:spacing w:line="360" w:lineRule="auto"/>
              <w:jc w:val="center"/>
              <w:rPr>
                <w:rFonts w:hAnsi="宋体" w:cs="宋体"/>
                <w:b/>
                <w:bCs/>
                <w:szCs w:val="21"/>
                <w:highlight w:val="none"/>
              </w:rPr>
            </w:pPr>
            <w:r>
              <w:rPr>
                <w:rFonts w:hint="eastAsia" w:hAnsi="宋体" w:cs="宋体"/>
                <w:b/>
                <w:bCs/>
                <w:szCs w:val="21"/>
                <w:highlight w:val="none"/>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pPr>
              <w:spacing w:line="360" w:lineRule="auto"/>
              <w:jc w:val="center"/>
              <w:rPr>
                <w:rFonts w:hAnsi="宋体" w:cs="宋体"/>
                <w:szCs w:val="21"/>
                <w:highlight w:val="none"/>
              </w:rPr>
            </w:pPr>
            <w:r>
              <w:rPr>
                <w:rFonts w:hint="eastAsia" w:hAnsi="宋体" w:cs="宋体"/>
                <w:szCs w:val="21"/>
                <w:highlight w:val="none"/>
              </w:rPr>
              <w:t>1</w:t>
            </w:r>
          </w:p>
        </w:tc>
        <w:tc>
          <w:tcPr>
            <w:tcW w:w="954" w:type="dxa"/>
            <w:vAlign w:val="center"/>
          </w:tcPr>
          <w:p>
            <w:pPr>
              <w:spacing w:line="360" w:lineRule="auto"/>
              <w:jc w:val="center"/>
              <w:rPr>
                <w:rFonts w:hAnsi="宋体" w:cs="宋体"/>
                <w:szCs w:val="21"/>
                <w:highlight w:val="none"/>
              </w:rPr>
            </w:pPr>
            <w:r>
              <w:rPr>
                <w:rFonts w:hint="eastAsia" w:hAnsi="宋体" w:cs="宋体"/>
                <w:szCs w:val="21"/>
                <w:highlight w:val="none"/>
              </w:rPr>
              <w:t>一</w:t>
            </w:r>
          </w:p>
        </w:tc>
        <w:tc>
          <w:tcPr>
            <w:tcW w:w="2246" w:type="dxa"/>
            <w:vAlign w:val="center"/>
          </w:tcPr>
          <w:p>
            <w:pPr>
              <w:spacing w:line="360" w:lineRule="auto"/>
              <w:jc w:val="center"/>
              <w:rPr>
                <w:rFonts w:hAnsi="宋体" w:cs="宋体"/>
                <w:szCs w:val="21"/>
                <w:highlight w:val="none"/>
              </w:rPr>
            </w:pPr>
          </w:p>
        </w:tc>
        <w:tc>
          <w:tcPr>
            <w:tcW w:w="2431" w:type="dxa"/>
            <w:vAlign w:val="center"/>
          </w:tcPr>
          <w:p>
            <w:pPr>
              <w:spacing w:line="360" w:lineRule="auto"/>
              <w:jc w:val="center"/>
              <w:rPr>
                <w:rFonts w:hAnsi="宋体" w:cs="宋体"/>
                <w:szCs w:val="21"/>
                <w:highlight w:val="none"/>
              </w:rPr>
            </w:pPr>
          </w:p>
        </w:tc>
        <w:tc>
          <w:tcPr>
            <w:tcW w:w="2749" w:type="dxa"/>
            <w:vAlign w:val="center"/>
          </w:tcPr>
          <w:p>
            <w:pPr>
              <w:spacing w:line="360" w:lineRule="auto"/>
              <w:jc w:val="center"/>
              <w:rPr>
                <w:rFonts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pPr>
              <w:spacing w:line="360" w:lineRule="auto"/>
              <w:jc w:val="center"/>
              <w:rPr>
                <w:rFonts w:hAnsi="宋体" w:cs="宋体"/>
                <w:szCs w:val="21"/>
                <w:highlight w:val="none"/>
              </w:rPr>
            </w:pPr>
            <w:r>
              <w:rPr>
                <w:rFonts w:hint="eastAsia" w:hAnsi="宋体" w:cs="宋体"/>
                <w:szCs w:val="21"/>
                <w:highlight w:val="none"/>
              </w:rPr>
              <w:t>2</w:t>
            </w:r>
          </w:p>
        </w:tc>
        <w:tc>
          <w:tcPr>
            <w:tcW w:w="954" w:type="dxa"/>
            <w:vAlign w:val="center"/>
          </w:tcPr>
          <w:p>
            <w:pPr>
              <w:spacing w:line="360" w:lineRule="auto"/>
              <w:jc w:val="center"/>
              <w:rPr>
                <w:rFonts w:hAnsi="宋体" w:cs="宋体"/>
                <w:szCs w:val="21"/>
                <w:highlight w:val="none"/>
              </w:rPr>
            </w:pPr>
            <w:r>
              <w:rPr>
                <w:rFonts w:hint="eastAsia" w:hAnsi="宋体" w:cs="宋体"/>
                <w:szCs w:val="21"/>
                <w:highlight w:val="none"/>
              </w:rPr>
              <w:t>二</w:t>
            </w:r>
          </w:p>
        </w:tc>
        <w:tc>
          <w:tcPr>
            <w:tcW w:w="2246" w:type="dxa"/>
            <w:vAlign w:val="center"/>
          </w:tcPr>
          <w:p>
            <w:pPr>
              <w:spacing w:line="360" w:lineRule="auto"/>
              <w:jc w:val="center"/>
              <w:rPr>
                <w:rFonts w:hAnsi="宋体" w:cs="宋体"/>
                <w:szCs w:val="21"/>
                <w:highlight w:val="none"/>
              </w:rPr>
            </w:pPr>
          </w:p>
        </w:tc>
        <w:tc>
          <w:tcPr>
            <w:tcW w:w="2431" w:type="dxa"/>
            <w:vAlign w:val="center"/>
          </w:tcPr>
          <w:p>
            <w:pPr>
              <w:spacing w:line="360" w:lineRule="auto"/>
              <w:jc w:val="center"/>
              <w:rPr>
                <w:rFonts w:hAnsi="宋体" w:cs="宋体"/>
                <w:szCs w:val="21"/>
                <w:highlight w:val="none"/>
              </w:rPr>
            </w:pPr>
          </w:p>
        </w:tc>
        <w:tc>
          <w:tcPr>
            <w:tcW w:w="2749" w:type="dxa"/>
            <w:vAlign w:val="center"/>
          </w:tcPr>
          <w:p>
            <w:pPr>
              <w:spacing w:line="360" w:lineRule="auto"/>
              <w:jc w:val="center"/>
              <w:rPr>
                <w:rFonts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pPr>
              <w:spacing w:line="360" w:lineRule="auto"/>
              <w:jc w:val="center"/>
              <w:rPr>
                <w:rFonts w:hAnsi="宋体" w:cs="宋体"/>
                <w:szCs w:val="21"/>
                <w:highlight w:val="none"/>
              </w:rPr>
            </w:pPr>
            <w:r>
              <w:rPr>
                <w:rFonts w:hint="eastAsia" w:hAnsi="宋体" w:cs="宋体"/>
                <w:szCs w:val="21"/>
                <w:highlight w:val="none"/>
              </w:rPr>
              <w:t>3</w:t>
            </w:r>
          </w:p>
        </w:tc>
        <w:tc>
          <w:tcPr>
            <w:tcW w:w="954" w:type="dxa"/>
            <w:vAlign w:val="center"/>
          </w:tcPr>
          <w:p>
            <w:pPr>
              <w:spacing w:line="360" w:lineRule="auto"/>
              <w:jc w:val="center"/>
              <w:rPr>
                <w:rFonts w:hAnsi="宋体" w:cs="宋体"/>
                <w:szCs w:val="21"/>
                <w:highlight w:val="none"/>
              </w:rPr>
            </w:pPr>
            <w:r>
              <w:rPr>
                <w:rFonts w:hint="eastAsia" w:hAnsi="宋体" w:cs="宋体"/>
                <w:szCs w:val="21"/>
                <w:highlight w:val="none"/>
              </w:rPr>
              <w:t>三</w:t>
            </w:r>
          </w:p>
        </w:tc>
        <w:tc>
          <w:tcPr>
            <w:tcW w:w="2246" w:type="dxa"/>
            <w:vAlign w:val="center"/>
          </w:tcPr>
          <w:p>
            <w:pPr>
              <w:autoSpaceDE/>
              <w:autoSpaceDN/>
              <w:adjustRightInd/>
              <w:spacing w:line="360" w:lineRule="auto"/>
              <w:jc w:val="center"/>
              <w:rPr>
                <w:rFonts w:hAnsi="宋体" w:cs="宋体"/>
                <w:szCs w:val="21"/>
                <w:highlight w:val="none"/>
              </w:rPr>
            </w:pPr>
          </w:p>
        </w:tc>
        <w:tc>
          <w:tcPr>
            <w:tcW w:w="2431" w:type="dxa"/>
            <w:vAlign w:val="center"/>
          </w:tcPr>
          <w:p>
            <w:pPr>
              <w:spacing w:line="360" w:lineRule="auto"/>
              <w:jc w:val="center"/>
              <w:rPr>
                <w:rFonts w:hAnsi="宋体" w:cs="宋体"/>
                <w:szCs w:val="21"/>
                <w:highlight w:val="none"/>
              </w:rPr>
            </w:pPr>
          </w:p>
        </w:tc>
        <w:tc>
          <w:tcPr>
            <w:tcW w:w="2749" w:type="dxa"/>
            <w:vAlign w:val="center"/>
          </w:tcPr>
          <w:p>
            <w:pPr>
              <w:spacing w:line="360" w:lineRule="auto"/>
              <w:jc w:val="center"/>
              <w:rPr>
                <w:rFonts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pPr>
              <w:spacing w:line="360" w:lineRule="auto"/>
              <w:jc w:val="center"/>
              <w:rPr>
                <w:rFonts w:hAnsi="宋体" w:cs="宋体"/>
                <w:szCs w:val="21"/>
                <w:highlight w:val="none"/>
              </w:rPr>
            </w:pPr>
            <w:r>
              <w:rPr>
                <w:rFonts w:hint="eastAsia" w:hAnsi="宋体" w:cs="宋体"/>
                <w:szCs w:val="21"/>
                <w:highlight w:val="none"/>
              </w:rPr>
              <w:t>...</w:t>
            </w:r>
          </w:p>
        </w:tc>
        <w:tc>
          <w:tcPr>
            <w:tcW w:w="954" w:type="dxa"/>
            <w:vAlign w:val="center"/>
          </w:tcPr>
          <w:p>
            <w:pPr>
              <w:spacing w:line="360" w:lineRule="auto"/>
              <w:jc w:val="center"/>
              <w:rPr>
                <w:rFonts w:hAnsi="宋体" w:cs="宋体"/>
                <w:szCs w:val="21"/>
                <w:highlight w:val="none"/>
              </w:rPr>
            </w:pPr>
          </w:p>
        </w:tc>
        <w:tc>
          <w:tcPr>
            <w:tcW w:w="2246" w:type="dxa"/>
            <w:vAlign w:val="center"/>
          </w:tcPr>
          <w:p>
            <w:pPr>
              <w:spacing w:line="360" w:lineRule="auto"/>
              <w:jc w:val="center"/>
              <w:rPr>
                <w:rFonts w:hAnsi="宋体" w:cs="宋体"/>
                <w:szCs w:val="21"/>
                <w:highlight w:val="none"/>
              </w:rPr>
            </w:pPr>
          </w:p>
        </w:tc>
        <w:tc>
          <w:tcPr>
            <w:tcW w:w="2431" w:type="dxa"/>
            <w:vAlign w:val="center"/>
          </w:tcPr>
          <w:p>
            <w:pPr>
              <w:spacing w:line="360" w:lineRule="auto"/>
              <w:jc w:val="center"/>
              <w:rPr>
                <w:rFonts w:hAnsi="宋体" w:cs="宋体"/>
                <w:szCs w:val="21"/>
                <w:highlight w:val="none"/>
              </w:rPr>
            </w:pPr>
          </w:p>
        </w:tc>
        <w:tc>
          <w:tcPr>
            <w:tcW w:w="2749" w:type="dxa"/>
            <w:vAlign w:val="center"/>
          </w:tcPr>
          <w:p>
            <w:pPr>
              <w:spacing w:line="360" w:lineRule="auto"/>
              <w:jc w:val="center"/>
              <w:rPr>
                <w:rFonts w:hAnsi="宋体" w:cs="宋体"/>
                <w:szCs w:val="21"/>
                <w:highlight w:val="none"/>
              </w:rPr>
            </w:pPr>
          </w:p>
        </w:tc>
      </w:tr>
    </w:tbl>
    <w:p>
      <w:pPr>
        <w:spacing w:line="360" w:lineRule="auto"/>
        <w:ind w:firstLine="422" w:firstLineChars="200"/>
        <w:rPr>
          <w:rFonts w:hAnsi="宋体" w:cs="宋体"/>
          <w:b/>
          <w:bCs/>
          <w:sz w:val="21"/>
          <w:szCs w:val="21"/>
          <w:highlight w:val="none"/>
        </w:rPr>
      </w:pPr>
      <w:r>
        <w:rPr>
          <w:rFonts w:hint="eastAsia" w:hAnsi="宋体" w:cs="宋体"/>
          <w:b/>
          <w:bCs/>
          <w:sz w:val="21"/>
          <w:szCs w:val="21"/>
          <w:highlight w:val="none"/>
        </w:rPr>
        <w:t>备注：</w:t>
      </w:r>
    </w:p>
    <w:p>
      <w:pPr>
        <w:numPr>
          <w:ilvl w:val="0"/>
          <w:numId w:val="8"/>
        </w:numPr>
        <w:spacing w:line="360" w:lineRule="auto"/>
        <w:ind w:firstLine="422" w:firstLineChars="200"/>
        <w:rPr>
          <w:rFonts w:hAnsi="宋体" w:cs="宋体"/>
          <w:b/>
          <w:bCs/>
          <w:sz w:val="21"/>
          <w:szCs w:val="21"/>
          <w:highlight w:val="none"/>
        </w:rPr>
      </w:pPr>
      <w:r>
        <w:rPr>
          <w:rFonts w:hint="eastAsia" w:hAnsi="宋体" w:cs="宋体"/>
          <w:b/>
          <w:bCs/>
          <w:sz w:val="21"/>
          <w:szCs w:val="21"/>
          <w:highlight w:val="none"/>
        </w:rPr>
        <w:t>报价人应对照用户需求书响应，逐条、如实地填写“偏离情况”，若发现虚假填写本表，或伪造、变造证明材料，或对需求书及其附件响应有负偏离的，按无效响应处理。若发现此表未逐条填写视为完全响应用户需求书要求。</w:t>
      </w:r>
    </w:p>
    <w:p>
      <w:pPr>
        <w:numPr>
          <w:ilvl w:val="0"/>
          <w:numId w:val="8"/>
        </w:numPr>
        <w:spacing w:line="360" w:lineRule="auto"/>
        <w:ind w:firstLine="422" w:firstLineChars="200"/>
        <w:rPr>
          <w:rFonts w:hAnsi="宋体" w:cs="宋体"/>
          <w:b/>
          <w:bCs/>
          <w:sz w:val="21"/>
          <w:szCs w:val="21"/>
          <w:highlight w:val="none"/>
        </w:rPr>
      </w:pPr>
      <w:r>
        <w:rPr>
          <w:rFonts w:hint="eastAsia" w:hAnsi="宋体" w:cs="宋体"/>
          <w:b/>
          <w:bCs/>
          <w:sz w:val="21"/>
          <w:szCs w:val="21"/>
          <w:highlight w:val="none"/>
        </w:rPr>
        <w:t>偏离情况分为：正偏离、负偏离、无偏离。正偏离是指报价人提供的货物（或服务）优于用户需求书的要求；负偏离是指报价人提供的货物（或服务）不满足或不完全响应用户需求书的要求；无偏离是指报价人提供的货物（或服务）完全响应用户需求书的要求。</w:t>
      </w:r>
    </w:p>
    <w:p>
      <w:pPr>
        <w:numPr>
          <w:ilvl w:val="0"/>
          <w:numId w:val="8"/>
        </w:numPr>
        <w:spacing w:line="360" w:lineRule="auto"/>
        <w:ind w:firstLine="422" w:firstLineChars="200"/>
        <w:rPr>
          <w:rFonts w:hAnsi="宋体" w:cs="宋体"/>
          <w:b/>
          <w:bCs/>
          <w:sz w:val="21"/>
          <w:szCs w:val="21"/>
          <w:highlight w:val="none"/>
        </w:rPr>
      </w:pPr>
      <w:r>
        <w:rPr>
          <w:rFonts w:hint="eastAsia" w:hAnsi="宋体" w:cs="宋体"/>
          <w:b/>
          <w:bCs/>
          <w:sz w:val="21"/>
          <w:szCs w:val="21"/>
          <w:highlight w:val="none"/>
        </w:rPr>
        <w:t xml:space="preserve">“偏离情况”项为正偏离（或负偏离）的，必须在“具体偏离内容”项内详细说明与用户需求书的偏离内容，“偏离情况”项为无偏离的，在“具体偏离内容”项内填“无”。 </w:t>
      </w:r>
    </w:p>
    <w:p>
      <w:pPr>
        <w:numPr>
          <w:ilvl w:val="0"/>
          <w:numId w:val="8"/>
        </w:numPr>
        <w:spacing w:line="360" w:lineRule="auto"/>
        <w:ind w:firstLine="422" w:firstLineChars="200"/>
        <w:rPr>
          <w:rFonts w:hAnsi="宋体" w:cs="宋体"/>
          <w:b/>
          <w:bCs/>
          <w:sz w:val="21"/>
          <w:szCs w:val="21"/>
          <w:highlight w:val="none"/>
        </w:rPr>
      </w:pPr>
      <w:r>
        <w:rPr>
          <w:rFonts w:hint="eastAsia" w:hAnsi="宋体" w:cs="宋体"/>
          <w:b/>
          <w:bCs/>
          <w:sz w:val="21"/>
          <w:szCs w:val="21"/>
          <w:highlight w:val="none"/>
        </w:rPr>
        <w:t>如报价人差异内容较多可另附页说明。</w:t>
      </w:r>
    </w:p>
    <w:p>
      <w:pPr>
        <w:spacing w:line="360" w:lineRule="auto"/>
        <w:rPr>
          <w:rFonts w:hAnsi="宋体" w:cs="宋体"/>
          <w:sz w:val="21"/>
          <w:szCs w:val="21"/>
          <w:highlight w:val="none"/>
        </w:rPr>
      </w:pPr>
    </w:p>
    <w:p>
      <w:pPr>
        <w:spacing w:line="360" w:lineRule="auto"/>
        <w:ind w:firstLine="5040" w:firstLineChars="2400"/>
        <w:jc w:val="right"/>
        <w:rPr>
          <w:rFonts w:hAnsi="宋体" w:cs="宋体"/>
          <w:kern w:val="2"/>
          <w:sz w:val="21"/>
          <w:highlight w:val="none"/>
          <w:lang w:val="zh-CN"/>
        </w:rPr>
      </w:pPr>
      <w:r>
        <w:rPr>
          <w:rFonts w:hint="eastAsia" w:hAnsi="宋体" w:cs="宋体"/>
          <w:kern w:val="2"/>
          <w:sz w:val="21"/>
          <w:highlight w:val="none"/>
          <w:lang w:val="zh-CN"/>
        </w:rPr>
        <w:t>报价人：（加盖报价人公章）</w:t>
      </w:r>
    </w:p>
    <w:p>
      <w:pPr>
        <w:spacing w:line="360" w:lineRule="auto"/>
        <w:ind w:firstLine="5040" w:firstLineChars="2400"/>
        <w:jc w:val="right"/>
        <w:rPr>
          <w:rFonts w:hAnsi="宋体" w:cs="宋体"/>
          <w:kern w:val="2"/>
          <w:sz w:val="21"/>
          <w:highlight w:val="none"/>
          <w:lang w:val="zh-CN"/>
        </w:rPr>
      </w:pPr>
      <w:r>
        <w:rPr>
          <w:rFonts w:hint="eastAsia" w:hAnsi="宋体" w:cs="宋体"/>
          <w:kern w:val="2"/>
          <w:sz w:val="21"/>
          <w:highlight w:val="none"/>
          <w:lang w:val="zh-CN"/>
        </w:rPr>
        <w:t xml:space="preserve">日  期：  </w:t>
      </w:r>
      <w:r>
        <w:rPr>
          <w:rFonts w:hint="eastAsia" w:hAnsi="宋体" w:cs="宋体"/>
          <w:kern w:val="2"/>
          <w:sz w:val="21"/>
          <w:highlight w:val="none"/>
        </w:rPr>
        <w:t xml:space="preserve">  </w:t>
      </w:r>
      <w:r>
        <w:rPr>
          <w:rFonts w:hint="eastAsia" w:hAnsi="宋体" w:cs="宋体"/>
          <w:kern w:val="2"/>
          <w:sz w:val="21"/>
          <w:highlight w:val="none"/>
          <w:lang w:val="zh-CN"/>
        </w:rPr>
        <w:t xml:space="preserve"> 年   月   日</w:t>
      </w:r>
      <w:bookmarkStart w:id="49" w:name="_Toc513226437"/>
      <w:bookmarkStart w:id="50" w:name="_Toc534701786"/>
      <w:bookmarkStart w:id="51" w:name="_Toc534278252"/>
    </w:p>
    <w:p>
      <w:pPr>
        <w:spacing w:line="360" w:lineRule="auto"/>
        <w:ind w:firstLine="420" w:firstLineChars="200"/>
        <w:rPr>
          <w:rFonts w:hAnsi="宋体" w:cs="宋体"/>
          <w:sz w:val="21"/>
          <w:szCs w:val="21"/>
          <w:highlight w:val="none"/>
        </w:rPr>
        <w:sectPr>
          <w:pgSz w:w="11906" w:h="16838"/>
          <w:pgMar w:top="1440" w:right="1803" w:bottom="1440" w:left="1803" w:header="851" w:footer="992" w:gutter="0"/>
          <w:cols w:space="0" w:num="1"/>
          <w:docGrid w:type="lines" w:linePitch="332" w:charSpace="0"/>
        </w:sectPr>
      </w:pPr>
    </w:p>
    <w:p>
      <w:pPr>
        <w:numPr>
          <w:ilvl w:val="0"/>
          <w:numId w:val="7"/>
        </w:numPr>
        <w:spacing w:line="360" w:lineRule="auto"/>
        <w:rPr>
          <w:rFonts w:hAnsi="宋体" w:cs="宋体"/>
          <w:b/>
          <w:sz w:val="28"/>
          <w:szCs w:val="28"/>
          <w:highlight w:val="none"/>
        </w:rPr>
      </w:pPr>
      <w:r>
        <w:rPr>
          <w:rFonts w:hint="eastAsia" w:hAnsi="宋体" w:cs="宋体"/>
          <w:b/>
          <w:sz w:val="28"/>
          <w:szCs w:val="28"/>
          <w:highlight w:val="none"/>
        </w:rPr>
        <w:t>合同条款偏离表</w:t>
      </w:r>
    </w:p>
    <w:p>
      <w:pPr>
        <w:spacing w:line="360" w:lineRule="auto"/>
        <w:jc w:val="center"/>
        <w:rPr>
          <w:rFonts w:hAnsi="宋体" w:cs="宋体"/>
          <w:b/>
          <w:sz w:val="28"/>
          <w:szCs w:val="28"/>
          <w:highlight w:val="none"/>
        </w:rPr>
      </w:pPr>
      <w:r>
        <w:rPr>
          <w:rFonts w:hint="eastAsia" w:hAnsi="宋体" w:cs="宋体"/>
          <w:b/>
          <w:sz w:val="28"/>
          <w:szCs w:val="28"/>
          <w:highlight w:val="none"/>
          <w:lang w:val="zh-CN"/>
        </w:rPr>
        <w:t>合同条款偏离表</w:t>
      </w:r>
    </w:p>
    <w:tbl>
      <w:tblPr>
        <w:tblStyle w:val="15"/>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954"/>
        <w:gridCol w:w="2813"/>
        <w:gridCol w:w="1864"/>
        <w:gridCol w:w="3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06" w:type="dxa"/>
            <w:vMerge w:val="restart"/>
            <w:vAlign w:val="center"/>
          </w:tcPr>
          <w:p>
            <w:pPr>
              <w:spacing w:line="360" w:lineRule="auto"/>
              <w:jc w:val="center"/>
              <w:rPr>
                <w:rFonts w:hAnsi="宋体" w:cs="宋体"/>
                <w:b/>
                <w:szCs w:val="21"/>
                <w:highlight w:val="none"/>
              </w:rPr>
            </w:pPr>
            <w:r>
              <w:rPr>
                <w:rFonts w:hint="eastAsia" w:hAnsi="宋体" w:cs="宋体"/>
                <w:b/>
                <w:szCs w:val="21"/>
                <w:highlight w:val="none"/>
              </w:rPr>
              <w:t>序号</w:t>
            </w:r>
          </w:p>
        </w:tc>
        <w:tc>
          <w:tcPr>
            <w:tcW w:w="3767" w:type="dxa"/>
            <w:gridSpan w:val="2"/>
            <w:vAlign w:val="center"/>
          </w:tcPr>
          <w:p>
            <w:pPr>
              <w:spacing w:line="360" w:lineRule="auto"/>
              <w:jc w:val="center"/>
              <w:rPr>
                <w:rFonts w:hAnsi="宋体" w:cs="宋体"/>
                <w:b/>
                <w:szCs w:val="21"/>
                <w:highlight w:val="none"/>
              </w:rPr>
            </w:pPr>
            <w:r>
              <w:rPr>
                <w:rFonts w:hint="eastAsia" w:hAnsi="宋体" w:cs="宋体"/>
                <w:b/>
                <w:szCs w:val="21"/>
                <w:highlight w:val="none"/>
              </w:rPr>
              <w:t>合同要求</w:t>
            </w:r>
          </w:p>
        </w:tc>
        <w:tc>
          <w:tcPr>
            <w:tcW w:w="4933" w:type="dxa"/>
            <w:gridSpan w:val="2"/>
            <w:vAlign w:val="center"/>
          </w:tcPr>
          <w:p>
            <w:pPr>
              <w:spacing w:line="360" w:lineRule="auto"/>
              <w:jc w:val="center"/>
              <w:rPr>
                <w:rFonts w:hAnsi="宋体" w:cs="宋体"/>
                <w:b/>
                <w:szCs w:val="21"/>
                <w:highlight w:val="none"/>
              </w:rPr>
            </w:pPr>
            <w:r>
              <w:rPr>
                <w:rFonts w:hint="eastAsia" w:hAnsi="宋体" w:cs="宋体"/>
                <w:b/>
                <w:szCs w:val="21"/>
                <w:highlight w:val="none"/>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06" w:type="dxa"/>
            <w:vMerge w:val="continue"/>
            <w:vAlign w:val="center"/>
          </w:tcPr>
          <w:p>
            <w:pPr>
              <w:spacing w:line="360" w:lineRule="auto"/>
              <w:jc w:val="center"/>
              <w:rPr>
                <w:rFonts w:hAnsi="宋体" w:cs="宋体"/>
                <w:b/>
                <w:szCs w:val="21"/>
                <w:highlight w:val="none"/>
              </w:rPr>
            </w:pPr>
          </w:p>
        </w:tc>
        <w:tc>
          <w:tcPr>
            <w:tcW w:w="954" w:type="dxa"/>
            <w:vAlign w:val="center"/>
          </w:tcPr>
          <w:p>
            <w:pPr>
              <w:spacing w:line="360" w:lineRule="auto"/>
              <w:jc w:val="center"/>
              <w:rPr>
                <w:rFonts w:hAnsi="宋体" w:cs="宋体"/>
                <w:b/>
                <w:szCs w:val="21"/>
                <w:highlight w:val="none"/>
              </w:rPr>
            </w:pPr>
            <w:r>
              <w:rPr>
                <w:rFonts w:hint="eastAsia" w:hAnsi="宋体" w:cs="宋体"/>
                <w:b/>
                <w:szCs w:val="21"/>
                <w:highlight w:val="none"/>
              </w:rPr>
              <w:t>条款号</w:t>
            </w:r>
          </w:p>
        </w:tc>
        <w:tc>
          <w:tcPr>
            <w:tcW w:w="2813" w:type="dxa"/>
            <w:vAlign w:val="center"/>
          </w:tcPr>
          <w:p>
            <w:pPr>
              <w:spacing w:line="360" w:lineRule="auto"/>
              <w:jc w:val="center"/>
              <w:rPr>
                <w:rFonts w:hAnsi="宋体" w:cs="宋体"/>
                <w:b/>
                <w:szCs w:val="21"/>
                <w:highlight w:val="none"/>
              </w:rPr>
            </w:pPr>
            <w:r>
              <w:rPr>
                <w:rFonts w:hint="eastAsia" w:hAnsi="宋体" w:cs="宋体"/>
                <w:b/>
                <w:szCs w:val="21"/>
                <w:highlight w:val="none"/>
              </w:rPr>
              <w:t>简要内容</w:t>
            </w:r>
          </w:p>
        </w:tc>
        <w:tc>
          <w:tcPr>
            <w:tcW w:w="1864" w:type="dxa"/>
            <w:vAlign w:val="center"/>
          </w:tcPr>
          <w:p>
            <w:pPr>
              <w:spacing w:line="360" w:lineRule="auto"/>
              <w:jc w:val="center"/>
              <w:rPr>
                <w:rFonts w:hAnsi="宋体" w:cs="宋体"/>
                <w:b/>
                <w:szCs w:val="21"/>
                <w:highlight w:val="none"/>
              </w:rPr>
            </w:pPr>
            <w:r>
              <w:rPr>
                <w:rFonts w:hint="eastAsia" w:hAnsi="宋体" w:cs="宋体"/>
                <w:b/>
                <w:szCs w:val="21"/>
                <w:highlight w:val="none"/>
              </w:rPr>
              <w:t>偏离情况</w:t>
            </w:r>
          </w:p>
        </w:tc>
        <w:tc>
          <w:tcPr>
            <w:tcW w:w="3069" w:type="dxa"/>
            <w:vAlign w:val="center"/>
          </w:tcPr>
          <w:p>
            <w:pPr>
              <w:spacing w:line="360" w:lineRule="auto"/>
              <w:jc w:val="center"/>
              <w:rPr>
                <w:rFonts w:hAnsi="宋体" w:cs="宋体"/>
                <w:b/>
                <w:szCs w:val="21"/>
                <w:highlight w:val="none"/>
              </w:rPr>
            </w:pPr>
            <w:r>
              <w:rPr>
                <w:rFonts w:hint="eastAsia" w:hAnsi="宋体" w:cs="宋体"/>
                <w:b/>
                <w:szCs w:val="21"/>
                <w:highlight w:val="none"/>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pPr>
              <w:spacing w:line="360" w:lineRule="auto"/>
              <w:jc w:val="center"/>
              <w:rPr>
                <w:rFonts w:hAnsi="宋体" w:cs="宋体"/>
                <w:szCs w:val="21"/>
                <w:highlight w:val="none"/>
              </w:rPr>
            </w:pPr>
            <w:r>
              <w:rPr>
                <w:rFonts w:hint="eastAsia" w:hAnsi="宋体" w:cs="宋体"/>
                <w:szCs w:val="21"/>
                <w:highlight w:val="none"/>
              </w:rPr>
              <w:t>1</w:t>
            </w:r>
          </w:p>
        </w:tc>
        <w:tc>
          <w:tcPr>
            <w:tcW w:w="954" w:type="dxa"/>
            <w:vAlign w:val="center"/>
          </w:tcPr>
          <w:p>
            <w:pPr>
              <w:spacing w:line="360" w:lineRule="auto"/>
              <w:jc w:val="center"/>
              <w:rPr>
                <w:rFonts w:hAnsi="宋体" w:cs="宋体"/>
                <w:szCs w:val="21"/>
                <w:highlight w:val="none"/>
              </w:rPr>
            </w:pPr>
            <w:r>
              <w:rPr>
                <w:rFonts w:hint="eastAsia" w:hAnsi="宋体" w:cs="宋体"/>
                <w:szCs w:val="21"/>
                <w:highlight w:val="none"/>
              </w:rPr>
              <w:t>一</w:t>
            </w:r>
          </w:p>
        </w:tc>
        <w:tc>
          <w:tcPr>
            <w:tcW w:w="2813" w:type="dxa"/>
            <w:vAlign w:val="center"/>
          </w:tcPr>
          <w:p>
            <w:pPr>
              <w:spacing w:line="360" w:lineRule="auto"/>
              <w:jc w:val="center"/>
              <w:rPr>
                <w:rFonts w:hAnsi="宋体" w:cs="宋体"/>
                <w:szCs w:val="21"/>
                <w:highlight w:val="none"/>
              </w:rPr>
            </w:pPr>
          </w:p>
        </w:tc>
        <w:tc>
          <w:tcPr>
            <w:tcW w:w="1864" w:type="dxa"/>
            <w:vAlign w:val="center"/>
          </w:tcPr>
          <w:p>
            <w:pPr>
              <w:spacing w:line="360" w:lineRule="auto"/>
              <w:jc w:val="center"/>
              <w:rPr>
                <w:rFonts w:hAnsi="宋体" w:cs="宋体"/>
                <w:szCs w:val="21"/>
                <w:highlight w:val="none"/>
              </w:rPr>
            </w:pPr>
          </w:p>
        </w:tc>
        <w:tc>
          <w:tcPr>
            <w:tcW w:w="3069" w:type="dxa"/>
            <w:vAlign w:val="center"/>
          </w:tcPr>
          <w:p>
            <w:pPr>
              <w:spacing w:line="360" w:lineRule="auto"/>
              <w:jc w:val="center"/>
              <w:rPr>
                <w:rFonts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pPr>
              <w:spacing w:line="360" w:lineRule="auto"/>
              <w:jc w:val="center"/>
              <w:rPr>
                <w:rFonts w:hAnsi="宋体" w:cs="宋体"/>
                <w:szCs w:val="21"/>
                <w:highlight w:val="none"/>
              </w:rPr>
            </w:pPr>
            <w:r>
              <w:rPr>
                <w:rFonts w:hint="eastAsia" w:hAnsi="宋体" w:cs="宋体"/>
                <w:szCs w:val="21"/>
                <w:highlight w:val="none"/>
              </w:rPr>
              <w:t>2</w:t>
            </w:r>
          </w:p>
        </w:tc>
        <w:tc>
          <w:tcPr>
            <w:tcW w:w="954" w:type="dxa"/>
            <w:vAlign w:val="center"/>
          </w:tcPr>
          <w:p>
            <w:pPr>
              <w:spacing w:line="360" w:lineRule="auto"/>
              <w:jc w:val="center"/>
              <w:rPr>
                <w:rFonts w:hAnsi="宋体" w:cs="宋体"/>
                <w:szCs w:val="21"/>
                <w:highlight w:val="none"/>
              </w:rPr>
            </w:pPr>
            <w:r>
              <w:rPr>
                <w:rFonts w:hint="eastAsia" w:hAnsi="宋体" w:cs="宋体"/>
                <w:szCs w:val="21"/>
                <w:highlight w:val="none"/>
              </w:rPr>
              <w:t>二</w:t>
            </w:r>
          </w:p>
        </w:tc>
        <w:tc>
          <w:tcPr>
            <w:tcW w:w="2813" w:type="dxa"/>
            <w:vAlign w:val="center"/>
          </w:tcPr>
          <w:p>
            <w:pPr>
              <w:spacing w:line="360" w:lineRule="auto"/>
              <w:jc w:val="center"/>
              <w:rPr>
                <w:rFonts w:hAnsi="宋体" w:cs="宋体"/>
                <w:szCs w:val="21"/>
                <w:highlight w:val="none"/>
              </w:rPr>
            </w:pPr>
          </w:p>
        </w:tc>
        <w:tc>
          <w:tcPr>
            <w:tcW w:w="1864" w:type="dxa"/>
            <w:vAlign w:val="center"/>
          </w:tcPr>
          <w:p>
            <w:pPr>
              <w:spacing w:line="360" w:lineRule="auto"/>
              <w:jc w:val="center"/>
              <w:rPr>
                <w:rFonts w:hAnsi="宋体" w:cs="宋体"/>
                <w:szCs w:val="21"/>
                <w:highlight w:val="none"/>
              </w:rPr>
            </w:pPr>
          </w:p>
        </w:tc>
        <w:tc>
          <w:tcPr>
            <w:tcW w:w="3069" w:type="dxa"/>
            <w:vAlign w:val="center"/>
          </w:tcPr>
          <w:p>
            <w:pPr>
              <w:spacing w:line="360" w:lineRule="auto"/>
              <w:jc w:val="center"/>
              <w:rPr>
                <w:rFonts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pPr>
              <w:spacing w:line="360" w:lineRule="auto"/>
              <w:jc w:val="center"/>
              <w:rPr>
                <w:rFonts w:hAnsi="宋体" w:cs="宋体"/>
                <w:szCs w:val="21"/>
                <w:highlight w:val="none"/>
              </w:rPr>
            </w:pPr>
            <w:r>
              <w:rPr>
                <w:rFonts w:hint="eastAsia" w:hAnsi="宋体" w:cs="宋体"/>
                <w:szCs w:val="21"/>
                <w:highlight w:val="none"/>
              </w:rPr>
              <w:t>3</w:t>
            </w:r>
          </w:p>
        </w:tc>
        <w:tc>
          <w:tcPr>
            <w:tcW w:w="954" w:type="dxa"/>
            <w:vAlign w:val="center"/>
          </w:tcPr>
          <w:p>
            <w:pPr>
              <w:spacing w:line="360" w:lineRule="auto"/>
              <w:jc w:val="center"/>
              <w:rPr>
                <w:rFonts w:hAnsi="宋体" w:cs="宋体"/>
                <w:szCs w:val="21"/>
                <w:highlight w:val="none"/>
              </w:rPr>
            </w:pPr>
            <w:r>
              <w:rPr>
                <w:rFonts w:hint="eastAsia" w:hAnsi="宋体" w:cs="宋体"/>
                <w:szCs w:val="21"/>
                <w:highlight w:val="none"/>
              </w:rPr>
              <w:t>三</w:t>
            </w:r>
          </w:p>
        </w:tc>
        <w:tc>
          <w:tcPr>
            <w:tcW w:w="2813" w:type="dxa"/>
            <w:vAlign w:val="center"/>
          </w:tcPr>
          <w:p>
            <w:pPr>
              <w:spacing w:line="360" w:lineRule="auto"/>
              <w:jc w:val="center"/>
              <w:rPr>
                <w:rFonts w:hAnsi="宋体" w:cs="宋体"/>
                <w:szCs w:val="21"/>
                <w:highlight w:val="none"/>
              </w:rPr>
            </w:pPr>
          </w:p>
        </w:tc>
        <w:tc>
          <w:tcPr>
            <w:tcW w:w="1864" w:type="dxa"/>
            <w:vAlign w:val="center"/>
          </w:tcPr>
          <w:p>
            <w:pPr>
              <w:spacing w:line="360" w:lineRule="auto"/>
              <w:jc w:val="center"/>
              <w:rPr>
                <w:rFonts w:hAnsi="宋体" w:cs="宋体"/>
                <w:szCs w:val="21"/>
                <w:highlight w:val="none"/>
              </w:rPr>
            </w:pPr>
          </w:p>
        </w:tc>
        <w:tc>
          <w:tcPr>
            <w:tcW w:w="3069" w:type="dxa"/>
            <w:vAlign w:val="center"/>
          </w:tcPr>
          <w:p>
            <w:pPr>
              <w:spacing w:line="360" w:lineRule="auto"/>
              <w:jc w:val="center"/>
              <w:rPr>
                <w:rFonts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pPr>
              <w:spacing w:line="360" w:lineRule="auto"/>
              <w:jc w:val="center"/>
              <w:rPr>
                <w:rFonts w:hAnsi="宋体" w:cs="宋体"/>
                <w:szCs w:val="21"/>
                <w:highlight w:val="none"/>
              </w:rPr>
            </w:pPr>
            <w:r>
              <w:rPr>
                <w:rFonts w:hint="eastAsia" w:hAnsi="宋体" w:cs="宋体"/>
                <w:szCs w:val="21"/>
                <w:highlight w:val="none"/>
              </w:rPr>
              <w:t>...</w:t>
            </w:r>
          </w:p>
        </w:tc>
        <w:tc>
          <w:tcPr>
            <w:tcW w:w="954" w:type="dxa"/>
            <w:vAlign w:val="center"/>
          </w:tcPr>
          <w:p>
            <w:pPr>
              <w:spacing w:line="360" w:lineRule="auto"/>
              <w:jc w:val="center"/>
              <w:rPr>
                <w:rFonts w:hAnsi="宋体" w:cs="宋体"/>
                <w:szCs w:val="21"/>
                <w:highlight w:val="none"/>
              </w:rPr>
            </w:pPr>
          </w:p>
        </w:tc>
        <w:tc>
          <w:tcPr>
            <w:tcW w:w="2813" w:type="dxa"/>
            <w:vAlign w:val="center"/>
          </w:tcPr>
          <w:p>
            <w:pPr>
              <w:spacing w:line="360" w:lineRule="auto"/>
              <w:jc w:val="center"/>
              <w:rPr>
                <w:rFonts w:hAnsi="宋体" w:cs="宋体"/>
                <w:szCs w:val="21"/>
                <w:highlight w:val="none"/>
              </w:rPr>
            </w:pPr>
          </w:p>
        </w:tc>
        <w:tc>
          <w:tcPr>
            <w:tcW w:w="1864" w:type="dxa"/>
            <w:vAlign w:val="center"/>
          </w:tcPr>
          <w:p>
            <w:pPr>
              <w:spacing w:line="360" w:lineRule="auto"/>
              <w:jc w:val="center"/>
              <w:rPr>
                <w:rFonts w:hAnsi="宋体" w:cs="宋体"/>
                <w:szCs w:val="21"/>
                <w:highlight w:val="none"/>
              </w:rPr>
            </w:pPr>
          </w:p>
        </w:tc>
        <w:tc>
          <w:tcPr>
            <w:tcW w:w="3069" w:type="dxa"/>
            <w:vAlign w:val="center"/>
          </w:tcPr>
          <w:p>
            <w:pPr>
              <w:spacing w:line="360" w:lineRule="auto"/>
              <w:jc w:val="center"/>
              <w:rPr>
                <w:rFonts w:hAnsi="宋体" w:cs="宋体"/>
                <w:szCs w:val="21"/>
                <w:highlight w:val="none"/>
              </w:rPr>
            </w:pPr>
          </w:p>
        </w:tc>
      </w:tr>
    </w:tbl>
    <w:p>
      <w:pPr>
        <w:spacing w:line="360" w:lineRule="auto"/>
        <w:ind w:right="139" w:rightChars="58" w:firstLine="426" w:firstLineChars="202"/>
        <w:rPr>
          <w:rFonts w:hAnsi="宋体" w:cs="宋体"/>
          <w:b/>
          <w:bCs/>
          <w:sz w:val="21"/>
          <w:szCs w:val="21"/>
          <w:highlight w:val="none"/>
        </w:rPr>
      </w:pPr>
      <w:r>
        <w:rPr>
          <w:rFonts w:hint="eastAsia" w:hAnsi="宋体" w:cs="宋体"/>
          <w:b/>
          <w:bCs/>
          <w:sz w:val="21"/>
          <w:szCs w:val="21"/>
          <w:highlight w:val="none"/>
        </w:rPr>
        <w:t>备注：</w:t>
      </w:r>
    </w:p>
    <w:p>
      <w:pPr>
        <w:numPr>
          <w:ilvl w:val="0"/>
          <w:numId w:val="9"/>
        </w:numPr>
        <w:spacing w:line="360" w:lineRule="auto"/>
        <w:ind w:right="139" w:rightChars="58" w:firstLine="426" w:firstLineChars="202"/>
        <w:rPr>
          <w:rFonts w:hAnsi="宋体" w:cs="宋体"/>
          <w:b/>
          <w:bCs/>
          <w:sz w:val="21"/>
          <w:szCs w:val="21"/>
          <w:highlight w:val="none"/>
        </w:rPr>
      </w:pPr>
      <w:r>
        <w:rPr>
          <w:rFonts w:hint="eastAsia" w:hAnsi="宋体" w:cs="宋体"/>
          <w:b/>
          <w:bCs/>
          <w:sz w:val="21"/>
          <w:szCs w:val="21"/>
          <w:highlight w:val="none"/>
        </w:rPr>
        <w:t>报价人应对照合同响应，逐条、如实地填写“偏离情况”，若发现虚假填写本表，或伪造、变造证明材料，或对合同及其附件响应有负偏离的，按无效响应处理。若发现此表未逐条填写视为完全响应合同要求。</w:t>
      </w:r>
    </w:p>
    <w:p>
      <w:pPr>
        <w:numPr>
          <w:ilvl w:val="0"/>
          <w:numId w:val="9"/>
        </w:numPr>
        <w:spacing w:line="360" w:lineRule="auto"/>
        <w:ind w:right="139" w:rightChars="58" w:firstLine="426" w:firstLineChars="202"/>
        <w:rPr>
          <w:rFonts w:hAnsi="宋体" w:cs="宋体"/>
          <w:b/>
          <w:bCs/>
          <w:sz w:val="21"/>
          <w:szCs w:val="21"/>
          <w:highlight w:val="none"/>
        </w:rPr>
      </w:pPr>
      <w:r>
        <w:rPr>
          <w:rFonts w:hint="eastAsia" w:hAnsi="宋体" w:cs="宋体"/>
          <w:b/>
          <w:bCs/>
          <w:sz w:val="21"/>
          <w:szCs w:val="21"/>
          <w:highlight w:val="none"/>
        </w:rPr>
        <w:t>偏离情况分为：正偏离、负偏离、无偏离。正偏离是指报价人提供的货物（或服务）优于合同的要求；负偏离是指报价人提供的货物（或服务）不满足或不完全响应合同的要求；无偏离是指报价人提供的货物（或服务）完全响应合同的要求。</w:t>
      </w:r>
    </w:p>
    <w:p>
      <w:pPr>
        <w:numPr>
          <w:ilvl w:val="0"/>
          <w:numId w:val="9"/>
        </w:numPr>
        <w:spacing w:line="360" w:lineRule="auto"/>
        <w:ind w:right="139" w:rightChars="58" w:firstLine="426" w:firstLineChars="202"/>
        <w:rPr>
          <w:rFonts w:hAnsi="宋体" w:cs="宋体"/>
          <w:b/>
          <w:bCs/>
          <w:sz w:val="21"/>
          <w:szCs w:val="21"/>
          <w:highlight w:val="none"/>
        </w:rPr>
      </w:pPr>
      <w:r>
        <w:rPr>
          <w:rFonts w:hint="eastAsia" w:hAnsi="宋体" w:cs="宋体"/>
          <w:b/>
          <w:bCs/>
          <w:sz w:val="21"/>
          <w:szCs w:val="21"/>
          <w:highlight w:val="none"/>
        </w:rPr>
        <w:t xml:space="preserve">“偏离情况”项为正偏离（或负偏离）的，必须在“具体偏离内容”项内详细说明与合同的偏离内容，“偏离情况”项为无偏离的，在“具体偏离内容”项内填“无”。 </w:t>
      </w:r>
    </w:p>
    <w:p>
      <w:pPr>
        <w:numPr>
          <w:ilvl w:val="0"/>
          <w:numId w:val="9"/>
        </w:numPr>
        <w:spacing w:line="360" w:lineRule="auto"/>
        <w:ind w:right="139" w:rightChars="58" w:firstLine="426" w:firstLineChars="202"/>
        <w:rPr>
          <w:rFonts w:hAnsi="宋体" w:cs="宋体"/>
          <w:b/>
          <w:bCs/>
          <w:sz w:val="21"/>
          <w:szCs w:val="21"/>
          <w:highlight w:val="none"/>
        </w:rPr>
      </w:pPr>
      <w:r>
        <w:rPr>
          <w:rFonts w:hint="eastAsia" w:hAnsi="宋体" w:cs="宋体"/>
          <w:b/>
          <w:bCs/>
          <w:sz w:val="21"/>
          <w:szCs w:val="21"/>
          <w:highlight w:val="none"/>
        </w:rPr>
        <w:t>如报价人差异内容较多可另附页说明。</w:t>
      </w:r>
    </w:p>
    <w:p>
      <w:pPr>
        <w:spacing w:line="360" w:lineRule="auto"/>
        <w:ind w:firstLine="420" w:firstLineChars="200"/>
        <w:rPr>
          <w:rFonts w:hAnsi="宋体" w:cs="宋体"/>
          <w:sz w:val="21"/>
          <w:szCs w:val="21"/>
          <w:highlight w:val="none"/>
        </w:rPr>
      </w:pPr>
    </w:p>
    <w:p>
      <w:pPr>
        <w:spacing w:line="360" w:lineRule="auto"/>
        <w:ind w:firstLine="5040" w:firstLineChars="2400"/>
        <w:jc w:val="right"/>
        <w:rPr>
          <w:rFonts w:hAnsi="宋体" w:cs="宋体"/>
          <w:kern w:val="2"/>
          <w:sz w:val="21"/>
          <w:highlight w:val="none"/>
          <w:lang w:val="zh-CN"/>
        </w:rPr>
      </w:pPr>
      <w:r>
        <w:rPr>
          <w:rFonts w:hint="eastAsia" w:hAnsi="宋体" w:cs="宋体"/>
          <w:kern w:val="2"/>
          <w:sz w:val="21"/>
          <w:highlight w:val="none"/>
          <w:lang w:val="zh-CN"/>
        </w:rPr>
        <w:t>报价人：（加盖报价人公章）</w:t>
      </w:r>
    </w:p>
    <w:p>
      <w:pPr>
        <w:spacing w:line="360" w:lineRule="auto"/>
        <w:ind w:firstLine="5040" w:firstLineChars="2400"/>
        <w:jc w:val="right"/>
        <w:rPr>
          <w:rFonts w:hAnsi="宋体" w:cs="宋体"/>
          <w:kern w:val="2"/>
          <w:sz w:val="21"/>
          <w:highlight w:val="none"/>
          <w:lang w:val="zh-CN"/>
        </w:rPr>
      </w:pPr>
      <w:r>
        <w:rPr>
          <w:rFonts w:hint="eastAsia" w:hAnsi="宋体" w:cs="宋体"/>
          <w:kern w:val="2"/>
          <w:sz w:val="21"/>
          <w:highlight w:val="none"/>
          <w:lang w:val="zh-CN"/>
        </w:rPr>
        <w:t xml:space="preserve">日  期： </w:t>
      </w:r>
      <w:r>
        <w:rPr>
          <w:rFonts w:hint="eastAsia" w:hAnsi="宋体" w:cs="宋体"/>
          <w:kern w:val="2"/>
          <w:sz w:val="21"/>
          <w:highlight w:val="none"/>
        </w:rPr>
        <w:t xml:space="preserve">  </w:t>
      </w:r>
      <w:r>
        <w:rPr>
          <w:rFonts w:hint="eastAsia" w:hAnsi="宋体" w:cs="宋体"/>
          <w:kern w:val="2"/>
          <w:sz w:val="21"/>
          <w:highlight w:val="none"/>
          <w:lang w:val="zh-CN"/>
        </w:rPr>
        <w:t xml:space="preserve">  年   月   日</w:t>
      </w:r>
    </w:p>
    <w:p>
      <w:pPr>
        <w:spacing w:line="360" w:lineRule="auto"/>
        <w:rPr>
          <w:rFonts w:hAnsi="宋体" w:cs="宋体"/>
          <w:kern w:val="2"/>
          <w:sz w:val="21"/>
          <w:highlight w:val="none"/>
          <w:lang w:val="zh-CN"/>
        </w:rPr>
        <w:sectPr>
          <w:pgSz w:w="11906" w:h="16838"/>
          <w:pgMar w:top="1440" w:right="1803" w:bottom="1440" w:left="1803" w:header="851" w:footer="992" w:gutter="0"/>
          <w:cols w:space="0" w:num="1"/>
          <w:docGrid w:type="lines" w:linePitch="332" w:charSpace="0"/>
        </w:sectPr>
      </w:pPr>
    </w:p>
    <w:bookmarkEnd w:id="49"/>
    <w:bookmarkEnd w:id="50"/>
    <w:bookmarkEnd w:id="51"/>
    <w:p>
      <w:pPr>
        <w:numPr>
          <w:ilvl w:val="0"/>
          <w:numId w:val="7"/>
        </w:numPr>
        <w:spacing w:line="360" w:lineRule="auto"/>
        <w:rPr>
          <w:rFonts w:hAnsi="宋体" w:cs="宋体"/>
          <w:b/>
          <w:sz w:val="28"/>
          <w:szCs w:val="28"/>
          <w:highlight w:val="none"/>
        </w:rPr>
        <w:sectPr>
          <w:pgSz w:w="11906" w:h="16838"/>
          <w:pgMar w:top="1440" w:right="1803" w:bottom="1440" w:left="1803" w:header="851" w:footer="992" w:gutter="0"/>
          <w:cols w:space="0" w:num="1"/>
          <w:docGrid w:type="lines" w:linePitch="332" w:charSpace="0"/>
        </w:sectPr>
      </w:pPr>
      <w:r>
        <w:rPr>
          <w:rFonts w:hint="eastAsia" w:hAnsi="宋体" w:cs="宋体"/>
          <w:b/>
          <w:sz w:val="28"/>
          <w:szCs w:val="28"/>
          <w:highlight w:val="none"/>
        </w:rPr>
        <w:t>致远办公系统A8+产品服务原厂证明或授权代理资质</w:t>
      </w:r>
    </w:p>
    <w:p>
      <w:pPr>
        <w:numPr>
          <w:ilvl w:val="0"/>
          <w:numId w:val="7"/>
        </w:numPr>
        <w:spacing w:line="360" w:lineRule="auto"/>
        <w:rPr>
          <w:highlight w:val="none"/>
        </w:rPr>
      </w:pPr>
      <w:r>
        <w:rPr>
          <w:rFonts w:hint="eastAsia" w:hAnsi="宋体" w:cs="宋体"/>
          <w:b/>
          <w:sz w:val="28"/>
          <w:szCs w:val="28"/>
          <w:highlight w:val="none"/>
        </w:rPr>
        <w:t>报价人认为有必要提供的资料（不做强制要求</w:t>
      </w:r>
      <w:r>
        <w:rPr>
          <w:rFonts w:hint="eastAsia" w:hAnsi="宋体" w:cs="宋体"/>
          <w:b/>
          <w:sz w:val="28"/>
          <w:szCs w:val="28"/>
          <w:highlight w:val="none"/>
          <w:lang w:eastAsia="zh-CN"/>
        </w:rPr>
        <w:t>）</w:t>
      </w:r>
    </w:p>
    <w:sectPr>
      <w:pgSz w:w="11906" w:h="16838"/>
      <w:pgMar w:top="1440" w:right="1803" w:bottom="1440" w:left="1803" w:header="851" w:footer="992" w:gutter="0"/>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0"/>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21</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0"/>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21</w:t>
                    </w:r>
                    <w:r>
                      <w:rPr>
                        <w:rFonts w:ascii="Times New Roman" w:hAnsi="Times New Roman" w:cs="Times New Roma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46B209"/>
    <w:multiLevelType w:val="multilevel"/>
    <w:tmpl w:val="A946B209"/>
    <w:lvl w:ilvl="0" w:tentative="0">
      <w:start w:val="1"/>
      <w:numFmt w:val="decimal"/>
      <w:suff w:val="space"/>
      <w:lvlText w:val="%1."/>
      <w:lvlJc w:val="left"/>
      <w:pPr>
        <w:ind w:left="720" w:hanging="360"/>
      </w:pPr>
      <w:rPr>
        <w:sz w:val="24"/>
        <w:szCs w:val="24"/>
      </w:rPr>
    </w:lvl>
    <w:lvl w:ilvl="1" w:tentative="0">
      <w:start w:val="1"/>
      <w:numFmt w:val="bullet"/>
      <w:lvlText w:val=""/>
      <w:lvlJc w:val="left"/>
      <w:pPr>
        <w:tabs>
          <w:tab w:val="left" w:pos="1440"/>
        </w:tabs>
        <w:ind w:left="1440" w:hanging="360"/>
      </w:pPr>
      <w:rPr>
        <w:rFonts w:ascii="Symbol" w:hAnsi="Symbol" w:cs="Symbol"/>
        <w:sz w:val="20"/>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FE1D2219"/>
    <w:multiLevelType w:val="singleLevel"/>
    <w:tmpl w:val="FE1D2219"/>
    <w:lvl w:ilvl="0" w:tentative="0">
      <w:start w:val="1"/>
      <w:numFmt w:val="decimal"/>
      <w:suff w:val="space"/>
      <w:lvlText w:val="%1."/>
      <w:lvlJc w:val="left"/>
    </w:lvl>
  </w:abstractNum>
  <w:abstractNum w:abstractNumId="2">
    <w:nsid w:val="04D0FE94"/>
    <w:multiLevelType w:val="singleLevel"/>
    <w:tmpl w:val="04D0FE94"/>
    <w:lvl w:ilvl="0" w:tentative="0">
      <w:start w:val="2"/>
      <w:numFmt w:val="decimal"/>
      <w:suff w:val="space"/>
      <w:lvlText w:val="%1."/>
      <w:lvlJc w:val="left"/>
    </w:lvl>
  </w:abstractNum>
  <w:abstractNum w:abstractNumId="3">
    <w:nsid w:val="29BC3133"/>
    <w:multiLevelType w:val="singleLevel"/>
    <w:tmpl w:val="29BC3133"/>
    <w:lvl w:ilvl="0" w:tentative="0">
      <w:start w:val="1"/>
      <w:numFmt w:val="chineseCounting"/>
      <w:suff w:val="nothing"/>
      <w:lvlText w:val="（%1）"/>
      <w:lvlJc w:val="left"/>
      <w:pPr>
        <w:ind w:left="0" w:firstLine="420"/>
      </w:pPr>
      <w:rPr>
        <w:rFonts w:hint="eastAsia"/>
      </w:rPr>
    </w:lvl>
  </w:abstractNum>
  <w:abstractNum w:abstractNumId="4">
    <w:nsid w:val="2C3A7159"/>
    <w:multiLevelType w:val="multilevel"/>
    <w:tmpl w:val="2C3A7159"/>
    <w:lvl w:ilvl="0" w:tentative="0">
      <w:start w:val="1"/>
      <w:numFmt w:val="chineseCountingThousand"/>
      <w:suff w:val="space"/>
      <w:lvlText w:val="%1."/>
      <w:lvlJc w:val="left"/>
      <w:pPr>
        <w:ind w:left="0" w:firstLine="0"/>
      </w:pPr>
      <w:rPr>
        <w:rFonts w:hint="eastAsia" w:ascii="宋体" w:hAnsi="宋体" w:eastAsia="黑体"/>
        <w:b w:val="0"/>
        <w:i w:val="0"/>
        <w:sz w:val="22"/>
      </w:rPr>
    </w:lvl>
    <w:lvl w:ilvl="1" w:tentative="0">
      <w:start w:val="1"/>
      <w:numFmt w:val="decimal"/>
      <w:pStyle w:val="22"/>
      <w:isLgl/>
      <w:suff w:val="space"/>
      <w:lvlText w:val="%1.%2."/>
      <w:lvlJc w:val="left"/>
      <w:pPr>
        <w:ind w:left="0" w:firstLine="0"/>
      </w:pPr>
      <w:rPr>
        <w:rFonts w:hint="eastAsia" w:ascii="宋体" w:hAnsi="宋体" w:eastAsia="黑体"/>
        <w:b w:val="0"/>
        <w:i w:val="0"/>
        <w:sz w:val="22"/>
      </w:rPr>
    </w:lvl>
    <w:lvl w:ilvl="2" w:tentative="0">
      <w:start w:val="1"/>
      <w:numFmt w:val="decimal"/>
      <w:isLgl/>
      <w:suff w:val="space"/>
      <w:lvlText w:val="%1.%2.%3."/>
      <w:lvlJc w:val="left"/>
      <w:pPr>
        <w:ind w:left="0" w:firstLine="0"/>
      </w:pPr>
      <w:rPr>
        <w:rFonts w:hint="eastAsia" w:ascii="宋体" w:hAnsi="宋体" w:eastAsia="黑体" w:cs="Times New Roman"/>
        <w:b w:val="0"/>
        <w:i w:val="0"/>
        <w:sz w:val="22"/>
        <w:szCs w:val="28"/>
      </w:rPr>
    </w:lvl>
    <w:lvl w:ilvl="3" w:tentative="0">
      <w:start w:val="1"/>
      <w:numFmt w:val="decimal"/>
      <w:isLgl/>
      <w:suff w:val="space"/>
      <w:lvlText w:val="%1.%2.%3.%4."/>
      <w:lvlJc w:val="left"/>
      <w:pPr>
        <w:ind w:left="0" w:firstLine="0"/>
      </w:pPr>
      <w:rPr>
        <w:rFonts w:hint="eastAsia" w:ascii="宋体" w:hAnsi="宋体" w:eastAsia="黑体"/>
        <w:b w:val="0"/>
        <w:i w:val="0"/>
        <w:sz w:val="30"/>
      </w:rPr>
    </w:lvl>
    <w:lvl w:ilvl="4" w:tentative="0">
      <w:start w:val="1"/>
      <w:numFmt w:val="decimal"/>
      <w:isLgl/>
      <w:suff w:val="space"/>
      <w:lvlText w:val="%1.%2.%3.%4.%5."/>
      <w:lvlJc w:val="left"/>
      <w:pPr>
        <w:ind w:left="0" w:firstLine="0"/>
      </w:pPr>
      <w:rPr>
        <w:rFonts w:hint="eastAsia" w:ascii="宋体" w:hAnsi="宋体" w:eastAsia="黑体"/>
        <w:b w:val="0"/>
        <w:i w:val="0"/>
        <w:sz w:val="28"/>
      </w:rPr>
    </w:lvl>
    <w:lvl w:ilvl="5" w:tentative="0">
      <w:start w:val="1"/>
      <w:numFmt w:val="decimal"/>
      <w:isLgl/>
      <w:suff w:val="space"/>
      <w:lvlText w:val="%1.%2.%3.%4.%5.%6."/>
      <w:lvlJc w:val="left"/>
      <w:pPr>
        <w:ind w:left="0" w:firstLine="0"/>
      </w:pPr>
      <w:rPr>
        <w:rFonts w:hint="eastAsia" w:ascii="宋体" w:hAnsi="宋体" w:eastAsia="黑体"/>
        <w:b w:val="0"/>
        <w:i w:val="0"/>
        <w:sz w:val="28"/>
      </w:rPr>
    </w:lvl>
    <w:lvl w:ilvl="6" w:tentative="0">
      <w:start w:val="1"/>
      <w:numFmt w:val="decimal"/>
      <w:isLgl/>
      <w:suff w:val="space"/>
      <w:lvlText w:val="%1.%2.%3.%4.%5.%6.%7."/>
      <w:lvlJc w:val="left"/>
      <w:pPr>
        <w:ind w:left="0" w:firstLine="0"/>
      </w:pPr>
      <w:rPr>
        <w:rFonts w:hint="eastAsia" w:ascii="宋体" w:hAnsi="宋体" w:eastAsia="黑体"/>
        <w:b w:val="0"/>
        <w:i w:val="0"/>
        <w:sz w:val="28"/>
      </w:rPr>
    </w:lvl>
    <w:lvl w:ilvl="7" w:tentative="0">
      <w:start w:val="1"/>
      <w:numFmt w:val="decimal"/>
      <w:isLgl/>
      <w:suff w:val="nothing"/>
      <w:lvlText w:val="%1.%2.%3.%4.%5.%6.%7.%8."/>
      <w:lvlJc w:val="left"/>
      <w:pPr>
        <w:ind w:left="2552" w:firstLine="0"/>
      </w:pPr>
      <w:rPr>
        <w:rFonts w:hint="eastAsia" w:ascii="宋体" w:hAnsi="宋体" w:eastAsia="黑体"/>
        <w:b w:val="0"/>
        <w:i w:val="0"/>
        <w:sz w:val="24"/>
      </w:rPr>
    </w:lvl>
    <w:lvl w:ilvl="8" w:tentative="0">
      <w:start w:val="1"/>
      <w:numFmt w:val="decimal"/>
      <w:isLgl/>
      <w:lvlText w:val="%1.%2.%3.%4.%5.%6.%7.%8.%9."/>
      <w:lvlJc w:val="left"/>
      <w:pPr>
        <w:ind w:left="0" w:firstLine="0"/>
      </w:pPr>
      <w:rPr>
        <w:rFonts w:hint="eastAsia"/>
      </w:rPr>
    </w:lvl>
  </w:abstractNum>
  <w:abstractNum w:abstractNumId="5">
    <w:nsid w:val="42DBCE77"/>
    <w:multiLevelType w:val="singleLevel"/>
    <w:tmpl w:val="42DBCE77"/>
    <w:lvl w:ilvl="0" w:tentative="0">
      <w:start w:val="1"/>
      <w:numFmt w:val="chineseCounting"/>
      <w:suff w:val="nothing"/>
      <w:lvlText w:val="%1、"/>
      <w:lvlJc w:val="left"/>
      <w:pPr>
        <w:ind w:left="0" w:firstLine="420"/>
      </w:pPr>
      <w:rPr>
        <w:rFonts w:hint="eastAsia"/>
      </w:rPr>
    </w:lvl>
  </w:abstractNum>
  <w:abstractNum w:abstractNumId="6">
    <w:nsid w:val="44C0D9F0"/>
    <w:multiLevelType w:val="singleLevel"/>
    <w:tmpl w:val="44C0D9F0"/>
    <w:lvl w:ilvl="0" w:tentative="0">
      <w:start w:val="1"/>
      <w:numFmt w:val="decimal"/>
      <w:suff w:val="space"/>
      <w:lvlText w:val="(%1)"/>
      <w:lvlJc w:val="left"/>
    </w:lvl>
  </w:abstractNum>
  <w:abstractNum w:abstractNumId="7">
    <w:nsid w:val="481B6FC2"/>
    <w:multiLevelType w:val="singleLevel"/>
    <w:tmpl w:val="481B6FC2"/>
    <w:lvl w:ilvl="0" w:tentative="0">
      <w:start w:val="1"/>
      <w:numFmt w:val="decimal"/>
      <w:suff w:val="space"/>
      <w:lvlText w:val="(%1)"/>
      <w:lvlJc w:val="left"/>
    </w:lvl>
  </w:abstractNum>
  <w:abstractNum w:abstractNumId="8">
    <w:nsid w:val="4A7D5900"/>
    <w:multiLevelType w:val="multilevel"/>
    <w:tmpl w:val="4A7D5900"/>
    <w:lvl w:ilvl="0" w:tentative="0">
      <w:start w:val="1"/>
      <w:numFmt w:val="chineseCountingThousand"/>
      <w:suff w:val="nothing"/>
      <w:lvlText w:val="第%1章 "/>
      <w:lvlJc w:val="left"/>
      <w:pPr>
        <w:ind w:left="0" w:firstLine="0"/>
      </w:pPr>
      <w:rPr>
        <w:rFonts w:hint="eastAsia"/>
        <w:lang w:val="en-US"/>
      </w:rPr>
    </w:lvl>
    <w:lvl w:ilvl="1" w:tentative="0">
      <w:start w:val="1"/>
      <w:numFmt w:val="decimal"/>
      <w:pStyle w:val="4"/>
      <w:isLgl/>
      <w:suff w:val="nothing"/>
      <w:lvlText w:val="%1.%2 "/>
      <w:lvlJc w:val="left"/>
      <w:pPr>
        <w:ind w:left="0" w:firstLine="113"/>
      </w:pPr>
      <w:rPr>
        <w:rFonts w:hint="eastAsia"/>
      </w:rPr>
    </w:lvl>
    <w:lvl w:ilvl="2" w:tentative="0">
      <w:start w:val="1"/>
      <w:numFmt w:val="decimal"/>
      <w:isLgl/>
      <w:suff w:val="nothing"/>
      <w:lvlText w:val="%1.%2.%3"/>
      <w:lvlJc w:val="left"/>
      <w:pPr>
        <w:ind w:left="0" w:firstLine="227"/>
      </w:pPr>
      <w:rPr>
        <w:rFonts w:hint="eastAsia"/>
      </w:rPr>
    </w:lvl>
    <w:lvl w:ilvl="3" w:tentative="0">
      <w:start w:val="1"/>
      <w:numFmt w:val="decimal"/>
      <w:isLgl/>
      <w:suff w:val="nothing"/>
      <w:lvlText w:val="%1.%2.%3.%4"/>
      <w:lvlJc w:val="left"/>
      <w:pPr>
        <w:ind w:left="0" w:firstLine="340"/>
      </w:pPr>
      <w:rPr>
        <w:rFonts w:hint="eastAsia"/>
      </w:rPr>
    </w:lvl>
    <w:lvl w:ilvl="4" w:tentative="0">
      <w:start w:val="1"/>
      <w:numFmt w:val="decimal"/>
      <w:isLgl/>
      <w:suff w:val="nothing"/>
      <w:lvlText w:val="%1.%2.%3.%4.%5"/>
      <w:lvlJc w:val="left"/>
      <w:pPr>
        <w:ind w:left="0" w:firstLine="454"/>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8"/>
  </w:num>
  <w:num w:numId="2">
    <w:abstractNumId w:val="4"/>
  </w:num>
  <w:num w:numId="3">
    <w:abstractNumId w:val="5"/>
  </w:num>
  <w:num w:numId="4">
    <w:abstractNumId w:val="3"/>
  </w:num>
  <w:num w:numId="5">
    <w:abstractNumId w:val="0"/>
  </w:num>
  <w:num w:numId="6">
    <w:abstractNumId w:val="1"/>
  </w:num>
  <w:num w:numId="7">
    <w:abstractNumId w:val="2"/>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doNotDisplayPageBoundaries w:val="1"/>
  <w:embedSystemFonts/>
  <w:bordersDoNotSurroundHeader w:val="1"/>
  <w:bordersDoNotSurroundFooter w:val="1"/>
  <w:documentProtection w:enforcement="0"/>
  <w:defaultTabStop w:val="420"/>
  <w:drawingGridHorizontalSpacing w:val="206"/>
  <w:drawingGridVerticalSpacing w:val="16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0YmExMWUyNzEzMDZmMzVlMmNlMGQ2OTg1N2MxMTkifQ=="/>
  </w:docVars>
  <w:rsids>
    <w:rsidRoot w:val="6F420807"/>
    <w:rsid w:val="00161248"/>
    <w:rsid w:val="001B0670"/>
    <w:rsid w:val="001C3A82"/>
    <w:rsid w:val="005817DA"/>
    <w:rsid w:val="00656F32"/>
    <w:rsid w:val="007A7046"/>
    <w:rsid w:val="00954111"/>
    <w:rsid w:val="00AF4904"/>
    <w:rsid w:val="00BD2CE9"/>
    <w:rsid w:val="00CE4770"/>
    <w:rsid w:val="00D0554A"/>
    <w:rsid w:val="00DB1C8E"/>
    <w:rsid w:val="00E24949"/>
    <w:rsid w:val="00ED6315"/>
    <w:rsid w:val="01BF6269"/>
    <w:rsid w:val="02B04372"/>
    <w:rsid w:val="03C10EEF"/>
    <w:rsid w:val="05E034CA"/>
    <w:rsid w:val="06916770"/>
    <w:rsid w:val="06E27ADA"/>
    <w:rsid w:val="077D580C"/>
    <w:rsid w:val="099B162A"/>
    <w:rsid w:val="0A6C734B"/>
    <w:rsid w:val="0B460893"/>
    <w:rsid w:val="120E0B43"/>
    <w:rsid w:val="12444E44"/>
    <w:rsid w:val="13483236"/>
    <w:rsid w:val="144C15EE"/>
    <w:rsid w:val="155B0F75"/>
    <w:rsid w:val="166C3E5C"/>
    <w:rsid w:val="17815D6D"/>
    <w:rsid w:val="1ADF70D4"/>
    <w:rsid w:val="21217D8A"/>
    <w:rsid w:val="22C12FEE"/>
    <w:rsid w:val="2386555D"/>
    <w:rsid w:val="24766D99"/>
    <w:rsid w:val="24BA1E4A"/>
    <w:rsid w:val="252A68FA"/>
    <w:rsid w:val="259E6E0E"/>
    <w:rsid w:val="26F2099A"/>
    <w:rsid w:val="27A379CF"/>
    <w:rsid w:val="27E162AD"/>
    <w:rsid w:val="286C7200"/>
    <w:rsid w:val="2A5266D7"/>
    <w:rsid w:val="2A631000"/>
    <w:rsid w:val="2A846F23"/>
    <w:rsid w:val="2CA9187D"/>
    <w:rsid w:val="30ED7159"/>
    <w:rsid w:val="319F2E32"/>
    <w:rsid w:val="344B25B7"/>
    <w:rsid w:val="34581575"/>
    <w:rsid w:val="36BD07A5"/>
    <w:rsid w:val="379B6E38"/>
    <w:rsid w:val="3B0D5064"/>
    <w:rsid w:val="3B160EA6"/>
    <w:rsid w:val="408C7964"/>
    <w:rsid w:val="4204145F"/>
    <w:rsid w:val="43304CED"/>
    <w:rsid w:val="43FE055A"/>
    <w:rsid w:val="4540092C"/>
    <w:rsid w:val="48CC27C0"/>
    <w:rsid w:val="493C0836"/>
    <w:rsid w:val="4BE05315"/>
    <w:rsid w:val="4C5C43D5"/>
    <w:rsid w:val="4CC346EB"/>
    <w:rsid w:val="4CD773D3"/>
    <w:rsid w:val="4D714079"/>
    <w:rsid w:val="4D9F1383"/>
    <w:rsid w:val="4DBA58AE"/>
    <w:rsid w:val="4DC81F78"/>
    <w:rsid w:val="4E3F1C21"/>
    <w:rsid w:val="4F7244C4"/>
    <w:rsid w:val="500D175F"/>
    <w:rsid w:val="50FB5439"/>
    <w:rsid w:val="54800227"/>
    <w:rsid w:val="554923E8"/>
    <w:rsid w:val="56E30533"/>
    <w:rsid w:val="5F9D2B92"/>
    <w:rsid w:val="60A60CCB"/>
    <w:rsid w:val="63143EF4"/>
    <w:rsid w:val="65096658"/>
    <w:rsid w:val="65316E3C"/>
    <w:rsid w:val="65330D56"/>
    <w:rsid w:val="6AED5C1F"/>
    <w:rsid w:val="6C877E55"/>
    <w:rsid w:val="6E0F3173"/>
    <w:rsid w:val="6F420807"/>
    <w:rsid w:val="70714B0F"/>
    <w:rsid w:val="75084EF7"/>
    <w:rsid w:val="774A673A"/>
    <w:rsid w:val="781909EF"/>
    <w:rsid w:val="7B4F61AD"/>
    <w:rsid w:val="7D0211AE"/>
    <w:rsid w:val="7D8C4B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3">
    <w:name w:val="heading 1"/>
    <w:basedOn w:val="1"/>
    <w:next w:val="1"/>
    <w:autoRedefine/>
    <w:qFormat/>
    <w:uiPriority w:val="9"/>
    <w:pPr>
      <w:keepNext/>
      <w:keepLines/>
      <w:spacing w:before="340" w:after="330" w:line="360" w:lineRule="auto"/>
      <w:outlineLvl w:val="0"/>
    </w:pPr>
    <w:rPr>
      <w:b/>
      <w:bCs/>
      <w:kern w:val="44"/>
      <w:sz w:val="32"/>
      <w:szCs w:val="44"/>
    </w:rPr>
  </w:style>
  <w:style w:type="paragraph" w:styleId="4">
    <w:name w:val="heading 2"/>
    <w:basedOn w:val="1"/>
    <w:next w:val="5"/>
    <w:autoRedefine/>
    <w:qFormat/>
    <w:uiPriority w:val="0"/>
    <w:pPr>
      <w:widowControl/>
      <w:numPr>
        <w:ilvl w:val="1"/>
        <w:numId w:val="1"/>
      </w:numPr>
      <w:tabs>
        <w:tab w:val="left" w:pos="8286"/>
      </w:tabs>
      <w:spacing w:line="600" w:lineRule="exact"/>
      <w:ind w:firstLine="0"/>
      <w:outlineLvl w:val="1"/>
    </w:pPr>
    <w:rPr>
      <w:rFonts w:ascii="黑体" w:hAnsi="宋体" w:eastAsia="黑体" w:cs="宋体"/>
      <w:b/>
      <w:color w:val="000000"/>
      <w:spacing w:val="15"/>
      <w:sz w:val="30"/>
    </w:rPr>
  </w:style>
  <w:style w:type="paragraph" w:styleId="5">
    <w:name w:val="heading 3"/>
    <w:basedOn w:val="4"/>
    <w:next w:val="1"/>
    <w:unhideWhenUsed/>
    <w:qFormat/>
    <w:uiPriority w:val="9"/>
    <w:pPr>
      <w:keepNext/>
      <w:keepLines/>
      <w:spacing w:before="260" w:after="260" w:line="416" w:lineRule="auto"/>
      <w:outlineLvl w:val="2"/>
    </w:pPr>
    <w:rPr>
      <w:sz w:val="32"/>
      <w:szCs w:val="32"/>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文档正文"/>
    <w:basedOn w:val="1"/>
    <w:autoRedefine/>
    <w:qFormat/>
    <w:uiPriority w:val="0"/>
    <w:pPr>
      <w:spacing w:line="360" w:lineRule="auto"/>
      <w:jc w:val="both"/>
    </w:pPr>
    <w:rPr>
      <w:rFonts w:ascii="Calibri" w:hAnsi="宋体"/>
      <w:bCs/>
      <w:kern w:val="2"/>
      <w:sz w:val="21"/>
      <w:szCs w:val="21"/>
    </w:rPr>
  </w:style>
  <w:style w:type="paragraph" w:styleId="6">
    <w:name w:val="annotation text"/>
    <w:basedOn w:val="1"/>
    <w:link w:val="31"/>
    <w:autoRedefine/>
    <w:unhideWhenUsed/>
    <w:qFormat/>
    <w:uiPriority w:val="99"/>
  </w:style>
  <w:style w:type="paragraph" w:styleId="7">
    <w:name w:val="Body Text"/>
    <w:basedOn w:val="1"/>
    <w:autoRedefine/>
    <w:qFormat/>
    <w:uiPriority w:val="0"/>
    <w:pPr>
      <w:spacing w:after="120"/>
    </w:pPr>
    <w:rPr>
      <w:rFonts w:ascii="Times New Roman"/>
    </w:rPr>
  </w:style>
  <w:style w:type="paragraph" w:styleId="8">
    <w:name w:val="Plain Text"/>
    <w:basedOn w:val="1"/>
    <w:autoRedefine/>
    <w:qFormat/>
    <w:uiPriority w:val="0"/>
    <w:pPr>
      <w:autoSpaceDE/>
      <w:autoSpaceDN/>
      <w:adjustRightInd/>
      <w:jc w:val="both"/>
    </w:pPr>
    <w:rPr>
      <w:rFonts w:hAnsi="Courier New"/>
      <w:kern w:val="2"/>
      <w:sz w:val="21"/>
      <w:szCs w:val="20"/>
    </w:rPr>
  </w:style>
  <w:style w:type="paragraph" w:styleId="9">
    <w:name w:val="Balloon Text"/>
    <w:basedOn w:val="1"/>
    <w:link w:val="33"/>
    <w:autoRedefine/>
    <w:qFormat/>
    <w:uiPriority w:val="0"/>
    <w:rPr>
      <w:sz w:val="18"/>
      <w:szCs w:val="18"/>
    </w:rPr>
  </w:style>
  <w:style w:type="paragraph" w:styleId="10">
    <w:name w:val="footer"/>
    <w:basedOn w:val="1"/>
    <w:autoRedefine/>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2">
    <w:name w:val="toc 1"/>
    <w:basedOn w:val="1"/>
    <w:next w:val="1"/>
    <w:autoRedefine/>
    <w:unhideWhenUsed/>
    <w:qFormat/>
    <w:uiPriority w:val="39"/>
    <w:pPr>
      <w:tabs>
        <w:tab w:val="right" w:leader="dot" w:pos="8296"/>
      </w:tabs>
      <w:spacing w:line="360" w:lineRule="auto"/>
    </w:pPr>
  </w:style>
  <w:style w:type="paragraph" w:styleId="13">
    <w:name w:val="Normal (Web)"/>
    <w:basedOn w:val="1"/>
    <w:qFormat/>
    <w:uiPriority w:val="0"/>
    <w:pPr>
      <w:spacing w:beforeAutospacing="1" w:afterAutospacing="1"/>
    </w:pPr>
  </w:style>
  <w:style w:type="paragraph" w:styleId="14">
    <w:name w:val="annotation subject"/>
    <w:basedOn w:val="6"/>
    <w:next w:val="6"/>
    <w:link w:val="32"/>
    <w:autoRedefine/>
    <w:qFormat/>
    <w:uiPriority w:val="0"/>
    <w:rPr>
      <w:b/>
      <w:bCs/>
    </w:rPr>
  </w:style>
  <w:style w:type="table" w:styleId="16">
    <w:name w:val="Table Grid"/>
    <w:basedOn w:val="15"/>
    <w:autoRedefine/>
    <w:qFormat/>
    <w:uiPriority w:val="0"/>
    <w:pPr>
      <w:widowControl w:val="0"/>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Hyperlink"/>
    <w:basedOn w:val="17"/>
    <w:autoRedefine/>
    <w:unhideWhenUsed/>
    <w:qFormat/>
    <w:uiPriority w:val="99"/>
    <w:rPr>
      <w:color w:val="0563C1" w:themeColor="hyperlink"/>
      <w:u w:val="single"/>
      <w14:textFill>
        <w14:solidFill>
          <w14:schemeClr w14:val="hlink"/>
        </w14:solidFill>
      </w14:textFill>
    </w:rPr>
  </w:style>
  <w:style w:type="character" w:styleId="20">
    <w:name w:val="annotation reference"/>
    <w:basedOn w:val="17"/>
    <w:autoRedefine/>
    <w:qFormat/>
    <w:uiPriority w:val="0"/>
    <w:rPr>
      <w:sz w:val="21"/>
      <w:szCs w:val="21"/>
    </w:rPr>
  </w:style>
  <w:style w:type="paragraph" w:customStyle="1" w:styleId="21">
    <w:name w:val="TOC 标题1"/>
    <w:basedOn w:val="3"/>
    <w:next w:val="1"/>
    <w:autoRedefine/>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E75B6" w:themeColor="accent1" w:themeShade="BF"/>
      <w:kern w:val="0"/>
      <w:szCs w:val="32"/>
    </w:rPr>
  </w:style>
  <w:style w:type="paragraph" w:customStyle="1" w:styleId="22">
    <w:name w:val="CM标题2"/>
    <w:basedOn w:val="4"/>
    <w:next w:val="23"/>
    <w:autoRedefine/>
    <w:qFormat/>
    <w:uiPriority w:val="0"/>
    <w:pPr>
      <w:numPr>
        <w:numId w:val="2"/>
      </w:numPr>
      <w:spacing w:before="50" w:beforeLines="50" w:after="50" w:afterLines="50" w:line="240" w:lineRule="auto"/>
    </w:pPr>
    <w:rPr>
      <w:rFonts w:ascii="Calibri" w:hAnsi="Calibri"/>
      <w:sz w:val="22"/>
      <w:szCs w:val="26"/>
    </w:rPr>
  </w:style>
  <w:style w:type="paragraph" w:customStyle="1" w:styleId="23">
    <w:name w:val="CM正文不缩进"/>
    <w:basedOn w:val="1"/>
    <w:autoRedefine/>
    <w:qFormat/>
    <w:uiPriority w:val="0"/>
    <w:pPr>
      <w:snapToGrid w:val="0"/>
      <w:spacing w:line="480" w:lineRule="exact"/>
    </w:pPr>
    <w:rPr>
      <w:rFonts w:ascii="Calibri" w:hAnsi="Calibri"/>
      <w:b/>
      <w:snapToGrid w:val="0"/>
      <w:szCs w:val="21"/>
    </w:rPr>
  </w:style>
  <w:style w:type="paragraph" w:customStyle="1" w:styleId="24">
    <w:name w:val="CM正文缩进"/>
    <w:basedOn w:val="1"/>
    <w:autoRedefine/>
    <w:qFormat/>
    <w:uiPriority w:val="0"/>
    <w:pPr>
      <w:spacing w:before="50" w:beforeLines="50" w:after="50" w:afterLines="50" w:line="480" w:lineRule="exact"/>
      <w:ind w:firstLine="200" w:firstLineChars="200"/>
    </w:pPr>
    <w:rPr>
      <w:rFonts w:ascii="Calibri" w:hAnsi="Calibri"/>
      <w:sz w:val="22"/>
      <w:szCs w:val="22"/>
    </w:rPr>
  </w:style>
  <w:style w:type="character" w:customStyle="1" w:styleId="25">
    <w:name w:val="font11"/>
    <w:basedOn w:val="17"/>
    <w:autoRedefine/>
    <w:qFormat/>
    <w:uiPriority w:val="0"/>
    <w:rPr>
      <w:rFonts w:hint="default" w:ascii="Times New Roman" w:hAnsi="Times New Roman" w:cs="Times New Roman"/>
      <w:b/>
      <w:bCs/>
      <w:color w:val="000000"/>
      <w:sz w:val="24"/>
      <w:szCs w:val="24"/>
      <w:u w:val="none"/>
    </w:rPr>
  </w:style>
  <w:style w:type="character" w:customStyle="1" w:styleId="26">
    <w:name w:val="font21"/>
    <w:basedOn w:val="17"/>
    <w:autoRedefine/>
    <w:qFormat/>
    <w:uiPriority w:val="0"/>
    <w:rPr>
      <w:rFonts w:hint="eastAsia" w:ascii="仿宋_GB2312" w:eastAsia="仿宋_GB2312" w:cs="仿宋_GB2312"/>
      <w:b/>
      <w:bCs/>
      <w:color w:val="000000"/>
      <w:sz w:val="24"/>
      <w:szCs w:val="24"/>
      <w:u w:val="none"/>
    </w:rPr>
  </w:style>
  <w:style w:type="character" w:customStyle="1" w:styleId="27">
    <w:name w:val="font31"/>
    <w:basedOn w:val="17"/>
    <w:autoRedefine/>
    <w:qFormat/>
    <w:uiPriority w:val="0"/>
    <w:rPr>
      <w:rFonts w:hint="default" w:ascii="Times New Roman" w:hAnsi="Times New Roman" w:cs="Times New Roman"/>
      <w:color w:val="000000"/>
      <w:sz w:val="24"/>
      <w:szCs w:val="24"/>
      <w:u w:val="none"/>
    </w:rPr>
  </w:style>
  <w:style w:type="character" w:customStyle="1" w:styleId="28">
    <w:name w:val="font41"/>
    <w:basedOn w:val="17"/>
    <w:autoRedefine/>
    <w:qFormat/>
    <w:uiPriority w:val="0"/>
    <w:rPr>
      <w:rFonts w:hint="eastAsia" w:ascii="仿宋_GB2312" w:eastAsia="仿宋_GB2312" w:cs="仿宋_GB2312"/>
      <w:color w:val="000000"/>
      <w:sz w:val="24"/>
      <w:szCs w:val="24"/>
      <w:u w:val="none"/>
    </w:rPr>
  </w:style>
  <w:style w:type="character" w:customStyle="1" w:styleId="29">
    <w:name w:val="font51"/>
    <w:basedOn w:val="17"/>
    <w:autoRedefine/>
    <w:qFormat/>
    <w:uiPriority w:val="0"/>
    <w:rPr>
      <w:rFonts w:hint="eastAsia" w:ascii="宋体" w:hAnsi="宋体" w:eastAsia="宋体" w:cs="宋体"/>
      <w:color w:val="000000"/>
      <w:sz w:val="24"/>
      <w:szCs w:val="24"/>
      <w:u w:val="none"/>
    </w:rPr>
  </w:style>
  <w:style w:type="paragraph" w:customStyle="1" w:styleId="30">
    <w:name w:val="正文文本缩进 21"/>
    <w:basedOn w:val="1"/>
    <w:autoRedefine/>
    <w:qFormat/>
    <w:uiPriority w:val="0"/>
    <w:pPr>
      <w:spacing w:line="480" w:lineRule="auto"/>
      <w:ind w:firstLine="540"/>
      <w:textAlignment w:val="baseline"/>
    </w:pPr>
    <w:rPr>
      <w:rFonts w:ascii="Calibri" w:hAnsi="Calibri"/>
      <w:sz w:val="21"/>
      <w:szCs w:val="21"/>
    </w:rPr>
  </w:style>
  <w:style w:type="character" w:customStyle="1" w:styleId="31">
    <w:name w:val="批注文字 字符"/>
    <w:basedOn w:val="17"/>
    <w:link w:val="6"/>
    <w:autoRedefine/>
    <w:qFormat/>
    <w:uiPriority w:val="99"/>
    <w:rPr>
      <w:rFonts w:ascii="宋体"/>
      <w:sz w:val="24"/>
      <w:szCs w:val="24"/>
    </w:rPr>
  </w:style>
  <w:style w:type="character" w:customStyle="1" w:styleId="32">
    <w:name w:val="批注主题 字符"/>
    <w:basedOn w:val="31"/>
    <w:link w:val="14"/>
    <w:autoRedefine/>
    <w:qFormat/>
    <w:uiPriority w:val="0"/>
    <w:rPr>
      <w:rFonts w:ascii="宋体"/>
      <w:b/>
      <w:bCs/>
      <w:sz w:val="24"/>
      <w:szCs w:val="24"/>
    </w:rPr>
  </w:style>
  <w:style w:type="character" w:customStyle="1" w:styleId="33">
    <w:name w:val="批注框文本 字符"/>
    <w:basedOn w:val="17"/>
    <w:link w:val="9"/>
    <w:autoRedefine/>
    <w:qFormat/>
    <w:uiPriority w:val="0"/>
    <w:rPr>
      <w:rFonts w:ascii="宋体"/>
      <w:sz w:val="18"/>
      <w:szCs w:val="18"/>
    </w:rPr>
  </w:style>
  <w:style w:type="table" w:customStyle="1" w:styleId="34">
    <w:name w:val="Table Normal"/>
    <w:semiHidden/>
    <w:unhideWhenUsed/>
    <w:qFormat/>
    <w:uiPriority w:val="0"/>
    <w:tblPr>
      <w:tblCellMar>
        <w:top w:w="0" w:type="dxa"/>
        <w:left w:w="0" w:type="dxa"/>
        <w:bottom w:w="0" w:type="dxa"/>
        <w:right w:w="0" w:type="dxa"/>
      </w:tblCellMar>
    </w:tblPr>
  </w:style>
  <w:style w:type="paragraph" w:customStyle="1" w:styleId="35">
    <w:name w:val="Table Text"/>
    <w:basedOn w:val="1"/>
    <w:semiHidden/>
    <w:qFormat/>
    <w:uiPriority w:val="0"/>
    <w:rPr>
      <w:rFonts w:ascii="Arial" w:hAnsi="Arial" w:eastAsia="Arial" w:cs="Arial"/>
      <w:sz w:val="21"/>
      <w:szCs w:val="21"/>
      <w:lang w:eastAsia="en-US"/>
    </w:rPr>
  </w:style>
  <w:style w:type="paragraph" w:customStyle="1" w:styleId="36">
    <w:name w:val="列出段落1"/>
    <w:basedOn w:val="1"/>
    <w:autoRedefine/>
    <w:qFormat/>
    <w:uiPriority w:val="99"/>
    <w:pPr>
      <w:ind w:firstLine="420" w:firstLineChars="200"/>
    </w:pPr>
    <w:rPr>
      <w:szCs w:val="20"/>
    </w:rPr>
  </w:style>
  <w:style w:type="paragraph" w:customStyle="1" w:styleId="37">
    <w:name w:val="彩色列表 - 强调文字颜色 1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38</Pages>
  <Words>18976</Words>
  <Characters>19547</Characters>
  <Lines>152</Lines>
  <Paragraphs>42</Paragraphs>
  <TotalTime>374</TotalTime>
  <ScaleCrop>false</ScaleCrop>
  <LinksUpToDate>false</LinksUpToDate>
  <CharactersWithSpaces>20388</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2020-06-16T02:32:00Z</dcterms:created>
  <dc:creator>LKC</dc:creator>
  <cp:lastModifiedBy>程骥维</cp:lastModifiedBy>
  <dcterms:modified xsi:type="dcterms:W3CDTF">2024-11-15T03:25:30Z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D988B75754F7435EA31FAF9174F13304_13</vt:lpwstr>
  </property>
</Properties>
</file>