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D50A8">
      <w:pPr>
        <w:widowControl w:val="0"/>
        <w:wordWrap/>
        <w:autoSpaceDE w:val="0"/>
        <w:autoSpaceDN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52"/>
          <w:szCs w:val="52"/>
          <w:highlight w:val="none"/>
          <w:lang w:val="zh-CN"/>
        </w:rPr>
      </w:pPr>
    </w:p>
    <w:p w14:paraId="0F28B1F6">
      <w:pPr>
        <w:widowControl w:val="0"/>
        <w:wordWrap/>
        <w:autoSpaceDE w:val="0"/>
        <w:autoSpaceDN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60"/>
          <w:szCs w:val="60"/>
          <w:highlight w:val="none"/>
          <w:lang w:val="zh-CN"/>
        </w:rPr>
      </w:pPr>
      <w:bookmarkStart w:id="0" w:name="_Toc31042"/>
      <w:r>
        <w:rPr>
          <w:rFonts w:hint="eastAsia" w:ascii="宋体" w:hAnsi="宋体" w:eastAsia="宋体" w:cs="宋体"/>
          <w:b/>
          <w:bCs/>
          <w:color w:val="auto"/>
          <w:kern w:val="0"/>
          <w:sz w:val="60"/>
          <w:szCs w:val="60"/>
          <w:highlight w:val="none"/>
          <w:lang w:val="zh-CN"/>
        </w:rPr>
        <w:t>东莞市众源环境投资有限公司2025年-2027年污泥运输服务供应商采购项目</w:t>
      </w:r>
      <w:bookmarkEnd w:id="0"/>
    </w:p>
    <w:p w14:paraId="394C12E8">
      <w:pPr>
        <w:widowControl w:val="0"/>
        <w:wordWrap/>
        <w:autoSpaceDE w:val="0"/>
        <w:autoSpaceDN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44"/>
          <w:szCs w:val="44"/>
          <w:highlight w:val="none"/>
          <w:lang w:val="zh-CN"/>
        </w:rPr>
      </w:pPr>
    </w:p>
    <w:p w14:paraId="2DEE11AF">
      <w:pPr>
        <w:widowControl w:val="0"/>
        <w:wordWrap/>
        <w:autoSpaceDE w:val="0"/>
        <w:autoSpaceDN w:val="0"/>
        <w:adjustRightInd w:val="0"/>
        <w:snapToGrid/>
        <w:ind w:right="-23" w:rightChars="-11"/>
        <w:jc w:val="left"/>
        <w:textAlignment w:val="auto"/>
        <w:outlineLvl w:val="9"/>
        <w:rPr>
          <w:rFonts w:ascii="宋体" w:hAnsi="宋体" w:eastAsia="宋体" w:cs="宋体"/>
          <w:b/>
          <w:bCs/>
          <w:color w:val="auto"/>
          <w:sz w:val="44"/>
          <w:szCs w:val="44"/>
          <w:highlight w:val="none"/>
          <w:lang w:val="zh-CN"/>
        </w:rPr>
      </w:pPr>
    </w:p>
    <w:p w14:paraId="08CD16A2">
      <w:pPr>
        <w:widowControl w:val="0"/>
        <w:wordWrap/>
        <w:autoSpaceDE w:val="0"/>
        <w:autoSpaceDN w:val="0"/>
        <w:adjustRightInd w:val="0"/>
        <w:snapToGrid/>
        <w:ind w:right="-23" w:rightChars="-11"/>
        <w:jc w:val="center"/>
        <w:textAlignment w:val="auto"/>
        <w:outlineLvl w:val="9"/>
        <w:rPr>
          <w:rFonts w:ascii="宋体" w:hAnsi="宋体" w:eastAsia="宋体" w:cs="Times New Roman"/>
          <w:b/>
          <w:bCs/>
          <w:color w:val="auto"/>
          <w:sz w:val="72"/>
          <w:szCs w:val="72"/>
          <w:highlight w:val="none"/>
          <w:lang w:val="zh-CN"/>
        </w:rPr>
      </w:pPr>
    </w:p>
    <w:p w14:paraId="61F2267D">
      <w:pPr>
        <w:widowControl w:val="0"/>
        <w:wordWrap/>
        <w:autoSpaceDE w:val="0"/>
        <w:autoSpaceDN w:val="0"/>
        <w:adjustRightInd w:val="0"/>
        <w:snapToGrid/>
        <w:ind w:right="-23" w:rightChars="-11"/>
        <w:jc w:val="center"/>
        <w:textAlignment w:val="auto"/>
        <w:outlineLvl w:val="9"/>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1E3AEED9">
      <w:pPr>
        <w:widowControl w:val="0"/>
        <w:wordWrap/>
        <w:autoSpaceDE w:val="0"/>
        <w:autoSpaceDN w:val="0"/>
        <w:adjustRightInd w:val="0"/>
        <w:snapToGrid/>
        <w:ind w:right="-23" w:rightChars="-11"/>
        <w:jc w:val="center"/>
        <w:textAlignment w:val="auto"/>
        <w:outlineLvl w:val="9"/>
        <w:rPr>
          <w:rFonts w:ascii="宋体" w:hAnsi="宋体" w:eastAsia="宋体" w:cs="宋体"/>
          <w:b/>
          <w:bCs/>
          <w:color w:val="auto"/>
          <w:sz w:val="32"/>
          <w:szCs w:val="32"/>
          <w:highlight w:val="none"/>
          <w:lang w:val="zh-CN"/>
        </w:rPr>
      </w:pPr>
    </w:p>
    <w:p w14:paraId="19570B17">
      <w:pPr>
        <w:widowControl w:val="0"/>
        <w:wordWrap/>
        <w:autoSpaceDE w:val="0"/>
        <w:autoSpaceDN w:val="0"/>
        <w:adjustRightInd w:val="0"/>
        <w:snapToGrid/>
        <w:ind w:right="-23" w:rightChars="-11"/>
        <w:jc w:val="left"/>
        <w:textAlignment w:val="auto"/>
        <w:outlineLvl w:val="9"/>
        <w:rPr>
          <w:rFonts w:ascii="宋体" w:hAnsi="宋体" w:eastAsia="宋体" w:cs="宋体"/>
          <w:b/>
          <w:bCs/>
          <w:color w:val="auto"/>
          <w:sz w:val="32"/>
          <w:szCs w:val="32"/>
          <w:highlight w:val="none"/>
          <w:u w:val="single"/>
          <w:lang w:val="zh-CN"/>
        </w:rPr>
      </w:pPr>
    </w:p>
    <w:p w14:paraId="7E2AA09A">
      <w:pPr>
        <w:widowControl w:val="0"/>
        <w:tabs>
          <w:tab w:val="left" w:pos="9240"/>
        </w:tabs>
        <w:wordWrap/>
        <w:autoSpaceDE w:val="0"/>
        <w:autoSpaceDN w:val="0"/>
        <w:adjustRightInd w:val="0"/>
        <w:snapToGrid/>
        <w:spacing w:line="700" w:lineRule="exact"/>
        <w:ind w:right="-23" w:rightChars="-11"/>
        <w:jc w:val="left"/>
        <w:textAlignment w:val="auto"/>
        <w:outlineLvl w:val="9"/>
        <w:rPr>
          <w:rFonts w:ascii="宋体" w:hAnsi="宋体" w:eastAsia="宋体" w:cs="宋体"/>
          <w:b/>
          <w:bCs/>
          <w:color w:val="auto"/>
          <w:sz w:val="32"/>
          <w:szCs w:val="32"/>
          <w:highlight w:val="none"/>
          <w:lang w:val="zh-CN"/>
        </w:rPr>
      </w:pPr>
    </w:p>
    <w:p w14:paraId="764ECE78">
      <w:pPr>
        <w:widowControl w:val="0"/>
        <w:wordWrap/>
        <w:autoSpaceDE w:val="0"/>
        <w:autoSpaceDN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bookmarkStart w:id="1" w:name="_Toc30412"/>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号：0832-SFCX24DG113C</w:t>
      </w:r>
      <w:bookmarkEnd w:id="1"/>
    </w:p>
    <w:p w14:paraId="0A37F30B">
      <w:pPr>
        <w:widowControl w:val="0"/>
        <w:wordWrap/>
        <w:autoSpaceDE w:val="0"/>
        <w:autoSpaceDN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bookmarkStart w:id="2" w:name="_Toc7817"/>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人：东莞市众源环境投资有限公司</w:t>
      </w:r>
      <w:bookmarkEnd w:id="2"/>
    </w:p>
    <w:p w14:paraId="2F467CFD">
      <w:pPr>
        <w:widowControl w:val="0"/>
        <w:wordWrap/>
        <w:autoSpaceDE w:val="0"/>
        <w:autoSpaceDN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bookmarkStart w:id="3" w:name="_Toc497"/>
      <w:r>
        <w:rPr>
          <w:rFonts w:hint="eastAsia" w:ascii="宋体" w:hAnsi="宋体" w:eastAsia="宋体" w:cs="Times New Roman"/>
          <w:b/>
          <w:bCs/>
          <w:color w:val="auto"/>
          <w:sz w:val="32"/>
          <w:szCs w:val="32"/>
          <w:highlight w:val="none"/>
          <w:lang w:val="zh-CN"/>
        </w:rPr>
        <w:t>招标代理机构：三方诚信招标有限公司</w:t>
      </w:r>
      <w:bookmarkEnd w:id="3"/>
    </w:p>
    <w:p w14:paraId="59724E53">
      <w:pPr>
        <w:widowControl w:val="0"/>
        <w:wordWrap/>
        <w:autoSpaceDE w:val="0"/>
        <w:autoSpaceDN w:val="0"/>
        <w:adjustRightInd w:val="0"/>
        <w:snapToGrid/>
        <w:ind w:right="-23" w:rightChars="-11"/>
        <w:jc w:val="left"/>
        <w:textAlignment w:val="auto"/>
        <w:outlineLvl w:val="9"/>
        <w:rPr>
          <w:rFonts w:ascii="宋体" w:hAnsi="宋体" w:eastAsia="宋体" w:cs="Times New Roman"/>
          <w:b/>
          <w:bCs/>
          <w:color w:val="auto"/>
          <w:kern w:val="0"/>
          <w:sz w:val="32"/>
          <w:szCs w:val="32"/>
          <w:highlight w:val="none"/>
          <w:lang w:val="zh-CN"/>
        </w:rPr>
      </w:pPr>
    </w:p>
    <w:p w14:paraId="553E39B2">
      <w:pPr>
        <w:widowControl w:val="0"/>
        <w:wordWrap/>
        <w:autoSpaceDE w:val="0"/>
        <w:autoSpaceDN w:val="0"/>
        <w:adjustRightInd w:val="0"/>
        <w:snapToGrid/>
        <w:ind w:right="-23" w:rightChars="-11"/>
        <w:jc w:val="center"/>
        <w:textAlignment w:val="auto"/>
        <w:outlineLvl w:val="9"/>
        <w:rPr>
          <w:rFonts w:ascii="宋体" w:hAnsi="宋体" w:eastAsia="宋体" w:cs="Times New Roman"/>
          <w:b/>
          <w:bCs/>
          <w:color w:val="auto"/>
          <w:kern w:val="0"/>
          <w:sz w:val="84"/>
          <w:szCs w:val="84"/>
          <w:highlight w:val="none"/>
          <w:lang w:val="zh-CN"/>
        </w:rPr>
      </w:pPr>
    </w:p>
    <w:p w14:paraId="1C73B6B4">
      <w:pPr>
        <w:widowControl w:val="0"/>
        <w:wordWrap/>
        <w:autoSpaceDE w:val="0"/>
        <w:autoSpaceDN w:val="0"/>
        <w:adjustRightInd w:val="0"/>
        <w:snapToGrid/>
        <w:spacing w:line="360" w:lineRule="auto"/>
        <w:ind w:left="357" w:leftChars="170" w:right="-23" w:rightChars="-11" w:firstLine="321" w:firstLineChars="100"/>
        <w:jc w:val="center"/>
        <w:textAlignment w:val="auto"/>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24</w:t>
      </w:r>
      <w:r>
        <w:rPr>
          <w:rFonts w:hint="eastAsia" w:ascii="宋体" w:hAnsi="宋体" w:eastAsia="宋体" w:cs="宋体"/>
          <w:b/>
          <w:bCs/>
          <w:color w:val="auto"/>
          <w:sz w:val="32"/>
          <w:szCs w:val="32"/>
          <w:highlight w:val="none"/>
          <w:lang w:val="zh-CN"/>
        </w:rPr>
        <w:t>日</w:t>
      </w:r>
    </w:p>
    <w:p w14:paraId="50B99ECC">
      <w:pPr>
        <w:rPr>
          <w:rFonts w:hint="eastAsia"/>
          <w:lang w:val="zh-CN"/>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3E805AD2">
      <w:pPr>
        <w:pStyle w:val="2"/>
        <w:rPr>
          <w:rFonts w:hint="eastAsia"/>
          <w:lang w:val="zh-CN"/>
        </w:rPr>
      </w:pPr>
    </w:p>
    <w:p w14:paraId="296A3D9F">
      <w:pPr>
        <w:wordWrap/>
        <w:adjustRightInd/>
        <w:snapToGrid/>
        <w:spacing w:line="360" w:lineRule="auto"/>
        <w:ind w:left="0" w:leftChars="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14:paraId="637C6CC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"1-1"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_Toc2830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第一篇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_Toc2830 \h </w:instrText>
      </w:r>
      <w:r>
        <w:rPr>
          <w:rFonts w:hint="eastAsia" w:ascii="宋体" w:hAnsi="宋体" w:eastAsia="宋体" w:cs="宋体"/>
          <w:sz w:val="22"/>
          <w:szCs w:val="22"/>
        </w:rPr>
        <w:fldChar w:fldCharType="separate"/>
      </w:r>
      <w:r>
        <w:rPr>
          <w:rFonts w:hint="eastAsia" w:ascii="宋体" w:hAnsi="宋体" w:eastAsia="宋体" w:cs="宋体"/>
          <w:sz w:val="22"/>
          <w:szCs w:val="22"/>
        </w:rPr>
        <w:t>4</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190B80C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_Toc18529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第二篇</w:t>
      </w:r>
      <w:r>
        <w:rPr>
          <w:rFonts w:hint="eastAsia" w:ascii="宋体" w:hAnsi="宋体" w:eastAsia="宋体" w:cs="宋体"/>
          <w:bCs/>
          <w:kern w:val="44"/>
          <w:sz w:val="22"/>
          <w:szCs w:val="22"/>
          <w:highlight w:val="none"/>
        </w:rPr>
        <w:t xml:space="preserve"> </w:t>
      </w:r>
      <w:r>
        <w:rPr>
          <w:rFonts w:hint="eastAsia" w:ascii="宋体" w:hAnsi="宋体" w:eastAsia="宋体" w:cs="宋体"/>
          <w:bCs/>
          <w:kern w:val="44"/>
          <w:sz w:val="22"/>
          <w:szCs w:val="22"/>
          <w:highlight w:val="none"/>
          <w:lang w:val="zh-CN"/>
        </w:rPr>
        <w:t>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_Toc18529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5B7ACFF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_Toc13202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一、总则</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_Toc13202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687B6C3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_Toc2413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1 资金来源：企业自筹资金。</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_Toc2413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6704A7A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_Toc32453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2 合格的投标人</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_Toc32453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337A6CE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_Toc17015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3 合格的</w:t>
      </w: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_Toc17015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65A08D2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_Toc13027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4 其它说明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_Toc13027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716B7D5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_Toc31497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二、招标文件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_Toc31497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05AF688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_Toc12939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5 招标文件的构成</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_Toc12939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46FD63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_Toc1943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6 招标文件的异议</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_Toc1943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5D88A3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_Toc21352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7 招标文件的澄清及修改</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_Toc21352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DE88CA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_Toc5637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三、投标文件的编制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_Toc5637 \h </w:instrText>
      </w:r>
      <w:r>
        <w:rPr>
          <w:rFonts w:hint="eastAsia" w:ascii="宋体" w:hAnsi="宋体" w:eastAsia="宋体" w:cs="宋体"/>
          <w:sz w:val="22"/>
          <w:szCs w:val="22"/>
        </w:rPr>
        <w:fldChar w:fldCharType="separate"/>
      </w:r>
      <w:r>
        <w:rPr>
          <w:rFonts w:hint="eastAsia" w:ascii="宋体" w:hAnsi="宋体" w:eastAsia="宋体" w:cs="宋体"/>
          <w:sz w:val="22"/>
          <w:szCs w:val="22"/>
        </w:rPr>
        <w:t>9</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6EB30E8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_Toc1835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8 投标使用的文字及度量衡单位</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_Toc1835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C07E41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_Toc18227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9 投标文件的组成</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_Toc18227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8C0164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_Toc20831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10 投标函</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_Toc20831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963F15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_Toc1536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11 投标报价</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_Toc1536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0C05ED6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_Toc6367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12 投标报价货币</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_Toc6367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DFF546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_Toc3948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13 证明投标人的合格性和资格的声明文件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_Toc3948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A5E2FE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_Toc6645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14 证明服务的合格性并符合招标文件规定的声明文件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_Toc6645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41F924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_Toc31934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15 投标保证金</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_Toc31934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B5F1DF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_Toc9830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16 投标有效期</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_Toc9830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1AF7AC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_Toc26581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17 投标文件的式样和签署</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_Toc26581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656567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_Toc2815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四、投标文件的递交</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_Toc2815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2DA27F9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_Toc17170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18 投标文件的密封和标记</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_Toc17170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C6B6D0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_Toc28247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19 递交投标文件的截止日期</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_Toc28247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74F325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_Toc2426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20 迟交的投标文件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_Toc2426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26A912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_Toc23274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21 投标文件的修改和撤回</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_Toc23274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9CFAE5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_Toc20737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五、开标与评标</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_Toc20737 \h </w:instrText>
      </w:r>
      <w:r>
        <w:rPr>
          <w:rFonts w:hint="eastAsia" w:ascii="宋体" w:hAnsi="宋体" w:eastAsia="宋体" w:cs="宋体"/>
          <w:sz w:val="22"/>
          <w:szCs w:val="22"/>
        </w:rPr>
        <w:fldChar w:fldCharType="separate"/>
      </w:r>
      <w:r>
        <w:rPr>
          <w:rFonts w:hint="eastAsia" w:ascii="宋体" w:hAnsi="宋体" w:eastAsia="宋体" w:cs="宋体"/>
          <w:sz w:val="22"/>
          <w:szCs w:val="22"/>
        </w:rPr>
        <w:t>15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0E5891C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_Toc30389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22 开标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_Toc30389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CA19C4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_Toc22561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 xml:space="preserve">23 </w:t>
      </w:r>
      <w:r>
        <w:rPr>
          <w:rFonts w:hint="eastAsia" w:ascii="宋体" w:hAnsi="宋体" w:eastAsia="宋体" w:cs="宋体"/>
          <w:color w:val="auto"/>
          <w:sz w:val="22"/>
          <w:szCs w:val="22"/>
          <w:highlight w:val="none"/>
        </w:rPr>
        <w:t>评标过程的保密性</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_Toc22561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239FEC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_Toc15605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24 评标委员会</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_Toc15605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A64519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_Toc12580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25 投标文件的初审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_Toc12580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A91275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_Toc29379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26 投标文件的澄清</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_Toc29379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F44961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_Toc207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27 对投标文件的比较和评价</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2AE82E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_Toc5533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28 评标原则及方法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_Toc5533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A7C738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_Toc13134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rPr>
        <w:t xml:space="preserve">9 </w:t>
      </w:r>
      <w:r>
        <w:rPr>
          <w:rFonts w:hint="eastAsia" w:ascii="宋体" w:hAnsi="宋体" w:eastAsia="宋体" w:cs="宋体"/>
          <w:color w:val="auto"/>
          <w:sz w:val="22"/>
          <w:szCs w:val="22"/>
          <w:highlight w:val="none"/>
          <w:lang w:val="zh-CN"/>
        </w:rPr>
        <w:t>评标结果公示及异议、投诉</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_Toc13134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84F228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_Toc15130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lang w:val="zh-CN"/>
        </w:rPr>
        <w:t xml:space="preserve"> 真实性审查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_Toc15130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784F3C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_Toc24974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31</w:t>
      </w:r>
      <w:r>
        <w:rPr>
          <w:rFonts w:hint="eastAsia" w:ascii="宋体" w:hAnsi="宋体" w:eastAsia="宋体" w:cs="宋体"/>
          <w:color w:val="auto"/>
          <w:sz w:val="22"/>
          <w:szCs w:val="22"/>
          <w:highlight w:val="none"/>
          <w:lang w:val="zh-CN"/>
        </w:rPr>
        <w:t xml:space="preserve"> 评标委员会和招标人接受或拒绝任何投标或所有投标的权利</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_Toc24974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9B125A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_Toc21337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六、授予合同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_Toc21337 \h </w:instrText>
      </w:r>
      <w:r>
        <w:rPr>
          <w:rFonts w:hint="eastAsia" w:ascii="宋体" w:hAnsi="宋体" w:eastAsia="宋体" w:cs="宋体"/>
          <w:sz w:val="22"/>
          <w:szCs w:val="22"/>
        </w:rPr>
        <w:fldChar w:fldCharType="separate"/>
      </w:r>
      <w:r>
        <w:rPr>
          <w:rFonts w:hint="eastAsia" w:ascii="宋体" w:hAnsi="宋体" w:eastAsia="宋体" w:cs="宋体"/>
          <w:sz w:val="22"/>
          <w:szCs w:val="22"/>
        </w:rPr>
        <w:t>18</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466FF8C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_Toc12911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32</w:t>
      </w:r>
      <w:r>
        <w:rPr>
          <w:rFonts w:hint="eastAsia" w:ascii="宋体" w:hAnsi="宋体" w:eastAsia="宋体" w:cs="宋体"/>
          <w:color w:val="auto"/>
          <w:sz w:val="22"/>
          <w:szCs w:val="22"/>
          <w:highlight w:val="none"/>
          <w:lang w:val="zh-CN"/>
        </w:rPr>
        <w:t xml:space="preserve"> 授予合同的准则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_Toc12911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D0BFAE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_Toc3064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33 中标通知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_Toc3064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4638F3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_Toc7790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34</w:t>
      </w:r>
      <w:r>
        <w:rPr>
          <w:rFonts w:hint="eastAsia" w:ascii="宋体" w:hAnsi="宋体" w:eastAsia="宋体" w:cs="宋体"/>
          <w:color w:val="auto"/>
          <w:sz w:val="22"/>
          <w:szCs w:val="22"/>
          <w:highlight w:val="none"/>
          <w:lang w:val="zh-CN"/>
        </w:rPr>
        <w:t xml:space="preserve"> 签署合同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_Toc7790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7F1C1A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_Toc16264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 xml:space="preserve">35 </w:t>
      </w:r>
      <w:r>
        <w:rPr>
          <w:rFonts w:hint="eastAsia" w:ascii="宋体" w:hAnsi="宋体" w:eastAsia="宋体" w:cs="宋体"/>
          <w:color w:val="auto"/>
          <w:sz w:val="22"/>
          <w:szCs w:val="22"/>
          <w:highlight w:val="none"/>
          <w:lang w:val="zh-CN"/>
        </w:rPr>
        <w:t>履约担保</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_Toc16264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815F55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_Toc29112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36</w:t>
      </w:r>
      <w:r>
        <w:rPr>
          <w:rFonts w:hint="eastAsia" w:ascii="宋体" w:hAnsi="宋体" w:eastAsia="宋体" w:cs="宋体"/>
          <w:color w:val="auto"/>
          <w:sz w:val="22"/>
          <w:szCs w:val="22"/>
          <w:highlight w:val="none"/>
          <w:lang w:val="zh-CN"/>
        </w:rPr>
        <w:t xml:space="preserve"> 在合同履行中变更采购范围的权利</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_Toc29112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7412B4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_Toc32219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37</w:t>
      </w:r>
      <w:r>
        <w:rPr>
          <w:rFonts w:hint="eastAsia" w:ascii="宋体" w:hAnsi="宋体" w:eastAsia="宋体" w:cs="宋体"/>
          <w:color w:val="auto"/>
          <w:sz w:val="22"/>
          <w:szCs w:val="22"/>
          <w:highlight w:val="none"/>
          <w:lang w:val="zh-CN"/>
        </w:rPr>
        <w:t xml:space="preserve"> 中标服务费</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_Toc32219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F1AC65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_Toc1994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38</w:t>
      </w:r>
      <w:r>
        <w:rPr>
          <w:rFonts w:hint="eastAsia" w:ascii="宋体" w:hAnsi="宋体" w:eastAsia="宋体" w:cs="宋体"/>
          <w:color w:val="auto"/>
          <w:sz w:val="22"/>
          <w:szCs w:val="22"/>
          <w:highlight w:val="none"/>
          <w:lang w:val="zh-CN"/>
        </w:rPr>
        <w:t xml:space="preserve"> 发票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_Toc1994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124C99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_Toc23464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39 招标相关补充约定</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_Toc23464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02F987B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_Toc21760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40 本次招标活动的最终解释权归招标代理机构及招标人所有。</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_Toc21760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5B01CF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_Toc27727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第三篇 用户需求书</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_Toc27727 \h </w:instrText>
      </w:r>
      <w:r>
        <w:rPr>
          <w:rFonts w:hint="eastAsia" w:ascii="宋体" w:hAnsi="宋体" w:eastAsia="宋体" w:cs="宋体"/>
          <w:sz w:val="22"/>
          <w:szCs w:val="22"/>
        </w:rPr>
        <w:fldChar w:fldCharType="separate"/>
      </w:r>
      <w:r>
        <w:rPr>
          <w:rFonts w:hint="eastAsia" w:ascii="宋体" w:hAnsi="宋体" w:eastAsia="宋体" w:cs="宋体"/>
          <w:sz w:val="22"/>
          <w:szCs w:val="22"/>
        </w:rPr>
        <w:t>22</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091D414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_Toc13772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第四篇 合同条款格式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_Toc13772 \h </w:instrText>
      </w:r>
      <w:r>
        <w:rPr>
          <w:rFonts w:hint="eastAsia" w:ascii="宋体" w:hAnsi="宋体" w:eastAsia="宋体" w:cs="宋体"/>
          <w:sz w:val="22"/>
          <w:szCs w:val="22"/>
        </w:rPr>
        <w:fldChar w:fldCharType="separate"/>
      </w:r>
      <w:r>
        <w:rPr>
          <w:rFonts w:hint="eastAsia" w:ascii="宋体" w:hAnsi="宋体" w:eastAsia="宋体" w:cs="宋体"/>
          <w:sz w:val="22"/>
          <w:szCs w:val="22"/>
        </w:rPr>
        <w:t>27</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60718E4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_Toc7880 </w:instrText>
      </w:r>
      <w:r>
        <w:rPr>
          <w:rFonts w:hint="eastAsia" w:ascii="宋体" w:hAnsi="宋体" w:eastAsia="宋体" w:cs="宋体"/>
          <w:sz w:val="22"/>
          <w:szCs w:val="22"/>
          <w:highlight w:val="none"/>
        </w:rPr>
        <w:fldChar w:fldCharType="separate"/>
      </w:r>
      <w:r>
        <w:rPr>
          <w:rFonts w:hint="eastAsia" w:ascii="宋体" w:hAnsi="宋体" w:eastAsia="宋体" w:cs="宋体"/>
          <w:bCs/>
          <w:sz w:val="22"/>
          <w:szCs w:val="22"/>
          <w:highlight w:val="none"/>
          <w:lang w:val="zh-CN"/>
        </w:rPr>
        <w:t>第五篇 相关保函格式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_Toc7880 \h </w:instrText>
      </w:r>
      <w:r>
        <w:rPr>
          <w:rFonts w:hint="eastAsia" w:ascii="宋体" w:hAnsi="宋体" w:eastAsia="宋体" w:cs="宋体"/>
          <w:sz w:val="22"/>
          <w:szCs w:val="22"/>
        </w:rPr>
        <w:fldChar w:fldCharType="separate"/>
      </w:r>
      <w:r>
        <w:rPr>
          <w:rFonts w:hint="eastAsia" w:ascii="宋体" w:hAnsi="宋体" w:eastAsia="宋体" w:cs="宋体"/>
          <w:sz w:val="22"/>
          <w:szCs w:val="22"/>
        </w:rPr>
        <w:t>43</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51A20BE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_Toc30823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第六篇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_Toc30823 \h </w:instrText>
      </w:r>
      <w:r>
        <w:rPr>
          <w:rFonts w:hint="eastAsia" w:ascii="宋体" w:hAnsi="宋体" w:eastAsia="宋体" w:cs="宋体"/>
          <w:sz w:val="22"/>
          <w:szCs w:val="22"/>
        </w:rPr>
        <w:fldChar w:fldCharType="separate"/>
      </w:r>
      <w:r>
        <w:rPr>
          <w:rFonts w:hint="eastAsia" w:ascii="宋体" w:hAnsi="宋体" w:eastAsia="宋体" w:cs="宋体"/>
          <w:sz w:val="22"/>
          <w:szCs w:val="22"/>
        </w:rPr>
        <w:t>46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1E38932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_Toc16132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附件一：评标工作大纲</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_Toc16132 \h </w:instrText>
      </w:r>
      <w:r>
        <w:rPr>
          <w:rFonts w:hint="eastAsia" w:ascii="宋体" w:hAnsi="宋体" w:eastAsia="宋体" w:cs="宋体"/>
          <w:sz w:val="22"/>
          <w:szCs w:val="22"/>
        </w:rPr>
        <w:fldChar w:fldCharType="separate"/>
      </w:r>
      <w:r>
        <w:rPr>
          <w:rFonts w:hint="eastAsia" w:ascii="宋体" w:hAnsi="宋体" w:eastAsia="宋体" w:cs="宋体"/>
          <w:sz w:val="22"/>
          <w:szCs w:val="22"/>
        </w:rPr>
        <w:t>83</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14:paraId="1EBA8F9E">
      <w:pPr>
        <w:wordWrap/>
        <w:adjustRightInd/>
        <w:snapToGrid/>
        <w:spacing w:before="0" w:beforeLines="0" w:after="0" w:afterLines="0" w:line="360" w:lineRule="auto"/>
        <w:textAlignment w:val="auto"/>
        <w:rPr>
          <w:color w:val="auto"/>
          <w:highlight w:val="none"/>
        </w:rPr>
      </w:pPr>
      <w:r>
        <w:rPr>
          <w:rFonts w:hint="eastAsia" w:ascii="宋体" w:hAnsi="宋体" w:eastAsia="宋体" w:cs="宋体"/>
          <w:color w:val="auto"/>
          <w:szCs w:val="21"/>
          <w:highlight w:val="none"/>
        </w:rPr>
        <w:fldChar w:fldCharType="end"/>
      </w:r>
    </w:p>
    <w:p w14:paraId="446DF562">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4" w:name="_Toc2830"/>
      <w:r>
        <w:rPr>
          <w:rFonts w:ascii="宋体" w:hAnsi="宋体" w:eastAsia="宋体" w:cs="Times New Roman"/>
          <w:b/>
          <w:bCs/>
          <w:color w:val="auto"/>
          <w:kern w:val="44"/>
          <w:sz w:val="32"/>
          <w:szCs w:val="32"/>
          <w:highlight w:val="none"/>
          <w:lang w:val="zh-CN"/>
        </w:rPr>
        <w:t>第一篇 招标公告</w:t>
      </w:r>
      <w:bookmarkEnd w:id="4"/>
    </w:p>
    <w:p w14:paraId="67C4C6F3">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东莞市众源环境投资有限公司</w:t>
      </w:r>
      <w:r>
        <w:rPr>
          <w:rFonts w:ascii="宋体" w:hAnsi="宋体" w:eastAsia="宋体" w:cs="Times New Roman"/>
          <w:color w:val="auto"/>
          <w:szCs w:val="21"/>
          <w:highlight w:val="none"/>
          <w:lang w:val="zh-CN"/>
        </w:rPr>
        <w:t>（以下简称“招标人”）的委托，对</w:t>
      </w:r>
      <w:r>
        <w:rPr>
          <w:rFonts w:hint="eastAsia" w:ascii="宋体" w:hAnsi="宋体" w:eastAsia="宋体" w:cs="Times New Roman"/>
          <w:color w:val="auto"/>
          <w:kern w:val="0"/>
          <w:szCs w:val="21"/>
          <w:highlight w:val="none"/>
          <w:lang w:eastAsia="zh-CN"/>
        </w:rPr>
        <w:t>东莞市众源环境投资有限公司2025年-2027年污泥运输服务供应商采购项目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0832-SFCX24DG113C</w:t>
      </w:r>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E8CD58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62BA33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kern w:val="0"/>
          <w:szCs w:val="21"/>
          <w:highlight w:val="none"/>
          <w:lang w:eastAsia="zh-CN"/>
        </w:rPr>
        <w:t>东莞市众源环境投资有限公司2025年-2027年污泥运输服务供应商采购项目</w:t>
      </w:r>
      <w:r>
        <w:rPr>
          <w:rFonts w:hint="eastAsia" w:ascii="宋体" w:hAnsi="宋体" w:eastAsia="宋体" w:cs="Times New Roman"/>
          <w:color w:val="auto"/>
          <w:szCs w:val="21"/>
          <w:highlight w:val="none"/>
          <w:lang w:val="zh-CN"/>
        </w:rPr>
        <w:t>，服务范围包括：从招标人东莞市区域内的污水处理厂将污泥（含水率约80%）运输至东莞市区域内污泥减量化处理或处置场所。（具体内容详见：第三篇用户需求书）。</w:t>
      </w:r>
    </w:p>
    <w:p w14:paraId="0E40D4AD">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33279AAE">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3652BD8">
      <w:pPr>
        <w:pStyle w:val="55"/>
        <w:wordWrap/>
        <w:autoSpaceDE w:val="0"/>
        <w:autoSpaceDN w:val="0"/>
        <w:adjustRightInd w:val="0"/>
        <w:spacing w:line="360" w:lineRule="auto"/>
        <w:ind w:left="422" w:leftChars="0" w:right="-29" w:rightChars="-14" w:hanging="422" w:hangingChars="20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2742DD48">
      <w:pPr>
        <w:pStyle w:val="55"/>
        <w:wordWrap/>
        <w:autoSpaceDE w:val="0"/>
        <w:autoSpaceDN w:val="0"/>
        <w:adjustRightInd w:val="0"/>
        <w:spacing w:line="360" w:lineRule="auto"/>
        <w:ind w:right="-29" w:rightChars="-14"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投标人具有由道路运输管理机构颁发的《道路运输经营许可证》，经营范围含普通货运；</w:t>
      </w:r>
    </w:p>
    <w:p w14:paraId="2FAB4AF2">
      <w:pPr>
        <w:pStyle w:val="55"/>
        <w:wordWrap/>
        <w:autoSpaceDE w:val="0"/>
        <w:autoSpaceDN w:val="0"/>
        <w:adjustRightInd w:val="0"/>
        <w:spacing w:line="360" w:lineRule="auto"/>
        <w:ind w:right="-29" w:rightChars="-14" w:firstLine="0" w:firstLineChars="0"/>
        <w:jc w:val="both"/>
        <w:outlineLvl w:val="9"/>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投标人2021年1月1日以来具有一份运输</w:t>
      </w:r>
      <w:r>
        <w:rPr>
          <w:rFonts w:hint="eastAsia" w:hAnsi="宋体" w:eastAsia="宋体"/>
          <w:b/>
          <w:color w:val="auto"/>
          <w:sz w:val="21"/>
          <w:szCs w:val="21"/>
          <w:highlight w:val="none"/>
          <w:lang w:val="en-US" w:eastAsia="zh-CN"/>
        </w:rPr>
        <w:t>服务</w:t>
      </w:r>
      <w:r>
        <w:rPr>
          <w:rFonts w:hint="eastAsia" w:hAnsi="宋体" w:eastAsia="宋体"/>
          <w:b/>
          <w:color w:val="auto"/>
          <w:sz w:val="21"/>
          <w:szCs w:val="21"/>
          <w:highlight w:val="none"/>
          <w:lang w:val="zh-CN"/>
        </w:rPr>
        <w:t>项目业绩（合同签订日期为2021年1月1日或以后）</w:t>
      </w:r>
      <w:r>
        <w:rPr>
          <w:rFonts w:hint="eastAsia" w:hAnsi="宋体" w:eastAsia="宋体"/>
          <w:b/>
          <w:color w:val="auto"/>
          <w:sz w:val="21"/>
          <w:szCs w:val="21"/>
          <w:highlight w:val="none"/>
          <w:lang w:val="zh-CN" w:eastAsia="zh-CN"/>
        </w:rPr>
        <w:t>；</w:t>
      </w:r>
    </w:p>
    <w:p w14:paraId="0D9AF16E">
      <w:pPr>
        <w:pStyle w:val="55"/>
        <w:wordWrap/>
        <w:autoSpaceDE w:val="0"/>
        <w:autoSpaceDN w:val="0"/>
        <w:adjustRightInd w:val="0"/>
        <w:spacing w:line="360" w:lineRule="auto"/>
        <w:ind w:right="-29" w:rightChars="-14" w:firstLine="0" w:firstLineChars="0"/>
        <w:jc w:val="both"/>
        <w:outlineLvl w:val="9"/>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p>
    <w:p w14:paraId="0621F8C8">
      <w:pPr>
        <w:pStyle w:val="55"/>
        <w:wordWrap/>
        <w:autoSpaceDE w:val="0"/>
        <w:autoSpaceDN w:val="0"/>
        <w:adjustRightInd w:val="0"/>
        <w:spacing w:line="360" w:lineRule="auto"/>
        <w:ind w:right="-29" w:rightChars="-14" w:firstLine="0" w:firstLineChars="0"/>
        <w:jc w:val="both"/>
        <w:outlineLvl w:val="9"/>
        <w:rPr>
          <w:rFonts w:hint="eastAsia" w:hAnsi="宋体" w:eastAsia="宋体"/>
          <w:b/>
          <w:color w:val="auto"/>
          <w:sz w:val="21"/>
          <w:szCs w:val="21"/>
          <w:highlight w:val="none"/>
          <w:lang w:val="zh-CN"/>
        </w:rPr>
      </w:pPr>
    </w:p>
    <w:p w14:paraId="2D92E729">
      <w:pPr>
        <w:numPr>
          <w:ilvl w:val="0"/>
          <w:numId w:val="1"/>
        </w:numPr>
        <w:wordWrap/>
        <w:autoSpaceDE w:val="0"/>
        <w:autoSpaceDN w:val="0"/>
        <w:adjustRightInd w:val="0"/>
        <w:snapToGrid w:val="0"/>
        <w:spacing w:line="360" w:lineRule="auto"/>
        <w:ind w:left="0" w:right="-34" w:firstLine="0"/>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下载招标文件。【本招标公告第7点媒介发布招标文件不一致时，以东莞市水务集团有限公司网（www.dgswjt.cn）发布的</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lang w:val="zh-CN"/>
        </w:rPr>
        <w:t>文件为准】。</w:t>
      </w:r>
    </w:p>
    <w:p w14:paraId="0F93635F">
      <w:pPr>
        <w:wordWrap/>
        <w:autoSpaceDE w:val="0"/>
        <w:autoSpaceDN w:val="0"/>
        <w:adjustRightInd w:val="0"/>
        <w:spacing w:line="360" w:lineRule="auto"/>
        <w:ind w:left="630" w:leftChars="100" w:right="-29" w:rightChars="-14" w:hanging="420" w:hangingChars="200"/>
        <w:outlineLvl w:val="9"/>
        <w:rPr>
          <w:rFonts w:ascii="宋体" w:hAnsi="宋体" w:eastAsia="宋体" w:cs="Times New Roman"/>
          <w:color w:val="auto"/>
          <w:szCs w:val="21"/>
          <w:highlight w:val="none"/>
          <w:lang w:val="zh-CN"/>
        </w:rPr>
      </w:pPr>
    </w:p>
    <w:p w14:paraId="0E2D38F5">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005E2FB1">
      <w:pPr>
        <w:wordWrap/>
        <w:autoSpaceDE w:val="0"/>
        <w:autoSpaceDN w:val="0"/>
        <w:adjustRightInd w:val="0"/>
        <w:spacing w:line="360" w:lineRule="auto"/>
        <w:ind w:right="-29" w:rightChars="-14" w:firstLine="420"/>
        <w:outlineLvl w:val="9"/>
        <w:rPr>
          <w:rFonts w:ascii="宋体" w:hAnsi="宋体" w:eastAsia="宋体" w:cs="Times New Roman"/>
          <w:color w:val="auto"/>
          <w:szCs w:val="21"/>
          <w:highlight w:val="none"/>
          <w:lang w:val="zh-CN"/>
        </w:rPr>
      </w:pPr>
    </w:p>
    <w:p w14:paraId="414E8FA8">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348D144F">
      <w:pPr>
        <w:wordWrap/>
        <w:autoSpaceDE w:val="0"/>
        <w:autoSpaceDN w:val="0"/>
        <w:adjustRightInd w:val="0"/>
        <w:spacing w:line="360" w:lineRule="auto"/>
        <w:ind w:right="-29" w:rightChars="-14"/>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3A56D908">
      <w:pPr>
        <w:wordWrap/>
        <w:autoSpaceDE w:val="0"/>
        <w:autoSpaceDN w:val="0"/>
        <w:adjustRightInd w:val="0"/>
        <w:spacing w:line="360" w:lineRule="auto"/>
        <w:ind w:right="-29" w:rightChars="-14"/>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6E876F2A">
      <w:pPr>
        <w:wordWrap/>
        <w:autoSpaceDE w:val="0"/>
        <w:autoSpaceDN w:val="0"/>
        <w:adjustRightInd w:val="0"/>
        <w:spacing w:line="360" w:lineRule="auto"/>
        <w:ind w:right="-29" w:rightChars="-14"/>
        <w:outlineLvl w:val="9"/>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szCs w:val="21"/>
          <w:highlight w:val="none"/>
          <w:u w:val="single" w:color="auto"/>
          <w:lang w:val="zh-CN"/>
        </w:rPr>
        <w:t>广东省东莞市南城区西平社区宏伟三路45号东莞市公共资源交易中心开标</w:t>
      </w:r>
      <w:r>
        <w:rPr>
          <w:rFonts w:hint="eastAsia" w:ascii="宋体" w:hAnsi="宋体" w:eastAsia="宋体" w:cs="宋体"/>
          <w:color w:val="auto"/>
          <w:szCs w:val="21"/>
          <w:highlight w:val="none"/>
          <w:u w:val="single" w:color="auto"/>
          <w:lang w:val="en-US" w:eastAsia="zh-CN"/>
        </w:rPr>
        <w:t xml:space="preserve"> 13 </w:t>
      </w:r>
      <w:r>
        <w:rPr>
          <w:rFonts w:hint="eastAsia" w:ascii="宋体" w:hAnsi="宋体" w:eastAsia="宋体" w:cs="宋体"/>
          <w:color w:val="auto"/>
          <w:szCs w:val="21"/>
          <w:highlight w:val="none"/>
          <w:u w:val="single" w:color="auto"/>
          <w:lang w:val="zh-CN"/>
        </w:rPr>
        <w:t>室</w:t>
      </w:r>
      <w:r>
        <w:rPr>
          <w:rFonts w:hint="eastAsia" w:ascii="宋体" w:hAnsi="宋体" w:eastAsia="宋体" w:cs="Times New Roman"/>
          <w:color w:val="auto"/>
          <w:kern w:val="0"/>
          <w:szCs w:val="21"/>
          <w:highlight w:val="none"/>
        </w:rPr>
        <w:t>。</w:t>
      </w:r>
    </w:p>
    <w:p w14:paraId="17B86B24">
      <w:pPr>
        <w:wordWrap/>
        <w:autoSpaceDE w:val="0"/>
        <w:autoSpaceDN w:val="0"/>
        <w:adjustRightInd w:val="0"/>
        <w:spacing w:line="360" w:lineRule="auto"/>
        <w:ind w:right="-29" w:rightChars="-14" w:firstLine="210" w:firstLineChars="100"/>
        <w:outlineLvl w:val="9"/>
        <w:rPr>
          <w:rFonts w:ascii="宋体" w:hAnsi="宋体" w:eastAsia="宋体" w:cs="Times New Roman"/>
          <w:color w:val="auto"/>
          <w:kern w:val="0"/>
          <w:szCs w:val="21"/>
          <w:highlight w:val="none"/>
        </w:rPr>
      </w:pPr>
      <w:bookmarkStart w:id="66" w:name="_GoBack"/>
      <w:bookmarkEnd w:id="66"/>
    </w:p>
    <w:p w14:paraId="5E513477">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8691BE6">
      <w:pPr>
        <w:wordWrap/>
        <w:autoSpaceDE w:val="0"/>
        <w:autoSpaceDN w:val="0"/>
        <w:adjustRightInd w:val="0"/>
        <w:spacing w:line="360" w:lineRule="auto"/>
        <w:ind w:left="210" w:leftChars="100" w:right="-29" w:rightChars="-14"/>
        <w:outlineLvl w:val="9"/>
        <w:rPr>
          <w:rFonts w:ascii="宋体" w:hAnsi="宋体" w:eastAsia="宋体" w:cs="Times New Roman"/>
          <w:color w:val="auto"/>
          <w:szCs w:val="21"/>
          <w:highlight w:val="none"/>
          <w:lang w:val="zh-CN"/>
        </w:rPr>
      </w:pPr>
    </w:p>
    <w:p w14:paraId="28804951">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4DC3270B">
      <w:pPr>
        <w:numPr>
          <w:ilvl w:val="0"/>
          <w:numId w:val="0"/>
        </w:numPr>
        <w:wordWrap/>
        <w:autoSpaceDE w:val="0"/>
        <w:autoSpaceDN w:val="0"/>
        <w:adjustRightInd w:val="0"/>
        <w:snapToGrid w:val="0"/>
        <w:spacing w:line="360" w:lineRule="auto"/>
        <w:ind w:leftChars="0" w:right="-34"/>
        <w:jc w:val="left"/>
        <w:outlineLvl w:val="9"/>
        <w:rPr>
          <w:rFonts w:ascii="宋体" w:hAnsi="宋体" w:eastAsia="宋体" w:cs="Times New Roman"/>
          <w:bCs/>
          <w:color w:val="auto"/>
          <w:szCs w:val="21"/>
          <w:highlight w:val="none"/>
        </w:rPr>
      </w:pPr>
    </w:p>
    <w:p w14:paraId="601F5C62">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0D52E61">
      <w:pPr>
        <w:widowControl/>
        <w:wordWrap/>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东莞市众源环境投资有限公司</w:t>
      </w:r>
    </w:p>
    <w:p w14:paraId="57F6179D">
      <w:pPr>
        <w:widowControl/>
        <w:wordWrap/>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东莞市南城街道滨河路100号二期（东莞市水务集团净水有限公司）新大门内3号楼3楼</w:t>
      </w:r>
    </w:p>
    <w:p w14:paraId="117F1CFA">
      <w:pPr>
        <w:widowControl/>
        <w:wordWrap/>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何浩林</w:t>
      </w:r>
    </w:p>
    <w:p w14:paraId="35E11486">
      <w:pPr>
        <w:widowControl/>
        <w:wordWrap/>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0769-22621996</w:t>
      </w:r>
    </w:p>
    <w:p w14:paraId="37713A67">
      <w:pPr>
        <w:wordWrap/>
        <w:autoSpaceDE w:val="0"/>
        <w:autoSpaceDN w:val="0"/>
        <w:adjustRightInd w:val="0"/>
        <w:spacing w:line="360" w:lineRule="auto"/>
        <w:ind w:right="-29" w:rightChars="-14" w:firstLine="420"/>
        <w:outlineLvl w:val="9"/>
        <w:rPr>
          <w:rFonts w:ascii="宋体" w:hAnsi="宋体" w:eastAsia="宋体" w:cs="Times New Roman"/>
          <w:color w:val="auto"/>
          <w:kern w:val="0"/>
          <w:szCs w:val="21"/>
          <w:highlight w:val="none"/>
        </w:rPr>
      </w:pPr>
    </w:p>
    <w:p w14:paraId="4C8A512D">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E073AD6">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招标代理机构：三方诚信招标有限公司</w:t>
      </w:r>
    </w:p>
    <w:p w14:paraId="2C311C33">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地  址：东莞市南城街道鸿福西路81号国际商会大厦706室</w:t>
      </w:r>
    </w:p>
    <w:p w14:paraId="1B38880B">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联系人：王佳涛</w:t>
      </w:r>
    </w:p>
    <w:p w14:paraId="39622484">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电  话：0769-21682660</w:t>
      </w:r>
    </w:p>
    <w:p w14:paraId="5ADAF67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5" w:name="_Toc18529"/>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5"/>
    </w:p>
    <w:p w14:paraId="04BC5B64">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 w:name="_Toc13202"/>
      <w:r>
        <w:rPr>
          <w:rFonts w:hint="eastAsia" w:ascii="宋体" w:hAnsi="宋体" w:eastAsia="宋体" w:cs="宋体"/>
          <w:b/>
          <w:bCs/>
          <w:color w:val="auto"/>
          <w:kern w:val="44"/>
          <w:szCs w:val="21"/>
          <w:highlight w:val="none"/>
          <w:lang w:val="zh-CN"/>
        </w:rPr>
        <w:t>一、总则</w:t>
      </w:r>
      <w:bookmarkEnd w:id="6"/>
    </w:p>
    <w:p w14:paraId="6E4BD5E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7" w:name="_Toc24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7"/>
    </w:p>
    <w:p w14:paraId="62915700">
      <w:pPr>
        <w:autoSpaceDE w:val="0"/>
        <w:autoSpaceDN w:val="0"/>
        <w:adjustRightInd w:val="0"/>
        <w:jc w:val="left"/>
        <w:rPr>
          <w:rFonts w:ascii="宋体" w:hAnsi="宋体" w:eastAsia="宋体" w:cs="宋体"/>
          <w:color w:val="auto"/>
          <w:kern w:val="0"/>
          <w:sz w:val="24"/>
          <w:szCs w:val="24"/>
          <w:highlight w:val="none"/>
        </w:rPr>
      </w:pPr>
    </w:p>
    <w:p w14:paraId="7AD95B8A">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8" w:name="_Toc3245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8"/>
    </w:p>
    <w:p w14:paraId="037A909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w:t>
      </w:r>
      <w:r>
        <w:rPr>
          <w:rFonts w:ascii="宋体" w:hAnsi="宋体" w:eastAsia="宋体" w:cs="宋体"/>
          <w:b/>
          <w:color w:val="auto"/>
          <w:szCs w:val="21"/>
          <w:highlight w:val="none"/>
          <w:u w:val="single"/>
          <w:lang w:val="zh-CN"/>
        </w:rPr>
        <w:t>2</w:t>
      </w:r>
      <w:r>
        <w:rPr>
          <w:rFonts w:hint="eastAsia" w:ascii="宋体" w:hAnsi="宋体" w:eastAsia="宋体" w:cs="宋体"/>
          <w:b/>
          <w:color w:val="auto"/>
          <w:szCs w:val="21"/>
          <w:highlight w:val="none"/>
          <w:u w:val="single"/>
          <w:lang w:val="zh-CN"/>
        </w:rPr>
        <w:t>条的“合格投标人资格要求”及本条以下2.2款至</w:t>
      </w:r>
      <w:r>
        <w:rPr>
          <w:rFonts w:hint="eastAsia" w:ascii="宋体" w:hAnsi="宋体" w:eastAsia="宋体" w:cs="宋体"/>
          <w:b/>
          <w:color w:val="auto"/>
          <w:szCs w:val="21"/>
          <w:highlight w:val="none"/>
          <w:u w:val="single"/>
          <w:lang w:val="en-US" w:eastAsia="zh-CN"/>
        </w:rPr>
        <w:t>2.5</w:t>
      </w:r>
      <w:r>
        <w:rPr>
          <w:rFonts w:hint="eastAsia" w:ascii="宋体" w:hAnsi="宋体" w:eastAsia="宋体" w:cs="宋体"/>
          <w:b/>
          <w:color w:val="auto"/>
          <w:szCs w:val="21"/>
          <w:highlight w:val="none"/>
          <w:u w:val="single"/>
          <w:lang w:val="zh-CN"/>
        </w:rPr>
        <w:t>款的通用要求</w:t>
      </w:r>
      <w:r>
        <w:rPr>
          <w:rFonts w:hint="eastAsia" w:ascii="宋体" w:hAnsi="宋体" w:eastAsia="宋体" w:cs="宋体"/>
          <w:b/>
          <w:color w:val="auto"/>
          <w:szCs w:val="21"/>
          <w:highlight w:val="none"/>
          <w:lang w:val="zh-CN"/>
        </w:rPr>
        <w:t>。</w:t>
      </w:r>
    </w:p>
    <w:p w14:paraId="53D75072">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w:t>
      </w:r>
      <w:r>
        <w:rPr>
          <w:rFonts w:hint="eastAsia" w:ascii="宋体" w:hAnsi="宋体" w:eastAsia="宋体" w:cs="Times New Roman"/>
          <w:b/>
          <w:color w:val="auto"/>
          <w:kern w:val="0"/>
          <w:szCs w:val="21"/>
          <w:highlight w:val="none"/>
          <w:u w:val="singl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u w:val="single"/>
          <w:lang w:val="zh-CN"/>
        </w:rPr>
        <w:t>处罚说明</w:t>
      </w:r>
      <w:r>
        <w:rPr>
          <w:rFonts w:hint="eastAsia" w:ascii="宋体" w:hAnsi="宋体" w:eastAsia="宋体" w:cs="Times New Roman"/>
          <w:b/>
          <w:color w:val="auto"/>
          <w:kern w:val="0"/>
          <w:szCs w:val="21"/>
          <w:highlight w:val="none"/>
          <w:u w:val="singl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558B835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r>
        <w:rPr>
          <w:rFonts w:hint="eastAsia" w:ascii="宋体" w:hAnsi="宋体" w:eastAsia="宋体" w:cs="宋体"/>
          <w:b/>
          <w:color w:val="auto"/>
          <w:szCs w:val="21"/>
          <w:highlight w:val="none"/>
          <w:lang w:val="zh-CN"/>
        </w:rPr>
        <w:t>。</w:t>
      </w:r>
    </w:p>
    <w:p w14:paraId="67C5C339">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u w:val="singl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u w:val="single"/>
          <w:lang w:val="en-US" w:eastAsia="zh-CN"/>
        </w:rPr>
        <w:t>政府采购</w:t>
      </w:r>
      <w:r>
        <w:rPr>
          <w:rFonts w:hint="eastAsia" w:ascii="宋体" w:hAnsi="宋体" w:eastAsia="宋体" w:cs="Times New Roman"/>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14:paraId="3543BC1C">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6AAA1E8">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4C068CC7">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9" w:name="_Toc1701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r>
        <w:rPr>
          <w:rFonts w:hint="eastAsia" w:ascii="宋体" w:hAnsi="宋体" w:eastAsia="宋体" w:cs="宋体"/>
          <w:b/>
          <w:color w:val="auto"/>
          <w:szCs w:val="21"/>
          <w:highlight w:val="none"/>
          <w:lang w:val="en-US" w:eastAsia="zh-CN"/>
        </w:rPr>
        <w:t>服务</w:t>
      </w:r>
      <w:bookmarkEnd w:id="9"/>
    </w:p>
    <w:p w14:paraId="096FDA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33EFA31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p>
    <w:p w14:paraId="11B2D89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14:paraId="332B8E6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43A99355">
      <w:pPr>
        <w:autoSpaceDE w:val="0"/>
        <w:autoSpaceDN w:val="0"/>
        <w:adjustRightInd w:val="0"/>
        <w:spacing w:line="360" w:lineRule="auto"/>
        <w:jc w:val="left"/>
        <w:rPr>
          <w:rFonts w:ascii="宋体" w:hAnsi="宋体" w:eastAsia="宋体" w:cs="宋体"/>
          <w:color w:val="auto"/>
          <w:szCs w:val="21"/>
          <w:highlight w:val="none"/>
          <w:lang w:val="zh-CN"/>
        </w:rPr>
      </w:pPr>
    </w:p>
    <w:p w14:paraId="6D8712D5">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 w:name="_Toc13027"/>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10"/>
    </w:p>
    <w:p w14:paraId="336353B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4.1  投标费用</w:t>
      </w:r>
    </w:p>
    <w:p w14:paraId="5F04E716">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p>
    <w:p w14:paraId="127592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4.2  踏勘现场</w:t>
      </w:r>
    </w:p>
    <w:p w14:paraId="35BAA6F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（1）本项目不组织集中踏勘现场和答疑，投标人应自行到实地踏勘考察。</w:t>
      </w:r>
    </w:p>
    <w:p w14:paraId="6EB9709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EEBFA2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67CFA2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D3A6EF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p>
    <w:p w14:paraId="329FFD5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A2EC9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5AED60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3A59DBE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79A8E7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5E3F63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6884CE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1CEF29B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 w:name="_Toc31497"/>
      <w:r>
        <w:rPr>
          <w:rFonts w:hint="eastAsia" w:ascii="宋体" w:hAnsi="宋体" w:eastAsia="宋体" w:cs="宋体"/>
          <w:b/>
          <w:bCs/>
          <w:color w:val="auto"/>
          <w:kern w:val="44"/>
          <w:szCs w:val="21"/>
          <w:highlight w:val="none"/>
          <w:lang w:val="zh-CN"/>
        </w:rPr>
        <w:t>二、招标文件</w:t>
      </w:r>
      <w:bookmarkEnd w:id="11"/>
    </w:p>
    <w:p w14:paraId="753F08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 w:name="_Toc1293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2"/>
    </w:p>
    <w:p w14:paraId="5EE491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532065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4DE344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54BDB5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694062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D0BBB3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0B5206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4EDFA1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635F47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367EEEDC">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EC8DD8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14:paraId="0A68B5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0E086A72">
      <w:pPr>
        <w:tabs>
          <w:tab w:val="left" w:pos="6300"/>
        </w:tabs>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东莞市众源环境投资有限公司2025年-2027年污泥运输服务供应商采购项目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1183C9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39C2E7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24C4EF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14:paraId="09A5DE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0AAB21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2DA3A2B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345DE3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B4E5A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16C465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A6ED4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39651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2CDF1CE0">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96E78B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 w:name="_Toc194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3"/>
    </w:p>
    <w:p w14:paraId="46566848">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75289C0">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73DE36C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 w:name="_Toc21352"/>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4"/>
    </w:p>
    <w:p w14:paraId="41163CB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427BD2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456A2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网站（www.sfcx.cn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A5310BB">
      <w:pPr>
        <w:autoSpaceDE w:val="0"/>
        <w:autoSpaceDN w:val="0"/>
        <w:adjustRightInd w:val="0"/>
        <w:spacing w:line="360" w:lineRule="auto"/>
        <w:ind w:left="357" w:leftChars="-100" w:hanging="567"/>
        <w:rPr>
          <w:rFonts w:ascii="宋体" w:hAnsi="宋体" w:eastAsia="宋体" w:cs="宋体"/>
          <w:color w:val="auto"/>
          <w:szCs w:val="21"/>
          <w:highlight w:val="none"/>
        </w:rPr>
      </w:pPr>
    </w:p>
    <w:p w14:paraId="1CDC91A5">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5637"/>
      <w:r>
        <w:rPr>
          <w:rFonts w:hint="eastAsia" w:ascii="宋体" w:hAnsi="宋体" w:eastAsia="宋体" w:cs="宋体"/>
          <w:b/>
          <w:bCs/>
          <w:color w:val="auto"/>
          <w:kern w:val="44"/>
          <w:szCs w:val="21"/>
          <w:highlight w:val="none"/>
          <w:lang w:val="zh-CN"/>
        </w:rPr>
        <w:t>三、投标文件的编制</w:t>
      </w:r>
      <w:bookmarkEnd w:id="15"/>
    </w:p>
    <w:p w14:paraId="485FCA16">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 w:name="_Toc183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6"/>
    </w:p>
    <w:p w14:paraId="4DBBA69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616CD2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809C51A">
      <w:pPr>
        <w:autoSpaceDE w:val="0"/>
        <w:autoSpaceDN w:val="0"/>
        <w:adjustRightInd w:val="0"/>
        <w:spacing w:line="360" w:lineRule="auto"/>
        <w:rPr>
          <w:rFonts w:ascii="宋体" w:hAnsi="宋体" w:eastAsia="宋体" w:cs="宋体"/>
          <w:color w:val="auto"/>
          <w:szCs w:val="21"/>
          <w:highlight w:val="none"/>
          <w:lang w:val="zh-CN"/>
        </w:rPr>
      </w:pPr>
    </w:p>
    <w:p w14:paraId="74EBFAC0">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7" w:name="_Toc18227"/>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7"/>
    </w:p>
    <w:p w14:paraId="51FC720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2D5488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721D72D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D25AA0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4A45EB9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61B3B4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05E119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54355E6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09AAA4E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325EA4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4AF21B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38FAC00">
      <w:pPr>
        <w:tabs>
          <w:tab w:val="left" w:pos="1276"/>
        </w:tabs>
        <w:spacing w:line="360" w:lineRule="auto"/>
        <w:ind w:left="283" w:hanging="283" w:hangingChars="135"/>
        <w:rPr>
          <w:rFonts w:hint="eastAsia" w:ascii="宋体" w:hAnsi="宋体" w:eastAsia="宋体"/>
          <w:color w:val="auto"/>
          <w:szCs w:val="21"/>
          <w:highlight w:val="none"/>
          <w:lang w:val="zh-CN"/>
        </w:rPr>
      </w:pP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lang w:val="zh-CN"/>
        </w:rPr>
        <w:t>道路运输管理机构颁发的有效期内的《道路运输经营许可证》复印件，经营范围含普通货运；</w:t>
      </w:r>
    </w:p>
    <w:p w14:paraId="2B66E689">
      <w:pPr>
        <w:tabs>
          <w:tab w:val="left" w:pos="1276"/>
        </w:tabs>
        <w:spacing w:line="360" w:lineRule="auto"/>
        <w:ind w:left="283" w:hanging="283" w:hangingChars="135"/>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）资格业绩【投标人2021年1月1日以来具有一份运输</w:t>
      </w:r>
      <w:r>
        <w:rPr>
          <w:rFonts w:hint="eastAsia" w:ascii="宋体" w:hAnsi="宋体" w:eastAsia="宋体"/>
          <w:color w:val="auto"/>
          <w:szCs w:val="21"/>
          <w:highlight w:val="none"/>
          <w:lang w:val="en-US" w:eastAsia="zh-CN"/>
        </w:rPr>
        <w:t>服务</w:t>
      </w:r>
      <w:r>
        <w:rPr>
          <w:rFonts w:hint="eastAsia" w:ascii="宋体" w:hAnsi="宋体" w:eastAsia="宋体"/>
          <w:color w:val="auto"/>
          <w:szCs w:val="21"/>
          <w:highlight w:val="none"/>
        </w:rPr>
        <w:t>项目业绩（合同签订日期为2021年1月1日或以后），资格业绩证明材料提交要求详见招标文件第六篇投标文件格式</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18CE22A">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C29F7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11325D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4D1B82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（8）标准化体系认证；</w:t>
      </w:r>
    </w:p>
    <w:p w14:paraId="3895625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6C54CF9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373A056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48C0D4F4">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754C32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7DF139C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3179A2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06C327CF">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（2）运输管理方案；</w:t>
      </w:r>
    </w:p>
    <w:p w14:paraId="3ACA73A0">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（3）拟投入运输的车辆的使用年限；</w:t>
      </w:r>
    </w:p>
    <w:p w14:paraId="03BC0C5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（4）拟投入的运输人员；</w:t>
      </w:r>
    </w:p>
    <w:p w14:paraId="54025DBD">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）应急预案和保障措施；</w:t>
      </w:r>
    </w:p>
    <w:p w14:paraId="66B9E30E">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日均外运湿泥量承诺书</w:t>
      </w:r>
      <w:r>
        <w:rPr>
          <w:rFonts w:hint="eastAsia" w:ascii="宋体" w:hAnsi="宋体" w:eastAsia="宋体" w:cs="宋体"/>
          <w:color w:val="auto"/>
          <w:kern w:val="0"/>
          <w:szCs w:val="21"/>
          <w:highlight w:val="none"/>
          <w:lang w:eastAsia="zh-CN"/>
        </w:rPr>
        <w:t>；</w:t>
      </w:r>
    </w:p>
    <w:p w14:paraId="3FD22908">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494FF84">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998C33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0C91803">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880E85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F52069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87A86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E9D26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32F092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AF512B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 w:name="_Toc2083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8"/>
    </w:p>
    <w:p w14:paraId="1B38F8BE">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719A36">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05CBBB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 w:name="_Toc1536"/>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9"/>
    </w:p>
    <w:p w14:paraId="2F3E53A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w:t>
      </w:r>
      <w:r>
        <w:rPr>
          <w:rFonts w:hint="eastAsia" w:ascii="宋体" w:hAnsi="宋体" w:eastAsia="宋体" w:cs="Times New Roman"/>
          <w:b/>
          <w:color w:val="auto"/>
          <w:szCs w:val="21"/>
          <w:highlight w:val="none"/>
          <w:u w:val="single"/>
          <w:lang w:val="zh-CN"/>
        </w:rPr>
        <w:t>只允许有一个报价价格，任何有选择的或</w:t>
      </w:r>
      <w:r>
        <w:rPr>
          <w:rFonts w:hint="eastAsia" w:ascii="宋体" w:hAnsi="宋体" w:eastAsia="宋体" w:cs="Times New Roman"/>
          <w:b/>
          <w:color w:val="auto"/>
          <w:kern w:val="0"/>
          <w:szCs w:val="21"/>
          <w:highlight w:val="none"/>
          <w:u w:val="single"/>
          <w:lang w:val="zh-CN"/>
        </w:rPr>
        <w:t>不是固定价的</w:t>
      </w:r>
      <w:r>
        <w:rPr>
          <w:rFonts w:hint="eastAsia" w:ascii="宋体" w:hAnsi="宋体" w:eastAsia="宋体" w:cs="Times New Roman"/>
          <w:b/>
          <w:color w:val="auto"/>
          <w:szCs w:val="21"/>
          <w:highlight w:val="none"/>
          <w:u w:val="single"/>
          <w:lang w:val="zh-CN"/>
        </w:rPr>
        <w:t>投标报价将不予接受，</w:t>
      </w:r>
      <w:r>
        <w:rPr>
          <w:rFonts w:hint="eastAsia" w:ascii="宋体" w:hAnsi="宋体" w:eastAsia="宋体" w:cs="Times New Roman"/>
          <w:b/>
          <w:color w:val="auto"/>
          <w:kern w:val="0"/>
          <w:szCs w:val="21"/>
          <w:highlight w:val="none"/>
          <w:u w:val="single"/>
          <w:lang w:val="zh-CN"/>
        </w:rPr>
        <w:t>作为非实质性响应投标而予以拒绝。</w:t>
      </w:r>
      <w:r>
        <w:rPr>
          <w:rFonts w:hint="eastAsia" w:ascii="宋体" w:hAnsi="宋体" w:eastAsia="宋体" w:cs="Times New Roman"/>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lang w:val="zh-CN"/>
        </w:rPr>
        <w:t>。</w:t>
      </w:r>
    </w:p>
    <w:p w14:paraId="2CE73A6A">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14:paraId="2399F09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lang w:val="en-US" w:eastAsia="zh-CN"/>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r>
        <w:rPr>
          <w:rFonts w:hint="eastAsia" w:ascii="宋体" w:hAnsi="宋体" w:eastAsia="宋体" w:cs="宋体"/>
          <w:b/>
          <w:color w:val="auto"/>
          <w:szCs w:val="21"/>
          <w:highlight w:val="none"/>
          <w:lang w:val="zh-CN"/>
        </w:rPr>
        <w:t>。</w:t>
      </w:r>
    </w:p>
    <w:p w14:paraId="224881D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color="auto"/>
          <w:lang w:val="zh-CN"/>
        </w:rPr>
        <w:t>本项目投标报价为污水处理厂污泥东莞市内运输项目不含税单价[单位：元/（吨·公里）]，即为《中华人民共和国增值税暂行条例》（国务院令第691号修订版）规定的销售额。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中标后为完成招标文件和合同规定的全部工作所需支付的一切费用，运输服务费单价为包干价，包括但不限于中标人履行本合同所发生的运输服务范围内所需的人工费（含加班和节假日补贴）、车辆使用及燃油费、作业现场除尘及场地清洗费、湿泥运输过路桥费（含高速路）、提供运输服务人员的工资、食宿、保险费（包括运输车辆交强险、第三者责任险等商业保险，中标人及其雇员社会保障资金、保险、第三者责任险，环境污染责任险等）、中标人复核湿泥重量的称重费（如有）、因部分湿泥贮存点现场条件限制只能安排小型运输车辆而增加的成本、日常配合服务费、投标人销项税额以外的税费等合同实施过程中产生的全部直接和间接费用。依法计得并根据采购项目合同约定确定的销项税额由招标人承担。在本项目履行过程中，运输服务费单价（即销售额，不含中标人销项税额）不随法律法规政策、物价人工、油价、路桥费等调整而进行调整（合同明确约定可调整的除外），未经招标人书面确认，中标人（包括但不限于中标人指定的第三方）无权增加任何费用。</w:t>
      </w:r>
    </w:p>
    <w:p w14:paraId="0E3C993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F28310F">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AC916C3">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18D0AB0B">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的投标报价高于最高投标限价的，该投标人的投标文件将被视为无效投标</w:t>
      </w:r>
      <w:r>
        <w:rPr>
          <w:rFonts w:hint="eastAsia" w:ascii="宋体" w:hAnsi="宋体" w:eastAsia="宋体" w:cs="宋体"/>
          <w:b/>
          <w:color w:val="auto"/>
          <w:szCs w:val="21"/>
          <w:highlight w:val="none"/>
          <w:u w:val="single"/>
          <w:lang w:val="zh-CN"/>
        </w:rPr>
        <w:t>。其中，污水处理厂污泥东莞市内运输项目不含税单价投标最高限价为</w:t>
      </w:r>
      <w:r>
        <w:rPr>
          <w:rFonts w:hint="eastAsia" w:ascii="宋体" w:hAnsi="宋体" w:eastAsia="宋体" w:cs="宋体"/>
          <w:b/>
          <w:color w:val="auto"/>
          <w:szCs w:val="21"/>
          <w:highlight w:val="none"/>
          <w:u w:val="single"/>
          <w:lang w:val="en-US" w:eastAsia="zh-CN"/>
        </w:rPr>
        <w:t xml:space="preserve">1.86 </w:t>
      </w:r>
      <w:r>
        <w:rPr>
          <w:rFonts w:hint="eastAsia" w:ascii="宋体" w:hAnsi="宋体" w:eastAsia="宋体" w:cs="宋体"/>
          <w:b/>
          <w:color w:val="auto"/>
          <w:szCs w:val="21"/>
          <w:highlight w:val="none"/>
          <w:u w:val="single"/>
          <w:lang w:val="zh-CN"/>
        </w:rPr>
        <w:t>元/（吨·公里），（大写：人民币每吨</w:t>
      </w:r>
      <w:r>
        <w:rPr>
          <w:rFonts w:hint="eastAsia" w:ascii="宋体" w:hAnsi="宋体" w:eastAsia="宋体" w:cs="宋体"/>
          <w:b/>
          <w:color w:val="auto"/>
          <w:szCs w:val="21"/>
          <w:highlight w:val="none"/>
          <w:u w:val="single"/>
          <w:lang w:val="en-US" w:eastAsia="zh-CN"/>
        </w:rPr>
        <w:t>公里壹元捌角陆分</w:t>
      </w:r>
      <w:r>
        <w:rPr>
          <w:rFonts w:hint="eastAsia" w:ascii="宋体" w:hAnsi="宋体" w:eastAsia="宋体" w:cs="宋体"/>
          <w:b/>
          <w:color w:val="auto"/>
          <w:szCs w:val="21"/>
          <w:highlight w:val="none"/>
          <w:u w:val="single"/>
          <w:lang w:val="zh-CN"/>
        </w:rPr>
        <w:t>）。</w:t>
      </w:r>
    </w:p>
    <w:p w14:paraId="723CB6C4">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D1C76A1">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0" w:name="_Toc6367"/>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20"/>
    </w:p>
    <w:p w14:paraId="19ACF690">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投标</w:t>
      </w:r>
      <w:r>
        <w:rPr>
          <w:rFonts w:hint="eastAsia" w:ascii="宋体" w:hAnsi="宋体" w:eastAsia="宋体" w:cs="Times New Roman"/>
          <w:b/>
          <w:color w:val="auto"/>
          <w:szCs w:val="21"/>
          <w:highlight w:val="none"/>
          <w:u w:val="single"/>
          <w:lang w:val="zh-CN"/>
        </w:rPr>
        <w:t>报价表上的价格须以人民币报价，以其</w:t>
      </w:r>
      <w:r>
        <w:rPr>
          <w:rFonts w:hint="eastAsia" w:ascii="宋体" w:hAnsi="宋体" w:eastAsia="宋体" w:cs="Times New Roman"/>
          <w:b/>
          <w:color w:val="auto"/>
          <w:szCs w:val="21"/>
          <w:highlight w:val="none"/>
          <w:u w:val="single"/>
          <w:lang w:val="en-US" w:eastAsia="zh-CN"/>
        </w:rPr>
        <w:t>他</w:t>
      </w:r>
      <w:r>
        <w:rPr>
          <w:rFonts w:hint="eastAsia" w:ascii="宋体" w:hAnsi="宋体" w:eastAsia="宋体" w:cs="Times New Roman"/>
          <w:b/>
          <w:color w:val="auto"/>
          <w:szCs w:val="21"/>
          <w:highlight w:val="none"/>
          <w:u w:val="single"/>
          <w:lang w:val="zh-CN"/>
        </w:rPr>
        <w:t>货币标价的投标将予以拒绝</w:t>
      </w:r>
      <w:r>
        <w:rPr>
          <w:rFonts w:hint="eastAsia" w:ascii="宋体" w:hAnsi="宋体" w:eastAsia="宋体" w:cs="宋体"/>
          <w:b/>
          <w:color w:val="auto"/>
          <w:szCs w:val="21"/>
          <w:highlight w:val="none"/>
          <w:lang w:val="zh-CN"/>
        </w:rPr>
        <w:t>。</w:t>
      </w:r>
    </w:p>
    <w:p w14:paraId="3BEF848F">
      <w:pPr>
        <w:autoSpaceDE w:val="0"/>
        <w:autoSpaceDN w:val="0"/>
        <w:adjustRightInd w:val="0"/>
        <w:spacing w:line="360" w:lineRule="auto"/>
        <w:ind w:left="265" w:leftChars="119" w:hanging="15"/>
        <w:rPr>
          <w:rFonts w:ascii="宋体" w:hAnsi="宋体" w:eastAsia="宋体" w:cs="宋体"/>
          <w:color w:val="auto"/>
          <w:szCs w:val="21"/>
          <w:highlight w:val="none"/>
        </w:rPr>
      </w:pPr>
    </w:p>
    <w:p w14:paraId="49688FF5">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 w:name="_Toc394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1"/>
    </w:p>
    <w:p w14:paraId="408D2E2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D48CC71">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33D95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AC69C2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5CBDB4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37E0D1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33DCF7A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34A48B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 w:name="_Toc664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2"/>
    </w:p>
    <w:p w14:paraId="0BF466E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6B0F9D9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7B391BA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为说明第14.2款的规定，投标人应注意本招标文件在《用户需求书》中对服务要求</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szCs w:val="21"/>
          <w:highlight w:val="none"/>
          <w:lang w:val="zh-CN"/>
        </w:rPr>
        <w:t>。</w:t>
      </w:r>
    </w:p>
    <w:p w14:paraId="5A1ACE17">
      <w:pPr>
        <w:autoSpaceDE w:val="0"/>
        <w:autoSpaceDN w:val="0"/>
        <w:adjustRightInd w:val="0"/>
        <w:spacing w:line="360" w:lineRule="auto"/>
        <w:rPr>
          <w:rFonts w:ascii="宋体" w:hAnsi="宋体" w:eastAsia="宋体" w:cs="Times New Roman"/>
          <w:color w:val="auto"/>
          <w:kern w:val="0"/>
          <w:sz w:val="24"/>
          <w:szCs w:val="24"/>
          <w:highlight w:val="none"/>
        </w:rPr>
      </w:pPr>
    </w:p>
    <w:p w14:paraId="1C5E2D0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 w:name="_Toc3193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3"/>
    </w:p>
    <w:p w14:paraId="5C258CB7">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¥120,000.00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38980CA">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ECA10D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A0B9A20">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0C86F8E3">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开户名称：东莞市众源环境投资有限公司 </w:t>
      </w:r>
    </w:p>
    <w:p w14:paraId="3E9B2E43">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开户银行：招商银行股份有限公司东莞分行</w:t>
      </w:r>
      <w:r>
        <w:rPr>
          <w:rFonts w:hint="eastAsia" w:ascii="宋体" w:hAnsi="宋体" w:eastAsia="宋体" w:cs="宋体"/>
          <w:b/>
          <w:bCs/>
          <w:color w:val="auto"/>
          <w:kern w:val="0"/>
          <w:szCs w:val="21"/>
          <w:highlight w:val="none"/>
          <w:lang w:val="zh-CN"/>
        </w:rPr>
        <w:t xml:space="preserve"> </w:t>
      </w:r>
    </w:p>
    <w:p w14:paraId="45089A10">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银行账号：769908269610828</w:t>
      </w:r>
    </w:p>
    <w:p w14:paraId="1BA1DF58">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CF0554A">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48DDD3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F365172">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7A335F6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40467A4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0F83A888">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2BFE685">
      <w:pPr>
        <w:numPr>
          <w:ilvl w:val="0"/>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10C2E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1654E1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DFA875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96279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49CBE63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243B3065">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69F3772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 w:name="_Toc98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4"/>
    </w:p>
    <w:p w14:paraId="4F677C39">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EA1D7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B966CD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58F96D0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C650AE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 w:name="_Toc265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5"/>
    </w:p>
    <w:p w14:paraId="405B875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413690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344F80D">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79C2B4F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AB0C9C2">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E2977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DE1E14F">
      <w:pPr>
        <w:autoSpaceDE w:val="0"/>
        <w:autoSpaceDN w:val="0"/>
        <w:adjustRightInd w:val="0"/>
        <w:jc w:val="left"/>
        <w:rPr>
          <w:rFonts w:ascii="宋体" w:hAnsi="宋体" w:eastAsia="宋体" w:cs="宋体"/>
          <w:color w:val="auto"/>
          <w:kern w:val="0"/>
          <w:sz w:val="24"/>
          <w:szCs w:val="24"/>
          <w:highlight w:val="none"/>
        </w:rPr>
      </w:pPr>
    </w:p>
    <w:p w14:paraId="7B028822">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6" w:name="_Toc2815"/>
      <w:r>
        <w:rPr>
          <w:rFonts w:hint="eastAsia" w:ascii="宋体" w:hAnsi="宋体" w:eastAsia="宋体" w:cs="宋体"/>
          <w:b/>
          <w:bCs/>
          <w:color w:val="auto"/>
          <w:kern w:val="44"/>
          <w:szCs w:val="21"/>
          <w:highlight w:val="none"/>
          <w:lang w:val="zh-CN"/>
        </w:rPr>
        <w:t>四、投标文件的递交</w:t>
      </w:r>
      <w:bookmarkEnd w:id="26"/>
    </w:p>
    <w:p w14:paraId="7853A91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 w:name="_Toc1717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7"/>
    </w:p>
    <w:p w14:paraId="60EE7B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C3366B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A38276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ADF2FE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9DA759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660A12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5E21E1C">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u w:val="single"/>
          <w:lang w:val="zh-CN"/>
        </w:rPr>
        <w:t>如果</w:t>
      </w:r>
      <w:r>
        <w:rPr>
          <w:rFonts w:hint="eastAsia" w:ascii="宋体" w:hAnsi="宋体" w:eastAsia="宋体" w:cs="Times New Roman"/>
          <w:b/>
          <w:color w:val="auto"/>
          <w:szCs w:val="21"/>
          <w:highlight w:val="none"/>
          <w:u w:val="singl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A3A470A">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4F65E13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4C5AA38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 w:name="_Toc28247"/>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8"/>
    </w:p>
    <w:p w14:paraId="0A40827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D33B42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3181C5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B348C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9" w:name="_Toc2426"/>
      <w:r>
        <w:rPr>
          <w:rFonts w:hint="eastAsia" w:ascii="宋体" w:hAnsi="宋体" w:eastAsia="宋体" w:cs="宋体"/>
          <w:color w:val="auto"/>
          <w:szCs w:val="21"/>
          <w:highlight w:val="none"/>
          <w:lang w:val="zh-CN"/>
        </w:rPr>
        <w:t>20 迟交的投标文件</w:t>
      </w:r>
      <w:bookmarkEnd w:id="29"/>
    </w:p>
    <w:p w14:paraId="1A6DC7A5">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F3843C1">
      <w:pPr>
        <w:autoSpaceDE w:val="0"/>
        <w:autoSpaceDN w:val="0"/>
        <w:adjustRightInd w:val="0"/>
        <w:jc w:val="left"/>
        <w:rPr>
          <w:rFonts w:ascii="宋体" w:hAnsi="宋体" w:eastAsia="宋体" w:cs="宋体"/>
          <w:color w:val="auto"/>
          <w:kern w:val="0"/>
          <w:sz w:val="24"/>
          <w:szCs w:val="24"/>
          <w:highlight w:val="none"/>
        </w:rPr>
      </w:pPr>
    </w:p>
    <w:p w14:paraId="792634B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 w:name="_Toc2327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0"/>
    </w:p>
    <w:p w14:paraId="3AD73FC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C29CA4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62C912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28CC89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2AD312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468123A">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1" w:name="_Toc20737"/>
      <w:r>
        <w:rPr>
          <w:rFonts w:hint="eastAsia" w:ascii="宋体" w:hAnsi="宋体" w:eastAsia="宋体" w:cs="宋体"/>
          <w:b/>
          <w:bCs/>
          <w:color w:val="auto"/>
          <w:kern w:val="44"/>
          <w:szCs w:val="21"/>
          <w:highlight w:val="none"/>
          <w:lang w:val="zh-CN"/>
        </w:rPr>
        <w:t>五、开标与评标</w:t>
      </w:r>
      <w:bookmarkEnd w:id="31"/>
    </w:p>
    <w:p w14:paraId="6DFDEF8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 w:name="_Toc30389"/>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2"/>
    </w:p>
    <w:p w14:paraId="1663C85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77901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E73D15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479C6ED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042396A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DDF0CB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4B5338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53ECDC9">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 w:name="_Toc22561"/>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3"/>
    </w:p>
    <w:p w14:paraId="5999D6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3302E0B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FE39C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79255C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 w:name="_Toc1560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4"/>
    </w:p>
    <w:p w14:paraId="4E4A9A7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CA4EC7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E9B4E5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7D81BB6">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5" w:name="_Toc1258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5"/>
    </w:p>
    <w:p w14:paraId="6B9B066C">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DFB0E9E">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BF5563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FECE243">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 w:name="_Toc29379"/>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6"/>
    </w:p>
    <w:p w14:paraId="49970FE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5DA86B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9BA04E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p w14:paraId="23425D20">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 w:name="_Toc20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7"/>
    </w:p>
    <w:p w14:paraId="3111130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C73096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AEFD60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391DB8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5B8E07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31F2646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3E9314B">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p>
    <w:p w14:paraId="443FF37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 w:name="_Toc553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8"/>
    </w:p>
    <w:p w14:paraId="0796657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197A32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1EB128E2">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BF25D61">
      <w:pPr>
        <w:tabs>
          <w:tab w:val="left" w:pos="360"/>
        </w:tabs>
        <w:autoSpaceDE w:val="0"/>
        <w:autoSpaceDN w:val="0"/>
        <w:adjustRightInd w:val="0"/>
        <w:spacing w:line="360" w:lineRule="auto"/>
        <w:ind w:left="330" w:leftChars="-100" w:right="44" w:rightChars="21" w:hanging="54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kern w:val="0"/>
          <w:szCs w:val="21"/>
          <w:highlight w:val="none"/>
          <w:u w:val="single"/>
        </w:rPr>
        <w:t>评标委员会</w:t>
      </w:r>
      <w:r>
        <w:rPr>
          <w:rFonts w:hint="eastAsia" w:ascii="宋体" w:hAnsi="宋体" w:eastAsia="宋体" w:cs="宋体"/>
          <w:b/>
          <w:bCs/>
          <w:color w:val="auto"/>
          <w:kern w:val="0"/>
          <w:szCs w:val="21"/>
          <w:highlight w:val="none"/>
          <w:u w:val="single"/>
          <w:lang w:val="en-US" w:eastAsia="zh-CN"/>
        </w:rPr>
        <w:t>推荐中标候选人时，</w:t>
      </w:r>
      <w:r>
        <w:rPr>
          <w:rFonts w:hint="eastAsia" w:ascii="宋体" w:hAnsi="宋体" w:eastAsia="宋体" w:cs="宋体"/>
          <w:b/>
          <w:bCs/>
          <w:color w:val="auto"/>
          <w:kern w:val="0"/>
          <w:szCs w:val="21"/>
          <w:highlight w:val="none"/>
          <w:u w:val="single"/>
        </w:rPr>
        <w:t>按综合得分从高到低的原则推荐得分最高的前3家投标人为第一中标候选人，推荐得分排名第4的投标人为第二中标候选人。若有效投标人数量不足4家，则无需推荐第二中标候选人。</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szCs w:val="21"/>
          <w:highlight w:val="none"/>
          <w:u w:val="single"/>
        </w:rPr>
        <w:t>本次招标过程中有效投标人不足三个时，公开招标失败</w:t>
      </w:r>
      <w:r>
        <w:rPr>
          <w:rFonts w:hint="eastAsia" w:ascii="宋体" w:hAnsi="宋体" w:eastAsia="宋体" w:cs="宋体"/>
          <w:b/>
          <w:bCs/>
          <w:color w:val="auto"/>
          <w:szCs w:val="21"/>
          <w:highlight w:val="none"/>
        </w:rPr>
        <w:t>。</w:t>
      </w:r>
    </w:p>
    <w:p w14:paraId="166B7A3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B04B03F">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9" w:name="_Toc1313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9"/>
    </w:p>
    <w:p w14:paraId="49996B9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311738A">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DE366C6">
      <w:pPr>
        <w:autoSpaceDE w:val="0"/>
        <w:autoSpaceDN w:val="0"/>
        <w:adjustRightInd w:val="0"/>
        <w:snapToGrid/>
        <w:spacing w:line="360" w:lineRule="auto"/>
        <w:ind w:left="284" w:leftChars="0" w:hanging="568" w:firstLineChars="0"/>
        <w:jc w:val="left"/>
        <w:rPr>
          <w:rFonts w:hint="eastAsia" w:ascii="宋体" w:hAnsi="宋体" w:eastAsia="宋体" w:cs="Times New Roman"/>
          <w:b/>
          <w:color w:val="auto"/>
          <w:szCs w:val="21"/>
          <w:highlight w:val="none"/>
          <w:u w:val="singl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u w:val="single"/>
          <w:lang w:val="zh-CN"/>
        </w:rPr>
        <w:t>移交司法机关处理</w:t>
      </w:r>
      <w:r>
        <w:rPr>
          <w:rFonts w:hint="eastAsia" w:ascii="宋体" w:hAnsi="宋体" w:eastAsia="宋体" w:cs="Times New Roman"/>
          <w:b/>
          <w:color w:val="auto"/>
          <w:szCs w:val="21"/>
          <w:highlight w:val="none"/>
          <w:lang w:val="zh-CN"/>
        </w:rPr>
        <w:t>。</w:t>
      </w:r>
    </w:p>
    <w:p w14:paraId="37590BB3">
      <w:pPr>
        <w:autoSpaceDE w:val="0"/>
        <w:autoSpaceDN w:val="0"/>
        <w:adjustRightInd w:val="0"/>
        <w:snapToGrid/>
        <w:spacing w:line="360" w:lineRule="auto"/>
        <w:ind w:left="330" w:leftChars="157" w:firstLine="481" w:firstLineChars="228"/>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u w:val="single"/>
        </w:rPr>
        <w:t>第一中标候选人未能在招标人（或其委托的招标代理机构</w:t>
      </w:r>
      <w:r>
        <w:rPr>
          <w:rFonts w:ascii="宋体" w:hAnsi="宋体" w:eastAsia="宋体" w:cs="Times New Roman"/>
          <w:b/>
          <w:color w:val="auto"/>
          <w:kern w:val="0"/>
          <w:szCs w:val="21"/>
          <w:highlight w:val="none"/>
          <w:u w:val="single"/>
        </w:rPr>
        <w:t>) 书面要求的时间(一般不少于三个工作日) 内提供完整的材料原件进行核查的</w:t>
      </w:r>
      <w:r>
        <w:rPr>
          <w:rFonts w:hint="eastAsia" w:ascii="宋体" w:hAnsi="宋体" w:eastAsia="宋体" w:cs="Times New Roman"/>
          <w:b/>
          <w:color w:val="auto"/>
          <w:szCs w:val="21"/>
          <w:highlight w:val="none"/>
          <w:u w:val="single"/>
          <w:lang w:val="zh-CN"/>
        </w:rPr>
        <w:t>，视为其无法提供真实的资料，招标人有权取消其中标候选人资格</w:t>
      </w:r>
      <w:r>
        <w:rPr>
          <w:rFonts w:hint="eastAsia" w:ascii="宋体" w:hAnsi="宋体" w:eastAsia="宋体" w:cs="Times New Roman"/>
          <w:b/>
          <w:color w:val="auto"/>
          <w:szCs w:val="21"/>
          <w:highlight w:val="none"/>
          <w:lang w:val="zh-CN"/>
        </w:rPr>
        <w:t>。</w:t>
      </w:r>
    </w:p>
    <w:p w14:paraId="34E0BE9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1B9738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DDED0D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790291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285E7C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B9D918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2B029E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F8A763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408A217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3CF78A7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72924A2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D790E46">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40" w:name="_Toc1513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0"/>
    </w:p>
    <w:p w14:paraId="0959EA0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Times New Roman"/>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90A9A2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Times New Roman"/>
          <w:b/>
          <w:color w:val="auto"/>
          <w:kern w:val="0"/>
          <w:szCs w:val="21"/>
          <w:highlight w:val="none"/>
          <w:u w:val="single"/>
        </w:rPr>
        <w:t>在招标人（或其委托的招标代理机构）、或评标委员会通知其提供</w:t>
      </w:r>
      <w:r>
        <w:rPr>
          <w:rFonts w:hint="eastAsia" w:ascii="宋体" w:hAnsi="宋体" w:eastAsia="宋体" w:cs="Times New Roman"/>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1DDB35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w:t>
      </w:r>
      <w:r>
        <w:rPr>
          <w:rFonts w:ascii="宋体" w:hAnsi="宋体" w:eastAsia="宋体" w:cs="宋体"/>
          <w:b/>
          <w:color w:val="auto"/>
          <w:szCs w:val="21"/>
          <w:highlight w:val="none"/>
          <w:u w:val="single"/>
        </w:rPr>
        <w:t>虚假响应</w:t>
      </w:r>
      <w:r>
        <w:rPr>
          <w:rFonts w:hint="eastAsia" w:ascii="宋体" w:hAnsi="宋体" w:eastAsia="宋体" w:cs="宋体"/>
          <w:b/>
          <w:color w:val="auto"/>
          <w:szCs w:val="21"/>
          <w:highlight w:val="none"/>
          <w:u w:val="single"/>
        </w:rPr>
        <w:t>招标</w:t>
      </w:r>
      <w:r>
        <w:rPr>
          <w:rFonts w:ascii="宋体" w:hAnsi="宋体" w:eastAsia="宋体" w:cs="宋体"/>
          <w:b/>
          <w:color w:val="auto"/>
          <w:szCs w:val="21"/>
          <w:highlight w:val="none"/>
          <w:u w:val="single"/>
        </w:rPr>
        <w:t>文件</w:t>
      </w:r>
      <w:r>
        <w:rPr>
          <w:rFonts w:hint="eastAsia" w:ascii="宋体" w:hAnsi="宋体" w:eastAsia="宋体" w:cs="宋体"/>
          <w:b/>
          <w:color w:val="auto"/>
          <w:szCs w:val="21"/>
          <w:highlight w:val="none"/>
          <w:u w:val="single"/>
        </w:rPr>
        <w:t>要求等弄虚作假行为，或未能根据本须知2</w:t>
      </w:r>
      <w:r>
        <w:rPr>
          <w:rFonts w:ascii="宋体" w:hAnsi="宋体" w:eastAsia="宋体" w:cs="宋体"/>
          <w:b/>
          <w:color w:val="auto"/>
          <w:szCs w:val="21"/>
          <w:highlight w:val="none"/>
          <w:u w:val="single"/>
        </w:rPr>
        <w:t>9.2</w:t>
      </w:r>
      <w:r>
        <w:rPr>
          <w:rFonts w:hint="eastAsia" w:ascii="宋体" w:hAnsi="宋体" w:eastAsia="宋体" w:cs="宋体"/>
          <w:b/>
          <w:color w:val="auto"/>
          <w:szCs w:val="21"/>
          <w:highlight w:val="none"/>
          <w:u w:val="single"/>
        </w:rPr>
        <w:t>款约定按时提供原件进行核查的，</w:t>
      </w:r>
      <w:r>
        <w:rPr>
          <w:rFonts w:ascii="宋体" w:hAnsi="宋体" w:eastAsia="宋体" w:cs="宋体"/>
          <w:b/>
          <w:color w:val="auto"/>
          <w:szCs w:val="21"/>
          <w:highlight w:val="none"/>
          <w:u w:val="single"/>
        </w:rPr>
        <w:t>或不按照投标文件承诺履约</w:t>
      </w:r>
      <w:r>
        <w:rPr>
          <w:rFonts w:hint="eastAsia" w:ascii="宋体" w:hAnsi="宋体" w:eastAsia="宋体" w:cs="宋体"/>
          <w:b/>
          <w:color w:val="auto"/>
          <w:szCs w:val="21"/>
          <w:highlight w:val="none"/>
          <w:u w:val="single"/>
        </w:rPr>
        <w:t>或撤回投标或放弃中标资格或</w:t>
      </w:r>
      <w:r>
        <w:rPr>
          <w:rFonts w:ascii="宋体" w:hAnsi="宋体" w:eastAsia="宋体" w:cs="宋体"/>
          <w:b/>
          <w:color w:val="auto"/>
          <w:szCs w:val="21"/>
          <w:highlight w:val="none"/>
          <w:u w:val="single"/>
        </w:rPr>
        <w:t>不按要求与招标人签订合同等影响中标结果的行为</w:t>
      </w:r>
      <w:r>
        <w:rPr>
          <w:rFonts w:hint="eastAsia" w:ascii="宋体" w:hAnsi="宋体" w:eastAsia="宋体" w:cs="宋体"/>
          <w:b/>
          <w:color w:val="auto"/>
          <w:szCs w:val="21"/>
          <w:highlight w:val="none"/>
          <w:u w:val="single"/>
        </w:rPr>
        <w:t>，因此导致投标人无法参与东莞市水务集团有限公司相关招标采购等活动的，由投标人自行承担全部后果</w:t>
      </w:r>
      <w:r>
        <w:rPr>
          <w:rFonts w:hint="eastAsia" w:ascii="宋体" w:hAnsi="宋体" w:eastAsia="宋体" w:cs="宋体"/>
          <w:b/>
          <w:color w:val="auto"/>
          <w:szCs w:val="21"/>
          <w:highlight w:val="none"/>
        </w:rPr>
        <w:t>。</w:t>
      </w:r>
    </w:p>
    <w:p w14:paraId="531E8A90">
      <w:pPr>
        <w:autoSpaceDE w:val="0"/>
        <w:autoSpaceDN w:val="0"/>
        <w:adjustRightInd w:val="0"/>
        <w:snapToGrid w:val="0"/>
        <w:spacing w:line="360" w:lineRule="auto"/>
        <w:jc w:val="left"/>
        <w:rPr>
          <w:rFonts w:ascii="宋体" w:hAnsi="宋体" w:eastAsia="宋体" w:cs="宋体"/>
          <w:color w:val="auto"/>
          <w:szCs w:val="21"/>
          <w:highlight w:val="none"/>
        </w:rPr>
      </w:pPr>
    </w:p>
    <w:p w14:paraId="1533F376">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41" w:name="_Toc2497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1"/>
    </w:p>
    <w:p w14:paraId="66E2B26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05E632A">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p>
    <w:p w14:paraId="4FE3B87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2" w:name="_Toc21337"/>
      <w:r>
        <w:rPr>
          <w:rFonts w:hint="eastAsia" w:ascii="宋体" w:hAnsi="宋体" w:eastAsia="宋体" w:cs="宋体"/>
          <w:b/>
          <w:bCs/>
          <w:color w:val="auto"/>
          <w:kern w:val="44"/>
          <w:szCs w:val="21"/>
          <w:highlight w:val="none"/>
          <w:lang w:val="zh-CN"/>
        </w:rPr>
        <w:t>六、授予合同</w:t>
      </w:r>
      <w:bookmarkEnd w:id="42"/>
    </w:p>
    <w:p w14:paraId="0442422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3" w:name="_Toc1291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3"/>
    </w:p>
    <w:p w14:paraId="170600F1">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66E7D4E">
      <w:pPr>
        <w:numPr>
          <w:ilvl w:val="0"/>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32.2 </w:t>
      </w:r>
      <w:r>
        <w:rPr>
          <w:rFonts w:hint="eastAsia" w:ascii="宋体" w:hAnsi="宋体" w:eastAsia="宋体" w:cs="宋体"/>
          <w:b/>
          <w:bCs/>
          <w:color w:val="auto"/>
          <w:kern w:val="2"/>
          <w:sz w:val="21"/>
          <w:szCs w:val="21"/>
          <w:highlight w:val="none"/>
          <w:u w:val="single"/>
          <w:lang w:val="zh-CN"/>
        </w:rPr>
        <w:t>招标人</w:t>
      </w:r>
      <w:r>
        <w:rPr>
          <w:rFonts w:hint="eastAsia" w:ascii="宋体" w:hAnsi="宋体" w:eastAsia="宋体" w:cs="宋体"/>
          <w:b/>
          <w:bCs/>
          <w:color w:val="auto"/>
          <w:kern w:val="2"/>
          <w:sz w:val="21"/>
          <w:szCs w:val="21"/>
          <w:highlight w:val="none"/>
          <w:u w:val="single"/>
        </w:rPr>
        <w:t>依法按照评标报告中推荐的中标候选人顺序确定3家中标人</w:t>
      </w:r>
      <w:r>
        <w:rPr>
          <w:rFonts w:hint="eastAsia" w:ascii="宋体" w:hAnsi="宋体" w:eastAsia="宋体" w:cs="宋体"/>
          <w:color w:val="auto"/>
          <w:szCs w:val="21"/>
          <w:highlight w:val="none"/>
          <w:lang w:val="zh-CN"/>
        </w:rPr>
        <w:t>。</w:t>
      </w:r>
    </w:p>
    <w:p w14:paraId="6DC0B179">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w:t>
      </w:r>
      <w:r>
        <w:rPr>
          <w:rFonts w:hint="eastAsia" w:ascii="宋体" w:hAnsi="宋体" w:eastAsia="宋体" w:cs="宋体"/>
          <w:b w:val="0"/>
          <w:bCs w:val="0"/>
          <w:color w:val="auto"/>
          <w:kern w:val="0"/>
          <w:szCs w:val="21"/>
          <w:highlight w:val="none"/>
        </w:rPr>
        <w:t>标。</w:t>
      </w:r>
    </w:p>
    <w:p w14:paraId="4819829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13247EA">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4" w:name="_Toc306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4"/>
    </w:p>
    <w:p w14:paraId="0FAA7F3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C980A0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88F3F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FAFC50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5" w:name="_Toc779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5"/>
    </w:p>
    <w:p w14:paraId="45CA38AA">
      <w:pPr>
        <w:autoSpaceDE w:val="0"/>
        <w:autoSpaceDN w:val="0"/>
        <w:adjustRightInd w:val="0"/>
        <w:snapToGrid w:val="0"/>
        <w:spacing w:line="360" w:lineRule="auto"/>
        <w:ind w:left="317" w:leftChars="-100" w:hanging="527" w:hangingChars="25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34.1</w:t>
      </w:r>
      <w:r>
        <w:rPr>
          <w:rFonts w:hint="eastAsia" w:ascii="宋体" w:hAnsi="宋体" w:eastAsia="宋体" w:cs="Times New Roman"/>
          <w:b/>
          <w:bCs/>
          <w:color w:val="auto"/>
          <w:szCs w:val="21"/>
          <w:highlight w:val="none"/>
          <w:lang w:val="zh-CN"/>
        </w:rPr>
        <w:tab/>
      </w:r>
      <w:r>
        <w:rPr>
          <w:rFonts w:hint="eastAsia" w:ascii="宋体" w:hAnsi="宋体" w:eastAsia="宋体" w:cs="Times New Roman"/>
          <w:b/>
          <w:bCs/>
          <w:color w:val="auto"/>
          <w:szCs w:val="21"/>
          <w:highlight w:val="non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1E1505B7">
      <w:pPr>
        <w:autoSpaceDE w:val="0"/>
        <w:autoSpaceDN w:val="0"/>
        <w:adjustRightInd w:val="0"/>
        <w:snapToGrid w:val="0"/>
        <w:spacing w:line="360" w:lineRule="auto"/>
        <w:ind w:left="317" w:leftChars="-100" w:hanging="527" w:hangingChars="25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34.</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lang w:val="zh-CN"/>
        </w:rPr>
        <w:t xml:space="preserve"> 在授予服务合同前，招标人有权组织对投标人单位的合法性、投标文件承诺的真实性、履约能力进行核查。包括对投标人资格条件、履约能力是否符合招标文件要求及投标文件承诺，是否已取得所属行业主管部门的许可资质或批复等。若发现中标人提供虚假证明文件、虚假投标文件等弄虚作假行为的，或投标人未取得国家、行业主管部门规定必须的许可资质或批复的，或经现场核查中标人运输车辆、司机人员与投标文件不符的，招标人有权取消其中标资格，不予授予服务合同，并有权不予退还其投标保证金或履约担保，并根据本篇第30.3项的规定进行处理。</w:t>
      </w:r>
    </w:p>
    <w:p w14:paraId="79A48D2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34.</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 xml:space="preserve"> 在签署合同前，招标人可对中标人投标报价明细及附表内的算术性错误进行修正，修正原则为：（</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w:t>
      </w:r>
      <w:r>
        <w:rPr>
          <w:rFonts w:hint="eastAsia" w:ascii="宋体" w:hAnsi="宋体" w:eastAsia="宋体" w:cs="宋体"/>
          <w:color w:val="auto"/>
          <w:kern w:val="0"/>
          <w:szCs w:val="21"/>
          <w:highlight w:val="none"/>
        </w:rPr>
        <w:t>当以数字表示的金额与以文字表示的金额不一致时，以文字表示的金额为准；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对不同文字文本投标文件的解释发生异议的，以中文文本为准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按前述修正原则排序依次进行修正至唯一值后的报价表经双方确认后，作为投标人的投标报价。</w:t>
      </w:r>
    </w:p>
    <w:p w14:paraId="71E3FADA">
      <w:pPr>
        <w:rPr>
          <w:color w:val="auto"/>
          <w:highlight w:val="none"/>
          <w:lang w:val="zh-CN"/>
        </w:rPr>
      </w:pPr>
    </w:p>
    <w:p w14:paraId="65EF0D2E">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6" w:name="_Toc1626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6"/>
    </w:p>
    <w:p w14:paraId="0CD5D270">
      <w:pPr>
        <w:numPr>
          <w:ilvl w:val="0"/>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其中，履约保证</w:t>
      </w:r>
      <w:r>
        <w:rPr>
          <w:rFonts w:hint="eastAsia" w:ascii="宋体" w:hAnsi="宋体" w:eastAsia="宋体" w:cs="Times New Roman"/>
          <w:b/>
          <w:bCs/>
          <w:color w:val="auto"/>
          <w:szCs w:val="21"/>
          <w:highlight w:val="none"/>
          <w:u w:val="single"/>
          <w:lang w:val="en-US" w:eastAsia="zh-CN"/>
        </w:rPr>
        <w:t>金额根据各中标人的不含税</w:t>
      </w:r>
      <w:r>
        <w:rPr>
          <w:rFonts w:hint="eastAsia" w:ascii="宋体" w:hAnsi="宋体" w:eastAsia="宋体" w:cs="Times New Roman"/>
          <w:b/>
          <w:bCs/>
          <w:color w:val="auto"/>
          <w:szCs w:val="21"/>
          <w:highlight w:val="none"/>
          <w:u w:val="single"/>
          <w:lang w:val="zh-CN"/>
        </w:rPr>
        <w:t>运输服务费单价</w:t>
      </w:r>
      <w:r>
        <w:rPr>
          <w:rFonts w:hint="eastAsia" w:ascii="宋体" w:hAnsi="宋体" w:eastAsia="宋体" w:cs="Times New Roman"/>
          <w:b/>
          <w:bCs/>
          <w:color w:val="auto"/>
          <w:szCs w:val="21"/>
          <w:highlight w:val="none"/>
          <w:u w:val="single"/>
          <w:lang w:val="en-US" w:eastAsia="zh-CN"/>
        </w:rPr>
        <w:t>报价确定，报价最低的中标人的</w:t>
      </w:r>
      <w:r>
        <w:rPr>
          <w:rFonts w:hint="eastAsia" w:ascii="宋体" w:hAnsi="宋体" w:eastAsia="宋体" w:cs="Times New Roman"/>
          <w:b/>
          <w:bCs/>
          <w:color w:val="auto"/>
          <w:szCs w:val="21"/>
          <w:highlight w:val="none"/>
          <w:u w:val="single"/>
          <w:lang w:val="zh-CN"/>
        </w:rPr>
        <w:t>履约保证</w:t>
      </w:r>
      <w:r>
        <w:rPr>
          <w:rFonts w:hint="eastAsia" w:ascii="宋体" w:hAnsi="宋体" w:eastAsia="宋体" w:cs="Times New Roman"/>
          <w:b/>
          <w:bCs/>
          <w:color w:val="auto"/>
          <w:szCs w:val="21"/>
          <w:highlight w:val="none"/>
          <w:u w:val="single"/>
          <w:lang w:val="en-US" w:eastAsia="zh-CN"/>
        </w:rPr>
        <w:t>金额为壹拾伍万元整，报价次低的中标人的</w:t>
      </w:r>
      <w:r>
        <w:rPr>
          <w:rFonts w:hint="eastAsia" w:ascii="宋体" w:hAnsi="宋体" w:eastAsia="宋体" w:cs="Times New Roman"/>
          <w:b/>
          <w:bCs/>
          <w:color w:val="auto"/>
          <w:szCs w:val="21"/>
          <w:highlight w:val="none"/>
          <w:u w:val="single"/>
          <w:lang w:val="zh-CN"/>
        </w:rPr>
        <w:t>履约保证</w:t>
      </w:r>
      <w:r>
        <w:rPr>
          <w:rFonts w:hint="eastAsia" w:ascii="宋体" w:hAnsi="宋体" w:eastAsia="宋体" w:cs="Times New Roman"/>
          <w:b/>
          <w:bCs/>
          <w:color w:val="auto"/>
          <w:szCs w:val="21"/>
          <w:highlight w:val="none"/>
          <w:u w:val="single"/>
          <w:lang w:val="en-US" w:eastAsia="zh-CN"/>
        </w:rPr>
        <w:t>金额为玖万元整，报价第三低的中标人的</w:t>
      </w:r>
      <w:r>
        <w:rPr>
          <w:rFonts w:hint="eastAsia" w:ascii="宋体" w:hAnsi="宋体" w:eastAsia="宋体" w:cs="Times New Roman"/>
          <w:b/>
          <w:bCs/>
          <w:color w:val="auto"/>
          <w:szCs w:val="21"/>
          <w:highlight w:val="none"/>
          <w:u w:val="single"/>
          <w:lang w:val="zh-CN"/>
        </w:rPr>
        <w:t>履约保证</w:t>
      </w:r>
      <w:r>
        <w:rPr>
          <w:rFonts w:hint="eastAsia" w:ascii="宋体" w:hAnsi="宋体" w:eastAsia="宋体" w:cs="Times New Roman"/>
          <w:b/>
          <w:bCs/>
          <w:color w:val="auto"/>
          <w:szCs w:val="21"/>
          <w:highlight w:val="none"/>
          <w:u w:val="single"/>
          <w:lang w:val="en-US" w:eastAsia="zh-CN"/>
        </w:rPr>
        <w:t>金额为陆万元整</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7B8913E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586A157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38BE4A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246CC85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122F10A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1FD64E7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6F8F5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9F8078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D0F9B3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EC3CB2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BB3E4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A8EBB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B42471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257E92EF">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可撤销银行履约保函（或履约保证保险或担保公司履约担保书）应在本项目合同期限届满并完成合同的全部服务义务后二十八（28）日内保持有效</w:t>
      </w:r>
      <w:r>
        <w:rPr>
          <w:rFonts w:hint="eastAsia" w:ascii="宋体" w:hAnsi="宋体" w:eastAsia="宋体" w:cs="Times New Roman"/>
          <w:color w:val="auto"/>
          <w:kern w:val="0"/>
          <w:szCs w:val="21"/>
          <w:highlight w:val="none"/>
          <w:lang w:eastAsia="zh-CN"/>
        </w:rPr>
        <w:t>。</w:t>
      </w:r>
    </w:p>
    <w:p w14:paraId="7505819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A2F4B7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281011C2">
      <w:pPr>
        <w:widowControl w:val="0"/>
        <w:tabs>
          <w:tab w:val="left" w:pos="360"/>
          <w:tab w:val="left" w:pos="4725"/>
        </w:tabs>
        <w:wordWrap/>
        <w:autoSpaceDE w:val="0"/>
        <w:autoSpaceDN w:val="0"/>
        <w:adjustRightInd w:val="0"/>
        <w:snapToGrid/>
        <w:spacing w:line="360" w:lineRule="auto"/>
        <w:ind w:left="0" w:leftChars="0" w:right="0" w:firstLine="632" w:firstLineChars="300"/>
        <w:jc w:val="left"/>
        <w:textAlignment w:val="auto"/>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BFD2837">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Cs w:val="21"/>
          <w:highlight w:val="none"/>
        </w:rPr>
        <w:t>东莞市众源环境投资有限公司</w:t>
      </w:r>
    </w:p>
    <w:p w14:paraId="2EBF7BDE">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Cs w:val="21"/>
          <w:highlight w:val="none"/>
        </w:rPr>
        <w:t>769908269610828</w:t>
      </w:r>
    </w:p>
    <w:p w14:paraId="5C596886">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Cs w:val="21"/>
          <w:highlight w:val="none"/>
        </w:rPr>
        <w:t>招商银行股份有限公司东莞分行</w:t>
      </w:r>
    </w:p>
    <w:p w14:paraId="36F77AC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w:t>
      </w:r>
      <w:r>
        <w:rPr>
          <w:rFonts w:hint="eastAsia" w:ascii="宋体" w:hAnsi="宋体" w:eastAsia="宋体" w:cs="Times New Roman"/>
          <w:color w:val="auto"/>
          <w:kern w:val="0"/>
          <w:szCs w:val="24"/>
          <w:highlight w:val="none"/>
          <w:lang w:val="en-US" w:eastAsia="zh-CN"/>
        </w:rPr>
        <w:t>6</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1942108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3115D9A">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7" w:name="_Toc2911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7"/>
    </w:p>
    <w:p w14:paraId="3C56EDD3">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4F9DEAA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1FEA48D">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8" w:name="_Toc3221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8"/>
    </w:p>
    <w:p w14:paraId="26030E37">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1DE06A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783F2EC">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9" w:name="_Toc199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9"/>
    </w:p>
    <w:p w14:paraId="076C8C9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p>
    <w:p w14:paraId="68CB6E6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DC1FDD2">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50" w:name="_Toc23464"/>
      <w:r>
        <w:rPr>
          <w:rFonts w:ascii="宋体" w:hAnsi="宋体" w:eastAsia="宋体" w:cs="宋体"/>
          <w:b/>
          <w:color w:val="auto"/>
          <w:szCs w:val="21"/>
          <w:highlight w:val="none"/>
        </w:rPr>
        <w:t>39 招标相关补充约定</w:t>
      </w:r>
      <w:bookmarkEnd w:id="50"/>
    </w:p>
    <w:p w14:paraId="3486CC1D">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u w:val="single"/>
        </w:rPr>
        <w:t>本项目投标人须知第2条所述行政处罚信息，以开标</w:t>
      </w:r>
      <w:r>
        <w:rPr>
          <w:rFonts w:hint="eastAsia" w:ascii="宋体" w:hAnsi="宋体" w:eastAsia="宋体" w:cs="Times New Roman"/>
          <w:b/>
          <w:color w:val="auto"/>
          <w:szCs w:val="21"/>
          <w:highlight w:val="none"/>
          <w:u w:val="single"/>
          <w:lang w:val="en-US" w:eastAsia="zh-CN"/>
        </w:rPr>
        <w:t>当天</w:t>
      </w:r>
      <w:r>
        <w:rPr>
          <w:rFonts w:ascii="宋体" w:hAnsi="宋体" w:eastAsia="宋体" w:cs="Times New Roman"/>
          <w:b/>
          <w:color w:val="auto"/>
          <w:szCs w:val="21"/>
          <w:highlight w:val="none"/>
          <w:u w:val="single"/>
        </w:rPr>
        <w:t>在“信用中国”网站（www.creditchina.gov.cn）查询结果为准</w:t>
      </w:r>
      <w:r>
        <w:rPr>
          <w:rFonts w:hint="eastAsia" w:ascii="宋体" w:hAnsi="宋体" w:eastAsia="宋体" w:cs="Times New Roman"/>
          <w:b/>
          <w:color w:val="auto"/>
          <w:szCs w:val="21"/>
          <w:highlight w:val="none"/>
          <w:u w:val="single"/>
        </w:rPr>
        <w:t>，或以司法、仲裁机构等出具的生效文件予以认定,时间以认定文件的落款时间为准</w:t>
      </w:r>
      <w:r>
        <w:rPr>
          <w:rFonts w:ascii="宋体" w:hAnsi="宋体" w:eastAsia="宋体" w:cs="Times New Roman"/>
          <w:b/>
          <w:color w:val="auto"/>
          <w:szCs w:val="21"/>
          <w:highlight w:val="none"/>
          <w:u w:val="single"/>
        </w:rPr>
        <w:t>。开标结束后，有关投标单位的行政处罚信息，以</w:t>
      </w:r>
      <w:r>
        <w:rPr>
          <w:rFonts w:hint="eastAsia" w:ascii="宋体" w:hAnsi="宋体" w:eastAsia="宋体" w:cs="Times New Roman"/>
          <w:b/>
          <w:color w:val="auto"/>
          <w:szCs w:val="21"/>
          <w:highlight w:val="none"/>
          <w:u w:val="single"/>
          <w:lang w:val="en-US" w:eastAsia="zh-CN"/>
        </w:rPr>
        <w:t>开标当天查询</w:t>
      </w:r>
      <w:r>
        <w:rPr>
          <w:rFonts w:ascii="宋体" w:hAnsi="宋体" w:eastAsia="宋体" w:cs="Times New Roman"/>
          <w:b/>
          <w:color w:val="auto"/>
          <w:szCs w:val="21"/>
          <w:highlight w:val="none"/>
          <w:u w:val="single"/>
        </w:rPr>
        <w:t>结果为准；结果公示期间，如投标人对有关投标单位的行政处罚信息存在异议，但不涉及第一中标候选人的，视为对中标结果没有造成实质影响。</w:t>
      </w:r>
    </w:p>
    <w:p w14:paraId="486D163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3AFEE9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51" w:name="_Toc21760"/>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51"/>
    </w:p>
    <w:p w14:paraId="452277F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2" w:name="_Toc2772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2"/>
    </w:p>
    <w:p w14:paraId="443F86ED">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14:paraId="65FF33FC">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东莞市水务集团有限公司旗下东莞市区域内</w:t>
      </w:r>
      <w:r>
        <w:rPr>
          <w:rFonts w:hint="eastAsia" w:ascii="宋体" w:hAnsi="宋体" w:eastAsia="宋体" w:cs="宋体"/>
          <w:color w:val="auto"/>
          <w:szCs w:val="21"/>
          <w:highlight w:val="none"/>
          <w:lang w:val="zh-CN" w:eastAsia="zh-CN"/>
        </w:rPr>
        <w:t>所有生活</w:t>
      </w:r>
      <w:r>
        <w:rPr>
          <w:rFonts w:hint="eastAsia" w:ascii="宋体" w:hAnsi="宋体" w:eastAsia="宋体" w:cs="宋体"/>
          <w:color w:val="auto"/>
          <w:szCs w:val="21"/>
          <w:highlight w:val="none"/>
          <w:lang w:val="zh-CN"/>
        </w:rPr>
        <w:t>污水处理厂</w:t>
      </w:r>
      <w:r>
        <w:rPr>
          <w:rFonts w:hint="eastAsia" w:ascii="宋体" w:hAnsi="宋体" w:eastAsia="宋体" w:cs="宋体"/>
          <w:color w:val="auto"/>
          <w:szCs w:val="21"/>
          <w:highlight w:val="none"/>
          <w:lang w:val="zh-CN" w:eastAsia="zh-CN"/>
        </w:rPr>
        <w:t>及部分</w:t>
      </w:r>
      <w:r>
        <w:rPr>
          <w:rFonts w:hint="eastAsia" w:ascii="宋体" w:hAnsi="宋体" w:eastAsia="宋体" w:cs="宋体"/>
          <w:color w:val="auto"/>
          <w:kern w:val="2"/>
          <w:sz w:val="21"/>
          <w:szCs w:val="21"/>
          <w:highlight w:val="none"/>
          <w:lang w:val="zh-CN" w:eastAsia="zh-CN"/>
        </w:rPr>
        <w:t>分散式污水处理站</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Cs w:val="21"/>
          <w:highlight w:val="none"/>
          <w:lang w:val="en-US" w:eastAsia="zh-CN"/>
        </w:rPr>
        <w:t>湿泥处理处置工作均由招标人负责</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其中部分污水处理厂和分散式处理中运营过程中产生的含水率约80%污泥（下称“湿泥”），招标人需将上述湿泥</w:t>
      </w:r>
      <w:r>
        <w:rPr>
          <w:rFonts w:hint="eastAsia" w:ascii="宋体" w:hAnsi="宋体" w:eastAsia="宋体" w:cs="宋体"/>
          <w:color w:val="auto"/>
          <w:kern w:val="2"/>
          <w:sz w:val="21"/>
          <w:szCs w:val="21"/>
          <w:highlight w:val="none"/>
          <w:lang w:val="en-US" w:eastAsia="zh-CN"/>
        </w:rPr>
        <w:t>转运至</w:t>
      </w:r>
      <w:r>
        <w:rPr>
          <w:rFonts w:hint="eastAsia" w:ascii="宋体" w:hAnsi="宋体" w:eastAsia="宋体" w:cs="宋体"/>
          <w:color w:val="auto"/>
          <w:kern w:val="2"/>
          <w:sz w:val="21"/>
          <w:szCs w:val="21"/>
          <w:highlight w:val="none"/>
        </w:rPr>
        <w:t>减量化处理或处置场所</w:t>
      </w:r>
      <w:r>
        <w:rPr>
          <w:rFonts w:hint="eastAsia" w:ascii="宋体" w:hAnsi="宋体" w:eastAsia="宋体" w:cs="宋体"/>
          <w:color w:val="auto"/>
          <w:kern w:val="2"/>
          <w:sz w:val="21"/>
          <w:szCs w:val="21"/>
          <w:highlight w:val="none"/>
          <w:lang w:val="en-US" w:eastAsia="zh-CN"/>
        </w:rPr>
        <w:t>进行处理处置，以</w:t>
      </w:r>
      <w:r>
        <w:rPr>
          <w:rFonts w:hint="eastAsia" w:ascii="宋体" w:hAnsi="宋体" w:eastAsia="宋体" w:cs="宋体"/>
          <w:color w:val="auto"/>
          <w:szCs w:val="21"/>
          <w:highlight w:val="none"/>
          <w:lang w:val="zh-CN"/>
        </w:rPr>
        <w:t>保障</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lang w:val="zh-CN"/>
        </w:rPr>
        <w:t>污水处理厂（</w:t>
      </w:r>
      <w:r>
        <w:rPr>
          <w:rFonts w:hint="eastAsia" w:ascii="宋体" w:hAnsi="宋体" w:eastAsia="宋体" w:cs="宋体"/>
          <w:color w:val="auto"/>
          <w:szCs w:val="21"/>
          <w:highlight w:val="none"/>
          <w:lang w:val="en-US" w:eastAsia="zh-CN"/>
        </w:rPr>
        <w:t>或处理站）</w:t>
      </w:r>
      <w:r>
        <w:rPr>
          <w:rFonts w:hint="eastAsia" w:ascii="宋体" w:hAnsi="宋体" w:eastAsia="宋体" w:cs="宋体"/>
          <w:color w:val="auto"/>
          <w:szCs w:val="21"/>
          <w:highlight w:val="none"/>
          <w:lang w:val="zh-CN"/>
        </w:rPr>
        <w:t>的正常运营</w:t>
      </w:r>
      <w:r>
        <w:rPr>
          <w:rFonts w:hint="eastAsia" w:ascii="宋体" w:hAnsi="宋体" w:eastAsia="宋体" w:cs="宋体"/>
          <w:color w:val="auto"/>
          <w:szCs w:val="21"/>
          <w:highlight w:val="none"/>
        </w:rPr>
        <w:t>。</w:t>
      </w:r>
    </w:p>
    <w:p w14:paraId="78CF90A9">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目前，</w:t>
      </w:r>
      <w:r>
        <w:rPr>
          <w:rFonts w:hint="eastAsia" w:ascii="宋体" w:hAnsi="宋体" w:eastAsia="宋体" w:cs="宋体"/>
          <w:color w:val="auto"/>
          <w:sz w:val="21"/>
          <w:szCs w:val="21"/>
          <w:highlight w:val="none"/>
          <w:lang w:val="zh-CN" w:eastAsia="zh-CN"/>
        </w:rPr>
        <w:t>东莞市区域内污水处理厂湿泥转运的需求量约为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00吨/天：凤岗竹塘二期约40吨/天，市区厂约40吨/天，塘厦石桥头厂约30吨/天，中堂污水处理厂二期约20吨/天，石龙新区厂约15吨/天，寮步一期约10吨/天，麻涌污水处理厂二期约10吨/天，和其他招标人需求临时应急外运的湿泥约35吨/天。</w:t>
      </w:r>
      <w:r>
        <w:rPr>
          <w:rFonts w:hint="eastAsia" w:ascii="宋体" w:hAnsi="宋体" w:eastAsia="宋体" w:cs="宋体"/>
          <w:color w:val="auto"/>
          <w:szCs w:val="21"/>
          <w:highlight w:val="none"/>
          <w:lang w:val="en-US" w:eastAsia="zh-CN"/>
        </w:rPr>
        <w:t>上述湿泥量为暂估值，不作为</w:t>
      </w:r>
      <w:r>
        <w:rPr>
          <w:rFonts w:hint="eastAsia" w:ascii="宋体" w:hAnsi="宋体" w:eastAsia="宋体" w:cs="宋体"/>
          <w:color w:val="auto"/>
          <w:szCs w:val="21"/>
          <w:highlight w:val="none"/>
        </w:rPr>
        <w:t>实际转运量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最终以按招标人具体需求进行安排。</w:t>
      </w:r>
    </w:p>
    <w:p w14:paraId="0983251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、运输服务期自202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年1月1日起</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年12月31日。服务期满后，如招标人需委托中标人继续开展服务范围内的服务时，经双方协商同意及签订补充协议后，中标人可以按合同约定的计价方式向招标人继续提供运输服务，续期期限原则上不超过3个月。</w:t>
      </w:r>
      <w:r>
        <w:rPr>
          <w:rFonts w:hint="eastAsia" w:ascii="宋体" w:hAnsi="宋体" w:eastAsia="宋体" w:cs="宋体"/>
          <w:b w:val="0"/>
          <w:bCs w:val="0"/>
          <w:color w:val="auto"/>
          <w:kern w:val="0"/>
          <w:sz w:val="21"/>
          <w:szCs w:val="21"/>
          <w:highlight w:val="none"/>
          <w:u w:val="none"/>
          <w:lang w:val="en-US" w:eastAsia="zh-CN"/>
        </w:rPr>
        <w:t>招标人可视自身情况终止部分（或全部）厂区</w:t>
      </w:r>
      <w:r>
        <w:rPr>
          <w:rFonts w:hint="eastAsia" w:ascii="宋体" w:hAnsi="宋体" w:eastAsia="宋体" w:cs="宋体"/>
          <w:b w:val="0"/>
          <w:bCs w:val="0"/>
          <w:color w:val="auto"/>
          <w:sz w:val="21"/>
          <w:szCs w:val="21"/>
          <w:highlight w:val="none"/>
          <w:u w:val="none"/>
          <w:lang w:val="en-US" w:eastAsia="zh-CN"/>
        </w:rPr>
        <w:t>湿泥运输服务工作</w:t>
      </w:r>
      <w:r>
        <w:rPr>
          <w:rFonts w:hint="eastAsia" w:ascii="宋体" w:hAnsi="宋体" w:eastAsia="宋体" w:cs="宋体"/>
          <w:b w:val="0"/>
          <w:bCs w:val="0"/>
          <w:color w:val="auto"/>
          <w:kern w:val="0"/>
          <w:sz w:val="21"/>
          <w:szCs w:val="21"/>
          <w:highlight w:val="none"/>
          <w:u w:val="none"/>
          <w:lang w:val="en-US" w:eastAsia="zh-CN"/>
        </w:rPr>
        <w:t>。</w:t>
      </w:r>
    </w:p>
    <w:p w14:paraId="0A880813">
      <w:pPr>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本项目共确定3家运输服务单位，污</w:t>
      </w:r>
      <w:r>
        <w:rPr>
          <w:rFonts w:hint="eastAsia" w:ascii="宋体" w:hAnsi="宋体" w:eastAsia="宋体" w:cs="宋体"/>
          <w:color w:val="auto"/>
          <w:highlight w:val="none"/>
          <w:lang w:val="en-US" w:eastAsia="zh-CN"/>
        </w:rPr>
        <w:t>水处理厂污泥东莞市内运输项目污泥运输量</w:t>
      </w:r>
      <w:r>
        <w:rPr>
          <w:rFonts w:hint="eastAsia" w:ascii="宋体" w:hAnsi="宋体" w:eastAsia="宋体" w:cs="宋体"/>
          <w:color w:val="auto"/>
          <w:sz w:val="21"/>
          <w:szCs w:val="21"/>
          <w:highlight w:val="none"/>
          <w:lang w:val="zh-CN"/>
        </w:rPr>
        <w:t>分配原则，招标人按中标人湿泥运输服务费（不含税）单价从低到高的顺序，优先安排单价最低的中标人运输。当分配转移运输湿泥的量达到该运输单位运输转移能力后，由单价次低的中标人运输，以此类推。当一个中标人运输能力或因其他客观因素不能满足招标人湿泥运输需求时，招标人有权按前述低价优先的原则，同时安排多个中标人转移运输湿泥。</w:t>
      </w:r>
      <w:r>
        <w:rPr>
          <w:rFonts w:hint="eastAsia" w:ascii="宋体" w:hAnsi="宋体" w:eastAsia="宋体" w:cs="宋体"/>
          <w:color w:val="auto"/>
          <w:sz w:val="21"/>
          <w:szCs w:val="21"/>
          <w:highlight w:val="none"/>
          <w:lang w:val="en-US" w:eastAsia="zh-CN"/>
        </w:rPr>
        <w:t>如中标单位的湿泥运输服务费（不含税）单价报价相同，招标人有权按中标单位已承诺的日均（月外运量/外运天数）外运湿泥量由高到低排序，优先安排日均（月外运量/外运天数）外运湿泥量最高的中标单位运输。</w:t>
      </w:r>
    </w:p>
    <w:p w14:paraId="22C805CE">
      <w:pPr>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4、本概况介绍的各污水处理厂（</w:t>
      </w:r>
      <w:r>
        <w:rPr>
          <w:rFonts w:hint="eastAsia" w:ascii="宋体" w:hAnsi="宋体" w:eastAsia="宋体" w:cs="宋体"/>
          <w:color w:val="auto"/>
          <w:sz w:val="21"/>
          <w:szCs w:val="21"/>
          <w:highlight w:val="none"/>
          <w:lang w:val="en-US" w:eastAsia="zh-CN"/>
        </w:rPr>
        <w:t>处理站）</w:t>
      </w:r>
      <w:r>
        <w:rPr>
          <w:rFonts w:hint="eastAsia" w:ascii="宋体" w:hAnsi="宋体" w:eastAsia="宋体" w:cs="宋体"/>
          <w:color w:val="auto"/>
          <w:sz w:val="21"/>
          <w:szCs w:val="21"/>
          <w:highlight w:val="none"/>
          <w:lang w:val="zh-CN"/>
        </w:rPr>
        <w:t>情况，以及预计的</w:t>
      </w:r>
      <w:r>
        <w:rPr>
          <w:rFonts w:hint="eastAsia" w:ascii="宋体" w:hAnsi="宋体" w:eastAsia="宋体" w:cs="宋体"/>
          <w:color w:val="auto"/>
          <w:sz w:val="21"/>
          <w:szCs w:val="21"/>
          <w:highlight w:val="none"/>
          <w:lang w:val="en-US" w:eastAsia="zh-CN"/>
        </w:rPr>
        <w:t>湿泥</w:t>
      </w:r>
      <w:r>
        <w:rPr>
          <w:rFonts w:hint="eastAsia" w:ascii="宋体" w:hAnsi="宋体" w:eastAsia="宋体" w:cs="宋体"/>
          <w:color w:val="auto"/>
          <w:sz w:val="21"/>
          <w:szCs w:val="21"/>
          <w:highlight w:val="none"/>
          <w:lang w:val="zh-CN"/>
        </w:rPr>
        <w:t>量为暂定量，仅为便于投标人了解项目情况使用，不作为招标人最终委托运输量的保证。在服务期内，当需要转运</w:t>
      </w:r>
      <w:r>
        <w:rPr>
          <w:rFonts w:hint="eastAsia" w:ascii="宋体" w:hAnsi="宋体" w:eastAsia="宋体" w:cs="宋体"/>
          <w:color w:val="auto"/>
          <w:sz w:val="21"/>
          <w:szCs w:val="21"/>
          <w:highlight w:val="none"/>
          <w:lang w:val="en-US" w:eastAsia="zh-CN"/>
        </w:rPr>
        <w:t>湿泥</w:t>
      </w:r>
      <w:r>
        <w:rPr>
          <w:rFonts w:hint="eastAsia" w:ascii="宋体" w:hAnsi="宋体" w:eastAsia="宋体" w:cs="宋体"/>
          <w:color w:val="auto"/>
          <w:sz w:val="21"/>
          <w:szCs w:val="21"/>
          <w:highlight w:val="none"/>
          <w:lang w:val="zh-CN"/>
        </w:rPr>
        <w:t>时，招标人根据招标文件约定的分配原则进行分配，中标人必须无条件服从分配。中标人不得因未获得具体湿泥转运量，或因</w:t>
      </w:r>
      <w:r>
        <w:rPr>
          <w:rFonts w:hint="eastAsia" w:ascii="宋体" w:hAnsi="宋体" w:eastAsia="宋体" w:cs="宋体"/>
          <w:color w:val="auto"/>
          <w:sz w:val="21"/>
          <w:szCs w:val="21"/>
          <w:highlight w:val="none"/>
          <w:lang w:val="en-US" w:eastAsia="zh-CN"/>
        </w:rPr>
        <w:t>湿泥</w:t>
      </w:r>
      <w:r>
        <w:rPr>
          <w:rFonts w:hint="eastAsia" w:ascii="宋体" w:hAnsi="宋体" w:eastAsia="宋体" w:cs="宋体"/>
          <w:color w:val="auto"/>
          <w:sz w:val="21"/>
          <w:szCs w:val="21"/>
          <w:highlight w:val="none"/>
          <w:lang w:val="zh-CN"/>
        </w:rPr>
        <w:t>转运量的减少或增加而要求提供任何形式的补偿或赔偿。</w:t>
      </w:r>
    </w:p>
    <w:p w14:paraId="5E580811">
      <w:pPr>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5、中标人必须清楚理解：</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采购文件中介绍的各污水处理厂规模，以及预计的产泥量为暂定量仅供</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了解项目情况使用，不作为</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最终委托运输量的保证。在服务期内，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运输量由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根据本合同约定的分配原则进行分配，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无条件服从分配。在合同服务期内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不得因未获得具体污泥转运量，或不得因实际污泥运输量增减而要求</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提供任何形式的补偿或赔偿</w:t>
      </w:r>
    </w:p>
    <w:p w14:paraId="76B6E79C">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二、服务范围及运输服务费</w:t>
      </w:r>
    </w:p>
    <w:p w14:paraId="60EBD7FE">
      <w:pPr>
        <w:spacing w:beforeLines="0" w:afterLines="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1、采购范围：</w:t>
      </w:r>
    </w:p>
    <w:p w14:paraId="7F681D70">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从招标人东莞市区域内的污水处理厂将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运输至东莞市区域内</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减量化处理或处置场所，以下简称“污水处理厂污泥东莞市内运输项目”。</w:t>
      </w:r>
    </w:p>
    <w:p w14:paraId="2385D02E">
      <w:pPr>
        <w:pStyle w:val="53"/>
        <w:widowControl w:val="0"/>
        <w:wordWrap/>
        <w:adjustRightInd/>
        <w:snapToGrid/>
        <w:spacing w:line="360" w:lineRule="auto"/>
        <w:ind w:left="0" w:leftChars="0" w:right="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运输服务费。</w:t>
      </w:r>
    </w:p>
    <w:p w14:paraId="7F04A849">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投标人的投标报价为污水处理厂污泥东莞市内运输项目不含税单价[单位：元/（吨·公里）]。</w:t>
      </w:r>
    </w:p>
    <w:p w14:paraId="2FB5D755">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（1）（不含税）运输服务费=不含税运输服务费单价[单位：元/（吨·公里）]×运输距离（公里）×运输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 xml:space="preserve">重量（吨）。 </w:t>
      </w:r>
    </w:p>
    <w:p w14:paraId="7E8B9BB7">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（2）运输路线和运输距离由中标人转移运输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前向招标人报审，经招标人审核确认后确定行使路线和运输距离，经招标人、中标人双方签字确定后作为单次运输距离的计费依据。</w:t>
      </w:r>
    </w:p>
    <w:p w14:paraId="67EA1892">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运输费按单程运输距离计算，不计算运输车辆返程路程。运输距离根据百度地图APP对应类型货车行驶路线最短距离计算，按四舍五入保留到个位数（公里）。百度地图推荐多条路线时，以距离最短方案载明的路线里程为准，不考虑躲避拥堵、红绿灯少等偏好。因公安及交通等管理部门规定限行，以及根据实际情况存在限重确实需要绕行的，需经招标人审核同意后以调整后的运输路线距离作为计费的运输距离。</w:t>
      </w:r>
    </w:p>
    <w:p w14:paraId="11033269">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重量以招标人指定的第三方过磅数量为准，称重的过磅费用由招标人承担。中标人对过磅重量有异议的，由双方共同指定的第三方过磅复核重量，费用由中标人承担。</w:t>
      </w:r>
    </w:p>
    <w:p w14:paraId="58AD9010">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履行过程中，运输服务费单价（即销售额，不含中标人销项税额）不随法律法规政策、物价人工、油价、路桥费等调整而进行调整（合同明确约定可调整的除外），未经招标人书面确认，中标人（包括但不限于中标人指定的第三方）无权增加任何费用。</w:t>
      </w:r>
    </w:p>
    <w:p w14:paraId="49414510">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不含税</w:t>
      </w:r>
      <w:r>
        <w:rPr>
          <w:rFonts w:hint="eastAsia" w:ascii="宋体" w:hAnsi="宋体" w:eastAsia="宋体" w:cs="宋体"/>
          <w:color w:val="auto"/>
          <w:szCs w:val="21"/>
          <w:highlight w:val="none"/>
        </w:rPr>
        <w:t>运输服务费单价包括了投标人中标后为完成招标文件和合同规定的全部工作所需支付的一切费用，运输服务费单价为包干价，包括但不限于中标人履行本合同所发生的运输服务范围内所需的人工费（含加班</w:t>
      </w:r>
      <w:r>
        <w:rPr>
          <w:rFonts w:hint="eastAsia" w:ascii="宋体" w:hAnsi="宋体" w:eastAsia="宋体" w:cs="宋体"/>
          <w:color w:val="auto"/>
          <w:szCs w:val="21"/>
          <w:highlight w:val="none"/>
          <w:lang w:val="en-US" w:eastAsia="zh-CN"/>
        </w:rPr>
        <w:t>和节假日补贴</w:t>
      </w:r>
      <w:r>
        <w:rPr>
          <w:rFonts w:hint="eastAsia" w:ascii="宋体" w:hAnsi="宋体" w:eastAsia="宋体" w:cs="宋体"/>
          <w:color w:val="auto"/>
          <w:szCs w:val="21"/>
          <w:highlight w:val="none"/>
        </w:rPr>
        <w:t>）、车辆使用及燃油费、作业现场除尘及场地清洗费、</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运输过路桥费（含高速路）、提供运输服务人员的工资、食宿、保险费（包括运输车辆交强险、第三者责任险等商业保险，中标人及其雇员社会保障资金、保险、第三者责任险，环境污染责任险等）、中标人复核</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重量的称重费（如有）</w:t>
      </w:r>
      <w:r>
        <w:rPr>
          <w:rFonts w:hint="eastAsia" w:ascii="宋体" w:hAnsi="宋体" w:eastAsia="宋体" w:cs="宋体"/>
          <w:color w:val="auto"/>
          <w:szCs w:val="21"/>
          <w:highlight w:val="none"/>
          <w:lang w:val="en-US" w:eastAsia="zh-CN"/>
        </w:rPr>
        <w:t>、因部分湿泥贮存点现场条件限制只能安排小型运输车辆而增加的成本</w:t>
      </w:r>
      <w:r>
        <w:rPr>
          <w:rFonts w:hint="eastAsia" w:ascii="宋体" w:hAnsi="宋体" w:eastAsia="宋体" w:cs="宋体"/>
          <w:color w:val="auto"/>
          <w:szCs w:val="21"/>
          <w:highlight w:val="none"/>
        </w:rPr>
        <w:t>、日常配合服务费、</w:t>
      </w:r>
      <w:r>
        <w:rPr>
          <w:rFonts w:hint="eastAsia" w:ascii="宋体" w:hAnsi="宋体" w:eastAsia="宋体" w:cs="宋体"/>
          <w:b w:val="0"/>
          <w:bCs/>
          <w:color w:val="auto"/>
          <w:sz w:val="21"/>
          <w:szCs w:val="21"/>
          <w:highlight w:val="none"/>
          <w:lang w:val="en-US" w:eastAsia="zh-CN"/>
        </w:rPr>
        <w:t>投标人销项税额以外的税费等</w:t>
      </w:r>
      <w:r>
        <w:rPr>
          <w:rFonts w:hint="eastAsia" w:ascii="宋体" w:hAnsi="宋体" w:eastAsia="宋体" w:cs="宋体"/>
          <w:b w:val="0"/>
          <w:bCs/>
          <w:color w:val="auto"/>
          <w:sz w:val="21"/>
          <w:szCs w:val="21"/>
          <w:highlight w:val="none"/>
        </w:rPr>
        <w:t>合同实施过程中</w:t>
      </w:r>
      <w:r>
        <w:rPr>
          <w:rFonts w:hint="eastAsia" w:ascii="宋体" w:hAnsi="宋体" w:eastAsia="宋体" w:cs="宋体"/>
          <w:b w:val="0"/>
          <w:bCs/>
          <w:color w:val="auto"/>
          <w:sz w:val="21"/>
          <w:szCs w:val="21"/>
          <w:highlight w:val="none"/>
          <w:lang w:val="en-US" w:eastAsia="zh-CN"/>
        </w:rPr>
        <w:t>产生</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val="en-US" w:eastAsia="zh-CN"/>
        </w:rPr>
        <w:t>全部</w:t>
      </w:r>
      <w:r>
        <w:rPr>
          <w:rFonts w:hint="eastAsia" w:ascii="宋体" w:hAnsi="宋体" w:eastAsia="宋体" w:cs="宋体"/>
          <w:b w:val="0"/>
          <w:bCs/>
          <w:color w:val="auto"/>
          <w:sz w:val="21"/>
          <w:szCs w:val="21"/>
          <w:highlight w:val="none"/>
        </w:rPr>
        <w:t>直接和间接费用</w:t>
      </w:r>
      <w:r>
        <w:rPr>
          <w:rFonts w:hint="eastAsia" w:ascii="宋体" w:hAnsi="宋体" w:eastAsia="宋体" w:cs="宋体"/>
          <w:color w:val="auto"/>
          <w:szCs w:val="21"/>
          <w:highlight w:val="none"/>
        </w:rPr>
        <w:t>。依法计得并根据采购项目合同约定确定的销项税额由招标人承担。</w:t>
      </w:r>
    </w:p>
    <w:p w14:paraId="102EFFCF">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三、服务要求</w:t>
      </w:r>
    </w:p>
    <w:p w14:paraId="02C2EAC2">
      <w:pPr>
        <w:pStyle w:val="5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1、为保证污水处理厂的正常生产运营，中标人必须具备每天不间断实施</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运输的能力。在招标人通知</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转运的时间内，必须保证安排足够的车辆及司机，满足招标人污水处理厂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处理站）等</w:t>
      </w:r>
      <w:r>
        <w:rPr>
          <w:rFonts w:hint="eastAsia" w:ascii="宋体" w:hAnsi="宋体" w:eastAsia="宋体" w:cs="宋体"/>
          <w:color w:val="auto"/>
          <w:szCs w:val="21"/>
          <w:highlight w:val="none"/>
        </w:rPr>
        <w:t>出泥点每天24小时不间断的出泥要求，提供每天不间断运输服务。</w:t>
      </w:r>
    </w:p>
    <w:p w14:paraId="55128CA2">
      <w:pPr>
        <w:pStyle w:val="5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val="en-US" w:eastAsia="zh-CN" w:bidi="ar-SA"/>
        </w:rPr>
        <w:t>在服务期内，除招标人分配量不足或不可抗力的情况外，投标人应承诺日均（月外运量/外运天数）外运湿泥不少于</w:t>
      </w:r>
      <w:r>
        <w:rPr>
          <w:rFonts w:hint="eastAsia" w:ascii="宋体" w:hAnsi="宋体" w:eastAsia="宋体" w:cs="宋体"/>
          <w:color w:val="auto"/>
          <w:sz w:val="21"/>
          <w:szCs w:val="21"/>
          <w:highlight w:val="none"/>
          <w:u w:val="none"/>
          <w:lang w:val="en-US" w:eastAsia="zh-CN" w:bidi="ar-SA"/>
        </w:rPr>
        <w:t>200</w:t>
      </w:r>
      <w:r>
        <w:rPr>
          <w:rFonts w:hint="eastAsia" w:ascii="宋体" w:hAnsi="宋体" w:eastAsia="宋体" w:cs="宋体"/>
          <w:color w:val="auto"/>
          <w:sz w:val="21"/>
          <w:szCs w:val="21"/>
          <w:highlight w:val="none"/>
          <w:lang w:val="en-US" w:eastAsia="zh-CN" w:bidi="ar-SA"/>
        </w:rPr>
        <w:t>吨/日。</w:t>
      </w:r>
    </w:p>
    <w:p w14:paraId="1C0F88F1">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有效期内，中标人应当保持相应资质的有效性，且具备在东莞市提供运输服务工作的资格条件。如因中标人资质条件丧失，导致无法承接委托的，招标人有权按分配原则委托其他</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，并且中标人需向招标人支付20,000元的违约金。同时，招标人有权终止合同，</w:t>
      </w:r>
      <w:r>
        <w:rPr>
          <w:rFonts w:hint="eastAsia" w:ascii="宋体" w:hAnsi="宋体" w:eastAsia="宋体" w:cs="宋体"/>
          <w:color w:val="auto"/>
          <w:szCs w:val="21"/>
          <w:highlight w:val="none"/>
          <w:lang w:val="en-US" w:eastAsia="zh-CN"/>
        </w:rPr>
        <w:t>并没收履约担保金</w:t>
      </w:r>
      <w:r>
        <w:rPr>
          <w:rFonts w:hint="eastAsia" w:ascii="宋体" w:hAnsi="宋体" w:eastAsia="宋体" w:cs="宋体"/>
          <w:color w:val="auto"/>
          <w:szCs w:val="21"/>
          <w:highlight w:val="none"/>
        </w:rPr>
        <w:t>。</w:t>
      </w:r>
    </w:p>
    <w:p w14:paraId="0C3F4D72">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运输应参照执行</w:t>
      </w:r>
      <w:r>
        <w:rPr>
          <w:rFonts w:hint="eastAsia" w:ascii="宋体" w:hAnsi="宋体" w:eastAsia="宋体" w:cs="宋体"/>
          <w:color w:val="auto"/>
          <w:kern w:val="2"/>
          <w:sz w:val="21"/>
          <w:szCs w:val="21"/>
          <w:highlight w:val="none"/>
        </w:rPr>
        <w:t>《危险货物道路运输规则》(JT/T 617</w:t>
      </w:r>
      <w:r>
        <w:rPr>
          <w:rFonts w:hint="eastAsia" w:ascii="宋体" w:hAnsi="宋体" w:eastAsia="宋体" w:cs="宋体"/>
          <w:color w:val="auto"/>
          <w:kern w:val="2"/>
          <w:sz w:val="21"/>
          <w:szCs w:val="21"/>
          <w:highlight w:val="none"/>
          <w:lang w:val="en-US" w:eastAsia="zh-CN"/>
        </w:rPr>
        <w:t>-2018</w:t>
      </w:r>
      <w:r>
        <w:rPr>
          <w:rFonts w:hint="eastAsia" w:ascii="宋体" w:hAnsi="宋体" w:eastAsia="宋体" w:cs="宋体"/>
          <w:color w:val="auto"/>
          <w:kern w:val="2"/>
          <w:sz w:val="21"/>
          <w:szCs w:val="21"/>
          <w:highlight w:val="none"/>
        </w:rPr>
        <w:t>)</w:t>
      </w:r>
      <w:r>
        <w:rPr>
          <w:rFonts w:hint="eastAsia" w:ascii="宋体" w:hAnsi="宋体" w:eastAsia="宋体" w:cs="宋体"/>
          <w:color w:val="auto"/>
          <w:szCs w:val="21"/>
          <w:highlight w:val="none"/>
        </w:rPr>
        <w:t>、《中华人民共和国道路运输条例》和《道路危险货物运输管理规定》的相关要求。</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运输采用陆路运输，禁止采用水路运输。</w:t>
      </w:r>
    </w:p>
    <w:p w14:paraId="20CEEFF4">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运输车辆必须符合公安、道路交通运输、环保等相关职能部门的相关要求，证照齐全、符合湿泥运输的要求。中标人取得运输服务后，应将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运输车辆的行驶证、营运证及司机等信息向招标人备案。</w:t>
      </w:r>
    </w:p>
    <w:p w14:paraId="4EEF996A">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、中标人必须采用密闭车辆运输</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要求密封、防水、不渗漏，四周槽帮牢固可靠、无破损、挡板严密，在驶出装载现场前，应将车辆槽帮和车轮冲洗干净，不得车轮带泥行驶、不得沿途泄漏，运输时发现自身有泄漏的，应及时采取有效措施清扫干净。</w:t>
      </w:r>
    </w:p>
    <w:p w14:paraId="145E6E90">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中标人承诺使用的车辆必须安装GPS，符合《道路运输车辆卫星定位系统平台技术要求》《道路运输车辆卫星定位系统车载终端技术要求》的要求，以防止偷排偷倒，或违约使用车辆。中标人自有的车载GPS 定位系统不能直接与招标人在线监管平台对接的，招标人提供定位系统设备供中标人使用。中标人必须保护好招标人定位系统设备免受损坏，若非招标人原因定位系统设备损坏的，</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u w:val="none"/>
        </w:rPr>
        <w:t>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rPr>
        <w:t>支付500元/台的违约金。</w:t>
      </w:r>
      <w:r>
        <w:rPr>
          <w:rFonts w:hint="eastAsia" w:ascii="宋体" w:hAnsi="宋体" w:eastAsia="宋体" w:cs="宋体"/>
          <w:color w:val="auto"/>
          <w:szCs w:val="21"/>
          <w:highlight w:val="none"/>
        </w:rPr>
        <w:t>在运输过程中，中标人应保证GPS 定位系统能正常接收信号，运输全程纳入定位管理，若运输过程中出现信号无法正常连接或中断的，期间发生交通运输事故或运输过程中导致环境污染的，中标人须负主要责任，并承担由此产生的一切行政和经济法律责任。若中标人中止为招标人提供</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服务，应在5个工作日内向招标人归还完好的定位系统设备，定位系统设备每延期归还一天，中标人向招标人支付500元/台的违约金。</w:t>
      </w:r>
    </w:p>
    <w:p w14:paraId="2734E2F2">
      <w:pPr>
        <w:pStyle w:val="5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投标人最终运输车辆的GPS定位系统</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直接与招标人在线监管平台对接，实时显示湿泥运输轨迹等信息</w:t>
      </w:r>
      <w:r>
        <w:rPr>
          <w:rFonts w:hint="eastAsia" w:ascii="宋体" w:hAnsi="宋体" w:eastAsia="宋体" w:cs="宋体"/>
          <w:color w:val="auto"/>
          <w:szCs w:val="21"/>
          <w:highlight w:val="none"/>
          <w:lang w:eastAsia="zh-CN"/>
        </w:rPr>
        <w:t>。</w:t>
      </w:r>
    </w:p>
    <w:p w14:paraId="2F9289FA">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、中标人在</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运输过程中不得进行中间装卸操作，严禁将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在污水处理厂外进行中转存放或堆放，严禁将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向环境中倾倒、丢弃、遗洒，发生以上事件所产生的一切行政和经济法律责任由中标人承担。</w:t>
      </w:r>
    </w:p>
    <w:p w14:paraId="7695810B">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、中标人应严格按照交通运输及相关法律、法规操作，安全、合法地运输，在任何情况下都不得进行任何形式的超载运输，否则造成的一切后果由中标人承担。</w:t>
      </w:r>
    </w:p>
    <w:p w14:paraId="374EFBCB">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、中标人必须提供符合各污水处理厂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道路及转泥点场地设施使用要求的车辆，并应根据通知转运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量的变化调整车辆数量，保证</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能及时清运。中标人应按通知转运量安排车辆及时到达招标人指定厂区收运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，若招标人通知转运量变更时，中标人应尽力完成合理安排车次。</w:t>
      </w:r>
    </w:p>
    <w:p w14:paraId="31F8B1FF">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转移前，中标人应</w:t>
      </w:r>
      <w:r>
        <w:rPr>
          <w:rFonts w:hint="eastAsia" w:ascii="宋体" w:hAnsi="宋体" w:eastAsia="宋体" w:cs="宋体"/>
          <w:color w:val="auto"/>
          <w:szCs w:val="21"/>
          <w:highlight w:val="none"/>
          <w:lang w:val="en-US" w:eastAsia="zh-CN"/>
        </w:rPr>
        <w:t>提供运输司机资料、</w:t>
      </w:r>
      <w:r>
        <w:rPr>
          <w:rFonts w:hint="eastAsia" w:ascii="宋体" w:hAnsi="宋体" w:eastAsia="宋体" w:cs="宋体"/>
          <w:color w:val="auto"/>
          <w:szCs w:val="21"/>
          <w:highlight w:val="none"/>
        </w:rPr>
        <w:t>制定运输车辆的运输路线、核实运输距离，并向招标人报审，经招标人审核确认后确定行使路线和运输距离，经招标人、中标人双方签字确定后作为单次运输距离的计费依据。行驶路线一经确定，未经招标人同意，中标人不得擅自调整已确定的运输行驶路线。</w:t>
      </w:r>
    </w:p>
    <w:p w14:paraId="0A1D7873">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、中标人必须在</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到达</w:t>
      </w:r>
      <w:r>
        <w:rPr>
          <w:rFonts w:hint="eastAsia" w:ascii="宋体" w:hAnsi="宋体" w:eastAsia="宋体" w:cs="宋体"/>
          <w:color w:val="auto"/>
          <w:szCs w:val="21"/>
          <w:highlight w:val="none"/>
          <w:lang w:val="en-US" w:eastAsia="zh-CN"/>
        </w:rPr>
        <w:t>招标人指定</w:t>
      </w:r>
      <w:r>
        <w:rPr>
          <w:rFonts w:hint="eastAsia" w:ascii="宋体" w:hAnsi="宋体" w:eastAsia="宋体" w:cs="宋体"/>
          <w:color w:val="auto"/>
          <w:szCs w:val="21"/>
          <w:highlight w:val="none"/>
        </w:rPr>
        <w:t>卸货点的次日10:00前，向招标人提供该车</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装卸货过程中的相关资料。</w:t>
      </w:r>
    </w:p>
    <w:p w14:paraId="03745184">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资料制作要求：（1）运输车辆到达</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装车地点，拍摄装车过程照片，装车照片应清晰显示车牌号码及车辆正在进行</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装车；（2）装车完成后上锁封条，拍摄封条照片，封条照片应清晰显示封条编号及封条未拆卸；（3）填写一式两份派车单并由运输司机及现场负责人签名，提交给</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w:t>
      </w:r>
      <w:r>
        <w:rPr>
          <w:rFonts w:hint="eastAsia" w:ascii="宋体" w:hAnsi="宋体" w:eastAsia="宋体" w:cs="宋体"/>
          <w:color w:val="auto"/>
          <w:szCs w:val="21"/>
          <w:highlight w:val="none"/>
          <w:lang w:val="en-US" w:eastAsia="zh-CN"/>
        </w:rPr>
        <w:t>招标人指定卸泥点</w:t>
      </w:r>
      <w:r>
        <w:rPr>
          <w:rFonts w:hint="eastAsia" w:ascii="宋体" w:hAnsi="宋体" w:eastAsia="宋体" w:cs="宋体"/>
          <w:color w:val="auto"/>
          <w:szCs w:val="21"/>
          <w:highlight w:val="none"/>
        </w:rPr>
        <w:t>后拍摄卸货前封条照片，照片应清晰显示封条编号及封条未拆封；（7）卸货过程应拍摄照片及视频，照片应清晰显示车牌号码、正在起斗的过程，以及车后的泥仓；视频应按招标人提供的视频模板拍摄，视频时长约15秒，从车头车牌开始录制，缓慢移步至车辆一侧录制卸泥过程，要求显示起斗过程及泥仓；（8）卸货完成后，磅单与联单合拍照片，照片应清晰显示各项信息，包括出厂日期、过磅时间、重量、联单编号及各处签名等；（9）上述照片、视频务必使用“今日水印相机”软件拍摄、录制，定位信息能清晰显示地点及日期。</w:t>
      </w:r>
    </w:p>
    <w:p w14:paraId="0E57A6EE">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资料提交要求：（1）中标人按照</w:t>
      </w:r>
      <w:r>
        <w:rPr>
          <w:rFonts w:hint="eastAsia" w:ascii="宋体" w:hAnsi="宋体" w:eastAsia="宋体" w:cs="宋体"/>
          <w:color w:val="auto"/>
          <w:szCs w:val="21"/>
          <w:highlight w:val="none"/>
          <w:lang w:val="en-US" w:eastAsia="zh-CN"/>
        </w:rPr>
        <w:t>本条款</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进行拍摄、整理每日运输影像资料后，以压缩文件形式在次日上午10:00前发送至招标人指定邮箱：zhongyuan160106@163.com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邮箱如有变化以招标人通知为准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；邮件及影像资料附件名称为“</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日期（年月日）+</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资料”；（2）中标人以“</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+日期+联单磅单”为一级文件夹名称，“</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产生单位”为二级文件夹名称，将过程资料放入该文件夹中，通过邮件提交给招标人。</w:t>
      </w:r>
    </w:p>
    <w:p w14:paraId="5147F8F6">
      <w:pPr>
        <w:pStyle w:val="53"/>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中标人在转移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时，应配合招标人按照规范填写《生活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），中标人运送人员和招标人</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管理人员交接时共同核对填写并盖章，并配合办理东莞市</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主管部门相关备案手续。</w:t>
      </w:r>
    </w:p>
    <w:p w14:paraId="3F09AE4F">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、中标人应当配合招标人或招标人指定接卸地点现场人员调度，遵守装车、卸车现场安全作业行为规范。在接收</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必须严格遵守招标人或招标人指定接卸地点的现场安全、环境、质量管理要求以及相关管理规定，根据招标人安全管理要求做好相关防护措施，维护好招标人或招标人指定接卸地点场地卫生环境现象，每车离场前必须清扫干净装车、卸车区域地面，保持该区域卫生情况良好。</w:t>
      </w:r>
    </w:p>
    <w:p w14:paraId="5D3D9827">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、中标人对运输过程的环境、安全负全责。运输过程中，中标人应进行全过程监控和管理，防止因裸露、散落、泄漏、随意丢弃或倾倒等造成二次污染，中标人负责做好</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运输及装卸过程的安全、卫生及防止</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污染扩散工作。运输过程中导致环境污染的，由中标人承担相应的行政责任及经济责任，并承担由此产生的一切行政和经济法律责任。</w:t>
      </w:r>
    </w:p>
    <w:p w14:paraId="37366403">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、中标人在招标人或招标人指定装卸地点厂区内按指定路线完成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工作，中标人车辆在招标人或招标人指定接卸地点厂区内的安全由中标人自行负责，在行驶过程中如对招标人或招标人指定接卸地点的构筑物及设备或人员造成侵害的，或对第三方人身或财产造成损害的，负责修复或赔偿。</w:t>
      </w:r>
    </w:p>
    <w:p w14:paraId="0521F738">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、中标人必须制定与</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转运有关的规章制度和发生意外事故时的应急预案，并</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rPr>
        <w:t>招标人报备。在运输过程中发生燃烧、爆炸、污染、中毒或者被盗、丢失、流散、泄漏等事故，中标人应当立即采取紧急处理措施，运输驾驶员、押运人员应当立即向公安部门、中标人、招标人、环境保护行政主管部门报告，说明事故情况，并采取一切可能的警示措施和应急措施，积极配合有关部门进行处置。</w:t>
      </w:r>
    </w:p>
    <w:p w14:paraId="60874399">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、招标人有权监督、查阅</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运输车辆的行车记录或数据，若发现中标人存在中间装卸操作、偷排偷倒等问题，招标人有权终止合同并追究中标人的违约责任，因此导致的法律及相关责任由中标人承担。</w:t>
      </w:r>
    </w:p>
    <w:p w14:paraId="6823DAB9">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中标人聘用的运输从业人员应具备《中华人民共和国道路运输从业人员从业资格证》或相关从业资格证并在核定的从业范围。在从事道路运输活动时，应当携带相应的从业资格证件，并应当遵守国家相关法规和道路运输安全操作规程，不得违法经营、违章作业。</w:t>
      </w:r>
    </w:p>
    <w:p w14:paraId="5BD5BA04">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、中标人应按照招标人通知的时间、转运量安排车辆到指定的地点将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及时运输至招标人指定的处理</w:t>
      </w:r>
      <w:r>
        <w:rPr>
          <w:rFonts w:hint="eastAsia" w:ascii="宋体" w:hAnsi="宋体" w:eastAsia="宋体" w:cs="宋体"/>
          <w:color w:val="auto"/>
          <w:szCs w:val="21"/>
          <w:highlight w:val="none"/>
          <w:lang w:val="en-US" w:eastAsia="zh-CN"/>
        </w:rPr>
        <w:t>处置</w:t>
      </w:r>
      <w:r>
        <w:rPr>
          <w:rFonts w:hint="eastAsia" w:ascii="宋体" w:hAnsi="宋体" w:eastAsia="宋体" w:cs="宋体"/>
          <w:color w:val="auto"/>
          <w:szCs w:val="21"/>
          <w:highlight w:val="none"/>
        </w:rPr>
        <w:t>地点，如果中标人不能按招标人通知的时间前来收运，应至少提前6小时先向招标人告知，并取得招标人同意后才能更改收运时间，如中标人未能及时告知或未取得招标人同意擅自更改收运时间，则应承担因此造成的后果并赔偿招标人所遭受的损失。中标人服务期内累计出现3次或以上前述事件的，招标人有权单方面解除合同，并有权启动其他运输服务单位，因此对招标人产生的经济损失，招标人将根据合同约定追究中标人的违约责任。</w:t>
      </w:r>
    </w:p>
    <w:p w14:paraId="2CED6106">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、中标人不得借故拒绝接受委托。中标人如因车辆维修、年检等原因导致预定运输车辆无法调配的，在取得招标人同意后应及时更换运输车辆。若确实无法调配运输车辆，不能对招标人该批次</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等进行运输的，应在当天出具书面通知函告知招标人，获得招标人同意后方可暂停运输。除非因外部环境或不可抗力因素影响，中标人已无法再对招标人</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等进行运输服务的，否则视为中标人违约。</w:t>
      </w:r>
    </w:p>
    <w:p w14:paraId="4381BA57">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、中标人安排专人负责本项目管理，调度运输车辆，在转移运输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前向招标人报审</w:t>
      </w:r>
      <w:r>
        <w:rPr>
          <w:rFonts w:hint="eastAsia" w:ascii="宋体" w:hAnsi="宋体" w:eastAsia="宋体" w:cs="宋体"/>
          <w:color w:val="auto"/>
          <w:szCs w:val="21"/>
          <w:highlight w:val="none"/>
          <w:lang w:val="en-US" w:eastAsia="zh-CN"/>
        </w:rPr>
        <w:t>运输司机资料、</w:t>
      </w:r>
      <w:r>
        <w:rPr>
          <w:rFonts w:hint="eastAsia" w:ascii="宋体" w:hAnsi="宋体" w:eastAsia="宋体" w:cs="宋体"/>
          <w:color w:val="auto"/>
          <w:szCs w:val="21"/>
          <w:highlight w:val="none"/>
        </w:rPr>
        <w:t>运输路线和运输距离（经招标人、中标人双方签字确定后作为单次运输距离的计费依据）。收集每车外运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的电子地磅的称重单（含载泥前的称重单和载泥时的称重单），建立</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接收量、装车地点、卸车地点、运输距离等情况，并接受招标人的监督、管理，并如实向招标人反映</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收运情况。</w:t>
      </w:r>
    </w:p>
    <w:p w14:paraId="47D8C019">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、中标人按7天/次的频次，根据初次核对确认的</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外运数量和资料填报要求，向招标人提交经中标人盖章确认的《生活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）、磅单、《月度</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外运签证表》（含电子文档）等资料。招标人对接收的资料复核后，发现资料有误的，投标人必须在3日内按要求重新提交。招标人将复核后的资料送</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产生单位盖章确认，经中标人、</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产生单位、招标人共同签字/盖章确认后，确定该批次</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实际转移数量，并由招标人交东莞市环境保护部门留存备查。</w:t>
      </w:r>
    </w:p>
    <w:p w14:paraId="15BCBB7A">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、中标人不得将招标人交付的</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交由第三方运输，禁止转包，否则，由此导致的一切责任和风险全部由中标人承担，并根据合同的约定承担违约责任，赔偿由此给招标人造成的损失。</w:t>
      </w:r>
    </w:p>
    <w:p w14:paraId="737717F0">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、要求投标人承诺在招标人书面通知启动污泥运输之日起，5日内按招标人要求的运力实施本项目湿泥转移提供运输服务。</w:t>
      </w:r>
    </w:p>
    <w:p w14:paraId="6D40F58A">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四、其他说明</w:t>
      </w:r>
    </w:p>
    <w:p w14:paraId="22926715">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1、本项目合同不具排他性，招标人对本项目范围内的具体服务分配享有自主选择的权利。若中标的部分</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资格被取消或因项目急剧增加或因中标人运输能力或因其它客观因素不满足招标人需求等原因造成服务单位数量不能满足正常工作需求的，招标人有权</w:t>
      </w:r>
      <w:r>
        <w:rPr>
          <w:rFonts w:hint="eastAsia" w:ascii="宋体" w:hAnsi="宋体" w:eastAsia="宋体" w:cs="宋体"/>
          <w:color w:val="auto"/>
          <w:szCs w:val="21"/>
          <w:highlight w:val="none"/>
          <w:lang w:val="en-US" w:eastAsia="zh-CN"/>
        </w:rPr>
        <w:t>安排后一顺序中标单位开展湿泥运输服务</w:t>
      </w:r>
      <w:r>
        <w:rPr>
          <w:rFonts w:hint="eastAsia" w:ascii="宋体" w:hAnsi="宋体" w:eastAsia="宋体" w:cs="宋体"/>
          <w:color w:val="auto"/>
          <w:szCs w:val="21"/>
          <w:highlight w:val="none"/>
        </w:rPr>
        <w:t>。</w:t>
      </w:r>
    </w:p>
    <w:p w14:paraId="58A4604E">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中标人承诺中标后，将严格遵守招标人（或招标人上级单位）提出或调整的日常管理制度或相关管理要求。中标人服务期间，出现不服从招标人（或招标人上级单位）提出或调整的日常管理制度或相关管理要求，招标人有权取消其服务资格。</w:t>
      </w:r>
    </w:p>
    <w:p w14:paraId="5BF7CDF4">
      <w:pPr>
        <w:spacing w:line="360" w:lineRule="auto"/>
        <w:rPr>
          <w:rFonts w:ascii="宋体" w:hAnsi="宋体" w:eastAsia="宋体" w:cs="Times New Roman"/>
          <w:b/>
          <w:color w:val="auto"/>
          <w:szCs w:val="21"/>
          <w:highlight w:val="none"/>
          <w:lang w:val="zh-CN"/>
        </w:rPr>
      </w:pPr>
    </w:p>
    <w:p w14:paraId="287A9284">
      <w:pPr>
        <w:spacing w:line="360" w:lineRule="auto"/>
        <w:rPr>
          <w:rFonts w:ascii="宋体" w:hAnsi="宋体" w:eastAsia="宋体" w:cs="Times New Roman"/>
          <w:color w:val="auto"/>
          <w:szCs w:val="21"/>
          <w:highlight w:val="none"/>
        </w:rPr>
      </w:pPr>
    </w:p>
    <w:p w14:paraId="1F4BAE07">
      <w:pPr>
        <w:rPr>
          <w:rFonts w:ascii="宋体" w:hAnsi="宋体" w:eastAsia="宋体" w:cs="Times New Roman"/>
          <w:b/>
          <w:color w:val="auto"/>
          <w:szCs w:val="21"/>
          <w:highlight w:val="none"/>
        </w:rPr>
      </w:pPr>
    </w:p>
    <w:p w14:paraId="1381C7A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3" w:name="_Toc1377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3"/>
    </w:p>
    <w:p w14:paraId="175DE9F0">
      <w:pPr>
        <w:tabs>
          <w:tab w:val="left" w:pos="840"/>
        </w:tabs>
        <w:wordWrap/>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60"/>
          <w:szCs w:val="60"/>
          <w:highlight w:val="none"/>
          <w:lang w:val="zh-CN"/>
        </w:rPr>
        <w:t>东莞市众源环境投资有限公司2025年-2027年污泥运输服务供应商采购项目</w:t>
      </w:r>
    </w:p>
    <w:p w14:paraId="1C423E2B">
      <w:pPr>
        <w:tabs>
          <w:tab w:val="left" w:pos="840"/>
        </w:tabs>
        <w:wordWrap/>
        <w:spacing w:line="360" w:lineRule="auto"/>
        <w:textAlignment w:val="auto"/>
        <w:rPr>
          <w:rFonts w:hint="eastAsia" w:ascii="宋体" w:hAnsi="宋体" w:eastAsia="宋体" w:cs="宋体"/>
          <w:color w:val="auto"/>
          <w:sz w:val="28"/>
          <w:szCs w:val="28"/>
          <w:highlight w:val="none"/>
        </w:rPr>
      </w:pPr>
    </w:p>
    <w:p w14:paraId="19362DEB">
      <w:pPr>
        <w:tabs>
          <w:tab w:val="left" w:pos="840"/>
        </w:tabs>
        <w:wordWrap/>
        <w:spacing w:line="360" w:lineRule="auto"/>
        <w:textAlignment w:val="auto"/>
        <w:rPr>
          <w:rFonts w:hint="eastAsia" w:ascii="宋体" w:hAnsi="宋体" w:eastAsia="宋体" w:cs="宋体"/>
          <w:color w:val="auto"/>
          <w:sz w:val="28"/>
          <w:szCs w:val="28"/>
          <w:highlight w:val="none"/>
        </w:rPr>
      </w:pPr>
    </w:p>
    <w:p w14:paraId="43CBEB38">
      <w:pPr>
        <w:tabs>
          <w:tab w:val="left" w:pos="840"/>
        </w:tabs>
        <w:wordWrap/>
        <w:spacing w:line="360" w:lineRule="auto"/>
        <w:textAlignment w:val="auto"/>
        <w:rPr>
          <w:rFonts w:hint="eastAsia" w:ascii="宋体" w:hAnsi="宋体" w:eastAsia="宋体" w:cs="宋体"/>
          <w:color w:val="auto"/>
          <w:sz w:val="28"/>
          <w:szCs w:val="28"/>
          <w:highlight w:val="none"/>
        </w:rPr>
      </w:pPr>
    </w:p>
    <w:p w14:paraId="2351BC02">
      <w:pPr>
        <w:wordWrap/>
        <w:autoSpaceDE w:val="0"/>
        <w:autoSpaceDN w:val="0"/>
        <w:adjustRightInd w:val="0"/>
        <w:spacing w:before="840" w:beforeLines="350" w:after="360" w:afterLines="150" w:line="360" w:lineRule="auto"/>
        <w:jc w:val="center"/>
        <w:textAlignment w:val="auto"/>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72"/>
          <w:szCs w:val="72"/>
          <w:highlight w:val="none"/>
        </w:rPr>
        <w:t>合同书</w:t>
      </w:r>
    </w:p>
    <w:p w14:paraId="340DED78">
      <w:pPr>
        <w:tabs>
          <w:tab w:val="left" w:pos="840"/>
        </w:tabs>
        <w:wordWrap/>
        <w:spacing w:line="360" w:lineRule="auto"/>
        <w:textAlignment w:val="auto"/>
        <w:rPr>
          <w:rFonts w:hint="eastAsia" w:ascii="宋体" w:hAnsi="宋体" w:eastAsia="宋体" w:cs="宋体"/>
          <w:color w:val="auto"/>
          <w:sz w:val="28"/>
          <w:szCs w:val="28"/>
          <w:highlight w:val="none"/>
        </w:rPr>
      </w:pPr>
    </w:p>
    <w:p w14:paraId="25A93196">
      <w:pPr>
        <w:tabs>
          <w:tab w:val="left" w:pos="840"/>
        </w:tabs>
        <w:wordWrap/>
        <w:spacing w:line="360" w:lineRule="auto"/>
        <w:textAlignment w:val="auto"/>
        <w:rPr>
          <w:rFonts w:hint="eastAsia" w:ascii="宋体" w:hAnsi="宋体" w:eastAsia="宋体" w:cs="宋体"/>
          <w:color w:val="auto"/>
          <w:sz w:val="28"/>
          <w:szCs w:val="28"/>
          <w:highlight w:val="none"/>
        </w:rPr>
      </w:pPr>
    </w:p>
    <w:p w14:paraId="3F8223CC">
      <w:pPr>
        <w:wordWrap/>
        <w:autoSpaceDE w:val="0"/>
        <w:autoSpaceDN w:val="0"/>
        <w:adjustRightInd w:val="0"/>
        <w:spacing w:line="360" w:lineRule="auto"/>
        <w:ind w:firstLine="1285" w:firstLineChars="400"/>
        <w:jc w:val="left"/>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bCs/>
          <w:color w:val="auto"/>
          <w:kern w:val="0"/>
          <w:sz w:val="32"/>
          <w:szCs w:val="32"/>
          <w:highlight w:val="none"/>
          <w:u w:val="single"/>
        </w:rPr>
        <w:t xml:space="preserve">                       </w:t>
      </w:r>
    </w:p>
    <w:p w14:paraId="072EA1D7">
      <w:pPr>
        <w:wordWrap/>
        <w:autoSpaceDE w:val="0"/>
        <w:autoSpaceDN w:val="0"/>
        <w:adjustRightInd w:val="0"/>
        <w:spacing w:line="360" w:lineRule="auto"/>
        <w:ind w:firstLine="1285" w:firstLineChars="400"/>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甲</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方：</w:t>
      </w:r>
      <w:r>
        <w:rPr>
          <w:rFonts w:hint="eastAsia" w:ascii="宋体" w:hAnsi="宋体" w:eastAsia="宋体" w:cs="宋体"/>
          <w:b/>
          <w:bCs/>
          <w:color w:val="auto"/>
          <w:kern w:val="0"/>
          <w:sz w:val="32"/>
          <w:szCs w:val="32"/>
          <w:highlight w:val="none"/>
          <w:u w:val="single"/>
        </w:rPr>
        <w:t xml:space="preserve">                       </w:t>
      </w:r>
    </w:p>
    <w:p w14:paraId="73439B8B">
      <w:pPr>
        <w:wordWrap/>
        <w:autoSpaceDE w:val="0"/>
        <w:autoSpaceDN w:val="0"/>
        <w:adjustRightInd w:val="0"/>
        <w:spacing w:line="360" w:lineRule="auto"/>
        <w:ind w:firstLine="1259" w:firstLineChars="392"/>
        <w:jc w:val="left"/>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乙</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方：</w:t>
      </w:r>
      <w:r>
        <w:rPr>
          <w:rFonts w:hint="eastAsia" w:ascii="宋体" w:hAnsi="宋体" w:eastAsia="宋体" w:cs="宋体"/>
          <w:b/>
          <w:bCs/>
          <w:color w:val="auto"/>
          <w:kern w:val="0"/>
          <w:sz w:val="32"/>
          <w:szCs w:val="32"/>
          <w:highlight w:val="none"/>
          <w:u w:val="single"/>
        </w:rPr>
        <w:t xml:space="preserve">                       </w:t>
      </w:r>
    </w:p>
    <w:p w14:paraId="3D18B0AD">
      <w:pPr>
        <w:wordWrap/>
        <w:autoSpaceDE w:val="0"/>
        <w:autoSpaceDN w:val="0"/>
        <w:adjustRightInd w:val="0"/>
        <w:spacing w:line="360" w:lineRule="auto"/>
        <w:ind w:firstLine="1259" w:firstLineChars="392"/>
        <w:jc w:val="left"/>
        <w:textAlignment w:val="auto"/>
        <w:rPr>
          <w:rFonts w:hint="eastAsia" w:ascii="宋体" w:hAnsi="宋体" w:eastAsia="宋体" w:cs="宋体"/>
          <w:b/>
          <w:bCs/>
          <w:color w:val="auto"/>
          <w:kern w:val="0"/>
          <w:sz w:val="32"/>
          <w:szCs w:val="32"/>
          <w:highlight w:val="none"/>
          <w:u w:val="single"/>
          <w:lang w:val="en-US" w:eastAsia="zh-CN"/>
        </w:rPr>
      </w:pPr>
    </w:p>
    <w:p w14:paraId="22DCB487">
      <w:pPr>
        <w:wordWrap/>
        <w:autoSpaceDE w:val="0"/>
        <w:autoSpaceDN w:val="0"/>
        <w:adjustRightInd w:val="0"/>
        <w:spacing w:line="360" w:lineRule="auto"/>
        <w:ind w:firstLine="1259" w:firstLineChars="392"/>
        <w:jc w:val="left"/>
        <w:textAlignment w:val="auto"/>
        <w:rPr>
          <w:rFonts w:hint="eastAsia" w:ascii="宋体" w:hAnsi="宋体" w:eastAsia="宋体" w:cs="宋体"/>
          <w:b/>
          <w:bCs/>
          <w:color w:val="auto"/>
          <w:kern w:val="0"/>
          <w:sz w:val="32"/>
          <w:szCs w:val="32"/>
          <w:highlight w:val="none"/>
          <w:u w:val="single"/>
          <w:lang w:val="en-US" w:eastAsia="zh-CN"/>
        </w:rPr>
      </w:pPr>
      <w:r>
        <w:rPr>
          <w:rFonts w:hint="eastAsia" w:ascii="宋体" w:hAnsi="宋体" w:eastAsia="宋体" w:cs="宋体"/>
          <w:b/>
          <w:bCs/>
          <w:color w:val="auto"/>
          <w:kern w:val="0"/>
          <w:sz w:val="32"/>
          <w:szCs w:val="32"/>
          <w:highlight w:val="none"/>
          <w:u w:val="none"/>
          <w:lang w:val="en-US" w:eastAsia="zh-CN"/>
        </w:rPr>
        <w:t>签订日期</w:t>
      </w:r>
      <w:r>
        <w:rPr>
          <w:rFonts w:hint="eastAsia" w:ascii="宋体" w:hAnsi="宋体" w:eastAsia="宋体" w:cs="宋体"/>
          <w:b/>
          <w:bCs/>
          <w:color w:val="auto"/>
          <w:kern w:val="0"/>
          <w:sz w:val="28"/>
          <w:szCs w:val="28"/>
          <w:highlight w:val="none"/>
        </w:rPr>
        <w:t>：   年   月   日</w:t>
      </w:r>
    </w:p>
    <w:p w14:paraId="60447A48">
      <w:pPr>
        <w:tabs>
          <w:tab w:val="left" w:pos="0"/>
        </w:tabs>
        <w:wordWrap/>
        <w:spacing w:line="360" w:lineRule="auto"/>
        <w:ind w:left="0" w:leftChars="0" w:right="0" w:firstLine="420" w:firstLineChars="20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基于甲方通过公开招标方式确定乙方为</w:t>
      </w:r>
      <w:r>
        <w:rPr>
          <w:rFonts w:hint="eastAsia" w:ascii="宋体" w:hAnsi="宋体" w:eastAsia="宋体" w:cs="宋体"/>
          <w:color w:val="auto"/>
          <w:kern w:val="2"/>
          <w:sz w:val="21"/>
          <w:szCs w:val="21"/>
          <w:highlight w:val="none"/>
          <w:u w:val="single" w:color="auto"/>
          <w:lang w:val="zh-CN"/>
        </w:rPr>
        <w:t>东莞市众源环境投资有限公司2025年-2027年污泥运输服务供应商采购项目</w:t>
      </w:r>
      <w:r>
        <w:rPr>
          <w:rFonts w:hint="eastAsia" w:ascii="宋体" w:hAnsi="宋体" w:eastAsia="宋体" w:cs="宋体"/>
          <w:color w:val="auto"/>
          <w:sz w:val="21"/>
          <w:szCs w:val="21"/>
          <w:highlight w:val="none"/>
        </w:rPr>
        <w:t>的中标单位之一，现就</w:t>
      </w:r>
      <w:r>
        <w:rPr>
          <w:rFonts w:hint="eastAsia" w:ascii="宋体" w:hAnsi="宋体" w:eastAsia="宋体" w:cs="宋体"/>
          <w:color w:val="auto"/>
          <w:kern w:val="2"/>
          <w:sz w:val="21"/>
          <w:szCs w:val="21"/>
          <w:highlight w:val="none"/>
          <w:lang w:val="zh-CN"/>
        </w:rPr>
        <w:t>污水处理厂（</w:t>
      </w:r>
      <w:r>
        <w:rPr>
          <w:rFonts w:hint="eastAsia" w:ascii="宋体" w:hAnsi="宋体" w:eastAsia="宋体" w:cs="宋体"/>
          <w:color w:val="auto"/>
          <w:kern w:val="2"/>
          <w:sz w:val="21"/>
          <w:szCs w:val="21"/>
          <w:highlight w:val="none"/>
          <w:lang w:val="en-US" w:eastAsia="zh-CN"/>
        </w:rPr>
        <w:t>处理站</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湿泥（即指含水率约80%的污泥，下同）</w:t>
      </w:r>
      <w:r>
        <w:rPr>
          <w:rFonts w:hint="eastAsia" w:ascii="宋体" w:hAnsi="宋体" w:eastAsia="宋体" w:cs="宋体"/>
          <w:color w:val="auto"/>
          <w:kern w:val="2"/>
          <w:sz w:val="21"/>
          <w:szCs w:val="21"/>
          <w:highlight w:val="none"/>
          <w:lang w:val="zh-CN"/>
        </w:rPr>
        <w:t>东莞市内运输项目</w:t>
      </w:r>
      <w:r>
        <w:rPr>
          <w:rFonts w:hint="eastAsia" w:ascii="宋体" w:hAnsi="宋体" w:eastAsia="宋体" w:cs="宋体"/>
          <w:color w:val="auto"/>
          <w:sz w:val="21"/>
          <w:szCs w:val="21"/>
          <w:highlight w:val="none"/>
        </w:rPr>
        <w:t xml:space="preserve">，甲乙双方本着诚实守信、平等互利的原则，经平等协商，订立本合同。 </w:t>
      </w:r>
    </w:p>
    <w:p w14:paraId="2CF6D870">
      <w:pPr>
        <w:wordWrap/>
        <w:snapToGrid w:val="0"/>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14:paraId="763BC387">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合同范围</w:t>
      </w:r>
    </w:p>
    <w:p w14:paraId="7126CA09">
      <w:pPr>
        <w:wordWrap/>
        <w:snapToGrid w:val="0"/>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1.1 </w:t>
      </w:r>
      <w:r>
        <w:rPr>
          <w:rFonts w:hint="eastAsia" w:ascii="宋体" w:hAnsi="宋体" w:eastAsia="宋体" w:cs="宋体"/>
          <w:color w:val="auto"/>
          <w:kern w:val="2"/>
          <w:sz w:val="21"/>
          <w:szCs w:val="21"/>
          <w:highlight w:val="none"/>
          <w:lang w:val="zh-CN"/>
        </w:rPr>
        <w:t>服务范围：</w:t>
      </w:r>
      <w:r>
        <w:rPr>
          <w:rFonts w:hint="eastAsia" w:ascii="宋体" w:hAnsi="宋体" w:eastAsia="宋体" w:cs="宋体"/>
          <w:color w:val="auto"/>
          <w:szCs w:val="21"/>
          <w:highlight w:val="none"/>
        </w:rPr>
        <w:t>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东莞市区域内的污水处理厂（处理站）将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运输至东莞市区域内</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减量化处理或处置场所</w:t>
      </w:r>
      <w:r>
        <w:rPr>
          <w:rFonts w:hint="eastAsia" w:ascii="宋体" w:hAnsi="宋体" w:eastAsia="宋体" w:cs="宋体"/>
          <w:color w:val="auto"/>
          <w:kern w:val="2"/>
          <w:sz w:val="21"/>
          <w:szCs w:val="21"/>
          <w:highlight w:val="none"/>
          <w:lang w:val="zh-CN"/>
        </w:rPr>
        <w:t>。</w:t>
      </w:r>
    </w:p>
    <w:p w14:paraId="629E48FC">
      <w:pPr>
        <w:wordWrap/>
        <w:snapToGrid w:val="0"/>
        <w:spacing w:line="360" w:lineRule="auto"/>
        <w:ind w:left="0" w:leftChars="0" w:right="0" w:firstLine="420" w:firstLineChars="200"/>
        <w:jc w:val="both"/>
        <w:textAlignment w:val="auto"/>
        <w:outlineLvl w:val="9"/>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color w:val="auto"/>
          <w:kern w:val="2"/>
          <w:sz w:val="21"/>
          <w:szCs w:val="21"/>
          <w:highlight w:val="none"/>
        </w:rPr>
        <w:t xml:space="preserve">1.2 </w:t>
      </w:r>
      <w:r>
        <w:rPr>
          <w:rFonts w:hint="eastAsia" w:ascii="宋体" w:hAnsi="宋体" w:eastAsia="宋体" w:cs="宋体"/>
          <w:color w:val="auto"/>
          <w:sz w:val="21"/>
          <w:szCs w:val="21"/>
          <w:highlight w:val="none"/>
        </w:rPr>
        <w:t>服务期限：自【    】年【   】月【   】日起至【    】年【   】月【   】日止。本合同服务期满后，如甲方需委托乙方继续开展服务范围内的服务时，经双方洽商同意及签订补充协议</w:t>
      </w:r>
      <w:r>
        <w:rPr>
          <w:rFonts w:hint="eastAsia" w:ascii="宋体" w:hAnsi="宋体" w:eastAsia="宋体" w:cs="宋体"/>
          <w:color w:val="auto"/>
          <w:sz w:val="21"/>
          <w:szCs w:val="21"/>
          <w:highlight w:val="none"/>
          <w:lang w:eastAsia="zh-CN"/>
        </w:rPr>
        <w:t>延长服务期限</w:t>
      </w:r>
      <w:r>
        <w:rPr>
          <w:rFonts w:hint="eastAsia" w:ascii="宋体" w:hAnsi="宋体" w:eastAsia="宋体" w:cs="宋体"/>
          <w:color w:val="auto"/>
          <w:sz w:val="21"/>
          <w:szCs w:val="21"/>
          <w:highlight w:val="none"/>
        </w:rPr>
        <w:t>后，乙方应按本合同约定的计价方式向甲方继续提供运输服务，续期期限原则上不超过3个月。</w:t>
      </w:r>
      <w:r>
        <w:rPr>
          <w:rFonts w:hint="eastAsia" w:ascii="宋体" w:hAnsi="宋体" w:eastAsia="宋体" w:cs="宋体"/>
          <w:b w:val="0"/>
          <w:bCs w:val="0"/>
          <w:color w:val="auto"/>
          <w:kern w:val="0"/>
          <w:sz w:val="21"/>
          <w:szCs w:val="21"/>
          <w:highlight w:val="none"/>
          <w:u w:val="none"/>
          <w:lang w:val="en-US" w:eastAsia="zh-CN"/>
        </w:rPr>
        <w:t>甲方可视自身情况终止部分（或全部）厂区</w:t>
      </w:r>
      <w:r>
        <w:rPr>
          <w:rFonts w:hint="eastAsia" w:ascii="宋体" w:hAnsi="宋体" w:eastAsia="宋体" w:cs="宋体"/>
          <w:b w:val="0"/>
          <w:bCs w:val="0"/>
          <w:color w:val="auto"/>
          <w:sz w:val="21"/>
          <w:szCs w:val="21"/>
          <w:highlight w:val="none"/>
          <w:u w:val="none"/>
          <w:lang w:val="en-US" w:eastAsia="zh-CN"/>
        </w:rPr>
        <w:t>湿泥运输服务工作</w:t>
      </w:r>
      <w:r>
        <w:rPr>
          <w:rFonts w:hint="eastAsia" w:ascii="宋体" w:hAnsi="宋体" w:eastAsia="宋体" w:cs="宋体"/>
          <w:b w:val="0"/>
          <w:bCs w:val="0"/>
          <w:color w:val="auto"/>
          <w:kern w:val="0"/>
          <w:sz w:val="21"/>
          <w:szCs w:val="21"/>
          <w:highlight w:val="none"/>
          <w:u w:val="none"/>
          <w:lang w:val="en-US" w:eastAsia="zh-CN"/>
        </w:rPr>
        <w:t>。</w:t>
      </w:r>
    </w:p>
    <w:p w14:paraId="409EC42B">
      <w:pPr>
        <w:wordWrap/>
        <w:snapToGrid w:val="0"/>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1.3 在服务期内，除甲方分配量不足或不可抗力的情况外，乙方承诺日均（月外运量/外运天数）外运湿泥不少于【】吨/日。</w:t>
      </w:r>
    </w:p>
    <w:p w14:paraId="21D4B3AB">
      <w:pPr>
        <w:wordWrap/>
        <w:snapToGrid w:val="0"/>
        <w:spacing w:line="360" w:lineRule="auto"/>
        <w:ind w:left="0" w:leftChars="0" w:right="0" w:firstLine="420" w:firstLineChars="200"/>
        <w:jc w:val="both"/>
        <w:textAlignment w:val="auto"/>
        <w:outlineLvl w:val="9"/>
        <w:rPr>
          <w:rFonts w:hint="eastAsia" w:ascii="宋体" w:hAnsi="宋体" w:eastAsia="宋体" w:cs="宋体"/>
          <w:b w:val="0"/>
          <w:color w:val="auto"/>
          <w:sz w:val="21"/>
          <w:szCs w:val="21"/>
          <w:highlight w:val="none"/>
        </w:rPr>
      </w:pPr>
    </w:p>
    <w:p w14:paraId="5C9EC6F1">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w:t>
      </w:r>
    </w:p>
    <w:p w14:paraId="5E7BBFC6">
      <w:pPr>
        <w:pStyle w:val="81"/>
        <w:tabs>
          <w:tab w:val="left" w:pos="142"/>
        </w:tabs>
        <w:wordWrap/>
        <w:spacing w:line="360" w:lineRule="auto"/>
        <w:ind w:left="0" w:leftChars="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w:t>
      </w:r>
      <w:r>
        <w:rPr>
          <w:rFonts w:hint="eastAsia" w:ascii="宋体" w:hAnsi="宋体" w:eastAsia="宋体" w:cs="宋体"/>
          <w:color w:val="auto"/>
          <w:kern w:val="2"/>
          <w:sz w:val="21"/>
          <w:szCs w:val="21"/>
          <w:highlight w:val="none"/>
        </w:rPr>
        <w:t>污水处理厂（处理站）</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元/（吨·公里），即</w:t>
      </w:r>
      <w:r>
        <w:rPr>
          <w:rFonts w:hint="eastAsia" w:ascii="宋体" w:hAnsi="宋体" w:eastAsia="宋体" w:cs="宋体"/>
          <w:color w:val="auto"/>
          <w:kern w:val="2"/>
          <w:sz w:val="21"/>
          <w:szCs w:val="21"/>
          <w:highlight w:val="none"/>
          <w:lang w:val="zh-CN"/>
        </w:rPr>
        <w:t>从</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Cs w:val="21"/>
          <w:highlight w:val="none"/>
        </w:rPr>
        <w:t>东莞市区域内的污水处理厂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运输至东莞市区域内</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减量化处理或处置场所的不含税运输服务费单价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本合同履行过程中，合同单价（即销限额，不含乙方销项税额）固定不变，不因法律法规政策、物价人工、油价、路桥费、劳务成本等调整而进行调整，未经甲方书面确认，乙方无权增加任何费用。若出现合同约定的销售折扣情形，甲、乙双方协商一致后降低综合单价</w:t>
      </w:r>
      <w:r>
        <w:rPr>
          <w:rFonts w:hint="eastAsia" w:ascii="宋体" w:hAnsi="宋体" w:eastAsia="宋体" w:cs="宋体"/>
          <w:color w:val="auto"/>
          <w:sz w:val="21"/>
          <w:szCs w:val="21"/>
          <w:highlight w:val="none"/>
        </w:rPr>
        <w:t>。</w:t>
      </w:r>
    </w:p>
    <w:p w14:paraId="6F2C47A2">
      <w:pPr>
        <w:wordWrap/>
        <w:spacing w:line="360" w:lineRule="auto"/>
        <w:ind w:left="0" w:leftChars="0" w:right="0" w:firstLine="476" w:firstLineChars="227"/>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2.2 </w:t>
      </w:r>
      <w:r>
        <w:rPr>
          <w:rFonts w:hint="eastAsia" w:ascii="宋体" w:hAnsi="宋体" w:eastAsia="宋体" w:cs="宋体"/>
          <w:color w:val="auto"/>
          <w:szCs w:val="21"/>
          <w:highlight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元/（吨·公里）</w:t>
      </w:r>
      <w:r>
        <w:rPr>
          <w:rFonts w:hint="eastAsia" w:ascii="宋体" w:hAnsi="宋体" w:eastAsia="宋体" w:cs="宋体"/>
          <w:color w:val="auto"/>
          <w:szCs w:val="21"/>
          <w:highlight w:val="none"/>
        </w:rPr>
        <w:t>（大写人民币每吨</w:t>
      </w:r>
      <w:r>
        <w:rPr>
          <w:rFonts w:hint="eastAsia" w:ascii="宋体" w:hAnsi="宋体" w:eastAsia="宋体" w:cs="宋体"/>
          <w:color w:val="auto"/>
          <w:szCs w:val="21"/>
          <w:highlight w:val="none"/>
          <w:lang w:val="en-US" w:eastAsia="zh-CN"/>
        </w:rPr>
        <w:t>公里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乙方（合同相对方）的增值税销项税额按实结算。但因乙方未按合同约定供货、未根据合同约定提供合法、完整的请款资料、货物验收不合格导致的返工或退货、货物验收合格前的非正常损耗等原因导致销项税额增加的，相应损失由乙方承担</w:t>
      </w:r>
      <w:r>
        <w:rPr>
          <w:rFonts w:hint="eastAsia" w:ascii="宋体" w:hAnsi="宋体" w:eastAsia="宋体" w:cs="宋体"/>
          <w:color w:val="auto"/>
          <w:sz w:val="21"/>
          <w:szCs w:val="21"/>
          <w:highlight w:val="none"/>
        </w:rPr>
        <w:t>。</w:t>
      </w:r>
    </w:p>
    <w:p w14:paraId="54A80467">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 </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w:t>
      </w:r>
      <w:r>
        <w:rPr>
          <w:rFonts w:hint="eastAsia" w:ascii="宋体" w:hAnsi="宋体" w:eastAsia="宋体" w:cs="宋体"/>
          <w:color w:val="auto"/>
          <w:szCs w:val="21"/>
          <w:highlight w:val="none"/>
        </w:rPr>
        <w:t>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元/（吨·公里）</w:t>
      </w:r>
      <w:r>
        <w:rPr>
          <w:rFonts w:hint="eastAsia" w:ascii="宋体" w:hAnsi="宋体" w:eastAsia="宋体" w:cs="宋体"/>
          <w:color w:val="auto"/>
          <w:szCs w:val="21"/>
          <w:highlight w:val="none"/>
        </w:rPr>
        <w:t>（大写人民币每吨</w:t>
      </w:r>
      <w:r>
        <w:rPr>
          <w:rFonts w:hint="eastAsia" w:ascii="宋体" w:hAnsi="宋体" w:eastAsia="宋体" w:cs="宋体"/>
          <w:color w:val="auto"/>
          <w:szCs w:val="21"/>
          <w:highlight w:val="none"/>
          <w:lang w:val="en-US" w:eastAsia="zh-CN"/>
        </w:rPr>
        <w:t>公里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w:t>
      </w:r>
      <w:r>
        <w:rPr>
          <w:rFonts w:hint="eastAsia" w:ascii="宋体" w:hAnsi="宋体" w:eastAsia="宋体" w:cs="宋体"/>
          <w:color w:val="auto"/>
          <w:sz w:val="21"/>
          <w:szCs w:val="21"/>
          <w:highlight w:val="none"/>
        </w:rPr>
        <w:t>合同单价</w:t>
      </w:r>
      <w:r>
        <w:rPr>
          <w:rFonts w:hint="eastAsia" w:ascii="宋体" w:hAnsi="宋体" w:eastAsia="宋体" w:cs="宋体"/>
          <w:color w:val="auto"/>
          <w:szCs w:val="21"/>
          <w:highlight w:val="none"/>
        </w:rPr>
        <w:t>价税合计对应调整。</w:t>
      </w:r>
    </w:p>
    <w:p w14:paraId="523AB3BC">
      <w:pPr>
        <w:wordWrap/>
        <w:spacing w:line="360" w:lineRule="auto"/>
        <w:ind w:left="0" w:leftChars="0" w:right="0" w:firstLine="422" w:firstLineChars="201"/>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 xml:space="preserve">2.4 </w:t>
      </w:r>
      <w:r>
        <w:rPr>
          <w:rFonts w:hint="eastAsia" w:ascii="宋体" w:hAnsi="宋体" w:eastAsia="宋体" w:cs="宋体"/>
          <w:color w:val="auto"/>
          <w:kern w:val="2"/>
          <w:sz w:val="21"/>
          <w:szCs w:val="21"/>
          <w:highlight w:val="none"/>
        </w:rPr>
        <w:t>污水处理厂（处理站）</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w:t>
      </w:r>
      <w:r>
        <w:rPr>
          <w:rFonts w:hint="eastAsia" w:ascii="宋体" w:hAnsi="宋体" w:eastAsia="宋体" w:cs="宋体"/>
          <w:color w:val="auto"/>
          <w:szCs w:val="21"/>
          <w:highlight w:val="none"/>
        </w:rPr>
        <w:t>包括了</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为完成招标文件</w:t>
      </w:r>
      <w:r>
        <w:rPr>
          <w:rFonts w:hint="eastAsia" w:ascii="宋体" w:hAnsi="宋体" w:eastAsia="宋体" w:cs="宋体"/>
          <w:color w:val="auto"/>
          <w:szCs w:val="21"/>
          <w:highlight w:val="none"/>
          <w:lang w:eastAsia="zh-CN"/>
        </w:rPr>
        <w:t>规定</w:t>
      </w:r>
      <w:r>
        <w:rPr>
          <w:rFonts w:hint="eastAsia" w:ascii="宋体" w:hAnsi="宋体" w:eastAsia="宋体" w:cs="宋体"/>
          <w:color w:val="auto"/>
          <w:szCs w:val="21"/>
          <w:highlight w:val="none"/>
        </w:rPr>
        <w:t>和合同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的全部工作所需支付的一切费用，</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w:t>
      </w:r>
      <w:r>
        <w:rPr>
          <w:rFonts w:hint="eastAsia" w:ascii="宋体" w:hAnsi="宋体" w:eastAsia="宋体" w:cs="宋体"/>
          <w:color w:val="auto"/>
          <w:szCs w:val="21"/>
          <w:highlight w:val="none"/>
        </w:rPr>
        <w:t>为包干价，包括但不限于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履行本合同所发生的运输服务范围内所需的人工费（含加班</w:t>
      </w:r>
      <w:r>
        <w:rPr>
          <w:rFonts w:hint="eastAsia" w:ascii="宋体" w:hAnsi="宋体" w:eastAsia="宋体" w:cs="宋体"/>
          <w:color w:val="auto"/>
          <w:szCs w:val="21"/>
          <w:highlight w:val="none"/>
          <w:lang w:val="en-US" w:eastAsia="zh-CN"/>
        </w:rPr>
        <w:t>和节假日补贴</w:t>
      </w:r>
      <w:r>
        <w:rPr>
          <w:rFonts w:hint="eastAsia" w:ascii="宋体" w:hAnsi="宋体" w:eastAsia="宋体" w:cs="宋体"/>
          <w:color w:val="auto"/>
          <w:szCs w:val="21"/>
          <w:highlight w:val="none"/>
        </w:rPr>
        <w:t>）、车辆使用及燃油费、作业现场除尘及场地清洗费、</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运输过路桥费（含高速路）、提供运输服务人员的工资、食宿、保险费（包括运输车辆交强险、第三者责任险等商业保险，</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及其雇员社会保障资金、保险、第三者责任险，环境污染责任险等）、</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重量的称重费（如有）</w:t>
      </w:r>
      <w:r>
        <w:rPr>
          <w:rFonts w:hint="eastAsia" w:ascii="宋体" w:hAnsi="宋体" w:eastAsia="宋体" w:cs="宋体"/>
          <w:color w:val="auto"/>
          <w:szCs w:val="21"/>
          <w:highlight w:val="none"/>
          <w:lang w:val="en-US" w:eastAsia="zh-CN"/>
        </w:rPr>
        <w:t>、因部分湿泥贮存点现场条件限制只能安排小型运输车辆而增加的成本</w:t>
      </w:r>
      <w:r>
        <w:rPr>
          <w:rFonts w:hint="eastAsia" w:ascii="宋体" w:hAnsi="宋体" w:eastAsia="宋体" w:cs="宋体"/>
          <w:color w:val="auto"/>
          <w:szCs w:val="21"/>
          <w:highlight w:val="none"/>
        </w:rPr>
        <w:t>、日常配合服务费、</w:t>
      </w:r>
      <w:r>
        <w:rPr>
          <w:rFonts w:hint="eastAsia" w:ascii="宋体" w:hAnsi="宋体" w:eastAsia="宋体" w:cs="宋体"/>
          <w:b w:val="0"/>
          <w:bCs/>
          <w:color w:val="auto"/>
          <w:sz w:val="21"/>
          <w:szCs w:val="21"/>
          <w:highlight w:val="none"/>
          <w:lang w:val="en-US" w:eastAsia="zh-CN"/>
        </w:rPr>
        <w:t>乙方销项税额以外的税费等</w:t>
      </w:r>
      <w:r>
        <w:rPr>
          <w:rFonts w:hint="eastAsia" w:ascii="宋体" w:hAnsi="宋体" w:eastAsia="宋体" w:cs="宋体"/>
          <w:b w:val="0"/>
          <w:bCs/>
          <w:color w:val="auto"/>
          <w:sz w:val="21"/>
          <w:szCs w:val="21"/>
          <w:highlight w:val="none"/>
        </w:rPr>
        <w:t>合同实施过程中</w:t>
      </w:r>
      <w:r>
        <w:rPr>
          <w:rFonts w:hint="eastAsia" w:ascii="宋体" w:hAnsi="宋体" w:eastAsia="宋体" w:cs="宋体"/>
          <w:b w:val="0"/>
          <w:bCs/>
          <w:color w:val="auto"/>
          <w:sz w:val="21"/>
          <w:szCs w:val="21"/>
          <w:highlight w:val="none"/>
          <w:lang w:val="en-US" w:eastAsia="zh-CN"/>
        </w:rPr>
        <w:t>产生</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val="en-US" w:eastAsia="zh-CN"/>
        </w:rPr>
        <w:t>全部</w:t>
      </w:r>
      <w:r>
        <w:rPr>
          <w:rFonts w:hint="eastAsia" w:ascii="宋体" w:hAnsi="宋体" w:eastAsia="宋体" w:cs="宋体"/>
          <w:b w:val="0"/>
          <w:bCs/>
          <w:color w:val="auto"/>
          <w:sz w:val="21"/>
          <w:szCs w:val="21"/>
          <w:highlight w:val="none"/>
        </w:rPr>
        <w:t>直接和间接费用</w:t>
      </w:r>
      <w:r>
        <w:rPr>
          <w:rFonts w:hint="eastAsia" w:ascii="宋体" w:hAnsi="宋体" w:eastAsia="宋体" w:cs="宋体"/>
          <w:color w:val="auto"/>
          <w:szCs w:val="21"/>
          <w:highlight w:val="none"/>
        </w:rPr>
        <w:t>。</w:t>
      </w:r>
    </w:p>
    <w:p w14:paraId="3879F949">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因乙方未按法定税率计算税额或未根据本合同约定出具对应合法的发票等乙方原因导致甲方多支付税额的，乙方必须退还甲方，给甲方造成损失的，乙方须向甲方赔偿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7392A599">
      <w:pPr>
        <w:pStyle w:val="81"/>
        <w:wordWrap/>
        <w:spacing w:line="360" w:lineRule="auto"/>
        <w:ind w:left="0" w:leftChars="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2.5（不含税）运输服务费=不含税运输服务费单价[单位：元/（吨·公里）]×运输距离（公里）×运输污泥重量（吨）。 其中，</w:t>
      </w:r>
    </w:p>
    <w:p w14:paraId="65FB9432">
      <w:pPr>
        <w:pStyle w:val="53"/>
        <w:wordWrap/>
        <w:spacing w:line="360" w:lineRule="auto"/>
        <w:ind w:left="0" w:leftChars="0" w:right="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（1）运输路线和运输距离由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审核确认后确定</w:t>
      </w:r>
      <w:r>
        <w:rPr>
          <w:rFonts w:hint="eastAsia" w:ascii="宋体" w:hAnsi="宋体" w:eastAsia="宋体" w:cs="宋体"/>
          <w:color w:val="auto"/>
          <w:szCs w:val="21"/>
          <w:highlight w:val="none"/>
          <w:lang w:eastAsia="zh-CN"/>
        </w:rPr>
        <w:t>行驶</w:t>
      </w:r>
      <w:r>
        <w:rPr>
          <w:rFonts w:hint="eastAsia" w:ascii="宋体" w:hAnsi="宋体" w:eastAsia="宋体" w:cs="宋体"/>
          <w:color w:val="auto"/>
          <w:szCs w:val="21"/>
          <w:highlight w:val="none"/>
        </w:rPr>
        <w:t>路线和运输距离，经</w:t>
      </w:r>
      <w:r>
        <w:rPr>
          <w:rFonts w:hint="eastAsia" w:ascii="宋体" w:hAnsi="宋体" w:eastAsia="宋体" w:cs="宋体"/>
          <w:color w:val="auto"/>
          <w:szCs w:val="21"/>
          <w:highlight w:val="none"/>
          <w:lang w:eastAsia="zh-CN"/>
        </w:rPr>
        <w:t>甲</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 xml:space="preserve">双方签字确定后作为运输距离的计费依据。 </w:t>
      </w:r>
    </w:p>
    <w:p w14:paraId="0989A049">
      <w:pPr>
        <w:pStyle w:val="53"/>
        <w:wordWrap/>
        <w:spacing w:line="360" w:lineRule="auto"/>
        <w:ind w:left="0" w:leftChars="0" w:right="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（2）运输费按</w:t>
      </w:r>
      <w:r>
        <w:rPr>
          <w:rFonts w:hint="eastAsia" w:ascii="宋体" w:hAnsi="宋体" w:eastAsia="宋体" w:cs="宋体"/>
          <w:color w:val="auto"/>
          <w:szCs w:val="21"/>
          <w:highlight w:val="none"/>
          <w:lang w:eastAsia="zh-CN"/>
        </w:rPr>
        <w:t>甲乙双方签字确认的</w:t>
      </w:r>
      <w:r>
        <w:rPr>
          <w:rFonts w:hint="eastAsia" w:ascii="宋体" w:hAnsi="宋体" w:eastAsia="宋体" w:cs="宋体"/>
          <w:color w:val="auto"/>
          <w:szCs w:val="21"/>
          <w:highlight w:val="none"/>
        </w:rPr>
        <w:t>单程运输距离计算，不计算运输车辆返程路程。</w:t>
      </w:r>
    </w:p>
    <w:p w14:paraId="6D11363D">
      <w:pPr>
        <w:pStyle w:val="53"/>
        <w:wordWrap/>
        <w:spacing w:line="360" w:lineRule="auto"/>
        <w:ind w:left="0" w:leftChars="0" w:right="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指定的第三方过磅数量为准，称重的过磅费用由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对过磅重量有异议的，由双方共同指定的第三方过磅复核重量，费用由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14:paraId="307009CE">
      <w:pPr>
        <w:pStyle w:val="81"/>
        <w:wordWrap/>
        <w:spacing w:line="360" w:lineRule="auto"/>
        <w:ind w:left="0" w:leftChars="0" w:right="0" w:firstLineChars="0"/>
        <w:jc w:val="both"/>
        <w:textAlignment w:val="auto"/>
        <w:outlineLvl w:val="9"/>
        <w:rPr>
          <w:rFonts w:hint="eastAsia" w:ascii="宋体" w:hAnsi="宋体" w:eastAsia="宋体" w:cs="宋体"/>
          <w:b/>
          <w:color w:val="auto"/>
          <w:sz w:val="21"/>
          <w:szCs w:val="21"/>
          <w:highlight w:val="none"/>
        </w:rPr>
      </w:pPr>
    </w:p>
    <w:p w14:paraId="51217B00">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第三条 污泥运输量确认及资料要求 </w:t>
      </w:r>
    </w:p>
    <w:p w14:paraId="358EB27B">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转移前，</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提供运输司机资料、</w:t>
      </w:r>
      <w:r>
        <w:rPr>
          <w:rFonts w:hint="eastAsia" w:ascii="宋体" w:hAnsi="宋体" w:eastAsia="宋体" w:cs="宋体"/>
          <w:color w:val="auto"/>
          <w:szCs w:val="21"/>
          <w:highlight w:val="none"/>
        </w:rPr>
        <w:t>制定运输车辆的运输路线、核实运输距离，并向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审核确认后确定</w:t>
      </w:r>
      <w:r>
        <w:rPr>
          <w:rFonts w:hint="eastAsia" w:ascii="宋体" w:hAnsi="宋体" w:eastAsia="宋体" w:cs="宋体"/>
          <w:color w:val="auto"/>
          <w:szCs w:val="21"/>
          <w:highlight w:val="none"/>
          <w:lang w:eastAsia="zh-CN"/>
        </w:rPr>
        <w:t>行驶</w:t>
      </w:r>
      <w:r>
        <w:rPr>
          <w:rFonts w:hint="eastAsia" w:ascii="宋体" w:hAnsi="宋体" w:eastAsia="宋体" w:cs="宋体"/>
          <w:color w:val="auto"/>
          <w:szCs w:val="21"/>
          <w:highlight w:val="none"/>
        </w:rPr>
        <w:t>路线和运输距离，经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双方签字确定后作为运输距离的计费依据，</w:t>
      </w:r>
      <w:r>
        <w:rPr>
          <w:rFonts w:hint="eastAsia" w:ascii="宋体" w:hAnsi="宋体" w:eastAsia="宋体" w:cs="宋体"/>
          <w:color w:val="auto"/>
          <w:sz w:val="21"/>
          <w:szCs w:val="21"/>
          <w:highlight w:val="none"/>
        </w:rPr>
        <w:t>记载于（乙方）《月度污泥外运签证表》</w:t>
      </w:r>
      <w:r>
        <w:rPr>
          <w:rFonts w:hint="eastAsia" w:ascii="宋体" w:hAnsi="宋体" w:eastAsia="宋体" w:cs="宋体"/>
          <w:color w:val="auto"/>
          <w:szCs w:val="21"/>
          <w:highlight w:val="none"/>
        </w:rPr>
        <w:t>。运输距离根据百度地图APP对应类型货车行驶路线最短距离计算，按四舍五入保留到个位数（公里）。百度地图</w:t>
      </w:r>
      <w:r>
        <w:rPr>
          <w:rFonts w:hint="eastAsia" w:ascii="宋体" w:hAnsi="宋体" w:eastAsia="宋体" w:cs="宋体"/>
          <w:color w:val="auto"/>
          <w:szCs w:val="21"/>
          <w:highlight w:val="none"/>
          <w:lang w:val="en-US" w:eastAsia="zh-CN"/>
        </w:rPr>
        <w:t>APP</w:t>
      </w:r>
      <w:r>
        <w:rPr>
          <w:rFonts w:hint="eastAsia" w:ascii="宋体" w:hAnsi="宋体" w:eastAsia="宋体" w:cs="宋体"/>
          <w:color w:val="auto"/>
          <w:szCs w:val="21"/>
          <w:highlight w:val="none"/>
        </w:rPr>
        <w:t>推荐多条路线时，以距离最短方案载明的路线里程为准，不考虑躲避拥堵、红绿灯少等偏好。行驶路线一经确定，未经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不得擅自调整已确定的运输行驶路线。</w:t>
      </w:r>
      <w:r>
        <w:rPr>
          <w:rFonts w:hint="eastAsia" w:ascii="宋体" w:hAnsi="宋体" w:eastAsia="宋体" w:cs="宋体"/>
          <w:color w:val="auto"/>
          <w:highlight w:val="none"/>
          <w:lang w:val="en-US" w:eastAsia="zh-CN"/>
        </w:rPr>
        <w:t>如</w:t>
      </w:r>
      <w:r>
        <w:rPr>
          <w:rFonts w:hint="eastAsia" w:ascii="宋体" w:hAnsi="宋体" w:eastAsia="宋体" w:cs="宋体"/>
          <w:color w:val="auto"/>
          <w:szCs w:val="21"/>
          <w:highlight w:val="none"/>
        </w:rPr>
        <w:t>因公安及交通等管理部门规定限行，以及根据实际情况存在限重确实需要绕行的，需经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审核同意后以调整后的运输路线距离作为计费的运输距离。</w:t>
      </w:r>
    </w:p>
    <w:p w14:paraId="5246ADCB">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在转移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时，应配合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按照规范填写《生活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运送人员和</w:t>
      </w:r>
      <w:r>
        <w:rPr>
          <w:rFonts w:hint="eastAsia" w:ascii="宋体" w:hAnsi="宋体" w:eastAsia="宋体" w:cs="宋体"/>
          <w:color w:val="auto"/>
          <w:szCs w:val="21"/>
          <w:highlight w:val="none"/>
          <w:lang w:eastAsia="zh-CN"/>
        </w:rPr>
        <w:t>甲方湿泥</w:t>
      </w:r>
      <w:r>
        <w:rPr>
          <w:rFonts w:hint="eastAsia" w:ascii="宋体" w:hAnsi="宋体" w:eastAsia="宋体" w:cs="宋体"/>
          <w:color w:val="auto"/>
          <w:szCs w:val="21"/>
          <w:highlight w:val="none"/>
        </w:rPr>
        <w:t>管理人员交接时共同核对填写并盖章，并配合办理</w:t>
      </w:r>
      <w:r>
        <w:rPr>
          <w:rFonts w:hint="eastAsia" w:ascii="宋体" w:hAnsi="宋体" w:eastAsia="宋体" w:cs="宋体"/>
          <w:color w:val="auto"/>
          <w:sz w:val="21"/>
          <w:szCs w:val="21"/>
          <w:highlight w:val="none"/>
        </w:rPr>
        <w:t>东莞市生态环境部门</w:t>
      </w:r>
      <w:r>
        <w:rPr>
          <w:rFonts w:hint="eastAsia" w:ascii="宋体" w:hAnsi="宋体" w:eastAsia="宋体" w:cs="宋体"/>
          <w:color w:val="auto"/>
          <w:szCs w:val="21"/>
          <w:highlight w:val="none"/>
        </w:rPr>
        <w:t>相关备案手续。</w:t>
      </w:r>
    </w:p>
    <w:p w14:paraId="73EFF282">
      <w:pPr>
        <w:pStyle w:val="83"/>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乙方必须在污泥到达甲方指定卸货点的次日10:00前，向甲方提供该车污泥装卸货过程中的相关资料。</w:t>
      </w:r>
    </w:p>
    <w:p w14:paraId="38530B05">
      <w:pPr>
        <w:pStyle w:val="83"/>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资料制作要求：</w:t>
      </w:r>
      <w:r>
        <w:rPr>
          <w:rFonts w:hint="eastAsia" w:ascii="宋体" w:hAnsi="宋体" w:eastAsia="宋体" w:cs="宋体"/>
          <w:color w:val="auto"/>
          <w:szCs w:val="21"/>
          <w:highlight w:val="none"/>
        </w:rPr>
        <w:t>（1）运输车辆到达</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装车地点，拍摄装车过程照片，装车照片应清晰显示车牌号码及车辆正在进行</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装车；（2）装车完成后上锁封条，拍摄封条照片，封条照片应清晰显示封条编号及封条未拆卸；（3）填写一式两份派车单并由运输司机及现场负责人签名，提交给</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w:t>
      </w:r>
      <w:r>
        <w:rPr>
          <w:rFonts w:hint="eastAsia" w:ascii="宋体" w:hAnsi="宋体" w:eastAsia="宋体" w:cs="宋体"/>
          <w:color w:val="auto"/>
          <w:szCs w:val="21"/>
          <w:highlight w:val="none"/>
          <w:lang w:val="en-US" w:eastAsia="zh-CN"/>
        </w:rPr>
        <w:t>甲方指定卸泥点</w:t>
      </w:r>
      <w:r>
        <w:rPr>
          <w:rFonts w:hint="eastAsia" w:ascii="宋体" w:hAnsi="宋体" w:eastAsia="宋体" w:cs="宋体"/>
          <w:color w:val="auto"/>
          <w:szCs w:val="21"/>
          <w:highlight w:val="none"/>
        </w:rPr>
        <w:t>后拍摄卸货前封条照片，照片应清晰显示封条编号及封条未拆封；（7）卸货过程应拍摄照片及视频，照片应清晰显示车牌号码、正在起斗的过程，以及车后的泥仓；视频应按</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供的视频模板拍摄，视频时长约15秒，从车头车牌开始录制，缓慢移步至车辆一侧录制卸泥过程，要求显示起斗过程及泥仓；（8）卸货完成后，磅单与联单合拍照片，照片应清晰显示各项信息，包括出厂日期、过磅时间、重量、联单编号及各处签名等；（9）上述照片、视频务必使用“今日水印相机”软件拍摄、录制，定位信息能清晰显示地点及日期。</w:t>
      </w:r>
    </w:p>
    <w:p w14:paraId="327A466B">
      <w:pPr>
        <w:pStyle w:val="83"/>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资料提交要求：</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val="en-US" w:eastAsia="zh-CN"/>
        </w:rPr>
        <w:t>本条款</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进行拍摄、整理每日运输影像资料后，以压缩文件形式在次日上午10:00前发送至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指定邮箱：zhongyuan160106@163.com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邮箱如有变化以甲方通知为准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；邮件及影像资料附件名称为“</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日期（年月日）+</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资料”；（2）</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资料”为一级文件夹名称，“</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产生单位”为二级文件夹名称，将过程资料放入该文件夹中，通过邮件提交给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p>
    <w:p w14:paraId="7EF8969A">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污泥外运次日，乙方应与甲方对磅单《生活污泥转移联单》（污泥专用）、（乙方）《月度污泥外运签证表》数据进行初次核对确认污泥转移运输数量。</w:t>
      </w:r>
    </w:p>
    <w:p w14:paraId="066D8F91">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乙方按7天/次的频次，根据初次核对确认的污泥转移运输数量和资料填报要求，向甲方提交经乙方盖章确认的《生活污泥转移联单》（污泥专用）、</w:t>
      </w:r>
      <w:r>
        <w:rPr>
          <w:rFonts w:hint="eastAsia" w:ascii="宋体" w:hAnsi="宋体" w:eastAsia="宋体" w:cs="宋体"/>
          <w:color w:val="auto"/>
          <w:szCs w:val="21"/>
          <w:highlight w:val="none"/>
        </w:rPr>
        <w:t>磅单、</w:t>
      </w:r>
      <w:r>
        <w:rPr>
          <w:rFonts w:hint="eastAsia" w:ascii="宋体" w:hAnsi="宋体" w:eastAsia="宋体" w:cs="宋体"/>
          <w:color w:val="auto"/>
          <w:sz w:val="21"/>
          <w:szCs w:val="21"/>
          <w:highlight w:val="none"/>
        </w:rPr>
        <w:t xml:space="preserve">（乙方）《月度污泥外运签证表》（含电子文档）等资料。甲方对接收的资料复核后，发现资料有误的，乙方必须在3日内按要求重新提交。甲方将复核后的资料送污泥产生单位盖章确认，经乙方、污泥产生单位、甲方共同签字/盖章确认后，确定该批次污泥转移运输数量，并由甲方交东莞市生态环境部门留存备查。 </w:t>
      </w:r>
    </w:p>
    <w:p w14:paraId="721C4BE7">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14:paraId="3F334D40">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付款方式</w:t>
      </w:r>
    </w:p>
    <w:p w14:paraId="42BC4F90">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合同履约过程中，乙方根据本合同约定需向甲方支付违约金、赔偿金、或其他应付费用等款项的，乙方必须向甲方支付完相关款项后，甲方才根据本合同向乙方支付合同价和对应的税额。若因乙方未能支付前述费用，影响项目实施的，甲方有权启用</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合同对应的履约担保或直接从未付合同款项中直接扣除，且乙方必须按照扣除前述费用前的不含税运输服务费（销售额）开具对应的合法发票，保证增值税税额符合法律规定。</w:t>
      </w:r>
    </w:p>
    <w:p w14:paraId="47DF21E6">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付款方式</w:t>
      </w:r>
    </w:p>
    <w:p w14:paraId="736C43CE">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甲方按本条的约定进行付款，乙方未能按合同要求履约，根据合同约定甲方可暂缓或延期付款的，从其约定。 </w:t>
      </w:r>
    </w:p>
    <w:p w14:paraId="61C1D8D9">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运输服务费按月支付。乙方应</w:t>
      </w:r>
      <w:r>
        <w:rPr>
          <w:rFonts w:hint="eastAsia" w:ascii="宋体" w:hAnsi="宋体" w:eastAsia="宋体" w:cs="宋体"/>
          <w:color w:val="auto"/>
          <w:sz w:val="21"/>
          <w:szCs w:val="21"/>
          <w:highlight w:val="none"/>
          <w:lang w:val="en-US" w:eastAsia="zh-CN"/>
        </w:rPr>
        <w:t>于</w:t>
      </w:r>
      <w:r>
        <w:rPr>
          <w:rFonts w:hint="eastAsia" w:ascii="宋体" w:hAnsi="宋体" w:eastAsia="宋体" w:cs="宋体"/>
          <w:color w:val="auto"/>
          <w:sz w:val="21"/>
          <w:szCs w:val="21"/>
          <w:highlight w:val="none"/>
        </w:rPr>
        <w:t>每月10日前，向甲方提交以下文件及单据等有效的请款凭证，甲方收到请款凭证后在15个工作日内完成核实工作，核实后向乙方支付上月运输服务费用：</w:t>
      </w:r>
    </w:p>
    <w:p w14:paraId="6C4AC2A7">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（1）（乙方）《月度污泥外运签证表》；</w:t>
      </w:r>
    </w:p>
    <w:p w14:paraId="786037AC">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（2）与请款数额一致的有效增值税专用发票（收款方、出具票据方、合同承包人均须与乙方名称一致，付款方为东莞市众源环境投资有限公司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83AB7FA">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（3）请款报告（必须加盖乙方的公章）。</w:t>
      </w:r>
    </w:p>
    <w:p w14:paraId="02AD9D93">
      <w:pPr>
        <w:wordWrap/>
        <w:spacing w:line="360" w:lineRule="auto"/>
        <w:ind w:left="0" w:leftChars="0" w:right="0" w:firstLine="476" w:firstLineChars="227"/>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乙方逾期提供请款资料及发票或前述资料不符合甲方要求的，甲方付款时间顺延，并不承担逾期付款违约责任。由于乙方提供的发票不符合税法规定，给甲方造成的损失由乙方承担赔偿责任。</w:t>
      </w:r>
    </w:p>
    <w:p w14:paraId="4D97893A">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14:paraId="0651F909">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服务要求</w:t>
      </w:r>
    </w:p>
    <w:p w14:paraId="2E950CB5">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color w:val="auto"/>
          <w:szCs w:val="21"/>
          <w:highlight w:val="none"/>
        </w:rPr>
        <w:t>为保证污水处理厂的正常生产运营，</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必须具备每天不间断实施</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运输的能力。在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转运的时间内，必须保证安排足够的车辆及司机，满足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处理站）等</w:t>
      </w:r>
      <w:r>
        <w:rPr>
          <w:rFonts w:hint="eastAsia" w:ascii="宋体" w:hAnsi="宋体" w:eastAsia="宋体" w:cs="宋体"/>
          <w:color w:val="auto"/>
          <w:szCs w:val="21"/>
          <w:highlight w:val="none"/>
        </w:rPr>
        <w:t>出泥点每天24小时不间断的出泥要求，提供每天不间断运输服务。</w:t>
      </w:r>
    </w:p>
    <w:p w14:paraId="3D1C06FA">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kern w:val="2"/>
          <w:sz w:val="21"/>
          <w:szCs w:val="21"/>
          <w:highlight w:val="none"/>
        </w:rPr>
        <w:t>污泥运输应参照执行《危险货物道路运输规则》(JT/T 617-2018)、《中华人民共和国道路运输条例》和《道路危险货物运输管理规定》的相关要求。污泥运输采用陆路运输，禁止采用水路运输</w:t>
      </w:r>
      <w:r>
        <w:rPr>
          <w:rFonts w:hint="eastAsia" w:ascii="宋体" w:hAnsi="宋体" w:eastAsia="宋体" w:cs="宋体"/>
          <w:color w:val="auto"/>
          <w:sz w:val="21"/>
          <w:szCs w:val="21"/>
          <w:highlight w:val="none"/>
        </w:rPr>
        <w:t>。</w:t>
      </w:r>
    </w:p>
    <w:p w14:paraId="6C0D16F7">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运输车辆必须符合公安、道路交通运输、环保等相关职能部门的相关要求，证照齐全、符合湿泥运输的要求。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取得运输服务后，应将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运输车辆的行驶证、营运证及司机等信息向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备案。</w:t>
      </w:r>
    </w:p>
    <w:p w14:paraId="78AED3E3">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必须采用密闭车辆运输</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要求密封、防水、不渗漏，四周槽帮牢固可靠、无破损、挡板严密，在驶出装载现场前，应将车辆槽帮和车轮冲洗干净，不得车轮带泥行驶、不得沿途泄漏，运输时发现自身有泄漏的，应及时采取有效措施清扫干净。</w:t>
      </w:r>
    </w:p>
    <w:p w14:paraId="2107F838">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承诺使用的车辆必须安装GPS，符合《道路运输车辆卫星定位系统平台技术要求》《道路运输车辆卫星定位系统车载终端技术要求》的要求，以防止偷排偷倒，或违约使用车辆。运输车辆的GPS定位系统，应能直接与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在线监管平台对接，实时显示</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 w:val="21"/>
          <w:szCs w:val="21"/>
          <w:highlight w:val="none"/>
        </w:rPr>
        <w:t>运输轨迹等信息；</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自有的车载GPS定位系统不能直接与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在线监管平台对接的，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提供定位系统设备供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使用。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必须保护好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定位系统设备免受损坏，若非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导致</w:t>
      </w:r>
      <w:r>
        <w:rPr>
          <w:rFonts w:hint="eastAsia" w:ascii="宋体" w:hAnsi="宋体" w:eastAsia="宋体" w:cs="宋体"/>
          <w:color w:val="auto"/>
          <w:sz w:val="21"/>
          <w:szCs w:val="21"/>
          <w:highlight w:val="none"/>
        </w:rPr>
        <w:t>定位系统设备损坏的，</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u w:val="none"/>
          <w:lang w:val="en-US" w:eastAsia="zh-CN"/>
        </w:rPr>
        <w:t>承担违约责任</w:t>
      </w:r>
      <w:r>
        <w:rPr>
          <w:rFonts w:hint="eastAsia" w:ascii="宋体" w:hAnsi="宋体" w:eastAsia="宋体" w:cs="宋体"/>
          <w:color w:val="auto"/>
          <w:sz w:val="21"/>
          <w:szCs w:val="21"/>
          <w:highlight w:val="none"/>
          <w:u w:val="none"/>
        </w:rPr>
        <w:t>。</w:t>
      </w:r>
      <w:r>
        <w:rPr>
          <w:rFonts w:hint="eastAsia" w:ascii="宋体" w:hAnsi="宋体" w:eastAsia="宋体" w:cs="宋体"/>
          <w:color w:val="auto"/>
          <w:szCs w:val="21"/>
          <w:highlight w:val="none"/>
        </w:rPr>
        <w:t>在运输过程中，</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应保证GPS 定位系统能正常接收信号，运输全程纳入定位管理，若运输过程中出现信号无法正常连接或中断的，期间发生交通运输事故或运输过程中导致环境污染的，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须负主要责任，并承担由此产生的一切行政和经济法律责任。若</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中止为</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服务，应在5个工作日内向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归还完好的定位系统设备，定位系统设备延期归还</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应承担违约责任</w:t>
      </w:r>
      <w:r>
        <w:rPr>
          <w:rFonts w:hint="eastAsia" w:ascii="宋体" w:hAnsi="宋体" w:eastAsia="宋体" w:cs="宋体"/>
          <w:color w:val="auto"/>
          <w:szCs w:val="21"/>
          <w:highlight w:val="none"/>
        </w:rPr>
        <w:t>。</w:t>
      </w:r>
    </w:p>
    <w:p w14:paraId="24052A76">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14:paraId="16FF2C2C">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双方权利义务</w:t>
      </w:r>
    </w:p>
    <w:p w14:paraId="56A1BB1D">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甲方权利和义务</w:t>
      </w:r>
    </w:p>
    <w:p w14:paraId="3DC91EC7">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甲方有权对</w:t>
      </w:r>
      <w:r>
        <w:rPr>
          <w:rFonts w:hint="eastAsia" w:ascii="宋体" w:hAnsi="宋体" w:eastAsia="宋体" w:cs="宋体"/>
          <w:color w:val="auto"/>
          <w:szCs w:val="21"/>
          <w:highlight w:val="none"/>
        </w:rPr>
        <w:t>污泥</w:t>
      </w:r>
      <w:r>
        <w:rPr>
          <w:rFonts w:hint="eastAsia" w:ascii="宋体" w:hAnsi="宋体" w:eastAsia="宋体" w:cs="宋体"/>
          <w:color w:val="auto"/>
          <w:sz w:val="21"/>
          <w:szCs w:val="21"/>
          <w:highlight w:val="none"/>
        </w:rPr>
        <w:t>运输全过程进行监督。</w:t>
      </w:r>
    </w:p>
    <w:p w14:paraId="3303737E">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6.1.2 </w:t>
      </w:r>
      <w:r>
        <w:rPr>
          <w:rFonts w:hint="eastAsia" w:ascii="宋体" w:hAnsi="宋体" w:eastAsia="宋体" w:cs="宋体"/>
          <w:b/>
          <w:bCs/>
          <w:color w:val="auto"/>
          <w:sz w:val="21"/>
          <w:szCs w:val="21"/>
          <w:highlight w:val="none"/>
        </w:rPr>
        <w:t>对于</w:t>
      </w:r>
      <w:r>
        <w:rPr>
          <w:rFonts w:hint="eastAsia" w:ascii="宋体" w:hAnsi="宋体" w:eastAsia="宋体" w:cs="宋体"/>
          <w:b/>
          <w:bCs/>
          <w:color w:val="auto"/>
          <w:sz w:val="21"/>
          <w:szCs w:val="21"/>
          <w:highlight w:val="none"/>
          <w:lang w:eastAsia="zh-CN"/>
        </w:rPr>
        <w:t>污水处理厂（处理站）污泥东莞市内运输项目</w:t>
      </w:r>
      <w:r>
        <w:rPr>
          <w:rFonts w:hint="eastAsia" w:ascii="宋体" w:hAnsi="宋体" w:eastAsia="宋体" w:cs="宋体"/>
          <w:b/>
          <w:bCs/>
          <w:color w:val="auto"/>
          <w:sz w:val="21"/>
          <w:szCs w:val="21"/>
          <w:highlight w:val="none"/>
          <w:lang w:val="zh-CN"/>
        </w:rPr>
        <w:t>，甲方按</w:t>
      </w:r>
      <w:r>
        <w:rPr>
          <w:rFonts w:hint="eastAsia" w:ascii="宋体" w:hAnsi="宋体" w:eastAsia="宋体" w:cs="宋体"/>
          <w:b/>
          <w:bCs/>
          <w:color w:val="auto"/>
          <w:sz w:val="21"/>
          <w:szCs w:val="21"/>
          <w:highlight w:val="none"/>
          <w:lang w:val="en-US" w:eastAsia="zh-CN"/>
        </w:rPr>
        <w:t>本合同对应招标项目各中标单位的</w:t>
      </w:r>
      <w:r>
        <w:rPr>
          <w:rFonts w:hint="eastAsia" w:ascii="宋体" w:hAnsi="宋体" w:eastAsia="宋体" w:cs="宋体"/>
          <w:b/>
          <w:bCs/>
          <w:color w:val="auto"/>
          <w:sz w:val="21"/>
          <w:szCs w:val="21"/>
          <w:highlight w:val="none"/>
          <w:lang w:val="zh-CN"/>
        </w:rPr>
        <w:t>湿泥运输服务费（不含税）单价从低到高的顺序，优先安排单价最低的</w:t>
      </w:r>
      <w:r>
        <w:rPr>
          <w:rFonts w:hint="eastAsia" w:ascii="宋体" w:hAnsi="宋体" w:eastAsia="宋体" w:cs="宋体"/>
          <w:b/>
          <w:bCs/>
          <w:color w:val="auto"/>
          <w:sz w:val="21"/>
          <w:szCs w:val="21"/>
          <w:highlight w:val="none"/>
          <w:lang w:val="en-US" w:eastAsia="zh-CN"/>
        </w:rPr>
        <w:t>中标单位</w:t>
      </w:r>
      <w:r>
        <w:rPr>
          <w:rFonts w:hint="eastAsia" w:ascii="宋体" w:hAnsi="宋体" w:eastAsia="宋体" w:cs="宋体"/>
          <w:b/>
          <w:bCs/>
          <w:color w:val="auto"/>
          <w:sz w:val="21"/>
          <w:szCs w:val="21"/>
          <w:highlight w:val="none"/>
          <w:lang w:val="zh-CN"/>
        </w:rPr>
        <w:t>运输</w:t>
      </w:r>
      <w:r>
        <w:rPr>
          <w:rFonts w:hint="eastAsia" w:ascii="宋体" w:hAnsi="宋体" w:eastAsia="宋体" w:cs="宋体"/>
          <w:color w:val="auto"/>
          <w:sz w:val="21"/>
          <w:szCs w:val="21"/>
          <w:highlight w:val="none"/>
          <w:lang w:val="zh-CN"/>
        </w:rPr>
        <w:t>，当分配转移运输湿泥的量达到该运输单位运输转移能力后，由单价次低的</w:t>
      </w:r>
      <w:r>
        <w:rPr>
          <w:rFonts w:hint="eastAsia" w:ascii="宋体" w:hAnsi="宋体" w:eastAsia="宋体" w:cs="宋体"/>
          <w:color w:val="auto"/>
          <w:sz w:val="21"/>
          <w:szCs w:val="21"/>
          <w:highlight w:val="none"/>
          <w:lang w:val="en-US" w:eastAsia="zh-CN"/>
        </w:rPr>
        <w:t>其他中标单位</w:t>
      </w:r>
      <w:r>
        <w:rPr>
          <w:rFonts w:hint="eastAsia" w:ascii="宋体" w:hAnsi="宋体" w:eastAsia="宋体" w:cs="宋体"/>
          <w:color w:val="auto"/>
          <w:sz w:val="21"/>
          <w:szCs w:val="21"/>
          <w:highlight w:val="none"/>
          <w:lang w:val="zh-CN"/>
        </w:rPr>
        <w:t>运输，以此类推。当一个</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zh-CN"/>
        </w:rPr>
        <w:t>运输能力或因其他客观因素不能满足甲方湿泥运输需求时，甲方有权按前述低价优先的原则，同时安排多个</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zh-CN"/>
        </w:rPr>
        <w:t>转移运输湿泥。</w:t>
      </w:r>
      <w:r>
        <w:rPr>
          <w:rFonts w:hint="eastAsia" w:ascii="宋体" w:hAnsi="宋体" w:eastAsia="宋体" w:cs="宋体"/>
          <w:color w:val="auto"/>
          <w:sz w:val="21"/>
          <w:szCs w:val="21"/>
          <w:highlight w:val="none"/>
          <w:lang w:val="en-US" w:eastAsia="zh-CN"/>
        </w:rPr>
        <w:t>如中标单位的湿泥运输服务费（不含税）单价报价相同，甲方有权按中标单位已承诺的日均（月外运量/外运天数）外运湿泥量由高到低排序，优先安排日均（月外运量/外运天数）外运湿泥量最高的中标单位运输。当中标单位的湿泥运输服务费（不含税）单价报价和已承诺的日均（月外运量/外运天数）外运湿泥量均相同，甲方将采取随机抽取的方式确定。</w:t>
      </w:r>
    </w:p>
    <w:p w14:paraId="797636BA">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6.1.3 </w:t>
      </w:r>
      <w:r>
        <w:rPr>
          <w:rFonts w:hint="eastAsia" w:ascii="宋体" w:hAnsi="宋体" w:eastAsia="宋体" w:cs="宋体"/>
          <w:color w:val="auto"/>
          <w:szCs w:val="21"/>
          <w:highlight w:val="none"/>
        </w:rPr>
        <w:t>本项目合同不具排他性，</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对本项目范围内的具体服务分配享有自主选择的权利。若</w:t>
      </w:r>
      <w:r>
        <w:rPr>
          <w:rFonts w:hint="eastAsia" w:ascii="宋体" w:hAnsi="宋体" w:eastAsia="宋体" w:cs="宋体"/>
          <w:color w:val="auto"/>
          <w:szCs w:val="21"/>
          <w:highlight w:val="none"/>
          <w:lang w:eastAsia="zh-CN"/>
        </w:rPr>
        <w:t>乙方或</w:t>
      </w:r>
      <w:r>
        <w:rPr>
          <w:rFonts w:hint="eastAsia" w:ascii="宋体" w:hAnsi="宋体" w:eastAsia="宋体" w:cs="宋体"/>
          <w:color w:val="auto"/>
          <w:szCs w:val="21"/>
          <w:highlight w:val="none"/>
        </w:rPr>
        <w:t>中标的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部分</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资格被取消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或因项目</w:t>
      </w:r>
      <w:r>
        <w:rPr>
          <w:rFonts w:hint="eastAsia" w:ascii="宋体" w:hAnsi="宋体" w:eastAsia="宋体" w:cs="宋体"/>
          <w:color w:val="auto"/>
          <w:szCs w:val="21"/>
          <w:highlight w:val="none"/>
          <w:lang w:eastAsia="zh-CN"/>
        </w:rPr>
        <w:t>实际需要，</w:t>
      </w:r>
      <w:r>
        <w:rPr>
          <w:rFonts w:hint="eastAsia" w:ascii="宋体" w:hAnsi="宋体" w:eastAsia="宋体" w:cs="宋体"/>
          <w:color w:val="auto"/>
          <w:szCs w:val="21"/>
          <w:highlight w:val="none"/>
        </w:rPr>
        <w:t>或因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运输能力</w:t>
      </w:r>
      <w:r>
        <w:rPr>
          <w:rFonts w:hint="eastAsia" w:ascii="宋体" w:hAnsi="宋体" w:eastAsia="宋体" w:cs="宋体"/>
          <w:color w:val="auto"/>
          <w:szCs w:val="21"/>
          <w:highlight w:val="none"/>
          <w:lang w:eastAsia="zh-CN"/>
        </w:rPr>
        <w:t>受限，</w:t>
      </w:r>
      <w:r>
        <w:rPr>
          <w:rFonts w:hint="eastAsia" w:ascii="宋体" w:hAnsi="宋体" w:eastAsia="宋体" w:cs="宋体"/>
          <w:color w:val="auto"/>
          <w:szCs w:val="21"/>
          <w:highlight w:val="none"/>
        </w:rPr>
        <w:t>或因其它客观因素不满足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需求等原因造成服务单位数量不能满足正常工作需求的，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w:t>
      </w:r>
      <w:r>
        <w:rPr>
          <w:rFonts w:hint="eastAsia" w:ascii="宋体" w:hAnsi="宋体" w:eastAsia="宋体" w:cs="宋体"/>
          <w:color w:val="auto"/>
          <w:szCs w:val="21"/>
          <w:highlight w:val="none"/>
          <w:lang w:val="en-US" w:eastAsia="zh-CN"/>
        </w:rPr>
        <w:t>安排后一顺序中标单位提供湿泥运输服务</w:t>
      </w:r>
      <w:r>
        <w:rPr>
          <w:rFonts w:hint="eastAsia" w:ascii="宋体" w:hAnsi="宋体" w:eastAsia="宋体" w:cs="宋体"/>
          <w:color w:val="auto"/>
          <w:szCs w:val="21"/>
          <w:highlight w:val="none"/>
        </w:rPr>
        <w:t>。</w:t>
      </w:r>
    </w:p>
    <w:p w14:paraId="0A6E402B">
      <w:pPr>
        <w:wordWrap/>
        <w:adjustRightInd/>
        <w:spacing w:line="360" w:lineRule="auto"/>
        <w:ind w:firstLine="424" w:firstLineChars="20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有权要求乙方对不符合要求的问题提出书面整改意见，乙方应在甲方规定的时间内完成整改。逾期未完成整改或拒绝整改或经整改仍达不到甲方要求的，甲方有权暂停乙方继续提供运输服务或直接单方解除本合同，取消</w:t>
      </w:r>
      <w:r>
        <w:rPr>
          <w:rFonts w:hint="eastAsia" w:ascii="宋体" w:hAnsi="宋体" w:eastAsia="宋体" w:cs="宋体"/>
          <w:color w:val="auto"/>
          <w:sz w:val="21"/>
          <w:szCs w:val="21"/>
          <w:highlight w:val="none"/>
          <w:lang w:eastAsia="zh-CN"/>
        </w:rPr>
        <w:t>乙方服务资格</w:t>
      </w:r>
      <w:r>
        <w:rPr>
          <w:rFonts w:hint="eastAsia" w:ascii="宋体" w:hAnsi="宋体" w:eastAsia="宋体" w:cs="宋体"/>
          <w:color w:val="auto"/>
          <w:sz w:val="21"/>
          <w:szCs w:val="21"/>
          <w:highlight w:val="none"/>
        </w:rPr>
        <w:t>，并有权按照本合同约定追究乙方违约责任</w:t>
      </w:r>
    </w:p>
    <w:p w14:paraId="7D43EE9B">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甲方有权对污泥运输全过程进行监督、查阅湿泥运输车辆的行车记录或数据，若发现</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存在中间装卸操作、偷排偷倒等问题，</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w:t>
      </w:r>
      <w:r>
        <w:rPr>
          <w:rFonts w:hint="eastAsia" w:ascii="宋体" w:hAnsi="宋体" w:eastAsia="宋体" w:cs="宋体"/>
          <w:color w:val="auto"/>
          <w:szCs w:val="21"/>
          <w:highlight w:val="none"/>
          <w:lang w:val="en-US" w:eastAsia="zh-CN"/>
        </w:rPr>
        <w:t>单方解除本</w:t>
      </w:r>
      <w:r>
        <w:rPr>
          <w:rFonts w:hint="eastAsia" w:ascii="宋体" w:hAnsi="宋体" w:eastAsia="宋体" w:cs="宋体"/>
          <w:color w:val="auto"/>
          <w:szCs w:val="21"/>
          <w:highlight w:val="none"/>
        </w:rPr>
        <w:t>合同并追究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的违约责任，因此导致的</w:t>
      </w:r>
      <w:r>
        <w:rPr>
          <w:rFonts w:hint="eastAsia" w:ascii="宋体" w:hAnsi="宋体" w:eastAsia="宋体" w:cs="宋体"/>
          <w:color w:val="auto"/>
          <w:szCs w:val="21"/>
          <w:highlight w:val="none"/>
          <w:lang w:val="en-US" w:eastAsia="zh-CN"/>
        </w:rPr>
        <w:t>全部损失、</w:t>
      </w:r>
      <w:r>
        <w:rPr>
          <w:rFonts w:hint="eastAsia" w:ascii="宋体" w:hAnsi="宋体" w:eastAsia="宋体" w:cs="宋体"/>
          <w:color w:val="auto"/>
          <w:szCs w:val="21"/>
          <w:highlight w:val="none"/>
        </w:rPr>
        <w:t>法律及相关责任由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14:paraId="69862C4E">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合同的执行标准。在合同履行期内，乙方同意不因相关执行标准的调整而要求甲方增加费用或要求补偿。</w:t>
      </w:r>
    </w:p>
    <w:p w14:paraId="48317CAC">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甲方及时办理运输</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费的支付手续。</w:t>
      </w:r>
    </w:p>
    <w:p w14:paraId="167781A0">
      <w:pPr>
        <w:tabs>
          <w:tab w:val="left" w:pos="142"/>
        </w:tabs>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招标文件、本合同文件及附件内容约定的甲方其他权利义务。 </w:t>
      </w:r>
    </w:p>
    <w:p w14:paraId="57D026A0">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甲方指定【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】为本项目的联系人，代表甲方与乙方进行沟通、联络。</w:t>
      </w:r>
    </w:p>
    <w:p w14:paraId="148C2A73">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乙方权利和义务</w:t>
      </w:r>
    </w:p>
    <w:p w14:paraId="00F7290E">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在本合同履行期间，乙方应承担其聘请人员的用工责任及用人单位责任。为其雇员、劳动者依法提供劳动保护，为从事运输工作的人员购买社会保险或意外伤害保险，并为承担本合同运输工作的车辆设备办理第三者责任等保险，承担并支付保险费用。如乙方人员（包括雇员、乙方劳动者等）在服务过程中发生意外事故的，由乙方承担全部责任并支付全部费用。</w:t>
      </w:r>
    </w:p>
    <w:p w14:paraId="52874C08">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乙方应严格遵守国家法律、法规，协助甲方做好社会治安综合管理工作等工作。乙方员工有违法乱纪的行为，乙方应承担一切经济责任和法律责任。</w:t>
      </w:r>
    </w:p>
    <w:p w14:paraId="0A8383C1">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每逢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501FAC76">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乙方在合同期限内应保存好全部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A326E4D">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乙方不得将本合同全部的权利义务转让给第三人；未经甲方书面同意，乙方不得将本合同项下乙方的部分权利义务转让给第三人。</w:t>
      </w:r>
    </w:p>
    <w:p w14:paraId="4B732D49">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安排专人负责本项目管理，调度运输车辆，在转移运输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w:t>
      </w:r>
      <w:r>
        <w:rPr>
          <w:rFonts w:hint="eastAsia" w:ascii="宋体" w:hAnsi="宋体" w:eastAsia="宋体" w:cs="宋体"/>
          <w:color w:val="auto"/>
          <w:szCs w:val="21"/>
          <w:highlight w:val="none"/>
          <w:lang w:val="en-US" w:eastAsia="zh-CN"/>
        </w:rPr>
        <w:t>运输司机资料、</w:t>
      </w:r>
      <w:r>
        <w:rPr>
          <w:rFonts w:hint="eastAsia" w:ascii="宋体" w:hAnsi="宋体" w:eastAsia="宋体" w:cs="宋体"/>
          <w:color w:val="auto"/>
          <w:szCs w:val="21"/>
          <w:highlight w:val="none"/>
        </w:rPr>
        <w:t>运输路线和运输距离（经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双方签字确定后作为单次运输距离的计费依据）。收集每车外运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的电子地磅的称重单（含载泥前的称重单和载泥时的称重单），建立</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接收量、装车地点、卸车地点、运输距离等情况，并接受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的监督、管理，并如实向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反映</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收运情况。</w:t>
      </w:r>
    </w:p>
    <w:p w14:paraId="000D2001">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运输过程中不得进行中间装卸操作，严禁将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在污水处理厂外进行中转存放或堆放，严禁将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向环境中倾倒、丢弃、遗洒，发生以上事件所产生的一切行政和经济法律责任由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14:paraId="6F02D35E">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应严格按照交通运输及相关法律、法规操作，安全、合法地运输，在任何情况下都不得进行任何形式的超载运输，否则造成的一切后果由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14:paraId="247E6812">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必须提供符合各污水处理厂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道路及转泥点场地设施使用要求的车辆，并应根据通知转运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量的变化调整车辆数量，保证</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能及时清运。</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应按通知转运量安排车辆及时到达</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指定厂区收运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通知转运量变更时，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应尽力完成合理安排车次。</w:t>
      </w:r>
    </w:p>
    <w:p w14:paraId="7CFB6970">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应当配合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指定接卸地点现场人员调度，遵守装车、卸车现场安全作业行为规范。在接收</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时必须严格遵守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指定接卸地点的现场安全、环境、质量管理要求以及相关管理规定，根据</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安全管理要求做好相关防护措施，维护好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指定接卸地点场地卫生环境现象，每车离场前必须清扫干净装车、卸车区域地面，保持该区域卫生情况良好。</w:t>
      </w:r>
    </w:p>
    <w:p w14:paraId="12366C6B">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对运输过程的环境、安全负全责。运输过程中，</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应进行全过程监控和管理，防止因裸露、散落、泄漏、随意丢弃或倾倒等造成二次污染，</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负责做好</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运输及装卸过程的安全、卫生及防止</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污染扩散工作。运输过程中导致环境污染的，由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承担相应的行政责任及经济责任，并承担由此产生的一切行政和经济法律责任。</w:t>
      </w:r>
    </w:p>
    <w:p w14:paraId="2598BFDE">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指定装卸地点厂区内按指定路线完成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运输工作，</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车辆在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指定接卸地点厂区内的安全由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自行负责，在行驶过程中如对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指定接卸地点的构筑物及设备或人员造成侵害的，或对第三方人身或财产造成损害的，负责修复或赔偿。</w:t>
      </w:r>
    </w:p>
    <w:p w14:paraId="330484A6">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必须制定与</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转运有关的规章制度和发生意外事故时的应急预案，并</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报备。在运输过程中发生燃烧、爆炸、污染、中毒或者被盗、丢失、流散、泄漏等事故，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应当立即采取紧急处理措施，运输驾驶员、押运人员应当立即向公安部门、</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、环境保护行政主管部门报告，说明事故情况，并采取一切可能的警示措施和应急措施，积极配合有关部门进行处置。</w:t>
      </w:r>
    </w:p>
    <w:p w14:paraId="47BBB81B">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聘用的运输从业人员应具备《中华人民共和国道路运输从业人员从业资格证》或相关从业资格证并在核定的从业范围。在从事道路运输活动时，应当携带相应的从业资格证件，并应当遵守国家相关法规和道路运输安全操作规程，不得违法经营、违章作业。</w:t>
      </w:r>
    </w:p>
    <w:p w14:paraId="15234DDF">
      <w:pPr>
        <w:spacing w:beforeLines="0" w:afterLines="0" w:line="360" w:lineRule="auto"/>
        <w:ind w:firstLine="422" w:firstLineChars="201"/>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应按照</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通知的时间、转运量安排车辆到指定的地点将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及时运输至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指定的处理</w:t>
      </w:r>
      <w:r>
        <w:rPr>
          <w:rFonts w:hint="eastAsia" w:ascii="宋体" w:hAnsi="宋体" w:eastAsia="宋体" w:cs="宋体"/>
          <w:color w:val="auto"/>
          <w:szCs w:val="21"/>
          <w:highlight w:val="none"/>
          <w:lang w:val="en-US" w:eastAsia="zh-CN"/>
        </w:rPr>
        <w:t>处置</w:t>
      </w:r>
      <w:r>
        <w:rPr>
          <w:rFonts w:hint="eastAsia" w:ascii="宋体" w:hAnsi="宋体" w:eastAsia="宋体" w:cs="宋体"/>
          <w:color w:val="auto"/>
          <w:szCs w:val="21"/>
          <w:highlight w:val="none"/>
        </w:rPr>
        <w:t>地点，如果</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不能按</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通知的时间前来收运，应至少提前6小时先向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告知，并取得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同意后才能更改收运时间，如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未能及时告知或未取得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同意擅自更改收运时间，则应承担因此造成的后果并赔偿</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所遭受的损失。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服务期内累计出现3次或以上前述事件的，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有权单方面解除合同，并有权启动其他运输服务单位，因此对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产生的经济损失，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将根据合同约定追究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的违约责任。</w:t>
      </w:r>
    </w:p>
    <w:p w14:paraId="28790B09">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不得借故拒绝接受委托。</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如因车辆维修、年检等原因导致预定运输车辆无法调配的，在取得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同意后应及时更换运输车辆。若确实无法调配运输车辆，不能对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该批次</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等进行运输的，应在当天出具书面通知函告知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，获得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同意后方可暂停运输。除非因外部环境或不可抗力因素影响，</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已无法再对</w:t>
      </w:r>
      <w:r>
        <w:rPr>
          <w:rFonts w:hint="eastAsia" w:ascii="宋体" w:hAnsi="宋体" w:eastAsia="宋体" w:cs="宋体"/>
          <w:color w:val="auto"/>
          <w:szCs w:val="21"/>
          <w:highlight w:val="none"/>
          <w:lang w:eastAsia="zh-CN"/>
        </w:rPr>
        <w:t>甲方湿泥</w:t>
      </w:r>
      <w:r>
        <w:rPr>
          <w:rFonts w:hint="eastAsia" w:ascii="宋体" w:hAnsi="宋体" w:eastAsia="宋体" w:cs="宋体"/>
          <w:color w:val="auto"/>
          <w:szCs w:val="21"/>
          <w:highlight w:val="none"/>
        </w:rPr>
        <w:t>等进行运输服务的，否则视为</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违约。</w:t>
      </w:r>
    </w:p>
    <w:p w14:paraId="0F101DFE">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安排专人负责本项目管理，调度运输车辆，在转移运输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w:t>
      </w:r>
      <w:r>
        <w:rPr>
          <w:rFonts w:hint="eastAsia" w:ascii="宋体" w:hAnsi="宋体" w:eastAsia="宋体" w:cs="宋体"/>
          <w:color w:val="auto"/>
          <w:szCs w:val="21"/>
          <w:highlight w:val="none"/>
          <w:lang w:val="en-US" w:eastAsia="zh-CN"/>
        </w:rPr>
        <w:t>运输司机资料、</w:t>
      </w:r>
      <w:r>
        <w:rPr>
          <w:rFonts w:hint="eastAsia" w:ascii="宋体" w:hAnsi="宋体" w:eastAsia="宋体" w:cs="宋体"/>
          <w:color w:val="auto"/>
          <w:szCs w:val="21"/>
          <w:highlight w:val="none"/>
        </w:rPr>
        <w:t>运输路线和运输距离（经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双方签字确定后作为单次运输距离的计费依据）。</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收集每车外运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的电子地磅的称重单（含载泥前的称重单和载泥时的称重单），建立</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接收量、装车地点、卸车地点、运输距离等情况，并接受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的监督、管理，并如实向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反映</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收运情况。</w:t>
      </w:r>
    </w:p>
    <w:p w14:paraId="03E3614E">
      <w:pPr>
        <w:wordWrap/>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不得将</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交付的</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交由第三方运输，禁止转包，否则，由此导致的一切责任和风险全部由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承担，并根据合同的约定承担违约责任，赔偿由此给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造成的损失。</w:t>
      </w:r>
    </w:p>
    <w:p w14:paraId="69892AC3">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.2.19</w:t>
      </w:r>
      <w:r>
        <w:rPr>
          <w:rFonts w:hint="eastAsia" w:ascii="宋体" w:hAnsi="宋体" w:eastAsia="宋体" w:cs="宋体"/>
          <w:color w:val="auto"/>
          <w:sz w:val="21"/>
          <w:szCs w:val="21"/>
          <w:highlight w:val="none"/>
        </w:rPr>
        <w:t xml:space="preserve"> 招标文件、本合同文件及附件内容约定的乙方其他权利义务。</w:t>
      </w:r>
    </w:p>
    <w:p w14:paraId="153198D9">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 xml:space="preserve"> 乙方指定【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】为本项目的联系人，代表乙方与甲方进行沟通、联络。</w:t>
      </w:r>
    </w:p>
    <w:p w14:paraId="6C420254">
      <w:pPr>
        <w:wordWrap/>
        <w:spacing w:line="360" w:lineRule="auto"/>
        <w:ind w:left="0" w:leftChars="0" w:right="0"/>
        <w:jc w:val="both"/>
        <w:textAlignment w:val="auto"/>
        <w:outlineLvl w:val="9"/>
        <w:rPr>
          <w:rFonts w:hint="eastAsia" w:ascii="宋体" w:hAnsi="宋体" w:eastAsia="宋体" w:cs="宋体"/>
          <w:color w:val="auto"/>
          <w:highlight w:val="none"/>
        </w:rPr>
      </w:pPr>
    </w:p>
    <w:p w14:paraId="7CE10F26">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bCs/>
          <w:color w:val="auto"/>
          <w:sz w:val="21"/>
          <w:szCs w:val="21"/>
          <w:highlight w:val="none"/>
        </w:rPr>
        <w:t>条 履约担保</w:t>
      </w:r>
    </w:p>
    <w:p w14:paraId="7691EF5A">
      <w:pPr>
        <w:wordWrap/>
        <w:snapToGrid w:val="0"/>
        <w:spacing w:line="360" w:lineRule="auto"/>
        <w:ind w:left="0" w:leftChars="0" w:right="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7.1</w:t>
      </w:r>
      <w:r>
        <w:rPr>
          <w:rFonts w:hint="eastAsia" w:ascii="宋体" w:hAnsi="宋体" w:eastAsia="宋体" w:cs="宋体"/>
          <w:color w:val="auto"/>
          <w:szCs w:val="21"/>
          <w:highlight w:val="none"/>
        </w:rPr>
        <w:t>乙方应当在规定的时间内向甲方提供履约担保，履约担保形式及金额由乙方从以下方式中任选一种：</w:t>
      </w:r>
    </w:p>
    <w:p w14:paraId="41E51958">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履约保证金（银行转账形式）金额为人民币</w:t>
      </w:r>
      <w:r>
        <w:rPr>
          <w:rFonts w:hint="eastAsia" w:ascii="宋体" w:hAnsi="宋体" w:eastAsia="宋体" w:cs="宋体"/>
          <w:color w:val="auto"/>
          <w:szCs w:val="21"/>
          <w:highlight w:val="none"/>
          <w:u w:val="single"/>
        </w:rPr>
        <w:t xml:space="preserve">      。</w:t>
      </w:r>
    </w:p>
    <w:p w14:paraId="3856B002">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银行不可撤销履约保函金额为</w:t>
      </w:r>
      <w:r>
        <w:rPr>
          <w:rFonts w:hint="eastAsia" w:ascii="宋体" w:hAnsi="宋体" w:eastAsia="宋体" w:cs="宋体"/>
          <w:color w:val="auto"/>
          <w:szCs w:val="21"/>
          <w:highlight w:val="none"/>
          <w:lang w:val="zh-CN"/>
        </w:rPr>
        <w:t>人民币</w:t>
      </w:r>
      <w:r>
        <w:rPr>
          <w:rFonts w:hint="eastAsia" w:ascii="宋体" w:hAnsi="宋体" w:eastAsia="宋体" w:cs="宋体"/>
          <w:color w:val="auto"/>
          <w:szCs w:val="21"/>
          <w:highlight w:val="none"/>
          <w:u w:val="single"/>
        </w:rPr>
        <w:t xml:space="preserve">     。</w:t>
      </w:r>
    </w:p>
    <w:p w14:paraId="145FAFC8">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履约保证保险金额为人民币     </w:t>
      </w:r>
      <w:r>
        <w:rPr>
          <w:rFonts w:hint="eastAsia" w:ascii="宋体" w:hAnsi="宋体" w:eastAsia="宋体" w:cs="宋体"/>
          <w:color w:val="auto"/>
          <w:szCs w:val="21"/>
          <w:highlight w:val="none"/>
          <w:u w:val="single"/>
        </w:rPr>
        <w:t>。</w:t>
      </w:r>
    </w:p>
    <w:p w14:paraId="053B61CE">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lang w:val="zh-CN"/>
        </w:rPr>
        <w:t>人民币</w:t>
      </w:r>
      <w:r>
        <w:rPr>
          <w:rFonts w:hint="eastAsia" w:ascii="宋体" w:hAnsi="宋体" w:eastAsia="宋体" w:cs="宋体"/>
          <w:color w:val="auto"/>
          <w:szCs w:val="21"/>
          <w:highlight w:val="none"/>
          <w:u w:val="single"/>
        </w:rPr>
        <w:t xml:space="preserve">      。</w:t>
      </w:r>
    </w:p>
    <w:p w14:paraId="1272AA16">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履约担保用于补偿甲方因乙方不能完全履行其合同义务而蒙受的损失，如发生下列任一情况时，甲方除有权依合同追究乙方违约责任外，还有权提取履约担保并进行相应处理：</w:t>
      </w:r>
    </w:p>
    <w:p w14:paraId="7D77DBCE">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（1）乙方将本合同项下乙方的权利义务全部转让给第三方，或未经甲方书面同意，乙方将本合同部分权利义务</w:t>
      </w:r>
      <w:r>
        <w:rPr>
          <w:rFonts w:hint="eastAsia" w:ascii="宋体" w:hAnsi="宋体" w:eastAsia="宋体" w:cs="宋体"/>
          <w:color w:val="auto"/>
          <w:szCs w:val="21"/>
          <w:highlight w:val="none"/>
          <w:lang w:val="en-US" w:eastAsia="zh-CN"/>
        </w:rPr>
        <w:t>分包</w:t>
      </w:r>
      <w:r>
        <w:rPr>
          <w:rFonts w:hint="eastAsia" w:ascii="宋体" w:hAnsi="宋体" w:eastAsia="宋体" w:cs="宋体"/>
          <w:color w:val="auto"/>
          <w:szCs w:val="21"/>
          <w:highlight w:val="none"/>
        </w:rPr>
        <w:t>给第三方，甲方有权没收其履约担保。</w:t>
      </w:r>
    </w:p>
    <w:p w14:paraId="2AC725BD">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（2）在合同履行期间，乙方怠于履行合同义务，经甲方通知或要求承担违约金后仍拒不改正的，甲方有权没收或适当扣除其履约担保。</w:t>
      </w:r>
    </w:p>
    <w:p w14:paraId="3435F7ED">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4C32A062">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（4）在合同履行期间，乙方违约产生的违约金、赔偿、罚款或其他应付费用等款项，甲方有权直接从未付服务费中扣除或使用履约担保予以支付。</w:t>
      </w:r>
    </w:p>
    <w:p w14:paraId="4D76687F">
      <w:pPr>
        <w:numPr>
          <w:ilvl w:val="0"/>
          <w:numId w:val="2"/>
        </w:num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合同期内，乙方不能及时完成合同某项义务的，甲方有权使用履约担保用于处理该项工作。</w:t>
      </w:r>
    </w:p>
    <w:p w14:paraId="34C8C5B9">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（6）其他根据本合同约定或法律规定，甲方可使用履约担保的情形。</w:t>
      </w:r>
    </w:p>
    <w:p w14:paraId="348DFC3D">
      <w:pPr>
        <w:wordWrap/>
        <w:snapToGrid w:val="0"/>
        <w:spacing w:line="360" w:lineRule="auto"/>
        <w:ind w:left="0" w:leftChars="0" w:right="0" w:firstLine="424" w:firstLineChars="202"/>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7.3</w:t>
      </w:r>
      <w:r>
        <w:rPr>
          <w:rFonts w:hint="eastAsia" w:ascii="宋体" w:hAnsi="宋体" w:eastAsia="宋体" w:cs="宋体"/>
          <w:color w:val="auto"/>
          <w:szCs w:val="21"/>
          <w:highlight w:val="none"/>
        </w:rPr>
        <w:t>在本合同服务期满且乙方完成本合同项下全部服务后二十八（28）日内，甲方将履约担保余额无息退还乙方。</w:t>
      </w:r>
    </w:p>
    <w:p w14:paraId="6A756A0B">
      <w:pPr>
        <w:wordWrap/>
        <w:snapToGrid w:val="0"/>
        <w:spacing w:line="360" w:lineRule="auto"/>
        <w:ind w:left="0" w:leftChars="0" w:right="0" w:firstLine="424" w:firstLineChars="202"/>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如乙方提供不可撤销银行履约保函或担保公司履约担保书作为履约担保的，不可撤销银行履约保函或担保公司履约担保书应自合同签订之日起到本合同有效期满且乙方完成本合同项下全部服务之后二十八（28）日内保持有效。</w:t>
      </w:r>
    </w:p>
    <w:p w14:paraId="7292B4EF">
      <w:pPr>
        <w:wordWrap/>
        <w:spacing w:line="360" w:lineRule="auto"/>
        <w:ind w:left="0" w:leftChars="0" w:right="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在合同履行过程中，不论何种原因导致履约担保数额不符合招标文件要求的，乙方应当在</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日内予以补足。逾期不予补足的，甲方有权按需补足的金额要求乙方承担违约金，并要求乙方限期补足。如乙方仍不补足的，甲方有权单方解除合同。</w:t>
      </w:r>
    </w:p>
    <w:p w14:paraId="417768FF">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14:paraId="2EB5ABD0">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违约责任</w:t>
      </w:r>
    </w:p>
    <w:p w14:paraId="221C88B1">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乙方经甲方通知后拒不向甲方提供污泥服务</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Cs w:val="21"/>
          <w:highlight w:val="none"/>
        </w:rPr>
        <w:t>因乙方湿泥运输能力不满足本合同第一条第1.3款约定泥量</w:t>
      </w:r>
      <w:r>
        <w:rPr>
          <w:rFonts w:hint="eastAsia" w:ascii="宋体" w:hAnsi="宋体" w:eastAsia="宋体" w:cs="宋体"/>
          <w:color w:val="auto"/>
          <w:sz w:val="21"/>
          <w:szCs w:val="21"/>
          <w:highlight w:val="none"/>
        </w:rPr>
        <w:t>的，甲方有权每次要求乙方支付10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000元的违约金，如因此造成甲方的经济损失（包括委托第三方运输的差价），由乙方承担全部赔偿。连续或累计达3次出现前述违约行为的，甲方有权要求乙方支付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w:t>
      </w:r>
    </w:p>
    <w:p w14:paraId="34839A21">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8.2 </w:t>
      </w:r>
      <w:r>
        <w:rPr>
          <w:rFonts w:hint="eastAsia" w:ascii="宋体" w:hAnsi="宋体" w:eastAsia="宋体" w:cs="宋体"/>
          <w:color w:val="auto"/>
          <w:szCs w:val="21"/>
          <w:highlight w:val="none"/>
        </w:rPr>
        <w:t>因乙方湿泥运输能力</w:t>
      </w:r>
      <w:r>
        <w:rPr>
          <w:rFonts w:hint="eastAsia" w:ascii="宋体" w:hAnsi="宋体" w:eastAsia="宋体" w:cs="宋体"/>
          <w:color w:val="auto"/>
          <w:szCs w:val="21"/>
          <w:highlight w:val="none"/>
          <w:lang w:val="en-US" w:eastAsia="zh-CN"/>
        </w:rPr>
        <w:t>不满足200吨/日的</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甲方有权每次要求乙方支付</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000元的违约金，并且有权单方解除本合同</w:t>
      </w:r>
      <w:r>
        <w:rPr>
          <w:rFonts w:hint="eastAsia" w:ascii="宋体" w:hAnsi="宋体" w:eastAsia="宋体" w:cs="宋体"/>
          <w:color w:val="auto"/>
          <w:sz w:val="21"/>
          <w:szCs w:val="21"/>
          <w:highlight w:val="none"/>
          <w:lang w:eastAsia="zh-CN"/>
        </w:rPr>
        <w:t>。</w:t>
      </w:r>
    </w:p>
    <w:p w14:paraId="7A6EF98E">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因乙方未能根据招标文件及本合同承诺安排足够的车辆及司机，不能提供每天不间断运输服务的要求，甲方有权要求乙方每次支付</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元的违约金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连续或累计达3次出现前述违约行为的，甲方有权要求乙方支付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w:t>
      </w:r>
    </w:p>
    <w:p w14:paraId="78C7BCEF">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因乙方未能按约定时间运输</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泥导致</w:t>
      </w:r>
      <w:r>
        <w:rPr>
          <w:rFonts w:hint="eastAsia" w:ascii="宋体" w:hAnsi="宋体" w:eastAsia="宋体" w:cs="宋体"/>
          <w:color w:val="auto"/>
          <w:sz w:val="21"/>
          <w:szCs w:val="21"/>
          <w:highlight w:val="none"/>
          <w:lang w:val="en-US" w:eastAsia="zh-CN"/>
        </w:rPr>
        <w:t>污水厂</w:t>
      </w:r>
      <w:r>
        <w:rPr>
          <w:rFonts w:hint="eastAsia" w:ascii="宋体" w:hAnsi="宋体" w:eastAsia="宋体" w:cs="宋体"/>
          <w:color w:val="auto"/>
          <w:sz w:val="21"/>
          <w:szCs w:val="21"/>
          <w:highlight w:val="none"/>
        </w:rPr>
        <w:t>项目停产或减产的，甲方有权要求乙方每次支付</w:t>
      </w:r>
      <w:r>
        <w:rPr>
          <w:rFonts w:hint="eastAsia" w:ascii="宋体" w:hAnsi="宋体" w:eastAsia="宋体" w:cs="宋体"/>
          <w:color w:val="auto"/>
          <w:sz w:val="21"/>
          <w:szCs w:val="21"/>
          <w:highlight w:val="none"/>
          <w:lang w:val="en-US" w:eastAsia="zh-CN"/>
        </w:rPr>
        <w:t>5,000</w:t>
      </w:r>
      <w:r>
        <w:rPr>
          <w:rFonts w:hint="eastAsia" w:ascii="宋体" w:hAnsi="宋体" w:eastAsia="宋体" w:cs="宋体"/>
          <w:color w:val="auto"/>
          <w:sz w:val="21"/>
          <w:szCs w:val="21"/>
          <w:highlight w:val="none"/>
        </w:rPr>
        <w:t>元的违约金。乙方连续或累计达5次出现前述违约行为的，甲方有权要求乙方支付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元违约金，并且甲方有权单方解除本合同。</w:t>
      </w:r>
    </w:p>
    <w:p w14:paraId="19858A6E">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8.5 </w:t>
      </w:r>
      <w:r>
        <w:rPr>
          <w:rFonts w:hint="eastAsia" w:ascii="宋体" w:hAnsi="宋体" w:eastAsia="宋体" w:cs="宋体"/>
          <w:color w:val="auto"/>
          <w:sz w:val="21"/>
          <w:szCs w:val="21"/>
          <w:highlight w:val="none"/>
        </w:rPr>
        <w:t>乙方运输车辆未密闭、防水，运输过程中出现裸露、散落、泄漏等情况的，甲方有权要求乙方每次支付</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元的违约金，乙方必须在甲方限期内整改完毕，乙方再次出现前述违约行为的，甲方有权要求乙方每次支付</w:t>
      </w:r>
      <w:r>
        <w:rPr>
          <w:rFonts w:hint="eastAsia" w:ascii="宋体" w:hAnsi="宋体" w:eastAsia="宋体" w:cs="宋体"/>
          <w:color w:val="auto"/>
          <w:sz w:val="21"/>
          <w:szCs w:val="21"/>
          <w:highlight w:val="none"/>
          <w:lang w:val="en-US" w:eastAsia="zh-CN"/>
        </w:rPr>
        <w:t>3,000</w:t>
      </w:r>
      <w:r>
        <w:rPr>
          <w:rFonts w:hint="eastAsia" w:ascii="宋体" w:hAnsi="宋体" w:eastAsia="宋体" w:cs="宋体"/>
          <w:color w:val="auto"/>
          <w:sz w:val="21"/>
          <w:szCs w:val="21"/>
          <w:highlight w:val="none"/>
        </w:rPr>
        <w:t>元的违约金。乙方运输过程中存在不规范行为（如撒漏、未做好防泄漏措施等）而被执法部门每处罚一次，甲方有权要求乙方每次支付</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元的违约金，并暂停委托污泥转移运输服务，要求乙方限期整改。</w:t>
      </w:r>
    </w:p>
    <w:p w14:paraId="5D855662">
      <w:pPr>
        <w:widowControl/>
        <w:wordWrap/>
        <w:spacing w:line="360" w:lineRule="auto"/>
        <w:ind w:left="0" w:leftChars="0" w:right="0" w:firstLine="48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乙方必须保证运输车辆车厢内清洁，乙方运输车辆车厢内不得存在危险废弃物、铁棒铁丝、石块及塑料等可能导致污泥处置单位机械卡停、损坏的其它杂物的，甲方（或甲方委托的相关服务单位）每发现一次，甲方有权要求乙方每次支付</w:t>
      </w:r>
      <w:r>
        <w:rPr>
          <w:rFonts w:hint="eastAsia" w:ascii="宋体" w:hAnsi="宋体" w:eastAsia="宋体" w:cs="宋体"/>
          <w:color w:val="auto"/>
          <w:sz w:val="21"/>
          <w:szCs w:val="21"/>
          <w:highlight w:val="none"/>
          <w:lang w:val="en-US" w:eastAsia="zh-CN"/>
        </w:rPr>
        <w:t>5,000</w:t>
      </w:r>
      <w:r>
        <w:rPr>
          <w:rFonts w:hint="eastAsia" w:ascii="宋体" w:hAnsi="宋体" w:eastAsia="宋体" w:cs="宋体"/>
          <w:color w:val="auto"/>
          <w:sz w:val="21"/>
          <w:szCs w:val="21"/>
          <w:highlight w:val="none"/>
        </w:rPr>
        <w:t>元的违约金，并要求乙方限期整改，乙方未能在甲方限期内完成整改或整改后仍不符合甲方要求的，甲方有权要求乙方支付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元违约金，并且有权单方解除本合同。因此造成的损失需要赔偿的，乙方承担相应责任及赔偿。</w:t>
      </w:r>
    </w:p>
    <w:p w14:paraId="5366D9F2">
      <w:pPr>
        <w:widowControl/>
        <w:wordWrap/>
        <w:spacing w:line="360" w:lineRule="auto"/>
        <w:ind w:left="0" w:leftChars="0" w:right="0" w:firstLine="48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乙方车辆及运输人员到达甲方污泥贮存点或污泥处置单位卸泥现场后，应服从甲方（或污泥产生单位、甲方委托的污泥减量化服务单位、污泥处置单位）现场管理人员的调度、指挥，遵守现场安全作业行为规范、现场秩序和防疫要求。如有违反，甲方有权按照3000元/人次标准要求乙方支付违约金，并要求乙方限期整改，乙方未能在甲方限期内完成整改或整改后仍不符合甲方要求的，甲方有权单方解除本合同，并有权</w:t>
      </w:r>
      <w:r>
        <w:rPr>
          <w:rFonts w:hint="eastAsia" w:ascii="宋体" w:hAnsi="宋体" w:eastAsia="宋体" w:cs="宋体"/>
          <w:color w:val="auto"/>
          <w:sz w:val="21"/>
          <w:szCs w:val="21"/>
          <w:highlight w:val="none"/>
        </w:rPr>
        <w:t>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w:t>
      </w:r>
      <w:r>
        <w:rPr>
          <w:rFonts w:hint="eastAsia" w:ascii="宋体" w:hAnsi="宋体" w:eastAsia="宋体" w:cs="宋体"/>
          <w:color w:val="auto"/>
          <w:szCs w:val="21"/>
          <w:highlight w:val="none"/>
        </w:rPr>
        <w:t>。</w:t>
      </w:r>
    </w:p>
    <w:p w14:paraId="51169883">
      <w:pPr>
        <w:widowControl/>
        <w:wordWrap/>
        <w:spacing w:line="360" w:lineRule="auto"/>
        <w:ind w:left="0" w:leftChars="0" w:right="0" w:firstLine="48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乙方给污泥产生单位、甲方委托的污泥减量化服务单位、污泥处置单位造成的损失，全部由乙方承担相应责任及赔偿。因乙方未能及时赔偿的，甲方有权从乙方的服务费、履约担保中扣除相关款项先行赔付第三方。</w:t>
      </w:r>
    </w:p>
    <w:p w14:paraId="06803F14">
      <w:pPr>
        <w:widowControl/>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乙方应最大限度减少或降低对污水处理厂（或甲方委托的污泥减量化服务单位、污泥处置单位现场工作）的影响，未经甲方同意，不得进入甲方（或污泥产生单位、甲方委托的污泥减量化服务单位、污泥处置单位）其他生产、办公区域，不得影响甲方（或污泥产生单位、甲方委托的污泥减量化服务单位、污泥处置单位）现场的工作。如有违反，甲方有权要求乙方按照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000元/人次的标准支付违约金，并要求乙方限期整改，乙方未能在甲方限期内完成整改或整改后仍不符合甲方要求的，甲方有权要求乙方支付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元违约金，并且有权单方解除本合同。乙方应支付的该等违约金，甲方有权从履约担保、未付的服务费中直接抵扣。</w:t>
      </w:r>
    </w:p>
    <w:p w14:paraId="28044AE0">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乙方应当制定而未制定</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泥运输意外事故应急预案的，甲方有权要求乙方支付</w:t>
      </w:r>
      <w:r>
        <w:rPr>
          <w:rFonts w:hint="eastAsia" w:ascii="宋体" w:hAnsi="宋体" w:eastAsia="宋体" w:cs="宋体"/>
          <w:color w:val="auto"/>
          <w:sz w:val="21"/>
          <w:szCs w:val="21"/>
          <w:highlight w:val="none"/>
          <w:lang w:val="en-US" w:eastAsia="zh-CN"/>
        </w:rPr>
        <w:t>20,000</w:t>
      </w:r>
      <w:r>
        <w:rPr>
          <w:rFonts w:hint="eastAsia" w:ascii="宋体" w:hAnsi="宋体" w:eastAsia="宋体" w:cs="宋体"/>
          <w:color w:val="auto"/>
          <w:sz w:val="21"/>
          <w:szCs w:val="21"/>
          <w:highlight w:val="none"/>
        </w:rPr>
        <w:t>元的违约金，同时，甲方有权要求乙方在指定期限内指定应急预案的，乙方在甲方限期内未完成应急预案编制的，甲方有权委托第三方服务单位编制应急预案，费用由乙方承担，甲方有权从乙方的履约担保、未付的服务费中直接抵扣。</w:t>
      </w:r>
    </w:p>
    <w:p w14:paraId="33570B1F">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乙方在提供本合同服务过程中，如存在污泥向环境中倾倒、丢弃、遗洒等违法行为的，由此造成的后果全部由乙方承担。如造成甲方受到行政处罚的，由此导致的经济损失由乙方承担赔偿责任。如损失无法计算的，甲方有权要求乙方支付本合同范围内应收运输服务费总额10%的违约金，并承担由此造成的一切损失。同时，甲方有权单方解除本合同。</w:t>
      </w:r>
    </w:p>
    <w:p w14:paraId="53573CF0">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乙方在任何情况下都不得进行任何形式的超载运输，否则造成的一切后果由乙方承担，甲方有权要求乙方每次支付2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w:t>
      </w:r>
    </w:p>
    <w:p w14:paraId="3BD1B6AC">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乙方在</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泥运输过程中不得擅自进行中间装卸操作，如发生泄漏等情况，由乙方自行承担责任，甲方有权要求乙方每次支付</w:t>
      </w:r>
      <w:r>
        <w:rPr>
          <w:rFonts w:hint="eastAsia" w:ascii="宋体" w:hAnsi="宋体" w:eastAsia="宋体" w:cs="宋体"/>
          <w:color w:val="auto"/>
          <w:sz w:val="21"/>
          <w:szCs w:val="21"/>
          <w:highlight w:val="none"/>
          <w:lang w:val="en-US" w:eastAsia="zh-CN"/>
        </w:rPr>
        <w:t>20,000</w:t>
      </w:r>
      <w:r>
        <w:rPr>
          <w:rFonts w:hint="eastAsia" w:ascii="宋体" w:hAnsi="宋体" w:eastAsia="宋体" w:cs="宋体"/>
          <w:color w:val="auto"/>
          <w:sz w:val="21"/>
          <w:szCs w:val="21"/>
          <w:highlight w:val="none"/>
        </w:rPr>
        <w:t>元违约金。</w:t>
      </w:r>
    </w:p>
    <w:p w14:paraId="7F2696FE">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如因乙方运输过程中存在不规范行为而被污泥产生单位、甲方委托的污泥减量化服务单位、污泥处置单位投诉的，经甲方核实的，甲方有权要求乙方每次支付3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000元的违约金（本合同对该违约行为约定的违约金高于本款约定的，按较高的违约金计），并要求乙方限期整改，乙方未能在甲方限期内完成整改或整改后仍不符合甲方要求的，甲方有权要求乙方支付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w:t>
      </w:r>
    </w:p>
    <w:p w14:paraId="720AC721">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乙方在提供运输服务过程中，因发生安全事故或引起其他损失、造成不良后果的，或因违章运输</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泥而遭受有关部门的投诉或处罚，一切责任及经济损失均由乙方承担。</w:t>
      </w:r>
    </w:p>
    <w:p w14:paraId="6E92B5B0">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如乙方未按本合同第三条的要求制作、及时、完整地向甲方提交资料，甲方有权按以下标准要求乙方承担违约责任：</w:t>
      </w:r>
    </w:p>
    <w:p w14:paraId="788F80D6">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甲方每月统计乙方未按要求提交资料的次数，乙方按以下情形承担违约责任：</w:t>
      </w:r>
    </w:p>
    <w:p w14:paraId="2F0D11E9">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（1）单月首次出错的，甲方有权口头要求乙方整改；</w:t>
      </w:r>
    </w:p>
    <w:p w14:paraId="025AE033">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（2）单月出错次数大于等于2次且小于5次的，乙方应向甲方支付违约金500元/次；</w:t>
      </w:r>
    </w:p>
    <w:p w14:paraId="4ABAB4D6">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（3）单月出错次数大于等于5次且小于10次的，乙方应向甲方支付违约金1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000元/次；</w:t>
      </w:r>
    </w:p>
    <w:p w14:paraId="1F3AC45F">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（4）单月出错次数大于等于10次且小于20次的，乙方应向甲方支付违约金1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500元/次；</w:t>
      </w:r>
    </w:p>
    <w:p w14:paraId="00458A5B">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（5）单月出错次数大于等于20次的，乙方应向甲方支付违约金2000元/次，且甲方有权单方面解除合同，同时取消乙方服务资格</w:t>
      </w:r>
      <w:r>
        <w:rPr>
          <w:rFonts w:hint="eastAsia" w:ascii="宋体" w:hAnsi="宋体" w:eastAsia="宋体" w:cs="宋体"/>
          <w:color w:val="auto"/>
          <w:sz w:val="21"/>
          <w:szCs w:val="21"/>
          <w:highlight w:val="none"/>
          <w:lang w:val="zh-CN" w:eastAsia="zh-CN"/>
        </w:rPr>
        <w:t>，并有权</w:t>
      </w:r>
      <w:r>
        <w:rPr>
          <w:rFonts w:hint="eastAsia" w:ascii="宋体" w:hAnsi="宋体" w:eastAsia="宋体" w:cs="宋体"/>
          <w:color w:val="auto"/>
          <w:sz w:val="21"/>
          <w:szCs w:val="21"/>
          <w:highlight w:val="none"/>
          <w:lang w:val="en-US" w:eastAsia="zh-CN"/>
        </w:rPr>
        <w:t>没收其</w:t>
      </w:r>
      <w:r>
        <w:rPr>
          <w:rFonts w:hint="eastAsia" w:ascii="宋体" w:hAnsi="宋体" w:eastAsia="宋体" w:cs="宋体"/>
          <w:color w:val="auto"/>
          <w:sz w:val="21"/>
          <w:szCs w:val="21"/>
          <w:highlight w:val="none"/>
          <w:lang w:val="zh-CN" w:eastAsia="zh-CN"/>
        </w:rPr>
        <w:t>履约担保</w:t>
      </w:r>
      <w:r>
        <w:rPr>
          <w:rFonts w:hint="eastAsia" w:ascii="宋体" w:hAnsi="宋体" w:eastAsia="宋体" w:cs="宋体"/>
          <w:color w:val="auto"/>
          <w:sz w:val="21"/>
          <w:szCs w:val="21"/>
          <w:highlight w:val="none"/>
          <w:lang w:val="en-US" w:eastAsia="zh-CN"/>
        </w:rPr>
        <w:t>金；</w:t>
      </w:r>
    </w:p>
    <w:p w14:paraId="2043BE9D">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8.17 乙方进行污泥运输的车辆未按甲方要求安装GPS设备或私自变更、调换GPS设备的，乙方应向甲方支付违约金2,000元/车次。若乙方使用甲方提供的定位系统设备，因非甲方原因导致定位系统设备损坏的，乙方应向甲方支付500元/台的违约金，乙方中止为甲方提供湿泥运输服务时，乙方应在中止之日起5个工作日内向甲方归还完好的定位系统设备，定位系统设备每延期归还一天，乙方应向甲方支付500元/台的违约金。</w:t>
      </w:r>
    </w:p>
    <w:p w14:paraId="17A13678">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8.18 乙方进行湿泥运输的车辆未经甲方同意，在非甲方指定的第三方过磅点位进行称重的，甲方不予支付该车次的过磅及运输费用。</w:t>
      </w:r>
    </w:p>
    <w:p w14:paraId="54663679">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8.19 未经甲方同意，乙方不得在运输过程中擅自拆卸封条，否则甲方有权要求乙方支付10,000元/次的违约金。</w:t>
      </w:r>
    </w:p>
    <w:p w14:paraId="2E1465D9">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8.20 经甲方核实，乙方存在弄虚作假虚报转移运输量或运输距离的，甲方有权要求乙方每次承担100,000元的违约金，并有权单方解除本合同。</w:t>
      </w:r>
    </w:p>
    <w:p w14:paraId="2E957D45">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8.21 服务期内，若甲方根据乙方投标文件承诺的运输量向乙方安排运输湿泥时，乙方无法按承诺量运输甲方的湿泥时，视为乙方通过弄虚作假骗取中标，甲方有权要求乙方支付50,000元违约金，并且甲方有权单方解除本合同。</w:t>
      </w:r>
    </w:p>
    <w:p w14:paraId="389288FF">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8.22 在本合同履行过程中，因乙方违约行为导致的索赔金额、甲方损失以及因索赔所发生的费用等，甲方有权在乙方未付款项中直接扣除，也有权提取本合同对应的履约担保予以支付。</w:t>
      </w:r>
    </w:p>
    <w:p w14:paraId="4E7D690E">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8.23 若乙方发生本合同规定之外的任何违法行为，不得解除其在本合同下的任何责任或义务。</w:t>
      </w:r>
    </w:p>
    <w:p w14:paraId="2C2513FA">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8.24 甲方现场核查发现乙方湿泥运输能力不足，运输过程不规范、不符合国家、行业及主管部门的规定，存在环保风险，甲方有权要求乙方限期内完成整改并达标，否则甲方有权单方解除本合同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w:t>
      </w:r>
      <w:r>
        <w:rPr>
          <w:rFonts w:hint="eastAsia" w:ascii="宋体" w:hAnsi="宋体" w:eastAsia="宋体" w:cs="宋体"/>
          <w:color w:val="auto"/>
          <w:sz w:val="21"/>
          <w:szCs w:val="21"/>
          <w:highlight w:val="none"/>
          <w:lang w:val="en-US" w:eastAsia="zh-CN"/>
        </w:rPr>
        <w:t>。</w:t>
      </w:r>
    </w:p>
    <w:p w14:paraId="2743E9AE">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8.25 乙方必须根据合同及附件中的各项条款，履行各项职责。如乙方未能按照合同及附件及经甲方确认的服务方案履行义务，视实际影响情况，甲方有权单方解除合同。造成甲方经济损失的，乙方应给予甲方经济赔偿，并承担相应的法律责任。</w:t>
      </w:r>
    </w:p>
    <w:p w14:paraId="08DEB23E">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8.26 在本合同有效期内，乙方应当保持相应资质的有效性，且具备在东莞市提供运输服务工作的资格条件。如甲方在合同履行期间，因乙方资质条件丧失，导致无法承接委托的，乙方需向甲方支付20,000元的违约金。同时甲方有权单方解除本合同，取消乙方服务资格，甲方按照本合同约定追究乙方的违约责任。</w:t>
      </w:r>
    </w:p>
    <w:p w14:paraId="460C075C">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8.27 乙方必须积极响应并接受相关部门的监督检查，若受到相关部门的批评，经调查认定情况属实的，甲方有权要求乙方支付20,000元违约金，若因此受到相关部门行政处罚或违法处罚的，由此导致的经济损失由乙方承担赔偿责任，并有权单方解除合同，若由此给甲方造成损失的，乙方还应当承担全部赔偿责任。</w:t>
      </w:r>
    </w:p>
    <w:p w14:paraId="5626FF84">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8.28 乙方违反本合同约定将合同项下乙方的权利义务全部转让给第三方，或未经甲方书面同意将部分权利义务转让给第三方的，甲方有权单方解除合同，并有权要求乙方承担50,000元违约金，若由此给甲方造成损失的，乙方还应当承担全部赔偿责任。如因乙方将乙方本合同项下全部/部分权利义务转让给第三方导致安全事故或人身损害事故，造成甲方其他损失或甲方被认定承担赔偿责任的，甲方有权向乙方追偿，前述违约金不足以弥补的甲方损失，乙方还需足额赔偿。</w:t>
      </w:r>
    </w:p>
    <w:p w14:paraId="42038962">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8.29 经甲方核实，若乙方存在提供虚假材料骗取中标或不按约定全面履行合同义务、消极对待甲方后续现场核查、服务期不服从甲方管理、管理台账弄虚作假等，甲方有权将乙方纳入东莞市水务集团有限公司（</w:t>
      </w:r>
      <w:r>
        <w:rPr>
          <w:rFonts w:hint="eastAsia" w:ascii="宋体" w:hAnsi="宋体" w:eastAsia="宋体" w:cs="宋体"/>
          <w:color w:val="auto"/>
          <w:sz w:val="21"/>
          <w:szCs w:val="21"/>
          <w:highlight w:val="none"/>
          <w:lang w:val="zh-CN" w:eastAsia="zh-CN"/>
        </w:rPr>
        <w:t>含其全资公司、控股公司、由其管理的参股公司</w:t>
      </w:r>
      <w:r>
        <w:rPr>
          <w:rFonts w:hint="eastAsia" w:ascii="宋体" w:hAnsi="宋体" w:eastAsia="宋体" w:cs="宋体"/>
          <w:color w:val="auto"/>
          <w:sz w:val="21"/>
          <w:szCs w:val="21"/>
          <w:highlight w:val="none"/>
          <w:lang w:val="en-US" w:eastAsia="zh-CN"/>
        </w:rPr>
        <w:t>）招标、采购、征集供应商或合作方的黑名单，因此导致乙方无法参与前述项目的，由乙方自行承担全部后果，且乙方不得有任何异议。甲方有权或协助主管部门认定乙方严重失信的不良行为，纳入相关企业信用“黑名单”，限制乙方参与依法必须招标项目的投标，并向行政主管部门报送结果。同时，甲方有权根据《关于对环境保护领域失信生产经营单位及其有关人员开展联合惩戒的合作备忘录》等规定，通过“信用中国”网站向社会公示乙方的失信行为，实现“一处失信、处处受限”。涉嫌违法犯罪的，甲方有权将乙方移交司法机关处理。</w:t>
      </w:r>
    </w:p>
    <w:p w14:paraId="3B9E7528">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8.30 合同履约期间</w:t>
      </w:r>
      <w:r>
        <w:rPr>
          <w:rFonts w:hint="eastAsia" w:ascii="宋体" w:hAnsi="宋体" w:eastAsia="宋体" w:cs="宋体"/>
          <w:color w:val="auto"/>
          <w:sz w:val="21"/>
          <w:szCs w:val="21"/>
          <w:highlight w:val="none"/>
          <w:lang w:val="zh-CN" w:eastAsia="zh-CN"/>
        </w:rPr>
        <w:t>甲方有权组织对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zh-CN" w:eastAsia="zh-CN"/>
        </w:rPr>
        <w:t>单位的合法性、投标文件承诺的真实性、履约能力进行核查。核查内容包括但不限于：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zh-CN" w:eastAsia="zh-CN"/>
        </w:rPr>
        <w:t>资格条件、履约能力是否符合招标文件要求及投标文件承诺，是否已取得所属行业主管部门的许可资质或批复等。若发现乙方提供虚假证明文件、虚假投标文件等弄虚作假行为的，或乙方未取得国家、行业主管部门规定必须的许可资质或批复的，或经现场核查乙方运输车辆、司机人员与投标文件不符的，甲方有权取消其中标资格或单方解除本合同取消乙方服务资格，并有权不予退还其投标保证金或履约担保，并根据</w:t>
      </w:r>
      <w:r>
        <w:rPr>
          <w:rFonts w:hint="eastAsia" w:ascii="宋体" w:hAnsi="宋体" w:eastAsia="宋体" w:cs="宋体"/>
          <w:color w:val="auto"/>
          <w:sz w:val="21"/>
          <w:szCs w:val="21"/>
          <w:highlight w:val="none"/>
          <w:lang w:val="en-US" w:eastAsia="zh-CN"/>
        </w:rPr>
        <w:t>本条第7款的</w:t>
      </w:r>
      <w:r>
        <w:rPr>
          <w:rFonts w:hint="eastAsia" w:ascii="宋体" w:hAnsi="宋体" w:eastAsia="宋体" w:cs="宋体"/>
          <w:color w:val="auto"/>
          <w:sz w:val="21"/>
          <w:szCs w:val="21"/>
          <w:highlight w:val="none"/>
          <w:lang w:val="zh-CN" w:eastAsia="zh-CN"/>
        </w:rPr>
        <w:t>约定进行处理。</w:t>
      </w:r>
    </w:p>
    <w:p w14:paraId="13128345">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 xml:space="preserve">8.31 </w:t>
      </w:r>
      <w:r>
        <w:rPr>
          <w:rFonts w:hint="eastAsia" w:ascii="宋体" w:hAnsi="宋体" w:eastAsia="宋体" w:cs="宋体"/>
          <w:color w:val="auto"/>
          <w:sz w:val="21"/>
          <w:szCs w:val="21"/>
          <w:highlight w:val="none"/>
          <w:lang w:val="zh-CN" w:eastAsia="zh-CN"/>
        </w:rPr>
        <w:t>运输服务期间，乙方应保持安全作业，具体要求</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zh-CN" w:eastAsia="zh-CN"/>
        </w:rPr>
        <w:t>车辆上路前应检查是否具备上路资格避免出现车辆故障而导致运输过程的中断；车辆应配置防火器具；驾驶人员运输前要充分休息，</w:t>
      </w:r>
      <w:r>
        <w:rPr>
          <w:rFonts w:hint="eastAsia" w:ascii="宋体" w:hAnsi="宋体" w:eastAsia="宋体" w:cs="宋体"/>
          <w:color w:val="auto"/>
          <w:sz w:val="21"/>
          <w:szCs w:val="21"/>
          <w:highlight w:val="none"/>
          <w:lang w:val="en-US" w:eastAsia="zh-CN"/>
        </w:rPr>
        <w:t>严禁超过4小时连续驾驶、</w:t>
      </w:r>
      <w:r>
        <w:rPr>
          <w:rFonts w:hint="eastAsia" w:ascii="宋体" w:hAnsi="宋体" w:eastAsia="宋体" w:cs="宋体"/>
          <w:color w:val="auto"/>
          <w:sz w:val="21"/>
          <w:szCs w:val="21"/>
          <w:highlight w:val="none"/>
          <w:lang w:val="zh-CN" w:eastAsia="zh-CN"/>
        </w:rPr>
        <w:t>严禁在接班前和运输工作中饮酒；</w:t>
      </w:r>
      <w:r>
        <w:rPr>
          <w:rFonts w:hint="eastAsia" w:ascii="宋体" w:hAnsi="宋体" w:eastAsia="宋体" w:cs="宋体"/>
          <w:color w:val="auto"/>
          <w:sz w:val="21"/>
          <w:szCs w:val="21"/>
          <w:highlight w:val="none"/>
          <w:lang w:val="en-US" w:eastAsia="zh-CN"/>
        </w:rPr>
        <w:t>到达处置点后应</w:t>
      </w:r>
      <w:r>
        <w:rPr>
          <w:rFonts w:hint="eastAsia" w:ascii="宋体" w:hAnsi="宋体" w:eastAsia="宋体" w:cs="宋体"/>
          <w:color w:val="auto"/>
          <w:sz w:val="21"/>
          <w:szCs w:val="21"/>
          <w:highlight w:val="none"/>
          <w:lang w:val="zh-CN" w:eastAsia="zh-CN"/>
        </w:rPr>
        <w:t>加强安全</w:t>
      </w:r>
      <w:r>
        <w:rPr>
          <w:rFonts w:hint="eastAsia" w:ascii="宋体" w:hAnsi="宋体" w:eastAsia="宋体" w:cs="宋体"/>
          <w:color w:val="auto"/>
          <w:sz w:val="21"/>
          <w:szCs w:val="21"/>
          <w:highlight w:val="none"/>
          <w:lang w:val="en-US" w:eastAsia="zh-CN"/>
        </w:rPr>
        <w:t>意识</w:t>
      </w:r>
      <w:r>
        <w:rPr>
          <w:rFonts w:hint="eastAsia" w:ascii="宋体" w:hAnsi="宋体" w:eastAsia="宋体" w:cs="宋体"/>
          <w:color w:val="auto"/>
          <w:sz w:val="21"/>
          <w:szCs w:val="21"/>
          <w:highlight w:val="none"/>
          <w:lang w:val="zh-CN" w:eastAsia="zh-CN"/>
        </w:rPr>
        <w:t>，杜绝围车</w:t>
      </w:r>
      <w:r>
        <w:rPr>
          <w:rFonts w:hint="eastAsia" w:ascii="宋体" w:hAnsi="宋体" w:eastAsia="宋体" w:cs="宋体"/>
          <w:color w:val="auto"/>
          <w:sz w:val="21"/>
          <w:szCs w:val="21"/>
          <w:highlight w:val="none"/>
          <w:lang w:val="en-US" w:eastAsia="zh-CN"/>
        </w:rPr>
        <w:t>堵门</w:t>
      </w:r>
      <w:r>
        <w:rPr>
          <w:rFonts w:hint="eastAsia" w:ascii="宋体" w:hAnsi="宋体" w:eastAsia="宋体" w:cs="宋体"/>
          <w:color w:val="auto"/>
          <w:sz w:val="21"/>
          <w:szCs w:val="21"/>
          <w:highlight w:val="none"/>
          <w:lang w:val="zh-CN" w:eastAsia="zh-CN"/>
        </w:rPr>
        <w:t>，保持</w:t>
      </w:r>
      <w:r>
        <w:rPr>
          <w:rFonts w:hint="eastAsia" w:ascii="宋体" w:hAnsi="宋体" w:eastAsia="宋体" w:cs="宋体"/>
          <w:color w:val="auto"/>
          <w:sz w:val="21"/>
          <w:szCs w:val="21"/>
          <w:highlight w:val="none"/>
          <w:lang w:val="en-US" w:eastAsia="zh-CN"/>
        </w:rPr>
        <w:t>甲方、污泥产生单位及厂区单位现场</w:t>
      </w:r>
      <w:r>
        <w:rPr>
          <w:rFonts w:hint="eastAsia" w:ascii="宋体" w:hAnsi="宋体" w:eastAsia="宋体" w:cs="宋体"/>
          <w:color w:val="auto"/>
          <w:sz w:val="21"/>
          <w:szCs w:val="21"/>
          <w:highlight w:val="none"/>
          <w:lang w:val="zh-CN" w:eastAsia="zh-CN"/>
        </w:rPr>
        <w:t>良好的治安环境</w:t>
      </w:r>
      <w:r>
        <w:rPr>
          <w:rFonts w:hint="eastAsia" w:ascii="宋体" w:hAnsi="宋体" w:eastAsia="宋体" w:cs="宋体"/>
          <w:color w:val="auto"/>
          <w:sz w:val="21"/>
          <w:szCs w:val="21"/>
          <w:highlight w:val="none"/>
          <w:lang w:val="en-US" w:eastAsia="zh-CN"/>
        </w:rPr>
        <w:t>及出入秩序</w:t>
      </w:r>
      <w:r>
        <w:rPr>
          <w:rFonts w:hint="eastAsia" w:ascii="宋体" w:hAnsi="宋体" w:eastAsia="宋体" w:cs="宋体"/>
          <w:color w:val="auto"/>
          <w:sz w:val="21"/>
          <w:szCs w:val="21"/>
          <w:highlight w:val="none"/>
          <w:lang w:val="zh-CN" w:eastAsia="zh-CN"/>
        </w:rPr>
        <w:t>。乙方违反前述任一要求的，</w:t>
      </w:r>
      <w:r>
        <w:rPr>
          <w:rFonts w:hint="eastAsia" w:ascii="宋体" w:hAnsi="宋体" w:eastAsia="宋体" w:cs="宋体"/>
          <w:color w:val="auto"/>
          <w:sz w:val="21"/>
          <w:szCs w:val="21"/>
          <w:highlight w:val="none"/>
          <w:lang w:val="en-US" w:eastAsia="zh-CN"/>
        </w:rPr>
        <w:t>需向甲方支付20,000元的违约金，同时甲方有权根据实际情况单方解除合同。造成甲方经济损失的，乙方应足额赔偿，并承担相应的法律责任。</w:t>
      </w:r>
    </w:p>
    <w:p w14:paraId="752B4154">
      <w:pPr>
        <w:wordWrap/>
        <w:spacing w:line="360" w:lineRule="auto"/>
        <w:ind w:firstLine="422" w:firstLineChars="201"/>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8.32 在本合同有效期内，乙方违反本合同其他约定的，甲方有权提出书面意见要求限期改正，如乙方拒不改正或改正后仍不符合甲方要求的，甲方有权单方解除本合同，并要求乙方支付50,000元的违约金。</w:t>
      </w:r>
    </w:p>
    <w:p w14:paraId="050B0E04">
      <w:pPr>
        <w:rPr>
          <w:rFonts w:hint="eastAsia"/>
        </w:rPr>
      </w:pPr>
    </w:p>
    <w:p w14:paraId="19C17926">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其它约定</w:t>
      </w:r>
    </w:p>
    <w:p w14:paraId="72B66C7C">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 在合同期内，非因甲方原因，乙方未能按要求做好运输工作，造成甲方、乙方、第三方的人身和财产损失，由乙方独自承担法律和经济责任。因此造成甲方损失的，乙方应承担赔偿责任。</w:t>
      </w:r>
    </w:p>
    <w:p w14:paraId="6744AD02">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 甲方采购文件中介绍的各污水处理厂规模，以及预计的产泥量为暂定量仅供乙方了解项目情况使用，不作为甲方最终委托运输量的保证。在服务期内，乙方运输量由甲方根据本合同约定的分配原则进行分配，乙方无条件服从分配。在合同服务期内乙方不得因未获得具体污泥转运量，或不得因实际污泥运输量增减而要求甲方提供任何形式的补偿或赔偿。</w:t>
      </w:r>
    </w:p>
    <w:p w14:paraId="61B88199">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 乙方承诺将严格遵守甲方（或甲方上级单位）提出或调整的日常管理制度或相关管理要求。乙方服务期间，出现不服从甲方（或甲方上级单位）提出或调整的日常管理制度或相关管理要求，甲方有权取消其服务资格。</w:t>
      </w:r>
    </w:p>
    <w:p w14:paraId="19C1B39B">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 乙方应保证合同项下提供的服务不侵犯任何第三方的专利、商标、版权以及其它权利，否则，乙方须承担因此产生的全部责任及费用，如因此造成甲方损失的，乙方应予以足额赔偿。</w:t>
      </w:r>
    </w:p>
    <w:p w14:paraId="2197CD6A">
      <w:pPr>
        <w:wordWrap/>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14:paraId="208294FD">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不可抗力</w:t>
      </w:r>
    </w:p>
    <w:p w14:paraId="54264540">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的最迟期限提供运输服务的，则甲方有权解除本合同并不承担任何责任。</w:t>
      </w:r>
    </w:p>
    <w:p w14:paraId="43621164">
      <w:pPr>
        <w:wordWrap/>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14:paraId="05E27F8E">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争议解决</w:t>
      </w:r>
    </w:p>
    <w:p w14:paraId="765911B2">
      <w:pPr>
        <w:wordWrap/>
        <w:spacing w:line="360" w:lineRule="auto"/>
        <w:ind w:left="0" w:leftChars="0" w:right="0" w:firstLine="422" w:firstLineChars="201"/>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双方在履行合同时发生争议，首先本着友好态度协商解决，若经协商仍不能解决，甲乙双方可要求主管部门调解，调解不成的，双方一致同意提交甲方住所地有管辖权的人民法院诉讼解决。</w:t>
      </w:r>
    </w:p>
    <w:p w14:paraId="06D20594">
      <w:pPr>
        <w:wordWrap/>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14:paraId="011CB2B2">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十二</w:t>
      </w:r>
      <w:r>
        <w:rPr>
          <w:rFonts w:hint="eastAsia" w:ascii="宋体" w:hAnsi="宋体" w:eastAsia="宋体" w:cs="宋体"/>
          <w:b/>
          <w:bCs/>
          <w:color w:val="auto"/>
          <w:sz w:val="21"/>
          <w:szCs w:val="21"/>
          <w:highlight w:val="none"/>
        </w:rPr>
        <w:t>条 附   则</w:t>
      </w:r>
    </w:p>
    <w:p w14:paraId="4938A170">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12.1</w:t>
      </w:r>
      <w:r>
        <w:rPr>
          <w:rFonts w:hint="eastAsia" w:ascii="宋体" w:hAnsi="宋体" w:eastAsia="宋体" w:cs="宋体"/>
          <w:color w:val="auto"/>
          <w:sz w:val="21"/>
          <w:szCs w:val="21"/>
          <w:highlight w:val="none"/>
        </w:rPr>
        <w:t>本合同之所有附件均为合同的有效组成部分，与合同同具法律效力，合同与附件之间的内容应认为是互为补充和解释的，但如有模棱两可或互相矛盾之处，以合同约定为准，若合同签订后，双方另有签订文件的，则以时间在后的文件为准。</w:t>
      </w:r>
    </w:p>
    <w:p w14:paraId="3C434BE9">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rPr>
        <w:t>双方可对本合同的条款进行补充，以书面形式签订补充协议，补充协议为本合同有效组成部分。</w:t>
      </w:r>
    </w:p>
    <w:p w14:paraId="05C025F4">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本合同执行期间，如遇不可抗力，致使合同无法履行时，双方应按有关法律规定及时协商处理。</w:t>
      </w:r>
    </w:p>
    <w:p w14:paraId="0E008BD2">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伍</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份，招标代理机构执壹份，具有同等法律效力，本合同自双方法定代表人或授权代表签字并盖章之日起生效至合同项下全部义务履行完毕时终止。</w:t>
      </w:r>
    </w:p>
    <w:p w14:paraId="7C5EBF43">
      <w:pPr>
        <w:pStyle w:val="45"/>
        <w:wordWrap/>
        <w:spacing w:line="360" w:lineRule="auto"/>
        <w:ind w:firstLine="422" w:firstLineChars="201"/>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en-US" w:eastAsia="zh-CN"/>
        </w:rPr>
        <w:t>12.5</w:t>
      </w:r>
      <w:r>
        <w:rPr>
          <w:rFonts w:hint="eastAsia" w:ascii="宋体" w:hAnsi="宋体" w:eastAsia="宋体" w:cs="宋体"/>
          <w:color w:val="auto"/>
          <w:sz w:val="21"/>
          <w:szCs w:val="21"/>
          <w:highlight w:val="none"/>
        </w:rPr>
        <w:t>合同附件：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用户需求书</w:t>
      </w:r>
      <w:r>
        <w:rPr>
          <w:rFonts w:hint="eastAsia" w:ascii="宋体" w:hAnsi="宋体" w:eastAsia="宋体" w:cs="宋体"/>
          <w:color w:val="auto"/>
          <w:sz w:val="21"/>
          <w:szCs w:val="21"/>
          <w:highlight w:val="none"/>
          <w:lang w:eastAsia="zh-CN"/>
        </w:rPr>
        <w:t>。</w:t>
      </w:r>
    </w:p>
    <w:p w14:paraId="0C596CC2">
      <w:pPr>
        <w:wordWrap/>
        <w:spacing w:line="360" w:lineRule="auto"/>
        <w:ind w:left="0" w:leftChars="0" w:right="0"/>
        <w:jc w:val="both"/>
        <w:textAlignment w:val="auto"/>
        <w:outlineLvl w:val="9"/>
        <w:rPr>
          <w:rFonts w:hint="eastAsia" w:ascii="宋体" w:hAnsi="宋体" w:eastAsia="宋体" w:cs="宋体"/>
          <w:b/>
          <w:color w:val="auto"/>
          <w:sz w:val="21"/>
          <w:szCs w:val="21"/>
          <w:highlight w:val="none"/>
        </w:rPr>
      </w:pPr>
    </w:p>
    <w:p w14:paraId="0301049E">
      <w:pPr>
        <w:wordWrap/>
        <w:spacing w:line="360" w:lineRule="auto"/>
        <w:ind w:left="-619" w:leftChars="-295" w:right="-483" w:firstLine="991" w:firstLineChars="470"/>
        <w:textAlignment w:val="auto"/>
        <w:rPr>
          <w:rFonts w:hint="eastAsia" w:ascii="宋体" w:hAnsi="宋体" w:eastAsia="宋体" w:cs="宋体"/>
          <w:b/>
          <w:color w:val="auto"/>
          <w:sz w:val="21"/>
          <w:szCs w:val="21"/>
          <w:highlight w:val="none"/>
        </w:rPr>
      </w:pPr>
    </w:p>
    <w:p w14:paraId="02ACDDF1">
      <w:pPr>
        <w:pageBreakBefore/>
        <w:wordWrap/>
        <w:spacing w:line="360" w:lineRule="auto"/>
        <w:ind w:left="-619" w:leftChars="-295" w:right="-482" w:firstLine="991" w:firstLineChars="47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（以下无正文，为本合同签署页）</w:t>
      </w:r>
    </w:p>
    <w:p w14:paraId="411CADFC">
      <w:pPr>
        <w:wordWrap/>
        <w:spacing w:line="360" w:lineRule="auto"/>
        <w:ind w:firstLine="371" w:firstLineChars="177"/>
        <w:textAlignment w:val="auto"/>
        <w:rPr>
          <w:rFonts w:hint="eastAsia" w:ascii="宋体" w:hAnsi="宋体" w:eastAsia="宋体" w:cs="宋体"/>
          <w:color w:val="auto"/>
          <w:sz w:val="21"/>
          <w:szCs w:val="21"/>
          <w:highlight w:val="none"/>
        </w:rPr>
      </w:pPr>
    </w:p>
    <w:tbl>
      <w:tblPr>
        <w:tblStyle w:val="36"/>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3"/>
        <w:gridCol w:w="454"/>
        <w:gridCol w:w="4253"/>
      </w:tblGrid>
      <w:tr w14:paraId="0A17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14:paraId="246B3164">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甲方（盖章）：东莞市众源环境投资有限公司</w:t>
            </w:r>
          </w:p>
          <w:p w14:paraId="0290D644">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tc>
        <w:tc>
          <w:tcPr>
            <w:tcW w:w="454" w:type="dxa"/>
            <w:vAlign w:val="top"/>
          </w:tcPr>
          <w:p w14:paraId="5ABB670E">
            <w:pPr>
              <w:wordWrap/>
              <w:spacing w:line="360" w:lineRule="auto"/>
              <w:textAlignment w:val="auto"/>
              <w:rPr>
                <w:rFonts w:hint="eastAsia" w:ascii="宋体" w:hAnsi="宋体" w:eastAsia="宋体" w:cs="宋体"/>
                <w:color w:val="auto"/>
                <w:szCs w:val="21"/>
                <w:highlight w:val="none"/>
              </w:rPr>
            </w:pPr>
          </w:p>
        </w:tc>
        <w:tc>
          <w:tcPr>
            <w:tcW w:w="4253" w:type="dxa"/>
            <w:vAlign w:val="top"/>
          </w:tcPr>
          <w:p w14:paraId="3DC1B788">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51B2A921">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tc>
      </w:tr>
      <w:tr w14:paraId="3F27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14:paraId="58DC1A64">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电话：0769-22621996</w:t>
            </w:r>
          </w:p>
        </w:tc>
        <w:tc>
          <w:tcPr>
            <w:tcW w:w="454" w:type="dxa"/>
            <w:vAlign w:val="top"/>
          </w:tcPr>
          <w:p w14:paraId="556649D3">
            <w:pPr>
              <w:wordWrap/>
              <w:spacing w:line="360" w:lineRule="auto"/>
              <w:textAlignment w:val="auto"/>
              <w:rPr>
                <w:rFonts w:hint="eastAsia" w:ascii="宋体" w:hAnsi="宋体" w:eastAsia="宋体" w:cs="宋体"/>
                <w:color w:val="auto"/>
                <w:szCs w:val="21"/>
                <w:highlight w:val="none"/>
              </w:rPr>
            </w:pPr>
          </w:p>
        </w:tc>
        <w:tc>
          <w:tcPr>
            <w:tcW w:w="4253" w:type="dxa"/>
            <w:vAlign w:val="top"/>
          </w:tcPr>
          <w:p w14:paraId="37F09695">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77C3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14:paraId="38CA0F27">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地址：广东省东莞市东城街道火炼树红棉路40号302室</w:t>
            </w:r>
          </w:p>
          <w:p w14:paraId="6CD6B7B8">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开户名称：东莞市众源环境投资有限公司</w:t>
            </w:r>
          </w:p>
        </w:tc>
        <w:tc>
          <w:tcPr>
            <w:tcW w:w="454" w:type="dxa"/>
            <w:vAlign w:val="top"/>
          </w:tcPr>
          <w:p w14:paraId="2CC859FE">
            <w:pPr>
              <w:wordWrap/>
              <w:spacing w:line="360" w:lineRule="auto"/>
              <w:textAlignment w:val="auto"/>
              <w:rPr>
                <w:rFonts w:hint="eastAsia" w:ascii="宋体" w:hAnsi="宋体" w:eastAsia="宋体" w:cs="宋体"/>
                <w:color w:val="auto"/>
                <w:szCs w:val="21"/>
                <w:highlight w:val="none"/>
              </w:rPr>
            </w:pPr>
          </w:p>
        </w:tc>
        <w:tc>
          <w:tcPr>
            <w:tcW w:w="4253" w:type="dxa"/>
            <w:vAlign w:val="top"/>
          </w:tcPr>
          <w:p w14:paraId="1402E286">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15715FB9">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 </w:t>
            </w:r>
          </w:p>
        </w:tc>
      </w:tr>
      <w:tr w14:paraId="2B7F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14:paraId="02AA03EF">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bCs/>
                <w:color w:val="auto"/>
                <w:szCs w:val="21"/>
                <w:highlight w:val="none"/>
                <w:lang w:val="zh-CN"/>
              </w:rPr>
              <w:t>招商银行股份有限公司东莞分行</w:t>
            </w:r>
          </w:p>
        </w:tc>
        <w:tc>
          <w:tcPr>
            <w:tcW w:w="454" w:type="dxa"/>
            <w:vAlign w:val="top"/>
          </w:tcPr>
          <w:p w14:paraId="4A0017BE">
            <w:pPr>
              <w:wordWrap/>
              <w:spacing w:line="360" w:lineRule="auto"/>
              <w:textAlignment w:val="auto"/>
              <w:rPr>
                <w:rFonts w:hint="eastAsia" w:ascii="宋体" w:hAnsi="宋体" w:eastAsia="宋体" w:cs="宋体"/>
                <w:color w:val="auto"/>
                <w:szCs w:val="21"/>
                <w:highlight w:val="none"/>
              </w:rPr>
            </w:pPr>
          </w:p>
        </w:tc>
        <w:tc>
          <w:tcPr>
            <w:tcW w:w="4253" w:type="dxa"/>
            <w:vAlign w:val="top"/>
          </w:tcPr>
          <w:p w14:paraId="15D47F5A">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开户银行名称：</w:t>
            </w:r>
          </w:p>
        </w:tc>
      </w:tr>
      <w:tr w14:paraId="2D99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14:paraId="29CAEA5B">
            <w:pPr>
              <w:wordWrap/>
              <w:spacing w:line="360" w:lineRule="auto"/>
              <w:textAlignment w:val="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账号：</w:t>
            </w:r>
            <w:r>
              <w:rPr>
                <w:rFonts w:hint="eastAsia" w:ascii="宋体" w:hAnsi="宋体" w:eastAsia="宋体" w:cs="宋体"/>
                <w:bCs/>
                <w:color w:val="auto"/>
                <w:szCs w:val="21"/>
                <w:highlight w:val="none"/>
                <w:lang w:val="zh-CN"/>
              </w:rPr>
              <w:t>769908269610828</w:t>
            </w:r>
          </w:p>
          <w:p w14:paraId="398E0BB6">
            <w:pPr>
              <w:pStyle w:val="2"/>
              <w:wordWrap/>
              <w:spacing w:line="360" w:lineRule="auto"/>
              <w:textAlignment w:val="auto"/>
              <w:rPr>
                <w:rFonts w:hint="eastAsia" w:ascii="宋体" w:hAnsi="宋体" w:eastAsia="宋体" w:cs="宋体"/>
                <w:b w:val="0"/>
                <w:bCs w:val="0"/>
                <w:color w:val="auto"/>
                <w:sz w:val="24"/>
                <w:szCs w:val="21"/>
                <w:highlight w:val="none"/>
                <w:lang w:val="en-US" w:eastAsia="zh-CN" w:bidi="ar-SA"/>
              </w:rPr>
            </w:pPr>
          </w:p>
          <w:p w14:paraId="3088E3AC">
            <w:pPr>
              <w:pStyle w:val="2"/>
              <w:wordWrap/>
              <w:spacing w:line="360" w:lineRule="auto"/>
              <w:jc w:val="both"/>
              <w:textAlignment w:val="auto"/>
              <w:rPr>
                <w:rFonts w:hint="eastAsia" w:ascii="宋体" w:hAnsi="宋体" w:eastAsia="宋体" w:cs="宋体"/>
                <w:color w:val="auto"/>
                <w:highlight w:val="none"/>
              </w:rPr>
            </w:pPr>
            <w:r>
              <w:rPr>
                <w:rFonts w:hint="eastAsia" w:ascii="宋体" w:hAnsi="宋体" w:eastAsia="宋体" w:cs="宋体"/>
                <w:b w:val="0"/>
                <w:bCs w:val="0"/>
                <w:color w:val="auto"/>
                <w:sz w:val="24"/>
                <w:szCs w:val="21"/>
                <w:highlight w:val="none"/>
                <w:lang w:val="en-US" w:eastAsia="zh-CN" w:bidi="ar-SA"/>
              </w:rPr>
              <w:t>签订日期：2024年9月 日</w:t>
            </w:r>
          </w:p>
        </w:tc>
        <w:tc>
          <w:tcPr>
            <w:tcW w:w="454" w:type="dxa"/>
            <w:vAlign w:val="top"/>
          </w:tcPr>
          <w:p w14:paraId="4BFCEB3B">
            <w:pPr>
              <w:wordWrap/>
              <w:spacing w:line="360" w:lineRule="auto"/>
              <w:textAlignment w:val="auto"/>
              <w:rPr>
                <w:rFonts w:hint="eastAsia" w:ascii="宋体" w:hAnsi="宋体" w:eastAsia="宋体" w:cs="宋体"/>
                <w:color w:val="auto"/>
                <w:szCs w:val="21"/>
                <w:highlight w:val="none"/>
              </w:rPr>
            </w:pPr>
          </w:p>
        </w:tc>
        <w:tc>
          <w:tcPr>
            <w:tcW w:w="4253" w:type="dxa"/>
            <w:vAlign w:val="top"/>
          </w:tcPr>
          <w:p w14:paraId="5D5C2E64">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bl>
    <w:p w14:paraId="7FAAD161">
      <w:pPr>
        <w:wordWrap/>
        <w:spacing w:line="360" w:lineRule="auto"/>
        <w:textAlignment w:val="auto"/>
        <w:rPr>
          <w:rFonts w:hint="eastAsia" w:ascii="宋体" w:hAnsi="宋体" w:eastAsia="宋体" w:cs="宋体"/>
          <w:color w:val="auto"/>
          <w:sz w:val="21"/>
          <w:szCs w:val="21"/>
          <w:highlight w:val="none"/>
          <w:lang w:val="zh-CN"/>
        </w:rPr>
      </w:pPr>
    </w:p>
    <w:p w14:paraId="4F0A9CF3">
      <w:pPr>
        <w:pageBreakBefore/>
        <w:widowControl/>
        <w:wordWrap/>
        <w:adjustRightInd/>
        <w:snapToGrid/>
        <w:spacing w:line="360" w:lineRule="auto"/>
        <w:ind w:left="0" w:leftChars="0" w:right="0" w:firstLine="374" w:firstLineChars="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附件一：廉洁协议书</w:t>
      </w:r>
    </w:p>
    <w:p w14:paraId="77A203AB">
      <w:pPr>
        <w:wordWrap/>
        <w:spacing w:line="360" w:lineRule="auto"/>
        <w:ind w:right="31" w:rightChars="15"/>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廉洁协议书</w:t>
      </w:r>
    </w:p>
    <w:p w14:paraId="0C972AB7">
      <w:pPr>
        <w:wordWrap/>
        <w:spacing w:line="360" w:lineRule="auto"/>
        <w:ind w:right="0"/>
        <w:jc w:val="both"/>
        <w:textAlignment w:val="auto"/>
        <w:rPr>
          <w:rFonts w:hint="eastAsia" w:ascii="宋体" w:hAnsi="宋体" w:eastAsia="宋体" w:cs="宋体"/>
          <w:b w:val="0"/>
          <w:bCs w:val="0"/>
          <w:color w:val="auto"/>
          <w:sz w:val="21"/>
          <w:szCs w:val="22"/>
          <w:highlight w:val="none"/>
        </w:rPr>
      </w:pPr>
    </w:p>
    <w:p w14:paraId="51E34292">
      <w:pPr>
        <w:wordWrap/>
        <w:spacing w:line="360" w:lineRule="auto"/>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u w:val="single"/>
          <w:lang w:eastAsia="zh-CN"/>
        </w:rPr>
        <w:t>东莞市众源环境投资有限公司2025年-2027年污泥运输服务供应商采购项目</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eastAsia="zh-CN"/>
        </w:rPr>
        <w:t>0832-SFCX24DG113C</w:t>
      </w:r>
      <w:r>
        <w:rPr>
          <w:rFonts w:hint="eastAsia" w:ascii="宋体" w:hAnsi="宋体" w:eastAsia="宋体" w:cs="宋体"/>
          <w:color w:val="auto"/>
          <w:sz w:val="21"/>
          <w:szCs w:val="21"/>
          <w:highlight w:val="none"/>
        </w:rPr>
        <w:t>）</w:t>
      </w:r>
    </w:p>
    <w:p w14:paraId="3887C6D4">
      <w:pPr>
        <w:wordWrap/>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甲方（业主单位）：</w:t>
      </w:r>
    </w:p>
    <w:p w14:paraId="78508E8D">
      <w:pPr>
        <w:wordWrap/>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79DAB7C5">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77EAEA7">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第一条  甲乙双方的权利和义务</w:t>
      </w:r>
    </w:p>
    <w:p w14:paraId="658EA39F">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16A90DEC">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A03F556">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（三）双方的业务活动坚持公开、公正、诚信、透明的原则（除法律认定的商业秘密和合同文件另有规定之外）不得损害国家和集体利益，违反电力交易管理及其他法律法规规章制度。</w:t>
      </w:r>
    </w:p>
    <w:p w14:paraId="789BD872">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71DADED0">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3ED22077">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4992BB4C">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  甲方的义务</w:t>
      </w:r>
    </w:p>
    <w:p w14:paraId="507DB0D6">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3D198B98">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3BF06E3E">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42F9C7B9">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297A20DC">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5CBFEFDA">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225B0B11">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596394C">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第三条  乙方义务</w:t>
      </w:r>
    </w:p>
    <w:p w14:paraId="2A8B0572">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14B07C66">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4A9B1A66">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681C6B97">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6070A443">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27243C75">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1D1C720D">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AD2A216">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第四条  违约责任</w:t>
      </w:r>
    </w:p>
    <w:p w14:paraId="42D019F6">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07190E3B">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1A8967AB">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第五条  监督检查</w:t>
      </w:r>
    </w:p>
    <w:p w14:paraId="33D9C141">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14:paraId="1D824EF2">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第六条 举报信访受理</w:t>
      </w:r>
    </w:p>
    <w:p w14:paraId="47ABC13A">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14B390A1">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3866B4C2">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"mailto:jcsj@dgswjt.cn。"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jcsj@dgswjt.cn。</w:t>
      </w:r>
      <w:r>
        <w:rPr>
          <w:rFonts w:hint="eastAsia" w:ascii="宋体" w:hAnsi="宋体" w:eastAsia="宋体" w:cs="宋体"/>
          <w:color w:val="auto"/>
          <w:szCs w:val="21"/>
          <w:highlight w:val="none"/>
        </w:rPr>
        <w:fldChar w:fldCharType="end"/>
      </w:r>
    </w:p>
    <w:p w14:paraId="1033BB08">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3BE9F8A9">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其他</w:t>
      </w:r>
    </w:p>
    <w:p w14:paraId="598C430C">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本协议有效期为甲乙双方签字并盖章之日起至服务期满后为止。</w:t>
      </w:r>
    </w:p>
    <w:p w14:paraId="2E23B312">
      <w:pPr>
        <w:rPr>
          <w:color w:val="auto"/>
          <w:highlight w:val="none"/>
        </w:rPr>
      </w:pPr>
      <w:r>
        <w:rPr>
          <w:rFonts w:hint="eastAsia" w:ascii="宋体" w:hAnsi="宋体" w:eastAsia="宋体" w:cs="宋体"/>
          <w:color w:val="auto"/>
          <w:szCs w:val="21"/>
          <w:highlight w:val="none"/>
        </w:rPr>
        <w:t>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伍</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5BA09C76">
      <w:pPr>
        <w:rPr>
          <w:rFonts w:hint="eastAsia" w:ascii="宋体" w:hAnsi="宋体" w:eastAsia="宋体" w:cs="宋体"/>
          <w:color w:val="auto"/>
          <w:sz w:val="21"/>
          <w:szCs w:val="21"/>
          <w:highlight w:val="none"/>
          <w:lang w:val="zh-CN"/>
        </w:rPr>
      </w:pPr>
    </w:p>
    <w:p w14:paraId="35AABC4E">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4" w:name="_Toc788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4"/>
    </w:p>
    <w:p w14:paraId="49D6E485">
      <w:pPr>
        <w:widowControl w:val="0"/>
        <w:wordWrap/>
        <w:adjustRightInd/>
        <w:snapToGrid/>
        <w:spacing w:line="360" w:lineRule="auto"/>
        <w:ind w:left="0" w:leftChars="0" w:right="0" w:firstLine="0" w:firstLineChars="0"/>
        <w:jc w:val="both"/>
        <w:textAlignment w:val="auto"/>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一、不可撤销银行履约保函格式</w:t>
      </w:r>
    </w:p>
    <w:p w14:paraId="5D2290F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D256994">
      <w:pPr>
        <w:widowControl/>
        <w:autoSpaceDE w:val="0"/>
        <w:autoSpaceDN w:val="0"/>
        <w:adjustRightInd w:val="0"/>
        <w:spacing w:line="360" w:lineRule="auto"/>
        <w:jc w:val="left"/>
        <w:rPr>
          <w:rFonts w:ascii="宋体" w:hAnsi="宋体" w:eastAsia="宋体" w:cs="宋体"/>
          <w:color w:val="auto"/>
          <w:kern w:val="0"/>
          <w:szCs w:val="21"/>
          <w:highlight w:val="none"/>
        </w:rPr>
      </w:pPr>
    </w:p>
    <w:p w14:paraId="144450B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CB58E2E">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3D749C4">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B225ED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F6E7D8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5EB5F58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4B2FC74">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4EE3954">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本保函应自合同签订之日起至合同期限届满并完成合同全部服务义务后二十八（28）日内保持有效。</w:t>
      </w:r>
    </w:p>
    <w:p w14:paraId="67C6CFD2">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2F19E8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5C0D3F1">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none"/>
        </w:rPr>
        <w:t>联系电话：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22F8A7A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none"/>
        </w:rPr>
        <w:t>联系人：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76247E6A">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197FA4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1F4BDEE">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13C053A3">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04D7473">
      <w:pPr>
        <w:widowControl/>
        <w:autoSpaceDE w:val="0"/>
        <w:autoSpaceDN w:val="0"/>
        <w:adjustRightInd w:val="0"/>
        <w:spacing w:line="360" w:lineRule="auto"/>
        <w:jc w:val="left"/>
        <w:rPr>
          <w:rFonts w:ascii="宋体" w:hAnsi="宋体" w:eastAsia="宋体" w:cs="宋体"/>
          <w:color w:val="auto"/>
          <w:kern w:val="0"/>
          <w:szCs w:val="21"/>
          <w:highlight w:val="none"/>
        </w:rPr>
      </w:pPr>
    </w:p>
    <w:p w14:paraId="1C703867">
      <w:pPr>
        <w:widowControl/>
        <w:autoSpaceDE w:val="0"/>
        <w:autoSpaceDN w:val="0"/>
        <w:adjustRightInd w:val="0"/>
        <w:spacing w:line="360" w:lineRule="auto"/>
        <w:jc w:val="left"/>
        <w:rPr>
          <w:rFonts w:ascii="宋体" w:hAnsi="宋体" w:eastAsia="宋体" w:cs="宋体"/>
          <w:color w:val="auto"/>
          <w:kern w:val="0"/>
          <w:szCs w:val="21"/>
          <w:highlight w:val="none"/>
        </w:rPr>
      </w:pPr>
    </w:p>
    <w:p w14:paraId="13549E86">
      <w:pPr>
        <w:widowControl w:val="0"/>
        <w:wordWrap/>
        <w:adjustRightInd/>
        <w:snapToGrid/>
        <w:spacing w:line="360" w:lineRule="auto"/>
        <w:ind w:left="0" w:leftChars="0" w:right="0" w:firstLine="0" w:firstLineChars="0"/>
        <w:jc w:val="both"/>
        <w:textAlignment w:val="auto"/>
        <w:outlineLvl w:val="1"/>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二、履约保证保险凭证格式</w:t>
      </w:r>
    </w:p>
    <w:p w14:paraId="7707CFB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01DB9E5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46839C0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5DB585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736C38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AE8E04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94E432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2063C31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9A809C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1D9B77B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4C65AB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DF2CB9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1464EC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77FD74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22F53A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1A39826">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72FF4D2">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本履约保证保险应自合同签订之日起至合同期限届满并完成相关服务义务后二十八（28）日内保持有效。</w:t>
      </w:r>
    </w:p>
    <w:p w14:paraId="3BB492E7">
      <w:pPr>
        <w:rPr>
          <w:rFonts w:hint="default"/>
          <w:color w:val="auto"/>
          <w:highlight w:val="none"/>
          <w:lang w:val="en-US" w:eastAsia="zh-CN"/>
        </w:rPr>
      </w:pPr>
    </w:p>
    <w:p w14:paraId="173BF68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5107C9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EEEBED2">
      <w:pPr>
        <w:autoSpaceDE w:val="0"/>
        <w:autoSpaceDN w:val="0"/>
        <w:adjustRightInd w:val="0"/>
        <w:spacing w:line="360" w:lineRule="auto"/>
        <w:ind w:firstLine="437"/>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 xml:space="preserve">                                             保险人：</w:t>
      </w:r>
      <w:r>
        <w:rPr>
          <w:rFonts w:hint="eastAsia" w:ascii="宋体" w:hAnsi="宋体" w:eastAsia="宋体" w:cs="宋体"/>
          <w:color w:val="auto"/>
          <w:kern w:val="0"/>
          <w:szCs w:val="21"/>
          <w:highlight w:val="none"/>
          <w:u w:val="single"/>
          <w:lang w:val="en-US" w:eastAsia="zh-CN"/>
        </w:rPr>
        <w:t xml:space="preserve">         （盖章）        </w:t>
      </w:r>
    </w:p>
    <w:p w14:paraId="666296B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联系电话</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6E048E56">
      <w:pPr>
        <w:autoSpaceDE w:val="0"/>
        <w:autoSpaceDN w:val="0"/>
        <w:adjustRightInd w:val="0"/>
        <w:spacing w:line="360" w:lineRule="auto"/>
        <w:ind w:firstLine="437"/>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 xml:space="preserve">                            联系人：</w:t>
      </w:r>
      <w:r>
        <w:rPr>
          <w:rFonts w:hint="eastAsia" w:ascii="宋体" w:hAnsi="宋体" w:eastAsia="宋体" w:cs="宋体"/>
          <w:color w:val="auto"/>
          <w:kern w:val="0"/>
          <w:szCs w:val="21"/>
          <w:highlight w:val="none"/>
          <w:u w:val="single"/>
          <w:lang w:val="en-US" w:eastAsia="zh-CN"/>
        </w:rPr>
        <w:t xml:space="preserve">                         </w:t>
      </w:r>
    </w:p>
    <w:p w14:paraId="51C06472">
      <w:pPr>
        <w:autoSpaceDE w:val="0"/>
        <w:autoSpaceDN w:val="0"/>
        <w:adjustRightInd w:val="0"/>
        <w:spacing w:line="360" w:lineRule="auto"/>
        <w:ind w:left="4571" w:leftChars="285" w:hanging="3973" w:hangingChars="1892"/>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lang w:val="en-US" w:eastAsia="zh-CN"/>
        </w:rPr>
        <w:t xml:space="preserve">法定代表人或授权代理人：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年 月 日 </w:t>
      </w:r>
    </w:p>
    <w:p w14:paraId="1783A9C3">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7103833">
      <w:pPr>
        <w:widowControl w:val="0"/>
        <w:wordWrap/>
        <w:adjustRightInd/>
        <w:snapToGrid/>
        <w:spacing w:line="360" w:lineRule="auto"/>
        <w:ind w:left="0" w:leftChars="0" w:right="0" w:firstLine="0" w:firstLineChars="0"/>
        <w:jc w:val="both"/>
        <w:textAlignment w:val="auto"/>
        <w:outlineLvl w:val="1"/>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三、担保公司履约担保书格式</w:t>
      </w:r>
    </w:p>
    <w:p w14:paraId="4A26097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57F055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3FB1E8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480A95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6B9D4C2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106F45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B5A8626">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本保函应自合同签订之日起至合同期限届满并完成相关服务义务后二十八（28）日内保持有效。</w:t>
      </w:r>
    </w:p>
    <w:p w14:paraId="4451A11D">
      <w:pPr>
        <w:autoSpaceDE w:val="0"/>
        <w:autoSpaceDN w:val="0"/>
        <w:adjustRightInd w:val="0"/>
        <w:spacing w:line="360" w:lineRule="auto"/>
        <w:jc w:val="left"/>
        <w:rPr>
          <w:rFonts w:ascii="宋体" w:hAnsi="宋体" w:eastAsia="宋体" w:cs="Times New Roman"/>
          <w:color w:val="auto"/>
          <w:kern w:val="0"/>
          <w:szCs w:val="21"/>
          <w:highlight w:val="none"/>
        </w:rPr>
      </w:pPr>
    </w:p>
    <w:p w14:paraId="0EB3B13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24058A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0D95CE0">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联系人：                        </w:t>
      </w:r>
    </w:p>
    <w:p w14:paraId="7F05CDE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BD1C79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7559B1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2F2B419">
      <w:pPr>
        <w:rPr>
          <w:color w:val="auto"/>
          <w:highlight w:val="none"/>
          <w:lang w:val="zh-CN"/>
        </w:rPr>
      </w:pPr>
    </w:p>
    <w:p w14:paraId="144BAB96">
      <w:pPr>
        <w:autoSpaceDE w:val="0"/>
        <w:autoSpaceDN w:val="0"/>
        <w:adjustRightInd w:val="0"/>
        <w:spacing w:line="360" w:lineRule="auto"/>
        <w:jc w:val="left"/>
        <w:rPr>
          <w:rFonts w:ascii="宋体" w:hAnsi="宋体" w:eastAsia="宋体" w:cs="Times New Roman"/>
          <w:color w:val="auto"/>
          <w:kern w:val="0"/>
          <w:szCs w:val="21"/>
          <w:highlight w:val="none"/>
        </w:rPr>
      </w:pPr>
    </w:p>
    <w:p w14:paraId="67BD9C8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B78843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EF3745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39191B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16D285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ED53F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E619CB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AFEBEF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ED8FF3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5" w:name="_Toc30823"/>
      <w:r>
        <w:rPr>
          <w:rFonts w:hint="eastAsia" w:ascii="宋体" w:hAnsi="宋体" w:eastAsia="宋体" w:cs="宋体"/>
          <w:b/>
          <w:bCs/>
          <w:color w:val="auto"/>
          <w:kern w:val="44"/>
          <w:sz w:val="32"/>
          <w:szCs w:val="32"/>
          <w:highlight w:val="none"/>
          <w:lang w:val="zh-CN"/>
        </w:rPr>
        <w:t>第六篇 投标文件格式</w:t>
      </w:r>
      <w:bookmarkEnd w:id="55"/>
    </w:p>
    <w:p w14:paraId="522D0F6A">
      <w:pPr>
        <w:rPr>
          <w:rFonts w:hint="eastAsia"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10DE2E9F">
      <w:pPr>
        <w:pStyle w:val="20"/>
        <w:spacing w:line="360" w:lineRule="auto"/>
        <w:jc w:val="center"/>
        <w:rPr>
          <w:rFonts w:hint="eastAsia" w:ascii="宋体" w:hAnsi="宋体" w:eastAsia="宋体" w:cs="宋体"/>
          <w:color w:val="auto"/>
          <w:sz w:val="84"/>
          <w:highlight w:val="none"/>
        </w:rPr>
      </w:pPr>
    </w:p>
    <w:p w14:paraId="28D25C2C">
      <w:pPr>
        <w:pStyle w:val="20"/>
        <w:spacing w:line="360" w:lineRule="auto"/>
        <w:jc w:val="center"/>
        <w:rPr>
          <w:rFonts w:hint="eastAsia" w:ascii="宋体" w:hAnsi="宋体" w:eastAsia="宋体" w:cs="宋体"/>
          <w:color w:val="auto"/>
          <w:sz w:val="84"/>
          <w:highlight w:val="none"/>
        </w:rPr>
      </w:pPr>
    </w:p>
    <w:p w14:paraId="7E6BA476">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588D525">
      <w:pPr>
        <w:pStyle w:val="20"/>
        <w:spacing w:line="360" w:lineRule="auto"/>
        <w:rPr>
          <w:rFonts w:hint="eastAsia" w:ascii="宋体" w:hAnsi="宋体" w:eastAsia="宋体" w:cs="宋体"/>
          <w:color w:val="auto"/>
          <w:highlight w:val="none"/>
        </w:rPr>
      </w:pPr>
    </w:p>
    <w:p w14:paraId="33BEC36A">
      <w:pPr>
        <w:pStyle w:val="20"/>
        <w:spacing w:line="360" w:lineRule="auto"/>
        <w:rPr>
          <w:rFonts w:hint="eastAsia" w:ascii="宋体" w:hAnsi="宋体" w:eastAsia="宋体" w:cs="宋体"/>
          <w:color w:val="auto"/>
          <w:highlight w:val="none"/>
        </w:rPr>
      </w:pPr>
    </w:p>
    <w:p w14:paraId="13E7A285">
      <w:pPr>
        <w:pStyle w:val="20"/>
        <w:spacing w:line="360" w:lineRule="auto"/>
        <w:rPr>
          <w:rFonts w:hint="eastAsia" w:ascii="宋体" w:hAnsi="宋体" w:eastAsia="宋体" w:cs="宋体"/>
          <w:color w:val="auto"/>
          <w:highlight w:val="none"/>
        </w:rPr>
      </w:pPr>
    </w:p>
    <w:p w14:paraId="55054B3A">
      <w:pPr>
        <w:pStyle w:val="20"/>
        <w:spacing w:line="360" w:lineRule="auto"/>
        <w:rPr>
          <w:rFonts w:hint="eastAsia" w:ascii="宋体" w:hAnsi="宋体" w:eastAsia="宋体" w:cs="宋体"/>
          <w:color w:val="auto"/>
          <w:highlight w:val="none"/>
        </w:rPr>
      </w:pPr>
    </w:p>
    <w:p w14:paraId="563B088E">
      <w:pPr>
        <w:pStyle w:val="20"/>
        <w:spacing w:line="360" w:lineRule="auto"/>
        <w:rPr>
          <w:rFonts w:hint="eastAsia" w:ascii="宋体" w:hAnsi="宋体" w:eastAsia="宋体" w:cs="宋体"/>
          <w:color w:val="auto"/>
          <w:highlight w:val="none"/>
        </w:rPr>
      </w:pPr>
    </w:p>
    <w:p w14:paraId="72203D41">
      <w:pPr>
        <w:pStyle w:val="20"/>
        <w:spacing w:line="360" w:lineRule="auto"/>
        <w:rPr>
          <w:rFonts w:hint="eastAsia" w:ascii="宋体" w:hAnsi="宋体" w:eastAsia="宋体" w:cs="宋体"/>
          <w:color w:val="auto"/>
          <w:highlight w:val="none"/>
        </w:rPr>
      </w:pPr>
    </w:p>
    <w:p w14:paraId="6ED7C4C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97993F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56E66D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78A0A8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293270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EF9B45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52C5E3D">
      <w:pPr>
        <w:pStyle w:val="20"/>
        <w:spacing w:line="360" w:lineRule="auto"/>
        <w:rPr>
          <w:rFonts w:hint="eastAsia" w:ascii="宋体" w:hAnsi="宋体" w:eastAsia="宋体" w:cs="宋体"/>
          <w:color w:val="auto"/>
          <w:highlight w:val="none"/>
        </w:rPr>
      </w:pPr>
    </w:p>
    <w:p w14:paraId="5EA04D5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18A775">
      <w:pPr>
        <w:pStyle w:val="20"/>
        <w:spacing w:line="360" w:lineRule="auto"/>
        <w:rPr>
          <w:rFonts w:hint="eastAsia" w:ascii="宋体" w:hAnsi="宋体" w:eastAsia="宋体" w:cs="宋体"/>
          <w:color w:val="auto"/>
          <w:highlight w:val="none"/>
        </w:rPr>
      </w:pPr>
    </w:p>
    <w:p w14:paraId="33E7C45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044E5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05BD946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420A417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1764C188">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72BCD1D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0C5B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5E22AD9">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E820E67">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14:paraId="58071419">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4E9C645E">
            <w:pPr>
              <w:adjustRightInd w:val="0"/>
              <w:snapToGrid w:val="0"/>
              <w:spacing w:line="360" w:lineRule="auto"/>
              <w:rPr>
                <w:rFonts w:hint="eastAsia" w:ascii="宋体" w:hAnsi="宋体" w:eastAsia="宋体" w:cs="宋体"/>
                <w:bCs/>
                <w:color w:val="auto"/>
                <w:szCs w:val="21"/>
                <w:highlight w:val="none"/>
              </w:rPr>
            </w:pPr>
          </w:p>
        </w:tc>
      </w:tr>
      <w:tr w14:paraId="1736B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0D76E706">
            <w:pPr>
              <w:rPr>
                <w:rFonts w:hint="eastAsia" w:ascii="宋体" w:hAnsi="宋体" w:eastAsia="宋体" w:cs="宋体"/>
                <w:bCs/>
                <w:color w:val="auto"/>
                <w:szCs w:val="21"/>
                <w:highlight w:val="none"/>
              </w:rPr>
            </w:pPr>
          </w:p>
        </w:tc>
        <w:tc>
          <w:tcPr>
            <w:tcW w:w="2773" w:type="dxa"/>
            <w:vAlign w:val="center"/>
          </w:tcPr>
          <w:p w14:paraId="1A17E99C">
            <w:pPr>
              <w:rPr>
                <w:rFonts w:hint="eastAsia" w:ascii="宋体" w:hAnsi="宋体" w:eastAsia="宋体" w:cs="宋体"/>
                <w:bCs/>
                <w:color w:val="auto"/>
                <w:szCs w:val="21"/>
                <w:highlight w:val="none"/>
              </w:rPr>
            </w:pPr>
          </w:p>
        </w:tc>
        <w:tc>
          <w:tcPr>
            <w:tcW w:w="2157" w:type="dxa"/>
            <w:vAlign w:val="center"/>
          </w:tcPr>
          <w:p w14:paraId="479AA8C4">
            <w:pP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68D7F73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0675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7E1289ED">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9C259F4">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14:paraId="01252383">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11E2600C">
            <w:pPr>
              <w:spacing w:line="360" w:lineRule="auto"/>
              <w:ind w:firstLine="8" w:firstLineChars="4"/>
              <w:rPr>
                <w:rFonts w:hint="eastAsia" w:ascii="宋体" w:hAnsi="宋体" w:eastAsia="宋体" w:cs="宋体"/>
                <w:bCs/>
                <w:color w:val="auto"/>
                <w:szCs w:val="21"/>
                <w:highlight w:val="none"/>
              </w:rPr>
            </w:pPr>
          </w:p>
        </w:tc>
      </w:tr>
      <w:tr w14:paraId="2AE970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1B520FCF">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5C2DE192">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762B4F3A">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60A2F7B5">
            <w:pPr>
              <w:adjustRightInd w:val="0"/>
              <w:snapToGrid w:val="0"/>
              <w:spacing w:line="360" w:lineRule="auto"/>
              <w:rPr>
                <w:rFonts w:hint="eastAsia" w:ascii="宋体" w:hAnsi="宋体" w:eastAsia="宋体" w:cs="宋体"/>
                <w:bCs/>
                <w:color w:val="auto"/>
                <w:szCs w:val="21"/>
                <w:highlight w:val="none"/>
              </w:rPr>
            </w:pPr>
          </w:p>
        </w:tc>
      </w:tr>
      <w:tr w14:paraId="7A5EC7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3880F34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53604343">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1A8C608B">
            <w:pPr>
              <w:spacing w:line="360" w:lineRule="auto"/>
              <w:jc w:val="center"/>
              <w:rPr>
                <w:rFonts w:hint="eastAsia" w:ascii="宋体" w:hAnsi="宋体" w:eastAsia="宋体" w:cs="宋体"/>
                <w:bCs/>
                <w:color w:val="auto"/>
                <w:szCs w:val="21"/>
                <w:highlight w:val="none"/>
              </w:rPr>
            </w:pPr>
          </w:p>
        </w:tc>
      </w:tr>
    </w:tbl>
    <w:p w14:paraId="74421F3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574287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一、投标函格式</w:t>
      </w:r>
    </w:p>
    <w:p w14:paraId="6249BB00">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zh-CN"/>
        </w:rPr>
        <w:t>投 标 函</w:t>
      </w:r>
    </w:p>
    <w:p w14:paraId="28EFC258">
      <w:pPr>
        <w:autoSpaceDE w:val="0"/>
        <w:autoSpaceDN w:val="0"/>
        <w:adjustRightInd w:val="0"/>
        <w:spacing w:line="360" w:lineRule="auto"/>
        <w:rPr>
          <w:rFonts w:ascii="宋体" w:hAnsi="宋体" w:eastAsia="宋体" w:cs="宋体"/>
          <w:color w:val="auto"/>
          <w:szCs w:val="21"/>
          <w:highlight w:val="none"/>
          <w:lang w:val="zh-CN"/>
        </w:rPr>
      </w:pPr>
    </w:p>
    <w:p w14:paraId="1A6D2D36">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东莞市众源环境投资有限公司</w:t>
      </w:r>
    </w:p>
    <w:p w14:paraId="4B002D4C">
      <w:pPr>
        <w:autoSpaceDE w:val="0"/>
        <w:autoSpaceDN w:val="0"/>
        <w:adjustRightInd w:val="0"/>
        <w:spacing w:line="360" w:lineRule="auto"/>
        <w:rPr>
          <w:rFonts w:ascii="宋体" w:hAnsi="宋体" w:eastAsia="宋体" w:cs="宋体"/>
          <w:color w:val="auto"/>
          <w:szCs w:val="21"/>
          <w:highlight w:val="none"/>
        </w:rPr>
      </w:pPr>
    </w:p>
    <w:p w14:paraId="3D0EEF72">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东莞市众源环境投资有限公司2025年-2027年污泥运输服务供应商采购项目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0832-SFCX24DG113C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933EEF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748660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638E6188">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C4C6E4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1F77443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0832-SFCX24DG113C</w:t>
      </w:r>
      <w:r>
        <w:rPr>
          <w:rFonts w:hint="eastAsia" w:ascii="宋体" w:hAnsi="宋体" w:eastAsia="宋体" w:cs="宋体"/>
          <w:color w:val="auto"/>
          <w:szCs w:val="21"/>
          <w:highlight w:val="none"/>
          <w:lang w:val="zh-CN"/>
        </w:rPr>
        <w:t>的投标；</w:t>
      </w:r>
    </w:p>
    <w:p w14:paraId="3A04A3E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3737C0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2213AF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F7E778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5001A6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12BEF6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42D26A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DFBA83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81755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409E10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F38F40C">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7E341F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C92B85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CC706B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9503C4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84BB99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70D612E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EEFF12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D875F3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D973ED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color w:val="auto"/>
          <w:kern w:val="0"/>
          <w:sz w:val="32"/>
          <w:szCs w:val="32"/>
          <w:highlight w:val="none"/>
        </w:rPr>
        <w:t>二、投标承诺书格式</w:t>
      </w:r>
    </w:p>
    <w:p w14:paraId="3CBF05F6">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145C255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9BD5DD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东莞市众源环境投资有限公司2025年-2027年污泥运输服务供应商采购项目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0832-SFCX24DG113C</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38336F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50E617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B5ABDFD">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A182D3C">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66E168B">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6D12956">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06A8D2E">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5C5A4EBF">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1C8D59D">
      <w:pPr>
        <w:autoSpaceDE w:val="0"/>
        <w:autoSpaceDN w:val="0"/>
        <w:adjustRightInd w:val="0"/>
        <w:spacing w:line="360" w:lineRule="auto"/>
        <w:jc w:val="left"/>
        <w:rPr>
          <w:rFonts w:ascii="宋体" w:hAnsi="宋体" w:eastAsia="宋体" w:cs="宋体"/>
          <w:color w:val="auto"/>
          <w:kern w:val="0"/>
          <w:sz w:val="24"/>
          <w:szCs w:val="24"/>
          <w:highlight w:val="none"/>
        </w:rPr>
      </w:pPr>
    </w:p>
    <w:p w14:paraId="0740D38E">
      <w:pPr>
        <w:autoSpaceDE w:val="0"/>
        <w:autoSpaceDN w:val="0"/>
        <w:adjustRightInd w:val="0"/>
        <w:spacing w:line="360" w:lineRule="auto"/>
        <w:jc w:val="left"/>
        <w:rPr>
          <w:rFonts w:ascii="宋体" w:hAnsi="宋体" w:eastAsia="宋体" w:cs="宋体"/>
          <w:color w:val="auto"/>
          <w:kern w:val="0"/>
          <w:sz w:val="24"/>
          <w:szCs w:val="24"/>
          <w:highlight w:val="none"/>
        </w:rPr>
      </w:pPr>
    </w:p>
    <w:p w14:paraId="736FB4AE">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三、供货及/或提供服务过程承诺函格式</w:t>
      </w:r>
    </w:p>
    <w:p w14:paraId="0EA1695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2FB515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东莞市众源环境投资有限公司</w:t>
      </w:r>
      <w:r>
        <w:rPr>
          <w:rFonts w:hint="eastAsia" w:ascii="宋体" w:hAnsi="宋体" w:eastAsia="宋体" w:cs="宋体"/>
          <w:color w:val="auto"/>
          <w:kern w:val="0"/>
          <w:szCs w:val="21"/>
          <w:highlight w:val="none"/>
        </w:rPr>
        <w:t>：</w:t>
      </w:r>
    </w:p>
    <w:p w14:paraId="2966FD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东莞市众源环境投资有限公司2025年-2027年污泥运输服务供应商采购项目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0832-SFCX24DG113C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E3030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FDA6C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EA465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85E7D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DEEEC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DDEC9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B681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85DC4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4CF64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7C77CA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5FDA1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345500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123DE0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6A966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16D0D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E55D4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C68FC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CC385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2CBA0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C26FF6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0C5957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A1ECBBF">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ED03519">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00487F5">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5E3942E">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3CE33A4">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p>
    <w:p w14:paraId="150CBE16">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p>
    <w:p w14:paraId="32C5769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FB5E6C1">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东莞市众源环境投资有限公司2025年-2027年污泥运输服务供应商采购项目</w:t>
      </w:r>
    </w:p>
    <w:p w14:paraId="31222667">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0832-SFCX24DG113C</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2738"/>
        <w:gridCol w:w="5264"/>
        <w:gridCol w:w="1332"/>
      </w:tblGrid>
      <w:tr w14:paraId="43D6E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14:paraId="76286E0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738" w:type="dxa"/>
            <w:tcBorders>
              <w:top w:val="single" w:color="auto" w:sz="4" w:space="0"/>
              <w:left w:val="single" w:color="auto" w:sz="4" w:space="0"/>
              <w:bottom w:val="single" w:color="auto" w:sz="4" w:space="0"/>
              <w:right w:val="single" w:color="auto" w:sz="4" w:space="0"/>
            </w:tcBorders>
            <w:vAlign w:val="center"/>
          </w:tcPr>
          <w:p w14:paraId="3DC5EDC9">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5264" w:type="dxa"/>
            <w:tcBorders>
              <w:top w:val="single" w:color="auto" w:sz="4" w:space="0"/>
              <w:left w:val="single" w:color="auto" w:sz="4" w:space="0"/>
              <w:bottom w:val="single" w:color="auto" w:sz="4" w:space="0"/>
              <w:right w:val="single" w:color="auto" w:sz="4" w:space="0"/>
            </w:tcBorders>
            <w:vAlign w:val="center"/>
          </w:tcPr>
          <w:p w14:paraId="7D8B2E6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不含销项税，元</w:t>
            </w:r>
            <w:r>
              <w:rPr>
                <w:rFonts w:hint="eastAsia" w:ascii="宋体" w:hAnsi="宋体" w:eastAsia="宋体" w:cs="宋体"/>
                <w:b/>
                <w:color w:val="auto"/>
                <w:sz w:val="21"/>
                <w:szCs w:val="21"/>
                <w:highlight w:val="none"/>
              </w:rPr>
              <w:t>/（吨</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sz w:val="21"/>
                <w:szCs w:val="21"/>
                <w:highlight w:val="none"/>
              </w:rPr>
              <w:t>公里）</w:t>
            </w:r>
            <w:r>
              <w:rPr>
                <w:rFonts w:hint="eastAsia" w:ascii="宋体" w:hAnsi="宋体" w:eastAsia="宋体" w:cs="Times New Roman"/>
                <w:b/>
                <w:color w:val="auto"/>
                <w:kern w:val="0"/>
                <w:szCs w:val="21"/>
                <w:highlight w:val="none"/>
                <w:lang w:eastAsia="zh-CN"/>
              </w:rPr>
              <w:t>】</w:t>
            </w:r>
          </w:p>
        </w:tc>
        <w:tc>
          <w:tcPr>
            <w:tcW w:w="1332" w:type="dxa"/>
            <w:tcBorders>
              <w:top w:val="single" w:color="auto" w:sz="4" w:space="0"/>
              <w:left w:val="single" w:color="auto" w:sz="4" w:space="0"/>
              <w:bottom w:val="single" w:color="auto" w:sz="4" w:space="0"/>
              <w:right w:val="single" w:color="auto" w:sz="4" w:space="0"/>
            </w:tcBorders>
            <w:vAlign w:val="center"/>
          </w:tcPr>
          <w:p w14:paraId="5104A3E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727BF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036" w:type="dxa"/>
            <w:tcBorders>
              <w:top w:val="single" w:color="auto" w:sz="4" w:space="0"/>
              <w:left w:val="single" w:color="auto" w:sz="4" w:space="0"/>
              <w:right w:val="single" w:color="auto" w:sz="4" w:space="0"/>
            </w:tcBorders>
            <w:vAlign w:val="center"/>
          </w:tcPr>
          <w:p w14:paraId="6695B6B9">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738" w:type="dxa"/>
            <w:tcBorders>
              <w:top w:val="single" w:color="auto" w:sz="4" w:space="0"/>
              <w:left w:val="single" w:color="auto" w:sz="4" w:space="0"/>
              <w:right w:val="single" w:color="auto" w:sz="4" w:space="0"/>
            </w:tcBorders>
            <w:vAlign w:val="center"/>
          </w:tcPr>
          <w:p w14:paraId="7786094A">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东莞市众源环境投资有限公司2025年-2027年污泥运输服务供应商采购项目</w:t>
            </w:r>
          </w:p>
        </w:tc>
        <w:tc>
          <w:tcPr>
            <w:tcW w:w="5264" w:type="dxa"/>
            <w:tcBorders>
              <w:top w:val="single" w:color="auto" w:sz="4" w:space="0"/>
              <w:left w:val="single" w:color="auto" w:sz="4" w:space="0"/>
              <w:right w:val="single" w:color="auto" w:sz="4" w:space="0"/>
            </w:tcBorders>
            <w:vAlign w:val="center"/>
          </w:tcPr>
          <w:p w14:paraId="726250FD">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rPr>
              <w:t>运输服务费单价：</w:t>
            </w:r>
            <w:r>
              <w:rPr>
                <w:rFonts w:hint="eastAsia" w:ascii="宋体" w:hAnsi="宋体" w:eastAsia="宋体" w:cs="宋体"/>
                <w:b/>
                <w:color w:val="auto"/>
                <w:sz w:val="21"/>
                <w:szCs w:val="21"/>
                <w:highlight w:val="none"/>
                <w:u w:val="single"/>
              </w:rPr>
              <w:t xml:space="preserve">       </w:t>
            </w:r>
          </w:p>
        </w:tc>
        <w:tc>
          <w:tcPr>
            <w:tcW w:w="1332" w:type="dxa"/>
            <w:tcBorders>
              <w:top w:val="single" w:color="auto" w:sz="4" w:space="0"/>
              <w:left w:val="single" w:color="auto" w:sz="4" w:space="0"/>
              <w:right w:val="single" w:color="auto" w:sz="4" w:space="0"/>
            </w:tcBorders>
            <w:vAlign w:val="center"/>
          </w:tcPr>
          <w:p w14:paraId="79640AF6">
            <w:pPr>
              <w:tabs>
                <w:tab w:val="left" w:pos="8610"/>
              </w:tabs>
              <w:spacing w:line="360" w:lineRule="auto"/>
              <w:jc w:val="center"/>
              <w:rPr>
                <w:rFonts w:ascii="宋体" w:hAnsi="宋体" w:eastAsia="宋体" w:cs="Times New Roman"/>
                <w:color w:val="auto"/>
                <w:kern w:val="0"/>
                <w:szCs w:val="21"/>
                <w:highlight w:val="none"/>
              </w:rPr>
            </w:pPr>
          </w:p>
        </w:tc>
      </w:tr>
    </w:tbl>
    <w:p w14:paraId="7345CF6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BC25955">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w:t>
      </w:r>
      <w:r>
        <w:rPr>
          <w:rFonts w:hint="eastAsia" w:ascii="宋体" w:hAnsi="宋体" w:eastAsia="宋体" w:cs="宋体"/>
          <w:bCs/>
          <w:color w:val="auto"/>
          <w:sz w:val="21"/>
          <w:szCs w:val="21"/>
          <w:highlight w:val="none"/>
        </w:rPr>
        <w:t>本招标文件所称的不含税价是指不含本采购项目投标人的销项税额，包含了投标人完成合同义务（含投标人代缴代扣、分包及委外服务、施工、采购货物等所产生的价税）的其他全部费用。</w:t>
      </w:r>
      <w:r>
        <w:rPr>
          <w:rFonts w:hint="eastAsia" w:ascii="宋体" w:hAnsi="宋体" w:eastAsia="宋体" w:cs="宋体"/>
          <w:b/>
          <w:color w:val="auto"/>
          <w:sz w:val="21"/>
          <w:szCs w:val="21"/>
          <w:highlight w:val="none"/>
          <w:u w:val="single"/>
        </w:rPr>
        <w:t>本采购项目的销项税额由招标人承担，不计入投标报价</w:t>
      </w:r>
      <w:r>
        <w:rPr>
          <w:rFonts w:hint="eastAsia" w:ascii="宋体" w:hAnsi="宋体" w:eastAsia="宋体" w:cs="宋体"/>
          <w:bCs/>
          <w:color w:val="auto"/>
          <w:sz w:val="21"/>
          <w:szCs w:val="21"/>
          <w:highlight w:val="none"/>
        </w:rPr>
        <w:t>。</w:t>
      </w:r>
    </w:p>
    <w:p w14:paraId="0203E374">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val="0"/>
          <w:bCs w:val="0"/>
          <w:color w:val="auto"/>
          <w:kern w:val="0"/>
          <w:szCs w:val="21"/>
          <w:highlight w:val="none"/>
          <w:lang w:val="en-US" w:eastAsia="zh-CN"/>
        </w:rPr>
        <w:t>本</w:t>
      </w:r>
      <w:r>
        <w:rPr>
          <w:rFonts w:hint="eastAsia" w:ascii="宋体" w:hAnsi="宋体" w:eastAsia="宋体" w:cs="Times New Roman"/>
          <w:b w:val="0"/>
          <w:bCs w:val="0"/>
          <w:color w:val="auto"/>
          <w:kern w:val="0"/>
          <w:szCs w:val="21"/>
          <w:highlight w:val="none"/>
        </w:rPr>
        <w:t>项目运输服务费单价包括了</w:t>
      </w:r>
      <w:r>
        <w:rPr>
          <w:rFonts w:hint="eastAsia" w:ascii="宋体" w:hAnsi="宋体" w:eastAsia="宋体" w:cs="宋体"/>
          <w:color w:val="auto"/>
          <w:kern w:val="0"/>
          <w:szCs w:val="21"/>
          <w:highlight w:val="none"/>
        </w:rPr>
        <w:t>投标人中标后为完成招标文件和合同规定的全部工作所需支付的一切费用，运输服务费单价为包干价，包括但不限于中标人履行本合同所发生的运输服务范围内所需的人工费（含加班和节假日补贴）、车辆使用及燃油费、作业现场除尘及场地清洗费、湿泥运输过路桥费（含高速路）、提供运输服务人员的工资、食宿、保险费（包括运输车辆交强险、第三者责任险等商业保险，中标人及其雇员社会保障资金、保险、第三者责任险，环境污染责任险等）、中标人复核湿泥重量的称重费（如有）、因部分湿泥贮存点现场条件限制只能安排小型运输车辆而增加的成本、日常配合服务费、投标人销项税额以外的税费等合同实施过程中产生的全部直接和间接费用。依法计得并根据采购项目合同约定确定的销项税额由招标人承担。</w:t>
      </w:r>
    </w:p>
    <w:p w14:paraId="17B0CB68">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当以数字表示的金额与以文字表示的金额不一致时，以文字表示的金额为准；对不同文字文本投标文件的解释发生异议的，以中文文本为准；按前述修正原则排序依次进行修正至唯一值后的报价表经双方确认后，作为投标人的投标报价。</w:t>
      </w:r>
    </w:p>
    <w:p w14:paraId="1572B0BE">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280D070">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1C92838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663DE5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99CB202">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07804A3">
      <w:pPr>
        <w:widowControl w:val="0"/>
        <w:wordWrap/>
        <w:adjustRightInd/>
        <w:snapToGrid/>
        <w:spacing w:line="240" w:lineRule="auto"/>
        <w:ind w:left="0" w:leftChars="0" w:right="0" w:firstLine="0" w:firstLineChars="0"/>
        <w:jc w:val="both"/>
        <w:textAlignment w:val="auto"/>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color w:val="auto"/>
          <w:kern w:val="0"/>
          <w:sz w:val="32"/>
          <w:szCs w:val="32"/>
          <w:highlight w:val="none"/>
          <w:lang w:val="en-US" w:eastAsia="zh-CN"/>
        </w:rPr>
        <w:t>五、投标人资格证明文件</w:t>
      </w:r>
    </w:p>
    <w:p w14:paraId="77A8F9B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p>
    <w:p w14:paraId="538DF9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B2F14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3D3DF245">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p>
    <w:p w14:paraId="6F97557E">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p>
    <w:p w14:paraId="5E2A8021">
      <w:pPr>
        <w:spacing w:before="120" w:after="120" w:line="360" w:lineRule="auto"/>
        <w:ind w:firstLine="608" w:firstLineChars="202"/>
        <w:jc w:val="center"/>
        <w:rPr>
          <w:rFonts w:ascii="宋体" w:hAnsi="宋体" w:eastAsia="宋体" w:cs="宋体"/>
          <w:b/>
          <w:color w:val="auto"/>
          <w:sz w:val="30"/>
          <w:szCs w:val="30"/>
          <w:highlight w:val="none"/>
        </w:rPr>
      </w:pPr>
    </w:p>
    <w:p w14:paraId="534A5AEF">
      <w:pPr>
        <w:spacing w:before="120" w:after="120" w:line="360" w:lineRule="auto"/>
        <w:ind w:firstLine="608" w:firstLineChars="202"/>
        <w:jc w:val="center"/>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法定代表人身份证明书</w:t>
      </w:r>
    </w:p>
    <w:p w14:paraId="20518774">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49B291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FFCC899">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D4787B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5E9D37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565C3F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C41C0C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1FED307">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E48F9DD">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F88507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2B9660"/>
                          <w:p w14:paraId="3C9C9AF8"/>
                          <w:p w14:paraId="60857F49"/>
                          <w:p w14:paraId="7B31BE1F"/>
                          <w:p w14:paraId="24B17D75">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3360;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&#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MrW01wAAAAgBAAAPAAAAAAAAAAEAIAAAACIAAABk&#10;cnMvZG93bnJldi54bWxQSwECFAAUAAAACACHTuJARZ1y7AcCAAAuBAAADgAAAAAAAAABACAAAAAm&#10;AQAAZHJzL2Uyb0RvYy54bWxQSwUGAAAAAAYABgBZAQAAnwUAAAAA&#10;">
                <v:fill on="t" focussize="0,0"/>
                <v:stroke color="#000000" joinstyle="miter"/>
                <v:imagedata o:title=""/>
                <o:lock v:ext="edit" aspectratio="f"/>
                <v:textbox>
                  <w:txbxContent>
                    <w:p w14:paraId="672B9660"/>
                    <w:p w14:paraId="3C9C9AF8"/>
                    <w:p w14:paraId="60857F49"/>
                    <w:p w14:paraId="7B31BE1F"/>
                    <w:p w14:paraId="24B17D75">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6"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E7F5AA"/>
                          <w:p w14:paraId="661FA5B5"/>
                          <w:p w14:paraId="21F9C77B"/>
                          <w:p w14:paraId="1BF9E6FB"/>
                          <w:p w14:paraId="6916A8EF">
                            <w:pPr>
                              <w:jc w:val="center"/>
                              <w:rPr>
                                <w:szCs w:val="21"/>
                              </w:rPr>
                            </w:pPr>
                            <w:r>
                              <w:rPr>
                                <w:rFonts w:hint="eastAsia"/>
                                <w:szCs w:val="21"/>
                              </w:rPr>
                              <w:t>法定代表人身份证反面</w:t>
                            </w:r>
                          </w:p>
                          <w:p w14:paraId="7A22B1B6">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2336;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CX232PCAIAAC4EAAAOAAAAAAAAAAEAIAAA&#10;ACcBAABkcnMvZTJvRG9jLnhtbFBLBQYAAAAABgAGAFkBAAChBQAAAAA=&#10;">
                <v:fill on="t" focussize="0,0"/>
                <v:stroke color="#000000" joinstyle="miter"/>
                <v:imagedata o:title=""/>
                <o:lock v:ext="edit" aspectratio="f"/>
                <v:textbox>
                  <w:txbxContent>
                    <w:p w14:paraId="14E7F5AA"/>
                    <w:p w14:paraId="661FA5B5"/>
                    <w:p w14:paraId="21F9C77B"/>
                    <w:p w14:paraId="1BF9E6FB"/>
                    <w:p w14:paraId="6916A8EF">
                      <w:pPr>
                        <w:jc w:val="center"/>
                        <w:rPr>
                          <w:szCs w:val="21"/>
                        </w:rPr>
                      </w:pPr>
                      <w:r>
                        <w:rPr>
                          <w:rFonts w:hint="eastAsia"/>
                          <w:szCs w:val="21"/>
                        </w:rPr>
                        <w:t>法定代表人身份证反面</w:t>
                      </w:r>
                    </w:p>
                    <w:p w14:paraId="7A22B1B6">
                      <w:pPr>
                        <w:jc w:val="center"/>
                        <w:rPr>
                          <w:szCs w:val="21"/>
                        </w:rPr>
                      </w:pP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7"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9E5966"/>
                          <w:p w14:paraId="45418E0B"/>
                          <w:p w14:paraId="08E33B1F"/>
                          <w:p w14:paraId="1BC1FACF"/>
                          <w:p w14:paraId="7E521A99">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KXB9eMIAgAALgQAAA4AAAAAAAAAAQAgAAAA&#10;JgEAAGRycy9lMm9Eb2MueG1sUEsFBgAAAAAGAAYAWQEAAKAFAAAAAA==&#10;">
                <v:fill on="t" focussize="0,0"/>
                <v:stroke color="#000000" joinstyle="miter"/>
                <v:imagedata o:title=""/>
                <o:lock v:ext="edit" aspectratio="f"/>
                <v:textbox>
                  <w:txbxContent>
                    <w:p w14:paraId="269E5966"/>
                    <w:p w14:paraId="45418E0B"/>
                    <w:p w14:paraId="08E33B1F"/>
                    <w:p w14:paraId="1BC1FACF"/>
                    <w:p w14:paraId="7E521A99">
                      <w:pPr>
                        <w:jc w:val="center"/>
                      </w:pPr>
                      <w:r>
                        <w:rPr>
                          <w:rFonts w:hint="eastAsia"/>
                        </w:rPr>
                        <w:t>身份证正面</w:t>
                      </w:r>
                    </w:p>
                  </w:txbxContent>
                </v:textbox>
              </v:rect>
            </w:pict>
          </mc:Fallback>
        </mc:AlternateContent>
      </w:r>
    </w:p>
    <w:p w14:paraId="2770F03E">
      <w:pPr>
        <w:autoSpaceDE w:val="0"/>
        <w:autoSpaceDN w:val="0"/>
        <w:adjustRightInd w:val="0"/>
        <w:jc w:val="left"/>
        <w:rPr>
          <w:rFonts w:ascii="宋体" w:hAnsi="宋体" w:eastAsia="宋体" w:cs="宋体"/>
          <w:color w:val="auto"/>
          <w:kern w:val="0"/>
          <w:sz w:val="24"/>
          <w:szCs w:val="24"/>
          <w:highlight w:val="none"/>
        </w:rPr>
      </w:pPr>
    </w:p>
    <w:p w14:paraId="53AAD298">
      <w:pPr>
        <w:autoSpaceDE w:val="0"/>
        <w:autoSpaceDN w:val="0"/>
        <w:adjustRightInd w:val="0"/>
        <w:jc w:val="left"/>
        <w:rPr>
          <w:rFonts w:ascii="宋体" w:hAnsi="宋体" w:eastAsia="宋体" w:cs="宋体"/>
          <w:color w:val="auto"/>
          <w:kern w:val="0"/>
          <w:sz w:val="24"/>
          <w:szCs w:val="24"/>
          <w:highlight w:val="none"/>
        </w:rPr>
      </w:pPr>
    </w:p>
    <w:p w14:paraId="353527A2">
      <w:pPr>
        <w:autoSpaceDE w:val="0"/>
        <w:autoSpaceDN w:val="0"/>
        <w:adjustRightInd w:val="0"/>
        <w:jc w:val="left"/>
        <w:rPr>
          <w:rFonts w:ascii="宋体" w:hAnsi="宋体" w:eastAsia="宋体" w:cs="宋体"/>
          <w:color w:val="auto"/>
          <w:kern w:val="0"/>
          <w:sz w:val="24"/>
          <w:szCs w:val="24"/>
          <w:highlight w:val="none"/>
        </w:rPr>
      </w:pPr>
    </w:p>
    <w:p w14:paraId="6A600C72">
      <w:pPr>
        <w:autoSpaceDE w:val="0"/>
        <w:autoSpaceDN w:val="0"/>
        <w:adjustRightInd w:val="0"/>
        <w:jc w:val="left"/>
        <w:rPr>
          <w:rFonts w:ascii="宋体" w:hAnsi="宋体" w:eastAsia="宋体" w:cs="宋体"/>
          <w:color w:val="auto"/>
          <w:kern w:val="0"/>
          <w:sz w:val="24"/>
          <w:szCs w:val="24"/>
          <w:highlight w:val="none"/>
        </w:rPr>
      </w:pPr>
    </w:p>
    <w:p w14:paraId="604CE08E">
      <w:pPr>
        <w:autoSpaceDE w:val="0"/>
        <w:autoSpaceDN w:val="0"/>
        <w:adjustRightInd w:val="0"/>
        <w:jc w:val="left"/>
        <w:rPr>
          <w:rFonts w:ascii="宋体" w:hAnsi="宋体" w:eastAsia="宋体" w:cs="宋体"/>
          <w:color w:val="auto"/>
          <w:kern w:val="0"/>
          <w:sz w:val="24"/>
          <w:szCs w:val="24"/>
          <w:highlight w:val="none"/>
        </w:rPr>
      </w:pPr>
    </w:p>
    <w:p w14:paraId="6865DF0C">
      <w:pPr>
        <w:autoSpaceDE w:val="0"/>
        <w:autoSpaceDN w:val="0"/>
        <w:adjustRightInd w:val="0"/>
        <w:jc w:val="left"/>
        <w:rPr>
          <w:rFonts w:ascii="宋体" w:hAnsi="宋体" w:eastAsia="宋体" w:cs="宋体"/>
          <w:color w:val="auto"/>
          <w:kern w:val="0"/>
          <w:sz w:val="24"/>
          <w:szCs w:val="24"/>
          <w:highlight w:val="none"/>
        </w:rPr>
      </w:pPr>
    </w:p>
    <w:p w14:paraId="23567536">
      <w:pPr>
        <w:autoSpaceDE w:val="0"/>
        <w:autoSpaceDN w:val="0"/>
        <w:adjustRightInd w:val="0"/>
        <w:jc w:val="left"/>
        <w:rPr>
          <w:rFonts w:ascii="宋体" w:hAnsi="宋体" w:eastAsia="宋体" w:cs="宋体"/>
          <w:color w:val="auto"/>
          <w:kern w:val="0"/>
          <w:sz w:val="24"/>
          <w:szCs w:val="24"/>
          <w:highlight w:val="none"/>
        </w:rPr>
      </w:pPr>
    </w:p>
    <w:p w14:paraId="28C4A93B">
      <w:pPr>
        <w:autoSpaceDE w:val="0"/>
        <w:autoSpaceDN w:val="0"/>
        <w:adjustRightInd w:val="0"/>
        <w:jc w:val="left"/>
        <w:rPr>
          <w:rFonts w:ascii="宋体" w:hAnsi="宋体" w:eastAsia="宋体" w:cs="宋体"/>
          <w:color w:val="auto"/>
          <w:kern w:val="0"/>
          <w:sz w:val="24"/>
          <w:szCs w:val="24"/>
          <w:highlight w:val="none"/>
        </w:rPr>
      </w:pPr>
    </w:p>
    <w:p w14:paraId="477D53FE">
      <w:pPr>
        <w:autoSpaceDE w:val="0"/>
        <w:autoSpaceDN w:val="0"/>
        <w:adjustRightInd w:val="0"/>
        <w:jc w:val="left"/>
        <w:rPr>
          <w:rFonts w:ascii="宋体" w:hAnsi="宋体" w:eastAsia="宋体" w:cs="宋体"/>
          <w:color w:val="auto"/>
          <w:kern w:val="0"/>
          <w:sz w:val="24"/>
          <w:szCs w:val="24"/>
          <w:highlight w:val="none"/>
        </w:rPr>
      </w:pPr>
    </w:p>
    <w:p w14:paraId="40129270">
      <w:pPr>
        <w:autoSpaceDE w:val="0"/>
        <w:autoSpaceDN w:val="0"/>
        <w:adjustRightInd w:val="0"/>
        <w:jc w:val="left"/>
        <w:rPr>
          <w:rFonts w:ascii="宋体" w:hAnsi="宋体" w:eastAsia="宋体" w:cs="宋体"/>
          <w:b/>
          <w:color w:val="auto"/>
          <w:kern w:val="0"/>
          <w:szCs w:val="21"/>
          <w:highlight w:val="none"/>
        </w:rPr>
      </w:pPr>
    </w:p>
    <w:p w14:paraId="6003FB2F">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E732C41">
      <w:pPr>
        <w:autoSpaceDE w:val="0"/>
        <w:autoSpaceDN w:val="0"/>
        <w:adjustRightInd w:val="0"/>
        <w:jc w:val="left"/>
        <w:rPr>
          <w:rFonts w:ascii="宋体" w:hAnsi="宋体" w:eastAsia="宋体" w:cs="宋体"/>
          <w:color w:val="auto"/>
          <w:kern w:val="0"/>
          <w:szCs w:val="21"/>
          <w:highlight w:val="none"/>
        </w:rPr>
      </w:pPr>
    </w:p>
    <w:p w14:paraId="639359FF">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b/>
          <w:color w:val="auto"/>
          <w:szCs w:val="24"/>
          <w:highlight w:val="none"/>
        </w:rPr>
        <w:t>（2）法定代表人授权书格式</w:t>
      </w:r>
    </w:p>
    <w:p w14:paraId="62F08BE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48AA207">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法定代表人授权书</w:t>
      </w:r>
    </w:p>
    <w:p w14:paraId="68353670">
      <w:pPr>
        <w:autoSpaceDE w:val="0"/>
        <w:autoSpaceDN w:val="0"/>
        <w:adjustRightInd w:val="0"/>
        <w:spacing w:line="360" w:lineRule="auto"/>
        <w:jc w:val="center"/>
        <w:rPr>
          <w:rFonts w:ascii="宋体" w:hAnsi="宋体" w:eastAsia="宋体" w:cs="宋体"/>
          <w:color w:val="auto"/>
          <w:szCs w:val="28"/>
          <w:highlight w:val="none"/>
          <w:lang w:val="zh-CN"/>
        </w:rPr>
      </w:pPr>
    </w:p>
    <w:p w14:paraId="2245DFB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致：东莞市众源环境投资有限公司</w:t>
      </w:r>
    </w:p>
    <w:p w14:paraId="29266444">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东莞市众源环境投资有限公司2025年-2027年污泥运输服务供应商采购项目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0832-SFCX24DG113C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76D5C33">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6B5F753">
      <w:pPr>
        <w:spacing w:before="120" w:after="120" w:line="360" w:lineRule="auto"/>
        <w:ind w:left="348" w:leftChars="136" w:hanging="62"/>
        <w:rPr>
          <w:rFonts w:ascii="宋体" w:hAnsi="宋体" w:eastAsia="宋体" w:cs="宋体"/>
          <w:color w:val="auto"/>
          <w:szCs w:val="24"/>
          <w:highlight w:val="none"/>
        </w:rPr>
      </w:pPr>
    </w:p>
    <w:p w14:paraId="55D59C9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6041E5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2FAD26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041342B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6DBC10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70BA17A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D8D96E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6D59E0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C4910C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780F186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8"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BA666B"/>
                          <w:p w14:paraId="0CBDB956"/>
                          <w:p w14:paraId="56BE406F"/>
                          <w:p w14:paraId="2EA46D6D"/>
                          <w:p w14:paraId="442ED98B">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6432;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ITpPtgAAAAKAQAADwAAAAAAAAABACAAAAAiAAAAZHJz&#10;L2Rvd25yZXYueG1sUEsBAhQAFAAAAAgAh07iQPvW7pMEAgAALgQAAA4AAAAAAAAAAQAgAAAAJwEA&#10;AGRycy9lMm9Eb2MueG1sUEsFBgAAAAAGAAYAWQEAAJ0FAAAAAA==&#10;">
                <v:fill on="t" focussize="0,0"/>
                <v:stroke color="#000000" joinstyle="miter"/>
                <v:imagedata o:title=""/>
                <o:lock v:ext="edit" aspectratio="f"/>
                <v:textbox>
                  <w:txbxContent>
                    <w:p w14:paraId="09BA666B"/>
                    <w:p w14:paraId="0CBDB956"/>
                    <w:p w14:paraId="56BE406F"/>
                    <w:p w14:paraId="2EA46D6D"/>
                    <w:p w14:paraId="442ED98B">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9"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3CFCDA"/>
                          <w:p w14:paraId="42C05430"/>
                          <w:p w14:paraId="6CA4CCB2"/>
                          <w:p w14:paraId="1431EF44"/>
                          <w:p w14:paraId="67E6A955">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4384;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DjqjNcAAAAJAQAADwAAAAAAAAABACAAAAAiAAAAZHJz&#10;L2Rvd25yZXYueG1sUEsBAhQAFAAAAAgAh07iQE2k8SkFAgAALgQAAA4AAAAAAAAAAQAgAAAAJgEA&#10;AGRycy9lMm9Eb2MueG1sUEsFBgAAAAAGAAYAWQEAAJ0FAAAAAA==&#10;">
                <v:fill on="t" focussize="0,0"/>
                <v:stroke color="#000000" joinstyle="miter"/>
                <v:imagedata o:title=""/>
                <o:lock v:ext="edit" aspectratio="f"/>
                <v:textbox>
                  <w:txbxContent>
                    <w:p w14:paraId="393CFCDA"/>
                    <w:p w14:paraId="42C05430"/>
                    <w:p w14:paraId="6CA4CCB2"/>
                    <w:p w14:paraId="1431EF44"/>
                    <w:p w14:paraId="67E6A955">
                      <w:pPr>
                        <w:jc w:val="center"/>
                        <w:rPr>
                          <w:rFonts w:hAnsi="宋体"/>
                        </w:rPr>
                      </w:pPr>
                      <w:r>
                        <w:rPr>
                          <w:rFonts w:hint="eastAsia" w:hAnsi="宋体"/>
                        </w:rPr>
                        <w:t>法定代表人身份证正面</w:t>
                      </w:r>
                    </w:p>
                  </w:txbxContent>
                </v:textbox>
              </v:rect>
            </w:pict>
          </mc:Fallback>
        </mc:AlternateContent>
      </w:r>
    </w:p>
    <w:p w14:paraId="094278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35EBB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F412E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55711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BDD444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1B4AD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0F36E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23B3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2AD3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20"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FC4CA8"/>
                          <w:p w14:paraId="54FAED10">
                            <w:pPr>
                              <w:jc w:val="center"/>
                              <w:rPr>
                                <w:rFonts w:hAnsi="宋体"/>
                                <w:color w:val="FF0000"/>
                              </w:rPr>
                            </w:pPr>
                          </w:p>
                          <w:p w14:paraId="2D9984A6">
                            <w:pPr>
                              <w:jc w:val="center"/>
                              <w:rPr>
                                <w:rFonts w:hAnsi="宋体"/>
                                <w:color w:val="FF0000"/>
                              </w:rPr>
                            </w:pPr>
                          </w:p>
                          <w:p w14:paraId="33406E97">
                            <w:pPr>
                              <w:jc w:val="center"/>
                              <w:rPr>
                                <w:rFonts w:hAnsi="宋体"/>
                                <w:color w:val="FF0000"/>
                              </w:rPr>
                            </w:pPr>
                          </w:p>
                          <w:p w14:paraId="68B0864B">
                            <w:pPr>
                              <w:jc w:val="center"/>
                            </w:pPr>
                            <w:r>
                              <w:rPr>
                                <w:rFonts w:hint="eastAsia" w:hAnsi="宋体"/>
                              </w:rPr>
                              <w:t>被授权人身份证反面</w:t>
                            </w:r>
                          </w:p>
                          <w:p w14:paraId="531FECF4"/>
                          <w:p w14:paraId="1239CF6B"/>
                        </w:txbxContent>
                      </wps:txbx>
                      <wps:bodyPr upright="1"/>
                    </wps:wsp>
                  </a:graphicData>
                </a:graphic>
              </wp:anchor>
            </w:drawing>
          </mc:Choice>
          <mc:Fallback>
            <w:pict>
              <v:rect id="文本框 2" o:spid="_x0000_s1026" o:spt="1" style="position:absolute;left:0pt;margin-left:265.1pt;margin-top:8.05pt;height:139.5pt;width:216pt;z-index:251667456;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q+CM1gkCAAAuBAAADgAAAAAAAAABACAA&#10;AAAnAQAAZHJzL2Uyb0RvYy54bWxQSwUGAAAAAAYABgBZAQAAogUAAAAA&#10;">
                <v:fill on="t" focussize="0,0"/>
                <v:stroke color="#000000" joinstyle="miter"/>
                <v:imagedata o:title=""/>
                <o:lock v:ext="edit" aspectratio="f"/>
                <v:textbox>
                  <w:txbxContent>
                    <w:p w14:paraId="41FC4CA8"/>
                    <w:p w14:paraId="54FAED10">
                      <w:pPr>
                        <w:jc w:val="center"/>
                        <w:rPr>
                          <w:rFonts w:hAnsi="宋体"/>
                          <w:color w:val="FF0000"/>
                        </w:rPr>
                      </w:pPr>
                    </w:p>
                    <w:p w14:paraId="2D9984A6">
                      <w:pPr>
                        <w:jc w:val="center"/>
                        <w:rPr>
                          <w:rFonts w:hAnsi="宋体"/>
                          <w:color w:val="FF0000"/>
                        </w:rPr>
                      </w:pPr>
                    </w:p>
                    <w:p w14:paraId="33406E97">
                      <w:pPr>
                        <w:jc w:val="center"/>
                        <w:rPr>
                          <w:rFonts w:hAnsi="宋体"/>
                          <w:color w:val="FF0000"/>
                        </w:rPr>
                      </w:pPr>
                    </w:p>
                    <w:p w14:paraId="68B0864B">
                      <w:pPr>
                        <w:jc w:val="center"/>
                      </w:pPr>
                      <w:r>
                        <w:rPr>
                          <w:rFonts w:hint="eastAsia" w:hAnsi="宋体"/>
                        </w:rPr>
                        <w:t>被授权人身份证反面</w:t>
                      </w:r>
                    </w:p>
                    <w:p w14:paraId="531FECF4"/>
                    <w:p w14:paraId="1239CF6B"/>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21"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2153F3"/>
                          <w:p w14:paraId="60DF73FB">
                            <w:pPr>
                              <w:jc w:val="center"/>
                              <w:rPr>
                                <w:rFonts w:hAnsi="宋体"/>
                                <w:color w:val="FF0000"/>
                              </w:rPr>
                            </w:pPr>
                          </w:p>
                          <w:p w14:paraId="158EA87A">
                            <w:pPr>
                              <w:jc w:val="center"/>
                              <w:rPr>
                                <w:rFonts w:hAnsi="宋体"/>
                                <w:color w:val="FF0000"/>
                              </w:rPr>
                            </w:pPr>
                          </w:p>
                          <w:p w14:paraId="7B3F3203">
                            <w:pPr>
                              <w:jc w:val="center"/>
                              <w:rPr>
                                <w:rFonts w:hAnsi="宋体"/>
                                <w:color w:val="FF0000"/>
                              </w:rPr>
                            </w:pPr>
                          </w:p>
                          <w:p w14:paraId="37E19C86">
                            <w:pPr>
                              <w:jc w:val="center"/>
                            </w:pPr>
                            <w:r>
                              <w:rPr>
                                <w:rFonts w:hint="eastAsia" w:hAnsi="宋体"/>
                              </w:rPr>
                              <w:t>被授权人身份证正面</w:t>
                            </w:r>
                          </w:p>
                          <w:p w14:paraId="3E663890"/>
                          <w:p w14:paraId="2A4472A1"/>
                        </w:txbxContent>
                      </wps:txbx>
                      <wps:bodyPr upright="1"/>
                    </wps:wsp>
                  </a:graphicData>
                </a:graphic>
              </wp:anchor>
            </w:drawing>
          </mc:Choice>
          <mc:Fallback>
            <w:pict>
              <v:rect id="文本框 1" o:spid="_x0000_s1026" o:spt="1" style="position:absolute;left:0pt;margin-left:24.35pt;margin-top:8.05pt;height:139.5pt;width:216pt;z-index:251665408;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Jn6BLoIAgAALgQAAA4AAAAAAAAAAQAgAAAA&#10;JgEAAGRycy9lMm9Eb2MueG1sUEsFBgAAAAAGAAYAWQEAAKAFAAAAAA==&#10;">
                <v:fill on="t" focussize="0,0"/>
                <v:stroke color="#000000" joinstyle="miter"/>
                <v:imagedata o:title=""/>
                <o:lock v:ext="edit" aspectratio="f"/>
                <v:textbox>
                  <w:txbxContent>
                    <w:p w14:paraId="0D2153F3"/>
                    <w:p w14:paraId="60DF73FB">
                      <w:pPr>
                        <w:jc w:val="center"/>
                        <w:rPr>
                          <w:rFonts w:hAnsi="宋体"/>
                          <w:color w:val="FF0000"/>
                        </w:rPr>
                      </w:pPr>
                    </w:p>
                    <w:p w14:paraId="158EA87A">
                      <w:pPr>
                        <w:jc w:val="center"/>
                        <w:rPr>
                          <w:rFonts w:hAnsi="宋体"/>
                          <w:color w:val="FF0000"/>
                        </w:rPr>
                      </w:pPr>
                    </w:p>
                    <w:p w14:paraId="7B3F3203">
                      <w:pPr>
                        <w:jc w:val="center"/>
                        <w:rPr>
                          <w:rFonts w:hAnsi="宋体"/>
                          <w:color w:val="FF0000"/>
                        </w:rPr>
                      </w:pPr>
                    </w:p>
                    <w:p w14:paraId="37E19C86">
                      <w:pPr>
                        <w:jc w:val="center"/>
                      </w:pPr>
                      <w:r>
                        <w:rPr>
                          <w:rFonts w:hint="eastAsia" w:hAnsi="宋体"/>
                        </w:rPr>
                        <w:t>被授权人身份证正面</w:t>
                      </w:r>
                    </w:p>
                    <w:p w14:paraId="3E663890"/>
                    <w:p w14:paraId="2A4472A1"/>
                  </w:txbxContent>
                </v:textbox>
              </v:rect>
            </w:pict>
          </mc:Fallback>
        </mc:AlternateContent>
      </w:r>
    </w:p>
    <w:p w14:paraId="4FB8409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CF3F2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F01E3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DF76D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39557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AD6CA8">
      <w:pPr>
        <w:pStyle w:val="6"/>
        <w:pageBreakBefore/>
        <w:spacing w:line="360" w:lineRule="auto"/>
        <w:rPr>
          <w:rFonts w:hint="eastAsia" w:hAnsi="宋体" w:cs="宋体"/>
          <w:b/>
          <w:color w:val="auto"/>
          <w:kern w:val="0"/>
          <w:sz w:val="30"/>
          <w:szCs w:val="30"/>
          <w:highlight w:val="none"/>
          <w:lang w:val="en-US" w:eastAsia="zh-CN"/>
        </w:rPr>
      </w:pPr>
      <w:r>
        <w:rPr>
          <w:rFonts w:hint="eastAsia" w:ascii="宋体" w:hAnsi="宋体" w:eastAsia="宋体" w:cs="宋体"/>
          <w:b/>
          <w:color w:val="auto"/>
          <w:szCs w:val="24"/>
          <w:highlight w:val="none"/>
        </w:rPr>
        <w:t>注：上述所附身份证应在有效期限内。</w:t>
      </w:r>
      <w:r>
        <w:rPr>
          <w:rFonts w:hint="eastAsia" w:hAnsi="宋体" w:cs="宋体"/>
          <w:b/>
          <w:color w:val="auto"/>
          <w:kern w:val="0"/>
          <w:sz w:val="30"/>
          <w:szCs w:val="30"/>
          <w:highlight w:val="none"/>
          <w:lang w:val="en-US" w:eastAsia="zh-CN"/>
        </w:rPr>
        <w:t>5.4 道路运输管理机构颁发的有效期内的《道路运输经营许可证》复印件，经营范围含普通货运。</w:t>
      </w:r>
    </w:p>
    <w:p w14:paraId="37D935F3">
      <w:pPr>
        <w:pStyle w:val="6"/>
        <w:pageBreakBefore/>
        <w:spacing w:line="360" w:lineRule="auto"/>
        <w:rPr>
          <w:rFonts w:hint="eastAsia" w:hAnsi="宋体" w:cs="宋体"/>
          <w:b/>
          <w:color w:val="auto"/>
          <w:kern w:val="0"/>
          <w:sz w:val="30"/>
          <w:szCs w:val="30"/>
          <w:highlight w:val="none"/>
          <w:lang w:val="zh-CN" w:eastAsia="zh-CN"/>
        </w:rPr>
      </w:pPr>
      <w:r>
        <w:rPr>
          <w:rFonts w:hint="eastAsia" w:hAnsi="宋体" w:cs="宋体"/>
          <w:b/>
          <w:color w:val="auto"/>
          <w:kern w:val="0"/>
          <w:sz w:val="30"/>
          <w:szCs w:val="30"/>
          <w:highlight w:val="none"/>
          <w:lang w:val="en-US" w:eastAsia="zh-CN"/>
        </w:rPr>
        <w:t>5.5 资格业绩【投标人2021年1月1日以来具有一份运输服务项目业绩（合同签订日期为2021年1月1日或以后）】</w:t>
      </w:r>
    </w:p>
    <w:p w14:paraId="732C7712">
      <w:pPr>
        <w:spacing w:line="360" w:lineRule="auto"/>
        <w:rPr>
          <w:rFonts w:hint="eastAsia" w:ascii="宋体" w:hAnsi="宋体" w:eastAsia="宋体" w:cs="宋体"/>
          <w:b/>
          <w:color w:val="auto"/>
          <w:szCs w:val="21"/>
          <w:highlight w:val="none"/>
          <w:lang w:val="zh-CN"/>
        </w:rPr>
      </w:pPr>
    </w:p>
    <w:tbl>
      <w:tblPr>
        <w:tblStyle w:val="36"/>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5607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90" w:type="dxa"/>
            <w:vAlign w:val="center"/>
          </w:tcPr>
          <w:p w14:paraId="5EF23A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3" w:type="dxa"/>
            <w:vAlign w:val="center"/>
          </w:tcPr>
          <w:p w14:paraId="102A89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53" w:type="dxa"/>
            <w:vAlign w:val="center"/>
          </w:tcPr>
          <w:p w14:paraId="3B33C9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855" w:type="dxa"/>
            <w:vAlign w:val="center"/>
          </w:tcPr>
          <w:p w14:paraId="37C9F3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855" w:type="dxa"/>
            <w:vAlign w:val="center"/>
          </w:tcPr>
          <w:p w14:paraId="3DF1DD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855" w:type="dxa"/>
            <w:vAlign w:val="center"/>
          </w:tcPr>
          <w:p w14:paraId="45552A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5" w:type="dxa"/>
            <w:vAlign w:val="center"/>
          </w:tcPr>
          <w:p w14:paraId="37BB6B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855" w:type="dxa"/>
            <w:vAlign w:val="center"/>
          </w:tcPr>
          <w:p w14:paraId="1941EB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855" w:type="dxa"/>
            <w:vAlign w:val="center"/>
          </w:tcPr>
          <w:p w14:paraId="706147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855" w:type="dxa"/>
            <w:vAlign w:val="center"/>
          </w:tcPr>
          <w:p w14:paraId="368DAD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03" w:type="dxa"/>
            <w:vAlign w:val="center"/>
          </w:tcPr>
          <w:p w14:paraId="314CDB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6BE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290" w:hRule="exact"/>
          <w:jc w:val="center"/>
        </w:trPr>
        <w:tc>
          <w:tcPr>
            <w:tcW w:w="590" w:type="dxa"/>
            <w:vAlign w:val="center"/>
          </w:tcPr>
          <w:p w14:paraId="024CD4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53" w:type="dxa"/>
            <w:vAlign w:val="center"/>
          </w:tcPr>
          <w:p w14:paraId="2F044E5C">
            <w:pPr>
              <w:jc w:val="center"/>
              <w:rPr>
                <w:rFonts w:hint="eastAsia" w:ascii="宋体" w:hAnsi="宋体" w:eastAsia="宋体" w:cs="宋体"/>
                <w:color w:val="auto"/>
                <w:sz w:val="21"/>
                <w:szCs w:val="21"/>
                <w:highlight w:val="none"/>
              </w:rPr>
            </w:pPr>
          </w:p>
        </w:tc>
        <w:tc>
          <w:tcPr>
            <w:tcW w:w="853" w:type="dxa"/>
            <w:vAlign w:val="center"/>
          </w:tcPr>
          <w:p w14:paraId="0DB19011">
            <w:pPr>
              <w:jc w:val="center"/>
              <w:rPr>
                <w:rFonts w:hint="eastAsia" w:ascii="宋体" w:hAnsi="宋体" w:eastAsia="宋体" w:cs="宋体"/>
                <w:color w:val="auto"/>
                <w:sz w:val="21"/>
                <w:szCs w:val="21"/>
                <w:highlight w:val="none"/>
              </w:rPr>
            </w:pPr>
          </w:p>
        </w:tc>
        <w:tc>
          <w:tcPr>
            <w:tcW w:w="855" w:type="dxa"/>
            <w:vAlign w:val="center"/>
          </w:tcPr>
          <w:p w14:paraId="789F5515">
            <w:pPr>
              <w:jc w:val="center"/>
              <w:rPr>
                <w:rFonts w:hint="eastAsia" w:ascii="宋体" w:hAnsi="宋体" w:eastAsia="宋体" w:cs="宋体"/>
                <w:color w:val="auto"/>
                <w:sz w:val="21"/>
                <w:szCs w:val="21"/>
                <w:highlight w:val="none"/>
              </w:rPr>
            </w:pPr>
          </w:p>
        </w:tc>
        <w:tc>
          <w:tcPr>
            <w:tcW w:w="855" w:type="dxa"/>
            <w:vAlign w:val="center"/>
          </w:tcPr>
          <w:p w14:paraId="120347B5">
            <w:pPr>
              <w:jc w:val="center"/>
              <w:rPr>
                <w:rFonts w:hint="eastAsia" w:ascii="宋体" w:hAnsi="宋体" w:eastAsia="宋体" w:cs="宋体"/>
                <w:color w:val="auto"/>
                <w:sz w:val="21"/>
                <w:szCs w:val="21"/>
                <w:highlight w:val="none"/>
              </w:rPr>
            </w:pPr>
          </w:p>
        </w:tc>
        <w:tc>
          <w:tcPr>
            <w:tcW w:w="855" w:type="dxa"/>
            <w:vAlign w:val="center"/>
          </w:tcPr>
          <w:p w14:paraId="4F1D101A">
            <w:pPr>
              <w:jc w:val="center"/>
              <w:rPr>
                <w:rFonts w:hint="eastAsia" w:ascii="宋体" w:hAnsi="宋体" w:eastAsia="宋体" w:cs="宋体"/>
                <w:color w:val="auto"/>
                <w:sz w:val="21"/>
                <w:szCs w:val="21"/>
                <w:highlight w:val="none"/>
              </w:rPr>
            </w:pPr>
          </w:p>
        </w:tc>
        <w:tc>
          <w:tcPr>
            <w:tcW w:w="995" w:type="dxa"/>
            <w:vAlign w:val="center"/>
          </w:tcPr>
          <w:p w14:paraId="68900722">
            <w:pPr>
              <w:jc w:val="center"/>
              <w:rPr>
                <w:rFonts w:hint="eastAsia" w:ascii="宋体" w:hAnsi="宋体" w:eastAsia="宋体" w:cs="宋体"/>
                <w:color w:val="auto"/>
                <w:sz w:val="21"/>
                <w:szCs w:val="21"/>
                <w:highlight w:val="none"/>
              </w:rPr>
            </w:pPr>
          </w:p>
        </w:tc>
        <w:tc>
          <w:tcPr>
            <w:tcW w:w="855" w:type="dxa"/>
            <w:vAlign w:val="top"/>
          </w:tcPr>
          <w:p w14:paraId="15ADC458">
            <w:pPr>
              <w:jc w:val="center"/>
              <w:rPr>
                <w:rFonts w:hint="eastAsia" w:ascii="宋体" w:hAnsi="宋体" w:eastAsia="宋体" w:cs="宋体"/>
                <w:color w:val="auto"/>
                <w:sz w:val="21"/>
                <w:szCs w:val="21"/>
                <w:highlight w:val="none"/>
              </w:rPr>
            </w:pPr>
          </w:p>
        </w:tc>
        <w:tc>
          <w:tcPr>
            <w:tcW w:w="855" w:type="dxa"/>
            <w:vAlign w:val="center"/>
          </w:tcPr>
          <w:p w14:paraId="304CEBF2">
            <w:pPr>
              <w:jc w:val="center"/>
              <w:rPr>
                <w:rFonts w:hint="eastAsia" w:ascii="宋体" w:hAnsi="宋体" w:eastAsia="宋体" w:cs="宋体"/>
                <w:color w:val="auto"/>
                <w:sz w:val="21"/>
                <w:szCs w:val="21"/>
                <w:highlight w:val="none"/>
              </w:rPr>
            </w:pPr>
          </w:p>
        </w:tc>
        <w:tc>
          <w:tcPr>
            <w:tcW w:w="855" w:type="dxa"/>
            <w:vAlign w:val="center"/>
          </w:tcPr>
          <w:p w14:paraId="296572BC">
            <w:pPr>
              <w:jc w:val="center"/>
              <w:rPr>
                <w:rFonts w:hint="eastAsia" w:ascii="宋体" w:hAnsi="宋体" w:eastAsia="宋体" w:cs="宋体"/>
                <w:color w:val="auto"/>
                <w:sz w:val="21"/>
                <w:szCs w:val="21"/>
                <w:highlight w:val="none"/>
              </w:rPr>
            </w:pPr>
          </w:p>
        </w:tc>
        <w:tc>
          <w:tcPr>
            <w:tcW w:w="703" w:type="dxa"/>
            <w:vAlign w:val="center"/>
          </w:tcPr>
          <w:p w14:paraId="443F4FB3">
            <w:pPr>
              <w:jc w:val="center"/>
              <w:rPr>
                <w:rFonts w:hint="eastAsia" w:ascii="宋体" w:hAnsi="宋体" w:eastAsia="宋体" w:cs="宋体"/>
                <w:color w:val="auto"/>
                <w:sz w:val="21"/>
                <w:szCs w:val="21"/>
                <w:highlight w:val="none"/>
              </w:rPr>
            </w:pPr>
          </w:p>
        </w:tc>
      </w:tr>
    </w:tbl>
    <w:p w14:paraId="62E26E34">
      <w:pPr>
        <w:spacing w:line="360" w:lineRule="auto"/>
        <w:ind w:left="424" w:hanging="424" w:hangingChars="201"/>
        <w:rPr>
          <w:rFonts w:hint="eastAsia" w:ascii="宋体" w:hAnsi="宋体" w:eastAsia="宋体" w:cs="宋体"/>
          <w:b/>
          <w:color w:val="auto"/>
          <w:szCs w:val="21"/>
          <w:highlight w:val="none"/>
          <w:lang w:val="zh-CN"/>
        </w:rPr>
      </w:pPr>
    </w:p>
    <w:p w14:paraId="0F359B24">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1AF4E6E">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u w:val="single"/>
        </w:rPr>
        <w:t>业绩必须附合同复印件。</w:t>
      </w:r>
      <w:r>
        <w:rPr>
          <w:rFonts w:hint="eastAsia" w:ascii="宋体" w:hAnsi="宋体" w:eastAsia="宋体" w:cs="宋体"/>
          <w:b/>
          <w:bCs w:val="0"/>
          <w:color w:val="auto"/>
          <w:szCs w:val="21"/>
          <w:highlight w:val="none"/>
          <w:u w:val="single"/>
          <w:lang w:val="zh-CN"/>
        </w:rPr>
        <w:t>若合同无法反映合同签订时间、合同</w:t>
      </w:r>
      <w:r>
        <w:rPr>
          <w:rFonts w:hint="eastAsia" w:ascii="宋体" w:hAnsi="宋体" w:eastAsia="宋体" w:cs="宋体"/>
          <w:b/>
          <w:bCs w:val="0"/>
          <w:color w:val="auto"/>
          <w:szCs w:val="21"/>
          <w:highlight w:val="none"/>
          <w:u w:val="single"/>
        </w:rPr>
        <w:t>服务内容的</w:t>
      </w:r>
      <w:r>
        <w:rPr>
          <w:rFonts w:hint="eastAsia" w:ascii="宋体" w:hAnsi="宋体" w:eastAsia="宋体" w:cs="宋体"/>
          <w:b/>
          <w:bCs w:val="0"/>
          <w:color w:val="auto"/>
          <w:szCs w:val="21"/>
          <w:highlight w:val="none"/>
          <w:u w:val="single"/>
          <w:lang w:val="zh-CN"/>
        </w:rPr>
        <w:t>，还需</w:t>
      </w:r>
      <w:r>
        <w:rPr>
          <w:rFonts w:hint="eastAsia" w:ascii="宋体" w:hAnsi="宋体" w:eastAsia="宋体" w:cs="宋体"/>
          <w:b/>
          <w:bCs w:val="0"/>
          <w:color w:val="auto"/>
          <w:szCs w:val="21"/>
          <w:highlight w:val="none"/>
          <w:u w:val="single"/>
        </w:rPr>
        <w:t>提供服务购买方出具的书面补充情况说明文件复印件</w:t>
      </w:r>
      <w:r>
        <w:rPr>
          <w:rFonts w:hint="eastAsia" w:ascii="宋体" w:hAnsi="宋体" w:eastAsia="宋体" w:cs="宋体"/>
          <w:b/>
          <w:bCs w:val="0"/>
          <w:color w:val="auto"/>
          <w:szCs w:val="21"/>
          <w:highlight w:val="none"/>
          <w:u w:val="single"/>
          <w:lang w:val="zh-CN"/>
        </w:rPr>
        <w:t>作为辅助证明</w:t>
      </w:r>
      <w:r>
        <w:rPr>
          <w:rFonts w:hint="eastAsia" w:ascii="宋体" w:hAnsi="宋体" w:eastAsia="宋体" w:cs="宋体"/>
          <w:b/>
          <w:bCs w:val="0"/>
          <w:color w:val="auto"/>
          <w:szCs w:val="21"/>
          <w:highlight w:val="none"/>
          <w:lang w:val="zh-CN"/>
        </w:rPr>
        <w:t>。</w:t>
      </w:r>
    </w:p>
    <w:p w14:paraId="5CDEE11E">
      <w:pPr>
        <w:snapToGrid w:val="0"/>
        <w:spacing w:line="360" w:lineRule="auto"/>
        <w:ind w:left="399" w:leftChars="-58" w:hanging="521" w:hangingChars="247"/>
        <w:outlineLvl w:val="9"/>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u w:val="single"/>
        </w:rPr>
        <w:t>合同业绩证明材料必须满足下列条件：①合同签订日期为202</w:t>
      </w:r>
      <w:r>
        <w:rPr>
          <w:rFonts w:hint="eastAsia" w:ascii="宋体" w:hAnsi="宋体" w:eastAsia="宋体" w:cs="宋体"/>
          <w:b/>
          <w:bCs w:val="0"/>
          <w:color w:val="auto"/>
          <w:szCs w:val="21"/>
          <w:highlight w:val="none"/>
          <w:u w:val="single"/>
          <w:lang w:val="en-US" w:eastAsia="zh-CN"/>
        </w:rPr>
        <w:t>1</w:t>
      </w:r>
      <w:r>
        <w:rPr>
          <w:rFonts w:hint="eastAsia" w:ascii="宋体" w:hAnsi="宋体" w:eastAsia="宋体" w:cs="宋体"/>
          <w:b/>
          <w:bCs w:val="0"/>
          <w:color w:val="auto"/>
          <w:szCs w:val="21"/>
          <w:highlight w:val="none"/>
          <w:u w:val="single"/>
        </w:rPr>
        <w:t>年1月1日或以后；②合同服务内容为运输服务</w:t>
      </w:r>
      <w:r>
        <w:rPr>
          <w:rFonts w:hint="eastAsia" w:ascii="宋体" w:hAnsi="宋体" w:eastAsia="宋体" w:cs="宋体"/>
          <w:b/>
          <w:bCs w:val="0"/>
          <w:color w:val="auto"/>
          <w:szCs w:val="21"/>
          <w:highlight w:val="none"/>
        </w:rPr>
        <w:t>。</w:t>
      </w:r>
    </w:p>
    <w:p w14:paraId="445F264A">
      <w:pPr>
        <w:snapToGrid w:val="0"/>
        <w:spacing w:line="360" w:lineRule="auto"/>
        <w:ind w:left="399" w:leftChars="-58" w:hanging="521" w:hangingChars="247"/>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）未按上述要求在此格式下提供证明材料的业绩，或在此格式下所附材料无法证明符合资格要求的业绩，按无效投标文件处理。</w:t>
      </w:r>
    </w:p>
    <w:p w14:paraId="4DE67CD9">
      <w:pPr>
        <w:rPr>
          <w:rFonts w:ascii="宋体" w:hAnsi="宋体" w:eastAsia="宋体" w:cs="宋体"/>
          <w:b/>
          <w:color w:val="auto"/>
          <w:kern w:val="0"/>
          <w:sz w:val="30"/>
          <w:szCs w:val="30"/>
          <w:highlight w:val="none"/>
        </w:rPr>
      </w:pPr>
    </w:p>
    <w:p w14:paraId="2574ACE7">
      <w:pPr>
        <w:pStyle w:val="2"/>
        <w:rPr>
          <w:color w:val="auto"/>
          <w:highlight w:val="none"/>
        </w:rPr>
      </w:pPr>
    </w:p>
    <w:p w14:paraId="230FC064">
      <w:pPr>
        <w:rPr>
          <w:rFonts w:hint="eastAsia"/>
          <w:color w:val="auto"/>
          <w:highlight w:val="none"/>
          <w:lang w:val="en-US" w:eastAsia="zh-CN"/>
        </w:rPr>
      </w:pPr>
      <w:r>
        <w:rPr>
          <w:rFonts w:hint="eastAsia"/>
          <w:color w:val="auto"/>
          <w:highlight w:val="none"/>
          <w:lang w:val="en-US" w:eastAsia="zh-CN"/>
        </w:rPr>
        <w:br w:type="page"/>
      </w:r>
    </w:p>
    <w:p w14:paraId="28F00F6A">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p>
    <w:p w14:paraId="73362480">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FF3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5812C4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E8819F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top"/>
          </w:tcPr>
          <w:p w14:paraId="7AA6A4F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5472EB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375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B177EC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7608D9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5735CD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AA764FE">
            <w:pPr>
              <w:autoSpaceDE w:val="0"/>
              <w:autoSpaceDN w:val="0"/>
              <w:adjustRightInd w:val="0"/>
              <w:spacing w:line="360" w:lineRule="auto"/>
              <w:jc w:val="center"/>
              <w:rPr>
                <w:rFonts w:ascii="宋体" w:hAnsi="宋体" w:eastAsia="宋体" w:cs="宋体"/>
                <w:color w:val="auto"/>
                <w:kern w:val="0"/>
                <w:szCs w:val="21"/>
                <w:highlight w:val="none"/>
              </w:rPr>
            </w:pPr>
          </w:p>
        </w:tc>
      </w:tr>
      <w:tr w14:paraId="5BEB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65FB85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FE22BF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B60146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39007E1">
            <w:pPr>
              <w:autoSpaceDE w:val="0"/>
              <w:autoSpaceDN w:val="0"/>
              <w:adjustRightInd w:val="0"/>
              <w:spacing w:line="360" w:lineRule="auto"/>
              <w:jc w:val="center"/>
              <w:rPr>
                <w:rFonts w:ascii="宋体" w:hAnsi="宋体" w:eastAsia="宋体" w:cs="宋体"/>
                <w:color w:val="auto"/>
                <w:kern w:val="0"/>
                <w:szCs w:val="21"/>
                <w:highlight w:val="none"/>
              </w:rPr>
            </w:pPr>
          </w:p>
        </w:tc>
      </w:tr>
      <w:tr w14:paraId="5B32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EBC6DB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3C41F8E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410525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65CB991">
            <w:pPr>
              <w:autoSpaceDE w:val="0"/>
              <w:autoSpaceDN w:val="0"/>
              <w:adjustRightInd w:val="0"/>
              <w:spacing w:line="360" w:lineRule="auto"/>
              <w:jc w:val="center"/>
              <w:rPr>
                <w:rFonts w:ascii="宋体" w:hAnsi="宋体" w:eastAsia="宋体" w:cs="宋体"/>
                <w:color w:val="auto"/>
                <w:kern w:val="0"/>
                <w:szCs w:val="21"/>
                <w:highlight w:val="none"/>
              </w:rPr>
            </w:pPr>
          </w:p>
        </w:tc>
      </w:tr>
    </w:tbl>
    <w:p w14:paraId="7B8EC1AB">
      <w:pPr>
        <w:autoSpaceDE w:val="0"/>
        <w:autoSpaceDN w:val="0"/>
        <w:adjustRightInd w:val="0"/>
        <w:spacing w:line="360" w:lineRule="auto"/>
        <w:jc w:val="left"/>
        <w:rPr>
          <w:rFonts w:ascii="宋体" w:hAnsi="宋体" w:eastAsia="宋体" w:cs="宋体"/>
          <w:color w:val="auto"/>
          <w:kern w:val="0"/>
          <w:szCs w:val="21"/>
          <w:highlight w:val="none"/>
        </w:rPr>
      </w:pPr>
    </w:p>
    <w:p w14:paraId="01B93060">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79DAF0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FE9B814">
      <w:pPr>
        <w:autoSpaceDE w:val="0"/>
        <w:autoSpaceDN w:val="0"/>
        <w:adjustRightInd w:val="0"/>
        <w:spacing w:line="360" w:lineRule="auto"/>
        <w:jc w:val="center"/>
        <w:rPr>
          <w:rFonts w:ascii="宋体" w:hAnsi="宋体" w:eastAsia="宋体" w:cs="宋体"/>
          <w:color w:val="auto"/>
          <w:kern w:val="0"/>
          <w:sz w:val="24"/>
          <w:szCs w:val="24"/>
          <w:highlight w:val="none"/>
        </w:rPr>
      </w:pPr>
    </w:p>
    <w:p w14:paraId="462650ED">
      <w:pPr>
        <w:spacing w:line="360" w:lineRule="auto"/>
        <w:ind w:firstLine="494" w:firstLineChars="206"/>
        <w:rPr>
          <w:rFonts w:ascii="宋体" w:hAnsi="宋体" w:eastAsia="宋体" w:cs="宋体"/>
          <w:color w:val="auto"/>
          <w:kern w:val="0"/>
          <w:sz w:val="24"/>
          <w:szCs w:val="24"/>
          <w:highlight w:val="none"/>
        </w:rPr>
      </w:pPr>
    </w:p>
    <w:p w14:paraId="7586AC71">
      <w:pPr>
        <w:spacing w:line="360" w:lineRule="auto"/>
        <w:ind w:firstLine="494" w:firstLineChars="206"/>
        <w:rPr>
          <w:rFonts w:ascii="宋体" w:hAnsi="宋体" w:eastAsia="宋体" w:cs="宋体"/>
          <w:color w:val="auto"/>
          <w:kern w:val="0"/>
          <w:sz w:val="24"/>
          <w:szCs w:val="24"/>
          <w:highlight w:val="none"/>
        </w:rPr>
      </w:pPr>
    </w:p>
    <w:p w14:paraId="2F289BAE">
      <w:pPr>
        <w:spacing w:line="360" w:lineRule="auto"/>
        <w:ind w:firstLine="494" w:firstLineChars="206"/>
        <w:rPr>
          <w:rFonts w:ascii="宋体" w:hAnsi="宋体" w:eastAsia="宋体" w:cs="宋体"/>
          <w:color w:val="auto"/>
          <w:kern w:val="0"/>
          <w:sz w:val="24"/>
          <w:szCs w:val="24"/>
          <w:highlight w:val="none"/>
        </w:rPr>
      </w:pPr>
    </w:p>
    <w:p w14:paraId="09C1D34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97C6389">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133B7CD8">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p>
    <w:p w14:paraId="5358492D">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p>
    <w:p w14:paraId="7B635409">
      <w:pPr>
        <w:widowControl w:val="0"/>
        <w:wordWrap/>
        <w:autoSpaceDE w:val="0"/>
        <w:autoSpaceDN w:val="0"/>
        <w:adjustRightInd w:val="0"/>
        <w:snapToGrid/>
        <w:spacing w:line="360" w:lineRule="auto"/>
        <w:jc w:val="center"/>
        <w:textAlignment w:val="auto"/>
        <w:outlineLvl w:val="9"/>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zh-CN"/>
        </w:rPr>
        <w:t>投标人基本情况一览表</w:t>
      </w:r>
    </w:p>
    <w:p w14:paraId="330A0563">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00C123B">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DBF58CF">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533B91F">
      <w:pPr>
        <w:widowControl w:val="0"/>
        <w:wordWrap/>
        <w:autoSpaceDE w:val="0"/>
        <w:autoSpaceDN w:val="0"/>
        <w:adjustRightInd w:val="0"/>
        <w:snapToGrid/>
        <w:spacing w:line="360" w:lineRule="auto"/>
        <w:ind w:firstLine="66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83483EA">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427D586">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236090B">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DDDFC4A">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1C69DC4">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78BC93B">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3B4381D">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00EB649">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68B3622">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4E8F1044">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E7179AB">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9D29035">
      <w:pPr>
        <w:widowControl w:val="0"/>
        <w:wordWrap/>
        <w:autoSpaceDE w:val="0"/>
        <w:autoSpaceDN w:val="0"/>
        <w:adjustRightInd w:val="0"/>
        <w:snapToGrid/>
        <w:spacing w:line="360" w:lineRule="auto"/>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4D33236">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B36E115">
      <w:pPr>
        <w:widowControl w:val="0"/>
        <w:wordWrap/>
        <w:autoSpaceDE w:val="0"/>
        <w:autoSpaceDN w:val="0"/>
        <w:adjustRightInd w:val="0"/>
        <w:snapToGrid/>
        <w:spacing w:line="360" w:lineRule="auto"/>
        <w:ind w:firstLine="630" w:firstLineChars="30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3E9545E">
      <w:pPr>
        <w:widowControl w:val="0"/>
        <w:wordWrap/>
        <w:autoSpaceDE w:val="0"/>
        <w:autoSpaceDN w:val="0"/>
        <w:adjustRightInd w:val="0"/>
        <w:snapToGrid/>
        <w:spacing w:line="360" w:lineRule="auto"/>
        <w:ind w:firstLine="1155" w:firstLineChars="55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024EC85">
      <w:pPr>
        <w:widowControl w:val="0"/>
        <w:wordWrap/>
        <w:autoSpaceDE w:val="0"/>
        <w:autoSpaceDN w:val="0"/>
        <w:adjustRightInd w:val="0"/>
        <w:snapToGrid/>
        <w:spacing w:line="360" w:lineRule="auto"/>
        <w:ind w:firstLine="630" w:firstLineChars="30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97E2C6D">
      <w:pPr>
        <w:widowControl w:val="0"/>
        <w:wordWrap/>
        <w:autoSpaceDE w:val="0"/>
        <w:autoSpaceDN w:val="0"/>
        <w:adjustRightInd w:val="0"/>
        <w:snapToGrid/>
        <w:spacing w:line="360" w:lineRule="auto"/>
        <w:ind w:firstLine="1155" w:firstLineChars="55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A542A55">
      <w:pPr>
        <w:widowControl w:val="0"/>
        <w:wordWrap/>
        <w:autoSpaceDE w:val="0"/>
        <w:autoSpaceDN w:val="0"/>
        <w:adjustRightInd w:val="0"/>
        <w:snapToGrid/>
        <w:spacing w:line="360" w:lineRule="auto"/>
        <w:ind w:left="836" w:leftChars="137" w:hanging="548" w:hangingChars="261"/>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4DD678A">
      <w:pPr>
        <w:widowControl w:val="0"/>
        <w:wordWrap/>
        <w:autoSpaceDE w:val="0"/>
        <w:autoSpaceDN w:val="0"/>
        <w:adjustRightInd w:val="0"/>
        <w:snapToGrid/>
        <w:spacing w:line="360" w:lineRule="auto"/>
        <w:ind w:firstLine="420" w:firstLineChars="20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B509E94">
      <w:pPr>
        <w:widowControl w:val="0"/>
        <w:wordWrap/>
        <w:autoSpaceDE w:val="0"/>
        <w:autoSpaceDN w:val="0"/>
        <w:adjustRightInd w:val="0"/>
        <w:snapToGrid/>
        <w:spacing w:line="360" w:lineRule="auto"/>
        <w:ind w:firstLine="420" w:firstLineChars="200"/>
        <w:textAlignment w:val="auto"/>
        <w:outlineLvl w:val="9"/>
        <w:rPr>
          <w:rFonts w:ascii="宋体" w:hAnsi="宋体" w:eastAsia="宋体" w:cs="宋体"/>
          <w:color w:val="auto"/>
          <w:szCs w:val="24"/>
          <w:highlight w:val="none"/>
        </w:rPr>
      </w:pPr>
    </w:p>
    <w:p w14:paraId="70C4B7C3">
      <w:pPr>
        <w:widowControl w:val="0"/>
        <w:wordWrap/>
        <w:autoSpaceDE w:val="0"/>
        <w:autoSpaceDN w:val="0"/>
        <w:adjustRightInd w:val="0"/>
        <w:snapToGrid/>
        <w:spacing w:line="360" w:lineRule="auto"/>
        <w:ind w:right="368" w:rightChars="175"/>
        <w:jc w:val="right"/>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5ED9F9E">
      <w:pPr>
        <w:widowControl w:val="0"/>
        <w:wordWrap/>
        <w:autoSpaceDE w:val="0"/>
        <w:autoSpaceDN w:val="0"/>
        <w:adjustRightInd w:val="0"/>
        <w:snapToGrid/>
        <w:spacing w:line="360" w:lineRule="auto"/>
        <w:ind w:right="368" w:rightChars="175" w:firstLine="6237"/>
        <w:jc w:val="left"/>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586084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p>
    <w:p w14:paraId="4A84E3E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634DC7C">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008F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41FED6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2328F6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05B587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AF545C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D0A471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4CA9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66049B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56A1FC3D">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338EF3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3BE6B9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0994DC8">
            <w:pPr>
              <w:autoSpaceDE w:val="0"/>
              <w:autoSpaceDN w:val="0"/>
              <w:adjustRightInd w:val="0"/>
              <w:spacing w:line="360" w:lineRule="auto"/>
              <w:jc w:val="center"/>
              <w:rPr>
                <w:rFonts w:ascii="宋体" w:hAnsi="宋体" w:eastAsia="宋体" w:cs="宋体"/>
                <w:color w:val="auto"/>
                <w:kern w:val="0"/>
                <w:szCs w:val="21"/>
                <w:highlight w:val="none"/>
              </w:rPr>
            </w:pPr>
          </w:p>
        </w:tc>
      </w:tr>
      <w:tr w14:paraId="60466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C4F88A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376FEB1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63CB78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6AED101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C61869B">
            <w:pPr>
              <w:autoSpaceDE w:val="0"/>
              <w:autoSpaceDN w:val="0"/>
              <w:adjustRightInd w:val="0"/>
              <w:spacing w:line="360" w:lineRule="auto"/>
              <w:jc w:val="center"/>
              <w:rPr>
                <w:rFonts w:ascii="宋体" w:hAnsi="宋体" w:eastAsia="宋体" w:cs="宋体"/>
                <w:color w:val="auto"/>
                <w:kern w:val="0"/>
                <w:szCs w:val="21"/>
                <w:highlight w:val="none"/>
              </w:rPr>
            </w:pPr>
          </w:p>
        </w:tc>
      </w:tr>
      <w:tr w14:paraId="2EF11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2F778B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5908C3F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66B9DE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46E2EC0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A1CD942">
            <w:pPr>
              <w:autoSpaceDE w:val="0"/>
              <w:autoSpaceDN w:val="0"/>
              <w:adjustRightInd w:val="0"/>
              <w:spacing w:line="360" w:lineRule="auto"/>
              <w:jc w:val="center"/>
              <w:rPr>
                <w:rFonts w:ascii="宋体" w:hAnsi="宋体" w:eastAsia="宋体" w:cs="宋体"/>
                <w:color w:val="auto"/>
                <w:kern w:val="0"/>
                <w:szCs w:val="21"/>
                <w:highlight w:val="none"/>
              </w:rPr>
            </w:pPr>
          </w:p>
        </w:tc>
      </w:tr>
      <w:tr w14:paraId="53B55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6F3C8D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14:paraId="09D5C83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E030BC9">
            <w:pPr>
              <w:autoSpaceDE w:val="0"/>
              <w:autoSpaceDN w:val="0"/>
              <w:adjustRightInd w:val="0"/>
              <w:spacing w:line="360" w:lineRule="auto"/>
              <w:jc w:val="center"/>
              <w:rPr>
                <w:rFonts w:ascii="宋体" w:hAnsi="宋体" w:eastAsia="宋体" w:cs="宋体"/>
                <w:color w:val="auto"/>
                <w:kern w:val="0"/>
                <w:szCs w:val="21"/>
                <w:highlight w:val="none"/>
              </w:rPr>
            </w:pPr>
          </w:p>
        </w:tc>
      </w:tr>
    </w:tbl>
    <w:p w14:paraId="387FD23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D210CC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276C74F">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80DC13F">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608552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r>
        <w:rPr>
          <w:rFonts w:hint="eastAsia" w:ascii="宋体" w:hAnsi="宋体" w:eastAsia="宋体" w:cs="宋体"/>
          <w:b/>
          <w:color w:val="auto"/>
          <w:kern w:val="0"/>
          <w:sz w:val="32"/>
          <w:szCs w:val="32"/>
          <w:highlight w:val="none"/>
          <w:lang w:val="en-US" w:eastAsia="zh-CN"/>
        </w:rPr>
        <w:t>八、标准化体系认证</w:t>
      </w:r>
    </w:p>
    <w:p w14:paraId="595228F3">
      <w:pPr>
        <w:rPr>
          <w:rFonts w:hint="eastAsia"/>
          <w:color w:val="auto"/>
          <w:highlight w:val="none"/>
          <w:lang w:val="en-US" w:eastAsia="zh-CN"/>
        </w:rPr>
      </w:pPr>
    </w:p>
    <w:p w14:paraId="0444B37D">
      <w:pPr>
        <w:rPr>
          <w:rFonts w:hint="eastAsia"/>
          <w:color w:val="auto"/>
          <w:highlight w:val="none"/>
          <w:lang w:val="en-US" w:eastAsia="zh-CN"/>
        </w:rPr>
      </w:pPr>
      <w:r>
        <w:rPr>
          <w:rFonts w:hint="eastAsia"/>
          <w:color w:val="auto"/>
          <w:highlight w:val="none"/>
          <w:lang w:val="en-US" w:eastAsia="zh-CN"/>
        </w:rPr>
        <w:br w:type="page"/>
      </w:r>
    </w:p>
    <w:p w14:paraId="042B475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p>
    <w:p w14:paraId="5461072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东莞市众源环境投资有限公司2025年-2027年污泥运输服务供应商采购项目合同条款偏离表</w:t>
      </w: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
        <w:gridCol w:w="1425"/>
        <w:gridCol w:w="3054"/>
        <w:gridCol w:w="1"/>
        <w:gridCol w:w="1343"/>
        <w:gridCol w:w="3"/>
        <w:gridCol w:w="3524"/>
      </w:tblGrid>
      <w:tr w14:paraId="727B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gridSpan w:val="2"/>
            <w:vMerge w:val="restart"/>
            <w:vAlign w:val="center"/>
          </w:tcPr>
          <w:p w14:paraId="5F9F25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3"/>
            <w:vAlign w:val="center"/>
          </w:tcPr>
          <w:p w14:paraId="26FD44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3"/>
            <w:vAlign w:val="center"/>
          </w:tcPr>
          <w:p w14:paraId="25D1F9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60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gridSpan w:val="2"/>
            <w:vMerge w:val="continue"/>
            <w:vAlign w:val="center"/>
          </w:tcPr>
          <w:p w14:paraId="1E224FD1">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5436F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gridSpan w:val="2"/>
            <w:vAlign w:val="center"/>
          </w:tcPr>
          <w:p w14:paraId="3D1D4F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gridSpan w:val="2"/>
            <w:vAlign w:val="center"/>
          </w:tcPr>
          <w:p w14:paraId="35BDA5D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DD3013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5D6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0E3CCF3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426" w:type="dxa"/>
            <w:gridSpan w:val="2"/>
            <w:vAlign w:val="center"/>
          </w:tcPr>
          <w:p w14:paraId="18E753F2">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054" w:type="dxa"/>
            <w:vAlign w:val="center"/>
          </w:tcPr>
          <w:p w14:paraId="72798094">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合同范围</w:t>
            </w:r>
          </w:p>
        </w:tc>
        <w:tc>
          <w:tcPr>
            <w:tcW w:w="1344" w:type="dxa"/>
            <w:gridSpan w:val="2"/>
            <w:vAlign w:val="bottom"/>
          </w:tcPr>
          <w:p w14:paraId="4A30DC6D">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57062FB6">
            <w:pPr>
              <w:spacing w:line="360" w:lineRule="auto"/>
              <w:jc w:val="center"/>
              <w:rPr>
                <w:rFonts w:hint="eastAsia" w:ascii="宋体" w:hAnsi="宋体" w:eastAsia="宋体" w:cs="宋体"/>
                <w:color w:val="auto"/>
                <w:kern w:val="0"/>
                <w:szCs w:val="21"/>
                <w:highlight w:val="none"/>
              </w:rPr>
            </w:pPr>
          </w:p>
        </w:tc>
      </w:tr>
      <w:tr w14:paraId="248C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4DAEF45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426" w:type="dxa"/>
            <w:gridSpan w:val="2"/>
            <w:vAlign w:val="center"/>
          </w:tcPr>
          <w:p w14:paraId="5B92B743">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054" w:type="dxa"/>
            <w:vAlign w:val="center"/>
          </w:tcPr>
          <w:p w14:paraId="3995502B">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合同价款</w:t>
            </w:r>
          </w:p>
        </w:tc>
        <w:tc>
          <w:tcPr>
            <w:tcW w:w="1344" w:type="dxa"/>
            <w:gridSpan w:val="2"/>
            <w:vAlign w:val="bottom"/>
          </w:tcPr>
          <w:p w14:paraId="1C228268">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34EEB921">
            <w:pPr>
              <w:spacing w:line="360" w:lineRule="auto"/>
              <w:jc w:val="center"/>
              <w:rPr>
                <w:rFonts w:hint="eastAsia" w:ascii="宋体" w:hAnsi="宋体" w:eastAsia="宋体" w:cs="宋体"/>
                <w:color w:val="auto"/>
                <w:kern w:val="0"/>
                <w:szCs w:val="21"/>
                <w:highlight w:val="none"/>
              </w:rPr>
            </w:pPr>
          </w:p>
        </w:tc>
      </w:tr>
      <w:tr w14:paraId="45B4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2FA0EC9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1426" w:type="dxa"/>
            <w:gridSpan w:val="2"/>
            <w:vAlign w:val="center"/>
          </w:tcPr>
          <w:p w14:paraId="37088AB7">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054" w:type="dxa"/>
            <w:vAlign w:val="center"/>
          </w:tcPr>
          <w:p w14:paraId="66E0D195">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污泥运输量确认及资料要求</w:t>
            </w:r>
          </w:p>
        </w:tc>
        <w:tc>
          <w:tcPr>
            <w:tcW w:w="1344" w:type="dxa"/>
            <w:gridSpan w:val="2"/>
            <w:vAlign w:val="bottom"/>
          </w:tcPr>
          <w:p w14:paraId="4C70EA9E">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7BF56031">
            <w:pPr>
              <w:spacing w:line="360" w:lineRule="auto"/>
              <w:jc w:val="center"/>
              <w:rPr>
                <w:rFonts w:hint="eastAsia" w:ascii="宋体" w:hAnsi="宋体" w:eastAsia="宋体" w:cs="宋体"/>
                <w:color w:val="auto"/>
                <w:kern w:val="0"/>
                <w:szCs w:val="21"/>
                <w:highlight w:val="none"/>
              </w:rPr>
            </w:pPr>
          </w:p>
        </w:tc>
      </w:tr>
      <w:tr w14:paraId="252A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4279B52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1426" w:type="dxa"/>
            <w:gridSpan w:val="2"/>
            <w:vAlign w:val="center"/>
          </w:tcPr>
          <w:p w14:paraId="340CFF6E">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3054" w:type="dxa"/>
            <w:vAlign w:val="center"/>
          </w:tcPr>
          <w:p w14:paraId="5F533E97">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w:t>
            </w:r>
          </w:p>
        </w:tc>
        <w:tc>
          <w:tcPr>
            <w:tcW w:w="1344" w:type="dxa"/>
            <w:gridSpan w:val="2"/>
            <w:vAlign w:val="bottom"/>
          </w:tcPr>
          <w:p w14:paraId="41F83B57">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072D59B0">
            <w:pPr>
              <w:spacing w:line="360" w:lineRule="auto"/>
              <w:jc w:val="center"/>
              <w:rPr>
                <w:rFonts w:hint="eastAsia" w:ascii="宋体" w:hAnsi="宋体" w:eastAsia="宋体" w:cs="宋体"/>
                <w:color w:val="auto"/>
                <w:kern w:val="0"/>
                <w:szCs w:val="21"/>
                <w:highlight w:val="none"/>
              </w:rPr>
            </w:pPr>
          </w:p>
        </w:tc>
      </w:tr>
      <w:tr w14:paraId="669C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26F73DC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426" w:type="dxa"/>
            <w:gridSpan w:val="2"/>
            <w:vAlign w:val="center"/>
          </w:tcPr>
          <w:p w14:paraId="3B4B227C">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3054" w:type="dxa"/>
            <w:vAlign w:val="center"/>
          </w:tcPr>
          <w:p w14:paraId="37CA2A17">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服务要求</w:t>
            </w:r>
          </w:p>
        </w:tc>
        <w:tc>
          <w:tcPr>
            <w:tcW w:w="1344" w:type="dxa"/>
            <w:gridSpan w:val="2"/>
            <w:vAlign w:val="bottom"/>
          </w:tcPr>
          <w:p w14:paraId="20999DD6">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279B1D6C">
            <w:pPr>
              <w:spacing w:line="360" w:lineRule="auto"/>
              <w:jc w:val="center"/>
              <w:rPr>
                <w:rFonts w:hint="eastAsia" w:ascii="宋体" w:hAnsi="宋体" w:eastAsia="宋体" w:cs="宋体"/>
                <w:color w:val="auto"/>
                <w:kern w:val="0"/>
                <w:szCs w:val="21"/>
                <w:highlight w:val="none"/>
              </w:rPr>
            </w:pPr>
          </w:p>
        </w:tc>
      </w:tr>
      <w:tr w14:paraId="77AD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31082E4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6</w:t>
            </w:r>
          </w:p>
        </w:tc>
        <w:tc>
          <w:tcPr>
            <w:tcW w:w="1426" w:type="dxa"/>
            <w:gridSpan w:val="2"/>
            <w:vAlign w:val="center"/>
          </w:tcPr>
          <w:p w14:paraId="7FEB97D0">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tc>
        <w:tc>
          <w:tcPr>
            <w:tcW w:w="3054" w:type="dxa"/>
            <w:vAlign w:val="center"/>
          </w:tcPr>
          <w:p w14:paraId="140FE75E">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双方权利义务</w:t>
            </w:r>
          </w:p>
        </w:tc>
        <w:tc>
          <w:tcPr>
            <w:tcW w:w="1344" w:type="dxa"/>
            <w:gridSpan w:val="2"/>
            <w:vAlign w:val="bottom"/>
          </w:tcPr>
          <w:p w14:paraId="03B73A5A">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6C6D835A">
            <w:pPr>
              <w:spacing w:line="360" w:lineRule="auto"/>
              <w:jc w:val="center"/>
              <w:rPr>
                <w:rFonts w:hint="eastAsia" w:ascii="宋体" w:hAnsi="宋体" w:eastAsia="宋体" w:cs="宋体"/>
                <w:color w:val="auto"/>
                <w:kern w:val="0"/>
                <w:szCs w:val="21"/>
                <w:highlight w:val="none"/>
              </w:rPr>
            </w:pPr>
          </w:p>
        </w:tc>
      </w:tr>
      <w:tr w14:paraId="5304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24A058B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7</w:t>
            </w:r>
          </w:p>
        </w:tc>
        <w:tc>
          <w:tcPr>
            <w:tcW w:w="1426" w:type="dxa"/>
            <w:gridSpan w:val="2"/>
            <w:vAlign w:val="center"/>
          </w:tcPr>
          <w:p w14:paraId="70A8B620">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tc>
        <w:tc>
          <w:tcPr>
            <w:tcW w:w="3054" w:type="dxa"/>
            <w:vAlign w:val="center"/>
          </w:tcPr>
          <w:p w14:paraId="3B1AAC9C">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履约担保</w:t>
            </w:r>
          </w:p>
        </w:tc>
        <w:tc>
          <w:tcPr>
            <w:tcW w:w="1344" w:type="dxa"/>
            <w:gridSpan w:val="2"/>
            <w:vAlign w:val="bottom"/>
          </w:tcPr>
          <w:p w14:paraId="0CD65233">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1C7A64DE">
            <w:pPr>
              <w:spacing w:line="360" w:lineRule="auto"/>
              <w:jc w:val="center"/>
              <w:rPr>
                <w:rFonts w:hint="eastAsia" w:ascii="宋体" w:hAnsi="宋体" w:eastAsia="宋体" w:cs="宋体"/>
                <w:color w:val="auto"/>
                <w:kern w:val="0"/>
                <w:szCs w:val="21"/>
                <w:highlight w:val="none"/>
              </w:rPr>
            </w:pPr>
          </w:p>
        </w:tc>
      </w:tr>
      <w:tr w14:paraId="6D82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0FCA67F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8</w:t>
            </w:r>
          </w:p>
        </w:tc>
        <w:tc>
          <w:tcPr>
            <w:tcW w:w="1426" w:type="dxa"/>
            <w:gridSpan w:val="2"/>
            <w:vAlign w:val="center"/>
          </w:tcPr>
          <w:p w14:paraId="5F11BC8D">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tc>
        <w:tc>
          <w:tcPr>
            <w:tcW w:w="3054" w:type="dxa"/>
            <w:vAlign w:val="center"/>
          </w:tcPr>
          <w:p w14:paraId="145494C0">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违约责任</w:t>
            </w:r>
          </w:p>
        </w:tc>
        <w:tc>
          <w:tcPr>
            <w:tcW w:w="1344" w:type="dxa"/>
            <w:gridSpan w:val="2"/>
            <w:vAlign w:val="bottom"/>
          </w:tcPr>
          <w:p w14:paraId="0AA02542">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774DD5E0">
            <w:pPr>
              <w:spacing w:line="360" w:lineRule="auto"/>
              <w:jc w:val="center"/>
              <w:rPr>
                <w:rFonts w:hint="eastAsia" w:ascii="宋体" w:hAnsi="宋体" w:eastAsia="宋体" w:cs="宋体"/>
                <w:color w:val="auto"/>
                <w:kern w:val="0"/>
                <w:szCs w:val="21"/>
                <w:highlight w:val="none"/>
              </w:rPr>
            </w:pPr>
          </w:p>
        </w:tc>
      </w:tr>
      <w:tr w14:paraId="2559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1B2EBC2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9</w:t>
            </w:r>
          </w:p>
        </w:tc>
        <w:tc>
          <w:tcPr>
            <w:tcW w:w="1426" w:type="dxa"/>
            <w:gridSpan w:val="2"/>
            <w:vAlign w:val="center"/>
          </w:tcPr>
          <w:p w14:paraId="17F08535">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tc>
        <w:tc>
          <w:tcPr>
            <w:tcW w:w="3054" w:type="dxa"/>
            <w:vAlign w:val="center"/>
          </w:tcPr>
          <w:p w14:paraId="2E6EC066">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其他约定</w:t>
            </w:r>
          </w:p>
        </w:tc>
        <w:tc>
          <w:tcPr>
            <w:tcW w:w="1344" w:type="dxa"/>
            <w:gridSpan w:val="2"/>
            <w:vAlign w:val="bottom"/>
          </w:tcPr>
          <w:p w14:paraId="55BAC181">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55A370A0">
            <w:pPr>
              <w:spacing w:line="360" w:lineRule="auto"/>
              <w:jc w:val="center"/>
              <w:rPr>
                <w:rFonts w:hint="eastAsia" w:ascii="宋体" w:hAnsi="宋体" w:eastAsia="宋体" w:cs="宋体"/>
                <w:color w:val="auto"/>
                <w:kern w:val="0"/>
                <w:szCs w:val="21"/>
                <w:highlight w:val="none"/>
              </w:rPr>
            </w:pPr>
          </w:p>
        </w:tc>
      </w:tr>
      <w:tr w14:paraId="4BA8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05C5CF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426" w:type="dxa"/>
            <w:gridSpan w:val="2"/>
            <w:vAlign w:val="center"/>
          </w:tcPr>
          <w:p w14:paraId="493EB842">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十一</w:t>
            </w:r>
          </w:p>
        </w:tc>
        <w:tc>
          <w:tcPr>
            <w:tcW w:w="3054" w:type="dxa"/>
            <w:vAlign w:val="center"/>
          </w:tcPr>
          <w:p w14:paraId="71CF0E91">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不可抗力</w:t>
            </w:r>
          </w:p>
        </w:tc>
        <w:tc>
          <w:tcPr>
            <w:tcW w:w="1344" w:type="dxa"/>
            <w:gridSpan w:val="2"/>
            <w:vAlign w:val="bottom"/>
          </w:tcPr>
          <w:p w14:paraId="4CFC6EF9">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397497ED">
            <w:pPr>
              <w:spacing w:line="360" w:lineRule="auto"/>
              <w:jc w:val="center"/>
              <w:rPr>
                <w:rFonts w:hint="eastAsia" w:ascii="宋体" w:hAnsi="宋体" w:eastAsia="宋体" w:cs="宋体"/>
                <w:color w:val="auto"/>
                <w:kern w:val="0"/>
                <w:szCs w:val="21"/>
                <w:highlight w:val="none"/>
              </w:rPr>
            </w:pPr>
          </w:p>
        </w:tc>
      </w:tr>
      <w:tr w14:paraId="0BBE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5D2F4F8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426" w:type="dxa"/>
            <w:gridSpan w:val="2"/>
            <w:vAlign w:val="center"/>
          </w:tcPr>
          <w:p w14:paraId="33D75F60">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w:t>
            </w:r>
          </w:p>
        </w:tc>
        <w:tc>
          <w:tcPr>
            <w:tcW w:w="3054" w:type="dxa"/>
            <w:vAlign w:val="center"/>
          </w:tcPr>
          <w:p w14:paraId="42DACAD8">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争议解决</w:t>
            </w:r>
          </w:p>
        </w:tc>
        <w:tc>
          <w:tcPr>
            <w:tcW w:w="1344" w:type="dxa"/>
            <w:gridSpan w:val="2"/>
            <w:vAlign w:val="bottom"/>
          </w:tcPr>
          <w:p w14:paraId="7EEF6B95">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07F8B110">
            <w:pPr>
              <w:spacing w:line="360" w:lineRule="auto"/>
              <w:jc w:val="center"/>
              <w:rPr>
                <w:rFonts w:hint="eastAsia" w:ascii="宋体" w:hAnsi="宋体" w:eastAsia="宋体" w:cs="宋体"/>
                <w:color w:val="auto"/>
                <w:kern w:val="0"/>
                <w:szCs w:val="21"/>
                <w:highlight w:val="none"/>
              </w:rPr>
            </w:pPr>
          </w:p>
        </w:tc>
      </w:tr>
      <w:tr w14:paraId="041A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3423EB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426" w:type="dxa"/>
            <w:gridSpan w:val="2"/>
            <w:vAlign w:val="center"/>
          </w:tcPr>
          <w:p w14:paraId="6DEA01E7">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十三</w:t>
            </w:r>
          </w:p>
        </w:tc>
        <w:tc>
          <w:tcPr>
            <w:tcW w:w="3054" w:type="dxa"/>
            <w:vAlign w:val="center"/>
          </w:tcPr>
          <w:p w14:paraId="24A843F9">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附则</w:t>
            </w:r>
          </w:p>
        </w:tc>
        <w:tc>
          <w:tcPr>
            <w:tcW w:w="1344" w:type="dxa"/>
            <w:gridSpan w:val="2"/>
            <w:vAlign w:val="bottom"/>
          </w:tcPr>
          <w:p w14:paraId="7359C609">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15D57996">
            <w:pPr>
              <w:spacing w:line="360" w:lineRule="auto"/>
              <w:jc w:val="center"/>
              <w:rPr>
                <w:rFonts w:hint="eastAsia" w:ascii="宋体" w:hAnsi="宋体" w:eastAsia="宋体" w:cs="宋体"/>
                <w:color w:val="auto"/>
                <w:kern w:val="0"/>
                <w:szCs w:val="21"/>
                <w:highlight w:val="none"/>
              </w:rPr>
            </w:pPr>
          </w:p>
        </w:tc>
      </w:tr>
      <w:tr w14:paraId="21E4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5F56A53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426" w:type="dxa"/>
            <w:gridSpan w:val="2"/>
            <w:vAlign w:val="center"/>
          </w:tcPr>
          <w:p w14:paraId="5B99DDD9">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tc>
        <w:tc>
          <w:tcPr>
            <w:tcW w:w="3054" w:type="dxa"/>
            <w:vAlign w:val="center"/>
          </w:tcPr>
          <w:p w14:paraId="3484E177">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4" w:type="dxa"/>
            <w:gridSpan w:val="2"/>
            <w:vAlign w:val="bottom"/>
          </w:tcPr>
          <w:p w14:paraId="368E2EE6">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14:paraId="3E723B6E">
            <w:pPr>
              <w:spacing w:line="360" w:lineRule="auto"/>
              <w:jc w:val="center"/>
              <w:rPr>
                <w:rFonts w:hint="eastAsia" w:ascii="宋体" w:hAnsi="宋体" w:eastAsia="宋体" w:cs="宋体"/>
                <w:color w:val="auto"/>
                <w:kern w:val="0"/>
                <w:szCs w:val="21"/>
                <w:highlight w:val="none"/>
              </w:rPr>
            </w:pPr>
          </w:p>
        </w:tc>
      </w:tr>
      <w:tr w14:paraId="1857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0AB8E9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p>
        </w:tc>
        <w:tc>
          <w:tcPr>
            <w:tcW w:w="4480" w:type="dxa"/>
            <w:gridSpan w:val="3"/>
            <w:vAlign w:val="center"/>
          </w:tcPr>
          <w:p w14:paraId="73ADAA53">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一、不可撤销银行履约保函</w:t>
            </w:r>
          </w:p>
        </w:tc>
        <w:tc>
          <w:tcPr>
            <w:tcW w:w="1344" w:type="dxa"/>
            <w:gridSpan w:val="2"/>
            <w:vAlign w:val="bottom"/>
          </w:tcPr>
          <w:p w14:paraId="1B0B48EE">
            <w:pPr>
              <w:spacing w:line="360" w:lineRule="auto"/>
              <w:jc w:val="center"/>
              <w:rPr>
                <w:rFonts w:ascii="宋体" w:hAnsi="宋体" w:eastAsia="宋体" w:cs="宋体"/>
                <w:color w:val="auto"/>
                <w:kern w:val="0"/>
                <w:szCs w:val="21"/>
                <w:highlight w:val="none"/>
              </w:rPr>
            </w:pPr>
          </w:p>
        </w:tc>
        <w:tc>
          <w:tcPr>
            <w:tcW w:w="3527" w:type="dxa"/>
            <w:gridSpan w:val="2"/>
            <w:vAlign w:val="bottom"/>
          </w:tcPr>
          <w:p w14:paraId="6B61EC24">
            <w:pPr>
              <w:spacing w:line="360" w:lineRule="auto"/>
              <w:jc w:val="center"/>
              <w:rPr>
                <w:rFonts w:ascii="宋体" w:hAnsi="宋体" w:eastAsia="宋体" w:cs="宋体"/>
                <w:color w:val="auto"/>
                <w:kern w:val="0"/>
                <w:szCs w:val="21"/>
                <w:highlight w:val="none"/>
              </w:rPr>
            </w:pPr>
          </w:p>
        </w:tc>
      </w:tr>
      <w:tr w14:paraId="3977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45760DC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p>
        </w:tc>
        <w:tc>
          <w:tcPr>
            <w:tcW w:w="4480" w:type="dxa"/>
            <w:gridSpan w:val="3"/>
            <w:vAlign w:val="center"/>
          </w:tcPr>
          <w:p w14:paraId="583DF076">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二、履约保证保险凭证</w:t>
            </w:r>
          </w:p>
        </w:tc>
        <w:tc>
          <w:tcPr>
            <w:tcW w:w="1344" w:type="dxa"/>
            <w:gridSpan w:val="2"/>
            <w:vAlign w:val="bottom"/>
          </w:tcPr>
          <w:p w14:paraId="7646C21D">
            <w:pPr>
              <w:spacing w:line="360" w:lineRule="auto"/>
              <w:jc w:val="center"/>
              <w:rPr>
                <w:rFonts w:ascii="宋体" w:hAnsi="宋体" w:eastAsia="宋体" w:cs="宋体"/>
                <w:color w:val="auto"/>
                <w:kern w:val="0"/>
                <w:szCs w:val="21"/>
                <w:highlight w:val="none"/>
              </w:rPr>
            </w:pPr>
          </w:p>
        </w:tc>
        <w:tc>
          <w:tcPr>
            <w:tcW w:w="3527" w:type="dxa"/>
            <w:gridSpan w:val="2"/>
            <w:vAlign w:val="bottom"/>
          </w:tcPr>
          <w:p w14:paraId="7F1A1A3A">
            <w:pPr>
              <w:spacing w:line="360" w:lineRule="auto"/>
              <w:jc w:val="center"/>
              <w:rPr>
                <w:rFonts w:ascii="宋体" w:hAnsi="宋体" w:eastAsia="宋体" w:cs="宋体"/>
                <w:color w:val="auto"/>
                <w:kern w:val="0"/>
                <w:szCs w:val="21"/>
                <w:highlight w:val="none"/>
              </w:rPr>
            </w:pPr>
          </w:p>
        </w:tc>
      </w:tr>
      <w:tr w14:paraId="3F15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14:paraId="32A4B32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p>
        </w:tc>
        <w:tc>
          <w:tcPr>
            <w:tcW w:w="4480" w:type="dxa"/>
            <w:gridSpan w:val="3"/>
            <w:vAlign w:val="center"/>
          </w:tcPr>
          <w:p w14:paraId="5148EBD5">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三、担保公司履约担保书</w:t>
            </w:r>
          </w:p>
        </w:tc>
        <w:tc>
          <w:tcPr>
            <w:tcW w:w="1344" w:type="dxa"/>
            <w:gridSpan w:val="2"/>
            <w:vAlign w:val="bottom"/>
          </w:tcPr>
          <w:p w14:paraId="7A1E2FDF">
            <w:pPr>
              <w:spacing w:line="360" w:lineRule="auto"/>
              <w:jc w:val="center"/>
              <w:rPr>
                <w:rFonts w:ascii="宋体" w:hAnsi="宋体" w:eastAsia="宋体" w:cs="宋体"/>
                <w:color w:val="auto"/>
                <w:kern w:val="0"/>
                <w:szCs w:val="21"/>
                <w:highlight w:val="none"/>
              </w:rPr>
            </w:pPr>
          </w:p>
        </w:tc>
        <w:tc>
          <w:tcPr>
            <w:tcW w:w="3527" w:type="dxa"/>
            <w:gridSpan w:val="2"/>
            <w:vAlign w:val="bottom"/>
          </w:tcPr>
          <w:p w14:paraId="68A18D08">
            <w:pPr>
              <w:spacing w:line="360" w:lineRule="auto"/>
              <w:jc w:val="center"/>
              <w:rPr>
                <w:rFonts w:ascii="宋体" w:hAnsi="宋体" w:eastAsia="宋体" w:cs="宋体"/>
                <w:color w:val="auto"/>
                <w:kern w:val="0"/>
                <w:szCs w:val="21"/>
                <w:highlight w:val="none"/>
              </w:rPr>
            </w:pPr>
          </w:p>
        </w:tc>
      </w:tr>
    </w:tbl>
    <w:p w14:paraId="0AAA798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CE50E6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BE3EF0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DF305B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3719264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1346B19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5EF321A">
      <w:pPr>
        <w:spacing w:line="360" w:lineRule="auto"/>
        <w:ind w:left="357" w:leftChars="-100" w:hanging="567" w:hangingChars="270"/>
        <w:rPr>
          <w:rFonts w:ascii="宋体" w:hAnsi="宋体" w:eastAsia="宋体" w:cs="宋体"/>
          <w:color w:val="auto"/>
          <w:szCs w:val="21"/>
          <w:highlight w:val="none"/>
        </w:rPr>
      </w:pPr>
    </w:p>
    <w:p w14:paraId="5AB56323">
      <w:pPr>
        <w:spacing w:line="360" w:lineRule="auto"/>
        <w:ind w:left="357" w:leftChars="-100" w:hanging="567" w:hangingChars="270"/>
        <w:rPr>
          <w:rFonts w:ascii="宋体" w:hAnsi="宋体" w:eastAsia="宋体" w:cs="宋体"/>
          <w:color w:val="auto"/>
          <w:szCs w:val="21"/>
          <w:highlight w:val="none"/>
        </w:rPr>
      </w:pPr>
    </w:p>
    <w:p w14:paraId="411FC5BD">
      <w:pPr>
        <w:spacing w:line="360" w:lineRule="auto"/>
        <w:ind w:left="357" w:leftChars="-100" w:hanging="567" w:hangingChars="270"/>
        <w:rPr>
          <w:rFonts w:ascii="宋体" w:hAnsi="宋体" w:eastAsia="宋体" w:cs="宋体"/>
          <w:color w:val="auto"/>
          <w:szCs w:val="21"/>
          <w:highlight w:val="none"/>
        </w:rPr>
      </w:pPr>
    </w:p>
    <w:p w14:paraId="52C55B19">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805AE1B">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0E9F34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p>
    <w:p w14:paraId="5576D77E">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年1月1日以来（签订合同的时间为20</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1年1月1日或以后）承接的运输服务项目业绩表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5B81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2F8E18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231AEA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137BF9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779873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70D987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24D7D2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465D07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1DD303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75C39A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14788F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276EF1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CE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6352C46">
            <w:pPr>
              <w:jc w:val="center"/>
              <w:rPr>
                <w:rFonts w:hint="eastAsia" w:ascii="宋体" w:hAnsi="宋体" w:eastAsia="宋体" w:cs="宋体"/>
                <w:color w:val="auto"/>
                <w:sz w:val="21"/>
                <w:szCs w:val="21"/>
                <w:highlight w:val="none"/>
              </w:rPr>
            </w:pPr>
          </w:p>
        </w:tc>
        <w:tc>
          <w:tcPr>
            <w:tcW w:w="954" w:type="dxa"/>
            <w:vAlign w:val="center"/>
          </w:tcPr>
          <w:p w14:paraId="1FB4F4BD">
            <w:pPr>
              <w:jc w:val="center"/>
              <w:rPr>
                <w:rFonts w:hint="eastAsia" w:ascii="宋体" w:hAnsi="宋体" w:eastAsia="宋体" w:cs="宋体"/>
                <w:color w:val="auto"/>
                <w:sz w:val="21"/>
                <w:szCs w:val="21"/>
                <w:highlight w:val="none"/>
              </w:rPr>
            </w:pPr>
          </w:p>
        </w:tc>
        <w:tc>
          <w:tcPr>
            <w:tcW w:w="954" w:type="dxa"/>
            <w:vAlign w:val="center"/>
          </w:tcPr>
          <w:p w14:paraId="07E5E38E">
            <w:pPr>
              <w:jc w:val="center"/>
              <w:rPr>
                <w:rFonts w:hint="eastAsia" w:ascii="宋体" w:hAnsi="宋体" w:eastAsia="宋体" w:cs="宋体"/>
                <w:color w:val="auto"/>
                <w:sz w:val="21"/>
                <w:szCs w:val="21"/>
                <w:highlight w:val="none"/>
              </w:rPr>
            </w:pPr>
          </w:p>
        </w:tc>
        <w:tc>
          <w:tcPr>
            <w:tcW w:w="956" w:type="dxa"/>
            <w:vAlign w:val="center"/>
          </w:tcPr>
          <w:p w14:paraId="49220694">
            <w:pPr>
              <w:jc w:val="center"/>
              <w:rPr>
                <w:rFonts w:hint="eastAsia" w:ascii="宋体" w:hAnsi="宋体" w:eastAsia="宋体" w:cs="宋体"/>
                <w:color w:val="auto"/>
                <w:sz w:val="21"/>
                <w:szCs w:val="21"/>
                <w:highlight w:val="none"/>
              </w:rPr>
            </w:pPr>
          </w:p>
        </w:tc>
        <w:tc>
          <w:tcPr>
            <w:tcW w:w="956" w:type="dxa"/>
            <w:vAlign w:val="center"/>
          </w:tcPr>
          <w:p w14:paraId="0A3654F4">
            <w:pPr>
              <w:jc w:val="center"/>
              <w:rPr>
                <w:rFonts w:hint="eastAsia" w:ascii="宋体" w:hAnsi="宋体" w:eastAsia="宋体" w:cs="宋体"/>
                <w:color w:val="auto"/>
                <w:sz w:val="21"/>
                <w:szCs w:val="21"/>
                <w:highlight w:val="none"/>
              </w:rPr>
            </w:pPr>
          </w:p>
        </w:tc>
        <w:tc>
          <w:tcPr>
            <w:tcW w:w="956" w:type="dxa"/>
            <w:vAlign w:val="center"/>
          </w:tcPr>
          <w:p w14:paraId="224CCF7D">
            <w:pPr>
              <w:jc w:val="center"/>
              <w:rPr>
                <w:rFonts w:hint="eastAsia" w:ascii="宋体" w:hAnsi="宋体" w:eastAsia="宋体" w:cs="宋体"/>
                <w:color w:val="auto"/>
                <w:sz w:val="21"/>
                <w:szCs w:val="21"/>
                <w:highlight w:val="none"/>
              </w:rPr>
            </w:pPr>
          </w:p>
        </w:tc>
        <w:tc>
          <w:tcPr>
            <w:tcW w:w="1114" w:type="dxa"/>
            <w:vAlign w:val="center"/>
          </w:tcPr>
          <w:p w14:paraId="313F0B0C">
            <w:pPr>
              <w:jc w:val="center"/>
              <w:rPr>
                <w:rFonts w:hint="eastAsia" w:ascii="宋体" w:hAnsi="宋体" w:eastAsia="宋体" w:cs="宋体"/>
                <w:color w:val="auto"/>
                <w:sz w:val="21"/>
                <w:szCs w:val="21"/>
                <w:highlight w:val="none"/>
              </w:rPr>
            </w:pPr>
          </w:p>
        </w:tc>
        <w:tc>
          <w:tcPr>
            <w:tcW w:w="956" w:type="dxa"/>
            <w:vAlign w:val="top"/>
          </w:tcPr>
          <w:p w14:paraId="695E3B30">
            <w:pPr>
              <w:jc w:val="center"/>
              <w:rPr>
                <w:rFonts w:hint="eastAsia" w:ascii="宋体" w:hAnsi="宋体" w:eastAsia="宋体" w:cs="宋体"/>
                <w:color w:val="auto"/>
                <w:sz w:val="21"/>
                <w:szCs w:val="21"/>
                <w:highlight w:val="none"/>
              </w:rPr>
            </w:pPr>
          </w:p>
        </w:tc>
        <w:tc>
          <w:tcPr>
            <w:tcW w:w="956" w:type="dxa"/>
            <w:vAlign w:val="center"/>
          </w:tcPr>
          <w:p w14:paraId="046AD241">
            <w:pPr>
              <w:jc w:val="center"/>
              <w:rPr>
                <w:rFonts w:hint="eastAsia" w:ascii="宋体" w:hAnsi="宋体" w:eastAsia="宋体" w:cs="宋体"/>
                <w:color w:val="auto"/>
                <w:sz w:val="21"/>
                <w:szCs w:val="21"/>
                <w:highlight w:val="none"/>
              </w:rPr>
            </w:pPr>
          </w:p>
        </w:tc>
        <w:tc>
          <w:tcPr>
            <w:tcW w:w="956" w:type="dxa"/>
            <w:vAlign w:val="center"/>
          </w:tcPr>
          <w:p w14:paraId="58E2789C">
            <w:pPr>
              <w:jc w:val="center"/>
              <w:rPr>
                <w:rFonts w:hint="eastAsia" w:ascii="宋体" w:hAnsi="宋体" w:eastAsia="宋体" w:cs="宋体"/>
                <w:color w:val="auto"/>
                <w:sz w:val="21"/>
                <w:szCs w:val="21"/>
                <w:highlight w:val="none"/>
              </w:rPr>
            </w:pPr>
          </w:p>
        </w:tc>
        <w:tc>
          <w:tcPr>
            <w:tcW w:w="788" w:type="dxa"/>
            <w:vAlign w:val="center"/>
          </w:tcPr>
          <w:p w14:paraId="10C76A87">
            <w:pPr>
              <w:jc w:val="center"/>
              <w:rPr>
                <w:rFonts w:hint="eastAsia" w:ascii="宋体" w:hAnsi="宋体" w:eastAsia="宋体" w:cs="宋体"/>
                <w:color w:val="auto"/>
                <w:sz w:val="21"/>
                <w:szCs w:val="21"/>
                <w:highlight w:val="none"/>
              </w:rPr>
            </w:pPr>
          </w:p>
        </w:tc>
      </w:tr>
      <w:tr w14:paraId="6CFC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3A7E5022">
            <w:pPr>
              <w:jc w:val="center"/>
              <w:rPr>
                <w:rFonts w:hint="eastAsia" w:ascii="宋体" w:hAnsi="宋体" w:eastAsia="宋体" w:cs="宋体"/>
                <w:color w:val="auto"/>
                <w:sz w:val="21"/>
                <w:szCs w:val="21"/>
                <w:highlight w:val="none"/>
              </w:rPr>
            </w:pPr>
          </w:p>
        </w:tc>
        <w:tc>
          <w:tcPr>
            <w:tcW w:w="954" w:type="dxa"/>
            <w:vAlign w:val="center"/>
          </w:tcPr>
          <w:p w14:paraId="15ED4EDD">
            <w:pPr>
              <w:jc w:val="center"/>
              <w:rPr>
                <w:rFonts w:hint="eastAsia" w:ascii="宋体" w:hAnsi="宋体" w:eastAsia="宋体" w:cs="宋体"/>
                <w:color w:val="auto"/>
                <w:sz w:val="21"/>
                <w:szCs w:val="21"/>
                <w:highlight w:val="none"/>
              </w:rPr>
            </w:pPr>
          </w:p>
        </w:tc>
        <w:tc>
          <w:tcPr>
            <w:tcW w:w="954" w:type="dxa"/>
            <w:vAlign w:val="center"/>
          </w:tcPr>
          <w:p w14:paraId="16A2C7A2">
            <w:pPr>
              <w:jc w:val="center"/>
              <w:rPr>
                <w:rFonts w:hint="eastAsia" w:ascii="宋体" w:hAnsi="宋体" w:eastAsia="宋体" w:cs="宋体"/>
                <w:color w:val="auto"/>
                <w:sz w:val="21"/>
                <w:szCs w:val="21"/>
                <w:highlight w:val="none"/>
              </w:rPr>
            </w:pPr>
          </w:p>
        </w:tc>
        <w:tc>
          <w:tcPr>
            <w:tcW w:w="956" w:type="dxa"/>
            <w:vAlign w:val="center"/>
          </w:tcPr>
          <w:p w14:paraId="0075F697">
            <w:pPr>
              <w:jc w:val="center"/>
              <w:rPr>
                <w:rFonts w:hint="eastAsia" w:ascii="宋体" w:hAnsi="宋体" w:eastAsia="宋体" w:cs="宋体"/>
                <w:color w:val="auto"/>
                <w:sz w:val="21"/>
                <w:szCs w:val="21"/>
                <w:highlight w:val="none"/>
              </w:rPr>
            </w:pPr>
          </w:p>
        </w:tc>
        <w:tc>
          <w:tcPr>
            <w:tcW w:w="956" w:type="dxa"/>
            <w:vAlign w:val="center"/>
          </w:tcPr>
          <w:p w14:paraId="4AFFEE02">
            <w:pPr>
              <w:jc w:val="center"/>
              <w:rPr>
                <w:rFonts w:hint="eastAsia" w:ascii="宋体" w:hAnsi="宋体" w:eastAsia="宋体" w:cs="宋体"/>
                <w:color w:val="auto"/>
                <w:sz w:val="21"/>
                <w:szCs w:val="21"/>
                <w:highlight w:val="none"/>
              </w:rPr>
            </w:pPr>
          </w:p>
        </w:tc>
        <w:tc>
          <w:tcPr>
            <w:tcW w:w="956" w:type="dxa"/>
            <w:vAlign w:val="center"/>
          </w:tcPr>
          <w:p w14:paraId="71F0B1DD">
            <w:pPr>
              <w:jc w:val="center"/>
              <w:rPr>
                <w:rFonts w:hint="eastAsia" w:ascii="宋体" w:hAnsi="宋体" w:eastAsia="宋体" w:cs="宋体"/>
                <w:color w:val="auto"/>
                <w:sz w:val="21"/>
                <w:szCs w:val="21"/>
                <w:highlight w:val="none"/>
              </w:rPr>
            </w:pPr>
          </w:p>
        </w:tc>
        <w:tc>
          <w:tcPr>
            <w:tcW w:w="1114" w:type="dxa"/>
            <w:vAlign w:val="center"/>
          </w:tcPr>
          <w:p w14:paraId="6E0794C5">
            <w:pPr>
              <w:jc w:val="center"/>
              <w:rPr>
                <w:rFonts w:hint="eastAsia" w:ascii="宋体" w:hAnsi="宋体" w:eastAsia="宋体" w:cs="宋体"/>
                <w:color w:val="auto"/>
                <w:sz w:val="21"/>
                <w:szCs w:val="21"/>
                <w:highlight w:val="none"/>
              </w:rPr>
            </w:pPr>
          </w:p>
        </w:tc>
        <w:tc>
          <w:tcPr>
            <w:tcW w:w="956" w:type="dxa"/>
            <w:vAlign w:val="top"/>
          </w:tcPr>
          <w:p w14:paraId="02F06EF5">
            <w:pPr>
              <w:jc w:val="center"/>
              <w:rPr>
                <w:rFonts w:hint="eastAsia" w:ascii="宋体" w:hAnsi="宋体" w:eastAsia="宋体" w:cs="宋体"/>
                <w:color w:val="auto"/>
                <w:sz w:val="21"/>
                <w:szCs w:val="21"/>
                <w:highlight w:val="none"/>
              </w:rPr>
            </w:pPr>
          </w:p>
        </w:tc>
        <w:tc>
          <w:tcPr>
            <w:tcW w:w="956" w:type="dxa"/>
            <w:vAlign w:val="center"/>
          </w:tcPr>
          <w:p w14:paraId="7D6CBCBA">
            <w:pPr>
              <w:jc w:val="center"/>
              <w:rPr>
                <w:rFonts w:hint="eastAsia" w:ascii="宋体" w:hAnsi="宋体" w:eastAsia="宋体" w:cs="宋体"/>
                <w:color w:val="auto"/>
                <w:sz w:val="21"/>
                <w:szCs w:val="21"/>
                <w:highlight w:val="none"/>
              </w:rPr>
            </w:pPr>
          </w:p>
        </w:tc>
        <w:tc>
          <w:tcPr>
            <w:tcW w:w="956" w:type="dxa"/>
            <w:vAlign w:val="center"/>
          </w:tcPr>
          <w:p w14:paraId="5608B475">
            <w:pPr>
              <w:jc w:val="center"/>
              <w:rPr>
                <w:rFonts w:hint="eastAsia" w:ascii="宋体" w:hAnsi="宋体" w:eastAsia="宋体" w:cs="宋体"/>
                <w:color w:val="auto"/>
                <w:sz w:val="21"/>
                <w:szCs w:val="21"/>
                <w:highlight w:val="none"/>
              </w:rPr>
            </w:pPr>
          </w:p>
        </w:tc>
        <w:tc>
          <w:tcPr>
            <w:tcW w:w="788" w:type="dxa"/>
            <w:vAlign w:val="center"/>
          </w:tcPr>
          <w:p w14:paraId="571E78EF">
            <w:pPr>
              <w:jc w:val="center"/>
              <w:rPr>
                <w:rFonts w:hint="eastAsia" w:ascii="宋体" w:hAnsi="宋体" w:eastAsia="宋体" w:cs="宋体"/>
                <w:color w:val="auto"/>
                <w:sz w:val="21"/>
                <w:szCs w:val="21"/>
                <w:highlight w:val="none"/>
              </w:rPr>
            </w:pPr>
          </w:p>
        </w:tc>
      </w:tr>
      <w:tr w14:paraId="5636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02B78E25">
            <w:pPr>
              <w:jc w:val="center"/>
              <w:rPr>
                <w:rFonts w:hint="eastAsia" w:ascii="宋体" w:hAnsi="宋体" w:eastAsia="宋体" w:cs="宋体"/>
                <w:color w:val="auto"/>
                <w:sz w:val="21"/>
                <w:szCs w:val="21"/>
                <w:highlight w:val="none"/>
              </w:rPr>
            </w:pPr>
          </w:p>
        </w:tc>
        <w:tc>
          <w:tcPr>
            <w:tcW w:w="954" w:type="dxa"/>
            <w:vAlign w:val="center"/>
          </w:tcPr>
          <w:p w14:paraId="660944A1">
            <w:pPr>
              <w:jc w:val="center"/>
              <w:rPr>
                <w:rFonts w:hint="eastAsia" w:ascii="宋体" w:hAnsi="宋体" w:eastAsia="宋体" w:cs="宋体"/>
                <w:color w:val="auto"/>
                <w:sz w:val="21"/>
                <w:szCs w:val="21"/>
                <w:highlight w:val="none"/>
              </w:rPr>
            </w:pPr>
          </w:p>
        </w:tc>
        <w:tc>
          <w:tcPr>
            <w:tcW w:w="954" w:type="dxa"/>
            <w:vAlign w:val="center"/>
          </w:tcPr>
          <w:p w14:paraId="7F981147">
            <w:pPr>
              <w:jc w:val="center"/>
              <w:rPr>
                <w:rFonts w:hint="eastAsia" w:ascii="宋体" w:hAnsi="宋体" w:eastAsia="宋体" w:cs="宋体"/>
                <w:color w:val="auto"/>
                <w:sz w:val="21"/>
                <w:szCs w:val="21"/>
                <w:highlight w:val="none"/>
              </w:rPr>
            </w:pPr>
          </w:p>
        </w:tc>
        <w:tc>
          <w:tcPr>
            <w:tcW w:w="956" w:type="dxa"/>
            <w:vAlign w:val="center"/>
          </w:tcPr>
          <w:p w14:paraId="0210753D">
            <w:pPr>
              <w:jc w:val="center"/>
              <w:rPr>
                <w:rFonts w:hint="eastAsia" w:ascii="宋体" w:hAnsi="宋体" w:eastAsia="宋体" w:cs="宋体"/>
                <w:color w:val="auto"/>
                <w:sz w:val="21"/>
                <w:szCs w:val="21"/>
                <w:highlight w:val="none"/>
              </w:rPr>
            </w:pPr>
          </w:p>
        </w:tc>
        <w:tc>
          <w:tcPr>
            <w:tcW w:w="956" w:type="dxa"/>
            <w:vAlign w:val="center"/>
          </w:tcPr>
          <w:p w14:paraId="13A1FC8B">
            <w:pPr>
              <w:jc w:val="center"/>
              <w:rPr>
                <w:rFonts w:hint="eastAsia" w:ascii="宋体" w:hAnsi="宋体" w:eastAsia="宋体" w:cs="宋体"/>
                <w:color w:val="auto"/>
                <w:sz w:val="21"/>
                <w:szCs w:val="21"/>
                <w:highlight w:val="none"/>
              </w:rPr>
            </w:pPr>
          </w:p>
        </w:tc>
        <w:tc>
          <w:tcPr>
            <w:tcW w:w="956" w:type="dxa"/>
            <w:vAlign w:val="center"/>
          </w:tcPr>
          <w:p w14:paraId="6B45EC66">
            <w:pPr>
              <w:jc w:val="center"/>
              <w:rPr>
                <w:rFonts w:hint="eastAsia" w:ascii="宋体" w:hAnsi="宋体" w:eastAsia="宋体" w:cs="宋体"/>
                <w:color w:val="auto"/>
                <w:sz w:val="21"/>
                <w:szCs w:val="21"/>
                <w:highlight w:val="none"/>
              </w:rPr>
            </w:pPr>
          </w:p>
        </w:tc>
        <w:tc>
          <w:tcPr>
            <w:tcW w:w="1114" w:type="dxa"/>
            <w:vAlign w:val="center"/>
          </w:tcPr>
          <w:p w14:paraId="71FFD537">
            <w:pPr>
              <w:jc w:val="center"/>
              <w:rPr>
                <w:rFonts w:hint="eastAsia" w:ascii="宋体" w:hAnsi="宋体" w:eastAsia="宋体" w:cs="宋体"/>
                <w:color w:val="auto"/>
                <w:sz w:val="21"/>
                <w:szCs w:val="21"/>
                <w:highlight w:val="none"/>
              </w:rPr>
            </w:pPr>
          </w:p>
        </w:tc>
        <w:tc>
          <w:tcPr>
            <w:tcW w:w="956" w:type="dxa"/>
            <w:vAlign w:val="top"/>
          </w:tcPr>
          <w:p w14:paraId="33417FCE">
            <w:pPr>
              <w:jc w:val="center"/>
              <w:rPr>
                <w:rFonts w:hint="eastAsia" w:ascii="宋体" w:hAnsi="宋体" w:eastAsia="宋体" w:cs="宋体"/>
                <w:color w:val="auto"/>
                <w:sz w:val="21"/>
                <w:szCs w:val="21"/>
                <w:highlight w:val="none"/>
              </w:rPr>
            </w:pPr>
          </w:p>
        </w:tc>
        <w:tc>
          <w:tcPr>
            <w:tcW w:w="956" w:type="dxa"/>
            <w:vAlign w:val="center"/>
          </w:tcPr>
          <w:p w14:paraId="335BE89D">
            <w:pPr>
              <w:jc w:val="center"/>
              <w:rPr>
                <w:rFonts w:hint="eastAsia" w:ascii="宋体" w:hAnsi="宋体" w:eastAsia="宋体" w:cs="宋体"/>
                <w:color w:val="auto"/>
                <w:sz w:val="21"/>
                <w:szCs w:val="21"/>
                <w:highlight w:val="none"/>
              </w:rPr>
            </w:pPr>
          </w:p>
        </w:tc>
        <w:tc>
          <w:tcPr>
            <w:tcW w:w="956" w:type="dxa"/>
            <w:vAlign w:val="center"/>
          </w:tcPr>
          <w:p w14:paraId="0C531896">
            <w:pPr>
              <w:jc w:val="center"/>
              <w:rPr>
                <w:rFonts w:hint="eastAsia" w:ascii="宋体" w:hAnsi="宋体" w:eastAsia="宋体" w:cs="宋体"/>
                <w:color w:val="auto"/>
                <w:sz w:val="21"/>
                <w:szCs w:val="21"/>
                <w:highlight w:val="none"/>
              </w:rPr>
            </w:pPr>
          </w:p>
        </w:tc>
        <w:tc>
          <w:tcPr>
            <w:tcW w:w="788" w:type="dxa"/>
            <w:vAlign w:val="center"/>
          </w:tcPr>
          <w:p w14:paraId="608E2EAB">
            <w:pPr>
              <w:jc w:val="center"/>
              <w:rPr>
                <w:rFonts w:hint="eastAsia" w:ascii="宋体" w:hAnsi="宋体" w:eastAsia="宋体" w:cs="宋体"/>
                <w:color w:val="auto"/>
                <w:sz w:val="21"/>
                <w:szCs w:val="21"/>
                <w:highlight w:val="none"/>
              </w:rPr>
            </w:pPr>
          </w:p>
        </w:tc>
      </w:tr>
      <w:tr w14:paraId="4AEE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01C2D127">
            <w:pPr>
              <w:jc w:val="center"/>
              <w:rPr>
                <w:rFonts w:hint="eastAsia" w:ascii="宋体" w:hAnsi="宋体" w:eastAsia="宋体" w:cs="宋体"/>
                <w:color w:val="auto"/>
                <w:sz w:val="21"/>
                <w:szCs w:val="21"/>
                <w:highlight w:val="none"/>
              </w:rPr>
            </w:pPr>
          </w:p>
        </w:tc>
        <w:tc>
          <w:tcPr>
            <w:tcW w:w="954" w:type="dxa"/>
            <w:vAlign w:val="center"/>
          </w:tcPr>
          <w:p w14:paraId="2F2FC222">
            <w:pPr>
              <w:jc w:val="center"/>
              <w:rPr>
                <w:rFonts w:hint="eastAsia" w:ascii="宋体" w:hAnsi="宋体" w:eastAsia="宋体" w:cs="宋体"/>
                <w:color w:val="auto"/>
                <w:sz w:val="21"/>
                <w:szCs w:val="21"/>
                <w:highlight w:val="none"/>
              </w:rPr>
            </w:pPr>
          </w:p>
        </w:tc>
        <w:tc>
          <w:tcPr>
            <w:tcW w:w="954" w:type="dxa"/>
            <w:vAlign w:val="center"/>
          </w:tcPr>
          <w:p w14:paraId="3B5B2EA8">
            <w:pPr>
              <w:jc w:val="center"/>
              <w:rPr>
                <w:rFonts w:hint="eastAsia" w:ascii="宋体" w:hAnsi="宋体" w:eastAsia="宋体" w:cs="宋体"/>
                <w:color w:val="auto"/>
                <w:sz w:val="21"/>
                <w:szCs w:val="21"/>
                <w:highlight w:val="none"/>
              </w:rPr>
            </w:pPr>
          </w:p>
        </w:tc>
        <w:tc>
          <w:tcPr>
            <w:tcW w:w="956" w:type="dxa"/>
            <w:vAlign w:val="center"/>
          </w:tcPr>
          <w:p w14:paraId="2F35222B">
            <w:pPr>
              <w:jc w:val="center"/>
              <w:rPr>
                <w:rFonts w:hint="eastAsia" w:ascii="宋体" w:hAnsi="宋体" w:eastAsia="宋体" w:cs="宋体"/>
                <w:color w:val="auto"/>
                <w:sz w:val="21"/>
                <w:szCs w:val="21"/>
                <w:highlight w:val="none"/>
              </w:rPr>
            </w:pPr>
          </w:p>
        </w:tc>
        <w:tc>
          <w:tcPr>
            <w:tcW w:w="956" w:type="dxa"/>
            <w:vAlign w:val="center"/>
          </w:tcPr>
          <w:p w14:paraId="0591A58F">
            <w:pPr>
              <w:jc w:val="center"/>
              <w:rPr>
                <w:rFonts w:hint="eastAsia" w:ascii="宋体" w:hAnsi="宋体" w:eastAsia="宋体" w:cs="宋体"/>
                <w:color w:val="auto"/>
                <w:sz w:val="21"/>
                <w:szCs w:val="21"/>
                <w:highlight w:val="none"/>
              </w:rPr>
            </w:pPr>
          </w:p>
        </w:tc>
        <w:tc>
          <w:tcPr>
            <w:tcW w:w="956" w:type="dxa"/>
            <w:vAlign w:val="center"/>
          </w:tcPr>
          <w:p w14:paraId="13BD19B9">
            <w:pPr>
              <w:jc w:val="center"/>
              <w:rPr>
                <w:rFonts w:hint="eastAsia" w:ascii="宋体" w:hAnsi="宋体" w:eastAsia="宋体" w:cs="宋体"/>
                <w:color w:val="auto"/>
                <w:sz w:val="21"/>
                <w:szCs w:val="21"/>
                <w:highlight w:val="none"/>
              </w:rPr>
            </w:pPr>
          </w:p>
        </w:tc>
        <w:tc>
          <w:tcPr>
            <w:tcW w:w="1114" w:type="dxa"/>
            <w:vAlign w:val="center"/>
          </w:tcPr>
          <w:p w14:paraId="16BE43AD">
            <w:pPr>
              <w:jc w:val="center"/>
              <w:rPr>
                <w:rFonts w:hint="eastAsia" w:ascii="宋体" w:hAnsi="宋体" w:eastAsia="宋体" w:cs="宋体"/>
                <w:color w:val="auto"/>
                <w:sz w:val="21"/>
                <w:szCs w:val="21"/>
                <w:highlight w:val="none"/>
              </w:rPr>
            </w:pPr>
          </w:p>
        </w:tc>
        <w:tc>
          <w:tcPr>
            <w:tcW w:w="956" w:type="dxa"/>
            <w:vAlign w:val="top"/>
          </w:tcPr>
          <w:p w14:paraId="5D90162C">
            <w:pPr>
              <w:jc w:val="center"/>
              <w:rPr>
                <w:rFonts w:hint="eastAsia" w:ascii="宋体" w:hAnsi="宋体" w:eastAsia="宋体" w:cs="宋体"/>
                <w:color w:val="auto"/>
                <w:sz w:val="21"/>
                <w:szCs w:val="21"/>
                <w:highlight w:val="none"/>
              </w:rPr>
            </w:pPr>
          </w:p>
        </w:tc>
        <w:tc>
          <w:tcPr>
            <w:tcW w:w="956" w:type="dxa"/>
            <w:vAlign w:val="center"/>
          </w:tcPr>
          <w:p w14:paraId="4B7F8D18">
            <w:pPr>
              <w:jc w:val="center"/>
              <w:rPr>
                <w:rFonts w:hint="eastAsia" w:ascii="宋体" w:hAnsi="宋体" w:eastAsia="宋体" w:cs="宋体"/>
                <w:color w:val="auto"/>
                <w:sz w:val="21"/>
                <w:szCs w:val="21"/>
                <w:highlight w:val="none"/>
              </w:rPr>
            </w:pPr>
          </w:p>
        </w:tc>
        <w:tc>
          <w:tcPr>
            <w:tcW w:w="956" w:type="dxa"/>
            <w:vAlign w:val="center"/>
          </w:tcPr>
          <w:p w14:paraId="475DFDB3">
            <w:pPr>
              <w:jc w:val="center"/>
              <w:rPr>
                <w:rFonts w:hint="eastAsia" w:ascii="宋体" w:hAnsi="宋体" w:eastAsia="宋体" w:cs="宋体"/>
                <w:color w:val="auto"/>
                <w:sz w:val="21"/>
                <w:szCs w:val="21"/>
                <w:highlight w:val="none"/>
              </w:rPr>
            </w:pPr>
          </w:p>
        </w:tc>
        <w:tc>
          <w:tcPr>
            <w:tcW w:w="788" w:type="dxa"/>
            <w:vAlign w:val="center"/>
          </w:tcPr>
          <w:p w14:paraId="56F8058D">
            <w:pPr>
              <w:jc w:val="center"/>
              <w:rPr>
                <w:rFonts w:hint="eastAsia" w:ascii="宋体" w:hAnsi="宋体" w:eastAsia="宋体" w:cs="宋体"/>
                <w:color w:val="auto"/>
                <w:sz w:val="21"/>
                <w:szCs w:val="21"/>
                <w:highlight w:val="none"/>
              </w:rPr>
            </w:pPr>
          </w:p>
        </w:tc>
      </w:tr>
    </w:tbl>
    <w:p w14:paraId="25DC5BB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FB7D7D5">
      <w:pPr>
        <w:autoSpaceDE w:val="0"/>
        <w:autoSpaceDN w:val="0"/>
        <w:adjustRightInd w:val="0"/>
        <w:snapToGrid w:val="0"/>
        <w:spacing w:line="360" w:lineRule="auto"/>
        <w:ind w:left="481" w:leftChars="-41" w:hanging="567" w:hangingChars="270"/>
        <w:jc w:val="left"/>
        <w:rPr>
          <w:rFonts w:hint="default"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备注：</w:t>
      </w:r>
    </w:p>
    <w:p w14:paraId="5AD2CAC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p>
    <w:p w14:paraId="0DBB778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w:t>
      </w:r>
    </w:p>
    <w:p w14:paraId="4487025A">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）若业绩为框架式协议或资格入围无明确金额的合同，必须同时提供合同期限内已完成运输服务的发票金额统计表和服务发票复印件；</w:t>
      </w:r>
    </w:p>
    <w:p w14:paraId="6297E09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）若合同无法反映评分条件的，还需提供发包人出具的书面补充说明文件复印件作为辅助证明。</w:t>
      </w:r>
    </w:p>
    <w:p w14:paraId="01DEA643">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41B909A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FCB586C">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334722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E30333B">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附表：已完成运输服务发票金额统计表</w:t>
      </w:r>
    </w:p>
    <w:tbl>
      <w:tblPr>
        <w:tblStyle w:val="3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201"/>
        <w:gridCol w:w="1135"/>
        <w:gridCol w:w="1274"/>
        <w:gridCol w:w="1558"/>
        <w:gridCol w:w="1241"/>
      </w:tblGrid>
      <w:tr w14:paraId="3831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6A147602">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tcBorders>
              <w:top w:val="single" w:color="auto" w:sz="4" w:space="0"/>
              <w:left w:val="single" w:color="auto" w:sz="4" w:space="0"/>
              <w:bottom w:val="single" w:color="auto" w:sz="4" w:space="0"/>
              <w:right w:val="single" w:color="auto" w:sz="4" w:space="0"/>
            </w:tcBorders>
            <w:vAlign w:val="center"/>
          </w:tcPr>
          <w:p w14:paraId="63B65937">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096C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695483B5">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tcBorders>
              <w:top w:val="single" w:color="auto" w:sz="4" w:space="0"/>
              <w:left w:val="single" w:color="auto" w:sz="4" w:space="0"/>
              <w:bottom w:val="single" w:color="auto" w:sz="4" w:space="0"/>
              <w:right w:val="single" w:color="auto" w:sz="4" w:space="0"/>
            </w:tcBorders>
            <w:vAlign w:val="center"/>
          </w:tcPr>
          <w:p w14:paraId="6F49F7A2">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6B70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73E4F2C8">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合同买方）</w:t>
            </w:r>
          </w:p>
        </w:tc>
        <w:tc>
          <w:tcPr>
            <w:tcW w:w="5208" w:type="dxa"/>
            <w:gridSpan w:val="4"/>
            <w:tcBorders>
              <w:top w:val="single" w:color="auto" w:sz="4" w:space="0"/>
              <w:left w:val="single" w:color="auto" w:sz="4" w:space="0"/>
              <w:bottom w:val="single" w:color="auto" w:sz="4" w:space="0"/>
              <w:right w:val="single" w:color="auto" w:sz="4" w:space="0"/>
            </w:tcBorders>
            <w:vAlign w:val="center"/>
          </w:tcPr>
          <w:p w14:paraId="515F8EA8">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41B3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46E4D0A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1" w:type="dxa"/>
            <w:tcBorders>
              <w:top w:val="single" w:color="auto" w:sz="4" w:space="0"/>
              <w:left w:val="single" w:color="auto" w:sz="4" w:space="0"/>
              <w:bottom w:val="single" w:color="auto" w:sz="4" w:space="0"/>
              <w:right w:val="single" w:color="auto" w:sz="4" w:space="0"/>
            </w:tcBorders>
            <w:vAlign w:val="center"/>
          </w:tcPr>
          <w:p w14:paraId="08656A62">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tcBorders>
              <w:top w:val="single" w:color="auto" w:sz="4" w:space="0"/>
              <w:left w:val="single" w:color="auto" w:sz="4" w:space="0"/>
              <w:bottom w:val="single" w:color="auto" w:sz="4" w:space="0"/>
              <w:right w:val="single" w:color="auto" w:sz="4" w:space="0"/>
            </w:tcBorders>
            <w:vAlign w:val="center"/>
          </w:tcPr>
          <w:p w14:paraId="758F652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tcBorders>
              <w:top w:val="single" w:color="auto" w:sz="4" w:space="0"/>
              <w:left w:val="single" w:color="auto" w:sz="4" w:space="0"/>
              <w:bottom w:val="single" w:color="auto" w:sz="4" w:space="0"/>
              <w:right w:val="single" w:color="auto" w:sz="4" w:space="0"/>
            </w:tcBorders>
            <w:vAlign w:val="center"/>
          </w:tcPr>
          <w:p w14:paraId="1C289DD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63ADCE9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5466A7C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BBF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60890E77">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1" w:type="dxa"/>
            <w:tcBorders>
              <w:top w:val="single" w:color="auto" w:sz="4" w:space="0"/>
              <w:left w:val="single" w:color="auto" w:sz="4" w:space="0"/>
              <w:bottom w:val="single" w:color="auto" w:sz="4" w:space="0"/>
              <w:right w:val="single" w:color="auto" w:sz="4" w:space="0"/>
            </w:tcBorders>
            <w:vAlign w:val="center"/>
          </w:tcPr>
          <w:p w14:paraId="762FA02B">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DD11496">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1229A114">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4FCA433">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5B8E8EA6">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6D45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4340982D">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1" w:type="dxa"/>
            <w:tcBorders>
              <w:top w:val="single" w:color="auto" w:sz="4" w:space="0"/>
              <w:left w:val="single" w:color="auto" w:sz="4" w:space="0"/>
              <w:bottom w:val="single" w:color="auto" w:sz="4" w:space="0"/>
              <w:right w:val="single" w:color="auto" w:sz="4" w:space="0"/>
            </w:tcBorders>
            <w:vAlign w:val="center"/>
          </w:tcPr>
          <w:p w14:paraId="7DC778D1">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B8B829E">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0C69242B">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97F097A">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70652673">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14B7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793E3A79">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1" w:type="dxa"/>
            <w:tcBorders>
              <w:top w:val="single" w:color="auto" w:sz="4" w:space="0"/>
              <w:left w:val="single" w:color="auto" w:sz="4" w:space="0"/>
              <w:bottom w:val="single" w:color="auto" w:sz="4" w:space="0"/>
              <w:right w:val="single" w:color="auto" w:sz="4" w:space="0"/>
            </w:tcBorders>
            <w:vAlign w:val="center"/>
          </w:tcPr>
          <w:p w14:paraId="480CB62A">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DF7B5F5">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179A8281">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4C44C6D">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2CB9CD19">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1189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6B426912">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1" w:type="dxa"/>
            <w:tcBorders>
              <w:top w:val="single" w:color="auto" w:sz="4" w:space="0"/>
              <w:left w:val="single" w:color="auto" w:sz="4" w:space="0"/>
              <w:bottom w:val="single" w:color="auto" w:sz="4" w:space="0"/>
              <w:right w:val="single" w:color="auto" w:sz="4" w:space="0"/>
            </w:tcBorders>
            <w:vAlign w:val="center"/>
          </w:tcPr>
          <w:p w14:paraId="21D9E097">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0ECBC04">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0BE62B75">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718EBBDE">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6F5B5C4">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4A93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14AC983C">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tcBorders>
              <w:top w:val="single" w:color="auto" w:sz="4" w:space="0"/>
              <w:left w:val="single" w:color="auto" w:sz="4" w:space="0"/>
              <w:bottom w:val="single" w:color="auto" w:sz="4" w:space="0"/>
              <w:right w:val="single" w:color="auto" w:sz="4" w:space="0"/>
            </w:tcBorders>
            <w:vAlign w:val="center"/>
          </w:tcPr>
          <w:p w14:paraId="0F6FAC1D">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6BB73B55">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7D52D0DF">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AFDD3FB">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bl>
    <w:p w14:paraId="483A5875">
      <w:pPr>
        <w:snapToGrid w:val="0"/>
        <w:spacing w:line="360" w:lineRule="auto"/>
        <w:ind w:left="491" w:leftChars="-57" w:hanging="611" w:hangingChars="291"/>
        <w:rPr>
          <w:rFonts w:hint="eastAsia" w:ascii="宋体" w:hAnsi="宋体" w:eastAsia="宋体" w:cs="宋体"/>
          <w:color w:val="auto"/>
          <w:kern w:val="2"/>
          <w:sz w:val="21"/>
          <w:highlight w:val="none"/>
        </w:rPr>
      </w:pPr>
    </w:p>
    <w:p w14:paraId="46651939">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03B383EC">
      <w:pPr>
        <w:snapToGrid w:val="0"/>
        <w:spacing w:line="360" w:lineRule="auto"/>
        <w:ind w:left="691" w:leftChars="59" w:hanging="567" w:hangingChars="27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（1）投标人提供框架式协议或资格入围无明确金额的合同时，须同时提供本统计表及服务发票复印件，本统计表及服务发票复印件应后附于合同复印件。</w:t>
      </w:r>
    </w:p>
    <w:p w14:paraId="1D46283A">
      <w:pPr>
        <w:snapToGrid w:val="0"/>
        <w:spacing w:line="360" w:lineRule="auto"/>
        <w:ind w:left="691" w:leftChars="59" w:hanging="567" w:hangingChars="27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（2）发票抬头应为合同买方，收款人应为</w:t>
      </w:r>
      <w:r>
        <w:rPr>
          <w:rFonts w:hint="eastAsia" w:ascii="宋体" w:hAnsi="宋体" w:eastAsia="宋体" w:cs="宋体"/>
          <w:color w:val="auto"/>
          <w:sz w:val="21"/>
          <w:szCs w:val="21"/>
          <w:highlight w:val="none"/>
        </w:rPr>
        <w:t>投标人</w:t>
      </w:r>
      <w:r>
        <w:rPr>
          <w:rFonts w:hint="eastAsia" w:ascii="宋体" w:hAnsi="宋体" w:eastAsia="宋体" w:cs="宋体"/>
          <w:color w:val="auto"/>
          <w:kern w:val="2"/>
          <w:sz w:val="21"/>
          <w:highlight w:val="none"/>
        </w:rPr>
        <w:t>，且发票名目、所属时期应与合同约定内容一致，否则不计分。</w:t>
      </w:r>
    </w:p>
    <w:p w14:paraId="5660B599">
      <w:pPr>
        <w:snapToGrid w:val="0"/>
        <w:spacing w:line="360" w:lineRule="auto"/>
        <w:ind w:left="691" w:leftChars="59" w:hanging="567" w:hangingChars="270"/>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21"/>
          <w:highlight w:val="none"/>
        </w:rPr>
        <w:t>（3）发票合计金额视为投标人所提供该项运输服务业绩的合同金额，并按此金额进行评审。</w:t>
      </w:r>
    </w:p>
    <w:p w14:paraId="1EDDB4E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3E36FC5E">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br w:type="page"/>
      </w:r>
    </w:p>
    <w:p w14:paraId="775ECD68">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年1月1日以来（签订合同的时间为20</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1年1月1日或以后）承接的运输服务（运输货物为污泥）项目业绩表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3F0C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6BD03C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2C611E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42CC0D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1651CF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39724F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2EF3E7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796E78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5E783E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6B6ABC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2B017A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092050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EBB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22B9064B">
            <w:pPr>
              <w:jc w:val="center"/>
              <w:rPr>
                <w:rFonts w:hint="eastAsia" w:ascii="宋体" w:hAnsi="宋体" w:eastAsia="宋体" w:cs="宋体"/>
                <w:color w:val="auto"/>
                <w:sz w:val="21"/>
                <w:szCs w:val="21"/>
                <w:highlight w:val="none"/>
              </w:rPr>
            </w:pPr>
          </w:p>
        </w:tc>
        <w:tc>
          <w:tcPr>
            <w:tcW w:w="954" w:type="dxa"/>
            <w:vAlign w:val="center"/>
          </w:tcPr>
          <w:p w14:paraId="41D459F7">
            <w:pPr>
              <w:jc w:val="center"/>
              <w:rPr>
                <w:rFonts w:hint="eastAsia" w:ascii="宋体" w:hAnsi="宋体" w:eastAsia="宋体" w:cs="宋体"/>
                <w:color w:val="auto"/>
                <w:sz w:val="21"/>
                <w:szCs w:val="21"/>
                <w:highlight w:val="none"/>
              </w:rPr>
            </w:pPr>
          </w:p>
        </w:tc>
        <w:tc>
          <w:tcPr>
            <w:tcW w:w="954" w:type="dxa"/>
            <w:vAlign w:val="center"/>
          </w:tcPr>
          <w:p w14:paraId="43ED8110">
            <w:pPr>
              <w:jc w:val="center"/>
              <w:rPr>
                <w:rFonts w:hint="eastAsia" w:ascii="宋体" w:hAnsi="宋体" w:eastAsia="宋体" w:cs="宋体"/>
                <w:color w:val="auto"/>
                <w:sz w:val="21"/>
                <w:szCs w:val="21"/>
                <w:highlight w:val="none"/>
              </w:rPr>
            </w:pPr>
          </w:p>
        </w:tc>
        <w:tc>
          <w:tcPr>
            <w:tcW w:w="956" w:type="dxa"/>
            <w:vAlign w:val="center"/>
          </w:tcPr>
          <w:p w14:paraId="4BB3D749">
            <w:pPr>
              <w:jc w:val="center"/>
              <w:rPr>
                <w:rFonts w:hint="eastAsia" w:ascii="宋体" w:hAnsi="宋体" w:eastAsia="宋体" w:cs="宋体"/>
                <w:color w:val="auto"/>
                <w:sz w:val="21"/>
                <w:szCs w:val="21"/>
                <w:highlight w:val="none"/>
              </w:rPr>
            </w:pPr>
          </w:p>
        </w:tc>
        <w:tc>
          <w:tcPr>
            <w:tcW w:w="956" w:type="dxa"/>
            <w:vAlign w:val="center"/>
          </w:tcPr>
          <w:p w14:paraId="2F270EA7">
            <w:pPr>
              <w:jc w:val="center"/>
              <w:rPr>
                <w:rFonts w:hint="eastAsia" w:ascii="宋体" w:hAnsi="宋体" w:eastAsia="宋体" w:cs="宋体"/>
                <w:color w:val="auto"/>
                <w:sz w:val="21"/>
                <w:szCs w:val="21"/>
                <w:highlight w:val="none"/>
              </w:rPr>
            </w:pPr>
          </w:p>
        </w:tc>
        <w:tc>
          <w:tcPr>
            <w:tcW w:w="956" w:type="dxa"/>
            <w:vAlign w:val="center"/>
          </w:tcPr>
          <w:p w14:paraId="647FDBB2">
            <w:pPr>
              <w:jc w:val="center"/>
              <w:rPr>
                <w:rFonts w:hint="eastAsia" w:ascii="宋体" w:hAnsi="宋体" w:eastAsia="宋体" w:cs="宋体"/>
                <w:color w:val="auto"/>
                <w:sz w:val="21"/>
                <w:szCs w:val="21"/>
                <w:highlight w:val="none"/>
              </w:rPr>
            </w:pPr>
          </w:p>
        </w:tc>
        <w:tc>
          <w:tcPr>
            <w:tcW w:w="1114" w:type="dxa"/>
            <w:vAlign w:val="center"/>
          </w:tcPr>
          <w:p w14:paraId="3D438D2F">
            <w:pPr>
              <w:jc w:val="center"/>
              <w:rPr>
                <w:rFonts w:hint="eastAsia" w:ascii="宋体" w:hAnsi="宋体" w:eastAsia="宋体" w:cs="宋体"/>
                <w:color w:val="auto"/>
                <w:sz w:val="21"/>
                <w:szCs w:val="21"/>
                <w:highlight w:val="none"/>
              </w:rPr>
            </w:pPr>
          </w:p>
        </w:tc>
        <w:tc>
          <w:tcPr>
            <w:tcW w:w="956" w:type="dxa"/>
            <w:vAlign w:val="top"/>
          </w:tcPr>
          <w:p w14:paraId="1D87645D">
            <w:pPr>
              <w:jc w:val="center"/>
              <w:rPr>
                <w:rFonts w:hint="eastAsia" w:ascii="宋体" w:hAnsi="宋体" w:eastAsia="宋体" w:cs="宋体"/>
                <w:color w:val="auto"/>
                <w:sz w:val="21"/>
                <w:szCs w:val="21"/>
                <w:highlight w:val="none"/>
              </w:rPr>
            </w:pPr>
          </w:p>
        </w:tc>
        <w:tc>
          <w:tcPr>
            <w:tcW w:w="956" w:type="dxa"/>
            <w:vAlign w:val="center"/>
          </w:tcPr>
          <w:p w14:paraId="2A4CCCAE">
            <w:pPr>
              <w:jc w:val="center"/>
              <w:rPr>
                <w:rFonts w:hint="eastAsia" w:ascii="宋体" w:hAnsi="宋体" w:eastAsia="宋体" w:cs="宋体"/>
                <w:color w:val="auto"/>
                <w:sz w:val="21"/>
                <w:szCs w:val="21"/>
                <w:highlight w:val="none"/>
              </w:rPr>
            </w:pPr>
          </w:p>
        </w:tc>
        <w:tc>
          <w:tcPr>
            <w:tcW w:w="956" w:type="dxa"/>
            <w:vAlign w:val="center"/>
          </w:tcPr>
          <w:p w14:paraId="72CF8574">
            <w:pPr>
              <w:jc w:val="center"/>
              <w:rPr>
                <w:rFonts w:hint="eastAsia" w:ascii="宋体" w:hAnsi="宋体" w:eastAsia="宋体" w:cs="宋体"/>
                <w:color w:val="auto"/>
                <w:sz w:val="21"/>
                <w:szCs w:val="21"/>
                <w:highlight w:val="none"/>
              </w:rPr>
            </w:pPr>
          </w:p>
        </w:tc>
        <w:tc>
          <w:tcPr>
            <w:tcW w:w="788" w:type="dxa"/>
            <w:vAlign w:val="center"/>
          </w:tcPr>
          <w:p w14:paraId="3E787D96">
            <w:pPr>
              <w:jc w:val="center"/>
              <w:rPr>
                <w:rFonts w:hint="eastAsia" w:ascii="宋体" w:hAnsi="宋体" w:eastAsia="宋体" w:cs="宋体"/>
                <w:color w:val="auto"/>
                <w:sz w:val="21"/>
                <w:szCs w:val="21"/>
                <w:highlight w:val="none"/>
              </w:rPr>
            </w:pPr>
          </w:p>
        </w:tc>
      </w:tr>
      <w:tr w14:paraId="54F7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015EC3A4">
            <w:pPr>
              <w:jc w:val="center"/>
              <w:rPr>
                <w:rFonts w:hint="eastAsia" w:ascii="宋体" w:hAnsi="宋体" w:eastAsia="宋体" w:cs="宋体"/>
                <w:color w:val="auto"/>
                <w:sz w:val="21"/>
                <w:szCs w:val="21"/>
                <w:highlight w:val="none"/>
              </w:rPr>
            </w:pPr>
          </w:p>
        </w:tc>
        <w:tc>
          <w:tcPr>
            <w:tcW w:w="954" w:type="dxa"/>
            <w:vAlign w:val="center"/>
          </w:tcPr>
          <w:p w14:paraId="03A5D53F">
            <w:pPr>
              <w:jc w:val="center"/>
              <w:rPr>
                <w:rFonts w:hint="eastAsia" w:ascii="宋体" w:hAnsi="宋体" w:eastAsia="宋体" w:cs="宋体"/>
                <w:color w:val="auto"/>
                <w:sz w:val="21"/>
                <w:szCs w:val="21"/>
                <w:highlight w:val="none"/>
              </w:rPr>
            </w:pPr>
          </w:p>
        </w:tc>
        <w:tc>
          <w:tcPr>
            <w:tcW w:w="954" w:type="dxa"/>
            <w:vAlign w:val="center"/>
          </w:tcPr>
          <w:p w14:paraId="50DF25B2">
            <w:pPr>
              <w:jc w:val="center"/>
              <w:rPr>
                <w:rFonts w:hint="eastAsia" w:ascii="宋体" w:hAnsi="宋体" w:eastAsia="宋体" w:cs="宋体"/>
                <w:color w:val="auto"/>
                <w:sz w:val="21"/>
                <w:szCs w:val="21"/>
                <w:highlight w:val="none"/>
              </w:rPr>
            </w:pPr>
          </w:p>
        </w:tc>
        <w:tc>
          <w:tcPr>
            <w:tcW w:w="956" w:type="dxa"/>
            <w:vAlign w:val="center"/>
          </w:tcPr>
          <w:p w14:paraId="73C0BE48">
            <w:pPr>
              <w:jc w:val="center"/>
              <w:rPr>
                <w:rFonts w:hint="eastAsia" w:ascii="宋体" w:hAnsi="宋体" w:eastAsia="宋体" w:cs="宋体"/>
                <w:color w:val="auto"/>
                <w:sz w:val="21"/>
                <w:szCs w:val="21"/>
                <w:highlight w:val="none"/>
              </w:rPr>
            </w:pPr>
          </w:p>
        </w:tc>
        <w:tc>
          <w:tcPr>
            <w:tcW w:w="956" w:type="dxa"/>
            <w:vAlign w:val="center"/>
          </w:tcPr>
          <w:p w14:paraId="28AA8F91">
            <w:pPr>
              <w:jc w:val="center"/>
              <w:rPr>
                <w:rFonts w:hint="eastAsia" w:ascii="宋体" w:hAnsi="宋体" w:eastAsia="宋体" w:cs="宋体"/>
                <w:color w:val="auto"/>
                <w:sz w:val="21"/>
                <w:szCs w:val="21"/>
                <w:highlight w:val="none"/>
              </w:rPr>
            </w:pPr>
          </w:p>
        </w:tc>
        <w:tc>
          <w:tcPr>
            <w:tcW w:w="956" w:type="dxa"/>
            <w:vAlign w:val="center"/>
          </w:tcPr>
          <w:p w14:paraId="67E94412">
            <w:pPr>
              <w:jc w:val="center"/>
              <w:rPr>
                <w:rFonts w:hint="eastAsia" w:ascii="宋体" w:hAnsi="宋体" w:eastAsia="宋体" w:cs="宋体"/>
                <w:color w:val="auto"/>
                <w:sz w:val="21"/>
                <w:szCs w:val="21"/>
                <w:highlight w:val="none"/>
              </w:rPr>
            </w:pPr>
          </w:p>
        </w:tc>
        <w:tc>
          <w:tcPr>
            <w:tcW w:w="1114" w:type="dxa"/>
            <w:vAlign w:val="center"/>
          </w:tcPr>
          <w:p w14:paraId="795A887A">
            <w:pPr>
              <w:jc w:val="center"/>
              <w:rPr>
                <w:rFonts w:hint="eastAsia" w:ascii="宋体" w:hAnsi="宋体" w:eastAsia="宋体" w:cs="宋体"/>
                <w:color w:val="auto"/>
                <w:sz w:val="21"/>
                <w:szCs w:val="21"/>
                <w:highlight w:val="none"/>
              </w:rPr>
            </w:pPr>
          </w:p>
        </w:tc>
        <w:tc>
          <w:tcPr>
            <w:tcW w:w="956" w:type="dxa"/>
            <w:vAlign w:val="top"/>
          </w:tcPr>
          <w:p w14:paraId="3CC65A44">
            <w:pPr>
              <w:jc w:val="center"/>
              <w:rPr>
                <w:rFonts w:hint="eastAsia" w:ascii="宋体" w:hAnsi="宋体" w:eastAsia="宋体" w:cs="宋体"/>
                <w:color w:val="auto"/>
                <w:sz w:val="21"/>
                <w:szCs w:val="21"/>
                <w:highlight w:val="none"/>
              </w:rPr>
            </w:pPr>
          </w:p>
        </w:tc>
        <w:tc>
          <w:tcPr>
            <w:tcW w:w="956" w:type="dxa"/>
            <w:vAlign w:val="center"/>
          </w:tcPr>
          <w:p w14:paraId="7DCC246E">
            <w:pPr>
              <w:jc w:val="center"/>
              <w:rPr>
                <w:rFonts w:hint="eastAsia" w:ascii="宋体" w:hAnsi="宋体" w:eastAsia="宋体" w:cs="宋体"/>
                <w:color w:val="auto"/>
                <w:sz w:val="21"/>
                <w:szCs w:val="21"/>
                <w:highlight w:val="none"/>
              </w:rPr>
            </w:pPr>
          </w:p>
        </w:tc>
        <w:tc>
          <w:tcPr>
            <w:tcW w:w="956" w:type="dxa"/>
            <w:vAlign w:val="center"/>
          </w:tcPr>
          <w:p w14:paraId="7E4656E0">
            <w:pPr>
              <w:jc w:val="center"/>
              <w:rPr>
                <w:rFonts w:hint="eastAsia" w:ascii="宋体" w:hAnsi="宋体" w:eastAsia="宋体" w:cs="宋体"/>
                <w:color w:val="auto"/>
                <w:sz w:val="21"/>
                <w:szCs w:val="21"/>
                <w:highlight w:val="none"/>
              </w:rPr>
            </w:pPr>
          </w:p>
        </w:tc>
        <w:tc>
          <w:tcPr>
            <w:tcW w:w="788" w:type="dxa"/>
            <w:vAlign w:val="center"/>
          </w:tcPr>
          <w:p w14:paraId="0B9FC28C">
            <w:pPr>
              <w:jc w:val="center"/>
              <w:rPr>
                <w:rFonts w:hint="eastAsia" w:ascii="宋体" w:hAnsi="宋体" w:eastAsia="宋体" w:cs="宋体"/>
                <w:color w:val="auto"/>
                <w:sz w:val="21"/>
                <w:szCs w:val="21"/>
                <w:highlight w:val="none"/>
              </w:rPr>
            </w:pPr>
          </w:p>
        </w:tc>
      </w:tr>
      <w:tr w14:paraId="5857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3B0B4953">
            <w:pPr>
              <w:jc w:val="center"/>
              <w:rPr>
                <w:rFonts w:hint="eastAsia" w:ascii="宋体" w:hAnsi="宋体" w:eastAsia="宋体" w:cs="宋体"/>
                <w:color w:val="auto"/>
                <w:sz w:val="21"/>
                <w:szCs w:val="21"/>
                <w:highlight w:val="none"/>
              </w:rPr>
            </w:pPr>
          </w:p>
        </w:tc>
        <w:tc>
          <w:tcPr>
            <w:tcW w:w="954" w:type="dxa"/>
            <w:vAlign w:val="center"/>
          </w:tcPr>
          <w:p w14:paraId="3E0AD073">
            <w:pPr>
              <w:jc w:val="center"/>
              <w:rPr>
                <w:rFonts w:hint="eastAsia" w:ascii="宋体" w:hAnsi="宋体" w:eastAsia="宋体" w:cs="宋体"/>
                <w:color w:val="auto"/>
                <w:sz w:val="21"/>
                <w:szCs w:val="21"/>
                <w:highlight w:val="none"/>
              </w:rPr>
            </w:pPr>
          </w:p>
        </w:tc>
        <w:tc>
          <w:tcPr>
            <w:tcW w:w="954" w:type="dxa"/>
            <w:vAlign w:val="center"/>
          </w:tcPr>
          <w:p w14:paraId="57060C01">
            <w:pPr>
              <w:jc w:val="center"/>
              <w:rPr>
                <w:rFonts w:hint="eastAsia" w:ascii="宋体" w:hAnsi="宋体" w:eastAsia="宋体" w:cs="宋体"/>
                <w:color w:val="auto"/>
                <w:sz w:val="21"/>
                <w:szCs w:val="21"/>
                <w:highlight w:val="none"/>
              </w:rPr>
            </w:pPr>
          </w:p>
        </w:tc>
        <w:tc>
          <w:tcPr>
            <w:tcW w:w="956" w:type="dxa"/>
            <w:vAlign w:val="center"/>
          </w:tcPr>
          <w:p w14:paraId="01840D4E">
            <w:pPr>
              <w:jc w:val="center"/>
              <w:rPr>
                <w:rFonts w:hint="eastAsia" w:ascii="宋体" w:hAnsi="宋体" w:eastAsia="宋体" w:cs="宋体"/>
                <w:color w:val="auto"/>
                <w:sz w:val="21"/>
                <w:szCs w:val="21"/>
                <w:highlight w:val="none"/>
              </w:rPr>
            </w:pPr>
          </w:p>
        </w:tc>
        <w:tc>
          <w:tcPr>
            <w:tcW w:w="956" w:type="dxa"/>
            <w:vAlign w:val="center"/>
          </w:tcPr>
          <w:p w14:paraId="166A32CA">
            <w:pPr>
              <w:jc w:val="center"/>
              <w:rPr>
                <w:rFonts w:hint="eastAsia" w:ascii="宋体" w:hAnsi="宋体" w:eastAsia="宋体" w:cs="宋体"/>
                <w:color w:val="auto"/>
                <w:sz w:val="21"/>
                <w:szCs w:val="21"/>
                <w:highlight w:val="none"/>
              </w:rPr>
            </w:pPr>
          </w:p>
        </w:tc>
        <w:tc>
          <w:tcPr>
            <w:tcW w:w="956" w:type="dxa"/>
            <w:vAlign w:val="center"/>
          </w:tcPr>
          <w:p w14:paraId="2B15B5DF">
            <w:pPr>
              <w:jc w:val="center"/>
              <w:rPr>
                <w:rFonts w:hint="eastAsia" w:ascii="宋体" w:hAnsi="宋体" w:eastAsia="宋体" w:cs="宋体"/>
                <w:color w:val="auto"/>
                <w:sz w:val="21"/>
                <w:szCs w:val="21"/>
                <w:highlight w:val="none"/>
              </w:rPr>
            </w:pPr>
          </w:p>
        </w:tc>
        <w:tc>
          <w:tcPr>
            <w:tcW w:w="1114" w:type="dxa"/>
            <w:vAlign w:val="center"/>
          </w:tcPr>
          <w:p w14:paraId="1AE98B65">
            <w:pPr>
              <w:jc w:val="center"/>
              <w:rPr>
                <w:rFonts w:hint="eastAsia" w:ascii="宋体" w:hAnsi="宋体" w:eastAsia="宋体" w:cs="宋体"/>
                <w:color w:val="auto"/>
                <w:sz w:val="21"/>
                <w:szCs w:val="21"/>
                <w:highlight w:val="none"/>
              </w:rPr>
            </w:pPr>
          </w:p>
        </w:tc>
        <w:tc>
          <w:tcPr>
            <w:tcW w:w="956" w:type="dxa"/>
            <w:vAlign w:val="top"/>
          </w:tcPr>
          <w:p w14:paraId="4E6FB58C">
            <w:pPr>
              <w:jc w:val="center"/>
              <w:rPr>
                <w:rFonts w:hint="eastAsia" w:ascii="宋体" w:hAnsi="宋体" w:eastAsia="宋体" w:cs="宋体"/>
                <w:color w:val="auto"/>
                <w:sz w:val="21"/>
                <w:szCs w:val="21"/>
                <w:highlight w:val="none"/>
              </w:rPr>
            </w:pPr>
          </w:p>
        </w:tc>
        <w:tc>
          <w:tcPr>
            <w:tcW w:w="956" w:type="dxa"/>
            <w:vAlign w:val="center"/>
          </w:tcPr>
          <w:p w14:paraId="2DB567EE">
            <w:pPr>
              <w:jc w:val="center"/>
              <w:rPr>
                <w:rFonts w:hint="eastAsia" w:ascii="宋体" w:hAnsi="宋体" w:eastAsia="宋体" w:cs="宋体"/>
                <w:color w:val="auto"/>
                <w:sz w:val="21"/>
                <w:szCs w:val="21"/>
                <w:highlight w:val="none"/>
              </w:rPr>
            </w:pPr>
          </w:p>
        </w:tc>
        <w:tc>
          <w:tcPr>
            <w:tcW w:w="956" w:type="dxa"/>
            <w:vAlign w:val="center"/>
          </w:tcPr>
          <w:p w14:paraId="071404EF">
            <w:pPr>
              <w:jc w:val="center"/>
              <w:rPr>
                <w:rFonts w:hint="eastAsia" w:ascii="宋体" w:hAnsi="宋体" w:eastAsia="宋体" w:cs="宋体"/>
                <w:color w:val="auto"/>
                <w:sz w:val="21"/>
                <w:szCs w:val="21"/>
                <w:highlight w:val="none"/>
              </w:rPr>
            </w:pPr>
          </w:p>
        </w:tc>
        <w:tc>
          <w:tcPr>
            <w:tcW w:w="788" w:type="dxa"/>
            <w:vAlign w:val="center"/>
          </w:tcPr>
          <w:p w14:paraId="3C1BA0B6">
            <w:pPr>
              <w:jc w:val="center"/>
              <w:rPr>
                <w:rFonts w:hint="eastAsia" w:ascii="宋体" w:hAnsi="宋体" w:eastAsia="宋体" w:cs="宋体"/>
                <w:color w:val="auto"/>
                <w:sz w:val="21"/>
                <w:szCs w:val="21"/>
                <w:highlight w:val="none"/>
              </w:rPr>
            </w:pPr>
          </w:p>
        </w:tc>
      </w:tr>
      <w:tr w14:paraId="02D2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45F028F3">
            <w:pPr>
              <w:jc w:val="center"/>
              <w:rPr>
                <w:rFonts w:hint="eastAsia" w:ascii="宋体" w:hAnsi="宋体" w:eastAsia="宋体" w:cs="宋体"/>
                <w:color w:val="auto"/>
                <w:sz w:val="21"/>
                <w:szCs w:val="21"/>
                <w:highlight w:val="none"/>
              </w:rPr>
            </w:pPr>
          </w:p>
        </w:tc>
        <w:tc>
          <w:tcPr>
            <w:tcW w:w="954" w:type="dxa"/>
            <w:vAlign w:val="center"/>
          </w:tcPr>
          <w:p w14:paraId="5628C611">
            <w:pPr>
              <w:jc w:val="center"/>
              <w:rPr>
                <w:rFonts w:hint="eastAsia" w:ascii="宋体" w:hAnsi="宋体" w:eastAsia="宋体" w:cs="宋体"/>
                <w:color w:val="auto"/>
                <w:sz w:val="21"/>
                <w:szCs w:val="21"/>
                <w:highlight w:val="none"/>
              </w:rPr>
            </w:pPr>
          </w:p>
        </w:tc>
        <w:tc>
          <w:tcPr>
            <w:tcW w:w="954" w:type="dxa"/>
            <w:vAlign w:val="center"/>
          </w:tcPr>
          <w:p w14:paraId="2566A913">
            <w:pPr>
              <w:jc w:val="center"/>
              <w:rPr>
                <w:rFonts w:hint="eastAsia" w:ascii="宋体" w:hAnsi="宋体" w:eastAsia="宋体" w:cs="宋体"/>
                <w:color w:val="auto"/>
                <w:sz w:val="21"/>
                <w:szCs w:val="21"/>
                <w:highlight w:val="none"/>
              </w:rPr>
            </w:pPr>
          </w:p>
        </w:tc>
        <w:tc>
          <w:tcPr>
            <w:tcW w:w="956" w:type="dxa"/>
            <w:vAlign w:val="center"/>
          </w:tcPr>
          <w:p w14:paraId="1D95E68A">
            <w:pPr>
              <w:jc w:val="center"/>
              <w:rPr>
                <w:rFonts w:hint="eastAsia" w:ascii="宋体" w:hAnsi="宋体" w:eastAsia="宋体" w:cs="宋体"/>
                <w:color w:val="auto"/>
                <w:sz w:val="21"/>
                <w:szCs w:val="21"/>
                <w:highlight w:val="none"/>
              </w:rPr>
            </w:pPr>
          </w:p>
        </w:tc>
        <w:tc>
          <w:tcPr>
            <w:tcW w:w="956" w:type="dxa"/>
            <w:vAlign w:val="center"/>
          </w:tcPr>
          <w:p w14:paraId="7588EB2C">
            <w:pPr>
              <w:jc w:val="center"/>
              <w:rPr>
                <w:rFonts w:hint="eastAsia" w:ascii="宋体" w:hAnsi="宋体" w:eastAsia="宋体" w:cs="宋体"/>
                <w:color w:val="auto"/>
                <w:sz w:val="21"/>
                <w:szCs w:val="21"/>
                <w:highlight w:val="none"/>
              </w:rPr>
            </w:pPr>
          </w:p>
        </w:tc>
        <w:tc>
          <w:tcPr>
            <w:tcW w:w="956" w:type="dxa"/>
            <w:vAlign w:val="center"/>
          </w:tcPr>
          <w:p w14:paraId="0B291C48">
            <w:pPr>
              <w:jc w:val="center"/>
              <w:rPr>
                <w:rFonts w:hint="eastAsia" w:ascii="宋体" w:hAnsi="宋体" w:eastAsia="宋体" w:cs="宋体"/>
                <w:color w:val="auto"/>
                <w:sz w:val="21"/>
                <w:szCs w:val="21"/>
                <w:highlight w:val="none"/>
              </w:rPr>
            </w:pPr>
          </w:p>
        </w:tc>
        <w:tc>
          <w:tcPr>
            <w:tcW w:w="1114" w:type="dxa"/>
            <w:vAlign w:val="center"/>
          </w:tcPr>
          <w:p w14:paraId="46BF5BA8">
            <w:pPr>
              <w:jc w:val="center"/>
              <w:rPr>
                <w:rFonts w:hint="eastAsia" w:ascii="宋体" w:hAnsi="宋体" w:eastAsia="宋体" w:cs="宋体"/>
                <w:color w:val="auto"/>
                <w:sz w:val="21"/>
                <w:szCs w:val="21"/>
                <w:highlight w:val="none"/>
              </w:rPr>
            </w:pPr>
          </w:p>
        </w:tc>
        <w:tc>
          <w:tcPr>
            <w:tcW w:w="956" w:type="dxa"/>
            <w:vAlign w:val="top"/>
          </w:tcPr>
          <w:p w14:paraId="4C7E98E2">
            <w:pPr>
              <w:jc w:val="center"/>
              <w:rPr>
                <w:rFonts w:hint="eastAsia" w:ascii="宋体" w:hAnsi="宋体" w:eastAsia="宋体" w:cs="宋体"/>
                <w:color w:val="auto"/>
                <w:sz w:val="21"/>
                <w:szCs w:val="21"/>
                <w:highlight w:val="none"/>
              </w:rPr>
            </w:pPr>
          </w:p>
        </w:tc>
        <w:tc>
          <w:tcPr>
            <w:tcW w:w="956" w:type="dxa"/>
            <w:vAlign w:val="center"/>
          </w:tcPr>
          <w:p w14:paraId="5D12181D">
            <w:pPr>
              <w:jc w:val="center"/>
              <w:rPr>
                <w:rFonts w:hint="eastAsia" w:ascii="宋体" w:hAnsi="宋体" w:eastAsia="宋体" w:cs="宋体"/>
                <w:color w:val="auto"/>
                <w:sz w:val="21"/>
                <w:szCs w:val="21"/>
                <w:highlight w:val="none"/>
              </w:rPr>
            </w:pPr>
          </w:p>
        </w:tc>
        <w:tc>
          <w:tcPr>
            <w:tcW w:w="956" w:type="dxa"/>
            <w:vAlign w:val="center"/>
          </w:tcPr>
          <w:p w14:paraId="06937070">
            <w:pPr>
              <w:jc w:val="center"/>
              <w:rPr>
                <w:rFonts w:hint="eastAsia" w:ascii="宋体" w:hAnsi="宋体" w:eastAsia="宋体" w:cs="宋体"/>
                <w:color w:val="auto"/>
                <w:sz w:val="21"/>
                <w:szCs w:val="21"/>
                <w:highlight w:val="none"/>
              </w:rPr>
            </w:pPr>
          </w:p>
        </w:tc>
        <w:tc>
          <w:tcPr>
            <w:tcW w:w="788" w:type="dxa"/>
            <w:vAlign w:val="center"/>
          </w:tcPr>
          <w:p w14:paraId="5A18CF84">
            <w:pPr>
              <w:jc w:val="center"/>
              <w:rPr>
                <w:rFonts w:hint="eastAsia" w:ascii="宋体" w:hAnsi="宋体" w:eastAsia="宋体" w:cs="宋体"/>
                <w:color w:val="auto"/>
                <w:sz w:val="21"/>
                <w:szCs w:val="21"/>
                <w:highlight w:val="none"/>
              </w:rPr>
            </w:pPr>
          </w:p>
        </w:tc>
      </w:tr>
    </w:tbl>
    <w:p w14:paraId="2544757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900D3BB">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备注：</w:t>
      </w:r>
    </w:p>
    <w:p w14:paraId="60C14AC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p>
    <w:p w14:paraId="007D4E7D">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w:t>
      </w:r>
    </w:p>
    <w:p w14:paraId="787369B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eastAsia="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eastAsia="zh-CN"/>
        </w:rPr>
        <w:t>）污泥业绩还需提供该合同下不少于</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eastAsia="zh-CN"/>
        </w:rPr>
        <w:t>00吨污泥的转运联单（联单必须有污泥产生单位、投标人、污泥处置单位公章）复印件。</w:t>
      </w:r>
    </w:p>
    <w:p w14:paraId="077423E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）若业绩为框架式协议或资格入围无明确金额的合同，必须同时提供合同期限内已完成运输服务的发票金额统计表和服务发票复印件；</w:t>
      </w:r>
    </w:p>
    <w:p w14:paraId="39D1D77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）若合同无法反映评分条件的，还需提供发包人出具的书面补充说明文件复印件作为辅助证明。</w:t>
      </w:r>
    </w:p>
    <w:p w14:paraId="71A95C4B">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2F4C17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5E69E67">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5A2DBE6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F9BDC5F">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附表：已完成运输服务发票金额统计表</w:t>
      </w:r>
    </w:p>
    <w:tbl>
      <w:tblPr>
        <w:tblStyle w:val="3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201"/>
        <w:gridCol w:w="1135"/>
        <w:gridCol w:w="1274"/>
        <w:gridCol w:w="1558"/>
        <w:gridCol w:w="1241"/>
      </w:tblGrid>
      <w:tr w14:paraId="0827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451CF10C">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tcBorders>
              <w:top w:val="single" w:color="auto" w:sz="4" w:space="0"/>
              <w:left w:val="single" w:color="auto" w:sz="4" w:space="0"/>
              <w:bottom w:val="single" w:color="auto" w:sz="4" w:space="0"/>
              <w:right w:val="single" w:color="auto" w:sz="4" w:space="0"/>
            </w:tcBorders>
            <w:vAlign w:val="center"/>
          </w:tcPr>
          <w:p w14:paraId="48E50F8F">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719C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2E4A2995">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tcBorders>
              <w:top w:val="single" w:color="auto" w:sz="4" w:space="0"/>
              <w:left w:val="single" w:color="auto" w:sz="4" w:space="0"/>
              <w:bottom w:val="single" w:color="auto" w:sz="4" w:space="0"/>
              <w:right w:val="single" w:color="auto" w:sz="4" w:space="0"/>
            </w:tcBorders>
            <w:vAlign w:val="center"/>
          </w:tcPr>
          <w:p w14:paraId="3878A835">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193E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4B51F3BB">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208" w:type="dxa"/>
            <w:gridSpan w:val="4"/>
            <w:tcBorders>
              <w:top w:val="single" w:color="auto" w:sz="4" w:space="0"/>
              <w:left w:val="single" w:color="auto" w:sz="4" w:space="0"/>
              <w:bottom w:val="single" w:color="auto" w:sz="4" w:space="0"/>
              <w:right w:val="single" w:color="auto" w:sz="4" w:space="0"/>
            </w:tcBorders>
            <w:vAlign w:val="center"/>
          </w:tcPr>
          <w:p w14:paraId="0B3B971D">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750D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02F3EE4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1" w:type="dxa"/>
            <w:tcBorders>
              <w:top w:val="single" w:color="auto" w:sz="4" w:space="0"/>
              <w:left w:val="single" w:color="auto" w:sz="4" w:space="0"/>
              <w:bottom w:val="single" w:color="auto" w:sz="4" w:space="0"/>
              <w:right w:val="single" w:color="auto" w:sz="4" w:space="0"/>
            </w:tcBorders>
            <w:vAlign w:val="center"/>
          </w:tcPr>
          <w:p w14:paraId="46DBC6D6">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tcBorders>
              <w:top w:val="single" w:color="auto" w:sz="4" w:space="0"/>
              <w:left w:val="single" w:color="auto" w:sz="4" w:space="0"/>
              <w:bottom w:val="single" w:color="auto" w:sz="4" w:space="0"/>
              <w:right w:val="single" w:color="auto" w:sz="4" w:space="0"/>
            </w:tcBorders>
            <w:vAlign w:val="center"/>
          </w:tcPr>
          <w:p w14:paraId="5DF6F36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tcBorders>
              <w:top w:val="single" w:color="auto" w:sz="4" w:space="0"/>
              <w:left w:val="single" w:color="auto" w:sz="4" w:space="0"/>
              <w:bottom w:val="single" w:color="auto" w:sz="4" w:space="0"/>
              <w:right w:val="single" w:color="auto" w:sz="4" w:space="0"/>
            </w:tcBorders>
            <w:vAlign w:val="center"/>
          </w:tcPr>
          <w:p w14:paraId="780FA06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4A2494E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7F7E21B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BA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1CF7AB63">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1" w:type="dxa"/>
            <w:tcBorders>
              <w:top w:val="single" w:color="auto" w:sz="4" w:space="0"/>
              <w:left w:val="single" w:color="auto" w:sz="4" w:space="0"/>
              <w:bottom w:val="single" w:color="auto" w:sz="4" w:space="0"/>
              <w:right w:val="single" w:color="auto" w:sz="4" w:space="0"/>
            </w:tcBorders>
            <w:vAlign w:val="center"/>
          </w:tcPr>
          <w:p w14:paraId="2FC94A54">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3D09A9C">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0660C341">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8903957">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25FF9102">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40F0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09527CA2">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1" w:type="dxa"/>
            <w:tcBorders>
              <w:top w:val="single" w:color="auto" w:sz="4" w:space="0"/>
              <w:left w:val="single" w:color="auto" w:sz="4" w:space="0"/>
              <w:bottom w:val="single" w:color="auto" w:sz="4" w:space="0"/>
              <w:right w:val="single" w:color="auto" w:sz="4" w:space="0"/>
            </w:tcBorders>
            <w:vAlign w:val="center"/>
          </w:tcPr>
          <w:p w14:paraId="4EBD0BD1">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B1B5D37">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0FFCC725">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CB99337">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0A18758C">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6324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3DED6F17">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1" w:type="dxa"/>
            <w:tcBorders>
              <w:top w:val="single" w:color="auto" w:sz="4" w:space="0"/>
              <w:left w:val="single" w:color="auto" w:sz="4" w:space="0"/>
              <w:bottom w:val="single" w:color="auto" w:sz="4" w:space="0"/>
              <w:right w:val="single" w:color="auto" w:sz="4" w:space="0"/>
            </w:tcBorders>
            <w:vAlign w:val="center"/>
          </w:tcPr>
          <w:p w14:paraId="5905BEE6">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EF5D90C">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069470EA">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5530A1F">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26B4A882">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231E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0A67CAB0">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1" w:type="dxa"/>
            <w:tcBorders>
              <w:top w:val="single" w:color="auto" w:sz="4" w:space="0"/>
              <w:left w:val="single" w:color="auto" w:sz="4" w:space="0"/>
              <w:bottom w:val="single" w:color="auto" w:sz="4" w:space="0"/>
              <w:right w:val="single" w:color="auto" w:sz="4" w:space="0"/>
            </w:tcBorders>
            <w:vAlign w:val="center"/>
          </w:tcPr>
          <w:p w14:paraId="38F66789">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C54D331">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3776E0D1">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313AAF5C">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481ADC9">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14:paraId="3FB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14:paraId="4CA10691">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tcBorders>
              <w:top w:val="single" w:color="auto" w:sz="4" w:space="0"/>
              <w:left w:val="single" w:color="auto" w:sz="4" w:space="0"/>
              <w:bottom w:val="single" w:color="auto" w:sz="4" w:space="0"/>
              <w:right w:val="single" w:color="auto" w:sz="4" w:space="0"/>
            </w:tcBorders>
            <w:vAlign w:val="center"/>
          </w:tcPr>
          <w:p w14:paraId="7DDDA528">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05D3897">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F825243">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1374512">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bl>
    <w:p w14:paraId="5D6D6890">
      <w:pPr>
        <w:snapToGrid w:val="0"/>
        <w:spacing w:line="360" w:lineRule="auto"/>
        <w:ind w:left="491" w:leftChars="-57" w:hanging="611" w:hangingChars="291"/>
        <w:rPr>
          <w:rFonts w:hint="eastAsia" w:ascii="宋体" w:hAnsi="宋体" w:eastAsia="宋体" w:cs="宋体"/>
          <w:color w:val="auto"/>
          <w:kern w:val="2"/>
          <w:sz w:val="21"/>
          <w:szCs w:val="21"/>
          <w:highlight w:val="none"/>
        </w:rPr>
      </w:pPr>
    </w:p>
    <w:p w14:paraId="405E3B82">
      <w:pPr>
        <w:snapToGrid w:val="0"/>
        <w:spacing w:line="360" w:lineRule="auto"/>
        <w:ind w:left="491" w:leftChars="-57" w:hanging="611" w:hangingChars="29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72AF71B0">
      <w:pPr>
        <w:snapToGrid w:val="0"/>
        <w:spacing w:line="360" w:lineRule="auto"/>
        <w:ind w:left="691" w:leftChars="59" w:hanging="567" w:hangingChars="27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（1）投标人提供框架式协议或资格入围无明确金额的合同时，须同时提供本统计表及服务发票复印件，本统计表及服务发票复印件应后附于合同复印件。</w:t>
      </w:r>
    </w:p>
    <w:p w14:paraId="45D44052">
      <w:pPr>
        <w:snapToGrid w:val="0"/>
        <w:spacing w:line="360" w:lineRule="auto"/>
        <w:ind w:left="691" w:leftChars="59" w:hanging="567" w:hangingChars="27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（2）发票抬头应为合同买方，收款人应为</w:t>
      </w:r>
      <w:r>
        <w:rPr>
          <w:rFonts w:hint="eastAsia" w:ascii="宋体" w:hAnsi="宋体" w:eastAsia="宋体" w:cs="宋体"/>
          <w:color w:val="auto"/>
          <w:sz w:val="21"/>
          <w:szCs w:val="21"/>
          <w:highlight w:val="none"/>
        </w:rPr>
        <w:t>投标人</w:t>
      </w:r>
      <w:r>
        <w:rPr>
          <w:rFonts w:hint="eastAsia" w:ascii="宋体" w:hAnsi="宋体" w:eastAsia="宋体" w:cs="宋体"/>
          <w:color w:val="auto"/>
          <w:kern w:val="2"/>
          <w:sz w:val="21"/>
          <w:szCs w:val="21"/>
          <w:highlight w:val="none"/>
        </w:rPr>
        <w:t>，且发票名目、所属时期应与合同约定内容一致，否则不计分。</w:t>
      </w:r>
    </w:p>
    <w:p w14:paraId="101E6C12">
      <w:pPr>
        <w:snapToGrid w:val="0"/>
        <w:spacing w:line="360" w:lineRule="auto"/>
        <w:ind w:left="691" w:leftChars="59" w:hanging="567" w:hangingChars="270"/>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（3）发票合计金额视为投标人所提供该项运输服务业绩的合同金额，并按此金额进行评审。</w:t>
      </w:r>
    </w:p>
    <w:p w14:paraId="47095E93">
      <w:pPr>
        <w:autoSpaceDE w:val="0"/>
        <w:autoSpaceDN w:val="0"/>
        <w:adjustRightInd w:val="0"/>
        <w:spacing w:line="360" w:lineRule="auto"/>
        <w:ind w:firstLine="602"/>
        <w:rPr>
          <w:rFonts w:ascii="宋体" w:hAnsi="宋体" w:eastAsia="宋体" w:cs="Times New Roman"/>
          <w:b/>
          <w:bCs/>
          <w:color w:val="auto"/>
          <w:sz w:val="21"/>
          <w:szCs w:val="21"/>
          <w:highlight w:val="none"/>
          <w:lang w:val="zh-CN"/>
        </w:rPr>
      </w:pPr>
    </w:p>
    <w:p w14:paraId="65A726F7">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348A6EF0">
      <w:pPr>
        <w:pStyle w:val="20"/>
        <w:spacing w:line="360" w:lineRule="auto"/>
        <w:jc w:val="center"/>
        <w:rPr>
          <w:rFonts w:hint="eastAsia" w:ascii="宋体" w:hAnsi="宋体" w:eastAsia="宋体" w:cs="宋体"/>
          <w:b/>
          <w:color w:val="auto"/>
          <w:kern w:val="0"/>
          <w:szCs w:val="21"/>
          <w:highlight w:val="none"/>
        </w:rPr>
      </w:pPr>
    </w:p>
    <w:p w14:paraId="7E0903B9">
      <w:pPr>
        <w:pStyle w:val="20"/>
        <w:spacing w:line="360" w:lineRule="auto"/>
        <w:jc w:val="center"/>
        <w:rPr>
          <w:rFonts w:hint="eastAsia" w:ascii="宋体" w:hAnsi="宋体" w:eastAsia="宋体" w:cs="宋体"/>
          <w:b/>
          <w:color w:val="auto"/>
          <w:kern w:val="0"/>
          <w:szCs w:val="21"/>
          <w:highlight w:val="none"/>
        </w:rPr>
      </w:pPr>
    </w:p>
    <w:p w14:paraId="731D7299">
      <w:pPr>
        <w:pStyle w:val="20"/>
        <w:spacing w:line="360" w:lineRule="auto"/>
        <w:jc w:val="center"/>
        <w:rPr>
          <w:rFonts w:hint="eastAsia" w:ascii="宋体" w:hAnsi="宋体" w:eastAsia="宋体" w:cs="宋体"/>
          <w:b/>
          <w:color w:val="auto"/>
          <w:kern w:val="0"/>
          <w:szCs w:val="21"/>
          <w:highlight w:val="none"/>
        </w:rPr>
      </w:pPr>
    </w:p>
    <w:p w14:paraId="461B7508">
      <w:pPr>
        <w:pStyle w:val="20"/>
        <w:spacing w:line="360" w:lineRule="auto"/>
        <w:jc w:val="center"/>
        <w:rPr>
          <w:rFonts w:hint="eastAsia" w:ascii="宋体" w:hAnsi="宋体" w:eastAsia="宋体" w:cs="宋体"/>
          <w:b/>
          <w:color w:val="auto"/>
          <w:kern w:val="0"/>
          <w:szCs w:val="21"/>
          <w:highlight w:val="none"/>
        </w:rPr>
      </w:pPr>
    </w:p>
    <w:p w14:paraId="1C3974AA">
      <w:pPr>
        <w:pStyle w:val="20"/>
        <w:spacing w:line="360" w:lineRule="auto"/>
        <w:jc w:val="center"/>
        <w:rPr>
          <w:rFonts w:hint="eastAsia" w:ascii="宋体" w:hAnsi="宋体" w:eastAsia="宋体" w:cs="宋体"/>
          <w:b/>
          <w:color w:val="auto"/>
          <w:kern w:val="0"/>
          <w:szCs w:val="21"/>
          <w:highlight w:val="none"/>
        </w:rPr>
      </w:pPr>
    </w:p>
    <w:p w14:paraId="2F2E1135">
      <w:pPr>
        <w:pStyle w:val="20"/>
        <w:spacing w:line="360" w:lineRule="auto"/>
        <w:jc w:val="center"/>
        <w:rPr>
          <w:rFonts w:hint="eastAsia" w:ascii="宋体" w:hAnsi="宋体" w:eastAsia="宋体" w:cs="宋体"/>
          <w:b/>
          <w:color w:val="auto"/>
          <w:kern w:val="0"/>
          <w:szCs w:val="21"/>
          <w:highlight w:val="none"/>
        </w:rPr>
      </w:pPr>
    </w:p>
    <w:p w14:paraId="47A11CC2">
      <w:pPr>
        <w:pStyle w:val="20"/>
        <w:spacing w:line="360" w:lineRule="auto"/>
        <w:jc w:val="center"/>
        <w:rPr>
          <w:rFonts w:hint="eastAsia" w:ascii="宋体" w:hAnsi="宋体" w:eastAsia="宋体" w:cs="宋体"/>
          <w:b/>
          <w:color w:val="auto"/>
          <w:kern w:val="0"/>
          <w:szCs w:val="21"/>
          <w:highlight w:val="none"/>
        </w:rPr>
      </w:pPr>
    </w:p>
    <w:p w14:paraId="39748958">
      <w:pPr>
        <w:pStyle w:val="20"/>
        <w:spacing w:line="360" w:lineRule="auto"/>
        <w:jc w:val="center"/>
        <w:rPr>
          <w:rFonts w:hint="eastAsia" w:ascii="宋体" w:hAnsi="宋体" w:eastAsia="宋体" w:cs="宋体"/>
          <w:b/>
          <w:color w:val="auto"/>
          <w:kern w:val="0"/>
          <w:szCs w:val="21"/>
          <w:highlight w:val="none"/>
        </w:rPr>
      </w:pPr>
    </w:p>
    <w:p w14:paraId="18C82E1E">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8EF31E2">
      <w:pPr>
        <w:pStyle w:val="20"/>
        <w:spacing w:line="360" w:lineRule="auto"/>
        <w:rPr>
          <w:rFonts w:hint="eastAsia" w:ascii="宋体" w:hAnsi="宋体" w:eastAsia="宋体" w:cs="宋体"/>
          <w:color w:val="auto"/>
          <w:highlight w:val="none"/>
        </w:rPr>
      </w:pPr>
    </w:p>
    <w:p w14:paraId="42E7932D">
      <w:pPr>
        <w:pStyle w:val="20"/>
        <w:spacing w:line="360" w:lineRule="auto"/>
        <w:rPr>
          <w:rFonts w:hint="eastAsia" w:ascii="宋体" w:hAnsi="宋体" w:eastAsia="宋体" w:cs="宋体"/>
          <w:color w:val="auto"/>
          <w:highlight w:val="none"/>
        </w:rPr>
      </w:pPr>
    </w:p>
    <w:p w14:paraId="21D52F8D">
      <w:pPr>
        <w:pStyle w:val="20"/>
        <w:spacing w:line="360" w:lineRule="auto"/>
        <w:rPr>
          <w:rFonts w:hint="eastAsia" w:ascii="宋体" w:hAnsi="宋体" w:eastAsia="宋体" w:cs="宋体"/>
          <w:color w:val="auto"/>
          <w:highlight w:val="none"/>
        </w:rPr>
      </w:pPr>
    </w:p>
    <w:p w14:paraId="5C305525">
      <w:pPr>
        <w:pStyle w:val="20"/>
        <w:spacing w:line="360" w:lineRule="auto"/>
        <w:rPr>
          <w:rFonts w:hint="eastAsia" w:ascii="宋体" w:hAnsi="宋体" w:eastAsia="宋体" w:cs="宋体"/>
          <w:color w:val="auto"/>
          <w:highlight w:val="none"/>
        </w:rPr>
      </w:pPr>
    </w:p>
    <w:p w14:paraId="3CCBF9EB">
      <w:pPr>
        <w:pStyle w:val="20"/>
        <w:spacing w:line="360" w:lineRule="auto"/>
        <w:rPr>
          <w:rFonts w:hint="eastAsia" w:ascii="宋体" w:hAnsi="宋体" w:eastAsia="宋体" w:cs="宋体"/>
          <w:color w:val="auto"/>
          <w:highlight w:val="none"/>
        </w:rPr>
      </w:pPr>
    </w:p>
    <w:p w14:paraId="533A3387">
      <w:pPr>
        <w:pStyle w:val="20"/>
        <w:spacing w:line="360" w:lineRule="auto"/>
        <w:rPr>
          <w:rFonts w:hint="eastAsia" w:ascii="宋体" w:hAnsi="宋体" w:eastAsia="宋体" w:cs="宋体"/>
          <w:color w:val="auto"/>
          <w:highlight w:val="none"/>
        </w:rPr>
      </w:pPr>
    </w:p>
    <w:p w14:paraId="17F8C2C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A0E232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DEC1DC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687A4C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5964FC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16325A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39D2AC8">
      <w:pPr>
        <w:pStyle w:val="20"/>
        <w:spacing w:line="360" w:lineRule="auto"/>
        <w:rPr>
          <w:rFonts w:hint="eastAsia" w:ascii="宋体" w:hAnsi="宋体" w:eastAsia="宋体" w:cs="宋体"/>
          <w:color w:val="auto"/>
          <w:highlight w:val="none"/>
        </w:rPr>
      </w:pPr>
    </w:p>
    <w:p w14:paraId="01A062B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962C13">
      <w:pPr>
        <w:pStyle w:val="20"/>
        <w:spacing w:line="360" w:lineRule="auto"/>
        <w:rPr>
          <w:rFonts w:hint="eastAsia" w:ascii="宋体" w:hAnsi="宋体" w:eastAsia="宋体" w:cs="宋体"/>
          <w:color w:val="auto"/>
          <w:highlight w:val="none"/>
        </w:rPr>
      </w:pPr>
    </w:p>
    <w:p w14:paraId="3B0D4343">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1B5FCD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49D7185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00B6133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341CAA7B">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7948B36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9127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243B39C">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8D7B652">
            <w:pPr>
              <w:adjustRightInd w:val="0"/>
              <w:snapToGrid w:val="0"/>
              <w:spacing w:line="360" w:lineRule="auto"/>
              <w:jc w:val="center"/>
              <w:rPr>
                <w:rFonts w:hint="eastAsia" w:ascii="宋体" w:hAnsi="宋体" w:eastAsia="宋体" w:cs="宋体"/>
                <w:bCs/>
                <w:color w:val="auto"/>
                <w:szCs w:val="21"/>
                <w:highlight w:val="none"/>
              </w:rPr>
            </w:pPr>
          </w:p>
        </w:tc>
        <w:tc>
          <w:tcPr>
            <w:tcW w:w="2171" w:type="dxa"/>
            <w:vAlign w:val="center"/>
          </w:tcPr>
          <w:p w14:paraId="30117CDE">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3C8AC7C1">
            <w:pPr>
              <w:adjustRightInd w:val="0"/>
              <w:snapToGrid w:val="0"/>
              <w:spacing w:line="360" w:lineRule="auto"/>
              <w:rPr>
                <w:rFonts w:hint="eastAsia" w:ascii="宋体" w:hAnsi="宋体" w:eastAsia="宋体" w:cs="宋体"/>
                <w:bCs/>
                <w:color w:val="auto"/>
                <w:szCs w:val="21"/>
                <w:highlight w:val="none"/>
              </w:rPr>
            </w:pPr>
          </w:p>
        </w:tc>
      </w:tr>
      <w:tr w14:paraId="5F4D2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00A86155">
            <w:pPr>
              <w:rPr>
                <w:rFonts w:hint="eastAsia" w:ascii="宋体" w:hAnsi="宋体" w:eastAsia="宋体" w:cs="宋体"/>
                <w:bCs/>
                <w:color w:val="auto"/>
                <w:szCs w:val="21"/>
                <w:highlight w:val="none"/>
              </w:rPr>
            </w:pPr>
          </w:p>
        </w:tc>
        <w:tc>
          <w:tcPr>
            <w:tcW w:w="2773" w:type="dxa"/>
            <w:vAlign w:val="center"/>
          </w:tcPr>
          <w:p w14:paraId="6C193B37">
            <w:pPr>
              <w:rPr>
                <w:rFonts w:hint="eastAsia" w:ascii="宋体" w:hAnsi="宋体" w:eastAsia="宋体" w:cs="宋体"/>
                <w:bCs/>
                <w:color w:val="auto"/>
                <w:szCs w:val="21"/>
                <w:highlight w:val="none"/>
              </w:rPr>
            </w:pPr>
          </w:p>
        </w:tc>
        <w:tc>
          <w:tcPr>
            <w:tcW w:w="2171" w:type="dxa"/>
            <w:vAlign w:val="center"/>
          </w:tcPr>
          <w:p w14:paraId="516E4206">
            <w:pP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6BA3F98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B139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0E9C5BA">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68C4668">
            <w:pPr>
              <w:adjustRightInd w:val="0"/>
              <w:snapToGrid w:val="0"/>
              <w:spacing w:line="360" w:lineRule="auto"/>
              <w:rPr>
                <w:rFonts w:hint="eastAsia" w:ascii="宋体" w:hAnsi="宋体" w:eastAsia="宋体" w:cs="宋体"/>
                <w:bCs/>
                <w:color w:val="auto"/>
                <w:szCs w:val="21"/>
                <w:highlight w:val="none"/>
              </w:rPr>
            </w:pPr>
          </w:p>
        </w:tc>
        <w:tc>
          <w:tcPr>
            <w:tcW w:w="2171" w:type="dxa"/>
            <w:vAlign w:val="center"/>
          </w:tcPr>
          <w:p w14:paraId="3CDF2D0C">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3494E7CD">
            <w:pPr>
              <w:spacing w:line="360" w:lineRule="auto"/>
              <w:ind w:firstLine="8" w:firstLineChars="4"/>
              <w:rPr>
                <w:rFonts w:hint="eastAsia" w:ascii="宋体" w:hAnsi="宋体" w:eastAsia="宋体" w:cs="宋体"/>
                <w:bCs/>
                <w:color w:val="auto"/>
                <w:szCs w:val="21"/>
                <w:highlight w:val="none"/>
              </w:rPr>
            </w:pPr>
          </w:p>
        </w:tc>
      </w:tr>
      <w:tr w14:paraId="352FC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1AD171C6">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540F97F5">
            <w:pPr>
              <w:adjustRightInd w:val="0"/>
              <w:snapToGrid w:val="0"/>
              <w:spacing w:line="360" w:lineRule="auto"/>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3A9173A2">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28468E22">
            <w:pPr>
              <w:adjustRightInd w:val="0"/>
              <w:snapToGrid w:val="0"/>
              <w:spacing w:line="360" w:lineRule="auto"/>
              <w:rPr>
                <w:rFonts w:hint="eastAsia" w:ascii="宋体" w:hAnsi="宋体" w:eastAsia="宋体" w:cs="宋体"/>
                <w:bCs/>
                <w:color w:val="auto"/>
                <w:szCs w:val="21"/>
                <w:highlight w:val="none"/>
              </w:rPr>
            </w:pPr>
          </w:p>
        </w:tc>
      </w:tr>
      <w:tr w14:paraId="607EE3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C7B3E6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4F94C116">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1FDA05B0">
            <w:pPr>
              <w:spacing w:line="360" w:lineRule="auto"/>
              <w:jc w:val="center"/>
              <w:rPr>
                <w:rFonts w:hint="eastAsia" w:ascii="宋体" w:hAnsi="宋体" w:eastAsia="宋体" w:cs="宋体"/>
                <w:bCs/>
                <w:color w:val="auto"/>
                <w:szCs w:val="21"/>
                <w:highlight w:val="none"/>
              </w:rPr>
            </w:pPr>
          </w:p>
        </w:tc>
      </w:tr>
    </w:tbl>
    <w:p w14:paraId="2F7CEE9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547FB4E">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p>
    <w:p w14:paraId="5BB0D5B0">
      <w:pPr>
        <w:autoSpaceDE w:val="0"/>
        <w:autoSpaceDN w:val="0"/>
        <w:adjustRightInd w:val="0"/>
        <w:spacing w:line="360" w:lineRule="auto"/>
        <w:jc w:val="left"/>
        <w:rPr>
          <w:rFonts w:ascii="宋体" w:hAnsi="宋体" w:eastAsia="宋体" w:cs="宋体"/>
          <w:color w:val="auto"/>
          <w:szCs w:val="24"/>
          <w:highlight w:val="none"/>
        </w:rPr>
      </w:pPr>
    </w:p>
    <w:p w14:paraId="4D6D5677">
      <w:pPr>
        <w:widowControl w:val="0"/>
        <w:wordWrap/>
        <w:autoSpaceDE w:val="0"/>
        <w:autoSpaceDN w:val="0"/>
        <w:adjustRightInd w:val="0"/>
        <w:snapToGrid/>
        <w:spacing w:line="360" w:lineRule="auto"/>
        <w:ind w:left="0" w:leftChars="0" w:right="0" w:firstLine="0" w:firstLineChars="0"/>
        <w:jc w:val="center"/>
        <w:textAlignment w:val="auto"/>
        <w:outlineLvl w:val="9"/>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投标保证金汇入情况说明</w:t>
      </w:r>
    </w:p>
    <w:p w14:paraId="72026B97">
      <w:pPr>
        <w:autoSpaceDE w:val="0"/>
        <w:autoSpaceDN w:val="0"/>
        <w:adjustRightInd w:val="0"/>
        <w:spacing w:line="360" w:lineRule="auto"/>
        <w:jc w:val="center"/>
        <w:rPr>
          <w:rFonts w:ascii="宋体" w:hAnsi="宋体" w:eastAsia="宋体" w:cs="宋体"/>
          <w:b/>
          <w:bCs/>
          <w:color w:val="auto"/>
          <w:kern w:val="0"/>
          <w:szCs w:val="24"/>
          <w:highlight w:val="none"/>
        </w:rPr>
      </w:pPr>
    </w:p>
    <w:p w14:paraId="1BCBF6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东莞市众源环境投资有限公司</w:t>
      </w:r>
      <w:r>
        <w:rPr>
          <w:rFonts w:hint="eastAsia" w:ascii="宋体" w:hAnsi="宋体" w:eastAsia="宋体" w:cs="宋体"/>
          <w:color w:val="auto"/>
          <w:szCs w:val="21"/>
          <w:highlight w:val="none"/>
        </w:rPr>
        <w:t>：</w:t>
      </w:r>
    </w:p>
    <w:p w14:paraId="12C3F3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东莞市众源环境投资有限公司2025年-2027年污泥运输服务供应商采购项目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0832-SFCX24DG113C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3FB5F96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3470187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9D77DB5">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7142B3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C86F67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4CFB91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17EEF5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5DD517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9077A70">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959786E">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59A4B6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A4CFF84">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ACB997F">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6A5841E">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789AB9A">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07C5803">
      <w:pPr>
        <w:widowControl w:val="0"/>
        <w:wordWrap/>
        <w:adjustRightInd/>
        <w:snapToGrid/>
        <w:spacing w:line="360" w:lineRule="auto"/>
        <w:ind w:left="340" w:leftChars="162" w:right="0" w:firstLine="425"/>
        <w:jc w:val="both"/>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附：1、我方投标保证金汇款凭证（复印件）</w:t>
      </w:r>
    </w:p>
    <w:p w14:paraId="63D803EE">
      <w:pPr>
        <w:widowControl w:val="0"/>
        <w:wordWrap/>
        <w:adjustRightInd/>
        <w:snapToGrid/>
        <w:spacing w:line="360" w:lineRule="auto"/>
        <w:ind w:left="340" w:leftChars="162" w:right="0" w:firstLine="839" w:firstLineChars="398"/>
        <w:jc w:val="both"/>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2、我方基本账户开户许可证（复印件）</w:t>
      </w:r>
    </w:p>
    <w:p w14:paraId="06DC4411">
      <w:pPr>
        <w:widowControl w:val="0"/>
        <w:wordWrap/>
        <w:adjustRightInd/>
        <w:snapToGrid/>
        <w:spacing w:line="360" w:lineRule="auto"/>
        <w:ind w:left="340" w:leftChars="162" w:right="0" w:firstLine="736" w:firstLineChars="349"/>
        <w:jc w:val="both"/>
        <w:textAlignment w:val="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33433DE">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2FFCD2F">
      <w:pPr>
        <w:spacing w:line="360" w:lineRule="auto"/>
        <w:rPr>
          <w:rFonts w:ascii="宋体" w:hAnsi="宋体" w:eastAsia="宋体" w:cs="宋体"/>
          <w:b/>
          <w:color w:val="auto"/>
          <w:kern w:val="0"/>
          <w:szCs w:val="21"/>
          <w:highlight w:val="none"/>
        </w:rPr>
      </w:pPr>
    </w:p>
    <w:p w14:paraId="57274A71">
      <w:pPr>
        <w:rPr>
          <w:rFonts w:hint="eastAsia"/>
          <w:color w:val="auto"/>
          <w:highlight w:val="none"/>
          <w:lang w:val="zh-CN"/>
        </w:rPr>
      </w:pPr>
    </w:p>
    <w:p w14:paraId="520AEDD1">
      <w:pPr>
        <w:rPr>
          <w:rFonts w:hint="eastAsia"/>
          <w:color w:val="auto"/>
          <w:highlight w:val="none"/>
          <w:lang w:val="zh-CN"/>
        </w:rPr>
      </w:pPr>
      <w:r>
        <w:rPr>
          <w:rFonts w:hint="eastAsia"/>
          <w:color w:val="auto"/>
          <w:highlight w:val="none"/>
          <w:lang w:val="zh-CN"/>
        </w:rPr>
        <w:br w:type="page"/>
      </w:r>
    </w:p>
    <w:p w14:paraId="2193BC24">
      <w:pPr>
        <w:rPr>
          <w:rFonts w:hint="eastAsia"/>
          <w:color w:val="auto"/>
          <w:highlight w:val="none"/>
          <w:lang w:val="zh-CN"/>
        </w:rPr>
      </w:pPr>
    </w:p>
    <w:p w14:paraId="008DE5D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p>
    <w:p w14:paraId="5249F53F">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95DDCE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71FCA01">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2、运输管理方案；</w:t>
      </w:r>
    </w:p>
    <w:p w14:paraId="27350C7C">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3、拟投入运输的车辆的使用年限；</w:t>
      </w:r>
    </w:p>
    <w:p w14:paraId="4F6FAFC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4、拟投入的运输人员；</w:t>
      </w:r>
    </w:p>
    <w:p w14:paraId="7A836E87">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w:t>
      </w:r>
    </w:p>
    <w:p w14:paraId="6E8CCF6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1F5287DE">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p>
    <w:p w14:paraId="7CD216D9">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36"/>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1"/>
        <w:gridCol w:w="6407"/>
        <w:gridCol w:w="721"/>
        <w:gridCol w:w="869"/>
        <w:gridCol w:w="812"/>
      </w:tblGrid>
      <w:tr w14:paraId="5ED3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600" w:type="dxa"/>
            <w:vMerge w:val="restart"/>
            <w:vAlign w:val="center"/>
          </w:tcPr>
          <w:p w14:paraId="745ABDC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58" w:type="dxa"/>
            <w:gridSpan w:val="2"/>
            <w:vAlign w:val="center"/>
          </w:tcPr>
          <w:p w14:paraId="6E71998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2" w:type="dxa"/>
            <w:gridSpan w:val="3"/>
            <w:vAlign w:val="center"/>
          </w:tcPr>
          <w:p w14:paraId="658E958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6B7D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600" w:type="dxa"/>
            <w:vMerge w:val="continue"/>
            <w:vAlign w:val="center"/>
          </w:tcPr>
          <w:p w14:paraId="16301D07">
            <w:pPr>
              <w:keepNext/>
              <w:keepLines/>
              <w:spacing w:line="400" w:lineRule="exact"/>
              <w:jc w:val="center"/>
              <w:outlineLvl w:val="9"/>
              <w:rPr>
                <w:rFonts w:ascii="宋体" w:hAnsi="宋体" w:eastAsia="宋体" w:cs="宋体"/>
                <w:color w:val="auto"/>
                <w:kern w:val="0"/>
                <w:sz w:val="18"/>
                <w:szCs w:val="18"/>
                <w:highlight w:val="none"/>
              </w:rPr>
            </w:pPr>
          </w:p>
        </w:tc>
        <w:tc>
          <w:tcPr>
            <w:tcW w:w="951" w:type="dxa"/>
            <w:vAlign w:val="center"/>
          </w:tcPr>
          <w:p w14:paraId="58641E2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07" w:type="dxa"/>
            <w:vAlign w:val="center"/>
          </w:tcPr>
          <w:p w14:paraId="330B433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1" w:type="dxa"/>
            <w:vAlign w:val="center"/>
          </w:tcPr>
          <w:p w14:paraId="56FDA4C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9" w:type="dxa"/>
            <w:vAlign w:val="center"/>
          </w:tcPr>
          <w:p w14:paraId="3087AF6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2" w:type="dxa"/>
            <w:vAlign w:val="center"/>
          </w:tcPr>
          <w:p w14:paraId="19E77C9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779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0" w:type="dxa"/>
            <w:vAlign w:val="center"/>
          </w:tcPr>
          <w:p w14:paraId="2224C7F3">
            <w:pPr>
              <w:spacing w:line="400" w:lineRule="exac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1" w:type="dxa"/>
            <w:vAlign w:val="center"/>
          </w:tcPr>
          <w:p w14:paraId="44BF541C">
            <w:pPr>
              <w:spacing w:line="400" w:lineRule="exact"/>
              <w:jc w:val="center"/>
              <w:rPr>
                <w:rFonts w:ascii="宋体" w:hAnsi="宋体" w:eastAsia="宋体" w:cs="Times New Roman"/>
                <w:b/>
                <w:color w:val="auto"/>
                <w:kern w:val="0"/>
                <w:sz w:val="18"/>
                <w:szCs w:val="18"/>
                <w:highlight w:val="none"/>
              </w:rPr>
            </w:pPr>
          </w:p>
        </w:tc>
        <w:tc>
          <w:tcPr>
            <w:tcW w:w="6407" w:type="dxa"/>
            <w:vAlign w:val="center"/>
          </w:tcPr>
          <w:p w14:paraId="073DB0B8">
            <w:pPr>
              <w:autoSpaceDE w:val="0"/>
              <w:autoSpaceDN w:val="0"/>
              <w:adjustRightInd w:val="0"/>
              <w:spacing w:line="400" w:lineRule="exact"/>
              <w:rPr>
                <w:rFonts w:ascii="宋体" w:hAnsi="宋体" w:eastAsia="宋体" w:cs="Times New Roman"/>
                <w:color w:val="auto"/>
                <w:kern w:val="0"/>
                <w:sz w:val="18"/>
                <w:szCs w:val="18"/>
                <w:highlight w:val="none"/>
              </w:rPr>
            </w:pPr>
          </w:p>
        </w:tc>
        <w:tc>
          <w:tcPr>
            <w:tcW w:w="721" w:type="dxa"/>
            <w:vAlign w:val="center"/>
          </w:tcPr>
          <w:p w14:paraId="5BF9EE8A">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7FE5AEB1">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165FF54B">
            <w:pPr>
              <w:keepNext/>
              <w:keepLines/>
              <w:spacing w:line="400" w:lineRule="exact"/>
              <w:jc w:val="center"/>
              <w:outlineLvl w:val="9"/>
              <w:rPr>
                <w:rFonts w:ascii="宋体" w:hAnsi="宋体" w:eastAsia="宋体" w:cs="宋体"/>
                <w:color w:val="auto"/>
                <w:kern w:val="0"/>
                <w:sz w:val="18"/>
                <w:szCs w:val="18"/>
                <w:highlight w:val="none"/>
              </w:rPr>
            </w:pPr>
          </w:p>
        </w:tc>
      </w:tr>
      <w:tr w14:paraId="7972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69F085C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1" w:type="dxa"/>
            <w:vAlign w:val="center"/>
          </w:tcPr>
          <w:p w14:paraId="120BA994">
            <w:pPr>
              <w:spacing w:line="400" w:lineRule="exact"/>
              <w:jc w:val="center"/>
              <w:rPr>
                <w:rFonts w:ascii="宋体" w:hAnsi="宋体" w:eastAsia="宋体" w:cs="Times New Roman"/>
                <w:color w:val="auto"/>
                <w:kern w:val="0"/>
                <w:sz w:val="18"/>
                <w:szCs w:val="18"/>
                <w:highlight w:val="none"/>
                <w:lang w:val="zh-CN"/>
              </w:rPr>
            </w:pPr>
          </w:p>
        </w:tc>
        <w:tc>
          <w:tcPr>
            <w:tcW w:w="6407" w:type="dxa"/>
            <w:vAlign w:val="center"/>
          </w:tcPr>
          <w:p w14:paraId="55A14F98">
            <w:pPr>
              <w:adjustRightInd w:val="0"/>
              <w:snapToGrid w:val="0"/>
              <w:spacing w:line="360" w:lineRule="auto"/>
              <w:ind w:firstLine="570"/>
              <w:rPr>
                <w:rFonts w:ascii="宋体" w:hAnsi="宋体" w:eastAsia="宋体" w:cs="Times New Roman"/>
                <w:color w:val="auto"/>
                <w:sz w:val="18"/>
                <w:szCs w:val="18"/>
                <w:highlight w:val="none"/>
              </w:rPr>
            </w:pPr>
          </w:p>
        </w:tc>
        <w:tc>
          <w:tcPr>
            <w:tcW w:w="721" w:type="dxa"/>
            <w:vAlign w:val="center"/>
          </w:tcPr>
          <w:p w14:paraId="2E077993">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09C479EB">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0DD7CEF3">
            <w:pPr>
              <w:keepNext/>
              <w:keepLines/>
              <w:spacing w:line="400" w:lineRule="exact"/>
              <w:jc w:val="center"/>
              <w:outlineLvl w:val="9"/>
              <w:rPr>
                <w:rFonts w:ascii="宋体" w:hAnsi="宋体" w:eastAsia="宋体" w:cs="宋体"/>
                <w:color w:val="auto"/>
                <w:kern w:val="0"/>
                <w:sz w:val="18"/>
                <w:szCs w:val="18"/>
                <w:highlight w:val="none"/>
              </w:rPr>
            </w:pPr>
          </w:p>
        </w:tc>
      </w:tr>
      <w:tr w14:paraId="155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457DA2B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1" w:type="dxa"/>
            <w:vAlign w:val="center"/>
          </w:tcPr>
          <w:p w14:paraId="2CBBF7F4">
            <w:pPr>
              <w:spacing w:line="400" w:lineRule="exact"/>
              <w:jc w:val="center"/>
              <w:rPr>
                <w:rFonts w:ascii="宋体" w:hAnsi="宋体" w:eastAsia="宋体"/>
                <w:b/>
                <w:color w:val="auto"/>
                <w:sz w:val="18"/>
                <w:szCs w:val="18"/>
                <w:highlight w:val="none"/>
                <w:lang w:val="zh-CN"/>
              </w:rPr>
            </w:pPr>
          </w:p>
        </w:tc>
        <w:tc>
          <w:tcPr>
            <w:tcW w:w="6407" w:type="dxa"/>
            <w:vAlign w:val="center"/>
          </w:tcPr>
          <w:p w14:paraId="40CA2C9D">
            <w:pPr>
              <w:spacing w:line="360" w:lineRule="auto"/>
              <w:ind w:firstLine="360" w:firstLineChars="200"/>
              <w:rPr>
                <w:rFonts w:ascii="宋体" w:hAnsi="宋体" w:eastAsia="宋体"/>
                <w:color w:val="auto"/>
                <w:sz w:val="18"/>
                <w:szCs w:val="18"/>
                <w:highlight w:val="none"/>
              </w:rPr>
            </w:pPr>
          </w:p>
        </w:tc>
        <w:tc>
          <w:tcPr>
            <w:tcW w:w="721" w:type="dxa"/>
            <w:vAlign w:val="center"/>
          </w:tcPr>
          <w:p w14:paraId="18C9E55C">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4BE5645C">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0B7BC096">
            <w:pPr>
              <w:keepNext/>
              <w:keepLines/>
              <w:spacing w:line="400" w:lineRule="exact"/>
              <w:jc w:val="center"/>
              <w:outlineLvl w:val="9"/>
              <w:rPr>
                <w:rFonts w:ascii="宋体" w:hAnsi="宋体" w:eastAsia="宋体" w:cs="宋体"/>
                <w:color w:val="auto"/>
                <w:kern w:val="0"/>
                <w:sz w:val="18"/>
                <w:szCs w:val="18"/>
                <w:highlight w:val="none"/>
              </w:rPr>
            </w:pPr>
          </w:p>
        </w:tc>
      </w:tr>
      <w:tr w14:paraId="0AAF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4303B21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1" w:type="dxa"/>
            <w:vAlign w:val="center"/>
          </w:tcPr>
          <w:p w14:paraId="55C1CA2C">
            <w:pPr>
              <w:spacing w:line="400" w:lineRule="exact"/>
              <w:jc w:val="center"/>
              <w:rPr>
                <w:rFonts w:ascii="宋体" w:hAnsi="宋体" w:eastAsia="宋体"/>
                <w:b/>
                <w:color w:val="auto"/>
                <w:sz w:val="18"/>
                <w:szCs w:val="18"/>
                <w:highlight w:val="none"/>
                <w:lang w:val="zh-CN"/>
              </w:rPr>
            </w:pPr>
          </w:p>
        </w:tc>
        <w:tc>
          <w:tcPr>
            <w:tcW w:w="6407" w:type="dxa"/>
            <w:vAlign w:val="center"/>
          </w:tcPr>
          <w:p w14:paraId="453AF104">
            <w:pPr>
              <w:spacing w:line="360" w:lineRule="auto"/>
              <w:ind w:firstLine="360" w:firstLineChars="200"/>
              <w:rPr>
                <w:rFonts w:ascii="宋体" w:hAnsi="宋体" w:eastAsia="宋体"/>
                <w:color w:val="auto"/>
                <w:sz w:val="18"/>
                <w:szCs w:val="18"/>
                <w:highlight w:val="none"/>
              </w:rPr>
            </w:pPr>
          </w:p>
        </w:tc>
        <w:tc>
          <w:tcPr>
            <w:tcW w:w="721" w:type="dxa"/>
            <w:vAlign w:val="center"/>
          </w:tcPr>
          <w:p w14:paraId="6133C3AC">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3246F892">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49909A01">
            <w:pPr>
              <w:keepNext/>
              <w:keepLines/>
              <w:spacing w:line="400" w:lineRule="exact"/>
              <w:jc w:val="center"/>
              <w:outlineLvl w:val="9"/>
              <w:rPr>
                <w:rFonts w:ascii="宋体" w:hAnsi="宋体" w:eastAsia="宋体" w:cs="宋体"/>
                <w:color w:val="auto"/>
                <w:kern w:val="0"/>
                <w:sz w:val="18"/>
                <w:szCs w:val="18"/>
                <w:highlight w:val="none"/>
              </w:rPr>
            </w:pPr>
          </w:p>
        </w:tc>
      </w:tr>
      <w:tr w14:paraId="23AE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1CEB098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1" w:type="dxa"/>
            <w:vAlign w:val="center"/>
          </w:tcPr>
          <w:p w14:paraId="4F5F4507">
            <w:pPr>
              <w:spacing w:line="400" w:lineRule="exact"/>
              <w:jc w:val="center"/>
              <w:rPr>
                <w:rFonts w:ascii="宋体" w:hAnsi="宋体" w:eastAsia="宋体" w:cs="Times New Roman"/>
                <w:color w:val="auto"/>
                <w:kern w:val="0"/>
                <w:sz w:val="18"/>
                <w:szCs w:val="18"/>
                <w:highlight w:val="none"/>
              </w:rPr>
            </w:pPr>
          </w:p>
        </w:tc>
        <w:tc>
          <w:tcPr>
            <w:tcW w:w="6407" w:type="dxa"/>
            <w:vAlign w:val="center"/>
          </w:tcPr>
          <w:p w14:paraId="488AD4A4">
            <w:pPr>
              <w:spacing w:line="360" w:lineRule="auto"/>
              <w:ind w:firstLine="360" w:firstLineChars="200"/>
              <w:rPr>
                <w:rFonts w:ascii="宋体" w:hAnsi="宋体" w:eastAsia="宋体"/>
                <w:color w:val="auto"/>
                <w:sz w:val="18"/>
                <w:szCs w:val="18"/>
                <w:highlight w:val="none"/>
              </w:rPr>
            </w:pPr>
          </w:p>
        </w:tc>
        <w:tc>
          <w:tcPr>
            <w:tcW w:w="721" w:type="dxa"/>
            <w:vAlign w:val="center"/>
          </w:tcPr>
          <w:p w14:paraId="26761D29">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60D786B2">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0043042D">
            <w:pPr>
              <w:keepNext/>
              <w:keepLines/>
              <w:spacing w:line="400" w:lineRule="exact"/>
              <w:jc w:val="center"/>
              <w:outlineLvl w:val="9"/>
              <w:rPr>
                <w:rFonts w:ascii="宋体" w:hAnsi="宋体" w:eastAsia="宋体" w:cs="宋体"/>
                <w:color w:val="auto"/>
                <w:kern w:val="0"/>
                <w:sz w:val="18"/>
                <w:szCs w:val="18"/>
                <w:highlight w:val="none"/>
              </w:rPr>
            </w:pPr>
          </w:p>
        </w:tc>
      </w:tr>
      <w:tr w14:paraId="400F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360" w:type="dxa"/>
            <w:gridSpan w:val="6"/>
            <w:vAlign w:val="center"/>
          </w:tcPr>
          <w:p w14:paraId="3887ACE4">
            <w:pPr>
              <w:keepNext/>
              <w:keepLines/>
              <w:spacing w:line="400" w:lineRule="exact"/>
              <w:jc w:val="left"/>
              <w:outlineLvl w:val="9"/>
              <w:rPr>
                <w:rFonts w:hint="default" w:ascii="宋体" w:hAnsi="宋体" w:eastAsia="宋体" w:cs="宋体"/>
                <w:color w:val="auto"/>
                <w:kern w:val="0"/>
                <w:sz w:val="18"/>
                <w:szCs w:val="18"/>
                <w:highlight w:val="none"/>
                <w:lang w:val="en-US"/>
              </w:rPr>
            </w:pPr>
            <w:r>
              <w:rPr>
                <w:rFonts w:hint="eastAsia" w:ascii="宋体" w:hAnsi="宋体" w:eastAsia="宋体" w:cs="宋体"/>
                <w:b/>
                <w:color w:val="auto"/>
                <w:sz w:val="18"/>
                <w:szCs w:val="18"/>
                <w:highlight w:val="none"/>
                <w:u w:val="single"/>
                <w:lang w:val="en-US" w:eastAsia="zh-CN"/>
              </w:rPr>
              <w:t>用户需求书“</w:t>
            </w:r>
            <w:r>
              <w:rPr>
                <w:rFonts w:hint="eastAsia" w:ascii="宋体" w:hAnsi="宋体" w:eastAsia="宋体" w:cs="宋体"/>
                <w:b/>
                <w:color w:val="auto"/>
                <w:sz w:val="18"/>
                <w:szCs w:val="18"/>
                <w:highlight w:val="none"/>
                <w:u w:val="single"/>
              </w:rPr>
              <w:t>★</w:t>
            </w:r>
            <w:r>
              <w:rPr>
                <w:rFonts w:hint="eastAsia" w:ascii="宋体" w:hAnsi="宋体" w:eastAsia="宋体" w:cs="宋体"/>
                <w:b/>
                <w:color w:val="auto"/>
                <w:sz w:val="18"/>
                <w:szCs w:val="18"/>
                <w:highlight w:val="none"/>
                <w:u w:val="single"/>
                <w:lang w:val="en-US" w:eastAsia="zh-CN"/>
              </w:rPr>
              <w:t>”条款汇总：</w:t>
            </w:r>
          </w:p>
        </w:tc>
      </w:tr>
      <w:tr w14:paraId="00F3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4BB51F2C">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51" w:type="dxa"/>
            <w:vAlign w:val="center"/>
          </w:tcPr>
          <w:p w14:paraId="0E3D68FB">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三、服务要求</w:t>
            </w:r>
          </w:p>
        </w:tc>
        <w:tc>
          <w:tcPr>
            <w:tcW w:w="6407" w:type="dxa"/>
            <w:vAlign w:val="center"/>
          </w:tcPr>
          <w:p w14:paraId="73C77623">
            <w:pPr>
              <w:spacing w:line="360" w:lineRule="auto"/>
              <w:ind w:firstLine="0" w:firstLineChars="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★2、在服务期内，除招标人分配量不足或不可抗力的情况外，投标人应承诺日均（月外运量/外运天数）外运湿泥不少于200吨/日。</w:t>
            </w:r>
          </w:p>
          <w:p w14:paraId="49DCF6B4">
            <w:pPr>
              <w:spacing w:line="360" w:lineRule="auto"/>
              <w:ind w:firstLine="0" w:firstLineChars="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★8、投标人最终运输车辆的GPS定位系统应直接与招标人在线监管平台对接，实时显示湿泥运输轨迹等信息。</w:t>
            </w:r>
          </w:p>
          <w:p w14:paraId="407B7981">
            <w:pPr>
              <w:spacing w:line="360" w:lineRule="auto"/>
              <w:ind w:firstLine="0" w:firstLineChars="0"/>
              <w:rPr>
                <w:rFonts w:ascii="宋体" w:hAnsi="宋体" w:eastAsia="宋体"/>
                <w:color w:val="auto"/>
                <w:sz w:val="18"/>
                <w:szCs w:val="18"/>
                <w:highlight w:val="none"/>
              </w:rPr>
            </w:pPr>
            <w:r>
              <w:rPr>
                <w:rFonts w:hint="eastAsia" w:ascii="宋体" w:hAnsi="宋体" w:eastAsia="宋体"/>
                <w:color w:val="auto"/>
                <w:sz w:val="18"/>
                <w:szCs w:val="18"/>
                <w:highlight w:val="none"/>
              </w:rPr>
              <w:t>★26、要求投标人承诺在招标人书面通知启动污泥运输之日起，5日内按招标人要求的运力实施本项目湿泥转移提供运输服务。</w:t>
            </w:r>
          </w:p>
        </w:tc>
        <w:tc>
          <w:tcPr>
            <w:tcW w:w="721" w:type="dxa"/>
            <w:vAlign w:val="center"/>
          </w:tcPr>
          <w:p w14:paraId="1DBF6026">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408D9920">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65979E8D">
            <w:pPr>
              <w:keepNext/>
              <w:keepLines/>
              <w:spacing w:line="400" w:lineRule="exact"/>
              <w:jc w:val="center"/>
              <w:outlineLvl w:val="9"/>
              <w:rPr>
                <w:rFonts w:ascii="宋体" w:hAnsi="宋体" w:eastAsia="宋体" w:cs="宋体"/>
                <w:color w:val="auto"/>
                <w:kern w:val="0"/>
                <w:sz w:val="18"/>
                <w:szCs w:val="18"/>
                <w:highlight w:val="none"/>
              </w:rPr>
            </w:pPr>
          </w:p>
        </w:tc>
      </w:tr>
    </w:tbl>
    <w:p w14:paraId="5C287D6A">
      <w:pPr>
        <w:rPr>
          <w:rFonts w:hint="eastAsia"/>
          <w:color w:val="auto"/>
          <w:highlight w:val="none"/>
        </w:rPr>
      </w:pPr>
    </w:p>
    <w:p w14:paraId="4FA603F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AAF859F">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7798850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573DAD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2BF3903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3EC0DFE1">
      <w:pPr>
        <w:spacing w:line="360" w:lineRule="auto"/>
        <w:rPr>
          <w:rFonts w:ascii="宋体" w:hAnsi="宋体" w:eastAsia="宋体" w:cs="宋体"/>
          <w:color w:val="auto"/>
          <w:szCs w:val="21"/>
          <w:highlight w:val="none"/>
        </w:rPr>
      </w:pPr>
    </w:p>
    <w:p w14:paraId="602DD34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1104A29">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93E0CD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 xml:space="preserve">2 </w:t>
      </w:r>
      <w:r>
        <w:rPr>
          <w:rFonts w:hint="eastAsia" w:ascii="宋体" w:hAnsi="宋体" w:eastAsia="宋体" w:cs="宋体"/>
          <w:b/>
          <w:color w:val="auto"/>
          <w:kern w:val="0"/>
          <w:sz w:val="30"/>
          <w:szCs w:val="30"/>
          <w:highlight w:val="none"/>
        </w:rPr>
        <w:t>运输管理方案</w:t>
      </w:r>
    </w:p>
    <w:p w14:paraId="0AD985BB">
      <w:pPr>
        <w:rPr>
          <w:rFonts w:hint="eastAsia"/>
          <w:color w:val="auto"/>
          <w:highlight w:val="none"/>
        </w:rPr>
      </w:pPr>
    </w:p>
    <w:p w14:paraId="5857A6FD">
      <w:pPr>
        <w:rPr>
          <w:rFonts w:hint="eastAsia"/>
          <w:color w:val="auto"/>
          <w:highlight w:val="none"/>
          <w:lang w:val="en-US" w:eastAsia="zh-CN"/>
        </w:rPr>
      </w:pPr>
      <w:r>
        <w:rPr>
          <w:rFonts w:hint="eastAsia"/>
          <w:color w:val="auto"/>
          <w:highlight w:val="none"/>
          <w:lang w:val="en-US" w:eastAsia="zh-CN"/>
        </w:rPr>
        <w:br w:type="page"/>
      </w:r>
    </w:p>
    <w:p w14:paraId="57F18D95">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13.3 拟投入运输的车辆的使用年限</w:t>
      </w:r>
    </w:p>
    <w:p w14:paraId="41909584">
      <w:pPr>
        <w:pStyle w:val="2"/>
        <w:jc w:val="left"/>
        <w:rPr>
          <w:rFonts w:hint="eastAsia" w:hAnsi="宋体" w:eastAsia="宋体" w:cs="Times New Roman"/>
          <w:color w:val="auto"/>
          <w:sz w:val="21"/>
          <w:szCs w:val="21"/>
          <w:highlight w:val="none"/>
          <w:lang w:val="en-US"/>
        </w:rPr>
      </w:pPr>
      <w:r>
        <w:rPr>
          <w:rFonts w:hint="eastAsia" w:hAnsi="宋体" w:eastAsia="宋体" w:cs="Times New Roman"/>
          <w:b w:val="0"/>
          <w:bCs w:val="0"/>
          <w:color w:val="auto"/>
          <w:sz w:val="21"/>
          <w:szCs w:val="21"/>
          <w:highlight w:val="none"/>
          <w:lang w:val="en-US"/>
        </w:rPr>
        <w:t>说明：投标人应根据本项目采购内容和评标工作大纲技术评审细则的要求，自行编制。</w:t>
      </w:r>
    </w:p>
    <w:p w14:paraId="368C60A8">
      <w:pPr>
        <w:pStyle w:val="3"/>
        <w:rPr>
          <w:rFonts w:hint="eastAsia"/>
          <w:color w:val="auto"/>
          <w:highlight w:val="none"/>
        </w:rPr>
      </w:pP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495"/>
        <w:gridCol w:w="953"/>
        <w:gridCol w:w="1239"/>
        <w:gridCol w:w="1418"/>
        <w:gridCol w:w="816"/>
        <w:gridCol w:w="1505"/>
        <w:gridCol w:w="1040"/>
      </w:tblGrid>
      <w:tr w14:paraId="774E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14:paraId="30A2D472">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95" w:type="dxa"/>
            <w:vAlign w:val="center"/>
          </w:tcPr>
          <w:p w14:paraId="0D44C921">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车牌号（半挂牵引车+半挂车组合车型的，需同时提供牵引车和半挂车车牌号）</w:t>
            </w:r>
          </w:p>
        </w:tc>
        <w:tc>
          <w:tcPr>
            <w:tcW w:w="953" w:type="dxa"/>
            <w:vAlign w:val="center"/>
          </w:tcPr>
          <w:p w14:paraId="75DFDF1D">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所有人</w:t>
            </w:r>
          </w:p>
        </w:tc>
        <w:tc>
          <w:tcPr>
            <w:tcW w:w="1239" w:type="dxa"/>
            <w:vAlign w:val="center"/>
          </w:tcPr>
          <w:p w14:paraId="24326001">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货车类型</w:t>
            </w:r>
          </w:p>
        </w:tc>
        <w:tc>
          <w:tcPr>
            <w:tcW w:w="1418" w:type="dxa"/>
            <w:vAlign w:val="center"/>
          </w:tcPr>
          <w:p w14:paraId="623F0FD9">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核定载质量（吨）</w:t>
            </w:r>
          </w:p>
        </w:tc>
        <w:tc>
          <w:tcPr>
            <w:tcW w:w="816" w:type="dxa"/>
            <w:vAlign w:val="center"/>
          </w:tcPr>
          <w:p w14:paraId="4192878E">
            <w:pPr>
              <w:pStyle w:val="8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强制报废期止</w:t>
            </w:r>
            <w:r>
              <w:rPr>
                <w:rFonts w:hint="eastAsia" w:ascii="宋体" w:hAnsi="宋体" w:eastAsia="宋体" w:cs="宋体"/>
                <w:color w:val="auto"/>
                <w:sz w:val="21"/>
                <w:szCs w:val="21"/>
                <w:highlight w:val="none"/>
                <w:lang w:val="en-US" w:eastAsia="zh-CN"/>
              </w:rPr>
              <w:t>时间</w:t>
            </w:r>
          </w:p>
        </w:tc>
        <w:tc>
          <w:tcPr>
            <w:tcW w:w="1505" w:type="dxa"/>
            <w:vAlign w:val="center"/>
          </w:tcPr>
          <w:p w14:paraId="56AE7394">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是否可直接用于污泥（含水率约80%）运输</w:t>
            </w:r>
          </w:p>
        </w:tc>
        <w:tc>
          <w:tcPr>
            <w:tcW w:w="1040" w:type="dxa"/>
            <w:vAlign w:val="center"/>
          </w:tcPr>
          <w:p w14:paraId="25B6ABD7">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1D3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14:paraId="6F8DD0A3">
            <w:pPr>
              <w:pStyle w:val="83"/>
              <w:rPr>
                <w:rFonts w:hint="eastAsia" w:ascii="宋体" w:hAnsi="宋体" w:eastAsia="宋体" w:cs="宋体"/>
                <w:color w:val="auto"/>
                <w:highlight w:val="none"/>
              </w:rPr>
            </w:pPr>
          </w:p>
        </w:tc>
        <w:tc>
          <w:tcPr>
            <w:tcW w:w="2495" w:type="dxa"/>
            <w:vAlign w:val="top"/>
          </w:tcPr>
          <w:p w14:paraId="18E8A8D2">
            <w:pPr>
              <w:pStyle w:val="83"/>
              <w:rPr>
                <w:rFonts w:hint="eastAsia" w:ascii="宋体" w:hAnsi="宋体" w:eastAsia="宋体" w:cs="宋体"/>
                <w:color w:val="auto"/>
                <w:highlight w:val="none"/>
              </w:rPr>
            </w:pPr>
          </w:p>
        </w:tc>
        <w:tc>
          <w:tcPr>
            <w:tcW w:w="953" w:type="dxa"/>
            <w:vAlign w:val="top"/>
          </w:tcPr>
          <w:p w14:paraId="7B9D42B7">
            <w:pPr>
              <w:pStyle w:val="83"/>
              <w:rPr>
                <w:rFonts w:hint="eastAsia" w:ascii="宋体" w:hAnsi="宋体" w:eastAsia="宋体" w:cs="宋体"/>
                <w:color w:val="auto"/>
                <w:highlight w:val="none"/>
              </w:rPr>
            </w:pPr>
          </w:p>
        </w:tc>
        <w:tc>
          <w:tcPr>
            <w:tcW w:w="1239" w:type="dxa"/>
            <w:vAlign w:val="top"/>
          </w:tcPr>
          <w:p w14:paraId="1B88643C">
            <w:pPr>
              <w:pStyle w:val="83"/>
              <w:rPr>
                <w:rFonts w:hint="eastAsia" w:ascii="宋体" w:hAnsi="宋体" w:eastAsia="宋体" w:cs="宋体"/>
                <w:color w:val="auto"/>
                <w:highlight w:val="none"/>
              </w:rPr>
            </w:pPr>
          </w:p>
        </w:tc>
        <w:tc>
          <w:tcPr>
            <w:tcW w:w="1418" w:type="dxa"/>
            <w:vAlign w:val="top"/>
          </w:tcPr>
          <w:p w14:paraId="3438E1BC">
            <w:pPr>
              <w:pStyle w:val="83"/>
              <w:rPr>
                <w:rFonts w:hint="eastAsia" w:ascii="宋体" w:hAnsi="宋体" w:eastAsia="宋体" w:cs="宋体"/>
                <w:color w:val="auto"/>
                <w:highlight w:val="none"/>
              </w:rPr>
            </w:pPr>
          </w:p>
        </w:tc>
        <w:tc>
          <w:tcPr>
            <w:tcW w:w="816" w:type="dxa"/>
            <w:vAlign w:val="top"/>
          </w:tcPr>
          <w:p w14:paraId="32B9C83D">
            <w:pPr>
              <w:pStyle w:val="83"/>
              <w:rPr>
                <w:rFonts w:hint="eastAsia" w:ascii="宋体" w:hAnsi="宋体" w:eastAsia="宋体" w:cs="宋体"/>
                <w:color w:val="auto"/>
                <w:highlight w:val="none"/>
              </w:rPr>
            </w:pPr>
          </w:p>
        </w:tc>
        <w:tc>
          <w:tcPr>
            <w:tcW w:w="1505" w:type="dxa"/>
            <w:vAlign w:val="top"/>
          </w:tcPr>
          <w:p w14:paraId="5CD2B28A">
            <w:pPr>
              <w:pStyle w:val="83"/>
              <w:rPr>
                <w:rFonts w:hint="eastAsia" w:ascii="宋体" w:hAnsi="宋体" w:eastAsia="宋体" w:cs="宋体"/>
                <w:color w:val="auto"/>
                <w:highlight w:val="none"/>
              </w:rPr>
            </w:pPr>
          </w:p>
        </w:tc>
        <w:tc>
          <w:tcPr>
            <w:tcW w:w="1040" w:type="dxa"/>
            <w:vAlign w:val="top"/>
          </w:tcPr>
          <w:p w14:paraId="20043A8C">
            <w:pPr>
              <w:pStyle w:val="83"/>
              <w:rPr>
                <w:rFonts w:hint="eastAsia" w:ascii="宋体" w:hAnsi="宋体" w:eastAsia="宋体" w:cs="宋体"/>
                <w:color w:val="auto"/>
                <w:highlight w:val="none"/>
              </w:rPr>
            </w:pPr>
          </w:p>
        </w:tc>
      </w:tr>
      <w:tr w14:paraId="41CF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14:paraId="7BFA2B86">
            <w:pPr>
              <w:pStyle w:val="83"/>
              <w:rPr>
                <w:rFonts w:hint="eastAsia" w:ascii="宋体" w:hAnsi="宋体" w:eastAsia="宋体" w:cs="宋体"/>
                <w:color w:val="auto"/>
                <w:highlight w:val="none"/>
              </w:rPr>
            </w:pPr>
          </w:p>
        </w:tc>
        <w:tc>
          <w:tcPr>
            <w:tcW w:w="2495" w:type="dxa"/>
            <w:vAlign w:val="top"/>
          </w:tcPr>
          <w:p w14:paraId="1FCBD83B">
            <w:pPr>
              <w:pStyle w:val="83"/>
              <w:rPr>
                <w:rFonts w:hint="eastAsia" w:ascii="宋体" w:hAnsi="宋体" w:eastAsia="宋体" w:cs="宋体"/>
                <w:color w:val="auto"/>
                <w:highlight w:val="none"/>
              </w:rPr>
            </w:pPr>
          </w:p>
        </w:tc>
        <w:tc>
          <w:tcPr>
            <w:tcW w:w="953" w:type="dxa"/>
            <w:vAlign w:val="top"/>
          </w:tcPr>
          <w:p w14:paraId="603CCF6D">
            <w:pPr>
              <w:pStyle w:val="83"/>
              <w:rPr>
                <w:rFonts w:hint="eastAsia" w:ascii="宋体" w:hAnsi="宋体" w:eastAsia="宋体" w:cs="宋体"/>
                <w:color w:val="auto"/>
                <w:highlight w:val="none"/>
              </w:rPr>
            </w:pPr>
          </w:p>
        </w:tc>
        <w:tc>
          <w:tcPr>
            <w:tcW w:w="1239" w:type="dxa"/>
            <w:vAlign w:val="top"/>
          </w:tcPr>
          <w:p w14:paraId="460A022C">
            <w:pPr>
              <w:pStyle w:val="83"/>
              <w:rPr>
                <w:rFonts w:hint="eastAsia" w:ascii="宋体" w:hAnsi="宋体" w:eastAsia="宋体" w:cs="宋体"/>
                <w:color w:val="auto"/>
                <w:highlight w:val="none"/>
              </w:rPr>
            </w:pPr>
          </w:p>
        </w:tc>
        <w:tc>
          <w:tcPr>
            <w:tcW w:w="1418" w:type="dxa"/>
            <w:vAlign w:val="top"/>
          </w:tcPr>
          <w:p w14:paraId="0212F9F4">
            <w:pPr>
              <w:pStyle w:val="83"/>
              <w:rPr>
                <w:rFonts w:hint="eastAsia" w:ascii="宋体" w:hAnsi="宋体" w:eastAsia="宋体" w:cs="宋体"/>
                <w:color w:val="auto"/>
                <w:highlight w:val="none"/>
              </w:rPr>
            </w:pPr>
          </w:p>
        </w:tc>
        <w:tc>
          <w:tcPr>
            <w:tcW w:w="816" w:type="dxa"/>
            <w:vAlign w:val="top"/>
          </w:tcPr>
          <w:p w14:paraId="71D217BE">
            <w:pPr>
              <w:pStyle w:val="83"/>
              <w:rPr>
                <w:rFonts w:hint="eastAsia" w:ascii="宋体" w:hAnsi="宋体" w:eastAsia="宋体" w:cs="宋体"/>
                <w:color w:val="auto"/>
                <w:highlight w:val="none"/>
              </w:rPr>
            </w:pPr>
          </w:p>
        </w:tc>
        <w:tc>
          <w:tcPr>
            <w:tcW w:w="1505" w:type="dxa"/>
            <w:vAlign w:val="top"/>
          </w:tcPr>
          <w:p w14:paraId="24F7CF72">
            <w:pPr>
              <w:pStyle w:val="83"/>
              <w:rPr>
                <w:rFonts w:hint="eastAsia" w:ascii="宋体" w:hAnsi="宋体" w:eastAsia="宋体" w:cs="宋体"/>
                <w:color w:val="auto"/>
                <w:highlight w:val="none"/>
              </w:rPr>
            </w:pPr>
          </w:p>
        </w:tc>
        <w:tc>
          <w:tcPr>
            <w:tcW w:w="1040" w:type="dxa"/>
            <w:vAlign w:val="top"/>
          </w:tcPr>
          <w:p w14:paraId="5F221D24">
            <w:pPr>
              <w:pStyle w:val="83"/>
              <w:rPr>
                <w:rFonts w:hint="eastAsia" w:ascii="宋体" w:hAnsi="宋体" w:eastAsia="宋体" w:cs="宋体"/>
                <w:color w:val="auto"/>
                <w:highlight w:val="none"/>
              </w:rPr>
            </w:pPr>
          </w:p>
        </w:tc>
      </w:tr>
      <w:tr w14:paraId="4702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14:paraId="75696FB1">
            <w:pPr>
              <w:pStyle w:val="83"/>
              <w:rPr>
                <w:rFonts w:hint="eastAsia" w:ascii="宋体" w:hAnsi="宋体" w:eastAsia="宋体" w:cs="宋体"/>
                <w:color w:val="auto"/>
                <w:highlight w:val="none"/>
              </w:rPr>
            </w:pPr>
          </w:p>
        </w:tc>
        <w:tc>
          <w:tcPr>
            <w:tcW w:w="2495" w:type="dxa"/>
            <w:vAlign w:val="top"/>
          </w:tcPr>
          <w:p w14:paraId="556DD6CD">
            <w:pPr>
              <w:pStyle w:val="83"/>
              <w:rPr>
                <w:rFonts w:hint="eastAsia" w:ascii="宋体" w:hAnsi="宋体" w:eastAsia="宋体" w:cs="宋体"/>
                <w:color w:val="auto"/>
                <w:highlight w:val="none"/>
              </w:rPr>
            </w:pPr>
          </w:p>
        </w:tc>
        <w:tc>
          <w:tcPr>
            <w:tcW w:w="953" w:type="dxa"/>
            <w:vAlign w:val="top"/>
          </w:tcPr>
          <w:p w14:paraId="3F92F886">
            <w:pPr>
              <w:pStyle w:val="83"/>
              <w:rPr>
                <w:rFonts w:hint="eastAsia" w:ascii="宋体" w:hAnsi="宋体" w:eastAsia="宋体" w:cs="宋体"/>
                <w:color w:val="auto"/>
                <w:highlight w:val="none"/>
              </w:rPr>
            </w:pPr>
          </w:p>
        </w:tc>
        <w:tc>
          <w:tcPr>
            <w:tcW w:w="1239" w:type="dxa"/>
            <w:vAlign w:val="top"/>
          </w:tcPr>
          <w:p w14:paraId="2D9F409B">
            <w:pPr>
              <w:pStyle w:val="83"/>
              <w:rPr>
                <w:rFonts w:hint="eastAsia" w:ascii="宋体" w:hAnsi="宋体" w:eastAsia="宋体" w:cs="宋体"/>
                <w:color w:val="auto"/>
                <w:highlight w:val="none"/>
              </w:rPr>
            </w:pPr>
          </w:p>
        </w:tc>
        <w:tc>
          <w:tcPr>
            <w:tcW w:w="1418" w:type="dxa"/>
            <w:vAlign w:val="top"/>
          </w:tcPr>
          <w:p w14:paraId="748A7BCE">
            <w:pPr>
              <w:pStyle w:val="83"/>
              <w:rPr>
                <w:rFonts w:hint="eastAsia" w:ascii="宋体" w:hAnsi="宋体" w:eastAsia="宋体" w:cs="宋体"/>
                <w:color w:val="auto"/>
                <w:highlight w:val="none"/>
              </w:rPr>
            </w:pPr>
          </w:p>
        </w:tc>
        <w:tc>
          <w:tcPr>
            <w:tcW w:w="816" w:type="dxa"/>
            <w:vAlign w:val="top"/>
          </w:tcPr>
          <w:p w14:paraId="2E16E555">
            <w:pPr>
              <w:pStyle w:val="83"/>
              <w:rPr>
                <w:rFonts w:hint="eastAsia" w:ascii="宋体" w:hAnsi="宋体" w:eastAsia="宋体" w:cs="宋体"/>
                <w:color w:val="auto"/>
                <w:highlight w:val="none"/>
              </w:rPr>
            </w:pPr>
          </w:p>
        </w:tc>
        <w:tc>
          <w:tcPr>
            <w:tcW w:w="1505" w:type="dxa"/>
            <w:vAlign w:val="top"/>
          </w:tcPr>
          <w:p w14:paraId="044C774C">
            <w:pPr>
              <w:pStyle w:val="83"/>
              <w:rPr>
                <w:rFonts w:hint="eastAsia" w:ascii="宋体" w:hAnsi="宋体" w:eastAsia="宋体" w:cs="宋体"/>
                <w:color w:val="auto"/>
                <w:highlight w:val="none"/>
              </w:rPr>
            </w:pPr>
          </w:p>
        </w:tc>
        <w:tc>
          <w:tcPr>
            <w:tcW w:w="1040" w:type="dxa"/>
            <w:vAlign w:val="top"/>
          </w:tcPr>
          <w:p w14:paraId="506A7C36">
            <w:pPr>
              <w:pStyle w:val="83"/>
              <w:rPr>
                <w:rFonts w:hint="eastAsia" w:ascii="宋体" w:hAnsi="宋体" w:eastAsia="宋体" w:cs="宋体"/>
                <w:color w:val="auto"/>
                <w:highlight w:val="none"/>
              </w:rPr>
            </w:pPr>
          </w:p>
        </w:tc>
      </w:tr>
      <w:tr w14:paraId="1B71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14:paraId="3960775F">
            <w:pPr>
              <w:pStyle w:val="83"/>
              <w:rPr>
                <w:rFonts w:hint="eastAsia" w:ascii="宋体" w:hAnsi="宋体" w:eastAsia="宋体" w:cs="宋体"/>
                <w:color w:val="auto"/>
                <w:highlight w:val="none"/>
              </w:rPr>
            </w:pPr>
          </w:p>
        </w:tc>
        <w:tc>
          <w:tcPr>
            <w:tcW w:w="2495" w:type="dxa"/>
            <w:vAlign w:val="top"/>
          </w:tcPr>
          <w:p w14:paraId="20133860">
            <w:pPr>
              <w:pStyle w:val="83"/>
              <w:rPr>
                <w:rFonts w:hint="eastAsia" w:ascii="宋体" w:hAnsi="宋体" w:eastAsia="宋体" w:cs="宋体"/>
                <w:color w:val="auto"/>
                <w:highlight w:val="none"/>
              </w:rPr>
            </w:pPr>
          </w:p>
        </w:tc>
        <w:tc>
          <w:tcPr>
            <w:tcW w:w="953" w:type="dxa"/>
            <w:vAlign w:val="top"/>
          </w:tcPr>
          <w:p w14:paraId="01BB325F">
            <w:pPr>
              <w:pStyle w:val="83"/>
              <w:rPr>
                <w:rFonts w:hint="eastAsia" w:ascii="宋体" w:hAnsi="宋体" w:eastAsia="宋体" w:cs="宋体"/>
                <w:color w:val="auto"/>
                <w:highlight w:val="none"/>
              </w:rPr>
            </w:pPr>
          </w:p>
        </w:tc>
        <w:tc>
          <w:tcPr>
            <w:tcW w:w="1239" w:type="dxa"/>
            <w:vAlign w:val="top"/>
          </w:tcPr>
          <w:p w14:paraId="398E3260">
            <w:pPr>
              <w:pStyle w:val="83"/>
              <w:rPr>
                <w:rFonts w:hint="eastAsia" w:ascii="宋体" w:hAnsi="宋体" w:eastAsia="宋体" w:cs="宋体"/>
                <w:color w:val="auto"/>
                <w:highlight w:val="none"/>
              </w:rPr>
            </w:pPr>
          </w:p>
        </w:tc>
        <w:tc>
          <w:tcPr>
            <w:tcW w:w="1418" w:type="dxa"/>
            <w:vAlign w:val="top"/>
          </w:tcPr>
          <w:p w14:paraId="4FFB71B0">
            <w:pPr>
              <w:pStyle w:val="83"/>
              <w:rPr>
                <w:rFonts w:hint="eastAsia" w:ascii="宋体" w:hAnsi="宋体" w:eastAsia="宋体" w:cs="宋体"/>
                <w:color w:val="auto"/>
                <w:highlight w:val="none"/>
              </w:rPr>
            </w:pPr>
          </w:p>
        </w:tc>
        <w:tc>
          <w:tcPr>
            <w:tcW w:w="816" w:type="dxa"/>
            <w:vAlign w:val="top"/>
          </w:tcPr>
          <w:p w14:paraId="760BF407">
            <w:pPr>
              <w:pStyle w:val="83"/>
              <w:rPr>
                <w:rFonts w:hint="eastAsia" w:ascii="宋体" w:hAnsi="宋体" w:eastAsia="宋体" w:cs="宋体"/>
                <w:color w:val="auto"/>
                <w:highlight w:val="none"/>
              </w:rPr>
            </w:pPr>
          </w:p>
        </w:tc>
        <w:tc>
          <w:tcPr>
            <w:tcW w:w="1505" w:type="dxa"/>
            <w:vAlign w:val="top"/>
          </w:tcPr>
          <w:p w14:paraId="01552993">
            <w:pPr>
              <w:pStyle w:val="83"/>
              <w:rPr>
                <w:rFonts w:hint="eastAsia" w:ascii="宋体" w:hAnsi="宋体" w:eastAsia="宋体" w:cs="宋体"/>
                <w:color w:val="auto"/>
                <w:highlight w:val="none"/>
              </w:rPr>
            </w:pPr>
          </w:p>
        </w:tc>
        <w:tc>
          <w:tcPr>
            <w:tcW w:w="1040" w:type="dxa"/>
            <w:vAlign w:val="top"/>
          </w:tcPr>
          <w:p w14:paraId="16F9BC00">
            <w:pPr>
              <w:pStyle w:val="83"/>
              <w:rPr>
                <w:rFonts w:hint="eastAsia" w:ascii="宋体" w:hAnsi="宋体" w:eastAsia="宋体" w:cs="宋体"/>
                <w:color w:val="auto"/>
                <w:highlight w:val="none"/>
              </w:rPr>
            </w:pPr>
          </w:p>
        </w:tc>
      </w:tr>
      <w:tr w14:paraId="171E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14:paraId="3DF333F0">
            <w:pPr>
              <w:pStyle w:val="83"/>
              <w:rPr>
                <w:rFonts w:hint="eastAsia" w:ascii="宋体" w:hAnsi="宋体" w:eastAsia="宋体" w:cs="宋体"/>
                <w:color w:val="auto"/>
                <w:highlight w:val="none"/>
              </w:rPr>
            </w:pPr>
          </w:p>
        </w:tc>
        <w:tc>
          <w:tcPr>
            <w:tcW w:w="2495" w:type="dxa"/>
            <w:vAlign w:val="top"/>
          </w:tcPr>
          <w:p w14:paraId="3790C5A1">
            <w:pPr>
              <w:pStyle w:val="83"/>
              <w:rPr>
                <w:rFonts w:hint="eastAsia" w:ascii="宋体" w:hAnsi="宋体" w:eastAsia="宋体" w:cs="宋体"/>
                <w:color w:val="auto"/>
                <w:highlight w:val="none"/>
              </w:rPr>
            </w:pPr>
          </w:p>
        </w:tc>
        <w:tc>
          <w:tcPr>
            <w:tcW w:w="953" w:type="dxa"/>
            <w:vAlign w:val="top"/>
          </w:tcPr>
          <w:p w14:paraId="25423187">
            <w:pPr>
              <w:pStyle w:val="83"/>
              <w:rPr>
                <w:rFonts w:hint="eastAsia" w:ascii="宋体" w:hAnsi="宋体" w:eastAsia="宋体" w:cs="宋体"/>
                <w:color w:val="auto"/>
                <w:highlight w:val="none"/>
              </w:rPr>
            </w:pPr>
          </w:p>
        </w:tc>
        <w:tc>
          <w:tcPr>
            <w:tcW w:w="1239" w:type="dxa"/>
            <w:vAlign w:val="top"/>
          </w:tcPr>
          <w:p w14:paraId="7F98F7CB">
            <w:pPr>
              <w:pStyle w:val="83"/>
              <w:rPr>
                <w:rFonts w:hint="eastAsia" w:ascii="宋体" w:hAnsi="宋体" w:eastAsia="宋体" w:cs="宋体"/>
                <w:color w:val="auto"/>
                <w:highlight w:val="none"/>
              </w:rPr>
            </w:pPr>
          </w:p>
        </w:tc>
        <w:tc>
          <w:tcPr>
            <w:tcW w:w="1418" w:type="dxa"/>
            <w:vAlign w:val="top"/>
          </w:tcPr>
          <w:p w14:paraId="79CF7FE3">
            <w:pPr>
              <w:pStyle w:val="83"/>
              <w:rPr>
                <w:rFonts w:hint="eastAsia" w:ascii="宋体" w:hAnsi="宋体" w:eastAsia="宋体" w:cs="宋体"/>
                <w:color w:val="auto"/>
                <w:highlight w:val="none"/>
              </w:rPr>
            </w:pPr>
          </w:p>
        </w:tc>
        <w:tc>
          <w:tcPr>
            <w:tcW w:w="816" w:type="dxa"/>
            <w:vAlign w:val="top"/>
          </w:tcPr>
          <w:p w14:paraId="21B4EF57">
            <w:pPr>
              <w:pStyle w:val="83"/>
              <w:rPr>
                <w:rFonts w:hint="eastAsia" w:ascii="宋体" w:hAnsi="宋体" w:eastAsia="宋体" w:cs="宋体"/>
                <w:color w:val="auto"/>
                <w:highlight w:val="none"/>
              </w:rPr>
            </w:pPr>
          </w:p>
        </w:tc>
        <w:tc>
          <w:tcPr>
            <w:tcW w:w="1505" w:type="dxa"/>
            <w:vAlign w:val="top"/>
          </w:tcPr>
          <w:p w14:paraId="4E06A1E7">
            <w:pPr>
              <w:pStyle w:val="83"/>
              <w:rPr>
                <w:rFonts w:hint="eastAsia" w:ascii="宋体" w:hAnsi="宋体" w:eastAsia="宋体" w:cs="宋体"/>
                <w:color w:val="auto"/>
                <w:highlight w:val="none"/>
              </w:rPr>
            </w:pPr>
          </w:p>
        </w:tc>
        <w:tc>
          <w:tcPr>
            <w:tcW w:w="1040" w:type="dxa"/>
            <w:vAlign w:val="top"/>
          </w:tcPr>
          <w:p w14:paraId="19D89794">
            <w:pPr>
              <w:pStyle w:val="83"/>
              <w:rPr>
                <w:rFonts w:hint="eastAsia" w:ascii="宋体" w:hAnsi="宋体" w:eastAsia="宋体" w:cs="宋体"/>
                <w:color w:val="auto"/>
                <w:highlight w:val="none"/>
              </w:rPr>
            </w:pPr>
          </w:p>
        </w:tc>
      </w:tr>
      <w:tr w14:paraId="35A3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14:paraId="57EA5643">
            <w:pPr>
              <w:pStyle w:val="83"/>
              <w:rPr>
                <w:rFonts w:hint="eastAsia" w:ascii="宋体" w:hAnsi="宋体" w:eastAsia="宋体" w:cs="宋体"/>
                <w:color w:val="auto"/>
                <w:highlight w:val="none"/>
              </w:rPr>
            </w:pPr>
          </w:p>
        </w:tc>
        <w:tc>
          <w:tcPr>
            <w:tcW w:w="2495" w:type="dxa"/>
            <w:vAlign w:val="top"/>
          </w:tcPr>
          <w:p w14:paraId="4CC11DE8">
            <w:pPr>
              <w:pStyle w:val="83"/>
              <w:rPr>
                <w:rFonts w:hint="eastAsia" w:ascii="宋体" w:hAnsi="宋体" w:eastAsia="宋体" w:cs="宋体"/>
                <w:color w:val="auto"/>
                <w:highlight w:val="none"/>
              </w:rPr>
            </w:pPr>
          </w:p>
        </w:tc>
        <w:tc>
          <w:tcPr>
            <w:tcW w:w="953" w:type="dxa"/>
            <w:vAlign w:val="top"/>
          </w:tcPr>
          <w:p w14:paraId="06CA3B2F">
            <w:pPr>
              <w:pStyle w:val="83"/>
              <w:rPr>
                <w:rFonts w:hint="eastAsia" w:ascii="宋体" w:hAnsi="宋体" w:eastAsia="宋体" w:cs="宋体"/>
                <w:color w:val="auto"/>
                <w:highlight w:val="none"/>
              </w:rPr>
            </w:pPr>
          </w:p>
        </w:tc>
        <w:tc>
          <w:tcPr>
            <w:tcW w:w="1239" w:type="dxa"/>
            <w:vAlign w:val="top"/>
          </w:tcPr>
          <w:p w14:paraId="01C637D5">
            <w:pPr>
              <w:pStyle w:val="83"/>
              <w:rPr>
                <w:rFonts w:hint="eastAsia" w:ascii="宋体" w:hAnsi="宋体" w:eastAsia="宋体" w:cs="宋体"/>
                <w:color w:val="auto"/>
                <w:highlight w:val="none"/>
              </w:rPr>
            </w:pPr>
          </w:p>
        </w:tc>
        <w:tc>
          <w:tcPr>
            <w:tcW w:w="1418" w:type="dxa"/>
            <w:vAlign w:val="top"/>
          </w:tcPr>
          <w:p w14:paraId="0A529F14">
            <w:pPr>
              <w:pStyle w:val="83"/>
              <w:rPr>
                <w:rFonts w:hint="eastAsia" w:ascii="宋体" w:hAnsi="宋体" w:eastAsia="宋体" w:cs="宋体"/>
                <w:color w:val="auto"/>
                <w:highlight w:val="none"/>
              </w:rPr>
            </w:pPr>
          </w:p>
        </w:tc>
        <w:tc>
          <w:tcPr>
            <w:tcW w:w="816" w:type="dxa"/>
            <w:vAlign w:val="top"/>
          </w:tcPr>
          <w:p w14:paraId="33BB1AF7">
            <w:pPr>
              <w:pStyle w:val="83"/>
              <w:rPr>
                <w:rFonts w:hint="eastAsia" w:ascii="宋体" w:hAnsi="宋体" w:eastAsia="宋体" w:cs="宋体"/>
                <w:color w:val="auto"/>
                <w:highlight w:val="none"/>
              </w:rPr>
            </w:pPr>
          </w:p>
        </w:tc>
        <w:tc>
          <w:tcPr>
            <w:tcW w:w="1505" w:type="dxa"/>
            <w:vAlign w:val="top"/>
          </w:tcPr>
          <w:p w14:paraId="33A54BA1">
            <w:pPr>
              <w:pStyle w:val="83"/>
              <w:rPr>
                <w:rFonts w:hint="eastAsia" w:ascii="宋体" w:hAnsi="宋体" w:eastAsia="宋体" w:cs="宋体"/>
                <w:color w:val="auto"/>
                <w:highlight w:val="none"/>
              </w:rPr>
            </w:pPr>
          </w:p>
        </w:tc>
        <w:tc>
          <w:tcPr>
            <w:tcW w:w="1040" w:type="dxa"/>
            <w:vAlign w:val="top"/>
          </w:tcPr>
          <w:p w14:paraId="3B8EBF0E">
            <w:pPr>
              <w:pStyle w:val="83"/>
              <w:rPr>
                <w:rFonts w:hint="eastAsia" w:ascii="宋体" w:hAnsi="宋体" w:eastAsia="宋体" w:cs="宋体"/>
                <w:color w:val="auto"/>
                <w:highlight w:val="none"/>
              </w:rPr>
            </w:pPr>
          </w:p>
        </w:tc>
      </w:tr>
      <w:tr w14:paraId="709B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14:paraId="77B6DA26">
            <w:pPr>
              <w:pStyle w:val="83"/>
              <w:rPr>
                <w:rFonts w:hint="eastAsia" w:ascii="宋体" w:hAnsi="宋体" w:eastAsia="宋体" w:cs="宋体"/>
                <w:color w:val="auto"/>
                <w:highlight w:val="none"/>
              </w:rPr>
            </w:pPr>
          </w:p>
        </w:tc>
        <w:tc>
          <w:tcPr>
            <w:tcW w:w="2495" w:type="dxa"/>
            <w:vAlign w:val="top"/>
          </w:tcPr>
          <w:p w14:paraId="44CFDCDF">
            <w:pPr>
              <w:pStyle w:val="83"/>
              <w:rPr>
                <w:rFonts w:hint="eastAsia" w:ascii="宋体" w:hAnsi="宋体" w:eastAsia="宋体" w:cs="宋体"/>
                <w:color w:val="auto"/>
                <w:highlight w:val="none"/>
              </w:rPr>
            </w:pPr>
          </w:p>
        </w:tc>
        <w:tc>
          <w:tcPr>
            <w:tcW w:w="953" w:type="dxa"/>
            <w:vAlign w:val="top"/>
          </w:tcPr>
          <w:p w14:paraId="22CA596A">
            <w:pPr>
              <w:pStyle w:val="83"/>
              <w:rPr>
                <w:rFonts w:hint="eastAsia" w:ascii="宋体" w:hAnsi="宋体" w:eastAsia="宋体" w:cs="宋体"/>
                <w:color w:val="auto"/>
                <w:highlight w:val="none"/>
              </w:rPr>
            </w:pPr>
          </w:p>
        </w:tc>
        <w:tc>
          <w:tcPr>
            <w:tcW w:w="1239" w:type="dxa"/>
            <w:vAlign w:val="top"/>
          </w:tcPr>
          <w:p w14:paraId="035D3321">
            <w:pPr>
              <w:pStyle w:val="83"/>
              <w:rPr>
                <w:rFonts w:hint="eastAsia" w:ascii="宋体" w:hAnsi="宋体" w:eastAsia="宋体" w:cs="宋体"/>
                <w:color w:val="auto"/>
                <w:highlight w:val="none"/>
              </w:rPr>
            </w:pPr>
          </w:p>
        </w:tc>
        <w:tc>
          <w:tcPr>
            <w:tcW w:w="1418" w:type="dxa"/>
            <w:vAlign w:val="top"/>
          </w:tcPr>
          <w:p w14:paraId="0F0BB47C">
            <w:pPr>
              <w:pStyle w:val="83"/>
              <w:rPr>
                <w:rFonts w:hint="eastAsia" w:ascii="宋体" w:hAnsi="宋体" w:eastAsia="宋体" w:cs="宋体"/>
                <w:color w:val="auto"/>
                <w:highlight w:val="none"/>
              </w:rPr>
            </w:pPr>
          </w:p>
        </w:tc>
        <w:tc>
          <w:tcPr>
            <w:tcW w:w="816" w:type="dxa"/>
            <w:vAlign w:val="top"/>
          </w:tcPr>
          <w:p w14:paraId="280D118D">
            <w:pPr>
              <w:pStyle w:val="83"/>
              <w:rPr>
                <w:rFonts w:hint="eastAsia" w:ascii="宋体" w:hAnsi="宋体" w:eastAsia="宋体" w:cs="宋体"/>
                <w:color w:val="auto"/>
                <w:highlight w:val="none"/>
              </w:rPr>
            </w:pPr>
          </w:p>
        </w:tc>
        <w:tc>
          <w:tcPr>
            <w:tcW w:w="1505" w:type="dxa"/>
            <w:vAlign w:val="top"/>
          </w:tcPr>
          <w:p w14:paraId="51A4F2F9">
            <w:pPr>
              <w:pStyle w:val="83"/>
              <w:rPr>
                <w:rFonts w:hint="eastAsia" w:ascii="宋体" w:hAnsi="宋体" w:eastAsia="宋体" w:cs="宋体"/>
                <w:color w:val="auto"/>
                <w:highlight w:val="none"/>
              </w:rPr>
            </w:pPr>
          </w:p>
        </w:tc>
        <w:tc>
          <w:tcPr>
            <w:tcW w:w="1040" w:type="dxa"/>
            <w:vAlign w:val="top"/>
          </w:tcPr>
          <w:p w14:paraId="1C72C23F">
            <w:pPr>
              <w:pStyle w:val="83"/>
              <w:rPr>
                <w:rFonts w:hint="eastAsia" w:ascii="宋体" w:hAnsi="宋体" w:eastAsia="宋体" w:cs="宋体"/>
                <w:color w:val="auto"/>
                <w:highlight w:val="none"/>
              </w:rPr>
            </w:pPr>
          </w:p>
        </w:tc>
      </w:tr>
    </w:tbl>
    <w:p w14:paraId="2520D3DD">
      <w:pPr>
        <w:pStyle w:val="83"/>
        <w:rPr>
          <w:rFonts w:hint="eastAsia"/>
          <w:color w:val="auto"/>
          <w:sz w:val="21"/>
          <w:szCs w:val="21"/>
          <w:highlight w:val="none"/>
        </w:rPr>
      </w:pPr>
      <w:r>
        <w:rPr>
          <w:rFonts w:hint="eastAsia" w:ascii="宋体" w:hAnsi="宋体" w:eastAsia="宋体" w:cs="宋体"/>
          <w:color w:val="auto"/>
          <w:sz w:val="21"/>
          <w:szCs w:val="21"/>
          <w:highlight w:val="none"/>
        </w:rPr>
        <w:t>备注：</w:t>
      </w:r>
    </w:p>
    <w:p w14:paraId="77BC91CD">
      <w:pPr>
        <w:pStyle w:val="24"/>
        <w:spacing w:line="460" w:lineRule="exact"/>
        <w:ind w:left="300" w:hanging="300" w:hangingChars="143"/>
        <w:rPr>
          <w:rFonts w:hint="eastAsia" w:hAnsi="宋体" w:eastAsia="宋体" w:cs="宋体"/>
          <w:color w:val="auto"/>
          <w:kern w:val="2"/>
          <w:sz w:val="21"/>
          <w:highlight w:val="none"/>
        </w:rPr>
      </w:pPr>
      <w:r>
        <w:rPr>
          <w:rFonts w:hint="eastAsia" w:hAnsi="宋体" w:eastAsia="宋体" w:cs="宋体"/>
          <w:color w:val="auto"/>
          <w:kern w:val="2"/>
          <w:sz w:val="21"/>
          <w:highlight w:val="none"/>
        </w:rPr>
        <w:t>1、按运输车辆的使用年限从少到多的顺序排列，本表的附件严格按照本表的顺序放置。</w:t>
      </w:r>
    </w:p>
    <w:p w14:paraId="7DB339E2">
      <w:pPr>
        <w:pStyle w:val="24"/>
        <w:spacing w:line="460" w:lineRule="exact"/>
        <w:ind w:left="300" w:hanging="300" w:hangingChars="143"/>
        <w:rPr>
          <w:rFonts w:hint="eastAsia" w:hAnsi="宋体" w:eastAsia="宋体" w:cs="宋体"/>
          <w:color w:val="auto"/>
          <w:kern w:val="2"/>
          <w:sz w:val="21"/>
          <w:highlight w:val="none"/>
        </w:rPr>
      </w:pPr>
      <w:r>
        <w:rPr>
          <w:rFonts w:hint="eastAsia" w:hAnsi="宋体" w:eastAsia="宋体" w:cs="宋体"/>
          <w:color w:val="auto"/>
          <w:kern w:val="2"/>
          <w:sz w:val="21"/>
          <w:highlight w:val="none"/>
        </w:rPr>
        <w:t>2、需提供车辆营运证（或道路运输证）、行驶证的复印件（采用半挂牵引车+半挂车组合车型的，必须同时提供半挂牵引车行驶证和半挂车行驶证复印件）和清晰显示车头和车尾车牌号的车辆照片打印件/复印件作为证明材料，证件业主（户）名称（所有人）必须是投标人。</w:t>
      </w:r>
    </w:p>
    <w:p w14:paraId="73E3A17D">
      <w:pPr>
        <w:pStyle w:val="24"/>
        <w:spacing w:line="460" w:lineRule="exact"/>
        <w:ind w:left="300" w:hanging="300" w:hangingChars="143"/>
        <w:rPr>
          <w:rFonts w:hint="eastAsia" w:hAnsi="宋体" w:eastAsia="宋体" w:cs="宋体"/>
          <w:color w:val="auto"/>
          <w:kern w:val="2"/>
          <w:sz w:val="21"/>
          <w:highlight w:val="none"/>
        </w:rPr>
      </w:pPr>
      <w:r>
        <w:rPr>
          <w:rFonts w:hint="eastAsia" w:hAnsi="宋体" w:eastAsia="宋体" w:cs="宋体"/>
          <w:color w:val="auto"/>
          <w:kern w:val="2"/>
          <w:sz w:val="21"/>
          <w:highlight w:val="none"/>
        </w:rPr>
        <w:t>3、投标人被推荐为中标候选人后，招标人根据投标人须知进行真实性核查时，若发现投标人在投标或履约过程中存在提供虚假材料、虚假投标文件等弄虚作假行为，招标人有权将投标人纳入东莞市水务集团有限公司（含其全资公司、控股公司、由其管理的参股公司）招标、采购、征集供应商或合作方采购的‘黑名单’中，因此导致投标人无法参与东莞市水务集团有限公司相关招标采购等活动的，由投标人自行承担全部后果。同时，招标人有权或协助主管部门认定提供虚假材料方严重失信的不良行为，纳入相关企业信用“黑名单”，限制参与依法必须招标项目的投标，并向行政主管部门报送结果。同时，招标人有权根据《关于对环境保护领域失信生产经营单位及其有关人员开展联合惩戒的合作备忘录》、《关于在招标投标活动中对失信被执行人实施联合惩戒的通知》等规定，通过“信用中国”网站向社会公示失信行为，实现“一处失信、处处受限”。</w:t>
      </w:r>
    </w:p>
    <w:p w14:paraId="281954CB">
      <w:pPr>
        <w:rPr>
          <w:rFonts w:hint="eastAsia"/>
          <w:color w:val="auto"/>
          <w:highlight w:val="none"/>
        </w:rPr>
      </w:pPr>
    </w:p>
    <w:p w14:paraId="466B8A56">
      <w:pPr>
        <w:rPr>
          <w:rFonts w:hint="eastAsia"/>
          <w:color w:val="auto"/>
          <w:highlight w:val="none"/>
          <w:lang w:val="en-US" w:eastAsia="zh-CN"/>
        </w:rPr>
      </w:pPr>
      <w:r>
        <w:rPr>
          <w:rFonts w:hint="eastAsia"/>
          <w:color w:val="auto"/>
          <w:highlight w:val="none"/>
          <w:lang w:val="en-US" w:eastAsia="zh-CN"/>
        </w:rPr>
        <w:br w:type="page"/>
      </w:r>
    </w:p>
    <w:p w14:paraId="64BC685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 xml:space="preserve"> 拟投入的运输人员</w:t>
      </w:r>
    </w:p>
    <w:p w14:paraId="3F722C31">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color w:val="auto"/>
          <w:sz w:val="21"/>
          <w:szCs w:val="21"/>
          <w:highlight w:val="none"/>
          <w:lang w:val="en-US" w:eastAsia="zh-CN"/>
        </w:rPr>
        <w:t>投标人自行编写。</w:t>
      </w:r>
      <w:r>
        <w:rPr>
          <w:rFonts w:hint="eastAsia" w:ascii="宋体" w:hAnsi="宋体" w:eastAsia="宋体" w:cs="宋体"/>
          <w:color w:val="auto"/>
          <w:sz w:val="21"/>
          <w:szCs w:val="21"/>
          <w:highlight w:val="none"/>
        </w:rPr>
        <w:t>投标人必须提供拟投入本项目</w:t>
      </w:r>
      <w:r>
        <w:rPr>
          <w:rFonts w:hint="eastAsia" w:ascii="宋体" w:hAnsi="宋体" w:eastAsia="宋体" w:cs="宋体"/>
          <w:color w:val="auto"/>
          <w:sz w:val="21"/>
          <w:szCs w:val="21"/>
          <w:highlight w:val="none"/>
          <w:lang w:val="en-US" w:eastAsia="zh-CN"/>
        </w:rPr>
        <w:t>管理人员及</w:t>
      </w:r>
      <w:r>
        <w:rPr>
          <w:rFonts w:hint="eastAsia" w:ascii="宋体" w:hAnsi="宋体" w:eastAsia="宋体" w:cs="宋体"/>
          <w:color w:val="auto"/>
          <w:sz w:val="21"/>
          <w:szCs w:val="21"/>
          <w:highlight w:val="none"/>
        </w:rPr>
        <w:t>运输人员清单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人力资源和社会保障部门（或税务部门）出具的最近六个月（2024年3月至8月）的社保缴纳证明复印件、驾驶证复印件，提供的运输人员清单、驾驶证和社保缴纳证明复印件中人员名称必须一致。</w:t>
      </w:r>
    </w:p>
    <w:p w14:paraId="69A3CD4E">
      <w:pPr>
        <w:pStyle w:val="46"/>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拟投入的项目管理人员及运输人员清单表</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68"/>
        <w:gridCol w:w="1184"/>
        <w:gridCol w:w="877"/>
        <w:gridCol w:w="1336"/>
        <w:gridCol w:w="1470"/>
        <w:gridCol w:w="1607"/>
        <w:gridCol w:w="1486"/>
      </w:tblGrid>
      <w:tr w14:paraId="0854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370" w:type="dxa"/>
            <w:gridSpan w:val="8"/>
            <w:tcBorders>
              <w:top w:val="single" w:color="auto" w:sz="4" w:space="0"/>
              <w:left w:val="single" w:color="auto" w:sz="4" w:space="0"/>
              <w:bottom w:val="single" w:color="auto" w:sz="4" w:space="0"/>
              <w:right w:val="single" w:color="auto" w:sz="4" w:space="0"/>
            </w:tcBorders>
            <w:vAlign w:val="center"/>
          </w:tcPr>
          <w:p w14:paraId="73D1536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项目管理人员：</w:t>
            </w:r>
          </w:p>
        </w:tc>
      </w:tr>
      <w:tr w14:paraId="3026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28F004B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0AE38F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84" w:type="dxa"/>
            <w:tcBorders>
              <w:top w:val="single" w:color="auto" w:sz="4" w:space="0"/>
              <w:left w:val="single" w:color="auto" w:sz="4" w:space="0"/>
              <w:bottom w:val="single" w:color="auto" w:sz="4" w:space="0"/>
              <w:right w:val="single" w:color="auto" w:sz="4" w:space="0"/>
            </w:tcBorders>
            <w:vAlign w:val="center"/>
          </w:tcPr>
          <w:p w14:paraId="5EC18B0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77" w:type="dxa"/>
            <w:tcBorders>
              <w:top w:val="single" w:color="auto" w:sz="4" w:space="0"/>
              <w:left w:val="single" w:color="auto" w:sz="4" w:space="0"/>
              <w:bottom w:val="single" w:color="auto" w:sz="4" w:space="0"/>
              <w:right w:val="single" w:color="auto" w:sz="4" w:space="0"/>
            </w:tcBorders>
            <w:vAlign w:val="center"/>
          </w:tcPr>
          <w:p w14:paraId="7DC8FF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36" w:type="dxa"/>
            <w:tcBorders>
              <w:top w:val="single" w:color="auto" w:sz="4" w:space="0"/>
              <w:left w:val="single" w:color="auto" w:sz="4" w:space="0"/>
              <w:bottom w:val="single" w:color="auto" w:sz="4" w:space="0"/>
              <w:right w:val="single" w:color="auto" w:sz="4" w:space="0"/>
            </w:tcBorders>
            <w:vAlign w:val="center"/>
          </w:tcPr>
          <w:p w14:paraId="7ECB618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470" w:type="dxa"/>
            <w:tcBorders>
              <w:top w:val="single" w:color="auto" w:sz="4" w:space="0"/>
              <w:left w:val="single" w:color="auto" w:sz="4" w:space="0"/>
              <w:bottom w:val="single" w:color="auto" w:sz="4" w:space="0"/>
              <w:right w:val="single" w:color="auto" w:sz="4" w:space="0"/>
            </w:tcBorders>
            <w:vAlign w:val="center"/>
          </w:tcPr>
          <w:p w14:paraId="5900EB7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1607" w:type="dxa"/>
            <w:tcBorders>
              <w:top w:val="single" w:color="auto" w:sz="4" w:space="0"/>
              <w:left w:val="single" w:color="auto" w:sz="4" w:space="0"/>
              <w:bottom w:val="single" w:color="auto" w:sz="4" w:space="0"/>
              <w:right w:val="single" w:color="auto" w:sz="4" w:space="0"/>
            </w:tcBorders>
            <w:vAlign w:val="center"/>
          </w:tcPr>
          <w:p w14:paraId="1AB0319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486" w:type="dxa"/>
            <w:tcBorders>
              <w:top w:val="single" w:color="auto" w:sz="4" w:space="0"/>
              <w:left w:val="single" w:color="auto" w:sz="4" w:space="0"/>
              <w:bottom w:val="single" w:color="auto" w:sz="4" w:space="0"/>
              <w:right w:val="single" w:color="auto" w:sz="4" w:space="0"/>
            </w:tcBorders>
            <w:vAlign w:val="center"/>
          </w:tcPr>
          <w:p w14:paraId="26E0E7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382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7FDD8512">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12CB1071">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B03C141">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6B9EB449">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2671F6A9">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19BA89D6">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4D07012C">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375A8F98">
            <w:pPr>
              <w:spacing w:line="360" w:lineRule="auto"/>
              <w:jc w:val="center"/>
              <w:rPr>
                <w:rFonts w:hint="eastAsia" w:ascii="宋体" w:hAnsi="宋体" w:eastAsia="宋体" w:cs="宋体"/>
                <w:color w:val="auto"/>
                <w:sz w:val="21"/>
                <w:szCs w:val="21"/>
                <w:highlight w:val="none"/>
              </w:rPr>
            </w:pPr>
          </w:p>
        </w:tc>
      </w:tr>
      <w:tr w14:paraId="32E8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29B1CA12">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0AE4CB52">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7404616">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4D35312C">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55C58489">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5D4FF91C">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7FFC873B">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6F1E80D1">
            <w:pPr>
              <w:spacing w:line="360" w:lineRule="auto"/>
              <w:jc w:val="center"/>
              <w:rPr>
                <w:rFonts w:hint="eastAsia" w:ascii="宋体" w:hAnsi="宋体" w:eastAsia="宋体" w:cs="宋体"/>
                <w:color w:val="auto"/>
                <w:sz w:val="21"/>
                <w:szCs w:val="21"/>
                <w:highlight w:val="none"/>
              </w:rPr>
            </w:pPr>
          </w:p>
        </w:tc>
      </w:tr>
      <w:tr w14:paraId="4A98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3AF9BE85">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1A927349">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90212E4">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42D626A4">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68BFA2E0">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279129D0">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471775AB">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44F4A9C1">
            <w:pPr>
              <w:spacing w:line="360" w:lineRule="auto"/>
              <w:jc w:val="center"/>
              <w:rPr>
                <w:rFonts w:hint="eastAsia" w:ascii="宋体" w:hAnsi="宋体" w:eastAsia="宋体" w:cs="宋体"/>
                <w:color w:val="auto"/>
                <w:sz w:val="21"/>
                <w:szCs w:val="21"/>
                <w:highlight w:val="none"/>
              </w:rPr>
            </w:pPr>
          </w:p>
        </w:tc>
      </w:tr>
      <w:tr w14:paraId="220D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70" w:type="dxa"/>
            <w:gridSpan w:val="8"/>
            <w:tcBorders>
              <w:top w:val="single" w:color="auto" w:sz="4" w:space="0"/>
              <w:left w:val="single" w:color="auto" w:sz="4" w:space="0"/>
              <w:bottom w:val="single" w:color="auto" w:sz="4" w:space="0"/>
              <w:right w:val="single" w:color="auto" w:sz="4" w:space="0"/>
            </w:tcBorders>
            <w:vAlign w:val="center"/>
          </w:tcPr>
          <w:p w14:paraId="561F81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运输人员：</w:t>
            </w:r>
          </w:p>
        </w:tc>
      </w:tr>
      <w:tr w14:paraId="2F98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69DA1E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3D0A88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84" w:type="dxa"/>
            <w:tcBorders>
              <w:top w:val="single" w:color="auto" w:sz="4" w:space="0"/>
              <w:left w:val="single" w:color="auto" w:sz="4" w:space="0"/>
              <w:bottom w:val="single" w:color="auto" w:sz="4" w:space="0"/>
              <w:right w:val="single" w:color="auto" w:sz="4" w:space="0"/>
            </w:tcBorders>
            <w:vAlign w:val="center"/>
          </w:tcPr>
          <w:p w14:paraId="0EB8D6B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77" w:type="dxa"/>
            <w:tcBorders>
              <w:top w:val="single" w:color="auto" w:sz="4" w:space="0"/>
              <w:left w:val="single" w:color="auto" w:sz="4" w:space="0"/>
              <w:bottom w:val="single" w:color="auto" w:sz="4" w:space="0"/>
              <w:right w:val="single" w:color="auto" w:sz="4" w:space="0"/>
            </w:tcBorders>
            <w:vAlign w:val="center"/>
          </w:tcPr>
          <w:p w14:paraId="233A3D9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36" w:type="dxa"/>
            <w:tcBorders>
              <w:top w:val="single" w:color="auto" w:sz="4" w:space="0"/>
              <w:left w:val="single" w:color="auto" w:sz="4" w:space="0"/>
              <w:bottom w:val="single" w:color="auto" w:sz="4" w:space="0"/>
              <w:right w:val="single" w:color="auto" w:sz="4" w:space="0"/>
            </w:tcBorders>
            <w:vAlign w:val="center"/>
          </w:tcPr>
          <w:p w14:paraId="6D375F0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驾驶证类型</w:t>
            </w:r>
          </w:p>
        </w:tc>
        <w:tc>
          <w:tcPr>
            <w:tcW w:w="1470" w:type="dxa"/>
            <w:tcBorders>
              <w:top w:val="single" w:color="auto" w:sz="4" w:space="0"/>
              <w:left w:val="single" w:color="auto" w:sz="4" w:space="0"/>
              <w:bottom w:val="single" w:color="auto" w:sz="4" w:space="0"/>
              <w:right w:val="single" w:color="auto" w:sz="4" w:space="0"/>
            </w:tcBorders>
            <w:vAlign w:val="center"/>
          </w:tcPr>
          <w:p w14:paraId="0832FFF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取得驾驶证日期</w:t>
            </w:r>
          </w:p>
        </w:tc>
        <w:tc>
          <w:tcPr>
            <w:tcW w:w="1607" w:type="dxa"/>
            <w:tcBorders>
              <w:top w:val="single" w:color="auto" w:sz="4" w:space="0"/>
              <w:left w:val="single" w:color="auto" w:sz="4" w:space="0"/>
              <w:bottom w:val="single" w:color="auto" w:sz="4" w:space="0"/>
              <w:right w:val="single" w:color="auto" w:sz="4" w:space="0"/>
            </w:tcBorders>
            <w:vAlign w:val="center"/>
          </w:tcPr>
          <w:p w14:paraId="2813A08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驾龄（年）</w:t>
            </w:r>
          </w:p>
        </w:tc>
        <w:tc>
          <w:tcPr>
            <w:tcW w:w="1486" w:type="dxa"/>
            <w:tcBorders>
              <w:top w:val="single" w:color="auto" w:sz="4" w:space="0"/>
              <w:left w:val="single" w:color="auto" w:sz="4" w:space="0"/>
              <w:bottom w:val="single" w:color="auto" w:sz="4" w:space="0"/>
              <w:right w:val="single" w:color="auto" w:sz="4" w:space="0"/>
            </w:tcBorders>
            <w:vAlign w:val="center"/>
          </w:tcPr>
          <w:p w14:paraId="6C5B5C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5EF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top"/>
          </w:tcPr>
          <w:p w14:paraId="0F27E977">
            <w:pPr>
              <w:rPr>
                <w:rFonts w:hint="eastAsia" w:ascii="宋体" w:hAnsi="宋体" w:eastAsia="宋体" w:cs="宋体"/>
                <w:color w:val="auto"/>
                <w:highlight w:val="none"/>
              </w:rPr>
            </w:pPr>
          </w:p>
        </w:tc>
        <w:tc>
          <w:tcPr>
            <w:tcW w:w="1568" w:type="dxa"/>
            <w:tcBorders>
              <w:top w:val="single" w:color="auto" w:sz="4" w:space="0"/>
              <w:left w:val="single" w:color="auto" w:sz="4" w:space="0"/>
              <w:bottom w:val="single" w:color="auto" w:sz="4" w:space="0"/>
              <w:right w:val="single" w:color="auto" w:sz="4" w:space="0"/>
            </w:tcBorders>
            <w:vAlign w:val="top"/>
          </w:tcPr>
          <w:p w14:paraId="2EEAA9EB">
            <w:pPr>
              <w:rPr>
                <w:rFonts w:hint="eastAsia" w:ascii="宋体" w:hAnsi="宋体" w:eastAsia="宋体" w:cs="宋体"/>
                <w:color w:val="auto"/>
                <w:highlight w:val="none"/>
              </w:rPr>
            </w:pPr>
          </w:p>
        </w:tc>
        <w:tc>
          <w:tcPr>
            <w:tcW w:w="1184" w:type="dxa"/>
            <w:tcBorders>
              <w:top w:val="single" w:color="auto" w:sz="4" w:space="0"/>
              <w:left w:val="single" w:color="auto" w:sz="4" w:space="0"/>
              <w:bottom w:val="single" w:color="auto" w:sz="4" w:space="0"/>
              <w:right w:val="single" w:color="auto" w:sz="4" w:space="0"/>
            </w:tcBorders>
            <w:vAlign w:val="top"/>
          </w:tcPr>
          <w:p w14:paraId="69C0FA9D">
            <w:pPr>
              <w:rPr>
                <w:rFonts w:hint="eastAsia" w:ascii="宋体" w:hAnsi="宋体" w:eastAsia="宋体" w:cs="宋体"/>
                <w:color w:val="auto"/>
                <w:highlight w:val="none"/>
              </w:rPr>
            </w:pPr>
          </w:p>
        </w:tc>
        <w:tc>
          <w:tcPr>
            <w:tcW w:w="877" w:type="dxa"/>
            <w:tcBorders>
              <w:top w:val="single" w:color="auto" w:sz="4" w:space="0"/>
              <w:left w:val="single" w:color="auto" w:sz="4" w:space="0"/>
              <w:bottom w:val="single" w:color="auto" w:sz="4" w:space="0"/>
              <w:right w:val="single" w:color="auto" w:sz="4" w:space="0"/>
            </w:tcBorders>
            <w:vAlign w:val="top"/>
          </w:tcPr>
          <w:p w14:paraId="79C04EF6">
            <w:pPr>
              <w:rPr>
                <w:rFonts w:hint="eastAsia" w:ascii="宋体" w:hAnsi="宋体" w:eastAsia="宋体" w:cs="宋体"/>
                <w:color w:val="auto"/>
                <w:highlight w:val="none"/>
              </w:rPr>
            </w:pPr>
          </w:p>
        </w:tc>
        <w:tc>
          <w:tcPr>
            <w:tcW w:w="1336" w:type="dxa"/>
            <w:tcBorders>
              <w:top w:val="single" w:color="auto" w:sz="4" w:space="0"/>
              <w:left w:val="single" w:color="auto" w:sz="4" w:space="0"/>
              <w:bottom w:val="single" w:color="auto" w:sz="4" w:space="0"/>
              <w:right w:val="single" w:color="auto" w:sz="4" w:space="0"/>
            </w:tcBorders>
            <w:vAlign w:val="top"/>
          </w:tcPr>
          <w:p w14:paraId="3A973AE4">
            <w:pPr>
              <w:rPr>
                <w:rFonts w:hint="eastAsia" w:ascii="宋体" w:hAnsi="宋体" w:eastAsia="宋体" w:cs="宋体"/>
                <w:color w:val="auto"/>
                <w:highlight w:val="none"/>
              </w:rPr>
            </w:pPr>
          </w:p>
        </w:tc>
        <w:tc>
          <w:tcPr>
            <w:tcW w:w="1470" w:type="dxa"/>
            <w:tcBorders>
              <w:top w:val="single" w:color="auto" w:sz="4" w:space="0"/>
              <w:left w:val="single" w:color="auto" w:sz="4" w:space="0"/>
              <w:bottom w:val="single" w:color="auto" w:sz="4" w:space="0"/>
              <w:right w:val="single" w:color="auto" w:sz="4" w:space="0"/>
            </w:tcBorders>
            <w:vAlign w:val="top"/>
          </w:tcPr>
          <w:p w14:paraId="6E24635F">
            <w:pPr>
              <w:rPr>
                <w:rFonts w:hint="eastAsia" w:ascii="宋体" w:hAnsi="宋体" w:eastAsia="宋体" w:cs="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vAlign w:val="top"/>
          </w:tcPr>
          <w:p w14:paraId="61AA19A6">
            <w:pPr>
              <w:rPr>
                <w:rFonts w:hint="eastAsia" w:ascii="宋体" w:hAnsi="宋体" w:eastAsia="宋体" w:cs="宋体"/>
                <w:color w:val="auto"/>
                <w:highlight w:val="none"/>
              </w:rPr>
            </w:pPr>
          </w:p>
        </w:tc>
        <w:tc>
          <w:tcPr>
            <w:tcW w:w="1486" w:type="dxa"/>
            <w:tcBorders>
              <w:top w:val="single" w:color="auto" w:sz="4" w:space="0"/>
              <w:left w:val="single" w:color="auto" w:sz="4" w:space="0"/>
              <w:bottom w:val="single" w:color="auto" w:sz="4" w:space="0"/>
              <w:right w:val="single" w:color="auto" w:sz="4" w:space="0"/>
            </w:tcBorders>
            <w:vAlign w:val="top"/>
          </w:tcPr>
          <w:p w14:paraId="40F00ADB">
            <w:pPr>
              <w:rPr>
                <w:rFonts w:hint="eastAsia" w:ascii="宋体" w:hAnsi="宋体" w:eastAsia="宋体" w:cs="宋体"/>
                <w:color w:val="auto"/>
                <w:highlight w:val="none"/>
              </w:rPr>
            </w:pPr>
          </w:p>
        </w:tc>
      </w:tr>
      <w:tr w14:paraId="51F6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379B8A7E">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08E3823D">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54E56F5F">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04315D27">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7F108787">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74A9598F">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799113A7">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49422DF7">
            <w:pPr>
              <w:spacing w:line="360" w:lineRule="auto"/>
              <w:jc w:val="center"/>
              <w:rPr>
                <w:rFonts w:hint="eastAsia" w:ascii="宋体" w:hAnsi="宋体" w:eastAsia="宋体" w:cs="宋体"/>
                <w:color w:val="auto"/>
                <w:sz w:val="21"/>
                <w:szCs w:val="21"/>
                <w:highlight w:val="none"/>
              </w:rPr>
            </w:pPr>
          </w:p>
        </w:tc>
      </w:tr>
      <w:tr w14:paraId="7F80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1F46648A">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3A3106F2">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6EE8525A">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59D8B6F8">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33212F47">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7FF3AC85">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1F032818">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789F4A2F">
            <w:pPr>
              <w:spacing w:line="360" w:lineRule="auto"/>
              <w:jc w:val="center"/>
              <w:rPr>
                <w:rFonts w:hint="eastAsia" w:ascii="宋体" w:hAnsi="宋体" w:eastAsia="宋体" w:cs="宋体"/>
                <w:color w:val="auto"/>
                <w:sz w:val="21"/>
                <w:szCs w:val="21"/>
                <w:highlight w:val="none"/>
              </w:rPr>
            </w:pPr>
          </w:p>
        </w:tc>
      </w:tr>
      <w:tr w14:paraId="5571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38892349">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31A31C5C">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8DEABF4">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6AF89EAA">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4376C56C">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449ADF48">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2E787271">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77ABB820">
            <w:pPr>
              <w:spacing w:line="360" w:lineRule="auto"/>
              <w:jc w:val="center"/>
              <w:rPr>
                <w:rFonts w:hint="eastAsia" w:ascii="宋体" w:hAnsi="宋体" w:eastAsia="宋体" w:cs="宋体"/>
                <w:color w:val="auto"/>
                <w:sz w:val="21"/>
                <w:szCs w:val="21"/>
                <w:highlight w:val="none"/>
              </w:rPr>
            </w:pPr>
          </w:p>
        </w:tc>
      </w:tr>
      <w:tr w14:paraId="42FF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6CCC57C8">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688A1F43">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698942AF">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1774123D">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01FC6488">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43D0CB7E">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4E8DB43C">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1AA7F2C0">
            <w:pPr>
              <w:spacing w:line="360" w:lineRule="auto"/>
              <w:jc w:val="center"/>
              <w:rPr>
                <w:rFonts w:hint="eastAsia" w:ascii="宋体" w:hAnsi="宋体" w:eastAsia="宋体" w:cs="宋体"/>
                <w:color w:val="auto"/>
                <w:sz w:val="21"/>
                <w:szCs w:val="21"/>
                <w:highlight w:val="none"/>
              </w:rPr>
            </w:pPr>
          </w:p>
        </w:tc>
      </w:tr>
      <w:tr w14:paraId="2674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5D0DC089">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5A8A794C">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B14966C">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7BE629F5">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5A2F4777">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0E430B8E">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43802069">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3538D619">
            <w:pPr>
              <w:spacing w:line="360" w:lineRule="auto"/>
              <w:jc w:val="center"/>
              <w:rPr>
                <w:rFonts w:hint="eastAsia" w:ascii="宋体" w:hAnsi="宋体" w:eastAsia="宋体" w:cs="宋体"/>
                <w:color w:val="auto"/>
                <w:sz w:val="21"/>
                <w:szCs w:val="21"/>
                <w:highlight w:val="none"/>
              </w:rPr>
            </w:pPr>
          </w:p>
        </w:tc>
      </w:tr>
    </w:tbl>
    <w:p w14:paraId="5B58C2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34E48B2">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（1）此表格式供参照，投标人可以根据本表格式内容自行划表填写。</w:t>
      </w:r>
    </w:p>
    <w:p w14:paraId="418E196C">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（2）驾龄按取得A2驾驶证的年份计算。</w:t>
      </w:r>
    </w:p>
    <w:p w14:paraId="1E10C429">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（2）拟投入本项目的项目管理人员需提供简历表。</w:t>
      </w:r>
    </w:p>
    <w:p w14:paraId="1C081A38">
      <w:pPr>
        <w:pageBreakBefore/>
        <w:spacing w:line="360" w:lineRule="auto"/>
        <w:ind w:firstLine="285" w:firstLineChars="135"/>
        <w:rPr>
          <w:rFonts w:hint="eastAsia" w:ascii="宋体" w:hAnsi="宋体" w:eastAsia="宋体" w:cs="宋体"/>
          <w:b/>
          <w:color w:val="auto"/>
          <w:highlight w:val="none"/>
        </w:rPr>
      </w:pPr>
      <w:r>
        <w:rPr>
          <w:rFonts w:hint="eastAsia" w:ascii="宋体" w:hAnsi="宋体" w:eastAsia="宋体" w:cs="宋体"/>
          <w:b/>
          <w:color w:val="auto"/>
          <w:highlight w:val="none"/>
        </w:rPr>
        <w:t>简历表格式</w:t>
      </w:r>
    </w:p>
    <w:p w14:paraId="0145C39A">
      <w:pPr>
        <w:spacing w:line="360" w:lineRule="auto"/>
        <w:jc w:val="center"/>
        <w:rPr>
          <w:rFonts w:hint="eastAsia" w:ascii="宋体" w:hAnsi="宋体" w:eastAsia="宋体" w:cs="宋体"/>
          <w:b/>
          <w:color w:val="auto"/>
          <w:sz w:val="30"/>
          <w:szCs w:val="30"/>
          <w:highlight w:val="none"/>
        </w:rPr>
      </w:pPr>
    </w:p>
    <w:p w14:paraId="466A0312">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tbl>
      <w:tblPr>
        <w:tblStyle w:val="3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050"/>
        <w:gridCol w:w="75"/>
        <w:gridCol w:w="435"/>
        <w:gridCol w:w="645"/>
        <w:gridCol w:w="43"/>
        <w:gridCol w:w="1757"/>
      </w:tblGrid>
      <w:tr w14:paraId="0F4A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C2FC01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14:paraId="3FC5D449">
            <w:pPr>
              <w:spacing w:line="360" w:lineRule="auto"/>
              <w:jc w:val="center"/>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C8C94C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80" w:type="dxa"/>
            <w:gridSpan w:val="4"/>
            <w:tcBorders>
              <w:top w:val="single" w:color="auto" w:sz="4" w:space="0"/>
              <w:left w:val="single" w:color="auto" w:sz="4" w:space="0"/>
              <w:bottom w:val="single" w:color="auto" w:sz="4" w:space="0"/>
              <w:right w:val="single" w:color="auto" w:sz="4" w:space="0"/>
            </w:tcBorders>
            <w:vAlign w:val="center"/>
          </w:tcPr>
          <w:p w14:paraId="126CFA79">
            <w:pPr>
              <w:spacing w:line="360" w:lineRule="auto"/>
              <w:jc w:val="center"/>
              <w:rPr>
                <w:rFonts w:hint="eastAsia" w:ascii="宋体" w:hAnsi="宋体" w:eastAsia="宋体" w:cs="宋体"/>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2A7A8D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5D77DD64">
            <w:pPr>
              <w:spacing w:line="360" w:lineRule="auto"/>
              <w:jc w:val="center"/>
              <w:rPr>
                <w:rFonts w:hint="eastAsia" w:ascii="宋体" w:hAnsi="宋体" w:eastAsia="宋体" w:cs="宋体"/>
                <w:color w:val="auto"/>
                <w:sz w:val="21"/>
                <w:szCs w:val="21"/>
                <w:highlight w:val="none"/>
              </w:rPr>
            </w:pPr>
          </w:p>
        </w:tc>
      </w:tr>
      <w:tr w14:paraId="4132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D87974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14:paraId="4513922C">
            <w:pPr>
              <w:spacing w:line="360" w:lineRule="auto"/>
              <w:jc w:val="center"/>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74D28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680" w:type="dxa"/>
            <w:gridSpan w:val="4"/>
            <w:tcBorders>
              <w:top w:val="single" w:color="auto" w:sz="4" w:space="0"/>
              <w:left w:val="single" w:color="auto" w:sz="4" w:space="0"/>
              <w:bottom w:val="single" w:color="auto" w:sz="4" w:space="0"/>
              <w:right w:val="single" w:color="auto" w:sz="4" w:space="0"/>
            </w:tcBorders>
            <w:vAlign w:val="center"/>
          </w:tcPr>
          <w:p w14:paraId="4465FB1E">
            <w:pPr>
              <w:spacing w:line="360" w:lineRule="auto"/>
              <w:jc w:val="center"/>
              <w:rPr>
                <w:rFonts w:hint="eastAsia" w:ascii="宋体" w:hAnsi="宋体" w:eastAsia="宋体" w:cs="宋体"/>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692AD9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41C017E8">
            <w:pPr>
              <w:spacing w:line="360" w:lineRule="auto"/>
              <w:rPr>
                <w:rFonts w:hint="eastAsia" w:ascii="宋体" w:hAnsi="宋体" w:eastAsia="宋体" w:cs="宋体"/>
                <w:color w:val="auto"/>
                <w:sz w:val="21"/>
                <w:szCs w:val="21"/>
                <w:highlight w:val="none"/>
              </w:rPr>
            </w:pPr>
          </w:p>
          <w:p w14:paraId="203227F2">
            <w:pPr>
              <w:spacing w:line="360" w:lineRule="auto"/>
              <w:jc w:val="center"/>
              <w:rPr>
                <w:rFonts w:hint="eastAsia" w:ascii="宋体" w:hAnsi="宋体" w:eastAsia="宋体" w:cs="宋体"/>
                <w:color w:val="auto"/>
                <w:sz w:val="21"/>
                <w:szCs w:val="21"/>
                <w:highlight w:val="none"/>
              </w:rPr>
            </w:pPr>
          </w:p>
        </w:tc>
      </w:tr>
      <w:tr w14:paraId="686B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14:paraId="53CA2A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0" w:type="dxa"/>
            <w:gridSpan w:val="4"/>
            <w:tcBorders>
              <w:top w:val="single" w:color="auto" w:sz="4" w:space="0"/>
              <w:left w:val="single" w:color="auto" w:sz="4" w:space="0"/>
              <w:bottom w:val="single" w:color="auto" w:sz="4" w:space="0"/>
              <w:right w:val="single" w:color="auto" w:sz="4" w:space="0"/>
            </w:tcBorders>
            <w:vAlign w:val="center"/>
          </w:tcPr>
          <w:p w14:paraId="0FA41B09">
            <w:pPr>
              <w:spacing w:line="360" w:lineRule="auto"/>
              <w:jc w:val="center"/>
              <w:rPr>
                <w:rFonts w:hint="eastAsia" w:ascii="宋体" w:hAnsi="宋体" w:eastAsia="宋体" w:cs="宋体"/>
                <w:color w:val="auto"/>
                <w:sz w:val="21"/>
                <w:szCs w:val="21"/>
                <w:highlight w:val="none"/>
              </w:rPr>
            </w:pPr>
          </w:p>
        </w:tc>
        <w:tc>
          <w:tcPr>
            <w:tcW w:w="2263" w:type="dxa"/>
            <w:gridSpan w:val="6"/>
            <w:tcBorders>
              <w:top w:val="single" w:color="auto" w:sz="4" w:space="0"/>
              <w:left w:val="single" w:color="auto" w:sz="4" w:space="0"/>
              <w:bottom w:val="single" w:color="auto" w:sz="4" w:space="0"/>
              <w:right w:val="single" w:color="auto" w:sz="4" w:space="0"/>
            </w:tcBorders>
            <w:vAlign w:val="center"/>
          </w:tcPr>
          <w:p w14:paraId="4FDB6C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757" w:type="dxa"/>
            <w:tcBorders>
              <w:top w:val="single" w:color="auto" w:sz="4" w:space="0"/>
              <w:left w:val="single" w:color="auto" w:sz="4" w:space="0"/>
              <w:bottom w:val="single" w:color="auto" w:sz="4" w:space="0"/>
              <w:right w:val="single" w:color="auto" w:sz="4" w:space="0"/>
            </w:tcBorders>
            <w:vAlign w:val="center"/>
          </w:tcPr>
          <w:p w14:paraId="1D45F58E">
            <w:pPr>
              <w:spacing w:line="360" w:lineRule="auto"/>
              <w:jc w:val="center"/>
              <w:rPr>
                <w:rFonts w:hint="eastAsia" w:ascii="宋体" w:hAnsi="宋体" w:eastAsia="宋体" w:cs="宋体"/>
                <w:color w:val="auto"/>
                <w:sz w:val="21"/>
                <w:szCs w:val="21"/>
                <w:highlight w:val="none"/>
              </w:rPr>
            </w:pPr>
          </w:p>
        </w:tc>
      </w:tr>
      <w:tr w14:paraId="135D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14:paraId="47C185B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2955" w:type="dxa"/>
            <w:gridSpan w:val="6"/>
            <w:tcBorders>
              <w:top w:val="single" w:color="auto" w:sz="4" w:space="0"/>
              <w:left w:val="single" w:color="auto" w:sz="4" w:space="0"/>
              <w:bottom w:val="single" w:color="auto" w:sz="4" w:space="0"/>
              <w:right w:val="single" w:color="auto" w:sz="4" w:space="0"/>
            </w:tcBorders>
            <w:vAlign w:val="center"/>
          </w:tcPr>
          <w:p w14:paraId="7F8D3FC3">
            <w:pPr>
              <w:spacing w:line="360" w:lineRule="auto"/>
              <w:jc w:val="center"/>
              <w:rPr>
                <w:rFonts w:hint="eastAsia" w:ascii="宋体" w:hAnsi="宋体" w:eastAsia="宋体" w:cs="宋体"/>
                <w:color w:val="auto"/>
                <w:sz w:val="21"/>
                <w:szCs w:val="21"/>
                <w:highlight w:val="none"/>
              </w:rPr>
            </w:pPr>
          </w:p>
        </w:tc>
        <w:tc>
          <w:tcPr>
            <w:tcW w:w="1198" w:type="dxa"/>
            <w:gridSpan w:val="4"/>
            <w:tcBorders>
              <w:top w:val="single" w:color="auto" w:sz="4" w:space="0"/>
              <w:left w:val="single" w:color="auto" w:sz="4" w:space="0"/>
              <w:bottom w:val="single" w:color="auto" w:sz="4" w:space="0"/>
              <w:right w:val="single" w:color="auto" w:sz="4" w:space="0"/>
            </w:tcBorders>
            <w:vAlign w:val="center"/>
          </w:tcPr>
          <w:p w14:paraId="583D15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57" w:type="dxa"/>
            <w:tcBorders>
              <w:top w:val="single" w:color="auto" w:sz="4" w:space="0"/>
              <w:left w:val="single" w:color="auto" w:sz="4" w:space="0"/>
              <w:bottom w:val="single" w:color="auto" w:sz="4" w:space="0"/>
              <w:right w:val="single" w:color="auto" w:sz="4" w:space="0"/>
            </w:tcBorders>
            <w:vAlign w:val="center"/>
          </w:tcPr>
          <w:p w14:paraId="1D76B9FB">
            <w:pPr>
              <w:spacing w:line="360" w:lineRule="auto"/>
              <w:jc w:val="center"/>
              <w:rPr>
                <w:rFonts w:hint="eastAsia" w:ascii="宋体" w:hAnsi="宋体" w:eastAsia="宋体" w:cs="宋体"/>
                <w:color w:val="auto"/>
                <w:sz w:val="21"/>
                <w:szCs w:val="21"/>
                <w:highlight w:val="none"/>
              </w:rPr>
            </w:pPr>
          </w:p>
        </w:tc>
      </w:tr>
      <w:tr w14:paraId="0817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4"/>
            <w:tcBorders>
              <w:top w:val="single" w:color="auto" w:sz="4" w:space="0"/>
              <w:left w:val="single" w:color="auto" w:sz="4" w:space="0"/>
              <w:bottom w:val="single" w:color="auto" w:sz="4" w:space="0"/>
              <w:right w:val="single" w:color="auto" w:sz="4" w:space="0"/>
            </w:tcBorders>
            <w:vAlign w:val="center"/>
          </w:tcPr>
          <w:p w14:paraId="794ED36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14:paraId="348E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14:paraId="103AAB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72F033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6D2CA8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369A254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2445" w:type="dxa"/>
            <w:gridSpan w:val="3"/>
            <w:tcBorders>
              <w:top w:val="single" w:color="auto" w:sz="4" w:space="0"/>
              <w:left w:val="single" w:color="auto" w:sz="4" w:space="0"/>
              <w:bottom w:val="single" w:color="auto" w:sz="4" w:space="0"/>
              <w:right w:val="single" w:color="auto" w:sz="4" w:space="0"/>
            </w:tcBorders>
            <w:vAlign w:val="center"/>
          </w:tcPr>
          <w:p w14:paraId="4A1BF10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4418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14:paraId="05986799">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2137472F">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74315726">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429B5185">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14:paraId="7DAAA069">
            <w:pPr>
              <w:spacing w:line="360" w:lineRule="auto"/>
              <w:jc w:val="center"/>
              <w:rPr>
                <w:rFonts w:hint="eastAsia" w:ascii="宋体" w:hAnsi="宋体" w:eastAsia="宋体" w:cs="宋体"/>
                <w:color w:val="auto"/>
                <w:sz w:val="21"/>
                <w:szCs w:val="21"/>
                <w:highlight w:val="none"/>
              </w:rPr>
            </w:pPr>
          </w:p>
        </w:tc>
      </w:tr>
      <w:tr w14:paraId="38B4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14:paraId="5571DC28">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A00F2A0">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7C39388">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376251CB">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14:paraId="1EB222CE">
            <w:pPr>
              <w:spacing w:line="360" w:lineRule="auto"/>
              <w:jc w:val="center"/>
              <w:rPr>
                <w:rFonts w:hint="eastAsia" w:ascii="宋体" w:hAnsi="宋体" w:eastAsia="宋体" w:cs="宋体"/>
                <w:color w:val="auto"/>
                <w:sz w:val="21"/>
                <w:szCs w:val="21"/>
                <w:highlight w:val="none"/>
              </w:rPr>
            </w:pPr>
          </w:p>
        </w:tc>
      </w:tr>
      <w:tr w14:paraId="3D9B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14:paraId="33ADEABA">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2A862251">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39FBA3F7">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83D9073">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14:paraId="1A867193">
            <w:pPr>
              <w:spacing w:line="360" w:lineRule="auto"/>
              <w:jc w:val="center"/>
              <w:rPr>
                <w:rFonts w:hint="eastAsia" w:ascii="宋体" w:hAnsi="宋体" w:eastAsia="宋体" w:cs="宋体"/>
                <w:color w:val="auto"/>
                <w:sz w:val="21"/>
                <w:szCs w:val="21"/>
                <w:highlight w:val="none"/>
              </w:rPr>
            </w:pPr>
          </w:p>
        </w:tc>
      </w:tr>
      <w:tr w14:paraId="16BF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14:paraId="7DACCFC9">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77B3D0E1">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6F174CC1">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6FCC4B5">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14:paraId="6722E062">
            <w:pPr>
              <w:spacing w:line="360" w:lineRule="auto"/>
              <w:jc w:val="center"/>
              <w:rPr>
                <w:rFonts w:hint="eastAsia" w:ascii="宋体" w:hAnsi="宋体" w:eastAsia="宋体" w:cs="宋体"/>
                <w:color w:val="auto"/>
                <w:sz w:val="21"/>
                <w:szCs w:val="21"/>
                <w:highlight w:val="none"/>
              </w:rPr>
            </w:pPr>
          </w:p>
        </w:tc>
      </w:tr>
      <w:tr w14:paraId="05AE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14:paraId="46DB8213">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0BD3C15E">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4C196C1F">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3DFADFB3">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14:paraId="312BCAFF">
            <w:pPr>
              <w:spacing w:line="360" w:lineRule="auto"/>
              <w:jc w:val="center"/>
              <w:rPr>
                <w:rFonts w:hint="eastAsia" w:ascii="宋体" w:hAnsi="宋体" w:eastAsia="宋体" w:cs="宋体"/>
                <w:color w:val="auto"/>
                <w:sz w:val="21"/>
                <w:szCs w:val="21"/>
                <w:highlight w:val="none"/>
              </w:rPr>
            </w:pPr>
          </w:p>
        </w:tc>
      </w:tr>
    </w:tbl>
    <w:p w14:paraId="4754944B">
      <w:pPr>
        <w:pStyle w:val="2"/>
        <w:overflowPunct w:val="0"/>
        <w:spacing w:line="360" w:lineRule="auto"/>
        <w:ind w:left="1680" w:right="1680" w:firstLine="422"/>
        <w:rPr>
          <w:rFonts w:hint="eastAsia" w:ascii="宋体" w:hAnsi="宋体" w:eastAsia="宋体" w:cs="宋体"/>
          <w:b w:val="0"/>
          <w:color w:val="auto"/>
          <w:sz w:val="21"/>
          <w:szCs w:val="21"/>
          <w:highlight w:val="none"/>
        </w:rPr>
      </w:pPr>
    </w:p>
    <w:p w14:paraId="5AF3C3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12B27BF">
      <w:pPr>
        <w:spacing w:line="360" w:lineRule="auto"/>
        <w:ind w:left="815" w:leftChars="118" w:hanging="567" w:hangingChars="27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（1）拟投入本项目的项目管理人员需提供简历表。</w:t>
      </w:r>
    </w:p>
    <w:p w14:paraId="22A5D039">
      <w:pPr>
        <w:spacing w:line="360" w:lineRule="auto"/>
        <w:ind w:left="815" w:leftChars="118" w:hanging="567" w:hangingChars="27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（2）须附有身份证、资格证书（或注册/执业/岗位证书/技术职称）、</w:t>
      </w:r>
      <w:r>
        <w:rPr>
          <w:rFonts w:hint="eastAsia" w:ascii="宋体" w:hAnsi="宋体" w:eastAsia="宋体" w:cs="宋体"/>
          <w:color w:val="auto"/>
          <w:szCs w:val="21"/>
          <w:highlight w:val="none"/>
        </w:rPr>
        <w:t>人力资源和社会保障部门（或税务部门）出具的最近六个月（2024年3月至8月）的社保缴纳证明复印件</w:t>
      </w:r>
      <w:r>
        <w:rPr>
          <w:rFonts w:hint="eastAsia" w:ascii="宋体" w:hAnsi="宋体" w:eastAsia="宋体" w:cs="宋体"/>
          <w:color w:val="auto"/>
          <w:sz w:val="21"/>
          <w:szCs w:val="21"/>
          <w:highlight w:val="none"/>
        </w:rPr>
        <w:t>。</w:t>
      </w:r>
    </w:p>
    <w:p w14:paraId="344E1668">
      <w:pPr>
        <w:rPr>
          <w:rFonts w:hint="eastAsia"/>
          <w:color w:val="auto"/>
          <w:highlight w:val="none"/>
        </w:rPr>
      </w:pPr>
    </w:p>
    <w:p w14:paraId="0ADA998F">
      <w:pPr>
        <w:rPr>
          <w:rFonts w:hint="eastAsia"/>
          <w:color w:val="auto"/>
          <w:highlight w:val="none"/>
          <w:lang w:val="en-US" w:eastAsia="zh-CN"/>
        </w:rPr>
      </w:pPr>
      <w:r>
        <w:rPr>
          <w:rFonts w:hint="eastAsia"/>
          <w:color w:val="auto"/>
          <w:highlight w:val="none"/>
          <w:lang w:val="en-US" w:eastAsia="zh-CN"/>
        </w:rPr>
        <w:br w:type="page"/>
      </w:r>
    </w:p>
    <w:p w14:paraId="37E65AA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应急预案和保障措施</w:t>
      </w:r>
    </w:p>
    <w:p w14:paraId="27D718D5">
      <w:pPr>
        <w:tabs>
          <w:tab w:val="left" w:pos="567"/>
        </w:tabs>
        <w:autoSpaceDE w:val="0"/>
        <w:autoSpaceDN w:val="0"/>
        <w:adjustRightInd w:val="0"/>
        <w:spacing w:beforeLines="0" w:afterLines="0"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highlight w:val="none"/>
          <w:lang w:val="en-US"/>
        </w:rPr>
        <w:t>说明：</w:t>
      </w:r>
      <w:r>
        <w:rPr>
          <w:rFonts w:hint="eastAsia" w:ascii="宋体" w:hAnsi="宋体" w:eastAsia="宋体" w:cs="宋体"/>
          <w:color w:val="auto"/>
          <w:sz w:val="21"/>
          <w:szCs w:val="21"/>
          <w:highlight w:val="none"/>
        </w:rPr>
        <w:t>投标人应根据本项目采购内容和评标工作大纲技术评审细则的要求，自行编制。</w:t>
      </w:r>
    </w:p>
    <w:p w14:paraId="55A5FEB0">
      <w:pPr>
        <w:rPr>
          <w:rFonts w:hint="eastAsia"/>
          <w:color w:val="auto"/>
          <w:highlight w:val="none"/>
        </w:rPr>
      </w:pPr>
    </w:p>
    <w:p w14:paraId="2076C41D">
      <w:pPr>
        <w:rPr>
          <w:rFonts w:hint="eastAsia"/>
          <w:color w:val="auto"/>
          <w:highlight w:val="none"/>
          <w:lang w:val="en-US" w:eastAsia="zh-CN"/>
        </w:rPr>
      </w:pPr>
      <w:r>
        <w:rPr>
          <w:rFonts w:hint="eastAsia"/>
          <w:color w:val="auto"/>
          <w:highlight w:val="none"/>
          <w:lang w:val="en-US" w:eastAsia="zh-CN"/>
        </w:rPr>
        <w:br w:type="page"/>
      </w:r>
    </w:p>
    <w:p w14:paraId="142174D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13.6 日均外运湿泥量</w:t>
      </w:r>
      <w:r>
        <w:rPr>
          <w:rFonts w:hint="eastAsia" w:ascii="宋体" w:hAnsi="宋体" w:eastAsia="宋体" w:cs="宋体"/>
          <w:b/>
          <w:color w:val="auto"/>
          <w:kern w:val="0"/>
          <w:sz w:val="30"/>
          <w:szCs w:val="30"/>
          <w:highlight w:val="none"/>
        </w:rPr>
        <w:t>承诺书格式</w:t>
      </w:r>
    </w:p>
    <w:p w14:paraId="3DAB2183">
      <w:pPr>
        <w:rPr>
          <w:rFonts w:ascii="宋体" w:hAnsi="宋体" w:eastAsia="宋体" w:cs="宋体"/>
          <w:b/>
          <w:color w:val="auto"/>
          <w:kern w:val="0"/>
          <w:sz w:val="30"/>
          <w:szCs w:val="30"/>
          <w:highlight w:val="none"/>
        </w:rPr>
      </w:pPr>
    </w:p>
    <w:p w14:paraId="1C140BC4">
      <w:pPr>
        <w:widowControl/>
        <w:wordWrap/>
        <w:adjustRightInd/>
        <w:snapToGrid/>
        <w:spacing w:line="360" w:lineRule="auto"/>
        <w:ind w:left="0" w:leftChars="0" w:right="0" w:firstLine="0" w:firstLineChars="0"/>
        <w:jc w:val="center"/>
        <w:textAlignment w:val="auto"/>
        <w:outlineLvl w:val="9"/>
        <w:rPr>
          <w:rFonts w:ascii="宋体" w:hAnsi="宋体" w:eastAsia="宋体" w:cs="宋体"/>
          <w:b/>
          <w:bCs/>
          <w:color w:val="auto"/>
          <w:sz w:val="30"/>
          <w:szCs w:val="30"/>
          <w:highlight w:val="none"/>
          <w:lang w:val="zh-CN"/>
        </w:rPr>
      </w:pPr>
      <w:r>
        <w:rPr>
          <w:rFonts w:hint="eastAsia" w:ascii="宋体" w:hAnsi="宋体" w:eastAsia="宋体" w:cs="宋体"/>
          <w:b/>
          <w:color w:val="auto"/>
          <w:kern w:val="0"/>
          <w:sz w:val="30"/>
          <w:szCs w:val="30"/>
          <w:highlight w:val="none"/>
          <w:lang w:val="en-US" w:eastAsia="zh-CN"/>
        </w:rPr>
        <w:t>日均外运湿泥量</w:t>
      </w:r>
      <w:r>
        <w:rPr>
          <w:rFonts w:hint="eastAsia" w:ascii="宋体" w:hAnsi="宋体" w:eastAsia="宋体" w:cs="宋体"/>
          <w:b/>
          <w:bCs/>
          <w:color w:val="auto"/>
          <w:sz w:val="30"/>
          <w:szCs w:val="30"/>
          <w:highlight w:val="none"/>
          <w:lang w:val="zh-CN"/>
        </w:rPr>
        <w:t>承诺书</w:t>
      </w:r>
    </w:p>
    <w:tbl>
      <w:tblPr>
        <w:tblStyle w:val="3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962"/>
      </w:tblGrid>
      <w:tr w14:paraId="3BC3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738" w:type="dxa"/>
            <w:vAlign w:val="center"/>
          </w:tcPr>
          <w:p w14:paraId="04041E5A">
            <w:pPr>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序号</w:t>
            </w:r>
          </w:p>
        </w:tc>
        <w:tc>
          <w:tcPr>
            <w:tcW w:w="7962" w:type="dxa"/>
            <w:vAlign w:val="center"/>
          </w:tcPr>
          <w:p w14:paraId="140EFB07">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01E3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38" w:type="dxa"/>
            <w:vAlign w:val="center"/>
          </w:tcPr>
          <w:p w14:paraId="381CF34A">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962" w:type="dxa"/>
            <w:vAlign w:val="center"/>
          </w:tcPr>
          <w:p w14:paraId="1E6528C7">
            <w:pPr>
              <w:jc w:val="both"/>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lang w:eastAsia="zh-CN"/>
              </w:rPr>
              <w:t>我</w:t>
            </w:r>
            <w:r>
              <w:rPr>
                <w:rFonts w:hint="eastAsia" w:ascii="宋体" w:hAnsi="宋体" w:eastAsia="宋体" w:cs="宋体"/>
                <w:color w:val="auto"/>
                <w:szCs w:val="21"/>
                <w:highlight w:val="none"/>
                <w:lang w:val="en-US" w:eastAsia="zh-CN"/>
              </w:rPr>
              <w:t>方承诺</w:t>
            </w:r>
            <w:r>
              <w:rPr>
                <w:rFonts w:hint="eastAsia" w:ascii="宋体" w:hAnsi="宋体" w:eastAsia="宋体" w:cs="宋体"/>
                <w:color w:val="auto"/>
                <w:szCs w:val="21"/>
                <w:highlight w:val="none"/>
              </w:rPr>
              <w:t>在服务期内</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除招标人分配量不足或不可抗力的情况外，</w:t>
            </w:r>
            <w:r>
              <w:rPr>
                <w:rFonts w:hint="eastAsia" w:ascii="宋体" w:hAnsi="宋体" w:eastAsia="宋体" w:cs="宋体"/>
                <w:color w:val="auto"/>
                <w:szCs w:val="21"/>
                <w:highlight w:val="none"/>
                <w:lang w:val="en-US" w:eastAsia="zh-CN"/>
              </w:rPr>
              <w:t>我方</w:t>
            </w:r>
            <w:r>
              <w:rPr>
                <w:rFonts w:hint="eastAsia" w:ascii="宋体" w:hAnsi="宋体" w:eastAsia="宋体" w:cs="宋体"/>
                <w:color w:val="auto"/>
                <w:szCs w:val="21"/>
                <w:highlight w:val="none"/>
              </w:rPr>
              <w:t>日均（月外运量/外运天数）外运湿泥（即含水率约80%的污泥）</w:t>
            </w:r>
            <w:r>
              <w:rPr>
                <w:rFonts w:hint="eastAsia" w:ascii="宋体" w:hAnsi="宋体" w:eastAsia="宋体" w:cs="宋体"/>
                <w:color w:val="auto"/>
                <w:szCs w:val="21"/>
                <w:highlight w:val="none"/>
                <w:lang w:val="en-US" w:eastAsia="zh-CN"/>
              </w:rPr>
              <w:t>量</w:t>
            </w:r>
            <w:r>
              <w:rPr>
                <w:rFonts w:hint="eastAsia" w:ascii="宋体" w:hAnsi="宋体" w:eastAsia="宋体" w:cs="宋体"/>
                <w:color w:val="auto"/>
                <w:szCs w:val="21"/>
                <w:highlight w:val="none"/>
              </w:rPr>
              <w:t>不少于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bCs/>
                <w:color w:val="auto"/>
                <w:szCs w:val="21"/>
                <w:highlight w:val="none"/>
              </w:rPr>
              <w:t>吨/日</w:t>
            </w:r>
            <w:r>
              <w:rPr>
                <w:rFonts w:hint="eastAsia" w:ascii="宋体" w:hAnsi="宋体" w:eastAsia="宋体" w:cs="宋体"/>
                <w:color w:val="auto"/>
                <w:szCs w:val="21"/>
                <w:highlight w:val="none"/>
              </w:rPr>
              <w:t>。</w:t>
            </w:r>
          </w:p>
        </w:tc>
      </w:tr>
    </w:tbl>
    <w:p w14:paraId="0774F9D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68B24944">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1.如中标单位的湿泥运输服务费（不含税）单价报价相同，</w:t>
      </w:r>
      <w:r>
        <w:rPr>
          <w:rFonts w:hint="eastAsia" w:ascii="宋体" w:hAnsi="宋体" w:eastAsia="宋体" w:cs="宋体"/>
          <w:b/>
          <w:bCs/>
          <w:color w:val="auto"/>
          <w:szCs w:val="21"/>
          <w:highlight w:val="none"/>
          <w:lang w:val="en-US" w:eastAsia="zh-CN"/>
        </w:rPr>
        <w:t>招标人</w:t>
      </w:r>
      <w:r>
        <w:rPr>
          <w:rFonts w:hint="eastAsia" w:ascii="宋体" w:hAnsi="宋体" w:eastAsia="宋体" w:cs="宋体"/>
          <w:b/>
          <w:bCs/>
          <w:color w:val="auto"/>
          <w:szCs w:val="21"/>
          <w:highlight w:val="none"/>
        </w:rPr>
        <w:t>有权按中标单位已承诺的日均（月外运量/外运天数）外运湿泥量由高到低排序，优先安排日均（月外运量/外运天数）外运湿泥量最高的中标单位运输</w:t>
      </w:r>
      <w:r>
        <w:rPr>
          <w:rFonts w:hint="eastAsia" w:ascii="宋体" w:hAnsi="宋体" w:eastAsia="宋体" w:cs="宋体"/>
          <w:b/>
          <w:bCs/>
          <w:color w:val="auto"/>
          <w:szCs w:val="21"/>
          <w:highlight w:val="none"/>
          <w:lang w:eastAsia="zh-CN"/>
        </w:rPr>
        <w:t>；</w:t>
      </w:r>
    </w:p>
    <w:p w14:paraId="227C45A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本表承诺事项若未填或漏填的，视为投标人按用户需求书响应</w:t>
      </w:r>
      <w:r>
        <w:rPr>
          <w:rFonts w:hint="eastAsia" w:ascii="宋体" w:hAnsi="宋体" w:eastAsia="宋体" w:cs="宋体"/>
          <w:b/>
          <w:bCs/>
          <w:color w:val="auto"/>
          <w:szCs w:val="21"/>
          <w:highlight w:val="none"/>
          <w:lang w:eastAsia="zh-CN"/>
        </w:rPr>
        <w:t>（即</w:t>
      </w:r>
      <w:r>
        <w:rPr>
          <w:rFonts w:hint="eastAsia" w:ascii="宋体" w:hAnsi="宋体" w:eastAsia="宋体" w:cs="宋体"/>
          <w:b/>
          <w:bCs/>
          <w:color w:val="auto"/>
          <w:szCs w:val="21"/>
          <w:highlight w:val="none"/>
        </w:rPr>
        <w:t>外运湿泥量不少于200吨/日</w:t>
      </w:r>
      <w:r>
        <w:rPr>
          <w:rFonts w:hint="eastAsia" w:ascii="宋体" w:hAnsi="宋体" w:eastAsia="宋体" w:cs="宋体"/>
          <w:b/>
          <w:bCs/>
          <w:color w:val="auto"/>
          <w:szCs w:val="21"/>
          <w:highlight w:val="none"/>
          <w:lang w:eastAsia="zh-CN"/>
        </w:rPr>
        <w:t>）；</w:t>
      </w:r>
    </w:p>
    <w:p w14:paraId="625561B3">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2.本表承诺事项若与投标文件其他地方表述不一致的，以本承诺表为准。</w:t>
      </w:r>
    </w:p>
    <w:p w14:paraId="5CA44446">
      <w:pPr>
        <w:spacing w:line="360" w:lineRule="auto"/>
        <w:rPr>
          <w:rFonts w:ascii="宋体" w:hAnsi="宋体" w:eastAsia="宋体" w:cs="宋体"/>
          <w:color w:val="auto"/>
          <w:highlight w:val="none"/>
        </w:rPr>
      </w:pPr>
    </w:p>
    <w:p w14:paraId="2E7F3592">
      <w:pPr>
        <w:spacing w:line="360" w:lineRule="auto"/>
        <w:rPr>
          <w:rFonts w:ascii="宋体" w:hAnsi="宋体" w:eastAsia="宋体" w:cs="宋体"/>
          <w:color w:val="auto"/>
          <w:highlight w:val="none"/>
        </w:rPr>
      </w:pPr>
    </w:p>
    <w:p w14:paraId="3E742327">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7863B526">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6127F76B">
      <w:pPr>
        <w:tabs>
          <w:tab w:val="left" w:pos="567"/>
        </w:tabs>
        <w:autoSpaceDE w:val="0"/>
        <w:autoSpaceDN w:val="0"/>
        <w:adjustRightInd w:val="0"/>
        <w:spacing w:beforeLines="0" w:afterLines="0" w:line="360" w:lineRule="auto"/>
        <w:jc w:val="left"/>
        <w:outlineLvl w:val="9"/>
        <w:rPr>
          <w:rFonts w:hint="eastAsia" w:ascii="宋体" w:hAnsi="宋体" w:eastAsia="宋体" w:cs="宋体"/>
          <w:b/>
          <w:color w:val="auto"/>
          <w:kern w:val="0"/>
          <w:sz w:val="30"/>
          <w:szCs w:val="30"/>
          <w:highlight w:val="none"/>
          <w:lang w:val="en-US" w:eastAsia="zh-CN"/>
        </w:rPr>
      </w:pPr>
    </w:p>
    <w:p w14:paraId="695F6582">
      <w:pPr>
        <w:autoSpaceDE w:val="0"/>
        <w:autoSpaceDN w:val="0"/>
        <w:adjustRightInd w:val="0"/>
        <w:spacing w:beforeLines="0" w:afterLines="0"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52727FC">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13.7 </w:t>
      </w:r>
      <w:r>
        <w:rPr>
          <w:rFonts w:hint="eastAsia" w:ascii="宋体" w:hAnsi="宋体" w:eastAsia="宋体" w:cs="宋体"/>
          <w:b/>
          <w:color w:val="auto"/>
          <w:kern w:val="0"/>
          <w:sz w:val="30"/>
          <w:szCs w:val="30"/>
          <w:highlight w:val="none"/>
        </w:rPr>
        <w:t>投标人认为有必要提供的其它材料（不做强制要求）</w:t>
      </w:r>
    </w:p>
    <w:p w14:paraId="6A1BADCA">
      <w:pPr>
        <w:widowControl/>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728916F4">
      <w:pPr>
        <w:autoSpaceDE w:val="0"/>
        <w:autoSpaceDN w:val="0"/>
        <w:adjustRightInd w:val="0"/>
        <w:jc w:val="left"/>
        <w:rPr>
          <w:rFonts w:ascii="宋体" w:hAnsi="宋体" w:eastAsia="宋体" w:cs="Times New Roman"/>
          <w:color w:val="auto"/>
          <w:kern w:val="0"/>
          <w:sz w:val="24"/>
          <w:szCs w:val="24"/>
          <w:highlight w:val="none"/>
        </w:rPr>
      </w:pPr>
    </w:p>
    <w:p w14:paraId="1EBAD976">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56" w:name="_Toc16132"/>
      <w:r>
        <w:rPr>
          <w:rFonts w:hint="eastAsia" w:ascii="宋体" w:hAnsi="宋体" w:eastAsia="宋体" w:cs="宋体"/>
          <w:b/>
          <w:bCs/>
          <w:color w:val="auto"/>
          <w:kern w:val="44"/>
          <w:sz w:val="32"/>
          <w:szCs w:val="32"/>
          <w:highlight w:val="none"/>
          <w:lang w:val="zh-CN"/>
        </w:rPr>
        <w:t>附件一：评标工作大纲</w:t>
      </w:r>
      <w:bookmarkEnd w:id="56"/>
    </w:p>
    <w:p w14:paraId="0467D746">
      <w:pPr>
        <w:autoSpaceDE w:val="0"/>
        <w:autoSpaceDN w:val="0"/>
        <w:adjustRightInd w:val="0"/>
        <w:spacing w:line="400" w:lineRule="atLeast"/>
        <w:jc w:val="center"/>
        <w:rPr>
          <w:rFonts w:ascii="宋体" w:hAnsi="宋体" w:eastAsia="宋体" w:cs="宋体"/>
          <w:b/>
          <w:bCs/>
          <w:color w:val="auto"/>
          <w:szCs w:val="21"/>
          <w:highlight w:val="none"/>
        </w:rPr>
      </w:pPr>
    </w:p>
    <w:p w14:paraId="78925B36">
      <w:pPr>
        <w:autoSpaceDE w:val="0"/>
        <w:autoSpaceDN w:val="0"/>
        <w:adjustRightInd w:val="0"/>
        <w:spacing w:line="400" w:lineRule="atLeast"/>
        <w:jc w:val="center"/>
        <w:rPr>
          <w:rFonts w:ascii="宋体" w:hAnsi="宋体" w:eastAsia="宋体" w:cs="宋体"/>
          <w:b/>
          <w:bCs/>
          <w:color w:val="auto"/>
          <w:szCs w:val="21"/>
          <w:highlight w:val="none"/>
        </w:rPr>
      </w:pPr>
    </w:p>
    <w:p w14:paraId="30816BB8">
      <w:pPr>
        <w:autoSpaceDE w:val="0"/>
        <w:autoSpaceDN w:val="0"/>
        <w:adjustRightInd w:val="0"/>
        <w:spacing w:line="400" w:lineRule="atLeast"/>
        <w:jc w:val="center"/>
        <w:rPr>
          <w:rFonts w:ascii="宋体" w:hAnsi="宋体" w:eastAsia="宋体" w:cs="宋体"/>
          <w:b/>
          <w:bCs/>
          <w:color w:val="auto"/>
          <w:szCs w:val="21"/>
          <w:highlight w:val="none"/>
        </w:rPr>
      </w:pPr>
    </w:p>
    <w:p w14:paraId="68617120">
      <w:pPr>
        <w:autoSpaceDE w:val="0"/>
        <w:autoSpaceDN w:val="0"/>
        <w:adjustRightInd w:val="0"/>
        <w:spacing w:line="400" w:lineRule="atLeast"/>
        <w:jc w:val="center"/>
        <w:rPr>
          <w:rFonts w:ascii="宋体" w:hAnsi="宋体" w:eastAsia="宋体" w:cs="宋体"/>
          <w:b/>
          <w:bCs/>
          <w:color w:val="auto"/>
          <w:szCs w:val="21"/>
          <w:highlight w:val="none"/>
        </w:rPr>
      </w:pPr>
    </w:p>
    <w:p w14:paraId="6622B5C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东莞市众源环境投资有限公司2025年-2027年污泥运输服务供应商采购项目</w:t>
      </w:r>
    </w:p>
    <w:p w14:paraId="65AD1E78">
      <w:pPr>
        <w:autoSpaceDE w:val="0"/>
        <w:autoSpaceDN w:val="0"/>
        <w:adjustRightInd w:val="0"/>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（招标编号：0832-SFCX24DG113C）</w:t>
      </w:r>
    </w:p>
    <w:p w14:paraId="0CC38AFF">
      <w:pPr>
        <w:autoSpaceDE w:val="0"/>
        <w:autoSpaceDN w:val="0"/>
        <w:adjustRightInd w:val="0"/>
        <w:spacing w:line="400" w:lineRule="atLeast"/>
        <w:jc w:val="center"/>
        <w:rPr>
          <w:rFonts w:ascii="宋体" w:hAnsi="宋体" w:eastAsia="宋体" w:cs="宋体"/>
          <w:b/>
          <w:bCs/>
          <w:color w:val="auto"/>
          <w:sz w:val="36"/>
          <w:szCs w:val="36"/>
          <w:highlight w:val="none"/>
        </w:rPr>
      </w:pPr>
    </w:p>
    <w:p w14:paraId="21AB11A6">
      <w:pPr>
        <w:autoSpaceDE w:val="0"/>
        <w:autoSpaceDN w:val="0"/>
        <w:adjustRightInd w:val="0"/>
        <w:spacing w:line="400" w:lineRule="atLeast"/>
        <w:jc w:val="center"/>
        <w:rPr>
          <w:rFonts w:ascii="宋体" w:hAnsi="宋体" w:eastAsia="宋体" w:cs="宋体"/>
          <w:b/>
          <w:bCs/>
          <w:color w:val="auto"/>
          <w:sz w:val="36"/>
          <w:szCs w:val="36"/>
          <w:highlight w:val="none"/>
        </w:rPr>
      </w:pPr>
    </w:p>
    <w:p w14:paraId="4DCAE313">
      <w:pPr>
        <w:autoSpaceDE w:val="0"/>
        <w:autoSpaceDN w:val="0"/>
        <w:adjustRightInd w:val="0"/>
        <w:spacing w:line="400" w:lineRule="atLeast"/>
        <w:jc w:val="center"/>
        <w:rPr>
          <w:rFonts w:ascii="宋体" w:hAnsi="宋体" w:eastAsia="宋体" w:cs="宋体"/>
          <w:b/>
          <w:bCs/>
          <w:color w:val="auto"/>
          <w:sz w:val="36"/>
          <w:szCs w:val="36"/>
          <w:highlight w:val="none"/>
        </w:rPr>
      </w:pPr>
    </w:p>
    <w:p w14:paraId="00CB1434">
      <w:pPr>
        <w:autoSpaceDE w:val="0"/>
        <w:autoSpaceDN w:val="0"/>
        <w:adjustRightInd w:val="0"/>
        <w:spacing w:line="400" w:lineRule="atLeast"/>
        <w:jc w:val="center"/>
        <w:rPr>
          <w:rFonts w:ascii="宋体" w:hAnsi="宋体" w:eastAsia="宋体" w:cs="宋体"/>
          <w:b/>
          <w:bCs/>
          <w:color w:val="auto"/>
          <w:sz w:val="36"/>
          <w:szCs w:val="36"/>
          <w:highlight w:val="none"/>
        </w:rPr>
      </w:pPr>
    </w:p>
    <w:p w14:paraId="30917CBE">
      <w:pPr>
        <w:autoSpaceDE w:val="0"/>
        <w:autoSpaceDN w:val="0"/>
        <w:adjustRightInd w:val="0"/>
        <w:spacing w:line="400" w:lineRule="atLeast"/>
        <w:jc w:val="center"/>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评标工作大纲</w:t>
      </w:r>
    </w:p>
    <w:p w14:paraId="6D6EBBCF">
      <w:pPr>
        <w:autoSpaceDE w:val="0"/>
        <w:autoSpaceDN w:val="0"/>
        <w:adjustRightInd w:val="0"/>
        <w:spacing w:line="400" w:lineRule="atLeast"/>
        <w:jc w:val="center"/>
        <w:rPr>
          <w:rFonts w:ascii="宋体" w:hAnsi="宋体" w:eastAsia="宋体" w:cs="宋体"/>
          <w:b/>
          <w:bCs/>
          <w:color w:val="auto"/>
          <w:sz w:val="36"/>
          <w:szCs w:val="36"/>
          <w:highlight w:val="none"/>
        </w:rPr>
      </w:pPr>
    </w:p>
    <w:p w14:paraId="48E04AF4">
      <w:pPr>
        <w:autoSpaceDE w:val="0"/>
        <w:autoSpaceDN w:val="0"/>
        <w:adjustRightInd w:val="0"/>
        <w:spacing w:line="400" w:lineRule="atLeast"/>
        <w:rPr>
          <w:rFonts w:ascii="宋体" w:hAnsi="宋体" w:eastAsia="宋体" w:cs="宋体"/>
          <w:b/>
          <w:bCs/>
          <w:color w:val="auto"/>
          <w:sz w:val="36"/>
          <w:szCs w:val="36"/>
          <w:highlight w:val="none"/>
        </w:rPr>
      </w:pPr>
    </w:p>
    <w:p w14:paraId="10B846EA">
      <w:pPr>
        <w:autoSpaceDE w:val="0"/>
        <w:autoSpaceDN w:val="0"/>
        <w:adjustRightInd w:val="0"/>
        <w:spacing w:line="400" w:lineRule="atLeast"/>
        <w:jc w:val="center"/>
        <w:rPr>
          <w:rFonts w:ascii="宋体" w:hAnsi="宋体" w:eastAsia="宋体" w:cs="宋体"/>
          <w:b/>
          <w:bCs/>
          <w:color w:val="auto"/>
          <w:sz w:val="36"/>
          <w:szCs w:val="36"/>
          <w:highlight w:val="none"/>
        </w:rPr>
      </w:pPr>
    </w:p>
    <w:p w14:paraId="6672B0A4">
      <w:pPr>
        <w:autoSpaceDE w:val="0"/>
        <w:autoSpaceDN w:val="0"/>
        <w:adjustRightInd w:val="0"/>
        <w:spacing w:line="400" w:lineRule="atLeast"/>
        <w:jc w:val="center"/>
        <w:rPr>
          <w:rFonts w:ascii="宋体" w:hAnsi="宋体" w:eastAsia="宋体" w:cs="宋体"/>
          <w:b/>
          <w:bCs/>
          <w:color w:val="auto"/>
          <w:sz w:val="36"/>
          <w:szCs w:val="36"/>
          <w:highlight w:val="none"/>
        </w:rPr>
      </w:pPr>
    </w:p>
    <w:p w14:paraId="0559180A">
      <w:pPr>
        <w:autoSpaceDE w:val="0"/>
        <w:autoSpaceDN w:val="0"/>
        <w:adjustRightInd w:val="0"/>
        <w:spacing w:line="400" w:lineRule="atLeast"/>
        <w:jc w:val="center"/>
        <w:rPr>
          <w:rFonts w:ascii="宋体" w:hAnsi="宋体" w:eastAsia="宋体" w:cs="宋体"/>
          <w:b/>
          <w:bCs/>
          <w:color w:val="auto"/>
          <w:sz w:val="36"/>
          <w:szCs w:val="36"/>
          <w:highlight w:val="none"/>
        </w:rPr>
      </w:pPr>
    </w:p>
    <w:p w14:paraId="50E3685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051DE87C">
      <w:pPr>
        <w:autoSpaceDE w:val="0"/>
        <w:autoSpaceDN w:val="0"/>
        <w:adjustRightInd w:val="0"/>
        <w:spacing w:line="400" w:lineRule="atLeast"/>
        <w:jc w:val="center"/>
        <w:rPr>
          <w:rFonts w:ascii="宋体" w:hAnsi="宋体" w:eastAsia="宋体" w:cs="宋体"/>
          <w:b/>
          <w:bCs/>
          <w:color w:val="auto"/>
          <w:sz w:val="36"/>
          <w:szCs w:val="36"/>
          <w:highlight w:val="none"/>
        </w:rPr>
      </w:pPr>
    </w:p>
    <w:p w14:paraId="5ECFF0F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36"/>
          <w:szCs w:val="36"/>
          <w:highlight w:val="none"/>
          <w:lang w:val="zh-CN"/>
        </w:rPr>
        <w:t>目录</w:t>
      </w:r>
    </w:p>
    <w:p w14:paraId="17C29E8F">
      <w:pPr>
        <w:autoSpaceDE w:val="0"/>
        <w:autoSpaceDN w:val="0"/>
        <w:adjustRightInd w:val="0"/>
        <w:spacing w:line="400" w:lineRule="atLeast"/>
        <w:jc w:val="center"/>
        <w:rPr>
          <w:rFonts w:ascii="宋体" w:hAnsi="宋体" w:eastAsia="宋体" w:cs="宋体"/>
          <w:color w:val="auto"/>
          <w:sz w:val="44"/>
          <w:szCs w:val="44"/>
          <w:highlight w:val="none"/>
        </w:rPr>
      </w:pPr>
    </w:p>
    <w:p w14:paraId="5D429EA6">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p>
    <w:p w14:paraId="10356453">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p>
    <w:p w14:paraId="3AFFE269">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p>
    <w:p w14:paraId="50B569A1">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rPr>
        <w:t>四、 比较和评价</w:t>
      </w:r>
    </w:p>
    <w:p w14:paraId="4EEA298C">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p>
    <w:p w14:paraId="2460B292">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p>
    <w:p w14:paraId="5CF3E7E4">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p>
    <w:p w14:paraId="3FBDFCA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971088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5DB1A20">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7EC7FE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p>
    <w:p w14:paraId="2E359145">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57" w:name="_Toc32051"/>
      <w:r>
        <w:rPr>
          <w:rFonts w:hint="eastAsia" w:ascii="宋体" w:hAnsi="宋体" w:eastAsia="宋体" w:cs="宋体"/>
          <w:b/>
          <w:bCs/>
          <w:color w:val="auto"/>
          <w:szCs w:val="24"/>
          <w:highlight w:val="none"/>
          <w:lang w:val="zh-CN"/>
        </w:rPr>
        <w:t>1、一般规定</w:t>
      </w:r>
      <w:bookmarkEnd w:id="57"/>
    </w:p>
    <w:p w14:paraId="6FB6205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东莞市众源环境投资有限公司2025年-2027年污泥运输服务供应商采购项目</w:t>
      </w:r>
      <w:r>
        <w:rPr>
          <w:rFonts w:hint="eastAsia" w:ascii="宋体" w:hAnsi="宋体" w:eastAsia="宋体" w:cs="宋体"/>
          <w:color w:val="auto"/>
          <w:szCs w:val="21"/>
          <w:highlight w:val="none"/>
          <w:lang w:val="zh-CN"/>
        </w:rPr>
        <w:t>(招标编号：0832-SFCX24DG113C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47702B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BDBE0D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84F4E5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4082A58">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6C6EDD9">
      <w:pPr>
        <w:autoSpaceDE w:val="0"/>
        <w:autoSpaceDN w:val="0"/>
        <w:adjustRightInd w:val="0"/>
        <w:spacing w:line="360" w:lineRule="auto"/>
        <w:rPr>
          <w:rFonts w:ascii="宋体" w:hAnsi="宋体" w:eastAsia="宋体" w:cs="宋体"/>
          <w:color w:val="auto"/>
          <w:sz w:val="24"/>
          <w:szCs w:val="24"/>
          <w:highlight w:val="none"/>
          <w:lang w:val="zh-CN"/>
        </w:rPr>
      </w:pPr>
    </w:p>
    <w:p w14:paraId="4EFBAE1D">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58" w:name="_Toc10048"/>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58"/>
    </w:p>
    <w:p w14:paraId="2DF720B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1F642A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0EE92B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9EB37A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B33F55E">
      <w:pPr>
        <w:autoSpaceDE w:val="0"/>
        <w:autoSpaceDN w:val="0"/>
        <w:adjustRightInd w:val="0"/>
        <w:spacing w:line="360" w:lineRule="auto"/>
        <w:rPr>
          <w:rFonts w:ascii="宋体" w:hAnsi="宋体" w:eastAsia="宋体" w:cs="宋体"/>
          <w:color w:val="auto"/>
          <w:sz w:val="24"/>
          <w:szCs w:val="24"/>
          <w:highlight w:val="none"/>
          <w:lang w:val="zh-CN"/>
        </w:rPr>
      </w:pPr>
    </w:p>
    <w:p w14:paraId="5C045001">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59" w:name="_Toc27449"/>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59"/>
    </w:p>
    <w:p w14:paraId="6DEAE14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32933B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80186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2521C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23FC4DB">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E5D1287">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60" w:name="_Toc18723"/>
      <w:r>
        <w:rPr>
          <w:rFonts w:hint="eastAsia" w:ascii="宋体" w:hAnsi="宋体" w:eastAsia="宋体" w:cs="宋体"/>
          <w:b/>
          <w:bCs/>
          <w:color w:val="auto"/>
          <w:szCs w:val="21"/>
          <w:highlight w:val="none"/>
          <w:lang w:val="zh-CN"/>
        </w:rPr>
        <w:t>4、评标委员会义务</w:t>
      </w:r>
      <w:bookmarkEnd w:id="60"/>
    </w:p>
    <w:p w14:paraId="4BB1B4B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E68370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B5CE0C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C98A45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CFDB51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8B221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25EEAA6">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F8FD395">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61" w:name="_Toc8532"/>
      <w:r>
        <w:rPr>
          <w:rFonts w:hint="eastAsia" w:ascii="宋体" w:hAnsi="宋体" w:eastAsia="宋体" w:cs="宋体"/>
          <w:b/>
          <w:bCs/>
          <w:color w:val="auto"/>
          <w:szCs w:val="21"/>
          <w:highlight w:val="none"/>
          <w:lang w:val="zh-CN"/>
        </w:rPr>
        <w:t>5、评审程序</w:t>
      </w:r>
      <w:bookmarkEnd w:id="61"/>
    </w:p>
    <w:p w14:paraId="7AA12927">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67A364C6">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43A2110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1287214">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B8F49E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26CE9FF7">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58C63D43">
      <w:pPr>
        <w:spacing w:line="360" w:lineRule="auto"/>
        <w:ind w:left="525" w:hanging="525" w:hangingChars="250"/>
        <w:jc w:val="both"/>
        <w:rPr>
          <w:rFonts w:hint="eastAsia" w:ascii="宋体" w:hAnsi="宋体" w:eastAsia="宋体" w:cs="宋体"/>
          <w:b/>
          <w:bCs/>
          <w:color w:val="auto"/>
          <w:kern w:val="2"/>
          <w:sz w:val="21"/>
          <w:highlight w:val="none"/>
          <w:u w:val="single"/>
          <w:lang w:val="zh-CN"/>
        </w:rPr>
      </w:pPr>
      <w:r>
        <w:rPr>
          <w:rFonts w:hint="eastAsia" w:ascii="宋体" w:hAnsi="宋体" w:eastAsia="宋体" w:cs="Times New Roman"/>
          <w:color w:val="auto"/>
          <w:szCs w:val="24"/>
          <w:highlight w:val="none"/>
          <w:lang w:val="zh-CN"/>
        </w:rPr>
        <w:t xml:space="preserve">5.6 </w:t>
      </w:r>
      <w:r>
        <w:rPr>
          <w:rFonts w:hint="eastAsia" w:ascii="宋体" w:hAnsi="宋体" w:eastAsia="宋体" w:cs="宋体"/>
          <w:color w:val="auto"/>
          <w:szCs w:val="24"/>
          <w:highlight w:val="none"/>
          <w:lang w:val="zh-CN"/>
        </w:rPr>
        <w:t xml:space="preserve"> </w:t>
      </w:r>
      <w:r>
        <w:rPr>
          <w:rFonts w:hint="eastAsia" w:ascii="宋体" w:hAnsi="宋体" w:eastAsia="宋体" w:cs="宋体"/>
          <w:b/>
          <w:bCs/>
          <w:color w:val="auto"/>
          <w:kern w:val="2"/>
          <w:sz w:val="21"/>
          <w:highlight w:val="none"/>
          <w:u w:val="single"/>
          <w:lang w:val="zh-CN"/>
        </w:rPr>
        <w:t>评标委员会将向招标人按综合得分从高到低的原则推荐得分最高的前3家投标人为第一中标候选人，推荐得分排名第4的投标人为第二中标候选人，若有效投标人数量不足4家，则无需推荐第二中标候选人。</w:t>
      </w:r>
    </w:p>
    <w:p w14:paraId="288B0F9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3CC82D2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350B0D3">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二、投标文件的初审</w:t>
      </w:r>
    </w:p>
    <w:p w14:paraId="232CE994">
      <w:pPr>
        <w:autoSpaceDE w:val="0"/>
        <w:autoSpaceDN w:val="0"/>
        <w:adjustRightInd w:val="0"/>
        <w:spacing w:line="360" w:lineRule="auto"/>
        <w:outlineLvl w:val="0"/>
        <w:rPr>
          <w:rFonts w:ascii="宋体" w:hAnsi="宋体" w:eastAsia="宋体" w:cs="宋体"/>
          <w:b/>
          <w:color w:val="auto"/>
          <w:szCs w:val="24"/>
          <w:highlight w:val="none"/>
          <w:lang w:val="zh-CN"/>
        </w:rPr>
      </w:pPr>
      <w:bookmarkStart w:id="62" w:name="_Toc13471"/>
      <w:r>
        <w:rPr>
          <w:rFonts w:hint="eastAsia" w:ascii="宋体" w:hAnsi="宋体" w:eastAsia="宋体" w:cs="宋体"/>
          <w:b/>
          <w:color w:val="auto"/>
          <w:szCs w:val="24"/>
          <w:highlight w:val="none"/>
          <w:lang w:val="zh-CN"/>
        </w:rPr>
        <w:t>6、投标文件的初审分为资格性检查和符合性检查。</w:t>
      </w:r>
      <w:bookmarkEnd w:id="62"/>
    </w:p>
    <w:p w14:paraId="79CE4AD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F05150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7FCCA9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F26490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733CD0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u w:val="single"/>
          <w:lang w:val="en-US" w:eastAsia="zh-CN"/>
        </w:rPr>
        <w:t>从</w:t>
      </w:r>
      <w:r>
        <w:rPr>
          <w:rFonts w:hint="eastAsia" w:ascii="宋体" w:hAnsi="宋体" w:eastAsia="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eastAsia="宋体" w:cs="宋体"/>
          <w:b/>
          <w:color w:val="auto"/>
          <w:szCs w:val="24"/>
          <w:highlight w:val="none"/>
          <w:lang w:val="zh-CN"/>
        </w:rPr>
        <w:t>。</w:t>
      </w:r>
    </w:p>
    <w:p w14:paraId="2A3371E4">
      <w:pPr>
        <w:autoSpaceDE w:val="0"/>
        <w:autoSpaceDN w:val="0"/>
        <w:adjustRightInd w:val="0"/>
        <w:spacing w:line="360" w:lineRule="auto"/>
        <w:outlineLvl w:val="0"/>
        <w:rPr>
          <w:rFonts w:ascii="宋体" w:hAnsi="宋体" w:eastAsia="宋体" w:cs="宋体"/>
          <w:b/>
          <w:color w:val="auto"/>
          <w:szCs w:val="21"/>
          <w:highlight w:val="none"/>
          <w:lang w:val="zh-CN"/>
        </w:rPr>
      </w:pPr>
      <w:bookmarkStart w:id="63" w:name="_Toc4629"/>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u w:val="single"/>
          <w:lang w:val="zh-CN"/>
        </w:rPr>
        <w:t>投标文件出现下列情况之一的，被认定为无效投标</w:t>
      </w:r>
      <w:r>
        <w:rPr>
          <w:rFonts w:hint="eastAsia" w:ascii="宋体" w:hAnsi="宋体" w:eastAsia="宋体" w:cs="宋体"/>
          <w:b/>
          <w:color w:val="auto"/>
          <w:szCs w:val="21"/>
          <w:highlight w:val="none"/>
          <w:lang w:val="zh-CN"/>
        </w:rPr>
        <w:t>：</w:t>
      </w:r>
      <w:bookmarkEnd w:id="63"/>
    </w:p>
    <w:p w14:paraId="371834D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u w:val="single"/>
        </w:rPr>
        <w:t>投标人未按招标文件要求交纳投标保证金的</w:t>
      </w:r>
      <w:r>
        <w:rPr>
          <w:rFonts w:hint="eastAsia" w:ascii="宋体" w:hAnsi="宋体" w:eastAsia="宋体" w:cs="宋体"/>
          <w:b/>
          <w:bCs/>
          <w:color w:val="auto"/>
          <w:kern w:val="0"/>
          <w:szCs w:val="21"/>
          <w:highlight w:val="none"/>
        </w:rPr>
        <w:t>；</w:t>
      </w:r>
    </w:p>
    <w:p w14:paraId="0739296B">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u w:val="single"/>
        </w:rPr>
        <w:t>投标文件中的投标报价高于</w:t>
      </w:r>
      <w:r>
        <w:rPr>
          <w:rFonts w:hint="eastAsia" w:ascii="宋体" w:hAnsi="宋体" w:eastAsia="宋体" w:cs="Times New Roman"/>
          <w:b/>
          <w:bCs/>
          <w:color w:val="auto"/>
          <w:kern w:val="0"/>
          <w:szCs w:val="24"/>
          <w:highlight w:val="none"/>
          <w:u w:val="single"/>
        </w:rPr>
        <w:t>最高</w:t>
      </w:r>
      <w:r>
        <w:rPr>
          <w:rFonts w:hint="eastAsia" w:ascii="宋体" w:hAnsi="宋体" w:eastAsia="宋体" w:cs="Times New Roman"/>
          <w:b/>
          <w:bCs/>
          <w:color w:val="auto"/>
          <w:kern w:val="0"/>
          <w:szCs w:val="24"/>
          <w:highlight w:val="none"/>
          <w:u w:val="single"/>
          <w:lang w:val="en-US" w:eastAsia="zh-CN"/>
        </w:rPr>
        <w:t>投标</w:t>
      </w:r>
      <w:r>
        <w:rPr>
          <w:rFonts w:hint="eastAsia" w:ascii="宋体" w:hAnsi="宋体" w:eastAsia="宋体" w:cs="Times New Roman"/>
          <w:b/>
          <w:bCs/>
          <w:color w:val="auto"/>
          <w:kern w:val="0"/>
          <w:szCs w:val="24"/>
          <w:highlight w:val="none"/>
          <w:u w:val="single"/>
        </w:rPr>
        <w:t>限价</w:t>
      </w:r>
      <w:r>
        <w:rPr>
          <w:rFonts w:hint="eastAsia" w:ascii="宋体" w:hAnsi="宋体" w:eastAsia="宋体" w:cs="宋体"/>
          <w:b/>
          <w:color w:val="auto"/>
          <w:kern w:val="0"/>
          <w:szCs w:val="21"/>
          <w:highlight w:val="none"/>
          <w:u w:val="single"/>
        </w:rPr>
        <w:t>的</w:t>
      </w:r>
      <w:r>
        <w:rPr>
          <w:rFonts w:hint="eastAsia" w:ascii="宋体" w:hAnsi="宋体" w:eastAsia="宋体" w:cs="宋体"/>
          <w:b/>
          <w:bCs/>
          <w:color w:val="auto"/>
          <w:kern w:val="0"/>
          <w:szCs w:val="21"/>
          <w:highlight w:val="none"/>
        </w:rPr>
        <w:t>；</w:t>
      </w:r>
    </w:p>
    <w:p w14:paraId="5B16190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7.3  </w:t>
      </w:r>
      <w:r>
        <w:rPr>
          <w:rFonts w:hint="eastAsia" w:ascii="宋体" w:hAnsi="宋体" w:eastAsia="宋体" w:cs="宋体"/>
          <w:b/>
          <w:color w:val="auto"/>
          <w:kern w:val="0"/>
          <w:szCs w:val="21"/>
          <w:highlight w:val="none"/>
          <w:u w:val="single"/>
        </w:rPr>
        <w:t>投标人以低于企业成本价报价，且投标人不能合理说明或不能提供相关证明材料</w:t>
      </w:r>
      <w:r>
        <w:rPr>
          <w:rFonts w:hint="eastAsia" w:ascii="宋体" w:hAnsi="宋体" w:eastAsia="宋体" w:cs="宋体"/>
          <w:b/>
          <w:color w:val="auto"/>
          <w:kern w:val="0"/>
          <w:szCs w:val="21"/>
          <w:highlight w:val="none"/>
        </w:rPr>
        <w:t>；</w:t>
      </w:r>
    </w:p>
    <w:p w14:paraId="2E8C223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7.4  </w:t>
      </w:r>
      <w:r>
        <w:rPr>
          <w:rFonts w:hint="eastAsia" w:ascii="宋体" w:hAnsi="宋体" w:eastAsia="宋体" w:cs="宋体"/>
          <w:b/>
          <w:color w:val="auto"/>
          <w:kern w:val="0"/>
          <w:szCs w:val="21"/>
          <w:highlight w:val="none"/>
          <w:u w:val="single"/>
        </w:rPr>
        <w:t>投标人递交两份或多份内容不同的投标文件，或在一份投标文件中报有两个或多个报价，且未书面声明哪一个有效</w:t>
      </w:r>
      <w:r>
        <w:rPr>
          <w:rFonts w:hint="eastAsia" w:ascii="宋体" w:hAnsi="宋体" w:eastAsia="宋体" w:cs="宋体"/>
          <w:b/>
          <w:color w:val="auto"/>
          <w:kern w:val="0"/>
          <w:szCs w:val="21"/>
          <w:highlight w:val="none"/>
        </w:rPr>
        <w:t>；</w:t>
      </w:r>
    </w:p>
    <w:p w14:paraId="6DDC66F1">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14:paraId="5C47CCB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highlight w:val="none"/>
        </w:rPr>
        <w:t xml:space="preserve">； </w:t>
      </w:r>
    </w:p>
    <w:p w14:paraId="6A6E017E">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rPr>
        <w:t>投标有效期限不符合要求</w:t>
      </w:r>
      <w:r>
        <w:rPr>
          <w:rFonts w:hint="eastAsia" w:ascii="宋体" w:hAnsi="宋体" w:eastAsia="宋体" w:cs="宋体"/>
          <w:b/>
          <w:bCs/>
          <w:color w:val="auto"/>
          <w:kern w:val="0"/>
          <w:szCs w:val="21"/>
          <w:highlight w:val="none"/>
        </w:rPr>
        <w:t>；</w:t>
      </w:r>
    </w:p>
    <w:p w14:paraId="4FE36F70">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7.8  </w:t>
      </w:r>
      <w:r>
        <w:rPr>
          <w:rFonts w:hint="eastAsia" w:ascii="宋体" w:hAnsi="宋体" w:eastAsia="宋体" w:cs="宋体"/>
          <w:b/>
          <w:bCs/>
          <w:color w:val="auto"/>
          <w:kern w:val="0"/>
          <w:szCs w:val="21"/>
          <w:highlight w:val="none"/>
          <w:u w:val="single"/>
        </w:rPr>
        <w:t>投标文件未对招标范围内的全部内容进行投标报价</w:t>
      </w:r>
      <w:r>
        <w:rPr>
          <w:rFonts w:hint="eastAsia" w:ascii="宋体" w:hAnsi="宋体" w:eastAsia="宋体" w:cs="Times New Roman"/>
          <w:b/>
          <w:color w:val="auto"/>
          <w:kern w:val="0"/>
          <w:szCs w:val="21"/>
          <w:highlight w:val="none"/>
          <w:u w:val="single"/>
        </w:rPr>
        <w:t>或投标方案不是唯一</w:t>
      </w:r>
      <w:r>
        <w:rPr>
          <w:rFonts w:hint="eastAsia" w:ascii="宋体" w:hAnsi="宋体" w:eastAsia="宋体" w:cs="宋体"/>
          <w:b/>
          <w:bCs/>
          <w:color w:val="auto"/>
          <w:kern w:val="0"/>
          <w:szCs w:val="21"/>
          <w:highlight w:val="none"/>
        </w:rPr>
        <w:t>；</w:t>
      </w:r>
    </w:p>
    <w:p w14:paraId="3832D9F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u w:val="single"/>
        </w:rPr>
        <w:t>未提供或虚假填写《合同条款偏离表》，或对《合同条款偏离表》有负偏离的</w:t>
      </w:r>
      <w:r>
        <w:rPr>
          <w:rFonts w:ascii="宋体" w:hAnsi="宋体" w:eastAsia="宋体" w:cs="Times New Roman"/>
          <w:b/>
          <w:color w:val="auto"/>
          <w:kern w:val="0"/>
          <w:szCs w:val="21"/>
          <w:highlight w:val="none"/>
        </w:rPr>
        <w:t>；</w:t>
      </w:r>
    </w:p>
    <w:p w14:paraId="579666D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u w:val="single"/>
        </w:rPr>
        <w:t>未填写或虚假填写《用户需求偏离表》的</w:t>
      </w:r>
      <w:r>
        <w:rPr>
          <w:rFonts w:ascii="宋体" w:hAnsi="宋体" w:eastAsia="宋体" w:cs="Times New Roman"/>
          <w:b/>
          <w:color w:val="auto"/>
          <w:kern w:val="0"/>
          <w:szCs w:val="21"/>
          <w:highlight w:val="none"/>
        </w:rPr>
        <w:t>；</w:t>
      </w:r>
    </w:p>
    <w:p w14:paraId="2599C5B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u w:val="single"/>
        </w:rPr>
        <w:t>未</w:t>
      </w:r>
      <w:r>
        <w:rPr>
          <w:rFonts w:hint="eastAsia" w:ascii="宋体" w:hAnsi="宋体" w:eastAsia="宋体" w:cs="Times New Roman"/>
          <w:b/>
          <w:color w:val="auto"/>
          <w:kern w:val="0"/>
          <w:szCs w:val="21"/>
          <w:highlight w:val="none"/>
          <w:u w:val="single"/>
        </w:rPr>
        <w:t>响应</w:t>
      </w:r>
      <w:r>
        <w:rPr>
          <w:rFonts w:ascii="宋体" w:hAnsi="宋体" w:eastAsia="宋体" w:cs="Times New Roman"/>
          <w:b/>
          <w:color w:val="auto"/>
          <w:kern w:val="0"/>
          <w:szCs w:val="21"/>
          <w:highlight w:val="none"/>
          <w:u w:val="single"/>
        </w:rPr>
        <w:t>招标文件提出的实质性要求和条件（标注★的条款）</w:t>
      </w:r>
      <w:r>
        <w:rPr>
          <w:rFonts w:hint="eastAsia" w:ascii="宋体" w:hAnsi="宋体" w:eastAsia="宋体" w:cs="Times New Roman"/>
          <w:b/>
          <w:color w:val="auto"/>
          <w:kern w:val="0"/>
          <w:szCs w:val="21"/>
          <w:highlight w:val="none"/>
        </w:rPr>
        <w:t>。</w:t>
      </w:r>
    </w:p>
    <w:p w14:paraId="56F9EE79">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9F8479A">
      <w:pPr>
        <w:spacing w:line="360" w:lineRule="auto"/>
        <w:ind w:left="480"/>
        <w:rPr>
          <w:rFonts w:ascii="宋体" w:hAnsi="宋体" w:eastAsia="宋体" w:cs="宋体"/>
          <w:b/>
          <w:color w:val="auto"/>
          <w:kern w:val="0"/>
          <w:szCs w:val="21"/>
          <w:highlight w:val="none"/>
        </w:rPr>
      </w:pPr>
    </w:p>
    <w:p w14:paraId="54ED85B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三、澄清有关问题</w:t>
      </w:r>
    </w:p>
    <w:p w14:paraId="7AC65BB8">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72AA4E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15D253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21F49C1">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5CAA5A8">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71FE821">
      <w:pPr>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19D80CE">
      <w:pPr>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8C6DF8E">
      <w:pPr>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6CAFAA5A">
      <w:pPr>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7D49AE7D">
      <w:pPr>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80C8C7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899BD56">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666FC4E">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90E7EA8">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p>
    <w:p w14:paraId="4D9AEBB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EA46F4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1864EB3">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4" w:name="_Toc13026"/>
      <w:r>
        <w:rPr>
          <w:rFonts w:hint="eastAsia" w:ascii="宋体" w:hAnsi="宋体" w:eastAsia="宋体" w:cs="宋体"/>
          <w:b/>
          <w:color w:val="auto"/>
          <w:szCs w:val="24"/>
          <w:highlight w:val="none"/>
          <w:lang w:val="zh-CN"/>
        </w:rPr>
        <w:t>11、评委打分办法</w:t>
      </w:r>
      <w:bookmarkEnd w:id="64"/>
    </w:p>
    <w:p w14:paraId="0C514BA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D900A4A">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6AAD09B5">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19F765A">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0EBAB04">
      <w:pPr>
        <w:autoSpaceDE w:val="0"/>
        <w:autoSpaceDN w:val="0"/>
        <w:adjustRightInd w:val="0"/>
        <w:spacing w:line="360" w:lineRule="auto"/>
        <w:ind w:left="565"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571A0392">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572CC831">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6FF6027">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13DEC55">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DB0E7B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E3C08CB">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E0B838E">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3CBADC14">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4A407E26">
      <w:pPr>
        <w:autoSpaceDE w:val="0"/>
        <w:autoSpaceDN w:val="0"/>
        <w:adjustRightInd w:val="0"/>
        <w:spacing w:line="360" w:lineRule="auto"/>
        <w:rPr>
          <w:rFonts w:ascii="宋体" w:hAnsi="宋体" w:eastAsia="宋体" w:cs="宋体"/>
          <w:color w:val="auto"/>
          <w:szCs w:val="24"/>
          <w:highlight w:val="none"/>
          <w:lang w:val="zh-CN"/>
        </w:rPr>
      </w:pPr>
    </w:p>
    <w:p w14:paraId="3D103E2C">
      <w:pPr>
        <w:widowControl w:val="0"/>
        <w:tabs>
          <w:tab w:val="left" w:pos="1701"/>
        </w:tabs>
        <w:wordWrap/>
        <w:autoSpaceDE w:val="0"/>
        <w:autoSpaceDN w:val="0"/>
        <w:adjustRightInd w:val="0"/>
        <w:snapToGrid/>
        <w:spacing w:line="360" w:lineRule="auto"/>
        <w:ind w:left="0" w:leftChars="0" w:right="0" w:firstLine="0" w:firstLineChars="0"/>
        <w:jc w:val="both"/>
        <w:textAlignment w:val="auto"/>
        <w:outlineLvl w:val="0"/>
        <w:rPr>
          <w:rFonts w:ascii="宋体" w:hAnsi="宋体" w:eastAsia="宋体" w:cs="宋体"/>
          <w:b/>
          <w:color w:val="auto"/>
          <w:szCs w:val="24"/>
          <w:highlight w:val="none"/>
          <w:lang w:val="zh-CN"/>
        </w:rPr>
      </w:pPr>
      <w:bookmarkStart w:id="65" w:name="_Toc26463"/>
      <w:r>
        <w:rPr>
          <w:rFonts w:hint="eastAsia" w:ascii="宋体" w:hAnsi="宋体" w:eastAsia="宋体" w:cs="宋体"/>
          <w:b/>
          <w:color w:val="auto"/>
          <w:szCs w:val="24"/>
          <w:highlight w:val="none"/>
          <w:lang w:val="zh-CN"/>
        </w:rPr>
        <w:t>12、评分因素及分值</w:t>
      </w:r>
      <w:bookmarkEnd w:id="65"/>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770BB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4FC78F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274AB6E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063D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ED3606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47FC0336">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30分</w:t>
            </w:r>
          </w:p>
        </w:tc>
      </w:tr>
      <w:tr w14:paraId="69341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206B7CC">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3C630409">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35分</w:t>
            </w:r>
          </w:p>
        </w:tc>
      </w:tr>
      <w:tr w14:paraId="5277F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4EA76B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D39CDA0">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35分</w:t>
            </w:r>
          </w:p>
        </w:tc>
      </w:tr>
    </w:tbl>
    <w:p w14:paraId="3EE65E92">
      <w:pPr>
        <w:tabs>
          <w:tab w:val="left" w:pos="585"/>
        </w:tabs>
        <w:autoSpaceDE w:val="0"/>
        <w:autoSpaceDN w:val="0"/>
        <w:adjustRightInd w:val="0"/>
        <w:spacing w:line="360" w:lineRule="auto"/>
        <w:rPr>
          <w:rFonts w:ascii="宋体" w:hAnsi="宋体" w:eastAsia="宋体" w:cs="宋体"/>
          <w:b/>
          <w:color w:val="auto"/>
          <w:szCs w:val="21"/>
          <w:highlight w:val="none"/>
        </w:rPr>
      </w:pPr>
    </w:p>
    <w:p w14:paraId="7B68793A">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1300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53AB4DF4">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6318F2D5">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64FA9479">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44C43C2C">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32A0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595A8BE">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77E85D3B">
            <w:pPr>
              <w:adjustRightInd/>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2"/>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00321FB">
            <w:pPr>
              <w:adjustRightInd/>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zh-CN"/>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14:paraId="04B27096">
            <w:pPr>
              <w:adjustRightInd/>
              <w:spacing w:line="360" w:lineRule="auto"/>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15C735C6">
            <w:pPr>
              <w:adjustRightInd/>
              <w:spacing w:line="360" w:lineRule="auto"/>
              <w:jc w:val="both"/>
              <w:rPr>
                <w:rFonts w:hint="eastAsia" w:ascii="宋体" w:hAnsi="宋体" w:eastAsia="宋体" w:cs="宋体"/>
                <w:b/>
                <w:color w:val="auto"/>
                <w:kern w:val="0"/>
                <w:sz w:val="21"/>
                <w:szCs w:val="21"/>
                <w:highlight w:val="none"/>
                <w:lang w:val="zh-CN"/>
              </w:rPr>
            </w:pPr>
            <w:r>
              <w:rPr>
                <w:rFonts w:hint="eastAsia" w:ascii="宋体" w:hAnsi="宋体" w:eastAsia="宋体" w:cs="宋体"/>
                <w:b/>
                <w:bCs w:val="0"/>
                <w:color w:val="auto"/>
                <w:szCs w:val="21"/>
                <w:highlight w:val="none"/>
                <w:lang w:val="zh-CN"/>
              </w:rPr>
              <w:t>盈</w:t>
            </w:r>
            <w:r>
              <w:rPr>
                <w:rFonts w:hint="eastAsia" w:ascii="宋体" w:hAnsi="宋体" w:eastAsia="宋体" w:cs="宋体"/>
                <w:b/>
                <w:bCs w:val="0"/>
                <w:color w:val="auto"/>
                <w:szCs w:val="21"/>
                <w:highlight w:val="none"/>
                <w:lang w:val="en-US" w:eastAsia="zh-CN"/>
              </w:rPr>
              <w:t>利指净利润为正数（非零、非负数），</w:t>
            </w:r>
            <w:r>
              <w:rPr>
                <w:rFonts w:hint="eastAsia" w:ascii="宋体" w:hAnsi="宋体" w:eastAsia="宋体" w:cs="宋体"/>
                <w:b/>
                <w:bCs w:val="0"/>
                <w:color w:val="auto"/>
                <w:szCs w:val="21"/>
                <w:highlight w:val="none"/>
                <w:lang w:val="zh-CN"/>
              </w:rPr>
              <w:t>投标人应提供202</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lang w:val="zh-CN"/>
              </w:rPr>
              <w:t>年、202</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val="zh-CN"/>
              </w:rPr>
              <w:t>年、202</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年三个年度的财务报表，净利润以经审计的财务报表为准，</w:t>
            </w:r>
            <w:r>
              <w:rPr>
                <w:rFonts w:hint="eastAsia" w:ascii="宋体" w:hAnsi="宋体" w:eastAsia="宋体" w:cs="宋体"/>
                <w:b/>
                <w:bCs w:val="0"/>
                <w:color w:val="auto"/>
                <w:szCs w:val="21"/>
                <w:highlight w:val="none"/>
                <w:lang w:val="en-US" w:eastAsia="zh-CN"/>
              </w:rPr>
              <w:t>应</w:t>
            </w:r>
            <w:r>
              <w:rPr>
                <w:rFonts w:hint="eastAsia" w:ascii="宋体" w:hAnsi="宋体" w:eastAsia="宋体" w:cs="宋体"/>
                <w:b/>
                <w:bCs w:val="0"/>
                <w:color w:val="auto"/>
                <w:szCs w:val="21"/>
                <w:highlight w:val="none"/>
                <w:lang w:val="zh-CN"/>
              </w:rPr>
              <w:t>提供经独立会计师事务所审计过的有效的财务报表</w:t>
            </w:r>
            <w:r>
              <w:rPr>
                <w:rFonts w:hint="eastAsia" w:ascii="宋体" w:hAnsi="宋体" w:eastAsia="宋体" w:cs="宋体"/>
                <w:b/>
                <w:bCs w:val="0"/>
                <w:color w:val="auto"/>
                <w:szCs w:val="21"/>
                <w:highlight w:val="none"/>
                <w:lang w:val="en-US" w:eastAsia="zh-CN"/>
              </w:rPr>
              <w:t>复印</w:t>
            </w:r>
            <w:r>
              <w:rPr>
                <w:rFonts w:hint="eastAsia" w:ascii="宋体" w:hAnsi="宋体" w:eastAsia="宋体" w:cs="宋体"/>
                <w:b/>
                <w:bCs w:val="0"/>
                <w:color w:val="auto"/>
                <w:szCs w:val="21"/>
                <w:highlight w:val="none"/>
                <w:lang w:val="zh-CN"/>
              </w:rPr>
              <w:t>件，未提供前述财务</w:t>
            </w:r>
            <w:r>
              <w:rPr>
                <w:rFonts w:hint="eastAsia" w:ascii="宋体" w:hAnsi="宋体" w:eastAsia="宋体" w:cs="宋体"/>
                <w:b/>
                <w:bCs w:val="0"/>
                <w:color w:val="auto"/>
                <w:szCs w:val="21"/>
                <w:highlight w:val="none"/>
                <w:lang w:val="en-US" w:eastAsia="zh-CN"/>
              </w:rPr>
              <w:t>报表</w:t>
            </w:r>
            <w:r>
              <w:rPr>
                <w:rFonts w:hint="eastAsia" w:ascii="宋体" w:hAnsi="宋体" w:eastAsia="宋体" w:cs="宋体"/>
                <w:b/>
                <w:bCs w:val="0"/>
                <w:color w:val="auto"/>
                <w:szCs w:val="21"/>
                <w:highlight w:val="none"/>
                <w:lang w:val="zh-CN"/>
              </w:rPr>
              <w:t>或财务</w:t>
            </w:r>
            <w:r>
              <w:rPr>
                <w:rFonts w:hint="eastAsia" w:ascii="宋体" w:hAnsi="宋体" w:eastAsia="宋体" w:cs="宋体"/>
                <w:b/>
                <w:bCs w:val="0"/>
                <w:color w:val="auto"/>
                <w:szCs w:val="21"/>
                <w:highlight w:val="none"/>
                <w:lang w:val="en-US" w:eastAsia="zh-CN"/>
              </w:rPr>
              <w:t>报表</w:t>
            </w:r>
            <w:r>
              <w:rPr>
                <w:rFonts w:hint="eastAsia" w:ascii="宋体" w:hAnsi="宋体" w:eastAsia="宋体" w:cs="宋体"/>
                <w:b/>
                <w:bCs w:val="0"/>
                <w:color w:val="auto"/>
                <w:szCs w:val="21"/>
                <w:highlight w:val="none"/>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7D22F83">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1.5分</w:t>
            </w:r>
          </w:p>
        </w:tc>
      </w:tr>
      <w:tr w14:paraId="1131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34662D9">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51BA7CBB">
            <w:pPr>
              <w:adjustRightInd/>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4995503E">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（1）投标人具有有效期内的ISO9001质量管理体系认证证书得</w:t>
            </w:r>
            <w:r>
              <w:rPr>
                <w:rFonts w:hint="eastAsia" w:ascii="宋体" w:hAnsi="宋体" w:eastAsia="宋体" w:cs="宋体"/>
                <w:color w:val="auto"/>
                <w:kern w:val="2"/>
                <w:sz w:val="21"/>
                <w:szCs w:val="21"/>
                <w:highlight w:val="none"/>
              </w:rPr>
              <w:t>0.5</w:t>
            </w:r>
            <w:r>
              <w:rPr>
                <w:rFonts w:hint="eastAsia" w:ascii="宋体" w:hAnsi="宋体" w:eastAsia="宋体" w:cs="宋体"/>
                <w:color w:val="auto"/>
                <w:kern w:val="2"/>
                <w:sz w:val="21"/>
                <w:szCs w:val="21"/>
                <w:highlight w:val="none"/>
                <w:lang w:val="zh-CN"/>
              </w:rPr>
              <w:t>分；</w:t>
            </w:r>
          </w:p>
          <w:p w14:paraId="2026D548">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（2）投标人具有有效期内的ISO14001环境管理体系认证证书得</w:t>
            </w:r>
            <w:r>
              <w:rPr>
                <w:rFonts w:hint="eastAsia" w:ascii="宋体" w:hAnsi="宋体" w:eastAsia="宋体" w:cs="宋体"/>
                <w:color w:val="auto"/>
                <w:kern w:val="2"/>
                <w:sz w:val="21"/>
                <w:szCs w:val="21"/>
                <w:highlight w:val="none"/>
              </w:rPr>
              <w:t>0.5</w:t>
            </w:r>
            <w:r>
              <w:rPr>
                <w:rFonts w:hint="eastAsia" w:ascii="宋体" w:hAnsi="宋体" w:eastAsia="宋体" w:cs="宋体"/>
                <w:color w:val="auto"/>
                <w:kern w:val="2"/>
                <w:sz w:val="21"/>
                <w:szCs w:val="21"/>
                <w:highlight w:val="none"/>
                <w:lang w:val="zh-CN"/>
              </w:rPr>
              <w:t>分；</w:t>
            </w:r>
          </w:p>
          <w:p w14:paraId="6A5ABCE6">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（3）投标人具有有效期内的OHSAS18001（或GB/T28001-2011，或ISO45001）职业健康安全管理体系认证证书得</w:t>
            </w:r>
            <w:r>
              <w:rPr>
                <w:rFonts w:hint="eastAsia" w:ascii="宋体" w:hAnsi="宋体" w:eastAsia="宋体" w:cs="宋体"/>
                <w:color w:val="auto"/>
                <w:kern w:val="2"/>
                <w:sz w:val="21"/>
                <w:szCs w:val="21"/>
                <w:highlight w:val="none"/>
              </w:rPr>
              <w:t>0.5</w:t>
            </w:r>
            <w:r>
              <w:rPr>
                <w:rFonts w:hint="eastAsia" w:ascii="宋体" w:hAnsi="宋体" w:eastAsia="宋体" w:cs="宋体"/>
                <w:color w:val="auto"/>
                <w:kern w:val="2"/>
                <w:sz w:val="21"/>
                <w:szCs w:val="21"/>
                <w:highlight w:val="none"/>
                <w:lang w:val="zh-CN"/>
              </w:rPr>
              <w:t>分。</w:t>
            </w:r>
          </w:p>
          <w:p w14:paraId="0AEE09D4">
            <w:pPr>
              <w:spacing w:line="360" w:lineRule="auto"/>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3DDE1025">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val="0"/>
                <w:color w:val="auto"/>
                <w:szCs w:val="21"/>
                <w:highlight w:val="none"/>
                <w:lang w:val="zh-CN"/>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4A62D814">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1.5分</w:t>
            </w:r>
          </w:p>
        </w:tc>
      </w:tr>
      <w:tr w14:paraId="11DD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1DBD9CD">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43E4348">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运输能力</w:t>
            </w:r>
          </w:p>
        </w:tc>
        <w:tc>
          <w:tcPr>
            <w:tcW w:w="7655" w:type="dxa"/>
            <w:tcBorders>
              <w:top w:val="single" w:color="auto" w:sz="4" w:space="0"/>
              <w:left w:val="single" w:color="auto" w:sz="4" w:space="0"/>
              <w:bottom w:val="single" w:color="auto" w:sz="4" w:space="0"/>
              <w:right w:val="single" w:color="auto" w:sz="4" w:space="0"/>
            </w:tcBorders>
            <w:vAlign w:val="center"/>
          </w:tcPr>
          <w:p w14:paraId="2E9CE10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对投标人投入作业的污泥（含水率约80%）运输车辆（</w:t>
            </w:r>
            <w:r>
              <w:rPr>
                <w:rFonts w:hint="eastAsia" w:ascii="宋体" w:hAnsi="宋体" w:eastAsia="宋体" w:cs="宋体"/>
                <w:color w:val="auto"/>
                <w:sz w:val="21"/>
                <w:szCs w:val="21"/>
                <w:highlight w:val="none"/>
                <w:lang w:val="zh-CN"/>
              </w:rPr>
              <w:t>要求车厢必须密封防渗漏</w:t>
            </w:r>
            <w:r>
              <w:rPr>
                <w:rFonts w:hint="eastAsia" w:ascii="宋体" w:hAnsi="宋体" w:eastAsia="宋体" w:cs="宋体"/>
                <w:color w:val="auto"/>
                <w:kern w:val="2"/>
                <w:sz w:val="21"/>
                <w:szCs w:val="21"/>
                <w:highlight w:val="none"/>
                <w:lang w:val="zh-CN"/>
              </w:rPr>
              <w:t>）数量进行评审，每辆污泥运输车辆（</w:t>
            </w:r>
            <w:r>
              <w:rPr>
                <w:rFonts w:hint="eastAsia" w:ascii="宋体" w:hAnsi="宋体" w:eastAsia="宋体" w:cs="宋体"/>
                <w:color w:val="auto"/>
                <w:sz w:val="21"/>
                <w:szCs w:val="21"/>
                <w:highlight w:val="none"/>
                <w:lang w:val="zh-CN"/>
              </w:rPr>
              <w:t>要求车厢必须密封防渗漏</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分，满分</w:t>
            </w:r>
            <w:r>
              <w:rPr>
                <w:rFonts w:hint="eastAsia" w:ascii="宋体" w:hAnsi="宋体" w:eastAsia="宋体" w:cs="宋体"/>
                <w:color w:val="auto"/>
                <w:kern w:val="2"/>
                <w:sz w:val="21"/>
                <w:szCs w:val="21"/>
                <w:highlight w:val="none"/>
              </w:rPr>
              <w:t>15</w:t>
            </w:r>
            <w:r>
              <w:rPr>
                <w:rFonts w:hint="eastAsia" w:ascii="宋体" w:hAnsi="宋体" w:eastAsia="宋体" w:cs="宋体"/>
                <w:color w:val="auto"/>
                <w:kern w:val="2"/>
                <w:sz w:val="21"/>
                <w:szCs w:val="21"/>
                <w:highlight w:val="none"/>
                <w:lang w:val="zh-CN"/>
              </w:rPr>
              <w:t>分。</w:t>
            </w:r>
          </w:p>
          <w:p w14:paraId="249D8935">
            <w:pPr>
              <w:spacing w:line="360" w:lineRule="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备注：</w:t>
            </w:r>
          </w:p>
          <w:p w14:paraId="687AFF48">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2"/>
                <w:sz w:val="21"/>
                <w:szCs w:val="21"/>
                <w:highlight w:val="none"/>
              </w:rPr>
              <w:t>需提供车辆营运证（或道路运输证）、行驶证的复印件（采用</w:t>
            </w:r>
            <w:r>
              <w:rPr>
                <w:rFonts w:hint="eastAsia" w:ascii="宋体" w:hAnsi="宋体" w:eastAsia="宋体" w:cs="宋体"/>
                <w:b/>
                <w:bCs/>
                <w:color w:val="auto"/>
                <w:sz w:val="21"/>
                <w:szCs w:val="21"/>
                <w:highlight w:val="none"/>
              </w:rPr>
              <w:t>半挂牵引车+半挂车组合车型的，必须同时提半挂供牵引车</w:t>
            </w:r>
            <w:r>
              <w:rPr>
                <w:rFonts w:hint="eastAsia" w:ascii="宋体" w:hAnsi="宋体" w:eastAsia="宋体" w:cs="宋体"/>
                <w:b/>
                <w:bCs/>
                <w:color w:val="auto"/>
                <w:kern w:val="2"/>
                <w:sz w:val="21"/>
                <w:szCs w:val="21"/>
                <w:highlight w:val="none"/>
              </w:rPr>
              <w:t>行驶证</w:t>
            </w:r>
            <w:r>
              <w:rPr>
                <w:rFonts w:hint="eastAsia" w:ascii="宋体" w:hAnsi="宋体" w:eastAsia="宋体" w:cs="宋体"/>
                <w:b/>
                <w:bCs/>
                <w:color w:val="auto"/>
                <w:sz w:val="21"/>
                <w:szCs w:val="21"/>
                <w:highlight w:val="none"/>
              </w:rPr>
              <w:t>和半挂车</w:t>
            </w:r>
            <w:r>
              <w:rPr>
                <w:rFonts w:hint="eastAsia" w:ascii="宋体" w:hAnsi="宋体" w:eastAsia="宋体" w:cs="宋体"/>
                <w:b/>
                <w:bCs/>
                <w:color w:val="auto"/>
                <w:kern w:val="2"/>
                <w:sz w:val="21"/>
                <w:szCs w:val="21"/>
                <w:highlight w:val="none"/>
              </w:rPr>
              <w:t>行驶证复印件，否则视为无效证明材料，不得分）和清晰显示车头和车尾车牌号的车辆照片打印件/复印件作为证明材料，证件业主（户）名称（所有人）必须是投标人，否则不得分。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79E97930">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r>
      <w:tr w14:paraId="1BC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6EF6D8A">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14:paraId="4BF955A1">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1E6FA4AB">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年1月1日以来（签订合同的时间为20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年1月1日或以后）承接的以下运输项目业绩进行评审，本项满分10分：</w:t>
            </w:r>
          </w:p>
          <w:p w14:paraId="7648B321">
            <w:pPr>
              <w:tabs>
                <w:tab w:val="left" w:pos="824"/>
              </w:tabs>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（1）每提供一个【单项</w:t>
            </w:r>
            <w:r>
              <w:rPr>
                <w:rFonts w:hint="eastAsia" w:ascii="宋体" w:hAnsi="宋体" w:eastAsia="宋体" w:cs="宋体"/>
                <w:color w:val="auto"/>
                <w:sz w:val="21"/>
                <w:szCs w:val="21"/>
                <w:highlight w:val="none"/>
                <w:lang w:val="zh-CN"/>
              </w:rPr>
              <w:t>运输合同金额＞</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zh-CN"/>
              </w:rPr>
              <w:t>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的业绩，得</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分；</w:t>
            </w:r>
          </w:p>
          <w:p w14:paraId="10BAF88E">
            <w:pPr>
              <w:tabs>
                <w:tab w:val="left" w:pos="824"/>
              </w:tabs>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（2）每提供一个</w:t>
            </w:r>
            <w:r>
              <w:rPr>
                <w:rFonts w:hint="eastAsia" w:ascii="宋体" w:hAnsi="宋体" w:eastAsia="宋体" w:cs="宋体"/>
                <w:color w:val="auto"/>
                <w:sz w:val="21"/>
                <w:szCs w:val="21"/>
                <w:highlight w:val="none"/>
                <w:lang w:val="zh-CN"/>
              </w:rPr>
              <w:t>【100万元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运输合同金额≤200万元】的业绩，得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061F4EA0">
            <w:pPr>
              <w:tabs>
                <w:tab w:val="left" w:pos="824"/>
              </w:tabs>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（3）每提供一个</w:t>
            </w:r>
            <w:r>
              <w:rPr>
                <w:rFonts w:hint="eastAsia" w:ascii="宋体" w:hAnsi="宋体" w:eastAsia="宋体" w:cs="宋体"/>
                <w:color w:val="auto"/>
                <w:sz w:val="21"/>
                <w:szCs w:val="21"/>
                <w:highlight w:val="none"/>
                <w:lang w:val="zh-CN"/>
              </w:rPr>
              <w:t>【50万元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运输合同金额≤100万元】的业绩，得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分，本子项满分</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分；</w:t>
            </w:r>
          </w:p>
          <w:p w14:paraId="67CFEC15">
            <w:pPr>
              <w:tabs>
                <w:tab w:val="left" w:pos="824"/>
              </w:tabs>
              <w:adjustRightInd/>
              <w:spacing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2、投标人提供的上述第1项业绩中运输货物为污泥的，在上述得分基础上进行加分，本项满分2分。其中，每项【单项</w:t>
            </w:r>
            <w:r>
              <w:rPr>
                <w:rFonts w:hint="eastAsia" w:ascii="宋体" w:hAnsi="宋体" w:eastAsia="宋体" w:cs="宋体"/>
                <w:color w:val="auto"/>
                <w:sz w:val="21"/>
                <w:szCs w:val="21"/>
                <w:highlight w:val="none"/>
                <w:lang w:val="zh-CN"/>
              </w:rPr>
              <w:t>运输合同金额＞200万元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的业绩</w:t>
            </w:r>
            <w:r>
              <w:rPr>
                <w:rFonts w:hint="eastAsia" w:ascii="宋体" w:hAnsi="宋体" w:eastAsia="宋体" w:cs="宋体"/>
                <w:color w:val="auto"/>
                <w:sz w:val="21"/>
                <w:szCs w:val="21"/>
                <w:highlight w:val="none"/>
              </w:rPr>
              <w:t>加1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每项</w:t>
            </w:r>
            <w:r>
              <w:rPr>
                <w:rFonts w:hint="eastAsia" w:ascii="宋体" w:hAnsi="宋体" w:eastAsia="宋体" w:cs="宋体"/>
                <w:color w:val="auto"/>
                <w:sz w:val="21"/>
                <w:szCs w:val="21"/>
                <w:highlight w:val="none"/>
                <w:lang w:val="zh-CN"/>
              </w:rPr>
              <w:t>【100万元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运输合同金额≤200万元】的业绩</w:t>
            </w:r>
            <w:r>
              <w:rPr>
                <w:rFonts w:hint="eastAsia" w:ascii="宋体" w:hAnsi="宋体" w:eastAsia="宋体" w:cs="宋体"/>
                <w:color w:val="auto"/>
                <w:sz w:val="21"/>
                <w:szCs w:val="21"/>
                <w:highlight w:val="none"/>
              </w:rPr>
              <w:t>加0.5分，每项</w:t>
            </w:r>
            <w:r>
              <w:rPr>
                <w:rFonts w:hint="eastAsia" w:ascii="宋体" w:hAnsi="宋体" w:eastAsia="宋体" w:cs="宋体"/>
                <w:color w:val="auto"/>
                <w:sz w:val="21"/>
                <w:szCs w:val="21"/>
                <w:highlight w:val="none"/>
                <w:lang w:val="zh-CN"/>
              </w:rPr>
              <w:t>【50万元＜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运输合同金额≤100万元】的业绩</w:t>
            </w:r>
            <w:r>
              <w:rPr>
                <w:rFonts w:hint="eastAsia" w:ascii="宋体" w:hAnsi="宋体" w:eastAsia="宋体" w:cs="宋体"/>
                <w:color w:val="auto"/>
                <w:sz w:val="21"/>
                <w:szCs w:val="21"/>
                <w:highlight w:val="none"/>
              </w:rPr>
              <w:t>加0.2分。</w:t>
            </w:r>
          </w:p>
          <w:p w14:paraId="2BC9698B">
            <w:pPr>
              <w:adjustRightInd/>
              <w:spacing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52AEC773">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（1）同一业绩</w:t>
            </w:r>
            <w:r>
              <w:rPr>
                <w:rFonts w:hint="eastAsia" w:ascii="宋体" w:hAnsi="宋体" w:eastAsia="宋体" w:cs="宋体"/>
                <w:b/>
                <w:bCs/>
                <w:color w:val="auto"/>
                <w:sz w:val="21"/>
                <w:szCs w:val="21"/>
                <w:highlight w:val="none"/>
                <w:lang w:val="en-US" w:eastAsia="zh-CN"/>
              </w:rPr>
              <w:t>在单类业绩评审条件</w:t>
            </w:r>
            <w:r>
              <w:rPr>
                <w:rFonts w:hint="eastAsia" w:ascii="宋体" w:hAnsi="宋体" w:eastAsia="宋体" w:cs="宋体"/>
                <w:b/>
                <w:bCs/>
                <w:color w:val="auto"/>
                <w:sz w:val="21"/>
                <w:szCs w:val="21"/>
                <w:highlight w:val="none"/>
              </w:rPr>
              <w:t>达到多个得</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条件的，按最高得分标准计分。</w:t>
            </w:r>
          </w:p>
          <w:p w14:paraId="7008F311">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sz w:val="21"/>
                <w:szCs w:val="21"/>
                <w:highlight w:val="none"/>
              </w:rPr>
              <w:t>2）业绩须附合同复印件。</w:t>
            </w:r>
          </w:p>
          <w:p w14:paraId="5C29CA8E">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（3）污泥业绩还需提供该合同下不少于</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00吨污泥的转运联单（联单必须有污泥产生单位、投标人、污泥处置单位公章）复印件。</w:t>
            </w:r>
          </w:p>
          <w:p w14:paraId="08B1212F">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（4）若业绩为框架式协议或资格入围无明确金额的合同，必须同时提供合同期限内已完成运输服务的发票金额统计表和服务发票复印件。</w:t>
            </w:r>
          </w:p>
          <w:p w14:paraId="3A978931">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（5）若合同无法反映评分条件的，还需提供发包人出具的书面补充说明文件复印件作为辅助证明。</w:t>
            </w:r>
          </w:p>
          <w:p w14:paraId="4CCDA29C">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t>（6）未按上述要求提供证明材料的业绩，或所附材料无法证明填报项目属投标人完成的或符合本项评分要求的业绩，在评标时将不予考虑。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03669333">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r>
    </w:tbl>
    <w:p w14:paraId="23513E1D">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55FBAEAB">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3E83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E3FE69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243B461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311D42C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24D8577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7BD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B1DF859">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389D490A">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7D28471B">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对用户需求偏离表的偏离情况进行评审计分，完全满足用户需求书的要求得满分；每一处负偏离，扣2分；同时参照其投标文件中其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5B0DDA96">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28C8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D8BD122">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211FDCDA">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运输管理方案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6B5255BC">
            <w:pPr>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rPr>
              <w:t>对本项目的</w:t>
            </w:r>
            <w:r>
              <w:rPr>
                <w:rFonts w:hint="eastAsia" w:ascii="宋体" w:hAnsi="宋体" w:eastAsia="宋体" w:cs="宋体"/>
                <w:color w:val="auto"/>
                <w:highlight w:val="none"/>
                <w:lang w:val="en-US" w:eastAsia="zh-CN"/>
              </w:rPr>
              <w:t>污泥外运</w:t>
            </w:r>
            <w:r>
              <w:rPr>
                <w:rFonts w:hint="eastAsia" w:ascii="宋体" w:hAnsi="宋体" w:eastAsia="宋体" w:cs="宋体"/>
                <w:color w:val="auto"/>
                <w:highlight w:val="none"/>
              </w:rPr>
              <w:t>响应时间、运输能力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运输管理</w:t>
            </w:r>
            <w:r>
              <w:rPr>
                <w:rFonts w:hint="eastAsia" w:ascii="宋体" w:hAnsi="宋体" w:eastAsia="宋体" w:cs="宋体"/>
                <w:color w:val="auto"/>
                <w:sz w:val="21"/>
                <w:szCs w:val="21"/>
                <w:highlight w:val="none"/>
                <w:lang w:val="zh-CN"/>
              </w:rPr>
              <w:t>等</w:t>
            </w:r>
            <w:r>
              <w:rPr>
                <w:rFonts w:hint="eastAsia" w:ascii="宋体" w:hAnsi="宋体" w:eastAsia="宋体" w:cs="宋体"/>
                <w:color w:val="auto"/>
                <w:szCs w:val="21"/>
                <w:highlight w:val="none"/>
                <w:lang w:val="zh-CN"/>
              </w:rPr>
              <w:t>横向比较后</w:t>
            </w:r>
            <w:r>
              <w:rPr>
                <w:rFonts w:hint="eastAsia" w:ascii="宋体" w:hAnsi="宋体" w:eastAsia="宋体" w:cs="宋体"/>
                <w:color w:val="auto"/>
                <w:sz w:val="21"/>
                <w:szCs w:val="21"/>
                <w:highlight w:val="none"/>
                <w:lang w:val="zh-CN"/>
              </w:rPr>
              <w:t>进行评审：</w:t>
            </w:r>
          </w:p>
          <w:p w14:paraId="0C4829DF">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rPr>
              <w:t>优</w:t>
            </w:r>
            <w:r>
              <w:rPr>
                <w:rFonts w:hint="eastAsia" w:ascii="宋体" w:hAnsi="宋体" w:eastAsia="宋体" w:cs="宋体"/>
                <w:color w:val="auto"/>
                <w:sz w:val="21"/>
                <w:szCs w:val="21"/>
                <w:highlight w:val="none"/>
                <w:lang w:val="zh-CN"/>
              </w:rPr>
              <w:t>：</w:t>
            </w:r>
            <w:r>
              <w:rPr>
                <w:rFonts w:hint="eastAsia" w:ascii="宋体" w:hAnsi="宋体" w:eastAsia="宋体" w:cs="宋体"/>
                <w:color w:val="auto"/>
                <w:szCs w:val="21"/>
                <w:highlight w:val="none"/>
                <w:lang w:val="en-US" w:eastAsia="zh-CN"/>
              </w:rPr>
              <w:t>具有</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Arial" w:hAnsi="Arial" w:eastAsia="宋体" w:cs="Arial"/>
                <w:i w:val="0"/>
                <w:iCs w:val="0"/>
                <w:caps w:val="0"/>
                <w:color w:val="auto"/>
                <w:spacing w:val="0"/>
                <w:sz w:val="21"/>
                <w:szCs w:val="21"/>
                <w:highlight w:val="none"/>
                <w:shd w:val="clear" w:fill="FFFFFF"/>
                <w:lang w:val="en-US" w:eastAsia="zh-CN"/>
              </w:rPr>
              <w:t>和</w:t>
            </w:r>
            <w:r>
              <w:rPr>
                <w:rFonts w:hint="eastAsia" w:ascii="宋体" w:hAnsi="宋体" w:eastAsia="宋体" w:cs="宋体"/>
                <w:color w:val="auto"/>
                <w:szCs w:val="21"/>
                <w:highlight w:val="none"/>
                <w:lang w:val="en-US" w:eastAsia="zh-CN"/>
              </w:rPr>
              <w:t>科学合理的车辆调度措施，日常运输服务响应时间短，能够迅速组织车辆进行运输服务，</w:t>
            </w:r>
            <w:r>
              <w:rPr>
                <w:rFonts w:hint="eastAsia" w:ascii="宋体" w:hAnsi="宋体" w:eastAsia="宋体" w:cs="宋体"/>
                <w:color w:val="auto"/>
                <w:szCs w:val="21"/>
                <w:highlight w:val="none"/>
              </w:rPr>
              <w:t>完全满足招标文件</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不间断服务</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对运输服务重点难点进行全面的分析并提供优秀的解决方案，能够全面预测运输管理服务的不利因素，有效地提升项目服务质量，得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]分；</w:t>
            </w:r>
          </w:p>
          <w:p w14:paraId="37381578">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良</w:t>
            </w:r>
            <w:r>
              <w:rPr>
                <w:rFonts w:hint="eastAsia" w:ascii="宋体" w:hAnsi="宋体" w:eastAsia="宋体" w:cs="宋体"/>
                <w:color w:val="auto"/>
                <w:sz w:val="21"/>
                <w:szCs w:val="21"/>
                <w:highlight w:val="none"/>
                <w:lang w:val="zh-CN"/>
              </w:rPr>
              <w:t>：</w:t>
            </w:r>
            <w:r>
              <w:rPr>
                <w:rFonts w:hint="eastAsia" w:ascii="宋体" w:hAnsi="宋体" w:eastAsia="宋体" w:cs="宋体"/>
                <w:color w:val="auto"/>
                <w:szCs w:val="21"/>
                <w:highlight w:val="none"/>
                <w:lang w:val="en-US" w:eastAsia="zh-CN"/>
              </w:rPr>
              <w:t>具有</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Arial" w:hAnsi="Arial" w:eastAsia="宋体" w:cs="Arial"/>
                <w:i w:val="0"/>
                <w:iCs w:val="0"/>
                <w:caps w:val="0"/>
                <w:color w:val="auto"/>
                <w:spacing w:val="0"/>
                <w:sz w:val="21"/>
                <w:szCs w:val="21"/>
                <w:highlight w:val="none"/>
                <w:shd w:val="clear" w:fill="FFFFFF"/>
                <w:lang w:val="en-US" w:eastAsia="zh-CN"/>
              </w:rPr>
              <w:t>和</w:t>
            </w:r>
            <w:r>
              <w:rPr>
                <w:rFonts w:hint="eastAsia" w:ascii="宋体" w:hAnsi="宋体" w:eastAsia="宋体" w:cs="宋体"/>
                <w:color w:val="auto"/>
                <w:szCs w:val="21"/>
                <w:highlight w:val="none"/>
                <w:lang w:val="en-US" w:eastAsia="zh-CN"/>
              </w:rPr>
              <w:t>合理可行的车辆调度措施，日常运输服务</w:t>
            </w:r>
            <w:r>
              <w:rPr>
                <w:rFonts w:hint="eastAsia" w:ascii="宋体" w:hAnsi="宋体" w:eastAsia="宋体" w:cs="宋体"/>
                <w:color w:val="auto"/>
                <w:szCs w:val="21"/>
                <w:highlight w:val="none"/>
              </w:rPr>
              <w:t>响应时间有所延迟，</w:t>
            </w:r>
            <w:r>
              <w:rPr>
                <w:rFonts w:hint="eastAsia" w:ascii="宋体" w:hAnsi="宋体" w:eastAsia="宋体" w:cs="宋体"/>
                <w:color w:val="auto"/>
                <w:szCs w:val="21"/>
                <w:highlight w:val="none"/>
                <w:lang w:val="en-US" w:eastAsia="zh-CN"/>
              </w:rPr>
              <w:t>但基本</w:t>
            </w:r>
            <w:r>
              <w:rPr>
                <w:rFonts w:hint="eastAsia" w:ascii="宋体" w:hAnsi="宋体" w:eastAsia="宋体" w:cs="宋体"/>
                <w:color w:val="auto"/>
                <w:szCs w:val="21"/>
                <w:highlight w:val="none"/>
              </w:rPr>
              <w:t>满足招标文件</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不间断服务</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对运输服务重点难点进行分析并提供合理的解决方案，能够预测一般情况下对运输服务管理服务的不利因素，得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w:t>
            </w:r>
          </w:p>
          <w:p w14:paraId="6A8CFE75">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中</w:t>
            </w:r>
            <w:r>
              <w:rPr>
                <w:rFonts w:hint="eastAsia" w:ascii="宋体" w:hAnsi="宋体" w:eastAsia="宋体" w:cs="宋体"/>
                <w:color w:val="auto"/>
                <w:sz w:val="21"/>
                <w:szCs w:val="21"/>
                <w:highlight w:val="none"/>
                <w:lang w:val="zh-CN"/>
              </w:rPr>
              <w:t>：</w:t>
            </w:r>
            <w:r>
              <w:rPr>
                <w:rFonts w:hint="eastAsia" w:ascii="宋体" w:hAnsi="宋体" w:eastAsia="宋体" w:cs="宋体"/>
                <w:color w:val="auto"/>
                <w:szCs w:val="21"/>
                <w:highlight w:val="none"/>
                <w:lang w:val="en-US" w:eastAsia="zh-CN"/>
              </w:rPr>
              <w:t>车辆调度措施基本可行，但不具有</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Arial" w:hAnsi="Arial" w:eastAsia="宋体" w:cs="Arial"/>
                <w:i w:val="0"/>
                <w:iCs w:val="0"/>
                <w:caps w:val="0"/>
                <w:color w:val="auto"/>
                <w:spacing w:val="0"/>
                <w:sz w:val="21"/>
                <w:szCs w:val="21"/>
                <w:highlight w:val="none"/>
                <w:shd w:val="clear" w:fill="FFFFFF"/>
                <w:lang w:eastAsia="zh-CN"/>
              </w:rPr>
              <w:t>，</w:t>
            </w:r>
            <w:r>
              <w:rPr>
                <w:rFonts w:hint="eastAsia" w:ascii="宋体" w:hAnsi="宋体" w:eastAsia="宋体" w:cs="宋体"/>
                <w:color w:val="auto"/>
                <w:szCs w:val="21"/>
                <w:highlight w:val="none"/>
                <w:lang w:val="en-US" w:eastAsia="zh-CN"/>
              </w:rPr>
              <w:t>日常运输服务</w:t>
            </w:r>
            <w:r>
              <w:rPr>
                <w:rFonts w:hint="eastAsia" w:ascii="宋体" w:hAnsi="宋体" w:eastAsia="宋体" w:cs="宋体"/>
                <w:color w:val="auto"/>
                <w:szCs w:val="21"/>
                <w:highlight w:val="none"/>
              </w:rPr>
              <w:t>响应时间较长</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勉强招标文件</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不间断服务</w:t>
            </w:r>
            <w:r>
              <w:rPr>
                <w:rFonts w:hint="eastAsia" w:ascii="宋体" w:hAnsi="宋体" w:eastAsia="宋体" w:cs="宋体"/>
                <w:color w:val="auto"/>
                <w:szCs w:val="21"/>
                <w:highlight w:val="none"/>
              </w:rPr>
              <w:t>要求</w:t>
            </w:r>
            <w:r>
              <w:rPr>
                <w:rFonts w:hint="eastAsia" w:ascii="宋体" w:hAnsi="宋体" w:eastAsia="宋体" w:cs="宋体"/>
                <w:color w:val="auto"/>
                <w:sz w:val="21"/>
                <w:szCs w:val="21"/>
                <w:highlight w:val="none"/>
                <w:lang w:val="en-US" w:eastAsia="zh-CN"/>
              </w:rPr>
              <w:t>。对运输服务重点难点进行分析但缺少合理的解决方案，能够预测部分对运输服务管理服务的不利因素，得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6FA2491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差</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缺少</w:t>
            </w:r>
            <w:r>
              <w:rPr>
                <w:rFonts w:hint="eastAsia" w:ascii="宋体" w:hAnsi="宋体" w:eastAsia="宋体" w:cs="宋体"/>
                <w:color w:val="auto"/>
                <w:szCs w:val="21"/>
                <w:highlight w:val="none"/>
                <w:lang w:val="en-US" w:eastAsia="zh-CN"/>
              </w:rPr>
              <w:t>车辆调度措施和</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宋体" w:hAnsi="宋体" w:eastAsia="宋体" w:cs="宋体"/>
                <w:color w:val="auto"/>
                <w:szCs w:val="21"/>
                <w:highlight w:val="none"/>
                <w:lang w:val="en-US" w:eastAsia="zh-CN"/>
              </w:rPr>
              <w:t>，日常运输服务</w:t>
            </w:r>
            <w:r>
              <w:rPr>
                <w:rFonts w:hint="eastAsia" w:ascii="宋体" w:hAnsi="宋体" w:eastAsia="宋体" w:cs="宋体"/>
                <w:color w:val="auto"/>
                <w:szCs w:val="21"/>
                <w:highlight w:val="none"/>
              </w:rPr>
              <w:t>响应时间</w:t>
            </w:r>
            <w:r>
              <w:rPr>
                <w:rFonts w:hint="eastAsia" w:ascii="宋体" w:hAnsi="宋体" w:eastAsia="宋体" w:cs="宋体"/>
                <w:color w:val="auto"/>
                <w:szCs w:val="21"/>
                <w:highlight w:val="none"/>
                <w:lang w:val="en-US" w:eastAsia="zh-CN"/>
              </w:rPr>
              <w:t>很</w:t>
            </w:r>
            <w:r>
              <w:rPr>
                <w:rFonts w:hint="eastAsia" w:ascii="宋体" w:hAnsi="宋体" w:eastAsia="宋体" w:cs="宋体"/>
                <w:color w:val="auto"/>
                <w:szCs w:val="21"/>
                <w:highlight w:val="none"/>
              </w:rPr>
              <w:t>长</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可预判</w:t>
            </w:r>
            <w:r>
              <w:rPr>
                <w:rFonts w:hint="eastAsia" w:ascii="宋体" w:hAnsi="宋体" w:eastAsia="宋体" w:cs="宋体"/>
                <w:color w:val="auto"/>
                <w:szCs w:val="21"/>
                <w:highlight w:val="none"/>
                <w:lang w:val="en-US" w:eastAsia="zh-CN"/>
              </w:rPr>
              <w:t>服务期间</w:t>
            </w:r>
            <w:r>
              <w:rPr>
                <w:rFonts w:hint="eastAsia" w:ascii="宋体" w:hAnsi="宋体" w:eastAsia="宋体" w:cs="宋体"/>
                <w:color w:val="auto"/>
                <w:sz w:val="21"/>
                <w:szCs w:val="21"/>
                <w:highlight w:val="none"/>
                <w:lang w:val="en-US" w:eastAsia="zh-CN"/>
              </w:rPr>
              <w:t>运输管理会出现频繁的负面问题，未对运输服务重点难点进行分析并提出解决方案，得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-0]分。</w:t>
            </w:r>
          </w:p>
          <w:p w14:paraId="0867EC0C">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14:paraId="495FCE65">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Cs w:val="21"/>
                <w:highlight w:val="none"/>
              </w:rPr>
              <w:t>提供</w:t>
            </w:r>
            <w:r>
              <w:rPr>
                <w:rFonts w:hint="eastAsia" w:ascii="宋体" w:hAnsi="宋体" w:eastAsia="宋体" w:cs="宋体"/>
                <w:b/>
                <w:bCs/>
                <w:color w:val="auto"/>
                <w:szCs w:val="21"/>
                <w:highlight w:val="none"/>
                <w:lang w:val="en-US" w:eastAsia="zh-CN"/>
              </w:rPr>
              <w:t>投标人车辆调度系统的软件系统页面截图及委托开发系统的合同复印件（或系统知识产权证书，或软件购买使用凭证，或租赁合同，或能够证明投标人具有车辆调度系统的其他凭证）；</w:t>
            </w:r>
          </w:p>
          <w:p w14:paraId="1E9D95BA">
            <w:pPr>
              <w:spacing w:line="360" w:lineRule="auto"/>
              <w:rPr>
                <w:rFonts w:hint="default" w:eastAsia="宋体"/>
                <w:color w:val="auto"/>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方案的不同内容分别</w:t>
            </w:r>
            <w:r>
              <w:rPr>
                <w:rFonts w:hint="eastAsia" w:ascii="宋体" w:hAnsi="宋体" w:eastAsia="宋体" w:cs="宋体"/>
                <w:b/>
                <w:bCs/>
                <w:color w:val="auto"/>
                <w:szCs w:val="21"/>
                <w:highlight w:val="none"/>
              </w:rPr>
              <w:t>符合评审</w:t>
            </w:r>
            <w:r>
              <w:rPr>
                <w:rFonts w:hint="eastAsia" w:ascii="宋体" w:hAnsi="宋体" w:eastAsia="宋体" w:cs="宋体"/>
                <w:b/>
                <w:bCs/>
                <w:color w:val="auto"/>
                <w:szCs w:val="21"/>
                <w:highlight w:val="none"/>
                <w:lang w:val="en-US" w:eastAsia="zh-CN"/>
              </w:rPr>
              <w:t>内容中不同档次</w:t>
            </w:r>
            <w:r>
              <w:rPr>
                <w:rFonts w:hint="eastAsia" w:ascii="宋体" w:hAnsi="宋体" w:eastAsia="宋体" w:cs="宋体"/>
                <w:b/>
                <w:bCs/>
                <w:color w:val="auto"/>
                <w:szCs w:val="21"/>
                <w:highlight w:val="none"/>
              </w:rPr>
              <w:t>得分要求的，</w:t>
            </w:r>
            <w:r>
              <w:rPr>
                <w:rFonts w:hint="eastAsia" w:ascii="宋体" w:hAnsi="宋体" w:eastAsia="宋体" w:cs="宋体"/>
                <w:b/>
                <w:bCs/>
                <w:color w:val="auto"/>
                <w:szCs w:val="21"/>
                <w:highlight w:val="none"/>
                <w:lang w:val="en-US" w:eastAsia="zh-CN"/>
              </w:rPr>
              <w:t>评审时优先按较低的档次计分（即若</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方案部分内容符合“优”的得分要求，另一部分内容符合“中”的得分要求时，应按“中”的档次考虑计分）。</w:t>
            </w:r>
          </w:p>
        </w:tc>
        <w:tc>
          <w:tcPr>
            <w:tcW w:w="907" w:type="dxa"/>
            <w:tcBorders>
              <w:top w:val="single" w:color="auto" w:sz="4" w:space="0"/>
              <w:left w:val="single" w:color="auto" w:sz="4" w:space="0"/>
              <w:bottom w:val="single" w:color="auto" w:sz="4" w:space="0"/>
              <w:right w:val="single" w:color="auto" w:sz="4" w:space="0"/>
            </w:tcBorders>
            <w:vAlign w:val="center"/>
          </w:tcPr>
          <w:p w14:paraId="027EE9FF">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10分</w:t>
            </w:r>
          </w:p>
        </w:tc>
      </w:tr>
      <w:tr w14:paraId="256E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82D4B51">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2A62F343">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拟投入运输的车辆的使用年限</w:t>
            </w:r>
          </w:p>
        </w:tc>
        <w:tc>
          <w:tcPr>
            <w:tcW w:w="7655" w:type="dxa"/>
            <w:tcBorders>
              <w:top w:val="single" w:color="auto" w:sz="4" w:space="0"/>
              <w:left w:val="single" w:color="auto" w:sz="4" w:space="0"/>
              <w:bottom w:val="single" w:color="auto" w:sz="4" w:space="0"/>
              <w:right w:val="single" w:color="auto" w:sz="4" w:space="0"/>
            </w:tcBorders>
            <w:vAlign w:val="center"/>
          </w:tcPr>
          <w:p w14:paraId="29672736">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对运输管理方案中，投入作业</w:t>
            </w:r>
            <w:r>
              <w:rPr>
                <w:rFonts w:hint="eastAsia" w:ascii="宋体" w:hAnsi="宋体" w:eastAsia="宋体" w:cs="宋体"/>
                <w:color w:val="auto"/>
                <w:kern w:val="2"/>
                <w:sz w:val="21"/>
                <w:szCs w:val="21"/>
                <w:highlight w:val="none"/>
                <w:lang w:val="zh-CN"/>
              </w:rPr>
              <w:t>污泥（含水率约80%）运输车辆（要求车厢必须密封防渗漏）</w:t>
            </w:r>
            <w:r>
              <w:rPr>
                <w:rFonts w:hint="eastAsia" w:ascii="宋体" w:hAnsi="宋体" w:eastAsia="宋体" w:cs="宋体"/>
                <w:color w:val="auto"/>
                <w:sz w:val="21"/>
                <w:szCs w:val="21"/>
                <w:highlight w:val="none"/>
                <w:lang w:val="zh-CN"/>
              </w:rPr>
              <w:t>的使用年限进行评审，满分为5分，最低得0分。</w:t>
            </w:r>
          </w:p>
          <w:p w14:paraId="1FEFCF0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辆，得5分；</w:t>
            </w:r>
          </w:p>
          <w:p w14:paraId="5B7289B6">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辆，得3分；</w:t>
            </w:r>
          </w:p>
          <w:p w14:paraId="325B265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辆，得2分；</w:t>
            </w:r>
          </w:p>
          <w:p w14:paraId="54D37022">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辆，得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6042043C">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（5）拟投入污泥运输车辆中使用年限大于10年，每辆扣1分，最低得0分。</w:t>
            </w:r>
          </w:p>
          <w:p w14:paraId="5580E276">
            <w:pPr>
              <w:adjustRightInd/>
              <w:spacing w:line="360" w:lineRule="auto"/>
              <w:jc w:val="both"/>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备注：</w:t>
            </w:r>
          </w:p>
          <w:p w14:paraId="20EBCBC2">
            <w:pPr>
              <w:adjustRightInd/>
              <w:spacing w:line="360" w:lineRule="auto"/>
              <w:jc w:val="both"/>
              <w:rPr>
                <w:rFonts w:hint="eastAsia" w:ascii="宋体" w:hAnsi="宋体" w:eastAsia="宋体" w:cs="宋体"/>
                <w:color w:val="auto"/>
                <w:kern w:val="0"/>
                <w:szCs w:val="21"/>
                <w:highlight w:val="none"/>
              </w:rPr>
            </w:pPr>
            <w:r>
              <w:rPr>
                <w:rFonts w:hint="eastAsia" w:ascii="宋体" w:hAnsi="宋体" w:eastAsia="宋体" w:cs="宋体"/>
                <w:b/>
                <w:bCs/>
                <w:color w:val="auto"/>
                <w:kern w:val="2"/>
                <w:sz w:val="21"/>
                <w:highlight w:val="none"/>
              </w:rPr>
              <w:t>需提供车辆营运证（或道路运输证）、行驶证的复印件</w:t>
            </w:r>
            <w:r>
              <w:rPr>
                <w:rFonts w:hint="eastAsia" w:ascii="宋体" w:hAnsi="宋体" w:eastAsia="宋体" w:cs="宋体"/>
                <w:b/>
                <w:bCs/>
                <w:color w:val="auto"/>
                <w:kern w:val="2"/>
                <w:sz w:val="21"/>
                <w:szCs w:val="21"/>
                <w:highlight w:val="none"/>
              </w:rPr>
              <w:t>（采用</w:t>
            </w:r>
            <w:r>
              <w:rPr>
                <w:rFonts w:hint="eastAsia" w:ascii="宋体" w:hAnsi="宋体" w:eastAsia="宋体" w:cs="宋体"/>
                <w:b/>
                <w:bCs/>
                <w:color w:val="auto"/>
                <w:sz w:val="21"/>
                <w:szCs w:val="21"/>
                <w:highlight w:val="none"/>
              </w:rPr>
              <w:t>半挂牵引车+半挂车组合车型的，必须同时提半挂供牵引车</w:t>
            </w:r>
            <w:r>
              <w:rPr>
                <w:rFonts w:hint="eastAsia" w:ascii="宋体" w:hAnsi="宋体" w:eastAsia="宋体" w:cs="宋体"/>
                <w:b/>
                <w:bCs/>
                <w:color w:val="auto"/>
                <w:kern w:val="2"/>
                <w:sz w:val="21"/>
                <w:szCs w:val="21"/>
                <w:highlight w:val="none"/>
              </w:rPr>
              <w:t>行驶证</w:t>
            </w:r>
            <w:r>
              <w:rPr>
                <w:rFonts w:hint="eastAsia" w:ascii="宋体" w:hAnsi="宋体" w:eastAsia="宋体" w:cs="宋体"/>
                <w:b/>
                <w:bCs/>
                <w:color w:val="auto"/>
                <w:sz w:val="21"/>
                <w:szCs w:val="21"/>
                <w:highlight w:val="none"/>
              </w:rPr>
              <w:t>和半挂车</w:t>
            </w:r>
            <w:r>
              <w:rPr>
                <w:rFonts w:hint="eastAsia" w:ascii="宋体" w:hAnsi="宋体" w:eastAsia="宋体" w:cs="宋体"/>
                <w:b/>
                <w:bCs/>
                <w:color w:val="auto"/>
                <w:kern w:val="2"/>
                <w:sz w:val="21"/>
                <w:szCs w:val="21"/>
                <w:highlight w:val="none"/>
              </w:rPr>
              <w:t>行驶证复印件，否则视为无效证明材料，不得分）</w:t>
            </w:r>
            <w:r>
              <w:rPr>
                <w:rFonts w:hint="eastAsia" w:ascii="宋体" w:hAnsi="宋体" w:eastAsia="宋体" w:cs="宋体"/>
                <w:b/>
                <w:bCs/>
                <w:color w:val="auto"/>
                <w:kern w:val="2"/>
                <w:sz w:val="21"/>
                <w:highlight w:val="none"/>
              </w:rPr>
              <w:t>和清晰显示车头和车尾车牌号的车辆的照片打印件/复印件作为证明材料，证件业主（户）名称（所有人）必须是投标人。车辆使用年限以车辆行驶证中注册日期为依据（多个行驶证的按注册日期较早的日期为准），如不按要求提供相关评审证明或提供的证明材料中无法准确判断相关评审信息，不得分。</w:t>
            </w:r>
          </w:p>
        </w:tc>
        <w:tc>
          <w:tcPr>
            <w:tcW w:w="907" w:type="dxa"/>
            <w:tcBorders>
              <w:top w:val="single" w:color="auto" w:sz="4" w:space="0"/>
              <w:left w:val="single" w:color="auto" w:sz="4" w:space="0"/>
              <w:bottom w:val="single" w:color="auto" w:sz="4" w:space="0"/>
              <w:right w:val="single" w:color="auto" w:sz="4" w:space="0"/>
            </w:tcBorders>
            <w:vAlign w:val="center"/>
          </w:tcPr>
          <w:p w14:paraId="7614DF9D">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14:paraId="797A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14:paraId="2BFF534D">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1134" w:type="dxa"/>
            <w:tcBorders>
              <w:top w:val="single" w:color="auto" w:sz="4" w:space="0"/>
              <w:left w:val="single" w:color="auto" w:sz="4" w:space="0"/>
              <w:right w:val="single" w:color="auto" w:sz="4" w:space="0"/>
            </w:tcBorders>
            <w:vAlign w:val="center"/>
          </w:tcPr>
          <w:p w14:paraId="3659A479">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拟投入的运输人员</w:t>
            </w:r>
          </w:p>
        </w:tc>
        <w:tc>
          <w:tcPr>
            <w:tcW w:w="7655" w:type="dxa"/>
            <w:tcBorders>
              <w:top w:val="single" w:color="auto" w:sz="4" w:space="0"/>
              <w:left w:val="single" w:color="auto" w:sz="4" w:space="0"/>
              <w:right w:val="single" w:color="auto" w:sz="4" w:space="0"/>
            </w:tcBorders>
            <w:vAlign w:val="center"/>
          </w:tcPr>
          <w:p w14:paraId="431EFC1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对投标方案中，投入</w:t>
            </w:r>
            <w:r>
              <w:rPr>
                <w:rFonts w:hint="eastAsia" w:ascii="宋体" w:hAnsi="宋体" w:eastAsia="宋体" w:cs="宋体"/>
                <w:color w:val="auto"/>
                <w:sz w:val="21"/>
                <w:szCs w:val="21"/>
                <w:highlight w:val="none"/>
              </w:rPr>
              <w:t>驾龄超过5年（含5年）</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rPr>
              <w:t>运输人员数量</w:t>
            </w:r>
            <w:r>
              <w:rPr>
                <w:rFonts w:hint="eastAsia" w:ascii="宋体" w:hAnsi="宋体" w:eastAsia="宋体" w:cs="宋体"/>
                <w:color w:val="auto"/>
                <w:sz w:val="21"/>
                <w:szCs w:val="21"/>
                <w:highlight w:val="none"/>
                <w:lang w:val="zh-CN"/>
              </w:rPr>
              <w:t>进行评审，每一位</w:t>
            </w:r>
            <w:r>
              <w:rPr>
                <w:rFonts w:hint="eastAsia" w:ascii="宋体" w:hAnsi="宋体" w:eastAsia="宋体" w:cs="宋体"/>
                <w:color w:val="auto"/>
                <w:sz w:val="21"/>
                <w:szCs w:val="21"/>
                <w:highlight w:val="none"/>
              </w:rPr>
              <w:t>驾龄超过5年（含5年）</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rPr>
              <w:t>运输人员得0.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满分为10分。</w:t>
            </w:r>
          </w:p>
          <w:p w14:paraId="15EDDDCC">
            <w:pPr>
              <w:spacing w:line="360" w:lineRule="exact"/>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备注：</w:t>
            </w:r>
          </w:p>
          <w:p w14:paraId="1A75C93F">
            <w:pPr>
              <w:spacing w:line="360" w:lineRule="exact"/>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（1）驾龄按取得A2驾驶证的年份计算，驾龄不足5年的运输人员数量不列入评审。</w:t>
            </w:r>
          </w:p>
          <w:p w14:paraId="0AE841BF">
            <w:pPr>
              <w:spacing w:line="360" w:lineRule="exact"/>
              <w:rPr>
                <w:rFonts w:hint="eastAsia" w:ascii="宋体" w:hAnsi="宋体" w:eastAsia="宋体" w:cs="宋体"/>
                <w:color w:val="auto"/>
                <w:kern w:val="0"/>
                <w:szCs w:val="21"/>
                <w:highlight w:val="none"/>
              </w:rPr>
            </w:pPr>
            <w:r>
              <w:rPr>
                <w:rFonts w:hint="eastAsia" w:ascii="宋体" w:hAnsi="宋体" w:eastAsia="宋体" w:cs="宋体"/>
                <w:b/>
                <w:bCs/>
                <w:color w:val="auto"/>
                <w:kern w:val="2"/>
                <w:sz w:val="21"/>
                <w:highlight w:val="none"/>
              </w:rPr>
              <w:t>（2）投标人必须提供拟投入本项目污泥运输人员清单</w:t>
            </w:r>
            <w:r>
              <w:rPr>
                <w:rFonts w:hint="eastAsia" w:ascii="宋体" w:hAnsi="宋体" w:eastAsia="宋体" w:cs="宋体"/>
                <w:b/>
                <w:bCs/>
                <w:color w:val="auto"/>
                <w:kern w:val="2"/>
                <w:sz w:val="21"/>
                <w:highlight w:val="none"/>
                <w:lang w:eastAsia="zh-CN"/>
              </w:rPr>
              <w:t>、</w:t>
            </w:r>
            <w:r>
              <w:rPr>
                <w:rFonts w:hint="eastAsia" w:ascii="宋体" w:hAnsi="宋体" w:eastAsia="宋体" w:cs="宋体"/>
                <w:b/>
                <w:bCs/>
                <w:color w:val="auto"/>
                <w:highlight w:val="none"/>
              </w:rPr>
              <w:t>人力资源和社会保障部门（或税务部门）出具的最近六个月（2024年3月至8月）的社保缴纳证明复印件</w:t>
            </w:r>
            <w:r>
              <w:rPr>
                <w:rFonts w:hint="eastAsia" w:ascii="宋体" w:hAnsi="宋体" w:eastAsia="宋体" w:cs="宋体"/>
                <w:b/>
                <w:bCs/>
                <w:color w:val="auto"/>
                <w:kern w:val="2"/>
                <w:sz w:val="21"/>
                <w:highlight w:val="none"/>
              </w:rPr>
              <w:t>、驾驶证复印件，提供的运输人员清单、驾驶证和社保缴纳证明复印件中人员名称必须一致，如不按要求提供相关评审证明或提供的证明材料中无法准确判断相关评审信息，不得分。</w:t>
            </w:r>
          </w:p>
        </w:tc>
        <w:tc>
          <w:tcPr>
            <w:tcW w:w="907" w:type="dxa"/>
            <w:tcBorders>
              <w:top w:val="single" w:color="auto" w:sz="4" w:space="0"/>
              <w:left w:val="single" w:color="auto" w:sz="4" w:space="0"/>
              <w:right w:val="single" w:color="auto" w:sz="4" w:space="0"/>
            </w:tcBorders>
            <w:vAlign w:val="center"/>
          </w:tcPr>
          <w:p w14:paraId="2514E497">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10分</w:t>
            </w:r>
          </w:p>
        </w:tc>
      </w:tr>
      <w:tr w14:paraId="59B8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vAlign w:val="center"/>
          </w:tcPr>
          <w:p w14:paraId="6790BF3A">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134" w:type="dxa"/>
            <w:vAlign w:val="center"/>
          </w:tcPr>
          <w:p w14:paraId="098C30C6">
            <w:pPr>
              <w:pStyle w:val="73"/>
              <w:tabs>
                <w:tab w:val="left" w:pos="585"/>
                <w:tab w:val="left" w:pos="680"/>
              </w:tabs>
              <w:spacing w:after="0" w:line="360" w:lineRule="exact"/>
              <w:ind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应急预案</w:t>
            </w:r>
            <w:r>
              <w:rPr>
                <w:rFonts w:hint="eastAsia" w:ascii="宋体" w:hAnsi="宋体" w:cs="宋体"/>
                <w:color w:val="auto"/>
                <w:szCs w:val="21"/>
                <w:highlight w:val="none"/>
                <w:lang w:eastAsia="zh-CN"/>
              </w:rPr>
              <w:t>和保障措施</w:t>
            </w:r>
          </w:p>
        </w:tc>
        <w:tc>
          <w:tcPr>
            <w:tcW w:w="7655" w:type="dxa"/>
            <w:vAlign w:val="center"/>
          </w:tcPr>
          <w:p w14:paraId="546969DC">
            <w:pPr>
              <w:adjustRightInd/>
              <w:spacing w:line="400" w:lineRule="exact"/>
              <w:ind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对投标人临时污泥转移运输量急剧增加、发生交通事故、污泥散落、泄露需紧急换车转移及环境污染防治等</w:t>
            </w:r>
            <w:r>
              <w:rPr>
                <w:rFonts w:hint="eastAsia" w:ascii="宋体" w:hAnsi="宋体" w:eastAsia="宋体" w:cs="宋体"/>
                <w:color w:val="auto"/>
                <w:kern w:val="2"/>
                <w:sz w:val="21"/>
                <w:szCs w:val="21"/>
                <w:highlight w:val="none"/>
                <w:lang w:val="en-US" w:eastAsia="zh-CN"/>
              </w:rPr>
              <w:t>横向比较后进行评审</w:t>
            </w:r>
            <w:r>
              <w:rPr>
                <w:rFonts w:hint="eastAsia" w:ascii="宋体" w:hAnsi="宋体" w:eastAsia="宋体" w:cs="宋体"/>
                <w:color w:val="auto"/>
                <w:kern w:val="2"/>
                <w:sz w:val="21"/>
                <w:szCs w:val="21"/>
                <w:highlight w:val="none"/>
                <w:lang w:eastAsia="zh-CN"/>
              </w:rPr>
              <w:t>：</w:t>
            </w:r>
          </w:p>
          <w:p w14:paraId="78D183D9">
            <w:pPr>
              <w:widowControl w:val="0"/>
              <w:wordWrap/>
              <w:adjustRightInd/>
              <w:snapToGrid/>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：应急预案详实且完整，能够全面覆盖所有可能发生的应急情况，并对每一类应急情况制定了详尽且具有操作性的保障措施，并给出了</w:t>
            </w:r>
            <w:r>
              <w:rPr>
                <w:rFonts w:hint="eastAsia" w:ascii="宋体" w:hAnsi="宋体" w:eastAsia="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能有效指导现场处置行动，确保事故得到有效控制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rPr>
              <w:t>得[5-4.5]分；</w:t>
            </w:r>
          </w:p>
          <w:p w14:paraId="2CC83E06">
            <w:pPr>
              <w:adjustRightInd/>
              <w:spacing w:line="400" w:lineRule="exact"/>
              <w:ind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：应急预案较为完整，对各类应急情况制定了具体的保障措施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考虑到了</w:t>
            </w:r>
            <w:r>
              <w:rPr>
                <w:rFonts w:hint="eastAsia" w:ascii="宋体" w:hAnsi="宋体" w:eastAsia="宋体" w:cs="宋体"/>
                <w:color w:val="auto"/>
                <w:sz w:val="21"/>
                <w:szCs w:val="21"/>
                <w:highlight w:val="none"/>
                <w:lang w:val="en-US" w:eastAsia="zh-CN"/>
              </w:rPr>
              <w:t>大部分情况下</w:t>
            </w:r>
            <w:r>
              <w:rPr>
                <w:rFonts w:hint="eastAsia" w:ascii="宋体" w:hAnsi="宋体" w:eastAsia="宋体" w:cs="宋体"/>
                <w:color w:val="auto"/>
                <w:sz w:val="21"/>
                <w:szCs w:val="21"/>
                <w:highlight w:val="none"/>
              </w:rPr>
              <w:t>可能发生的</w:t>
            </w:r>
            <w:r>
              <w:rPr>
                <w:rFonts w:hint="eastAsia" w:ascii="宋体" w:hAnsi="宋体" w:eastAsia="宋体" w:cs="宋体"/>
                <w:color w:val="auto"/>
                <w:sz w:val="21"/>
                <w:szCs w:val="21"/>
                <w:highlight w:val="none"/>
                <w:lang w:val="en-US" w:eastAsia="zh-CN"/>
              </w:rPr>
              <w:t>问题</w:t>
            </w:r>
            <w:r>
              <w:rPr>
                <w:rFonts w:hint="eastAsia" w:ascii="宋体" w:hAnsi="宋体" w:eastAsia="宋体" w:cs="宋体"/>
                <w:color w:val="auto"/>
                <w:sz w:val="21"/>
                <w:szCs w:val="21"/>
                <w:highlight w:val="none"/>
              </w:rPr>
              <w:t>，在少数特殊情况下可能存在一定的不确定性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存在一些细节上的不足，但总体上仍能较好地指导现场处置行动，有效控制事故的发展</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4.5-3.5]分；</w:t>
            </w:r>
          </w:p>
          <w:p w14:paraId="350D1054">
            <w:pPr>
              <w:adjustRightInd/>
              <w:spacing w:line="400" w:lineRule="exact"/>
              <w:ind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：应急预案基本完整，对</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应急情况制定了</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但解决方案</w:t>
            </w:r>
            <w:r>
              <w:rPr>
                <w:rFonts w:hint="eastAsia" w:ascii="宋体" w:hAnsi="宋体" w:eastAsia="宋体" w:cs="宋体"/>
                <w:color w:val="auto"/>
                <w:sz w:val="21"/>
                <w:szCs w:val="21"/>
                <w:highlight w:val="none"/>
              </w:rPr>
              <w:t>需要进一步完善以提高其</w:t>
            </w:r>
            <w:r>
              <w:rPr>
                <w:rFonts w:hint="eastAsia" w:ascii="宋体" w:hAnsi="宋体" w:eastAsia="宋体" w:cs="宋体"/>
                <w:color w:val="auto"/>
                <w:sz w:val="21"/>
                <w:szCs w:val="21"/>
                <w:highlight w:val="none"/>
                <w:lang w:val="en-US" w:eastAsia="zh-CN"/>
              </w:rPr>
              <w:t>指导性</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3.5-2]分；</w:t>
            </w:r>
          </w:p>
          <w:p w14:paraId="0B74BFD7">
            <w:pPr>
              <w:adjustRightInd/>
              <w:spacing w:line="400" w:lineRule="exact"/>
              <w:ind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：应急预案不完整</w:t>
            </w:r>
            <w:r>
              <w:rPr>
                <w:rFonts w:hint="eastAsia" w:ascii="宋体" w:hAnsi="宋体" w:eastAsia="宋体" w:cs="宋体"/>
                <w:color w:val="auto"/>
                <w:sz w:val="21"/>
                <w:szCs w:val="21"/>
                <w:highlight w:val="none"/>
                <w:lang w:val="en-US" w:eastAsia="zh-CN"/>
              </w:rPr>
              <w:t>或缺少合理性</w:t>
            </w:r>
            <w:r>
              <w:rPr>
                <w:rFonts w:hint="eastAsia" w:ascii="宋体" w:hAnsi="宋体" w:eastAsia="宋体" w:cs="宋体"/>
                <w:color w:val="auto"/>
                <w:sz w:val="21"/>
                <w:szCs w:val="21"/>
                <w:highlight w:val="none"/>
              </w:rPr>
              <w:t>，对各类应急情况的保障措施不够具体，</w:t>
            </w:r>
            <w:r>
              <w:rPr>
                <w:rFonts w:hint="eastAsia" w:ascii="宋体" w:hAnsi="宋体" w:eastAsia="宋体" w:cs="宋体"/>
                <w:color w:val="auto"/>
                <w:sz w:val="21"/>
                <w:szCs w:val="21"/>
                <w:highlight w:val="none"/>
                <w:lang w:val="en-US" w:eastAsia="zh-CN"/>
              </w:rPr>
              <w:t>无对应的解决方案，</w:t>
            </w:r>
            <w:r>
              <w:rPr>
                <w:rFonts w:hint="eastAsia" w:ascii="宋体" w:hAnsi="宋体" w:eastAsia="宋体" w:cs="宋体"/>
                <w:color w:val="auto"/>
                <w:szCs w:val="21"/>
                <w:highlight w:val="none"/>
              </w:rPr>
              <w:t>可预判服务期间</w:t>
            </w:r>
            <w:r>
              <w:rPr>
                <w:rFonts w:hint="eastAsia" w:ascii="宋体" w:hAnsi="宋体" w:eastAsia="宋体" w:cs="宋体"/>
                <w:color w:val="auto"/>
                <w:szCs w:val="21"/>
                <w:highlight w:val="none"/>
                <w:lang w:val="en-US" w:eastAsia="zh-CN"/>
              </w:rPr>
              <w:t>发生应急情况时会</w:t>
            </w:r>
            <w:r>
              <w:rPr>
                <w:rFonts w:hint="eastAsia" w:ascii="宋体" w:hAnsi="宋体" w:eastAsia="宋体" w:cs="宋体"/>
                <w:color w:val="auto"/>
                <w:szCs w:val="21"/>
                <w:highlight w:val="none"/>
              </w:rPr>
              <w:t>出现频繁的负面问题</w:t>
            </w:r>
            <w:r>
              <w:rPr>
                <w:rFonts w:hint="eastAsia" w:ascii="宋体" w:hAnsi="宋体" w:eastAsia="宋体" w:cs="宋体"/>
                <w:color w:val="auto"/>
                <w:kern w:val="2"/>
                <w:sz w:val="21"/>
                <w:szCs w:val="21"/>
                <w:highlight w:val="none"/>
                <w:lang w:val="en-US" w:eastAsia="zh-CN"/>
              </w:rPr>
              <w:t>，得（2-0]分。</w:t>
            </w:r>
          </w:p>
          <w:p w14:paraId="0B668404">
            <w:pPr>
              <w:adjustRightInd/>
              <w:spacing w:line="400" w:lineRule="exact"/>
              <w:ind w:firstLine="0" w:firstLineChars="0"/>
              <w:jc w:val="both"/>
              <w:rPr>
                <w:rFonts w:hint="eastAsia"/>
                <w:color w:val="auto"/>
                <w:highlight w:val="none"/>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方案的不同内容分别</w:t>
            </w:r>
            <w:r>
              <w:rPr>
                <w:rFonts w:hint="eastAsia" w:ascii="宋体" w:hAnsi="宋体" w:eastAsia="宋体" w:cs="宋体"/>
                <w:b/>
                <w:bCs/>
                <w:color w:val="auto"/>
                <w:szCs w:val="21"/>
                <w:highlight w:val="none"/>
              </w:rPr>
              <w:t>符合评审</w:t>
            </w:r>
            <w:r>
              <w:rPr>
                <w:rFonts w:hint="eastAsia" w:ascii="宋体" w:hAnsi="宋体" w:eastAsia="宋体" w:cs="宋体"/>
                <w:b/>
                <w:bCs/>
                <w:color w:val="auto"/>
                <w:szCs w:val="21"/>
                <w:highlight w:val="none"/>
                <w:lang w:val="en-US" w:eastAsia="zh-CN"/>
              </w:rPr>
              <w:t>内容中不同档次</w:t>
            </w:r>
            <w:r>
              <w:rPr>
                <w:rFonts w:hint="eastAsia" w:ascii="宋体" w:hAnsi="宋体" w:eastAsia="宋体" w:cs="宋体"/>
                <w:b/>
                <w:bCs/>
                <w:color w:val="auto"/>
                <w:szCs w:val="21"/>
                <w:highlight w:val="none"/>
              </w:rPr>
              <w:t>得分要求的，</w:t>
            </w:r>
            <w:r>
              <w:rPr>
                <w:rFonts w:hint="eastAsia" w:ascii="宋体" w:hAnsi="宋体" w:eastAsia="宋体" w:cs="宋体"/>
                <w:b/>
                <w:bCs/>
                <w:color w:val="auto"/>
                <w:szCs w:val="21"/>
                <w:highlight w:val="none"/>
                <w:lang w:val="en-US" w:eastAsia="zh-CN"/>
              </w:rPr>
              <w:t>评审时优先按较低的档次计分（即若</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方案部分内容符合“优”的得分要求，另一部分内容符合“中”的得分要求时，应按“中”的档次考虑计分）。</w:t>
            </w:r>
          </w:p>
        </w:tc>
        <w:tc>
          <w:tcPr>
            <w:tcW w:w="907" w:type="dxa"/>
            <w:vAlign w:val="center"/>
          </w:tcPr>
          <w:p w14:paraId="7F88EC3A">
            <w:pPr>
              <w:pStyle w:val="73"/>
              <w:tabs>
                <w:tab w:val="left" w:pos="585"/>
                <w:tab w:val="left" w:pos="680"/>
              </w:tabs>
              <w:spacing w:after="0" w:line="360" w:lineRule="exact"/>
              <w:ind w:right="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bl>
    <w:p w14:paraId="339A904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EB4B95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04683D8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14F7D86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CCD735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D98C8C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9CBC311">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758767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F5903C9">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3831C6D1">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u w:val="singl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u w:val="single"/>
          <w:lang w:val="en-US" w:eastAsia="zh-CN"/>
        </w:rPr>
        <w:t>从</w:t>
      </w:r>
      <w:r>
        <w:rPr>
          <w:rFonts w:hint="eastAsia" w:ascii="宋体" w:hAnsi="宋体" w:eastAsia="宋体" w:cs="宋体"/>
          <w:b/>
          <w:color w:val="auto"/>
          <w:kern w:val="0"/>
          <w:szCs w:val="21"/>
          <w:highlight w:val="none"/>
          <w:u w:val="single"/>
          <w:lang w:val="zh-CN"/>
        </w:rPr>
        <w:t>多数的原则，获多数表决通过的投标人才有资格进入下一阶段的评审,否则将按无效投标处理</w:t>
      </w:r>
      <w:r>
        <w:rPr>
          <w:rFonts w:hint="eastAsia" w:ascii="宋体" w:hAnsi="宋体" w:eastAsia="宋体" w:cs="宋体"/>
          <w:b/>
          <w:color w:val="auto"/>
          <w:kern w:val="0"/>
          <w:szCs w:val="21"/>
          <w:highlight w:val="none"/>
          <w:lang w:val="zh-CN"/>
        </w:rPr>
        <w:t>。</w:t>
      </w:r>
    </w:p>
    <w:p w14:paraId="48C62126">
      <w:pPr>
        <w:spacing w:line="360" w:lineRule="auto"/>
        <w:ind w:left="420" w:leftChars="200" w:firstLine="420" w:firstLineChars="200"/>
        <w:rPr>
          <w:rFonts w:ascii="宋体" w:hAnsi="宋体" w:eastAsia="宋体" w:cs="宋体"/>
          <w:color w:val="auto"/>
          <w:kern w:val="0"/>
          <w:szCs w:val="21"/>
          <w:highlight w:val="none"/>
          <w:lang w:val="zh-CN"/>
        </w:rPr>
      </w:pPr>
    </w:p>
    <w:p w14:paraId="7D007E69">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zh-CN"/>
        </w:rPr>
        <w:t>分</w:t>
      </w:r>
    </w:p>
    <w:p w14:paraId="69E5CBD9">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A、根据有效投标人的投标报价，最低价作为基准价（Y）。投标人报价（X）等于基准价的得满分XX分，其他投标人的价格得分统一按照下列公式计算：</w:t>
      </w:r>
    </w:p>
    <w:p w14:paraId="5A0B4F24">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35</w:t>
      </w:r>
    </w:p>
    <w:p w14:paraId="3B61E8A1">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06C39EA">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53B5E78">
      <w:pPr>
        <w:spacing w:line="400" w:lineRule="exact"/>
        <w:ind w:firstLine="848" w:firstLineChars="404"/>
        <w:rPr>
          <w:rFonts w:ascii="宋体" w:hAnsi="宋体" w:eastAsia="宋体" w:cs="宋体"/>
          <w:color w:val="auto"/>
          <w:kern w:val="0"/>
          <w:szCs w:val="28"/>
          <w:highlight w:val="none"/>
          <w:lang w:val="zh-CN"/>
        </w:rPr>
      </w:pPr>
      <w:r>
        <w:rPr>
          <w:rFonts w:hint="eastAsia" w:ascii="宋体" w:hAnsi="宋体" w:eastAsia="宋体" w:cs="宋体"/>
          <w:color w:val="auto"/>
          <w:kern w:val="0"/>
          <w:szCs w:val="28"/>
          <w:highlight w:val="none"/>
          <w:lang w:val="zh-CN"/>
        </w:rPr>
        <w:t>评标总得分=F1＋F2＋……+Fn</w:t>
      </w:r>
    </w:p>
    <w:p w14:paraId="0D5DC65B">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F1、F2、……Fn分别为各项评分因素的得分。</w:t>
      </w:r>
    </w:p>
    <w:p w14:paraId="4BEF481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9A60220">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五、推荐中标人</w:t>
      </w:r>
    </w:p>
    <w:p w14:paraId="3713B9F3">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评标委员会将向招标人按综合得分从高到低的原则推荐得分最高的前3家投标人为第一中标候选人，推荐得分排名第4的投标人为第二中标候选人，招标人将确定第一中标候选人为中标人。若有效投标人数量不足4家，则无需推荐第二中标候选人。</w:t>
      </w:r>
    </w:p>
    <w:p w14:paraId="0F8C3003">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344F427">
      <w:pPr>
        <w:widowControl/>
        <w:spacing w:line="360" w:lineRule="auto"/>
        <w:jc w:val="left"/>
        <w:rPr>
          <w:rFonts w:ascii="宋体" w:hAnsi="宋体" w:eastAsia="宋体" w:cs="宋体"/>
          <w:color w:val="auto"/>
          <w:kern w:val="0"/>
          <w:szCs w:val="21"/>
          <w:highlight w:val="none"/>
        </w:rPr>
      </w:pPr>
    </w:p>
    <w:p w14:paraId="0CEF9E8D">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六、编写评标报告</w:t>
      </w:r>
    </w:p>
    <w:p w14:paraId="257F4F05">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1D5E77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A9DE50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3A1871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D53E4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CDEE0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510667A">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91615C7">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81B607E">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28"/>
          <w:szCs w:val="28"/>
          <w:highlight w:val="none"/>
          <w:lang w:val="zh-CN"/>
        </w:rPr>
        <w:t>七、注意事项</w:t>
      </w:r>
    </w:p>
    <w:p w14:paraId="3A0ACD0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5872B3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0A70D9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74FBDC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591EE9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380577E">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p w14:paraId="4E77C120">
      <w:pPr>
        <w:widowControl/>
        <w:jc w:val="left"/>
        <w:rPr>
          <w:rFonts w:ascii="宋体" w:hAnsi="宋体" w:eastAsia="宋体" w:cs="宋体"/>
          <w:color w:val="auto"/>
          <w:szCs w:val="24"/>
          <w:highlight w:val="none"/>
          <w:lang w:val="zh-CN"/>
        </w:rPr>
      </w:pPr>
    </w:p>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pgNumType w:fmt="decimal"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2FF" w:usb1="400004FF" w:usb2="00000000" w:usb3="00000000" w:csb0="2000019F" w:csb1="00000000"/>
  </w:font>
  <w:font w:name="Microsoft YaHei UI">
    <w:panose1 w:val="020B0503020204020204"/>
    <w:charset w:val="86"/>
    <w:family w:val="auto"/>
    <w:pitch w:val="default"/>
    <w:sig w:usb0="80000287" w:usb1="28CF3C52"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6082">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E24A">
                          <w:pPr>
                            <w:pStyle w:val="2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D9AE24A">
                    <w:pPr>
                      <w:pStyle w:val="2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93</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DF76">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30BEF">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A030BEF">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93</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0BC5F"/>
    <w:multiLevelType w:val="singleLevel"/>
    <w:tmpl w:val="98D0BC5F"/>
    <w:lvl w:ilvl="0" w:tentative="0">
      <w:start w:val="5"/>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ZGMxMDkyNjQ5NTkzOTgyYjBmMjI5NGM0NGU3Zjc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13BD"/>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15F1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76FCD"/>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1432"/>
    <w:rsid w:val="010333FC"/>
    <w:rsid w:val="01042CD0"/>
    <w:rsid w:val="01260D81"/>
    <w:rsid w:val="014001AC"/>
    <w:rsid w:val="0147153B"/>
    <w:rsid w:val="01A93FA3"/>
    <w:rsid w:val="01C42B8B"/>
    <w:rsid w:val="01EF13EE"/>
    <w:rsid w:val="020E4D8C"/>
    <w:rsid w:val="022E44A8"/>
    <w:rsid w:val="02386724"/>
    <w:rsid w:val="02B12A4B"/>
    <w:rsid w:val="03217B69"/>
    <w:rsid w:val="032633D2"/>
    <w:rsid w:val="0350044F"/>
    <w:rsid w:val="0355302B"/>
    <w:rsid w:val="03D35307"/>
    <w:rsid w:val="03D44348"/>
    <w:rsid w:val="03FD05D6"/>
    <w:rsid w:val="03FD54C6"/>
    <w:rsid w:val="03FE7EAB"/>
    <w:rsid w:val="040D6149"/>
    <w:rsid w:val="04155920"/>
    <w:rsid w:val="044A30F0"/>
    <w:rsid w:val="049F51EA"/>
    <w:rsid w:val="04B43341"/>
    <w:rsid w:val="04B75458"/>
    <w:rsid w:val="04D170E8"/>
    <w:rsid w:val="052676B9"/>
    <w:rsid w:val="05663F59"/>
    <w:rsid w:val="058A7C48"/>
    <w:rsid w:val="058F7720"/>
    <w:rsid w:val="059E1314"/>
    <w:rsid w:val="05A01A27"/>
    <w:rsid w:val="05C04DF3"/>
    <w:rsid w:val="05D76A8A"/>
    <w:rsid w:val="05EA6938"/>
    <w:rsid w:val="060101C2"/>
    <w:rsid w:val="061816F7"/>
    <w:rsid w:val="06350552"/>
    <w:rsid w:val="063876A4"/>
    <w:rsid w:val="06825903"/>
    <w:rsid w:val="06A171BF"/>
    <w:rsid w:val="06A27213"/>
    <w:rsid w:val="06A74829"/>
    <w:rsid w:val="06A75D00"/>
    <w:rsid w:val="06BA455D"/>
    <w:rsid w:val="06C673A5"/>
    <w:rsid w:val="06DF3581"/>
    <w:rsid w:val="06EB6E0C"/>
    <w:rsid w:val="07036164"/>
    <w:rsid w:val="07825BA3"/>
    <w:rsid w:val="079825EE"/>
    <w:rsid w:val="07CD3E58"/>
    <w:rsid w:val="07ED28E8"/>
    <w:rsid w:val="08206641"/>
    <w:rsid w:val="08346591"/>
    <w:rsid w:val="083D5445"/>
    <w:rsid w:val="08404F36"/>
    <w:rsid w:val="088968DD"/>
    <w:rsid w:val="08980420"/>
    <w:rsid w:val="08B82D1E"/>
    <w:rsid w:val="08C416C3"/>
    <w:rsid w:val="08F0200E"/>
    <w:rsid w:val="091D6C80"/>
    <w:rsid w:val="098A290C"/>
    <w:rsid w:val="098C2FDB"/>
    <w:rsid w:val="0A014251"/>
    <w:rsid w:val="0A0F4207"/>
    <w:rsid w:val="0A2F7010"/>
    <w:rsid w:val="0AB6328D"/>
    <w:rsid w:val="0B2360D1"/>
    <w:rsid w:val="0B244173"/>
    <w:rsid w:val="0B561090"/>
    <w:rsid w:val="0B995C03"/>
    <w:rsid w:val="0C002E70"/>
    <w:rsid w:val="0C215FF4"/>
    <w:rsid w:val="0C264442"/>
    <w:rsid w:val="0C286ADE"/>
    <w:rsid w:val="0C364AA0"/>
    <w:rsid w:val="0C681B81"/>
    <w:rsid w:val="0C6A07D3"/>
    <w:rsid w:val="0C7843D8"/>
    <w:rsid w:val="0CC021A1"/>
    <w:rsid w:val="0CE06691"/>
    <w:rsid w:val="0D705BFF"/>
    <w:rsid w:val="0D7A67F4"/>
    <w:rsid w:val="0DC14423"/>
    <w:rsid w:val="0DCB6F7B"/>
    <w:rsid w:val="0DE6032D"/>
    <w:rsid w:val="0E8D2557"/>
    <w:rsid w:val="0EAA7549"/>
    <w:rsid w:val="0ECF2B6F"/>
    <w:rsid w:val="0EF3685E"/>
    <w:rsid w:val="0F241091"/>
    <w:rsid w:val="0F2615B8"/>
    <w:rsid w:val="0F6B0AEA"/>
    <w:rsid w:val="0F7200CA"/>
    <w:rsid w:val="0F735BF1"/>
    <w:rsid w:val="0F7F4595"/>
    <w:rsid w:val="0FD0658C"/>
    <w:rsid w:val="0FD20B69"/>
    <w:rsid w:val="0FFD3F89"/>
    <w:rsid w:val="10853E2D"/>
    <w:rsid w:val="10881228"/>
    <w:rsid w:val="10AA15E5"/>
    <w:rsid w:val="10BC03C7"/>
    <w:rsid w:val="10EB7251"/>
    <w:rsid w:val="1102547E"/>
    <w:rsid w:val="11BD2243"/>
    <w:rsid w:val="11CC15E8"/>
    <w:rsid w:val="11FD79F3"/>
    <w:rsid w:val="11FF19BD"/>
    <w:rsid w:val="1206262D"/>
    <w:rsid w:val="122D652B"/>
    <w:rsid w:val="12463148"/>
    <w:rsid w:val="12495BEB"/>
    <w:rsid w:val="1299771C"/>
    <w:rsid w:val="12CF75E2"/>
    <w:rsid w:val="12F708E7"/>
    <w:rsid w:val="12FC7CAB"/>
    <w:rsid w:val="130628D8"/>
    <w:rsid w:val="130F0CEA"/>
    <w:rsid w:val="130F4A87"/>
    <w:rsid w:val="13117BFA"/>
    <w:rsid w:val="13545D39"/>
    <w:rsid w:val="135E2714"/>
    <w:rsid w:val="13906D71"/>
    <w:rsid w:val="13995836"/>
    <w:rsid w:val="13CA1884"/>
    <w:rsid w:val="13CD54C8"/>
    <w:rsid w:val="13E76BAD"/>
    <w:rsid w:val="14237C67"/>
    <w:rsid w:val="142E34B0"/>
    <w:rsid w:val="14357918"/>
    <w:rsid w:val="14755F67"/>
    <w:rsid w:val="14C73D39"/>
    <w:rsid w:val="14DE7716"/>
    <w:rsid w:val="15204125"/>
    <w:rsid w:val="153C6A85"/>
    <w:rsid w:val="1542409B"/>
    <w:rsid w:val="15A13C38"/>
    <w:rsid w:val="163273DD"/>
    <w:rsid w:val="16351E52"/>
    <w:rsid w:val="167A5AB7"/>
    <w:rsid w:val="16B60189"/>
    <w:rsid w:val="16C94348"/>
    <w:rsid w:val="16DB51E3"/>
    <w:rsid w:val="16F77107"/>
    <w:rsid w:val="170E4685"/>
    <w:rsid w:val="17127A9D"/>
    <w:rsid w:val="174D31CB"/>
    <w:rsid w:val="17710C68"/>
    <w:rsid w:val="17712A16"/>
    <w:rsid w:val="18100480"/>
    <w:rsid w:val="181635BD"/>
    <w:rsid w:val="182745FA"/>
    <w:rsid w:val="183028D1"/>
    <w:rsid w:val="186C59CF"/>
    <w:rsid w:val="186E51A7"/>
    <w:rsid w:val="18B02996"/>
    <w:rsid w:val="190D44B0"/>
    <w:rsid w:val="1939496E"/>
    <w:rsid w:val="193E47DD"/>
    <w:rsid w:val="194505FE"/>
    <w:rsid w:val="1958313F"/>
    <w:rsid w:val="196C5B8A"/>
    <w:rsid w:val="197E7175"/>
    <w:rsid w:val="1986426C"/>
    <w:rsid w:val="19AC7DD1"/>
    <w:rsid w:val="19E716B5"/>
    <w:rsid w:val="19E80F89"/>
    <w:rsid w:val="1A0F6516"/>
    <w:rsid w:val="1A516B2E"/>
    <w:rsid w:val="1A543565"/>
    <w:rsid w:val="1A766595"/>
    <w:rsid w:val="1AB32372"/>
    <w:rsid w:val="1AE14356"/>
    <w:rsid w:val="1B0940FF"/>
    <w:rsid w:val="1B402F36"/>
    <w:rsid w:val="1B5543FC"/>
    <w:rsid w:val="1B5B65FA"/>
    <w:rsid w:val="1B7E3953"/>
    <w:rsid w:val="1BCD6688"/>
    <w:rsid w:val="1BFE6842"/>
    <w:rsid w:val="1C077DEC"/>
    <w:rsid w:val="1C142509"/>
    <w:rsid w:val="1C1D306B"/>
    <w:rsid w:val="1C202C5C"/>
    <w:rsid w:val="1C237871"/>
    <w:rsid w:val="1C3B579F"/>
    <w:rsid w:val="1C645161"/>
    <w:rsid w:val="1C692A90"/>
    <w:rsid w:val="1CDD6D9F"/>
    <w:rsid w:val="1CF33ECD"/>
    <w:rsid w:val="1D477E44"/>
    <w:rsid w:val="1D6B6EF8"/>
    <w:rsid w:val="1E1862E1"/>
    <w:rsid w:val="1E480248"/>
    <w:rsid w:val="1E652033"/>
    <w:rsid w:val="1E7A630E"/>
    <w:rsid w:val="1EA47B74"/>
    <w:rsid w:val="1EAC4C7B"/>
    <w:rsid w:val="1EB06519"/>
    <w:rsid w:val="1EEE2B9E"/>
    <w:rsid w:val="1F2B5BA0"/>
    <w:rsid w:val="1F2D1657"/>
    <w:rsid w:val="1F721A21"/>
    <w:rsid w:val="1FCD30FB"/>
    <w:rsid w:val="1FCD5CBB"/>
    <w:rsid w:val="1FD968E9"/>
    <w:rsid w:val="20144886"/>
    <w:rsid w:val="20332F05"/>
    <w:rsid w:val="207A1985"/>
    <w:rsid w:val="20DB5DB4"/>
    <w:rsid w:val="20E0098E"/>
    <w:rsid w:val="20E43588"/>
    <w:rsid w:val="212D7572"/>
    <w:rsid w:val="21644801"/>
    <w:rsid w:val="217355DC"/>
    <w:rsid w:val="217E28FF"/>
    <w:rsid w:val="21997535"/>
    <w:rsid w:val="21EF7359"/>
    <w:rsid w:val="226745D5"/>
    <w:rsid w:val="22883309"/>
    <w:rsid w:val="22941CAE"/>
    <w:rsid w:val="22C62CF4"/>
    <w:rsid w:val="233A2855"/>
    <w:rsid w:val="23461B9F"/>
    <w:rsid w:val="23621DAC"/>
    <w:rsid w:val="236B0C61"/>
    <w:rsid w:val="23700393"/>
    <w:rsid w:val="239A1546"/>
    <w:rsid w:val="23A06120"/>
    <w:rsid w:val="23AB5501"/>
    <w:rsid w:val="23B73EA6"/>
    <w:rsid w:val="24040AA9"/>
    <w:rsid w:val="241C1F5B"/>
    <w:rsid w:val="24572E93"/>
    <w:rsid w:val="246B4C91"/>
    <w:rsid w:val="24AA57B9"/>
    <w:rsid w:val="24C60CE2"/>
    <w:rsid w:val="24E46F1D"/>
    <w:rsid w:val="24EA3E07"/>
    <w:rsid w:val="24ED56A6"/>
    <w:rsid w:val="24F84634"/>
    <w:rsid w:val="25101CDA"/>
    <w:rsid w:val="25307707"/>
    <w:rsid w:val="253357AE"/>
    <w:rsid w:val="25493224"/>
    <w:rsid w:val="25567393"/>
    <w:rsid w:val="25633CE3"/>
    <w:rsid w:val="25A84F00"/>
    <w:rsid w:val="25B71535"/>
    <w:rsid w:val="25BC0B3F"/>
    <w:rsid w:val="25FA62CC"/>
    <w:rsid w:val="2602724B"/>
    <w:rsid w:val="260F65E4"/>
    <w:rsid w:val="263A491A"/>
    <w:rsid w:val="26BA5A76"/>
    <w:rsid w:val="27007912"/>
    <w:rsid w:val="27035654"/>
    <w:rsid w:val="286E02B3"/>
    <w:rsid w:val="28721F3D"/>
    <w:rsid w:val="28AC24C6"/>
    <w:rsid w:val="28B83236"/>
    <w:rsid w:val="28CD7B64"/>
    <w:rsid w:val="28D64DCE"/>
    <w:rsid w:val="28DA73F5"/>
    <w:rsid w:val="28EC1A62"/>
    <w:rsid w:val="28F32B26"/>
    <w:rsid w:val="29192F0D"/>
    <w:rsid w:val="291D0C4F"/>
    <w:rsid w:val="292C2C40"/>
    <w:rsid w:val="29746395"/>
    <w:rsid w:val="29AE6B2F"/>
    <w:rsid w:val="29C410CB"/>
    <w:rsid w:val="29C94933"/>
    <w:rsid w:val="2A4346E5"/>
    <w:rsid w:val="2A83477B"/>
    <w:rsid w:val="2A975B01"/>
    <w:rsid w:val="2A9E4307"/>
    <w:rsid w:val="2B1727EA"/>
    <w:rsid w:val="2B3E6C5B"/>
    <w:rsid w:val="2B45623B"/>
    <w:rsid w:val="2B514BE0"/>
    <w:rsid w:val="2B8C79C6"/>
    <w:rsid w:val="2B9D683D"/>
    <w:rsid w:val="2BA271EA"/>
    <w:rsid w:val="2BAF1907"/>
    <w:rsid w:val="2BC76C50"/>
    <w:rsid w:val="2BC84B7C"/>
    <w:rsid w:val="2BD870AF"/>
    <w:rsid w:val="2BE617CC"/>
    <w:rsid w:val="2C2A3701"/>
    <w:rsid w:val="2C441BA0"/>
    <w:rsid w:val="2CFC2BFE"/>
    <w:rsid w:val="2CFE48F4"/>
    <w:rsid w:val="2D183950"/>
    <w:rsid w:val="2D426ED6"/>
    <w:rsid w:val="2DB0473B"/>
    <w:rsid w:val="2DBE79A2"/>
    <w:rsid w:val="2DCD6330"/>
    <w:rsid w:val="2DD12008"/>
    <w:rsid w:val="2E0C4DEE"/>
    <w:rsid w:val="2E613F48"/>
    <w:rsid w:val="2EC41B6D"/>
    <w:rsid w:val="2EF57F78"/>
    <w:rsid w:val="2EF83CA8"/>
    <w:rsid w:val="2F2257D4"/>
    <w:rsid w:val="2F633C95"/>
    <w:rsid w:val="2F662C24"/>
    <w:rsid w:val="2F776BDF"/>
    <w:rsid w:val="2F7E7F6E"/>
    <w:rsid w:val="2FC07A03"/>
    <w:rsid w:val="2FF62D3D"/>
    <w:rsid w:val="30217113"/>
    <w:rsid w:val="306C7DC6"/>
    <w:rsid w:val="309816C2"/>
    <w:rsid w:val="30BC6FA0"/>
    <w:rsid w:val="30CA30C1"/>
    <w:rsid w:val="310E0E7D"/>
    <w:rsid w:val="311C17EC"/>
    <w:rsid w:val="313F54DB"/>
    <w:rsid w:val="314D028A"/>
    <w:rsid w:val="3153025E"/>
    <w:rsid w:val="31994BEB"/>
    <w:rsid w:val="31CA60F1"/>
    <w:rsid w:val="320504D2"/>
    <w:rsid w:val="3220355E"/>
    <w:rsid w:val="324B7353"/>
    <w:rsid w:val="33062754"/>
    <w:rsid w:val="338C3013"/>
    <w:rsid w:val="33A45AC9"/>
    <w:rsid w:val="33DE0FDB"/>
    <w:rsid w:val="343355C5"/>
    <w:rsid w:val="345117AD"/>
    <w:rsid w:val="349F4C0E"/>
    <w:rsid w:val="354C5D51"/>
    <w:rsid w:val="355530AA"/>
    <w:rsid w:val="35727C2D"/>
    <w:rsid w:val="35C80195"/>
    <w:rsid w:val="35F5085E"/>
    <w:rsid w:val="364631D7"/>
    <w:rsid w:val="36533F02"/>
    <w:rsid w:val="368928C2"/>
    <w:rsid w:val="36894F05"/>
    <w:rsid w:val="36E1218D"/>
    <w:rsid w:val="376734F4"/>
    <w:rsid w:val="37735EDE"/>
    <w:rsid w:val="37850378"/>
    <w:rsid w:val="37940F7C"/>
    <w:rsid w:val="37E84359"/>
    <w:rsid w:val="37F56ECF"/>
    <w:rsid w:val="383A69FC"/>
    <w:rsid w:val="383D0831"/>
    <w:rsid w:val="384D4981"/>
    <w:rsid w:val="385E08A4"/>
    <w:rsid w:val="38806B05"/>
    <w:rsid w:val="389D0587"/>
    <w:rsid w:val="38B247E4"/>
    <w:rsid w:val="38B2503F"/>
    <w:rsid w:val="38D66725"/>
    <w:rsid w:val="38F00B77"/>
    <w:rsid w:val="39365415"/>
    <w:rsid w:val="399030A9"/>
    <w:rsid w:val="39F8681F"/>
    <w:rsid w:val="3A192D6D"/>
    <w:rsid w:val="3A282FB0"/>
    <w:rsid w:val="3A2F5966"/>
    <w:rsid w:val="3A3F02FA"/>
    <w:rsid w:val="3A654204"/>
    <w:rsid w:val="3A790B84"/>
    <w:rsid w:val="3A895415"/>
    <w:rsid w:val="3AF42D92"/>
    <w:rsid w:val="3B183024"/>
    <w:rsid w:val="3B1F29B6"/>
    <w:rsid w:val="3B4262F3"/>
    <w:rsid w:val="3B4A3312"/>
    <w:rsid w:val="3BB54D17"/>
    <w:rsid w:val="3BC35686"/>
    <w:rsid w:val="3BC7163B"/>
    <w:rsid w:val="3C5E0136"/>
    <w:rsid w:val="3CAD59EE"/>
    <w:rsid w:val="3CD15B81"/>
    <w:rsid w:val="3CEF24AB"/>
    <w:rsid w:val="3CF719D1"/>
    <w:rsid w:val="3D484890"/>
    <w:rsid w:val="3D7604D6"/>
    <w:rsid w:val="3DAC5CA6"/>
    <w:rsid w:val="3DB657B3"/>
    <w:rsid w:val="3DF17B5D"/>
    <w:rsid w:val="3DF2408F"/>
    <w:rsid w:val="3E2A22D7"/>
    <w:rsid w:val="3E497999"/>
    <w:rsid w:val="3E810EE1"/>
    <w:rsid w:val="3E9F5A75"/>
    <w:rsid w:val="3F481018"/>
    <w:rsid w:val="3F5B255F"/>
    <w:rsid w:val="3F5D36FC"/>
    <w:rsid w:val="3FAC4683"/>
    <w:rsid w:val="3FF0539E"/>
    <w:rsid w:val="400819A7"/>
    <w:rsid w:val="40385F17"/>
    <w:rsid w:val="404E770A"/>
    <w:rsid w:val="40580367"/>
    <w:rsid w:val="409E3FCC"/>
    <w:rsid w:val="40B90E06"/>
    <w:rsid w:val="40C003E6"/>
    <w:rsid w:val="40DC5A18"/>
    <w:rsid w:val="41216FF5"/>
    <w:rsid w:val="41275288"/>
    <w:rsid w:val="413E57AF"/>
    <w:rsid w:val="414601C0"/>
    <w:rsid w:val="4165554A"/>
    <w:rsid w:val="41F83BB0"/>
    <w:rsid w:val="42044303"/>
    <w:rsid w:val="42114C71"/>
    <w:rsid w:val="422A2598"/>
    <w:rsid w:val="427633FA"/>
    <w:rsid w:val="42B555FD"/>
    <w:rsid w:val="42F97BDF"/>
    <w:rsid w:val="433C5D1E"/>
    <w:rsid w:val="43A0005B"/>
    <w:rsid w:val="43B50E83"/>
    <w:rsid w:val="43C732BE"/>
    <w:rsid w:val="43C7383A"/>
    <w:rsid w:val="441A605F"/>
    <w:rsid w:val="44231FA6"/>
    <w:rsid w:val="446058AE"/>
    <w:rsid w:val="44AE67A8"/>
    <w:rsid w:val="44C10289"/>
    <w:rsid w:val="455F3E55"/>
    <w:rsid w:val="45701CAF"/>
    <w:rsid w:val="45CE5353"/>
    <w:rsid w:val="45DB181E"/>
    <w:rsid w:val="461A71B3"/>
    <w:rsid w:val="461B5D11"/>
    <w:rsid w:val="46230A83"/>
    <w:rsid w:val="46503FBA"/>
    <w:rsid w:val="471E7EBD"/>
    <w:rsid w:val="47354F5E"/>
    <w:rsid w:val="476F0470"/>
    <w:rsid w:val="47FB7F56"/>
    <w:rsid w:val="480A798E"/>
    <w:rsid w:val="481A6E33"/>
    <w:rsid w:val="487877F8"/>
    <w:rsid w:val="488103EE"/>
    <w:rsid w:val="48D93D7E"/>
    <w:rsid w:val="493A1D76"/>
    <w:rsid w:val="495050CA"/>
    <w:rsid w:val="499D6A4B"/>
    <w:rsid w:val="49A11F60"/>
    <w:rsid w:val="4A0F0210"/>
    <w:rsid w:val="4A2117CA"/>
    <w:rsid w:val="4A25750C"/>
    <w:rsid w:val="4A5A35AA"/>
    <w:rsid w:val="4A8E63F2"/>
    <w:rsid w:val="4B413ED2"/>
    <w:rsid w:val="4B985147"/>
    <w:rsid w:val="4BC8467F"/>
    <w:rsid w:val="4C0A0767"/>
    <w:rsid w:val="4C577725"/>
    <w:rsid w:val="4CC0351C"/>
    <w:rsid w:val="4CC335E8"/>
    <w:rsid w:val="4CE0771A"/>
    <w:rsid w:val="4CFE53E3"/>
    <w:rsid w:val="4D3B2BA3"/>
    <w:rsid w:val="4D45445D"/>
    <w:rsid w:val="4D502B15"/>
    <w:rsid w:val="4DFF0074"/>
    <w:rsid w:val="4E231FB4"/>
    <w:rsid w:val="4E2D2E33"/>
    <w:rsid w:val="4E540237"/>
    <w:rsid w:val="4E872A00"/>
    <w:rsid w:val="4E8F764A"/>
    <w:rsid w:val="4E964534"/>
    <w:rsid w:val="4EF23735"/>
    <w:rsid w:val="4F005CD8"/>
    <w:rsid w:val="4F0A4599"/>
    <w:rsid w:val="4F532425"/>
    <w:rsid w:val="4F8922EB"/>
    <w:rsid w:val="4F9662AF"/>
    <w:rsid w:val="4F9F42B5"/>
    <w:rsid w:val="4FE63648"/>
    <w:rsid w:val="4FF12CC2"/>
    <w:rsid w:val="500D49E0"/>
    <w:rsid w:val="50186577"/>
    <w:rsid w:val="5019541D"/>
    <w:rsid w:val="50621378"/>
    <w:rsid w:val="50707007"/>
    <w:rsid w:val="50852AB2"/>
    <w:rsid w:val="50AA42C7"/>
    <w:rsid w:val="51422684"/>
    <w:rsid w:val="517A638F"/>
    <w:rsid w:val="51B353FD"/>
    <w:rsid w:val="51BE0A70"/>
    <w:rsid w:val="51C6120B"/>
    <w:rsid w:val="51CF19F5"/>
    <w:rsid w:val="52291B63"/>
    <w:rsid w:val="523227C6"/>
    <w:rsid w:val="52592449"/>
    <w:rsid w:val="52614E59"/>
    <w:rsid w:val="5264494A"/>
    <w:rsid w:val="52652A9F"/>
    <w:rsid w:val="52664385"/>
    <w:rsid w:val="52A82A88"/>
    <w:rsid w:val="52AE5117"/>
    <w:rsid w:val="52CD0741"/>
    <w:rsid w:val="52DE46FC"/>
    <w:rsid w:val="52F45CCD"/>
    <w:rsid w:val="532C36B9"/>
    <w:rsid w:val="533E519B"/>
    <w:rsid w:val="536D4F96"/>
    <w:rsid w:val="53AA2830"/>
    <w:rsid w:val="53C102A5"/>
    <w:rsid w:val="53CE4770"/>
    <w:rsid w:val="53F51CFD"/>
    <w:rsid w:val="543508EC"/>
    <w:rsid w:val="54353136"/>
    <w:rsid w:val="545F1698"/>
    <w:rsid w:val="54751090"/>
    <w:rsid w:val="54B8011C"/>
    <w:rsid w:val="54BF351A"/>
    <w:rsid w:val="54CA13DC"/>
    <w:rsid w:val="54CD2C7A"/>
    <w:rsid w:val="54E63D3C"/>
    <w:rsid w:val="54F06565"/>
    <w:rsid w:val="55602C58"/>
    <w:rsid w:val="55B300C2"/>
    <w:rsid w:val="55BF0815"/>
    <w:rsid w:val="55FD133D"/>
    <w:rsid w:val="56356D29"/>
    <w:rsid w:val="564231F4"/>
    <w:rsid w:val="566273F2"/>
    <w:rsid w:val="56660C90"/>
    <w:rsid w:val="56933A4F"/>
    <w:rsid w:val="56A949C2"/>
    <w:rsid w:val="56B37004"/>
    <w:rsid w:val="571511AC"/>
    <w:rsid w:val="57346FE0"/>
    <w:rsid w:val="5748483A"/>
    <w:rsid w:val="57792299"/>
    <w:rsid w:val="579B2BBB"/>
    <w:rsid w:val="57C06AC6"/>
    <w:rsid w:val="581B3CFC"/>
    <w:rsid w:val="58D7128B"/>
    <w:rsid w:val="58D81BED"/>
    <w:rsid w:val="59030078"/>
    <w:rsid w:val="595F087D"/>
    <w:rsid w:val="59633BAD"/>
    <w:rsid w:val="598D6049"/>
    <w:rsid w:val="59B2243E"/>
    <w:rsid w:val="59CC3500"/>
    <w:rsid w:val="59D86F77"/>
    <w:rsid w:val="59F842F5"/>
    <w:rsid w:val="59FB128F"/>
    <w:rsid w:val="5A1B7FE4"/>
    <w:rsid w:val="5A40288B"/>
    <w:rsid w:val="5A5D31A1"/>
    <w:rsid w:val="5A615ED6"/>
    <w:rsid w:val="5B394BC5"/>
    <w:rsid w:val="5B647768"/>
    <w:rsid w:val="5B75038D"/>
    <w:rsid w:val="5B914A01"/>
    <w:rsid w:val="5B991B08"/>
    <w:rsid w:val="5BE12FA3"/>
    <w:rsid w:val="5C2F0B13"/>
    <w:rsid w:val="5C4D6613"/>
    <w:rsid w:val="5C5432E7"/>
    <w:rsid w:val="5C606182"/>
    <w:rsid w:val="5C974299"/>
    <w:rsid w:val="5CBC407B"/>
    <w:rsid w:val="5CD059FB"/>
    <w:rsid w:val="5CD9204F"/>
    <w:rsid w:val="5CE60D7D"/>
    <w:rsid w:val="5CE662B8"/>
    <w:rsid w:val="5CEE7AF4"/>
    <w:rsid w:val="5D1F603D"/>
    <w:rsid w:val="5D675118"/>
    <w:rsid w:val="5D6B14D2"/>
    <w:rsid w:val="5D8866EC"/>
    <w:rsid w:val="5E0A0A9B"/>
    <w:rsid w:val="5E36400C"/>
    <w:rsid w:val="5E4F64AE"/>
    <w:rsid w:val="5EBF421E"/>
    <w:rsid w:val="5F2E310B"/>
    <w:rsid w:val="5F6917F1"/>
    <w:rsid w:val="5F795ED8"/>
    <w:rsid w:val="5F8403D9"/>
    <w:rsid w:val="5FC23025"/>
    <w:rsid w:val="5FC92290"/>
    <w:rsid w:val="5FE73964"/>
    <w:rsid w:val="5FF94923"/>
    <w:rsid w:val="6014175D"/>
    <w:rsid w:val="607E751E"/>
    <w:rsid w:val="60E47381"/>
    <w:rsid w:val="610712C2"/>
    <w:rsid w:val="61C566A5"/>
    <w:rsid w:val="620852F1"/>
    <w:rsid w:val="623E38D8"/>
    <w:rsid w:val="62772002"/>
    <w:rsid w:val="6287090C"/>
    <w:rsid w:val="62B13874"/>
    <w:rsid w:val="62B5474A"/>
    <w:rsid w:val="62C51434"/>
    <w:rsid w:val="62EA5256"/>
    <w:rsid w:val="63021D41"/>
    <w:rsid w:val="63572933"/>
    <w:rsid w:val="63672753"/>
    <w:rsid w:val="637D2331"/>
    <w:rsid w:val="6397692D"/>
    <w:rsid w:val="63AD6150"/>
    <w:rsid w:val="63C811DC"/>
    <w:rsid w:val="63E47698"/>
    <w:rsid w:val="63F57AF7"/>
    <w:rsid w:val="6421636E"/>
    <w:rsid w:val="64921504"/>
    <w:rsid w:val="64B905C4"/>
    <w:rsid w:val="64BF19D3"/>
    <w:rsid w:val="64C86FBA"/>
    <w:rsid w:val="64CA4726"/>
    <w:rsid w:val="65237329"/>
    <w:rsid w:val="656A3FF0"/>
    <w:rsid w:val="65E25712"/>
    <w:rsid w:val="65E62E7A"/>
    <w:rsid w:val="662B7800"/>
    <w:rsid w:val="663669CA"/>
    <w:rsid w:val="665A1E94"/>
    <w:rsid w:val="665F56FC"/>
    <w:rsid w:val="666845B1"/>
    <w:rsid w:val="666920D7"/>
    <w:rsid w:val="66A6332B"/>
    <w:rsid w:val="66AF0431"/>
    <w:rsid w:val="66E80493"/>
    <w:rsid w:val="66EC7F6C"/>
    <w:rsid w:val="672F41F6"/>
    <w:rsid w:val="675B5EC3"/>
    <w:rsid w:val="678D1E21"/>
    <w:rsid w:val="67A621D7"/>
    <w:rsid w:val="67BB5990"/>
    <w:rsid w:val="67FC3283"/>
    <w:rsid w:val="686E1C26"/>
    <w:rsid w:val="68AB2E7A"/>
    <w:rsid w:val="69AC069C"/>
    <w:rsid w:val="69AC2A06"/>
    <w:rsid w:val="69D16911"/>
    <w:rsid w:val="69F452BC"/>
    <w:rsid w:val="6A123A14"/>
    <w:rsid w:val="6A27208E"/>
    <w:rsid w:val="6A333127"/>
    <w:rsid w:val="6A413A96"/>
    <w:rsid w:val="6A6634FD"/>
    <w:rsid w:val="6A6C07F5"/>
    <w:rsid w:val="6AA933EA"/>
    <w:rsid w:val="6AAD178D"/>
    <w:rsid w:val="6AB73874"/>
    <w:rsid w:val="6AC65D4A"/>
    <w:rsid w:val="6AC7760B"/>
    <w:rsid w:val="6AF02DC7"/>
    <w:rsid w:val="6B013226"/>
    <w:rsid w:val="6B1E33D8"/>
    <w:rsid w:val="6B361121"/>
    <w:rsid w:val="6B482C03"/>
    <w:rsid w:val="6B9D4CFC"/>
    <w:rsid w:val="6BDF70C3"/>
    <w:rsid w:val="6BE446D9"/>
    <w:rsid w:val="6BE91CF0"/>
    <w:rsid w:val="6C00528B"/>
    <w:rsid w:val="6C171E92"/>
    <w:rsid w:val="6C440EAF"/>
    <w:rsid w:val="6C5F1FB2"/>
    <w:rsid w:val="6C6A0E2B"/>
    <w:rsid w:val="6C7C0FBC"/>
    <w:rsid w:val="6C830921"/>
    <w:rsid w:val="6CC649E7"/>
    <w:rsid w:val="6D0668D1"/>
    <w:rsid w:val="6D1014FE"/>
    <w:rsid w:val="6D212198"/>
    <w:rsid w:val="6D341690"/>
    <w:rsid w:val="6D7952F5"/>
    <w:rsid w:val="6DA71E62"/>
    <w:rsid w:val="6DD30EA9"/>
    <w:rsid w:val="6DDA5CDD"/>
    <w:rsid w:val="6E0E3C8F"/>
    <w:rsid w:val="6E1119D2"/>
    <w:rsid w:val="6E1E5318"/>
    <w:rsid w:val="6E1F40EF"/>
    <w:rsid w:val="6E264F3A"/>
    <w:rsid w:val="6E3D1FD3"/>
    <w:rsid w:val="6E5673E4"/>
    <w:rsid w:val="6E7206C2"/>
    <w:rsid w:val="6E865F1C"/>
    <w:rsid w:val="6F082DD5"/>
    <w:rsid w:val="6F112692"/>
    <w:rsid w:val="6F5F71DE"/>
    <w:rsid w:val="6F7C6062"/>
    <w:rsid w:val="6F7E0CE7"/>
    <w:rsid w:val="6F857F81"/>
    <w:rsid w:val="6FB42615"/>
    <w:rsid w:val="6FB969F4"/>
    <w:rsid w:val="6FC4095F"/>
    <w:rsid w:val="6FD86D01"/>
    <w:rsid w:val="706202C3"/>
    <w:rsid w:val="70626FA0"/>
    <w:rsid w:val="708C0E47"/>
    <w:rsid w:val="70A306C3"/>
    <w:rsid w:val="70C20D61"/>
    <w:rsid w:val="70C96594"/>
    <w:rsid w:val="70E92792"/>
    <w:rsid w:val="70F25BF0"/>
    <w:rsid w:val="70F353BF"/>
    <w:rsid w:val="71181F53"/>
    <w:rsid w:val="71654DEA"/>
    <w:rsid w:val="72275320"/>
    <w:rsid w:val="72565C05"/>
    <w:rsid w:val="727367B7"/>
    <w:rsid w:val="72B56DCF"/>
    <w:rsid w:val="72F316A6"/>
    <w:rsid w:val="73410663"/>
    <w:rsid w:val="734273A9"/>
    <w:rsid w:val="734B4066"/>
    <w:rsid w:val="735F4F8D"/>
    <w:rsid w:val="73A44D66"/>
    <w:rsid w:val="73A66718"/>
    <w:rsid w:val="73CE3102"/>
    <w:rsid w:val="73FF0505"/>
    <w:rsid w:val="740274B3"/>
    <w:rsid w:val="740873D3"/>
    <w:rsid w:val="740A3453"/>
    <w:rsid w:val="74830E88"/>
    <w:rsid w:val="74EC0AA3"/>
    <w:rsid w:val="750D185B"/>
    <w:rsid w:val="751D3132"/>
    <w:rsid w:val="75414E2E"/>
    <w:rsid w:val="75510759"/>
    <w:rsid w:val="759E3B4B"/>
    <w:rsid w:val="75B74C0D"/>
    <w:rsid w:val="75C335B1"/>
    <w:rsid w:val="75C64E50"/>
    <w:rsid w:val="75F95F98"/>
    <w:rsid w:val="7625601A"/>
    <w:rsid w:val="76680CF1"/>
    <w:rsid w:val="76CF5F86"/>
    <w:rsid w:val="76FA1255"/>
    <w:rsid w:val="77281627"/>
    <w:rsid w:val="77434C5B"/>
    <w:rsid w:val="7769462C"/>
    <w:rsid w:val="777455FD"/>
    <w:rsid w:val="780834D3"/>
    <w:rsid w:val="78C064CE"/>
    <w:rsid w:val="78EC72C3"/>
    <w:rsid w:val="79053EE1"/>
    <w:rsid w:val="790D22C6"/>
    <w:rsid w:val="795A5FDB"/>
    <w:rsid w:val="79915775"/>
    <w:rsid w:val="79B55907"/>
    <w:rsid w:val="79C45B4A"/>
    <w:rsid w:val="7A8552D9"/>
    <w:rsid w:val="7ABE6A3D"/>
    <w:rsid w:val="7AE244DA"/>
    <w:rsid w:val="7BBD6CF5"/>
    <w:rsid w:val="7BE81FC4"/>
    <w:rsid w:val="7BF00E78"/>
    <w:rsid w:val="7C073016"/>
    <w:rsid w:val="7C350F81"/>
    <w:rsid w:val="7C725D31"/>
    <w:rsid w:val="7C8415C1"/>
    <w:rsid w:val="7C914409"/>
    <w:rsid w:val="7CEB418B"/>
    <w:rsid w:val="7D0B583E"/>
    <w:rsid w:val="7D630A43"/>
    <w:rsid w:val="7D6457E7"/>
    <w:rsid w:val="7D8F16AE"/>
    <w:rsid w:val="7DDC0E2A"/>
    <w:rsid w:val="7DFA5FDE"/>
    <w:rsid w:val="7E1F77F3"/>
    <w:rsid w:val="7E582D05"/>
    <w:rsid w:val="7E941F8F"/>
    <w:rsid w:val="7EAA2BA5"/>
    <w:rsid w:val="7EAB552B"/>
    <w:rsid w:val="7EBA34E2"/>
    <w:rsid w:val="7F13151C"/>
    <w:rsid w:val="7F1B7CAE"/>
    <w:rsid w:val="7F2A46A1"/>
    <w:rsid w:val="7F2B5EA7"/>
    <w:rsid w:val="7F327676"/>
    <w:rsid w:val="7F723A7C"/>
    <w:rsid w:val="7F8F2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17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85"/>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7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8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6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7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9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9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9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49"/>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4"/>
    <w:unhideWhenUsed/>
    <w:qFormat/>
    <w:uiPriority w:val="99"/>
    <w:pPr>
      <w:adjustRightInd/>
      <w:spacing w:after="120"/>
      <w:ind w:right="0" w:firstLine="420" w:firstLineChars="100"/>
      <w:jc w:val="both"/>
    </w:pPr>
    <w:rPr>
      <w:rFonts w:ascii="等线" w:eastAsia="等线"/>
      <w:b w:val="0"/>
      <w:bCs w:val="0"/>
      <w:sz w:val="21"/>
      <w:szCs w:val="22"/>
      <w:lang w:val="en-US"/>
    </w:rPr>
  </w:style>
  <w:style w:type="paragraph" w:customStyle="1" w:styleId="10">
    <w:name w:val="模板正文"/>
    <w:basedOn w:val="1"/>
    <w:link w:val="126"/>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116"/>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4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89"/>
    <w:unhideWhenUsed/>
    <w:qFormat/>
    <w:uiPriority w:val="99"/>
    <w:pPr>
      <w:jc w:val="left"/>
    </w:pPr>
  </w:style>
  <w:style w:type="paragraph" w:styleId="19">
    <w:name w:val="Body Text 3"/>
    <w:basedOn w:val="1"/>
    <w:link w:val="18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124"/>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32"/>
    <w:qFormat/>
    <w:uiPriority w:val="0"/>
    <w:rPr>
      <w:rFonts w:ascii="宋体" w:hAnsi="Courier New" w:eastAsia="宋体"/>
    </w:rPr>
  </w:style>
  <w:style w:type="paragraph" w:styleId="23">
    <w:name w:val="Date"/>
    <w:basedOn w:val="1"/>
    <w:next w:val="1"/>
    <w:link w:val="13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33"/>
    <w:qFormat/>
    <w:uiPriority w:val="0"/>
    <w:pPr>
      <w:tabs>
        <w:tab w:val="left" w:pos="8640"/>
      </w:tabs>
      <w:ind w:left="1260"/>
    </w:pPr>
    <w:rPr>
      <w:rFonts w:ascii="宋体" w:hAnsi="Times New Roman" w:eastAsia="宋体" w:cs="Times New Roman"/>
      <w:szCs w:val="20"/>
    </w:rPr>
  </w:style>
  <w:style w:type="paragraph" w:styleId="25">
    <w:name w:val="Balloon Text"/>
    <w:basedOn w:val="1"/>
    <w:link w:val="108"/>
    <w:qFormat/>
    <w:uiPriority w:val="0"/>
    <w:rPr>
      <w:rFonts w:ascii="Times New Roman" w:hAnsi="Times New Roman" w:eastAsia="宋体" w:cs="Times New Roman"/>
      <w:sz w:val="18"/>
      <w:szCs w:val="18"/>
    </w:rPr>
  </w:style>
  <w:style w:type="paragraph" w:styleId="26">
    <w:name w:val="footer"/>
    <w:basedOn w:val="1"/>
    <w:link w:val="112"/>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5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8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7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1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125"/>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95"/>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41"/>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unhideWhenUsed/>
    <w:qFormat/>
    <w:uiPriority w:val="99"/>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paragraph" w:customStyle="1" w:styleId="46">
    <w:name w:val="正文缩进2格"/>
    <w:basedOn w:val="1"/>
    <w:link w:val="99"/>
    <w:qFormat/>
    <w:uiPriority w:val="0"/>
    <w:pPr>
      <w:spacing w:line="600" w:lineRule="exact"/>
      <w:ind w:firstLine="639" w:firstLineChars="206"/>
    </w:pPr>
    <w:rPr>
      <w:rFonts w:ascii="仿宋_GB2312" w:hAnsi="宋体" w:eastAsia="仿宋_GB2312"/>
      <w:sz w:val="31"/>
      <w:szCs w:val="28"/>
    </w:rPr>
  </w:style>
  <w:style w:type="paragraph" w:customStyle="1" w:styleId="47">
    <w:name w:val="列出段落1"/>
    <w:basedOn w:val="1"/>
    <w:link w:val="103"/>
    <w:qFormat/>
    <w:uiPriority w:val="34"/>
    <w:pPr>
      <w:ind w:firstLine="420" w:firstLineChars="200"/>
    </w:pPr>
    <w:rPr>
      <w:rFonts w:ascii="Calibri" w:hAnsi="Calibri"/>
    </w:rPr>
  </w:style>
  <w:style w:type="paragraph" w:customStyle="1" w:styleId="48">
    <w:name w:val="标书正文"/>
    <w:basedOn w:val="1"/>
    <w:link w:val="104"/>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9">
    <w:name w:val="吉奥正文"/>
    <w:basedOn w:val="1"/>
    <w:link w:val="113"/>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50">
    <w:name w:val="标题 3.1"/>
    <w:basedOn w:val="6"/>
    <w:link w:val="120"/>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1">
    <w:name w:val="表头文字"/>
    <w:basedOn w:val="1"/>
    <w:link w:val="138"/>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2">
    <w:name w:val="表格文字"/>
    <w:basedOn w:val="1"/>
    <w:link w:val="152"/>
    <w:qFormat/>
    <w:uiPriority w:val="0"/>
    <w:rPr>
      <w:rFonts w:eastAsia="仿宋_GB2312"/>
      <w:sz w:val="28"/>
      <w:szCs w:val="24"/>
    </w:rPr>
  </w:style>
  <w:style w:type="paragraph" w:customStyle="1" w:styleId="53">
    <w:name w:val="List Paragraph"/>
    <w:basedOn w:val="1"/>
    <w:link w:val="158"/>
    <w:qFormat/>
    <w:uiPriority w:val="34"/>
    <w:pPr>
      <w:ind w:firstLine="420" w:firstLineChars="200"/>
    </w:pPr>
  </w:style>
  <w:style w:type="paragraph" w:customStyle="1" w:styleId="54">
    <w:name w:val="彩色列表 - 着色 11"/>
    <w:basedOn w:val="1"/>
    <w:link w:val="168"/>
    <w:qFormat/>
    <w:uiPriority w:val="0"/>
    <w:pPr>
      <w:ind w:firstLine="420" w:firstLineChars="200"/>
    </w:pPr>
    <w:rPr>
      <w:rFonts w:ascii="Calibri" w:hAnsi="Calibri"/>
    </w:rPr>
  </w:style>
  <w:style w:type="paragraph" w:customStyle="1" w:styleId="55">
    <w:name w:val="彩色列表 - 强调文字颜色 11"/>
    <w:basedOn w:val="1"/>
    <w:link w:val="186"/>
    <w:qFormat/>
    <w:uiPriority w:val="0"/>
    <w:pPr>
      <w:autoSpaceDE w:val="0"/>
      <w:autoSpaceDN w:val="0"/>
      <w:adjustRightInd w:val="0"/>
      <w:ind w:firstLine="420" w:firstLineChars="200"/>
      <w:jc w:val="left"/>
    </w:pPr>
    <w:rPr>
      <w:rFonts w:ascii="宋体"/>
      <w:sz w:val="24"/>
      <w:szCs w:val="24"/>
    </w:rPr>
  </w:style>
  <w:style w:type="paragraph" w:customStyle="1" w:styleId="56">
    <w:name w:val="_Style 123"/>
    <w:basedOn w:val="1"/>
    <w:next w:val="53"/>
    <w:qFormat/>
    <w:uiPriority w:val="34"/>
    <w:pPr>
      <w:spacing w:line="360" w:lineRule="auto"/>
      <w:ind w:firstLine="420" w:firstLineChars="200"/>
    </w:pPr>
    <w:rPr>
      <w:rFonts w:ascii="Calibri" w:hAnsi="Calibri" w:eastAsia="宋体" w:cs="Times New Roman"/>
    </w:rPr>
  </w:style>
  <w:style w:type="paragraph" w:customStyle="1" w:styleId="57">
    <w:name w:val="WPSOffice手动目录 3"/>
    <w:qFormat/>
    <w:uiPriority w:val="0"/>
    <w:pPr>
      <w:ind w:left="400" w:leftChars="400"/>
    </w:pPr>
    <w:rPr>
      <w:rFonts w:ascii="Calibri" w:hAnsi="Calibri" w:eastAsia="宋体" w:cs="Times New Roman"/>
      <w:lang w:val="en-US" w:eastAsia="zh-CN" w:bidi="ar-SA"/>
    </w:rPr>
  </w:style>
  <w:style w:type="paragraph" w:customStyle="1" w:styleId="58">
    <w:name w:val="列表段落1"/>
    <w:basedOn w:val="1"/>
    <w:qFormat/>
    <w:uiPriority w:val="0"/>
    <w:pPr>
      <w:ind w:firstLine="420" w:firstLineChars="200"/>
    </w:pPr>
    <w:rPr>
      <w:rFonts w:ascii="Times New Roman" w:hAnsi="Times New Roman" w:eastAsia="宋体" w:cs="Times New Roman"/>
      <w:szCs w:val="20"/>
    </w:rPr>
  </w:style>
  <w:style w:type="paragraph" w:customStyle="1" w:styleId="5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6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1">
    <w:name w:val="修订1"/>
    <w:semiHidden/>
    <w:qFormat/>
    <w:uiPriority w:val="99"/>
    <w:rPr>
      <w:rFonts w:ascii="宋体" w:hAnsi="Calibri" w:eastAsia="宋体" w:cs="Times New Roman"/>
      <w:sz w:val="24"/>
      <w:szCs w:val="24"/>
      <w:lang w:val="en-US" w:eastAsia="zh-CN" w:bidi="ar-SA"/>
    </w:rPr>
  </w:style>
  <w:style w:type="paragraph" w:customStyle="1" w:styleId="62">
    <w:name w:val="图/图注"/>
    <w:basedOn w:val="10"/>
    <w:qFormat/>
    <w:uiPriority w:val="0"/>
    <w:pPr>
      <w:wordWrap/>
      <w:adjustRightInd/>
      <w:spacing w:before="50"/>
      <w:ind w:firstLine="0" w:firstLineChars="0"/>
      <w:jc w:val="center"/>
    </w:pPr>
    <w:rPr>
      <w:rFonts w:ascii="Times New Roman" w:eastAsia="黑体"/>
      <w:b/>
      <w:sz w:val="21"/>
      <w:szCs w:val="22"/>
    </w:rPr>
  </w:style>
  <w:style w:type="paragraph" w:customStyle="1" w:styleId="6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6">
    <w:name w:val="p0"/>
    <w:basedOn w:val="1"/>
    <w:qFormat/>
    <w:uiPriority w:val="0"/>
    <w:pPr>
      <w:widowControl/>
    </w:pPr>
    <w:rPr>
      <w:rFonts w:ascii="Times New Roman" w:hAnsi="Calibri" w:eastAsia="宋体" w:cs="Times New Roman"/>
      <w:kern w:val="0"/>
      <w:szCs w:val="20"/>
    </w:rPr>
  </w:style>
  <w:style w:type="paragraph" w:customStyle="1" w:styleId="6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6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69">
    <w:name w:val="网格表 32"/>
    <w:basedOn w:val="4"/>
    <w:next w:val="1"/>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0">
    <w:name w:val="WPSOffice手动目录 1"/>
    <w:qFormat/>
    <w:uiPriority w:val="0"/>
    <w:rPr>
      <w:rFonts w:ascii="Calibri" w:hAnsi="Calibri" w:eastAsia="宋体" w:cs="Times New Roman"/>
      <w:lang w:val="en-US" w:eastAsia="zh-CN" w:bidi="ar-SA"/>
    </w:rPr>
  </w:style>
  <w:style w:type="paragraph" w:customStyle="1" w:styleId="71">
    <w:name w:val="_Style 69"/>
    <w:basedOn w:val="1"/>
    <w:next w:val="53"/>
    <w:qFormat/>
    <w:uiPriority w:val="34"/>
    <w:pPr>
      <w:spacing w:line="360" w:lineRule="auto"/>
      <w:ind w:firstLine="420" w:firstLineChars="200"/>
    </w:pPr>
    <w:rPr>
      <w:rFonts w:ascii="Calibri" w:hAnsi="Calibri" w:eastAsia="宋体" w:cs="Times New Roman"/>
    </w:rPr>
  </w:style>
  <w:style w:type="paragraph" w:customStyle="1" w:styleId="7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3">
    <w:name w:val="保留正文"/>
    <w:basedOn w:val="2"/>
    <w:qFormat/>
    <w:uiPriority w:val="0"/>
    <w:pPr>
      <w:keepNext/>
      <w:adjustRightInd/>
      <w:spacing w:after="160"/>
      <w:ind w:right="0"/>
      <w:jc w:val="both"/>
    </w:pPr>
    <w:rPr>
      <w:rFonts w:ascii="Times New Roman"/>
      <w:b w:val="0"/>
      <w:bCs w:val="0"/>
      <w:sz w:val="21"/>
      <w:szCs w:val="24"/>
      <w:lang w:val="en-US"/>
    </w:rPr>
  </w:style>
  <w:style w:type="paragraph" w:customStyle="1" w:styleId="74">
    <w:name w:val="彩色底纹 - 着色 11"/>
    <w:semiHidden/>
    <w:qFormat/>
    <w:uiPriority w:val="99"/>
    <w:rPr>
      <w:rFonts w:ascii="宋体" w:hAnsi="Calibri" w:eastAsia="宋体" w:cs="Times New Roman"/>
      <w:sz w:val="24"/>
      <w:szCs w:val="24"/>
      <w:lang w:val="en-US" w:eastAsia="zh-CN" w:bidi="ar-SA"/>
    </w:rPr>
  </w:style>
  <w:style w:type="paragraph" w:customStyle="1" w:styleId="75">
    <w:name w:val="WPSOffice手动目录 2"/>
    <w:qFormat/>
    <w:uiPriority w:val="0"/>
    <w:pPr>
      <w:ind w:left="200" w:leftChars="200"/>
    </w:pPr>
    <w:rPr>
      <w:rFonts w:ascii="Calibri" w:hAnsi="Calibri" w:eastAsia="宋体" w:cs="Times New Roman"/>
      <w:lang w:val="en-US" w:eastAsia="zh-CN" w:bidi="ar-SA"/>
    </w:rPr>
  </w:style>
  <w:style w:type="paragraph" w:customStyle="1" w:styleId="76">
    <w:name w:val="网格表 31"/>
    <w:basedOn w:val="4"/>
    <w:next w:val="1"/>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7">
    <w:name w:val="表格文字居中"/>
    <w:basedOn w:val="52"/>
    <w:qFormat/>
    <w:uiPriority w:val="0"/>
    <w:pPr>
      <w:jc w:val="center"/>
    </w:pPr>
    <w:rPr>
      <w:rFonts w:cs="宋体"/>
      <w:szCs w:val="20"/>
    </w:rPr>
  </w:style>
  <w:style w:type="paragraph" w:customStyle="1" w:styleId="78">
    <w:name w:val="正文缩进4格"/>
    <w:basedOn w:val="46"/>
    <w:qFormat/>
    <w:uiPriority w:val="0"/>
    <w:pPr>
      <w:spacing w:line="360" w:lineRule="auto"/>
      <w:ind w:left="964" w:leftChars="314" w:hanging="210" w:hangingChars="100"/>
    </w:pPr>
    <w:rPr>
      <w:rFonts w:ascii="宋体" w:eastAsia="宋体"/>
      <w:sz w:val="21"/>
      <w:szCs w:val="21"/>
      <w:lang w:val="zh-CN"/>
    </w:rPr>
  </w:style>
  <w:style w:type="paragraph" w:customStyle="1" w:styleId="7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80">
    <w:name w:val="修订2"/>
    <w:hidden/>
    <w:semiHidden/>
    <w:qFormat/>
    <w:uiPriority w:val="99"/>
    <w:rPr>
      <w:rFonts w:ascii="等线" w:hAnsi="等线" w:eastAsia="等线" w:cs="黑体"/>
      <w:kern w:val="2"/>
      <w:sz w:val="21"/>
      <w:szCs w:val="22"/>
      <w:lang w:val="en-US" w:eastAsia="zh-CN" w:bidi="ar-SA"/>
    </w:rPr>
  </w:style>
  <w:style w:type="paragraph" w:customStyle="1" w:styleId="81">
    <w:name w:val="_Style 80"/>
    <w:basedOn w:val="1"/>
    <w:qFormat/>
    <w:uiPriority w:val="34"/>
    <w:pPr>
      <w:adjustRightInd/>
      <w:ind w:firstLine="420" w:firstLineChars="200"/>
      <w:jc w:val="both"/>
    </w:pPr>
    <w:rPr>
      <w:rFonts w:ascii="Calibri" w:hAnsi="Calibri"/>
      <w:kern w:val="2"/>
      <w:sz w:val="21"/>
      <w:szCs w:val="22"/>
    </w:rPr>
  </w:style>
  <w:style w:type="paragraph" w:customStyle="1" w:styleId="82">
    <w:name w:val="样式 宋体 行距: 1.5 倍行距"/>
    <w:basedOn w:val="1"/>
    <w:qFormat/>
    <w:uiPriority w:val="0"/>
    <w:pPr>
      <w:jc w:val="center"/>
    </w:pPr>
    <w:rPr>
      <w:rFonts w:ascii="Times New Roman"/>
      <w:b/>
    </w:rPr>
  </w:style>
  <w:style w:type="paragraph" w:customStyle="1" w:styleId="83">
    <w:name w:val="文档正文"/>
    <w:basedOn w:val="1"/>
    <w:qFormat/>
    <w:uiPriority w:val="0"/>
    <w:pPr>
      <w:spacing w:line="360" w:lineRule="auto"/>
    </w:pPr>
    <w:rPr>
      <w:rFonts w:cs="Arial"/>
      <w:bCs/>
    </w:rPr>
  </w:style>
  <w:style w:type="character" w:customStyle="1" w:styleId="84">
    <w:name w:val="标题 1 字符"/>
    <w:basedOn w:val="38"/>
    <w:qFormat/>
    <w:uiPriority w:val="0"/>
    <w:rPr>
      <w:b/>
      <w:bCs/>
      <w:kern w:val="44"/>
      <w:sz w:val="44"/>
      <w:szCs w:val="44"/>
    </w:rPr>
  </w:style>
  <w:style w:type="character" w:customStyle="1" w:styleId="85">
    <w:name w:val="标题 2 Char"/>
    <w:basedOn w:val="38"/>
    <w:link w:val="5"/>
    <w:qFormat/>
    <w:uiPriority w:val="0"/>
    <w:rPr>
      <w:rFonts w:ascii="宋体" w:hAnsi="Calibri" w:eastAsia="宋体" w:cs="Times New Roman"/>
      <w:kern w:val="0"/>
      <w:sz w:val="24"/>
      <w:szCs w:val="24"/>
    </w:rPr>
  </w:style>
  <w:style w:type="character" w:customStyle="1" w:styleId="86">
    <w:name w:val="标题 3 字符"/>
    <w:basedOn w:val="38"/>
    <w:qFormat/>
    <w:uiPriority w:val="0"/>
    <w:rPr>
      <w:b/>
      <w:bCs/>
      <w:sz w:val="32"/>
      <w:szCs w:val="32"/>
    </w:rPr>
  </w:style>
  <w:style w:type="character" w:customStyle="1" w:styleId="87">
    <w:name w:val="标题 4 Char1"/>
    <w:basedOn w:val="38"/>
    <w:link w:val="7"/>
    <w:qFormat/>
    <w:uiPriority w:val="9"/>
    <w:rPr>
      <w:rFonts w:ascii="Arial" w:hAnsi="Arial" w:eastAsia="黑体" w:cs="Times New Roman"/>
      <w:b/>
      <w:bCs/>
      <w:kern w:val="0"/>
      <w:sz w:val="28"/>
      <w:szCs w:val="28"/>
    </w:rPr>
  </w:style>
  <w:style w:type="character" w:customStyle="1" w:styleId="88">
    <w:name w:val="标题 5 字符"/>
    <w:basedOn w:val="38"/>
    <w:qFormat/>
    <w:uiPriority w:val="9"/>
    <w:rPr>
      <w:b/>
      <w:bCs/>
      <w:sz w:val="28"/>
      <w:szCs w:val="28"/>
    </w:rPr>
  </w:style>
  <w:style w:type="character" w:customStyle="1" w:styleId="89">
    <w:name w:val="标题 6 字符"/>
    <w:basedOn w:val="38"/>
    <w:qFormat/>
    <w:uiPriority w:val="0"/>
    <w:rPr>
      <w:rFonts w:ascii="等线 Light" w:hAnsi="等线 Light" w:eastAsia="等线 Light" w:cs="黑体"/>
      <w:b/>
      <w:bCs/>
      <w:sz w:val="24"/>
      <w:szCs w:val="24"/>
    </w:rPr>
  </w:style>
  <w:style w:type="character" w:customStyle="1" w:styleId="90">
    <w:name w:val="标题 7 Char"/>
    <w:basedOn w:val="38"/>
    <w:link w:val="11"/>
    <w:qFormat/>
    <w:uiPriority w:val="9"/>
    <w:rPr>
      <w:rFonts w:ascii="Times New Roman" w:hAnsi="Calibri" w:eastAsia="黑体" w:cs="Times New Roman"/>
      <w:b/>
      <w:bCs/>
      <w:kern w:val="0"/>
      <w:sz w:val="28"/>
      <w:szCs w:val="24"/>
    </w:rPr>
  </w:style>
  <w:style w:type="character" w:customStyle="1" w:styleId="91">
    <w:name w:val="标题 8 Char"/>
    <w:basedOn w:val="38"/>
    <w:link w:val="12"/>
    <w:qFormat/>
    <w:uiPriority w:val="9"/>
    <w:rPr>
      <w:rFonts w:ascii="Times New Roman" w:hAnsi="Calibri" w:eastAsia="黑体" w:cs="Times New Roman"/>
      <w:b/>
      <w:kern w:val="0"/>
      <w:sz w:val="28"/>
      <w:szCs w:val="24"/>
    </w:rPr>
  </w:style>
  <w:style w:type="character" w:customStyle="1" w:styleId="92">
    <w:name w:val="标题 9 Char"/>
    <w:basedOn w:val="38"/>
    <w:link w:val="13"/>
    <w:qFormat/>
    <w:uiPriority w:val="9"/>
    <w:rPr>
      <w:rFonts w:ascii="Times New Roman" w:hAnsi="Calibri" w:eastAsia="黑体" w:cs="Times New Roman"/>
      <w:b/>
      <w:kern w:val="0"/>
      <w:sz w:val="28"/>
      <w:szCs w:val="24"/>
    </w:rPr>
  </w:style>
  <w:style w:type="character" w:customStyle="1" w:styleId="93">
    <w:name w:val="正文文本缩进 字符"/>
    <w:qFormat/>
    <w:uiPriority w:val="0"/>
    <w:rPr>
      <w:rFonts w:ascii="Times New Roman" w:hAnsi="Times New Roman" w:eastAsia="宋体" w:cs="Times New Roman"/>
      <w:szCs w:val="20"/>
    </w:rPr>
  </w:style>
  <w:style w:type="character" w:customStyle="1" w:styleId="94">
    <w:name w:val="普通(网站) Char"/>
    <w:qFormat/>
    <w:locked/>
    <w:uiPriority w:val="0"/>
    <w:rPr>
      <w:rFonts w:ascii="宋体" w:hAnsi="宋体"/>
      <w:sz w:val="15"/>
      <w:szCs w:val="15"/>
    </w:rPr>
  </w:style>
  <w:style w:type="character" w:customStyle="1" w:styleId="95">
    <w:name w:val="标题 Char"/>
    <w:link w:val="34"/>
    <w:qFormat/>
    <w:uiPriority w:val="10"/>
    <w:rPr>
      <w:rFonts w:ascii="等线 Light" w:hAnsi="等线 Light" w:eastAsia="仿宋"/>
      <w:b/>
      <w:bCs/>
      <w:sz w:val="28"/>
      <w:szCs w:val="32"/>
    </w:rPr>
  </w:style>
  <w:style w:type="character" w:customStyle="1" w:styleId="96">
    <w:name w:val="日期 Char"/>
    <w:semiHidden/>
    <w:qFormat/>
    <w:uiPriority w:val="99"/>
    <w:rPr>
      <w:kern w:val="2"/>
      <w:sz w:val="21"/>
    </w:rPr>
  </w:style>
  <w:style w:type="character" w:customStyle="1" w:styleId="97">
    <w:name w:val="文档结构图 字符1"/>
    <w:semiHidden/>
    <w:qFormat/>
    <w:uiPriority w:val="99"/>
    <w:rPr>
      <w:rFonts w:ascii="Microsoft YaHei UI" w:hAnsi="Calibri" w:eastAsia="Microsoft YaHei UI" w:cs="Times New Roman"/>
      <w:kern w:val="0"/>
      <w:sz w:val="18"/>
      <w:szCs w:val="18"/>
    </w:rPr>
  </w:style>
  <w:style w:type="character" w:customStyle="1" w:styleId="98">
    <w:name w:val="批注文字 Char"/>
    <w:semiHidden/>
    <w:qFormat/>
    <w:uiPriority w:val="99"/>
    <w:rPr>
      <w:kern w:val="2"/>
      <w:sz w:val="21"/>
    </w:rPr>
  </w:style>
  <w:style w:type="character" w:customStyle="1" w:styleId="99">
    <w:name w:val="正文缩进2格 Char"/>
    <w:link w:val="46"/>
    <w:qFormat/>
    <w:uiPriority w:val="0"/>
    <w:rPr>
      <w:rFonts w:ascii="仿宋_GB2312" w:hAnsi="宋体" w:eastAsia="仿宋_GB2312"/>
      <w:sz w:val="31"/>
      <w:szCs w:val="28"/>
    </w:rPr>
  </w:style>
  <w:style w:type="character" w:customStyle="1" w:styleId="100">
    <w:name w:val="批注文字 字符"/>
    <w:semiHidden/>
    <w:qFormat/>
    <w:uiPriority w:val="99"/>
    <w:rPr>
      <w:rFonts w:ascii="Times New Roman" w:hAnsi="Times New Roman"/>
      <w:kern w:val="2"/>
      <w:sz w:val="24"/>
      <w:szCs w:val="24"/>
    </w:rPr>
  </w:style>
  <w:style w:type="character" w:customStyle="1" w:styleId="101">
    <w:name w:val="正文文本缩进 Char"/>
    <w:qFormat/>
    <w:uiPriority w:val="0"/>
    <w:rPr>
      <w:rFonts w:ascii="Times New Roman" w:hAnsi="Times New Roman" w:eastAsia="宋体" w:cs="Times New Roman"/>
      <w:szCs w:val="20"/>
      <w:lang w:val="en-US" w:eastAsia="zh-CN"/>
    </w:rPr>
  </w:style>
  <w:style w:type="character" w:customStyle="1" w:styleId="102">
    <w:name w:val="批注框文本 字符1"/>
    <w:semiHidden/>
    <w:qFormat/>
    <w:uiPriority w:val="99"/>
    <w:rPr>
      <w:rFonts w:ascii="宋体" w:hAnsi="Calibri" w:eastAsia="宋体" w:cs="Times New Roman"/>
      <w:kern w:val="0"/>
      <w:sz w:val="18"/>
      <w:szCs w:val="18"/>
    </w:rPr>
  </w:style>
  <w:style w:type="character" w:customStyle="1" w:styleId="103">
    <w:name w:val="List Paragraph Char"/>
    <w:link w:val="47"/>
    <w:qFormat/>
    <w:uiPriority w:val="34"/>
    <w:rPr>
      <w:rFonts w:ascii="Calibri" w:hAnsi="Calibri"/>
    </w:rPr>
  </w:style>
  <w:style w:type="character" w:customStyle="1" w:styleId="104">
    <w:name w:val="标书正文 字符"/>
    <w:link w:val="48"/>
    <w:qFormat/>
    <w:uiPriority w:val="0"/>
    <w:rPr>
      <w:rFonts w:ascii="Calibri" w:hAnsi="Calibri" w:eastAsia="仿宋"/>
      <w:sz w:val="24"/>
      <w:szCs w:val="21"/>
    </w:rPr>
  </w:style>
  <w:style w:type="character" w:customStyle="1" w:styleId="105">
    <w:name w:val="正文文本 字符"/>
    <w:semiHidden/>
    <w:qFormat/>
    <w:uiPriority w:val="99"/>
    <w:rPr>
      <w:rFonts w:ascii="Times New Roman" w:hAnsi="Times New Roman"/>
      <w:kern w:val="2"/>
      <w:sz w:val="24"/>
      <w:szCs w:val="24"/>
    </w:rPr>
  </w:style>
  <w:style w:type="character" w:customStyle="1" w:styleId="106">
    <w:name w:val="页脚 Char"/>
    <w:qFormat/>
    <w:uiPriority w:val="0"/>
    <w:rPr>
      <w:kern w:val="2"/>
      <w:sz w:val="18"/>
      <w:szCs w:val="18"/>
    </w:rPr>
  </w:style>
  <w:style w:type="character" w:customStyle="1" w:styleId="107">
    <w:name w:val="neir1"/>
    <w:qFormat/>
    <w:uiPriority w:val="0"/>
    <w:rPr>
      <w:rFonts w:hint="default" w:ascii="ˎ̥" w:hAnsi="ˎ̥"/>
      <w:color w:val="333333"/>
      <w:sz w:val="21"/>
      <w:szCs w:val="21"/>
      <w:u w:val="none"/>
    </w:rPr>
  </w:style>
  <w:style w:type="character" w:customStyle="1" w:styleId="108">
    <w:name w:val="批注框文本 Char1"/>
    <w:link w:val="25"/>
    <w:qFormat/>
    <w:uiPriority w:val="0"/>
    <w:rPr>
      <w:rFonts w:ascii="Times New Roman" w:hAnsi="Times New Roman" w:eastAsia="宋体" w:cs="Times New Roman"/>
      <w:sz w:val="18"/>
      <w:szCs w:val="18"/>
    </w:rPr>
  </w:style>
  <w:style w:type="character" w:customStyle="1" w:styleId="109">
    <w:name w:val="正文文本 3 字符1"/>
    <w:semiHidden/>
    <w:qFormat/>
    <w:uiPriority w:val="99"/>
    <w:rPr>
      <w:rFonts w:ascii="宋体" w:hAnsi="Calibri" w:eastAsia="宋体" w:cs="Times New Roman"/>
      <w:kern w:val="0"/>
      <w:sz w:val="16"/>
      <w:szCs w:val="16"/>
    </w:rPr>
  </w:style>
  <w:style w:type="character" w:customStyle="1" w:styleId="110">
    <w:name w:val="正文文本 字符3"/>
    <w:semiHidden/>
    <w:qFormat/>
    <w:uiPriority w:val="99"/>
    <w:rPr>
      <w:rFonts w:ascii="宋体" w:hAnsi="Calibri" w:eastAsia="宋体" w:cs="Times New Roman"/>
      <w:kern w:val="0"/>
      <w:sz w:val="24"/>
      <w:szCs w:val="24"/>
    </w:rPr>
  </w:style>
  <w:style w:type="character" w:customStyle="1" w:styleId="111">
    <w:name w:val="日期 字符1"/>
    <w:semiHidden/>
    <w:qFormat/>
    <w:uiPriority w:val="99"/>
    <w:rPr>
      <w:rFonts w:ascii="宋体" w:hAnsi="Calibri" w:eastAsia="宋体" w:cs="Times New Roman"/>
      <w:kern w:val="0"/>
      <w:sz w:val="24"/>
      <w:szCs w:val="24"/>
    </w:rPr>
  </w:style>
  <w:style w:type="character" w:customStyle="1" w:styleId="112">
    <w:name w:val="页脚 Char2"/>
    <w:link w:val="26"/>
    <w:qFormat/>
    <w:uiPriority w:val="99"/>
    <w:rPr>
      <w:rFonts w:ascii="宋体" w:eastAsia="宋体"/>
      <w:sz w:val="18"/>
      <w:szCs w:val="18"/>
    </w:rPr>
  </w:style>
  <w:style w:type="character" w:customStyle="1" w:styleId="113">
    <w:name w:val="吉奥正文 Char"/>
    <w:link w:val="49"/>
    <w:qFormat/>
    <w:locked/>
    <w:uiPriority w:val="0"/>
    <w:rPr>
      <w:rFonts w:eastAsia="仿宋_GB2312"/>
      <w:sz w:val="28"/>
    </w:rPr>
  </w:style>
  <w:style w:type="character" w:customStyle="1" w:styleId="114">
    <w:name w:val="页脚 Char1"/>
    <w:qFormat/>
    <w:uiPriority w:val="99"/>
    <w:rPr>
      <w:rFonts w:ascii="宋体" w:hAnsi="Times New Roman" w:eastAsia="宋体" w:cs="Times New Roman"/>
      <w:kern w:val="0"/>
      <w:sz w:val="18"/>
      <w:szCs w:val="18"/>
    </w:rPr>
  </w:style>
  <w:style w:type="character" w:customStyle="1" w:styleId="115">
    <w:name w:val="标题 字符"/>
    <w:qFormat/>
    <w:uiPriority w:val="10"/>
    <w:rPr>
      <w:rFonts w:ascii="Cambria" w:hAnsi="Cambria" w:eastAsia="宋体" w:cs="Times New Roman"/>
      <w:b/>
      <w:bCs/>
      <w:kern w:val="0"/>
      <w:sz w:val="32"/>
      <w:szCs w:val="32"/>
      <w:lang w:val="en-US" w:eastAsia="zh-CN"/>
    </w:rPr>
  </w:style>
  <w:style w:type="character" w:customStyle="1" w:styleId="116">
    <w:name w:val="题注 Char"/>
    <w:link w:val="15"/>
    <w:qFormat/>
    <w:uiPriority w:val="0"/>
    <w:rPr>
      <w:rFonts w:ascii="Arial" w:hAnsi="Arial" w:eastAsia="黑体" w:cs="Arial"/>
    </w:rPr>
  </w:style>
  <w:style w:type="character" w:customStyle="1" w:styleId="117">
    <w:name w:val="批注文字 字符2"/>
    <w:qFormat/>
    <w:uiPriority w:val="99"/>
    <w:rPr>
      <w:rFonts w:ascii="宋体" w:hAnsi="Times New Roman" w:eastAsia="宋体" w:cs="Times New Roman"/>
      <w:kern w:val="0"/>
      <w:sz w:val="24"/>
      <w:szCs w:val="24"/>
    </w:rPr>
  </w:style>
  <w:style w:type="character" w:customStyle="1" w:styleId="118">
    <w:name w:val="批注主题 字符1"/>
    <w:semiHidden/>
    <w:qFormat/>
    <w:uiPriority w:val="99"/>
    <w:rPr>
      <w:rFonts w:ascii="宋体" w:hAnsi="Calibri" w:eastAsia="宋体" w:cs="Times New Roman"/>
      <w:b/>
      <w:bCs/>
      <w:kern w:val="0"/>
      <w:sz w:val="24"/>
      <w:szCs w:val="24"/>
    </w:rPr>
  </w:style>
  <w:style w:type="character" w:customStyle="1" w:styleId="119">
    <w:name w:val="HTML 预设格式 Char"/>
    <w:link w:val="32"/>
    <w:qFormat/>
    <w:uiPriority w:val="99"/>
    <w:rPr>
      <w:rFonts w:ascii="Arial" w:hAnsi="Arial" w:eastAsia="宋体" w:cs="Arial"/>
      <w:szCs w:val="21"/>
    </w:rPr>
  </w:style>
  <w:style w:type="character" w:customStyle="1" w:styleId="120">
    <w:name w:val="标题 3.1 Char"/>
    <w:link w:val="50"/>
    <w:qFormat/>
    <w:uiPriority w:val="0"/>
    <w:rPr>
      <w:rFonts w:ascii="宋体" w:hAnsi="宋体"/>
      <w:b/>
      <w:bCs/>
      <w:sz w:val="32"/>
      <w:szCs w:val="32"/>
    </w:rPr>
  </w:style>
  <w:style w:type="character" w:customStyle="1" w:styleId="121">
    <w:name w:val="HTML 预设格式 Char1"/>
    <w:semiHidden/>
    <w:qFormat/>
    <w:uiPriority w:val="99"/>
    <w:rPr>
      <w:rFonts w:ascii="Courier New" w:hAnsi="Courier New" w:eastAsia="宋体" w:cs="Courier New"/>
      <w:kern w:val="0"/>
      <w:sz w:val="20"/>
      <w:szCs w:val="20"/>
    </w:rPr>
  </w:style>
  <w:style w:type="character" w:customStyle="1" w:styleId="122">
    <w:name w:val="批注文字 字符1"/>
    <w:qFormat/>
    <w:uiPriority w:val="0"/>
    <w:rPr>
      <w:rFonts w:eastAsia="宋体"/>
      <w:kern w:val="2"/>
      <w:sz w:val="24"/>
      <w:szCs w:val="24"/>
      <w:lang w:val="en-US" w:eastAsia="zh-CN" w:bidi="ar-SA"/>
    </w:rPr>
  </w:style>
  <w:style w:type="character" w:customStyle="1" w:styleId="123">
    <w:name w:val="正文文本缩进 字符2"/>
    <w:semiHidden/>
    <w:qFormat/>
    <w:uiPriority w:val="99"/>
    <w:rPr>
      <w:rFonts w:ascii="宋体" w:hAnsi="Calibri" w:eastAsia="宋体" w:cs="Times New Roman"/>
      <w:kern w:val="0"/>
      <w:sz w:val="24"/>
      <w:szCs w:val="24"/>
    </w:rPr>
  </w:style>
  <w:style w:type="character" w:customStyle="1" w:styleId="124">
    <w:name w:val="正文文本缩进 Char1"/>
    <w:link w:val="20"/>
    <w:qFormat/>
    <w:uiPriority w:val="0"/>
    <w:rPr>
      <w:rFonts w:ascii="Times New Roman" w:hAnsi="Times New Roman" w:eastAsia="宋体" w:cs="Times New Roman"/>
      <w:szCs w:val="20"/>
    </w:rPr>
  </w:style>
  <w:style w:type="character" w:customStyle="1" w:styleId="125">
    <w:name w:val="普通(网站) Char1"/>
    <w:link w:val="33"/>
    <w:qFormat/>
    <w:locked/>
    <w:uiPriority w:val="0"/>
    <w:rPr>
      <w:rFonts w:ascii="宋体" w:hAnsi="宋体"/>
      <w:sz w:val="15"/>
      <w:szCs w:val="15"/>
    </w:rPr>
  </w:style>
  <w:style w:type="character" w:customStyle="1" w:styleId="126">
    <w:name w:val="模板正文 Char"/>
    <w:link w:val="10"/>
    <w:qFormat/>
    <w:uiPriority w:val="0"/>
    <w:rPr>
      <w:rFonts w:ascii="宋体" w:eastAsia="仿宋"/>
      <w:sz w:val="24"/>
      <w:szCs w:val="21"/>
    </w:rPr>
  </w:style>
  <w:style w:type="character" w:customStyle="1" w:styleId="127">
    <w:name w:val="批注主题 Char"/>
    <w:semiHidden/>
    <w:qFormat/>
    <w:uiPriority w:val="99"/>
    <w:rPr>
      <w:b/>
      <w:bCs/>
      <w:kern w:val="2"/>
      <w:sz w:val="21"/>
    </w:rPr>
  </w:style>
  <w:style w:type="character" w:customStyle="1" w:styleId="128">
    <w:name w:val="正文文本 Char1"/>
    <w:qFormat/>
    <w:uiPriority w:val="0"/>
    <w:rPr>
      <w:rFonts w:ascii="宋体" w:hAnsi="Times New Roman" w:eastAsia="宋体" w:cs="Times New Roman"/>
      <w:kern w:val="0"/>
      <w:sz w:val="24"/>
      <w:szCs w:val="24"/>
    </w:rPr>
  </w:style>
  <w:style w:type="character" w:customStyle="1" w:styleId="129">
    <w:name w:val="正文文本 字符1"/>
    <w:qFormat/>
    <w:uiPriority w:val="99"/>
    <w:rPr>
      <w:rFonts w:ascii="宋体" w:eastAsia="宋体"/>
      <w:b/>
      <w:bCs/>
      <w:sz w:val="84"/>
      <w:szCs w:val="84"/>
      <w:lang w:val="zh-CN"/>
    </w:rPr>
  </w:style>
  <w:style w:type="character" w:customStyle="1" w:styleId="130">
    <w:name w:val="标题 1 Char"/>
    <w:qFormat/>
    <w:uiPriority w:val="9"/>
    <w:rPr>
      <w:rFonts w:ascii="宋体" w:hAnsi="Times New Roman" w:eastAsia="宋体" w:cs="Times New Roman"/>
      <w:kern w:val="0"/>
      <w:sz w:val="24"/>
      <w:szCs w:val="24"/>
    </w:rPr>
  </w:style>
  <w:style w:type="character" w:customStyle="1" w:styleId="131">
    <w:name w:val="正文文本 Char2"/>
    <w:qFormat/>
    <w:uiPriority w:val="99"/>
    <w:rPr>
      <w:rFonts w:ascii="宋体" w:eastAsia="宋体"/>
      <w:b/>
      <w:bCs/>
      <w:sz w:val="84"/>
      <w:szCs w:val="84"/>
      <w:lang w:val="zh-CN"/>
    </w:rPr>
  </w:style>
  <w:style w:type="character" w:customStyle="1" w:styleId="132">
    <w:name w:val="纯文本 Char2"/>
    <w:link w:val="22"/>
    <w:qFormat/>
    <w:uiPriority w:val="0"/>
    <w:rPr>
      <w:rFonts w:ascii="宋体" w:hAnsi="Courier New" w:eastAsia="宋体"/>
    </w:rPr>
  </w:style>
  <w:style w:type="character" w:customStyle="1" w:styleId="133">
    <w:name w:val="正文文本缩进 2 Char"/>
    <w:link w:val="24"/>
    <w:qFormat/>
    <w:uiPriority w:val="0"/>
    <w:rPr>
      <w:rFonts w:ascii="宋体" w:hAnsi="Times New Roman" w:eastAsia="宋体" w:cs="Times New Roman"/>
      <w:szCs w:val="20"/>
    </w:rPr>
  </w:style>
  <w:style w:type="character" w:customStyle="1" w:styleId="134">
    <w:name w:val="HTML Markup"/>
    <w:qFormat/>
    <w:uiPriority w:val="0"/>
    <w:rPr>
      <w:vanish/>
      <w:color w:val="FF0000"/>
    </w:rPr>
  </w:style>
  <w:style w:type="character" w:customStyle="1" w:styleId="135">
    <w:name w:val="页眉 Char1"/>
    <w:qFormat/>
    <w:uiPriority w:val="0"/>
    <w:rPr>
      <w:rFonts w:ascii="宋体" w:hAnsi="Times New Roman" w:eastAsia="宋体" w:cs="Times New Roman"/>
      <w:kern w:val="0"/>
      <w:sz w:val="18"/>
      <w:szCs w:val="18"/>
    </w:rPr>
  </w:style>
  <w:style w:type="character" w:customStyle="1" w:styleId="136">
    <w:name w:val="font11"/>
    <w:qFormat/>
    <w:uiPriority w:val="0"/>
    <w:rPr>
      <w:rFonts w:hint="eastAsia" w:ascii="宋体" w:hAnsi="宋体" w:eastAsia="宋体" w:cs="宋体"/>
      <w:color w:val="FF0000"/>
      <w:sz w:val="22"/>
      <w:szCs w:val="22"/>
      <w:u w:val="none"/>
    </w:rPr>
  </w:style>
  <w:style w:type="character" w:customStyle="1" w:styleId="137">
    <w:name w:val="style61"/>
    <w:qFormat/>
    <w:uiPriority w:val="0"/>
    <w:rPr>
      <w:b/>
      <w:bCs/>
    </w:rPr>
  </w:style>
  <w:style w:type="character" w:customStyle="1" w:styleId="138">
    <w:name w:val="表头文字 Char"/>
    <w:link w:val="51"/>
    <w:qFormat/>
    <w:uiPriority w:val="0"/>
    <w:rPr>
      <w:rFonts w:eastAsia="仿宋_GB2312"/>
      <w:b/>
      <w:sz w:val="28"/>
      <w:szCs w:val="21"/>
    </w:rPr>
  </w:style>
  <w:style w:type="character" w:customStyle="1" w:styleId="139">
    <w:name w:val="日期 Char1"/>
    <w:link w:val="23"/>
    <w:qFormat/>
    <w:uiPriority w:val="99"/>
    <w:rPr>
      <w:rFonts w:ascii="宋体" w:hAnsi="Times New Roman" w:eastAsia="宋体" w:cs="Times New Roman"/>
      <w:b/>
      <w:bCs/>
      <w:szCs w:val="21"/>
      <w:lang w:val="zh-CN"/>
    </w:rPr>
  </w:style>
  <w:style w:type="character" w:customStyle="1" w:styleId="140">
    <w:name w:val="纯文本 Char1"/>
    <w:qFormat/>
    <w:uiPriority w:val="0"/>
    <w:rPr>
      <w:rFonts w:ascii="宋体" w:hAnsi="Courier New" w:eastAsia="宋体" w:cs="Courier New"/>
      <w:kern w:val="0"/>
      <w:szCs w:val="21"/>
    </w:rPr>
  </w:style>
  <w:style w:type="character" w:customStyle="1" w:styleId="141">
    <w:name w:val="批注主题 Char1"/>
    <w:link w:val="35"/>
    <w:qFormat/>
    <w:uiPriority w:val="99"/>
    <w:rPr>
      <w:rFonts w:ascii="宋体" w:hAnsi="Times New Roman" w:eastAsia="宋体" w:cs="Times New Roman"/>
      <w:b/>
      <w:bCs/>
      <w:kern w:val="0"/>
      <w:sz w:val="24"/>
      <w:szCs w:val="24"/>
    </w:rPr>
  </w:style>
  <w:style w:type="character" w:customStyle="1" w:styleId="142">
    <w:name w:val="纯文本 字符"/>
    <w:qFormat/>
    <w:uiPriority w:val="99"/>
    <w:rPr>
      <w:rFonts w:ascii="宋体" w:hAnsi="Courier New" w:eastAsia="宋体" w:cs="Times New Roman"/>
      <w:szCs w:val="20"/>
      <w:lang w:val="en-US" w:eastAsia="zh-CN"/>
    </w:rPr>
  </w:style>
  <w:style w:type="character" w:customStyle="1" w:styleId="143">
    <w:name w:val="font71"/>
    <w:qFormat/>
    <w:uiPriority w:val="0"/>
    <w:rPr>
      <w:rFonts w:hint="eastAsia" w:ascii="宋体" w:hAnsi="宋体" w:eastAsia="宋体" w:cs="宋体"/>
      <w:color w:val="FF0000"/>
      <w:sz w:val="18"/>
      <w:szCs w:val="18"/>
      <w:u w:val="none"/>
    </w:rPr>
  </w:style>
  <w:style w:type="character" w:customStyle="1" w:styleId="144">
    <w:name w:val="font21"/>
    <w:qFormat/>
    <w:uiPriority w:val="0"/>
    <w:rPr>
      <w:rFonts w:hint="eastAsia" w:ascii="宋体" w:hAnsi="宋体" w:eastAsia="宋体" w:cs="宋体"/>
      <w:b/>
      <w:color w:val="000000"/>
      <w:sz w:val="21"/>
      <w:szCs w:val="21"/>
      <w:u w:val="none"/>
    </w:rPr>
  </w:style>
  <w:style w:type="character" w:customStyle="1" w:styleId="145">
    <w:name w:val="纯文本 字符3"/>
    <w:semiHidden/>
    <w:qFormat/>
    <w:uiPriority w:val="99"/>
    <w:rPr>
      <w:rFonts w:ascii="等线" w:hAnsi="Courier New" w:cs="Courier New"/>
      <w:kern w:val="0"/>
      <w:sz w:val="24"/>
      <w:szCs w:val="24"/>
    </w:rPr>
  </w:style>
  <w:style w:type="character" w:customStyle="1" w:styleId="146">
    <w:name w:val="font31"/>
    <w:qFormat/>
    <w:uiPriority w:val="0"/>
    <w:rPr>
      <w:rFonts w:hint="eastAsia" w:ascii="宋体" w:hAnsi="宋体" w:eastAsia="宋体" w:cs="宋体"/>
      <w:color w:val="000000"/>
      <w:sz w:val="18"/>
      <w:szCs w:val="18"/>
      <w:u w:val="none"/>
    </w:rPr>
  </w:style>
  <w:style w:type="character" w:customStyle="1" w:styleId="147">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48">
    <w:name w:val="普通(网站) 字符1"/>
    <w:qFormat/>
    <w:locked/>
    <w:uiPriority w:val="0"/>
    <w:rPr>
      <w:rFonts w:ascii="宋体" w:hAnsi="宋体"/>
      <w:sz w:val="15"/>
      <w:szCs w:val="15"/>
    </w:rPr>
  </w:style>
  <w:style w:type="character" w:customStyle="1" w:styleId="149">
    <w:name w:val="正文文本 Char3"/>
    <w:link w:val="2"/>
    <w:qFormat/>
    <w:uiPriority w:val="99"/>
    <w:rPr>
      <w:rFonts w:ascii="宋体" w:eastAsia="宋体"/>
      <w:b/>
      <w:bCs/>
      <w:sz w:val="84"/>
      <w:szCs w:val="84"/>
      <w:lang w:val="zh-CN"/>
    </w:rPr>
  </w:style>
  <w:style w:type="character" w:customStyle="1" w:styleId="150">
    <w:name w:val="标题 5 Char"/>
    <w:semiHidden/>
    <w:qFormat/>
    <w:uiPriority w:val="9"/>
    <w:rPr>
      <w:b/>
      <w:bCs/>
      <w:kern w:val="2"/>
      <w:sz w:val="28"/>
      <w:szCs w:val="28"/>
    </w:rPr>
  </w:style>
  <w:style w:type="character" w:customStyle="1" w:styleId="151">
    <w:name w:val="页眉 Char2"/>
    <w:link w:val="27"/>
    <w:qFormat/>
    <w:uiPriority w:val="99"/>
    <w:rPr>
      <w:rFonts w:ascii="宋体" w:eastAsia="宋体"/>
      <w:sz w:val="18"/>
      <w:szCs w:val="18"/>
    </w:rPr>
  </w:style>
  <w:style w:type="character" w:customStyle="1" w:styleId="152">
    <w:name w:val="表格文字 Char"/>
    <w:link w:val="52"/>
    <w:qFormat/>
    <w:uiPriority w:val="0"/>
    <w:rPr>
      <w:rFonts w:eastAsia="仿宋_GB2312"/>
      <w:sz w:val="28"/>
      <w:szCs w:val="24"/>
    </w:rPr>
  </w:style>
  <w:style w:type="character" w:customStyle="1" w:styleId="153">
    <w:name w:val="标题 字符2"/>
    <w:qFormat/>
    <w:uiPriority w:val="10"/>
    <w:rPr>
      <w:rFonts w:ascii="等线 Light" w:hAnsi="等线 Light" w:eastAsia="等线 Light" w:cs="Times New Roman"/>
      <w:b/>
      <w:bCs/>
      <w:kern w:val="0"/>
      <w:sz w:val="32"/>
      <w:szCs w:val="32"/>
    </w:rPr>
  </w:style>
  <w:style w:type="character" w:customStyle="1" w:styleId="154">
    <w:name w:val="正文缩进2格 Char Char"/>
    <w:qFormat/>
    <w:uiPriority w:val="0"/>
    <w:rPr>
      <w:rFonts w:ascii="仿宋_GB2312" w:hAnsi="宋体" w:eastAsia="仿宋_GB2312"/>
      <w:kern w:val="2"/>
      <w:sz w:val="31"/>
      <w:szCs w:val="28"/>
      <w:lang w:val="en-US" w:eastAsia="zh-CN" w:bidi="ar-SA"/>
    </w:rPr>
  </w:style>
  <w:style w:type="character" w:customStyle="1" w:styleId="155">
    <w:name w:val="小 Char"/>
    <w:qFormat/>
    <w:uiPriority w:val="0"/>
    <w:rPr>
      <w:rFonts w:ascii="宋体" w:hAnsi="Courier New" w:eastAsia="宋体"/>
      <w:kern w:val="2"/>
      <w:sz w:val="21"/>
      <w:lang w:val="en-US" w:eastAsia="zh-CN" w:bidi="ar-SA"/>
    </w:rPr>
  </w:style>
  <w:style w:type="character" w:customStyle="1" w:styleId="156">
    <w:name w:val="themebody1"/>
    <w:qFormat/>
    <w:uiPriority w:val="0"/>
    <w:rPr>
      <w:color w:val="FFFFFF"/>
    </w:rPr>
  </w:style>
  <w:style w:type="character" w:customStyle="1" w:styleId="157">
    <w:name w:val="页脚 字符1"/>
    <w:semiHidden/>
    <w:qFormat/>
    <w:uiPriority w:val="99"/>
    <w:rPr>
      <w:rFonts w:ascii="宋体" w:hAnsi="Calibri" w:eastAsia="宋体" w:cs="Times New Roman"/>
      <w:kern w:val="0"/>
      <w:sz w:val="18"/>
      <w:szCs w:val="18"/>
    </w:rPr>
  </w:style>
  <w:style w:type="character" w:customStyle="1" w:styleId="158">
    <w:name w:val="列出段落 Char"/>
    <w:link w:val="53"/>
    <w:qFormat/>
    <w:uiPriority w:val="34"/>
    <w:rPr>
      <w:kern w:val="2"/>
      <w:sz w:val="21"/>
      <w:szCs w:val="22"/>
    </w:rPr>
  </w:style>
  <w:style w:type="character" w:customStyle="1" w:styleId="159">
    <w:name w:val="正文文本 Char"/>
    <w:qFormat/>
    <w:uiPriority w:val="99"/>
    <w:rPr>
      <w:rFonts w:ascii="宋体" w:eastAsia="宋体"/>
      <w:b/>
      <w:bCs/>
      <w:sz w:val="84"/>
      <w:szCs w:val="84"/>
      <w:lang w:val="zh-CN"/>
    </w:rPr>
  </w:style>
  <w:style w:type="character" w:customStyle="1" w:styleId="160">
    <w:name w:val="页眉 字符1"/>
    <w:semiHidden/>
    <w:qFormat/>
    <w:uiPriority w:val="99"/>
    <w:rPr>
      <w:rFonts w:ascii="宋体" w:hAnsi="Calibri" w:eastAsia="宋体" w:cs="Times New Roman"/>
      <w:kern w:val="0"/>
      <w:sz w:val="18"/>
      <w:szCs w:val="18"/>
    </w:rPr>
  </w:style>
  <w:style w:type="character" w:customStyle="1" w:styleId="161">
    <w:name w:val="标题 5 Char1"/>
    <w:link w:val="8"/>
    <w:qFormat/>
    <w:uiPriority w:val="9"/>
    <w:rPr>
      <w:rFonts w:ascii="宋体" w:hAnsi="Calibri" w:eastAsia="宋体" w:cs="Times New Roman"/>
      <w:b/>
      <w:bCs/>
      <w:kern w:val="0"/>
      <w:sz w:val="28"/>
      <w:szCs w:val="28"/>
    </w:rPr>
  </w:style>
  <w:style w:type="character" w:customStyle="1" w:styleId="162">
    <w:name w:val="keyfeatures1"/>
    <w:qFormat/>
    <w:uiPriority w:val="0"/>
    <w:rPr>
      <w:rFonts w:hint="default" w:ascii="Arial" w:hAnsi="Arial" w:cs="Arial"/>
      <w:color w:val="003366"/>
      <w:sz w:val="17"/>
      <w:szCs w:val="17"/>
      <w:u w:val="none"/>
    </w:rPr>
  </w:style>
  <w:style w:type="character" w:customStyle="1" w:styleId="163">
    <w:name w:val="题注 字符"/>
    <w:qFormat/>
    <w:uiPriority w:val="0"/>
    <w:rPr>
      <w:rFonts w:ascii="宋体" w:hAnsi="宋体" w:eastAsia="黑体" w:cs="Times New Roman"/>
      <w:b/>
      <w:szCs w:val="21"/>
    </w:rPr>
  </w:style>
  <w:style w:type="character" w:customStyle="1" w:styleId="164">
    <w:name w:val="标题 4 Char"/>
    <w:qFormat/>
    <w:uiPriority w:val="0"/>
    <w:rPr>
      <w:rFonts w:ascii="宋体" w:hAnsi="宋体" w:eastAsia="宋体"/>
      <w:b/>
      <w:kern w:val="2"/>
      <w:sz w:val="21"/>
      <w:szCs w:val="24"/>
      <w:lang w:val="en-US" w:eastAsia="zh-CN" w:bidi="ar-SA"/>
    </w:rPr>
  </w:style>
  <w:style w:type="character" w:customStyle="1" w:styleId="165">
    <w:name w:val="批注文字 字符3"/>
    <w:semiHidden/>
    <w:qFormat/>
    <w:uiPriority w:val="99"/>
    <w:rPr>
      <w:rFonts w:ascii="宋体" w:hAnsi="Calibri" w:eastAsia="宋体" w:cs="Times New Roman"/>
      <w:kern w:val="0"/>
      <w:sz w:val="24"/>
      <w:szCs w:val="24"/>
    </w:rPr>
  </w:style>
  <w:style w:type="character" w:customStyle="1" w:styleId="166">
    <w:name w:val="纯文本 字符1"/>
    <w:qFormat/>
    <w:uiPriority w:val="0"/>
    <w:rPr>
      <w:rFonts w:ascii="宋体" w:hAnsi="Courier New" w:eastAsia="宋体"/>
      <w:kern w:val="2"/>
      <w:sz w:val="21"/>
      <w:szCs w:val="24"/>
      <w:lang w:val="en-US" w:eastAsia="zh-CN" w:bidi="ar-SA"/>
    </w:rPr>
  </w:style>
  <w:style w:type="character" w:customStyle="1" w:styleId="167">
    <w:name w:val="列出段落 Char1"/>
    <w:qFormat/>
    <w:uiPriority w:val="34"/>
    <w:rPr>
      <w:rFonts w:ascii="宋体"/>
      <w:sz w:val="24"/>
      <w:szCs w:val="24"/>
    </w:rPr>
  </w:style>
  <w:style w:type="character" w:customStyle="1" w:styleId="168">
    <w:name w:val="彩色列表 - 着色 1 字符"/>
    <w:link w:val="54"/>
    <w:qFormat/>
    <w:uiPriority w:val="0"/>
    <w:rPr>
      <w:rFonts w:ascii="Calibri" w:hAnsi="Calibri"/>
    </w:rPr>
  </w:style>
  <w:style w:type="character" w:customStyle="1" w:styleId="169">
    <w:name w:val="纯文本 Char"/>
    <w:qFormat/>
    <w:uiPriority w:val="0"/>
    <w:rPr>
      <w:rFonts w:ascii="宋体" w:hAnsi="Courier New" w:eastAsia="宋体" w:cs="Times New Roman"/>
      <w:szCs w:val="20"/>
    </w:rPr>
  </w:style>
  <w:style w:type="character" w:customStyle="1" w:styleId="170">
    <w:name w:val="标题 6 Char"/>
    <w:link w:val="9"/>
    <w:qFormat/>
    <w:uiPriority w:val="9"/>
    <w:rPr>
      <w:rFonts w:ascii="Times New Roman" w:hAnsi="Calibri" w:eastAsia="黑体" w:cs="Times New Roman"/>
      <w:b/>
      <w:bCs/>
      <w:kern w:val="0"/>
      <w:sz w:val="28"/>
      <w:szCs w:val="24"/>
    </w:rPr>
  </w:style>
  <w:style w:type="character" w:customStyle="1" w:styleId="171">
    <w:name w:val="正文文本 2 Char"/>
    <w:link w:val="31"/>
    <w:qFormat/>
    <w:uiPriority w:val="0"/>
    <w:rPr>
      <w:rFonts w:ascii="Arial" w:hAnsi="Arial" w:eastAsia="宋体" w:cs="Times New Roman"/>
      <w:color w:val="000000"/>
      <w:szCs w:val="24"/>
    </w:rPr>
  </w:style>
  <w:style w:type="character" w:customStyle="1" w:styleId="172">
    <w:name w:val="标题 3 Char"/>
    <w:link w:val="6"/>
    <w:qFormat/>
    <w:uiPriority w:val="0"/>
    <w:rPr>
      <w:rFonts w:ascii="宋体" w:hAnsi="Calibri" w:eastAsia="宋体" w:cs="Times New Roman"/>
      <w:kern w:val="0"/>
      <w:sz w:val="24"/>
      <w:szCs w:val="24"/>
    </w:rPr>
  </w:style>
  <w:style w:type="character" w:customStyle="1" w:styleId="173">
    <w:name w:val="正文文本缩进 2 字符1"/>
    <w:semiHidden/>
    <w:qFormat/>
    <w:uiPriority w:val="99"/>
    <w:rPr>
      <w:rFonts w:ascii="宋体" w:hAnsi="Calibri" w:eastAsia="宋体" w:cs="Times New Roman"/>
      <w:kern w:val="0"/>
      <w:sz w:val="24"/>
      <w:szCs w:val="24"/>
    </w:rPr>
  </w:style>
  <w:style w:type="character" w:customStyle="1" w:styleId="174">
    <w:name w:val="正文文本缩进 3 字符1"/>
    <w:semiHidden/>
    <w:qFormat/>
    <w:uiPriority w:val="99"/>
    <w:rPr>
      <w:rFonts w:ascii="宋体" w:hAnsi="Calibri" w:eastAsia="宋体" w:cs="Times New Roman"/>
      <w:kern w:val="0"/>
      <w:sz w:val="16"/>
      <w:szCs w:val="16"/>
    </w:rPr>
  </w:style>
  <w:style w:type="character" w:customStyle="1" w:styleId="175">
    <w:name w:val="正文文本 2 字符1"/>
    <w:semiHidden/>
    <w:qFormat/>
    <w:uiPriority w:val="99"/>
    <w:rPr>
      <w:rFonts w:ascii="宋体" w:hAnsi="Calibri" w:eastAsia="宋体" w:cs="Times New Roman"/>
      <w:kern w:val="0"/>
      <w:sz w:val="24"/>
      <w:szCs w:val="24"/>
    </w:rPr>
  </w:style>
  <w:style w:type="character" w:customStyle="1" w:styleId="176">
    <w:name w:val="eschoolnr"/>
    <w:qFormat/>
    <w:uiPriority w:val="0"/>
    <w:rPr>
      <w:sz w:val="23"/>
      <w:szCs w:val="23"/>
    </w:rPr>
  </w:style>
  <w:style w:type="character" w:customStyle="1" w:styleId="177">
    <w:name w:val="访问过的超链接1"/>
    <w:qFormat/>
    <w:uiPriority w:val="0"/>
    <w:rPr>
      <w:rFonts w:ascii="Arial" w:hAnsi="Arial" w:cs="Arial"/>
      <w:color w:val="000000"/>
      <w:sz w:val="20"/>
      <w:szCs w:val="20"/>
      <w:u w:val="none"/>
    </w:rPr>
  </w:style>
  <w:style w:type="character" w:customStyle="1" w:styleId="178">
    <w:name w:val="标题 1 Char1"/>
    <w:link w:val="4"/>
    <w:qFormat/>
    <w:uiPriority w:val="0"/>
    <w:rPr>
      <w:rFonts w:ascii="宋体" w:hAnsi="Calibri" w:eastAsia="宋体" w:cs="Times New Roman"/>
      <w:kern w:val="0"/>
      <w:sz w:val="24"/>
      <w:szCs w:val="24"/>
    </w:rPr>
  </w:style>
  <w:style w:type="character" w:customStyle="1" w:styleId="179">
    <w:name w:val="批注文字 Char1"/>
    <w:qFormat/>
    <w:uiPriority w:val="0"/>
    <w:rPr>
      <w:kern w:val="2"/>
      <w:sz w:val="21"/>
      <w:szCs w:val="24"/>
    </w:rPr>
  </w:style>
  <w:style w:type="character" w:customStyle="1" w:styleId="180">
    <w:name w:val="批注框文本 Char"/>
    <w:semiHidden/>
    <w:qFormat/>
    <w:uiPriority w:val="99"/>
    <w:rPr>
      <w:kern w:val="2"/>
      <w:sz w:val="18"/>
      <w:szCs w:val="18"/>
    </w:rPr>
  </w:style>
  <w:style w:type="character" w:customStyle="1" w:styleId="181">
    <w:name w:val="DAS正文 Char"/>
    <w:qFormat/>
    <w:uiPriority w:val="0"/>
    <w:rPr>
      <w:rFonts w:ascii="Verdana" w:hAnsi="Verdana" w:eastAsia="宋体"/>
      <w:kern w:val="2"/>
      <w:sz w:val="21"/>
      <w:szCs w:val="21"/>
      <w:lang w:val="en-US" w:eastAsia="zh-CN" w:bidi="ar-SA"/>
    </w:rPr>
  </w:style>
  <w:style w:type="character" w:customStyle="1" w:styleId="182">
    <w:name w:val="正文文本缩进 3 Char"/>
    <w:link w:val="30"/>
    <w:qFormat/>
    <w:uiPriority w:val="0"/>
    <w:rPr>
      <w:rFonts w:ascii="宋体" w:hAnsi="Times New Roman" w:eastAsia="宋体" w:cs="Times New Roman"/>
      <w:kern w:val="0"/>
      <w:sz w:val="24"/>
      <w:szCs w:val="24"/>
    </w:rPr>
  </w:style>
  <w:style w:type="character" w:customStyle="1" w:styleId="183">
    <w:name w:val="页眉 Char"/>
    <w:qFormat/>
    <w:uiPriority w:val="99"/>
    <w:rPr>
      <w:kern w:val="2"/>
      <w:sz w:val="18"/>
      <w:szCs w:val="18"/>
    </w:rPr>
  </w:style>
  <w:style w:type="character" w:customStyle="1" w:styleId="184">
    <w:name w:val="正文文本 3 Char"/>
    <w:link w:val="19"/>
    <w:qFormat/>
    <w:uiPriority w:val="0"/>
    <w:rPr>
      <w:rFonts w:ascii="宋体" w:hAnsi="Times New Roman" w:eastAsia="宋体" w:cs="Times New Roman"/>
      <w:b/>
      <w:bCs/>
      <w:color w:val="3366FF"/>
      <w:sz w:val="52"/>
      <w:szCs w:val="52"/>
      <w:lang w:val="zh-CN"/>
    </w:rPr>
  </w:style>
  <w:style w:type="character" w:customStyle="1" w:styleId="185">
    <w:name w:val="HTML 预设格式 字符1"/>
    <w:semiHidden/>
    <w:qFormat/>
    <w:uiPriority w:val="99"/>
    <w:rPr>
      <w:rFonts w:ascii="Courier New" w:hAnsi="Courier New" w:eastAsia="宋体" w:cs="Courier New"/>
      <w:kern w:val="0"/>
      <w:sz w:val="20"/>
      <w:szCs w:val="20"/>
    </w:rPr>
  </w:style>
  <w:style w:type="character" w:customStyle="1" w:styleId="186">
    <w:name w:val="彩色列表 - 强调文字颜色 1 Char"/>
    <w:link w:val="55"/>
    <w:qFormat/>
    <w:uiPriority w:val="0"/>
    <w:rPr>
      <w:rFonts w:ascii="宋体"/>
      <w:sz w:val="24"/>
      <w:szCs w:val="24"/>
    </w:rPr>
  </w:style>
  <w:style w:type="character" w:customStyle="1" w:styleId="187">
    <w:name w:val="普通(网站) 字符"/>
    <w:qFormat/>
    <w:locked/>
    <w:uiPriority w:val="99"/>
    <w:rPr>
      <w:rFonts w:ascii="宋体" w:hAnsi="宋体" w:eastAsia="宋体" w:cs="Times New Roman"/>
      <w:kern w:val="0"/>
      <w:sz w:val="15"/>
      <w:szCs w:val="15"/>
      <w:lang w:val="en-US" w:eastAsia="zh-CN"/>
    </w:rPr>
  </w:style>
  <w:style w:type="character" w:customStyle="1" w:styleId="188">
    <w:name w:val="纯文本 字符4"/>
    <w:basedOn w:val="38"/>
    <w:semiHidden/>
    <w:qFormat/>
    <w:uiPriority w:val="99"/>
    <w:rPr>
      <w:rFonts w:ascii="等线" w:hAnsi="Courier New" w:cs="Courier New"/>
    </w:rPr>
  </w:style>
  <w:style w:type="character" w:customStyle="1" w:styleId="189">
    <w:name w:val="批注文字 Char2"/>
    <w:basedOn w:val="38"/>
    <w:link w:val="18"/>
    <w:semiHidden/>
    <w:qFormat/>
    <w:uiPriority w:val="99"/>
  </w:style>
  <w:style w:type="character" w:customStyle="1" w:styleId="190">
    <w:name w:val="批注主题 字符2"/>
    <w:basedOn w:val="189"/>
    <w:semiHidden/>
    <w:qFormat/>
    <w:uiPriority w:val="99"/>
    <w:rPr>
      <w:b/>
      <w:bCs/>
    </w:rPr>
  </w:style>
  <w:style w:type="character" w:customStyle="1" w:styleId="191">
    <w:name w:val="标题 字符3"/>
    <w:basedOn w:val="38"/>
    <w:qFormat/>
    <w:uiPriority w:val="10"/>
    <w:rPr>
      <w:rFonts w:ascii="等线 Light" w:hAnsi="等线 Light" w:eastAsia="等线 Light" w:cs="黑体"/>
      <w:b/>
      <w:bCs/>
      <w:sz w:val="32"/>
      <w:szCs w:val="32"/>
    </w:rPr>
  </w:style>
  <w:style w:type="character" w:customStyle="1" w:styleId="192">
    <w:name w:val="正文文本缩进 字符3"/>
    <w:basedOn w:val="38"/>
    <w:semiHidden/>
    <w:qFormat/>
    <w:uiPriority w:val="99"/>
  </w:style>
  <w:style w:type="character" w:customStyle="1" w:styleId="193">
    <w:name w:val="正文文本 字符4"/>
    <w:basedOn w:val="38"/>
    <w:semiHidden/>
    <w:qFormat/>
    <w:uiPriority w:val="99"/>
  </w:style>
  <w:style w:type="character" w:customStyle="1" w:styleId="194">
    <w:name w:val="正文文本缩进 3 字符2"/>
    <w:basedOn w:val="38"/>
    <w:semiHidden/>
    <w:qFormat/>
    <w:uiPriority w:val="99"/>
    <w:rPr>
      <w:sz w:val="16"/>
      <w:szCs w:val="16"/>
    </w:rPr>
  </w:style>
  <w:style w:type="character" w:customStyle="1" w:styleId="195">
    <w:name w:val="页眉 字符2"/>
    <w:basedOn w:val="38"/>
    <w:semiHidden/>
    <w:qFormat/>
    <w:uiPriority w:val="99"/>
    <w:rPr>
      <w:sz w:val="18"/>
      <w:szCs w:val="18"/>
    </w:rPr>
  </w:style>
  <w:style w:type="character" w:customStyle="1" w:styleId="196">
    <w:name w:val="批注框文本 字符2"/>
    <w:basedOn w:val="38"/>
    <w:semiHidden/>
    <w:qFormat/>
    <w:uiPriority w:val="99"/>
    <w:rPr>
      <w:sz w:val="18"/>
      <w:szCs w:val="18"/>
    </w:rPr>
  </w:style>
  <w:style w:type="character" w:customStyle="1" w:styleId="197">
    <w:name w:val="HTML 预设格式 字符2"/>
    <w:basedOn w:val="38"/>
    <w:semiHidden/>
    <w:qFormat/>
    <w:uiPriority w:val="99"/>
    <w:rPr>
      <w:rFonts w:ascii="Courier New" w:hAnsi="Courier New" w:cs="Courier New"/>
      <w:sz w:val="20"/>
      <w:szCs w:val="20"/>
    </w:rPr>
  </w:style>
  <w:style w:type="character" w:customStyle="1" w:styleId="198">
    <w:name w:val="页脚 字符2"/>
    <w:basedOn w:val="38"/>
    <w:semiHidden/>
    <w:qFormat/>
    <w:uiPriority w:val="99"/>
    <w:rPr>
      <w:sz w:val="18"/>
      <w:szCs w:val="18"/>
    </w:rPr>
  </w:style>
  <w:style w:type="character" w:customStyle="1" w:styleId="199">
    <w:name w:val="正文文本缩进 2 字符2"/>
    <w:basedOn w:val="38"/>
    <w:semiHidden/>
    <w:qFormat/>
    <w:uiPriority w:val="99"/>
  </w:style>
  <w:style w:type="character" w:customStyle="1" w:styleId="200">
    <w:name w:val="正文文本 3 字符2"/>
    <w:basedOn w:val="38"/>
    <w:semiHidden/>
    <w:qFormat/>
    <w:uiPriority w:val="99"/>
    <w:rPr>
      <w:sz w:val="16"/>
      <w:szCs w:val="16"/>
    </w:rPr>
  </w:style>
  <w:style w:type="character" w:customStyle="1" w:styleId="201">
    <w:name w:val="正文文本 2 字符2"/>
    <w:basedOn w:val="38"/>
    <w:semiHidden/>
    <w:qFormat/>
    <w:uiPriority w:val="99"/>
  </w:style>
  <w:style w:type="character" w:customStyle="1" w:styleId="202">
    <w:name w:val="文档结构图 字符2"/>
    <w:basedOn w:val="38"/>
    <w:semiHidden/>
    <w:qFormat/>
    <w:uiPriority w:val="99"/>
    <w:rPr>
      <w:rFonts w:ascii="Microsoft YaHei UI" w:eastAsia="Microsoft YaHei UI"/>
      <w:sz w:val="18"/>
      <w:szCs w:val="18"/>
    </w:rPr>
  </w:style>
  <w:style w:type="character" w:customStyle="1" w:styleId="203">
    <w:name w:val="日期 字符2"/>
    <w:basedOn w:val="38"/>
    <w:semiHidden/>
    <w:qFormat/>
    <w:uiPriority w:val="99"/>
  </w:style>
  <w:style w:type="character" w:customStyle="1" w:styleId="204">
    <w:name w:val="正文首行缩进 Char"/>
    <w:basedOn w:val="149"/>
    <w:link w:val="3"/>
    <w:semiHidden/>
    <w:qFormat/>
    <w:uiPriority w:val="99"/>
    <w:rPr>
      <w:rFonts w:ascii="宋体" w:eastAsia="宋体"/>
      <w:b w:val="0"/>
      <w:bCs w:val="0"/>
      <w:sz w:val="84"/>
      <w:szCs w:val="8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40234</Words>
  <Characters>41889</Characters>
  <Lines>314</Lines>
  <Paragraphs>88</Paragraphs>
  <TotalTime>2</TotalTime>
  <ScaleCrop>false</ScaleCrop>
  <LinksUpToDate>false</LinksUpToDate>
  <CharactersWithSpaces>43605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dcterms:modified xsi:type="dcterms:W3CDTF">2024-10-22T06:22:47Z</dcterms:modified>
  <dc:title>东莞市众源环境投资有限公司2025年-2027年污泥运输服务供应商采购项目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29401BB74DE74AB5869B7E130BEE72AB_13</vt:lpwstr>
  </property>
</Properties>
</file>