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C4692">
      <w:pPr>
        <w:pStyle w:val="619"/>
        <w:spacing w:line="360" w:lineRule="auto"/>
        <w:ind w:left="0" w:leftChars="0" w:firstLine="0" w:firstLineChars="0"/>
        <w:rPr>
          <w:rFonts w:hint="eastAsia" w:ascii="宋体" w:hAnsi="宋体" w:eastAsia="宋体" w:cs="宋体"/>
          <w:color w:val="auto"/>
          <w:highlight w:val="none"/>
        </w:rPr>
      </w:pPr>
    </w:p>
    <w:p w14:paraId="54ADD012">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cs="宋体"/>
          <w:b/>
          <w:bCs/>
          <w:kern w:val="0"/>
          <w:sz w:val="48"/>
          <w:szCs w:val="48"/>
          <w:lang w:val="zh-CN"/>
        </w:rPr>
        <w:t>东莞市众源环境投资有限公司污水处理厂污泥脱水减量处理服务（BOT权属东江下游片区）采购项目（麻涌一期重新采购）</w:t>
      </w:r>
    </w:p>
    <w:p w14:paraId="73507E12">
      <w:pPr>
        <w:spacing w:line="360" w:lineRule="auto"/>
        <w:rPr>
          <w:rFonts w:hint="eastAsia" w:ascii="宋体" w:hAnsi="宋体" w:eastAsia="宋体" w:cs="宋体"/>
          <w:b/>
          <w:color w:val="auto"/>
          <w:sz w:val="28"/>
          <w:highlight w:val="none"/>
        </w:rPr>
      </w:pPr>
    </w:p>
    <w:p w14:paraId="06131928">
      <w:pPr>
        <w:spacing w:line="360" w:lineRule="auto"/>
        <w:rPr>
          <w:rFonts w:hint="eastAsia" w:ascii="宋体" w:hAnsi="宋体" w:eastAsia="宋体" w:cs="宋体"/>
          <w:b/>
          <w:color w:val="auto"/>
          <w:sz w:val="28"/>
          <w:highlight w:val="none"/>
        </w:rPr>
      </w:pPr>
    </w:p>
    <w:p w14:paraId="741821DE">
      <w:pPr>
        <w:pStyle w:val="619"/>
        <w:spacing w:line="360" w:lineRule="auto"/>
        <w:ind w:left="0" w:leftChars="0" w:firstLine="0" w:firstLineChars="0"/>
        <w:rPr>
          <w:rFonts w:hint="eastAsia" w:ascii="宋体" w:hAnsi="宋体" w:eastAsia="宋体" w:cs="宋体"/>
          <w:b/>
          <w:color w:val="auto"/>
          <w:sz w:val="28"/>
          <w:highlight w:val="none"/>
        </w:rPr>
      </w:pPr>
    </w:p>
    <w:p w14:paraId="0EDDCAAA">
      <w:pPr>
        <w:spacing w:line="360" w:lineRule="auto"/>
        <w:rPr>
          <w:rFonts w:hint="eastAsia" w:ascii="宋体" w:hAnsi="宋体" w:eastAsia="宋体" w:cs="宋体"/>
          <w:b/>
          <w:color w:val="auto"/>
          <w:sz w:val="28"/>
          <w:highlight w:val="none"/>
        </w:rPr>
      </w:pPr>
    </w:p>
    <w:p w14:paraId="05ED086C">
      <w:pPr>
        <w:spacing w:line="360" w:lineRule="auto"/>
        <w:ind w:right="-26"/>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rPr>
        <w:t>竞争性磋商文件</w:t>
      </w:r>
    </w:p>
    <w:p w14:paraId="151F37DB">
      <w:pPr>
        <w:spacing w:line="360" w:lineRule="auto"/>
        <w:rPr>
          <w:rFonts w:hint="eastAsia" w:ascii="宋体" w:hAnsi="宋体" w:eastAsia="宋体" w:cs="宋体"/>
          <w:b/>
          <w:bCs/>
          <w:color w:val="auto"/>
          <w:kern w:val="2"/>
          <w:sz w:val="44"/>
          <w:szCs w:val="44"/>
          <w:highlight w:val="none"/>
          <w:lang w:val="zh-CN"/>
        </w:rPr>
      </w:pPr>
    </w:p>
    <w:p w14:paraId="384EB259">
      <w:pPr>
        <w:rPr>
          <w:rFonts w:hint="eastAsia" w:ascii="宋体" w:hAnsi="宋体" w:eastAsia="宋体" w:cs="宋体"/>
          <w:b/>
          <w:bCs/>
          <w:color w:val="auto"/>
          <w:kern w:val="2"/>
          <w:sz w:val="44"/>
          <w:szCs w:val="44"/>
          <w:highlight w:val="none"/>
          <w:lang w:val="zh-CN"/>
        </w:rPr>
      </w:pPr>
    </w:p>
    <w:p w14:paraId="78C19C82">
      <w:pPr>
        <w:rPr>
          <w:rFonts w:hint="eastAsia" w:ascii="宋体" w:hAnsi="宋体" w:eastAsia="宋体" w:cs="宋体"/>
          <w:b/>
          <w:bCs/>
          <w:color w:val="auto"/>
          <w:kern w:val="2"/>
          <w:sz w:val="44"/>
          <w:szCs w:val="44"/>
          <w:highlight w:val="none"/>
          <w:lang w:val="zh-CN"/>
        </w:rPr>
      </w:pPr>
    </w:p>
    <w:p w14:paraId="0F023171">
      <w:pPr>
        <w:rPr>
          <w:rFonts w:hint="eastAsia" w:ascii="宋体" w:hAnsi="宋体" w:eastAsia="宋体" w:cs="宋体"/>
          <w:b/>
          <w:color w:val="auto"/>
          <w:sz w:val="28"/>
          <w:highlight w:val="none"/>
        </w:rPr>
      </w:pPr>
    </w:p>
    <w:p w14:paraId="7685698F">
      <w:pPr>
        <w:rPr>
          <w:rFonts w:hint="eastAsia" w:ascii="宋体" w:hAnsi="宋体" w:eastAsia="宋体" w:cs="宋体"/>
          <w:b/>
          <w:color w:val="auto"/>
          <w:sz w:val="28"/>
          <w:highlight w:val="none"/>
        </w:rPr>
      </w:pPr>
    </w:p>
    <w:p w14:paraId="3C855F8D">
      <w:pPr>
        <w:rPr>
          <w:rFonts w:hint="eastAsia" w:ascii="宋体" w:hAnsi="宋体" w:eastAsia="宋体" w:cs="宋体"/>
          <w:b/>
          <w:color w:val="auto"/>
          <w:sz w:val="28"/>
          <w:highlight w:val="none"/>
        </w:rPr>
      </w:pPr>
    </w:p>
    <w:p w14:paraId="4EC1A9BC">
      <w:pPr>
        <w:rPr>
          <w:rFonts w:hint="eastAsia" w:ascii="宋体" w:hAnsi="宋体" w:eastAsia="宋体" w:cs="宋体"/>
          <w:b/>
          <w:color w:val="auto"/>
          <w:sz w:val="28"/>
          <w:highlight w:val="none"/>
        </w:rPr>
      </w:pPr>
    </w:p>
    <w:p w14:paraId="384FCD01">
      <w:pPr>
        <w:spacing w:line="360" w:lineRule="auto"/>
        <w:ind w:left="2351" w:leftChars="349" w:hanging="1513" w:hangingChars="471"/>
        <w:rPr>
          <w:rFonts w:hint="default" w:ascii="宋体" w:hAnsi="宋体" w:eastAsia="宋体" w:cs="宋体"/>
          <w:b/>
          <w:bCs/>
          <w:color w:val="auto"/>
          <w:kern w:val="2"/>
          <w:sz w:val="32"/>
          <w:szCs w:val="32"/>
          <w:highlight w:val="none"/>
          <w:lang w:val="en-US" w:eastAsia="zh-CN"/>
        </w:rPr>
      </w:pPr>
      <w:r>
        <w:rPr>
          <w:rFonts w:hint="eastAsia" w:ascii="宋体" w:hAnsi="宋体" w:eastAsia="宋体" w:cs="宋体"/>
          <w:b/>
          <w:bCs/>
          <w:color w:val="auto"/>
          <w:kern w:val="2"/>
          <w:sz w:val="32"/>
          <w:szCs w:val="32"/>
          <w:highlight w:val="none"/>
          <w:lang w:val="zh-CN"/>
        </w:rPr>
        <w:t>采购编号：</w:t>
      </w:r>
      <w:r>
        <w:rPr>
          <w:rFonts w:hint="eastAsia" w:ascii="宋体" w:hAnsi="宋体" w:cs="宋体"/>
          <w:b/>
          <w:bCs/>
          <w:sz w:val="32"/>
          <w:szCs w:val="32"/>
          <w:lang w:val="zh-CN"/>
        </w:rPr>
        <w:t>YDZB24DGQY0031-1</w:t>
      </w:r>
    </w:p>
    <w:p w14:paraId="335F27BE">
      <w:pPr>
        <w:spacing w:line="360" w:lineRule="auto"/>
        <w:ind w:left="2351" w:leftChars="349" w:hanging="1513" w:hangingChars="471"/>
        <w:rPr>
          <w:rFonts w:hint="eastAsia" w:ascii="宋体" w:hAnsi="宋体" w:eastAsia="宋体" w:cs="宋体"/>
          <w:b/>
          <w:bCs/>
          <w:color w:val="auto"/>
          <w:sz w:val="32"/>
          <w:szCs w:val="32"/>
          <w:highlight w:val="none"/>
        </w:rPr>
      </w:pPr>
      <w:r>
        <w:rPr>
          <w:rFonts w:hint="eastAsia" w:ascii="宋体" w:hAnsi="宋体" w:eastAsia="宋体" w:cs="宋体"/>
          <w:b/>
          <w:bCs/>
          <w:color w:val="auto"/>
          <w:kern w:val="2"/>
          <w:sz w:val="32"/>
          <w:szCs w:val="32"/>
          <w:highlight w:val="none"/>
        </w:rPr>
        <w:t>采购人</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rPr>
        <w:t>东莞市众源环境投资有限公司</w:t>
      </w:r>
    </w:p>
    <w:p w14:paraId="226950B9">
      <w:pPr>
        <w:autoSpaceDE/>
        <w:autoSpaceDN/>
        <w:adjustRightInd/>
        <w:spacing w:line="360" w:lineRule="auto"/>
        <w:ind w:left="2351" w:leftChars="349" w:hanging="1513" w:hangingChars="47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采购</w:t>
      </w:r>
      <w:r>
        <w:rPr>
          <w:rFonts w:hint="eastAsia" w:ascii="宋体" w:hAnsi="宋体" w:eastAsia="宋体" w:cs="宋体"/>
          <w:b/>
          <w:bCs/>
          <w:color w:val="auto"/>
          <w:sz w:val="32"/>
          <w:szCs w:val="32"/>
          <w:highlight w:val="none"/>
          <w:lang w:val="zh-CN"/>
        </w:rPr>
        <w:t>代理机构：</w:t>
      </w:r>
      <w:r>
        <w:rPr>
          <w:rFonts w:hint="eastAsia" w:ascii="宋体" w:hAnsi="宋体" w:cs="宋体"/>
          <w:b/>
          <w:bCs/>
          <w:sz w:val="32"/>
          <w:szCs w:val="32"/>
          <w:lang w:val="zh-CN"/>
        </w:rPr>
        <w:t>广东有德招标采购有限公司</w:t>
      </w:r>
    </w:p>
    <w:p w14:paraId="37C56F77">
      <w:pPr>
        <w:rPr>
          <w:rFonts w:hint="eastAsia" w:ascii="宋体" w:hAnsi="宋体" w:eastAsia="宋体" w:cs="宋体"/>
          <w:b/>
          <w:color w:val="auto"/>
          <w:sz w:val="28"/>
          <w:highlight w:val="none"/>
        </w:rPr>
      </w:pPr>
    </w:p>
    <w:p w14:paraId="4C6AEA0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202</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val="en-US" w:eastAsia="zh-CN"/>
        </w:rPr>
        <w:t>10</w:t>
      </w:r>
      <w:r>
        <w:rPr>
          <w:rFonts w:hint="eastAsia" w:ascii="宋体" w:hAnsi="宋体" w:eastAsia="宋体" w:cs="宋体"/>
          <w:b/>
          <w:color w:val="auto"/>
          <w:sz w:val="32"/>
          <w:szCs w:val="32"/>
          <w:highlight w:val="none"/>
        </w:rPr>
        <w:t>月</w:t>
      </w:r>
      <w:r>
        <w:rPr>
          <w:rFonts w:hint="eastAsia" w:ascii="宋体" w:hAnsi="宋体" w:cs="宋体"/>
          <w:b/>
          <w:color w:val="auto"/>
          <w:sz w:val="32"/>
          <w:szCs w:val="32"/>
          <w:highlight w:val="none"/>
          <w:lang w:val="en-US" w:eastAsia="zh-CN"/>
        </w:rPr>
        <w:t>17</w:t>
      </w:r>
      <w:r>
        <w:rPr>
          <w:rFonts w:hint="eastAsia" w:ascii="宋体" w:hAnsi="宋体" w:eastAsia="宋体" w:cs="宋体"/>
          <w:b/>
          <w:color w:val="auto"/>
          <w:sz w:val="32"/>
          <w:szCs w:val="32"/>
          <w:highlight w:val="none"/>
        </w:rPr>
        <w:t>日</w:t>
      </w:r>
    </w:p>
    <w:p w14:paraId="6102BA6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bCs/>
          <w:color w:val="auto"/>
          <w:sz w:val="32"/>
          <w:szCs w:val="32"/>
          <w:highlight w:val="none"/>
          <w:lang w:val="zh-CN"/>
        </w:rPr>
        <w:t>目 录</w:t>
      </w:r>
    </w:p>
    <w:p w14:paraId="3B926AC4">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 w:val="0"/>
          <w:bCs w:val="0"/>
          <w:i w:val="0"/>
          <w:iCs w:val="0"/>
          <w:color w:val="auto"/>
          <w:sz w:val="21"/>
          <w:szCs w:val="21"/>
          <w:highlight w:val="none"/>
        </w:rPr>
        <w:fldChar w:fldCharType="begin"/>
      </w:r>
      <w:r>
        <w:rPr>
          <w:rFonts w:hint="eastAsia" w:ascii="宋体" w:hAnsi="宋体" w:eastAsia="宋体" w:cs="宋体"/>
          <w:b w:val="0"/>
          <w:bCs w:val="0"/>
          <w:i w:val="0"/>
          <w:iCs w:val="0"/>
          <w:color w:val="auto"/>
          <w:sz w:val="21"/>
          <w:szCs w:val="21"/>
          <w:highlight w:val="none"/>
        </w:rPr>
        <w:instrText xml:space="preserve"> TOC \o "1-3" \h \z \u </w:instrText>
      </w:r>
      <w:r>
        <w:rPr>
          <w:rFonts w:hint="eastAsia" w:ascii="宋体" w:hAnsi="宋体" w:eastAsia="宋体" w:cs="宋体"/>
          <w:b w:val="0"/>
          <w:bCs w:val="0"/>
          <w:i w:val="0"/>
          <w:iCs w:val="0"/>
          <w:color w:val="auto"/>
          <w:sz w:val="21"/>
          <w:szCs w:val="21"/>
          <w:highlight w:val="none"/>
        </w:rPr>
        <w:fldChar w:fldCharType="separate"/>
      </w: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_Toc12763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第一篇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竞争性磋商</w:t>
      </w:r>
      <w:r>
        <w:rPr>
          <w:rFonts w:hint="eastAsia" w:ascii="宋体" w:hAnsi="宋体" w:eastAsia="宋体" w:cs="宋体"/>
          <w:bCs/>
          <w:i w:val="0"/>
          <w:iCs w:val="0"/>
          <w:kern w:val="44"/>
          <w:szCs w:val="32"/>
          <w:lang w:val="en-US" w:eastAsia="zh-CN"/>
        </w:rPr>
        <w:t>公告</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_Toc12763 \h </w:instrText>
      </w:r>
      <w:r>
        <w:rPr>
          <w:rFonts w:hint="eastAsia" w:ascii="宋体" w:hAnsi="宋体" w:eastAsia="宋体" w:cs="宋体"/>
          <w:i w:val="0"/>
          <w:iCs w:val="0"/>
        </w:rPr>
        <w:fldChar w:fldCharType="separate"/>
      </w:r>
      <w:r>
        <w:rPr>
          <w:rFonts w:hint="eastAsia" w:ascii="宋体" w:hAnsi="宋体" w:eastAsia="宋体" w:cs="宋体"/>
          <w:i w:val="0"/>
          <w:iCs w:val="0"/>
        </w:rPr>
        <w:t>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4BBC89E">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_Toc19427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第二篇</w:t>
      </w:r>
      <w:r>
        <w:rPr>
          <w:rFonts w:hint="eastAsia" w:ascii="宋体" w:hAnsi="宋体" w:eastAsia="宋体" w:cs="宋体"/>
          <w:bCs/>
          <w:i w:val="0"/>
          <w:iCs w:val="0"/>
          <w:kern w:val="44"/>
          <w:szCs w:val="32"/>
          <w:lang w:val="zh-CN" w:eastAsia="zh-CN"/>
        </w:rPr>
        <w:t xml:space="preserve"> 磋商</w:t>
      </w:r>
      <w:r>
        <w:rPr>
          <w:rFonts w:hint="eastAsia" w:ascii="宋体" w:hAnsi="宋体" w:eastAsia="宋体" w:cs="宋体"/>
          <w:bCs/>
          <w:i w:val="0"/>
          <w:iCs w:val="0"/>
          <w:kern w:val="44"/>
          <w:szCs w:val="32"/>
          <w:lang w:val="zh-CN"/>
        </w:rPr>
        <w:t>须知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_Toc19427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D768FD0">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_Toc24918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lang w:val="zh-CN"/>
        </w:rPr>
        <w:t>一、总则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_Toc24918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ED0FC2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_Toc30538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资金来源：企业自筹资金。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_Toc30538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06D614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_Toc28598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合格的供应商</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_Toc28598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66A44B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_Toc24588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合格的服务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_Toc24588 \h </w:instrText>
      </w:r>
      <w:r>
        <w:rPr>
          <w:rFonts w:hint="eastAsia" w:ascii="宋体" w:hAnsi="宋体" w:eastAsia="宋体" w:cs="宋体"/>
          <w:i w:val="0"/>
          <w:iCs w:val="0"/>
        </w:rPr>
        <w:fldChar w:fldCharType="separate"/>
      </w:r>
      <w:r>
        <w:rPr>
          <w:rFonts w:hint="eastAsia" w:ascii="宋体" w:hAnsi="宋体" w:eastAsia="宋体" w:cs="宋体"/>
          <w:i w:val="0"/>
          <w:iCs w:val="0"/>
        </w:rPr>
        <w:t>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8454A7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_Toc10476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其它说明</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_Toc10476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51EF687">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_Toc19606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二、竞争性磋商文件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_Toc19606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5D8AC9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_Toc17130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竞争性磋商文件的构成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_Toc17130 \h </w:instrText>
      </w:r>
      <w:r>
        <w:rPr>
          <w:rFonts w:hint="eastAsia" w:ascii="宋体" w:hAnsi="宋体" w:eastAsia="宋体" w:cs="宋体"/>
          <w:i w:val="0"/>
          <w:iCs w:val="0"/>
        </w:rPr>
        <w:fldChar w:fldCharType="separate"/>
      </w:r>
      <w:r>
        <w:rPr>
          <w:rFonts w:hint="eastAsia" w:ascii="宋体" w:hAnsi="宋体" w:eastAsia="宋体" w:cs="宋体"/>
          <w:i w:val="0"/>
          <w:iCs w:val="0"/>
        </w:rPr>
        <w:t>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44AAD4A">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_Toc26466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竞争性磋商文件的异议</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_Toc26466 \h </w:instrText>
      </w:r>
      <w:r>
        <w:rPr>
          <w:rFonts w:hint="eastAsia" w:ascii="宋体" w:hAnsi="宋体" w:eastAsia="宋体" w:cs="宋体"/>
          <w:i w:val="0"/>
          <w:iCs w:val="0"/>
        </w:rPr>
        <w:fldChar w:fldCharType="separate"/>
      </w:r>
      <w:r>
        <w:rPr>
          <w:rFonts w:hint="eastAsia" w:ascii="宋体" w:hAnsi="宋体" w:eastAsia="宋体" w:cs="宋体"/>
          <w:i w:val="0"/>
          <w:iCs w:val="0"/>
        </w:rPr>
        <w:t>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F5D084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_Toc8528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竞争性磋商文件的澄清及修改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_Toc8528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7F24266">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_Toc1142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三、响应文件的编制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_Toc1142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3C409E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_Toc21346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8</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rPr>
        <w:t>使用的文字及度量衡单位</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_Toc21346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F84C3B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_Toc15349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9</w:t>
      </w:r>
      <w:r>
        <w:rPr>
          <w:rFonts w:hint="eastAsia" w:ascii="宋体" w:hAnsi="宋体" w:eastAsia="宋体" w:cs="宋体"/>
          <w:i w:val="0"/>
          <w:iCs w:val="0"/>
          <w:kern w:val="2"/>
          <w:szCs w:val="21"/>
          <w:highlight w:val="none"/>
          <w:lang w:val="en-US" w:eastAsia="zh-CN"/>
        </w:rPr>
        <w:t xml:space="preserve"> 响应文件</w:t>
      </w:r>
      <w:r>
        <w:rPr>
          <w:rFonts w:hint="eastAsia" w:ascii="宋体" w:hAnsi="宋体" w:eastAsia="宋体" w:cs="宋体"/>
          <w:i w:val="0"/>
          <w:iCs w:val="0"/>
          <w:kern w:val="2"/>
          <w:szCs w:val="21"/>
          <w:highlight w:val="none"/>
          <w:lang w:val="zh-CN" w:eastAsia="zh-CN"/>
        </w:rPr>
        <w:t>的组成</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_Toc15349 \h </w:instrText>
      </w:r>
      <w:r>
        <w:rPr>
          <w:rFonts w:hint="eastAsia" w:ascii="宋体" w:hAnsi="宋体" w:eastAsia="宋体" w:cs="宋体"/>
          <w:i w:val="0"/>
          <w:iCs w:val="0"/>
        </w:rPr>
        <w:fldChar w:fldCharType="separate"/>
      </w:r>
      <w:r>
        <w:rPr>
          <w:rFonts w:hint="eastAsia" w:ascii="宋体" w:hAnsi="宋体" w:eastAsia="宋体" w:cs="宋体"/>
          <w:i w:val="0"/>
          <w:iCs w:val="0"/>
        </w:rPr>
        <w:t>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4500ACA">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10</w:t>
      </w:r>
      <w:r>
        <w:rPr>
          <w:rFonts w:hint="eastAsia" w:ascii="宋体" w:hAnsi="宋体" w:eastAsia="宋体" w:cs="宋体"/>
          <w:i w:val="0"/>
          <w:iCs w:val="0"/>
          <w:kern w:val="2"/>
          <w:szCs w:val="21"/>
          <w:highlight w:val="none"/>
          <w:lang w:val="en-US" w:eastAsia="zh-CN"/>
        </w:rPr>
        <w:t xml:space="preserve"> 磋商</w:t>
      </w:r>
      <w:r>
        <w:rPr>
          <w:rFonts w:hint="eastAsia" w:ascii="宋体" w:hAnsi="宋体" w:eastAsia="宋体" w:cs="宋体"/>
          <w:i w:val="0"/>
          <w:iCs w:val="0"/>
          <w:kern w:val="2"/>
          <w:szCs w:val="21"/>
          <w:highlight w:val="none"/>
          <w:lang w:val="zh-CN"/>
        </w:rPr>
        <w:t>函</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_Toc1760 \h </w:instrText>
      </w:r>
      <w:r>
        <w:rPr>
          <w:rFonts w:hint="eastAsia" w:ascii="宋体" w:hAnsi="宋体" w:eastAsia="宋体" w:cs="宋体"/>
          <w:i w:val="0"/>
          <w:iCs w:val="0"/>
        </w:rPr>
        <w:fldChar w:fldCharType="separate"/>
      </w:r>
      <w:r>
        <w:rPr>
          <w:rFonts w:hint="eastAsia" w:ascii="宋体" w:hAnsi="宋体" w:eastAsia="宋体" w:cs="宋体"/>
          <w:i w:val="0"/>
          <w:iCs w:val="0"/>
        </w:rPr>
        <w:t>10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45958F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_Toc18981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11</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_Toc18981 \h </w:instrText>
      </w:r>
      <w:r>
        <w:rPr>
          <w:rFonts w:hint="eastAsia" w:ascii="宋体" w:hAnsi="宋体" w:eastAsia="宋体" w:cs="宋体"/>
          <w:i w:val="0"/>
          <w:iCs w:val="0"/>
        </w:rPr>
        <w:fldChar w:fldCharType="separate"/>
      </w:r>
      <w:r>
        <w:rPr>
          <w:rFonts w:hint="eastAsia" w:ascii="宋体" w:hAnsi="宋体" w:eastAsia="宋体" w:cs="宋体"/>
          <w:i w:val="0"/>
          <w:iCs w:val="0"/>
        </w:rPr>
        <w:t>11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40D9CB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_Toc15993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12</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lang w:val="zh-CN"/>
        </w:rPr>
        <w:t>响应报价货币</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_Toc15993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27B65B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_Toc26760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13</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证明供应商的合格性和资格的声明文件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_Toc26760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9C6398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_Toc20713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14</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证明服务的合格性并符合竞争性磋商文件规定的声明文件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_Toc20713 \h </w:instrText>
      </w:r>
      <w:r>
        <w:rPr>
          <w:rFonts w:hint="eastAsia" w:ascii="宋体" w:hAnsi="宋体" w:eastAsia="宋体" w:cs="宋体"/>
          <w:i w:val="0"/>
          <w:iCs w:val="0"/>
        </w:rPr>
        <w:fldChar w:fldCharType="separate"/>
      </w:r>
      <w:r>
        <w:rPr>
          <w:rFonts w:hint="eastAsia" w:ascii="宋体" w:hAnsi="宋体" w:eastAsia="宋体" w:cs="宋体"/>
          <w:i w:val="0"/>
          <w:iCs w:val="0"/>
        </w:rPr>
        <w:t>12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E48B216">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_Toc12553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15</w:t>
      </w:r>
      <w:r>
        <w:rPr>
          <w:rFonts w:hint="eastAsia" w:ascii="宋体" w:hAnsi="宋体" w:eastAsia="宋体" w:cs="宋体"/>
          <w:bCs/>
          <w:i w:val="0"/>
          <w:iCs w:val="0"/>
          <w:kern w:val="2"/>
          <w:szCs w:val="21"/>
          <w:highlight w:val="none"/>
          <w:lang w:val="en-US" w:eastAsia="zh-CN"/>
        </w:rPr>
        <w:t xml:space="preserve"> </w:t>
      </w:r>
      <w:r>
        <w:rPr>
          <w:rFonts w:hint="eastAsia" w:ascii="宋体" w:hAnsi="宋体" w:eastAsia="宋体" w:cs="宋体"/>
          <w:bCs/>
          <w:i w:val="0"/>
          <w:iCs w:val="0"/>
          <w:kern w:val="2"/>
          <w:szCs w:val="21"/>
          <w:highlight w:val="none"/>
        </w:rPr>
        <w:t>磋商</w:t>
      </w:r>
      <w:r>
        <w:rPr>
          <w:rFonts w:hint="eastAsia" w:ascii="宋体" w:hAnsi="宋体" w:eastAsia="宋体" w:cs="宋体"/>
          <w:bCs/>
          <w:i w:val="0"/>
          <w:iCs w:val="0"/>
          <w:kern w:val="2"/>
          <w:szCs w:val="21"/>
          <w:highlight w:val="none"/>
          <w:lang w:val="zh-CN"/>
        </w:rPr>
        <w:t>保证金</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_Toc12553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0205B0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_Toc7692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16</w:t>
      </w:r>
      <w:r>
        <w:rPr>
          <w:rFonts w:hint="eastAsia" w:ascii="宋体" w:hAnsi="宋体" w:eastAsia="宋体" w:cs="宋体"/>
          <w:i w:val="0"/>
          <w:iCs w:val="0"/>
          <w:kern w:val="2"/>
          <w:szCs w:val="21"/>
          <w:highlight w:val="none"/>
          <w:lang w:val="en-US" w:eastAsia="zh-CN"/>
        </w:rPr>
        <w:t xml:space="preserve"> 响应</w:t>
      </w:r>
      <w:r>
        <w:rPr>
          <w:rFonts w:hint="eastAsia" w:ascii="宋体" w:hAnsi="宋体" w:eastAsia="宋体" w:cs="宋体"/>
          <w:i w:val="0"/>
          <w:iCs w:val="0"/>
          <w:kern w:val="2"/>
          <w:szCs w:val="21"/>
          <w:highlight w:val="none"/>
          <w:lang w:val="zh-CN"/>
        </w:rPr>
        <w:t>有效期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_Toc7692 \h </w:instrText>
      </w:r>
      <w:r>
        <w:rPr>
          <w:rFonts w:hint="eastAsia" w:ascii="宋体" w:hAnsi="宋体" w:eastAsia="宋体" w:cs="宋体"/>
          <w:i w:val="0"/>
          <w:iCs w:val="0"/>
        </w:rPr>
        <w:fldChar w:fldCharType="separate"/>
      </w:r>
      <w:r>
        <w:rPr>
          <w:rFonts w:hint="eastAsia" w:ascii="宋体" w:hAnsi="宋体" w:eastAsia="宋体" w:cs="宋体"/>
          <w:i w:val="0"/>
          <w:iCs w:val="0"/>
        </w:rPr>
        <w:t>13</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E3CE07D">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_Toc25421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响应文件的式样和签署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_Toc25421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7342E06">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_Toc4448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四、响应文件的递交</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_Toc4448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A39E6D5">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18</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响应文件的密封和标记</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_Toc26006 \h </w:instrText>
      </w:r>
      <w:r>
        <w:rPr>
          <w:rFonts w:hint="eastAsia" w:ascii="宋体" w:hAnsi="宋体" w:eastAsia="宋体" w:cs="宋体"/>
          <w:i w:val="0"/>
          <w:iCs w:val="0"/>
        </w:rPr>
        <w:fldChar w:fldCharType="separate"/>
      </w:r>
      <w:r>
        <w:rPr>
          <w:rFonts w:hint="eastAsia" w:ascii="宋体" w:hAnsi="宋体" w:eastAsia="宋体" w:cs="宋体"/>
          <w:i w:val="0"/>
          <w:iCs w:val="0"/>
        </w:rPr>
        <w:t>14</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5143908">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_Toc1491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19</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递交响应文件的截止日期</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_Toc1491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8C94FC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_Toc26095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20</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迟交的响应文件</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_Toc26095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F31C5A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_Toc31955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21</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响应文件的修改和撤回</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_Toc31955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4278F3E">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_Toc25968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五、</w:t>
      </w:r>
      <w:r>
        <w:rPr>
          <w:rFonts w:hint="eastAsia" w:ascii="宋体" w:hAnsi="宋体" w:eastAsia="宋体" w:cs="宋体"/>
          <w:bCs/>
          <w:i w:val="0"/>
          <w:iCs w:val="0"/>
          <w:kern w:val="44"/>
          <w:szCs w:val="21"/>
          <w:highlight w:val="none"/>
          <w:lang w:val="en-US" w:eastAsia="zh-CN"/>
        </w:rPr>
        <w:t>竞争性磋商流程</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_Toc25968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22A83A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_Toc27377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22</w:t>
      </w:r>
      <w:r>
        <w:rPr>
          <w:rFonts w:hint="eastAsia" w:ascii="宋体" w:hAnsi="宋体" w:eastAsia="宋体" w:cs="宋体"/>
          <w:i w:val="0"/>
          <w:iCs w:val="0"/>
          <w:kern w:val="2"/>
          <w:szCs w:val="21"/>
          <w:highlight w:val="none"/>
          <w:lang w:val="en-US" w:eastAsia="zh-CN"/>
        </w:rPr>
        <w:t xml:space="preserve"> 响应文件密封性检查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_Toc27377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20DAED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_Toc1749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3 </w:t>
      </w:r>
      <w:r>
        <w:rPr>
          <w:rFonts w:hint="eastAsia" w:ascii="宋体" w:hAnsi="宋体" w:eastAsia="宋体" w:cs="宋体"/>
          <w:i w:val="0"/>
          <w:iCs w:val="0"/>
          <w:highlight w:val="none"/>
          <w:lang w:val="en-US" w:eastAsia="zh-CN"/>
        </w:rPr>
        <w:t>磋商</w:t>
      </w:r>
      <w:r>
        <w:rPr>
          <w:rFonts w:hint="eastAsia" w:ascii="宋体" w:hAnsi="宋体" w:eastAsia="宋体" w:cs="宋体"/>
          <w:i w:val="0"/>
          <w:iCs w:val="0"/>
          <w:highlight w:val="none"/>
        </w:rPr>
        <w:t>过程的保密性</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_Toc1749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860E77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_Toc11934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4 磋商小组</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_Toc11934 \h </w:instrText>
      </w:r>
      <w:r>
        <w:rPr>
          <w:rFonts w:hint="eastAsia" w:ascii="宋体" w:hAnsi="宋体" w:eastAsia="宋体" w:cs="宋体"/>
          <w:i w:val="0"/>
          <w:iCs w:val="0"/>
        </w:rPr>
        <w:fldChar w:fldCharType="separate"/>
      </w:r>
      <w:r>
        <w:rPr>
          <w:rFonts w:hint="eastAsia" w:ascii="宋体" w:hAnsi="宋体" w:eastAsia="宋体" w:cs="宋体"/>
          <w:i w:val="0"/>
          <w:iCs w:val="0"/>
        </w:rPr>
        <w:t>15</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8CAE8D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响应文件的评审</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_Toc719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B0FF1F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_Toc10697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eastAsia="zh-CN"/>
        </w:rPr>
        <w:t>26</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eastAsia="zh-CN"/>
        </w:rPr>
        <w:t>响应文件的澄清</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_Toc10697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5A5C7B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_Toc30630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27</w:t>
      </w:r>
      <w:r>
        <w:rPr>
          <w:rFonts w:hint="eastAsia" w:ascii="宋体" w:hAnsi="宋体" w:eastAsia="宋体" w:cs="宋体"/>
          <w:i w:val="0"/>
          <w:iCs w:val="0"/>
          <w:kern w:val="2"/>
          <w:szCs w:val="21"/>
          <w:highlight w:val="none"/>
          <w:lang w:val="en-US" w:eastAsia="zh-CN"/>
        </w:rPr>
        <w:t xml:space="preserve"> </w:t>
      </w:r>
      <w:r>
        <w:rPr>
          <w:rFonts w:hint="eastAsia" w:ascii="宋体" w:hAnsi="宋体" w:eastAsia="宋体" w:cs="宋体"/>
          <w:i w:val="0"/>
          <w:iCs w:val="0"/>
          <w:kern w:val="2"/>
          <w:szCs w:val="21"/>
          <w:highlight w:val="none"/>
          <w:lang w:val="zh-CN"/>
        </w:rPr>
        <w:t>对</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文件的比较和评价</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_Toc30630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94B186A">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_Toc32098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评审原则及方法</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_Toc32098 \h </w:instrText>
      </w:r>
      <w:r>
        <w:rPr>
          <w:rFonts w:hint="eastAsia" w:ascii="宋体" w:hAnsi="宋体" w:eastAsia="宋体" w:cs="宋体"/>
          <w:i w:val="0"/>
          <w:iCs w:val="0"/>
        </w:rPr>
        <w:fldChar w:fldCharType="separate"/>
      </w:r>
      <w:r>
        <w:rPr>
          <w:rFonts w:hint="eastAsia" w:ascii="宋体" w:hAnsi="宋体" w:eastAsia="宋体" w:cs="宋体"/>
          <w:i w:val="0"/>
          <w:iCs w:val="0"/>
        </w:rPr>
        <w:t>16</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AA8B20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_Toc14120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2</w:t>
      </w:r>
      <w:r>
        <w:rPr>
          <w:rFonts w:hint="eastAsia" w:ascii="宋体" w:hAnsi="宋体" w:eastAsia="宋体" w:cs="宋体"/>
          <w:i w:val="0"/>
          <w:iCs w:val="0"/>
          <w:kern w:val="2"/>
          <w:szCs w:val="21"/>
          <w:highlight w:val="none"/>
          <w:lang w:val="en-US" w:eastAsia="zh-CN"/>
        </w:rPr>
        <w:t>9 评审结果公示</w:t>
      </w:r>
      <w:r>
        <w:rPr>
          <w:rFonts w:hint="eastAsia" w:ascii="宋体" w:hAnsi="宋体" w:eastAsia="宋体" w:cs="宋体"/>
          <w:i w:val="0"/>
          <w:iCs w:val="0"/>
          <w:kern w:val="2"/>
          <w:szCs w:val="21"/>
          <w:highlight w:val="none"/>
          <w:lang w:val="zh-CN"/>
        </w:rPr>
        <w:t>及异议、投诉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_Toc14120 \h </w:instrText>
      </w:r>
      <w:r>
        <w:rPr>
          <w:rFonts w:hint="eastAsia" w:ascii="宋体" w:hAnsi="宋体" w:eastAsia="宋体" w:cs="宋体"/>
          <w:i w:val="0"/>
          <w:iCs w:val="0"/>
        </w:rPr>
        <w:fldChar w:fldCharType="separate"/>
      </w:r>
      <w:r>
        <w:rPr>
          <w:rFonts w:hint="eastAsia" w:ascii="宋体" w:hAnsi="宋体" w:eastAsia="宋体" w:cs="宋体"/>
          <w:i w:val="0"/>
          <w:iCs w:val="0"/>
        </w:rPr>
        <w:t>17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0D6B36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_Toc7700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en-US" w:eastAsia="zh-CN"/>
        </w:rPr>
        <w:t xml:space="preserve">30 </w:t>
      </w:r>
      <w:r>
        <w:rPr>
          <w:rFonts w:hint="eastAsia" w:ascii="宋体" w:hAnsi="宋体" w:eastAsia="宋体" w:cs="宋体"/>
          <w:bCs/>
          <w:i w:val="0"/>
          <w:iCs w:val="0"/>
          <w:kern w:val="2"/>
          <w:szCs w:val="21"/>
          <w:highlight w:val="none"/>
          <w:lang w:val="zh-CN"/>
        </w:rPr>
        <w:t>真实性审查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_Toc7700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8391FD9">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_Toc3336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1 </w:t>
      </w:r>
      <w:r>
        <w:rPr>
          <w:rFonts w:hint="eastAsia" w:ascii="宋体" w:hAnsi="宋体" w:eastAsia="宋体" w:cs="宋体"/>
          <w:i w:val="0"/>
          <w:iCs w:val="0"/>
          <w:kern w:val="2"/>
          <w:szCs w:val="21"/>
          <w:highlight w:val="none"/>
          <w:lang w:val="zh-CN"/>
        </w:rPr>
        <w:t>磋商小组和采购人接受或拒绝任何</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或所有</w:t>
      </w:r>
      <w:r>
        <w:rPr>
          <w:rFonts w:hint="eastAsia" w:ascii="宋体" w:hAnsi="宋体" w:eastAsia="宋体" w:cs="宋体"/>
          <w:i w:val="0"/>
          <w:iCs w:val="0"/>
          <w:kern w:val="2"/>
          <w:szCs w:val="21"/>
          <w:highlight w:val="none"/>
          <w:lang w:val="en-US" w:eastAsia="zh-CN"/>
        </w:rPr>
        <w:t>响应</w:t>
      </w:r>
      <w:r>
        <w:rPr>
          <w:rFonts w:hint="eastAsia" w:ascii="宋体" w:hAnsi="宋体" w:eastAsia="宋体" w:cs="宋体"/>
          <w:i w:val="0"/>
          <w:iCs w:val="0"/>
          <w:kern w:val="2"/>
          <w:szCs w:val="21"/>
          <w:highlight w:val="none"/>
          <w:lang w:val="zh-CN"/>
        </w:rPr>
        <w:t>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_Toc3336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194EBAA">
      <w:pPr>
        <w:pStyle w:val="47"/>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21"/>
          <w:highlight w:val="none"/>
          <w:lang w:val="zh-CN"/>
        </w:rPr>
        <w:t>六、授予合同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_Toc29619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EF0E422">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2 </w:t>
      </w:r>
      <w:r>
        <w:rPr>
          <w:rFonts w:hint="eastAsia" w:ascii="宋体" w:hAnsi="宋体" w:eastAsia="宋体" w:cs="宋体"/>
          <w:i w:val="0"/>
          <w:iCs w:val="0"/>
          <w:kern w:val="2"/>
          <w:szCs w:val="21"/>
          <w:highlight w:val="none"/>
          <w:lang w:val="zh-CN"/>
        </w:rPr>
        <w:t>授予合同的准则</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_Toc2314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2C91B8A">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_Toc304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3 成交</w:t>
      </w:r>
      <w:r>
        <w:rPr>
          <w:rFonts w:hint="eastAsia" w:ascii="宋体" w:hAnsi="宋体" w:eastAsia="宋体" w:cs="宋体"/>
          <w:i w:val="0"/>
          <w:iCs w:val="0"/>
          <w:kern w:val="2"/>
          <w:szCs w:val="21"/>
          <w:highlight w:val="none"/>
          <w:lang w:val="zh-CN"/>
        </w:rPr>
        <w:t>通知</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_Toc304 \h </w:instrText>
      </w:r>
      <w:r>
        <w:rPr>
          <w:rFonts w:hint="eastAsia" w:ascii="宋体" w:hAnsi="宋体" w:eastAsia="宋体" w:cs="宋体"/>
          <w:i w:val="0"/>
          <w:iCs w:val="0"/>
        </w:rPr>
        <w:fldChar w:fldCharType="separate"/>
      </w:r>
      <w:r>
        <w:rPr>
          <w:rFonts w:hint="eastAsia" w:ascii="宋体" w:hAnsi="宋体" w:eastAsia="宋体" w:cs="宋体"/>
          <w:i w:val="0"/>
          <w:iCs w:val="0"/>
        </w:rPr>
        <w:t>18</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41E5CD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_Toc29614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4 </w:t>
      </w:r>
      <w:r>
        <w:rPr>
          <w:rFonts w:hint="eastAsia" w:ascii="宋体" w:hAnsi="宋体" w:eastAsia="宋体" w:cs="宋体"/>
          <w:i w:val="0"/>
          <w:iCs w:val="0"/>
          <w:kern w:val="2"/>
          <w:szCs w:val="21"/>
          <w:highlight w:val="none"/>
          <w:lang w:val="zh-CN"/>
        </w:rPr>
        <w:t>签署合同</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_Toc29614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601EA74">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_Toc16657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5 </w:t>
      </w:r>
      <w:r>
        <w:rPr>
          <w:rFonts w:hint="eastAsia" w:ascii="宋体" w:hAnsi="宋体" w:eastAsia="宋体" w:cs="宋体"/>
          <w:i w:val="0"/>
          <w:iCs w:val="0"/>
          <w:kern w:val="2"/>
          <w:szCs w:val="21"/>
          <w:highlight w:val="none"/>
          <w:lang w:val="zh-CN"/>
        </w:rPr>
        <w:t>履约担保</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_Toc16657 \h </w:instrText>
      </w:r>
      <w:r>
        <w:rPr>
          <w:rFonts w:hint="eastAsia" w:ascii="宋体" w:hAnsi="宋体" w:eastAsia="宋体" w:cs="宋体"/>
          <w:i w:val="0"/>
          <w:iCs w:val="0"/>
        </w:rPr>
        <w:fldChar w:fldCharType="separate"/>
      </w:r>
      <w:r>
        <w:rPr>
          <w:rFonts w:hint="eastAsia" w:ascii="宋体" w:hAnsi="宋体" w:eastAsia="宋体" w:cs="宋体"/>
          <w:i w:val="0"/>
          <w:iCs w:val="0"/>
        </w:rPr>
        <w:t>19</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56E0BF90">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_Toc2374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6 </w:t>
      </w:r>
      <w:r>
        <w:rPr>
          <w:rFonts w:hint="eastAsia" w:ascii="宋体" w:hAnsi="宋体" w:eastAsia="宋体" w:cs="宋体"/>
          <w:i w:val="0"/>
          <w:iCs w:val="0"/>
          <w:kern w:val="2"/>
          <w:szCs w:val="21"/>
          <w:highlight w:val="none"/>
          <w:lang w:val="zh-CN"/>
        </w:rPr>
        <w:t>在合同履行中变更采购范围的权利</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_Toc2374 \h </w:instrText>
      </w:r>
      <w:r>
        <w:rPr>
          <w:rFonts w:hint="eastAsia" w:ascii="宋体" w:hAnsi="宋体" w:eastAsia="宋体" w:cs="宋体"/>
          <w:i w:val="0"/>
          <w:iCs w:val="0"/>
        </w:rPr>
        <w:fldChar w:fldCharType="separate"/>
      </w:r>
      <w:r>
        <w:rPr>
          <w:rFonts w:hint="eastAsia" w:ascii="宋体" w:hAnsi="宋体" w:eastAsia="宋体" w:cs="宋体"/>
          <w:i w:val="0"/>
          <w:iCs w:val="0"/>
        </w:rPr>
        <w:t>21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30A7411">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_Toc699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7 代理</w:t>
      </w:r>
      <w:r>
        <w:rPr>
          <w:rFonts w:hint="eastAsia" w:ascii="宋体" w:hAnsi="宋体" w:eastAsia="宋体" w:cs="宋体"/>
          <w:i w:val="0"/>
          <w:iCs w:val="0"/>
          <w:kern w:val="2"/>
          <w:szCs w:val="21"/>
          <w:highlight w:val="none"/>
          <w:lang w:val="zh-CN"/>
        </w:rPr>
        <w:t>服务费</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_Toc699 \h </w:instrText>
      </w:r>
      <w:r>
        <w:rPr>
          <w:rFonts w:hint="eastAsia" w:ascii="宋体" w:hAnsi="宋体" w:eastAsia="宋体" w:cs="宋体"/>
          <w:i w:val="0"/>
          <w:iCs w:val="0"/>
        </w:rPr>
        <w:fldChar w:fldCharType="separate"/>
      </w:r>
      <w:r>
        <w:rPr>
          <w:rFonts w:hint="eastAsia" w:ascii="宋体" w:hAnsi="宋体" w:eastAsia="宋体" w:cs="宋体"/>
          <w:i w:val="0"/>
          <w:iCs w:val="0"/>
        </w:rPr>
        <w:t>21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9075CAF">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_Toc13969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zh-CN"/>
        </w:rPr>
        <w:t>3</w:t>
      </w:r>
      <w:r>
        <w:rPr>
          <w:rFonts w:hint="eastAsia" w:ascii="宋体" w:hAnsi="宋体" w:eastAsia="宋体" w:cs="宋体"/>
          <w:i w:val="0"/>
          <w:iCs w:val="0"/>
          <w:kern w:val="2"/>
          <w:szCs w:val="21"/>
          <w:highlight w:val="none"/>
          <w:lang w:val="en-US" w:eastAsia="zh-CN"/>
        </w:rPr>
        <w:t xml:space="preserve">8 </w:t>
      </w:r>
      <w:r>
        <w:rPr>
          <w:rFonts w:hint="eastAsia" w:ascii="宋体" w:hAnsi="宋体" w:eastAsia="宋体" w:cs="宋体"/>
          <w:i w:val="0"/>
          <w:iCs w:val="0"/>
          <w:kern w:val="2"/>
          <w:szCs w:val="21"/>
          <w:highlight w:val="none"/>
          <w:lang w:val="zh-CN"/>
        </w:rPr>
        <w:t>发票</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_Toc13969 \h </w:instrText>
      </w:r>
      <w:r>
        <w:rPr>
          <w:rFonts w:hint="eastAsia" w:ascii="宋体" w:hAnsi="宋体" w:eastAsia="宋体" w:cs="宋体"/>
          <w:i w:val="0"/>
          <w:iCs w:val="0"/>
        </w:rPr>
        <w:fldChar w:fldCharType="separate"/>
      </w:r>
      <w:r>
        <w:rPr>
          <w:rFonts w:hint="eastAsia" w:ascii="宋体" w:hAnsi="宋体" w:eastAsia="宋体" w:cs="宋体"/>
          <w:i w:val="0"/>
          <w:iCs w:val="0"/>
        </w:rPr>
        <w:t>21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1022F797">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_Toc14106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2"/>
          <w:szCs w:val="21"/>
          <w:highlight w:val="none"/>
          <w:lang w:val="zh-CN"/>
        </w:rPr>
        <w:t>3</w:t>
      </w:r>
      <w:r>
        <w:rPr>
          <w:rFonts w:hint="eastAsia" w:ascii="宋体" w:hAnsi="宋体" w:eastAsia="宋体" w:cs="宋体"/>
          <w:bCs/>
          <w:i w:val="0"/>
          <w:iCs w:val="0"/>
          <w:kern w:val="2"/>
          <w:szCs w:val="21"/>
          <w:highlight w:val="none"/>
          <w:lang w:val="en-US" w:eastAsia="zh-CN"/>
        </w:rPr>
        <w:t>9 采购</w:t>
      </w:r>
      <w:r>
        <w:rPr>
          <w:rFonts w:hint="eastAsia" w:ascii="宋体" w:hAnsi="宋体" w:eastAsia="宋体" w:cs="宋体"/>
          <w:bCs/>
          <w:i w:val="0"/>
          <w:iCs w:val="0"/>
          <w:kern w:val="2"/>
          <w:szCs w:val="21"/>
          <w:highlight w:val="none"/>
          <w:lang w:val="zh-CN"/>
        </w:rPr>
        <w:t>相关补充约定</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_Toc14106 \h </w:instrText>
      </w:r>
      <w:r>
        <w:rPr>
          <w:rFonts w:hint="eastAsia" w:ascii="宋体" w:hAnsi="宋体" w:eastAsia="宋体" w:cs="宋体"/>
          <w:i w:val="0"/>
          <w:iCs w:val="0"/>
        </w:rPr>
        <w:fldChar w:fldCharType="separate"/>
      </w:r>
      <w:r>
        <w:rPr>
          <w:rFonts w:hint="eastAsia" w:ascii="宋体" w:hAnsi="宋体" w:eastAsia="宋体" w:cs="宋体"/>
          <w:i w:val="0"/>
          <w:iCs w:val="0"/>
        </w:rPr>
        <w:t>21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2776F503">
      <w:pPr>
        <w:pStyle w:val="31"/>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_Toc11090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i w:val="0"/>
          <w:iCs w:val="0"/>
          <w:kern w:val="2"/>
          <w:szCs w:val="21"/>
          <w:highlight w:val="none"/>
          <w:lang w:val="en-US" w:eastAsia="zh-CN"/>
        </w:rPr>
        <w:t xml:space="preserve">40 </w:t>
      </w:r>
      <w:r>
        <w:rPr>
          <w:rFonts w:hint="eastAsia" w:ascii="宋体" w:hAnsi="宋体" w:eastAsia="宋体" w:cs="宋体"/>
          <w:i w:val="0"/>
          <w:iCs w:val="0"/>
          <w:kern w:val="2"/>
          <w:szCs w:val="21"/>
          <w:highlight w:val="none"/>
          <w:lang w:val="zh-CN"/>
        </w:rPr>
        <w:t>本次采购活动的最终解释权归采购代理机构及采购人所有。</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_Toc11090 \h </w:instrText>
      </w:r>
      <w:r>
        <w:rPr>
          <w:rFonts w:hint="eastAsia" w:ascii="宋体" w:hAnsi="宋体" w:eastAsia="宋体" w:cs="宋体"/>
          <w:i w:val="0"/>
          <w:iCs w:val="0"/>
        </w:rPr>
        <w:fldChar w:fldCharType="separate"/>
      </w:r>
      <w:r>
        <w:rPr>
          <w:rFonts w:hint="eastAsia" w:ascii="宋体" w:hAnsi="宋体" w:eastAsia="宋体" w:cs="宋体"/>
          <w:i w:val="0"/>
          <w:iCs w:val="0"/>
        </w:rPr>
        <w:t>21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36B87B49">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_Toc20321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第三篇 用户需求书</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_Toc20321 \h </w:instrText>
      </w:r>
      <w:r>
        <w:rPr>
          <w:rFonts w:hint="eastAsia" w:ascii="宋体" w:hAnsi="宋体" w:eastAsia="宋体" w:cs="宋体"/>
          <w:i w:val="0"/>
          <w:iCs w:val="0"/>
        </w:rPr>
        <w:fldChar w:fldCharType="separate"/>
      </w:r>
      <w:r>
        <w:rPr>
          <w:rFonts w:hint="eastAsia" w:ascii="宋体" w:hAnsi="宋体" w:eastAsia="宋体" w:cs="宋体"/>
          <w:i w:val="0"/>
          <w:iCs w:val="0"/>
        </w:rPr>
        <w:t>22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0B8366DB">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_Toc31357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第四篇 合同条款格式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_Toc31357 \h </w:instrText>
      </w:r>
      <w:r>
        <w:rPr>
          <w:rFonts w:hint="eastAsia" w:ascii="宋体" w:hAnsi="宋体" w:eastAsia="宋体" w:cs="宋体"/>
          <w:i w:val="0"/>
          <w:iCs w:val="0"/>
        </w:rPr>
        <w:fldChar w:fldCharType="separate"/>
      </w:r>
      <w:r>
        <w:rPr>
          <w:rFonts w:hint="eastAsia" w:ascii="宋体" w:hAnsi="宋体" w:eastAsia="宋体" w:cs="宋体"/>
          <w:i w:val="0"/>
          <w:iCs w:val="0"/>
        </w:rPr>
        <w:t>27</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746E427D">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_Toc9981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szCs w:val="32"/>
          <w:lang w:val="zh-CN"/>
        </w:rPr>
        <w:t>第五篇 相关保函格式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_Toc9981 \h </w:instrText>
      </w:r>
      <w:r>
        <w:rPr>
          <w:rFonts w:hint="eastAsia" w:ascii="宋体" w:hAnsi="宋体" w:eastAsia="宋体" w:cs="宋体"/>
          <w:i w:val="0"/>
          <w:iCs w:val="0"/>
        </w:rPr>
        <w:fldChar w:fldCharType="separate"/>
      </w:r>
      <w:r>
        <w:rPr>
          <w:rFonts w:hint="eastAsia" w:ascii="宋体" w:hAnsi="宋体" w:eastAsia="宋体" w:cs="宋体"/>
          <w:i w:val="0"/>
          <w:iCs w:val="0"/>
        </w:rPr>
        <w:t>50</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009F186">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_Toc31983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lang w:val="zh-CN"/>
        </w:rPr>
        <w:t>第</w:t>
      </w:r>
      <w:r>
        <w:rPr>
          <w:rFonts w:hint="eastAsia" w:ascii="宋体" w:hAnsi="宋体" w:eastAsia="宋体" w:cs="宋体"/>
          <w:bCs/>
          <w:i w:val="0"/>
          <w:iCs w:val="0"/>
          <w:kern w:val="44"/>
          <w:szCs w:val="32"/>
          <w:lang w:val="en-US" w:eastAsia="zh-CN"/>
        </w:rPr>
        <w:t>六</w:t>
      </w:r>
      <w:r>
        <w:rPr>
          <w:rFonts w:hint="eastAsia" w:ascii="宋体" w:hAnsi="宋体" w:eastAsia="宋体" w:cs="宋体"/>
          <w:bCs/>
          <w:i w:val="0"/>
          <w:iCs w:val="0"/>
          <w:kern w:val="44"/>
          <w:szCs w:val="32"/>
          <w:lang w:val="zh-CN"/>
        </w:rPr>
        <w:t>篇</w:t>
      </w:r>
      <w:r>
        <w:rPr>
          <w:rFonts w:hint="eastAsia" w:ascii="宋体" w:hAnsi="宋体" w:eastAsia="宋体" w:cs="宋体"/>
          <w:bCs/>
          <w:i w:val="0"/>
          <w:iCs w:val="0"/>
          <w:kern w:val="44"/>
          <w:szCs w:val="32"/>
          <w:lang w:val="en-US" w:eastAsia="zh-CN"/>
        </w:rPr>
        <w:t xml:space="preserve"> </w:t>
      </w:r>
      <w:r>
        <w:rPr>
          <w:rFonts w:hint="eastAsia" w:ascii="宋体" w:hAnsi="宋体" w:eastAsia="宋体" w:cs="宋体"/>
          <w:bCs/>
          <w:i w:val="0"/>
          <w:iCs w:val="0"/>
          <w:kern w:val="44"/>
          <w:szCs w:val="32"/>
          <w:lang w:val="zh-CN"/>
        </w:rPr>
        <w:t>响应文件格式</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_Toc31983 \h </w:instrText>
      </w:r>
      <w:r>
        <w:rPr>
          <w:rFonts w:hint="eastAsia" w:ascii="宋体" w:hAnsi="宋体" w:eastAsia="宋体" w:cs="宋体"/>
          <w:i w:val="0"/>
          <w:iCs w:val="0"/>
        </w:rPr>
        <w:fldChar w:fldCharType="separate"/>
      </w:r>
      <w:r>
        <w:rPr>
          <w:rFonts w:hint="eastAsia" w:ascii="宋体" w:hAnsi="宋体" w:eastAsia="宋体" w:cs="宋体"/>
          <w:i w:val="0"/>
          <w:iCs w:val="0"/>
        </w:rPr>
        <w:t>52</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4721E648">
      <w:pPr>
        <w:pStyle w:val="42"/>
        <w:tabs>
          <w:tab w:val="right" w:leader="dot" w:pos="9070"/>
        </w:tabs>
        <w:spacing w:line="360" w:lineRule="auto"/>
        <w:rPr>
          <w:rFonts w:hint="eastAsia" w:ascii="宋体" w:hAnsi="宋体" w:eastAsia="宋体" w:cs="宋体"/>
          <w:i w:val="0"/>
          <w:iCs w:val="0"/>
        </w:rPr>
      </w:pPr>
      <w:r>
        <w:rPr>
          <w:rFonts w:hint="eastAsia" w:ascii="宋体" w:hAnsi="宋体" w:eastAsia="宋体" w:cs="宋体"/>
          <w:bCs w:val="0"/>
          <w:i w:val="0"/>
          <w:iCs w:val="0"/>
          <w:color w:val="auto"/>
          <w:szCs w:val="21"/>
          <w:highlight w:val="none"/>
        </w:rPr>
        <w:fldChar w:fldCharType="begin"/>
      </w:r>
      <w:r>
        <w:rPr>
          <w:rFonts w:hint="eastAsia" w:ascii="宋体" w:hAnsi="宋体" w:eastAsia="宋体" w:cs="宋体"/>
          <w:bCs w:val="0"/>
          <w:i w:val="0"/>
          <w:iCs w:val="0"/>
          <w:szCs w:val="21"/>
          <w:highlight w:val="none"/>
        </w:rPr>
        <w:instrText xml:space="preserve"> HYPERLINK \l _Toc31218 </w:instrText>
      </w:r>
      <w:r>
        <w:rPr>
          <w:rFonts w:hint="eastAsia" w:ascii="宋体" w:hAnsi="宋体" w:eastAsia="宋体" w:cs="宋体"/>
          <w:bCs w:val="0"/>
          <w:i w:val="0"/>
          <w:iCs w:val="0"/>
          <w:szCs w:val="21"/>
          <w:highlight w:val="none"/>
        </w:rPr>
        <w:fldChar w:fldCharType="separate"/>
      </w:r>
      <w:r>
        <w:rPr>
          <w:rFonts w:hint="eastAsia" w:ascii="宋体" w:hAnsi="宋体" w:eastAsia="宋体" w:cs="宋体"/>
          <w:bCs/>
          <w:i w:val="0"/>
          <w:iCs w:val="0"/>
          <w:kern w:val="44"/>
          <w:szCs w:val="32"/>
          <w:highlight w:val="none"/>
          <w:lang w:val="zh-CN"/>
        </w:rPr>
        <w:t>附件一：评审工作大纲</w:t>
      </w:r>
      <w:r>
        <w:rPr>
          <w:rFonts w:hint="eastAsia" w:ascii="宋体" w:hAnsi="宋体" w:eastAsia="宋体" w:cs="宋体"/>
          <w:i w:val="0"/>
          <w:iCs w:val="0"/>
        </w:rPr>
        <w:tab/>
      </w:r>
      <w:r>
        <w:rPr>
          <w:rFonts w:hint="eastAsia" w:ascii="宋体" w:hAnsi="宋体" w:eastAsia="宋体" w:cs="宋体"/>
          <w:i w:val="0"/>
          <w:iCs w:val="0"/>
        </w:rPr>
        <w:fldChar w:fldCharType="begin"/>
      </w:r>
      <w:r>
        <w:rPr>
          <w:rFonts w:hint="eastAsia" w:ascii="宋体" w:hAnsi="宋体" w:eastAsia="宋体" w:cs="宋体"/>
          <w:i w:val="0"/>
          <w:iCs w:val="0"/>
        </w:rPr>
        <w:instrText xml:space="preserve"> PAGEREF _Toc31218 \h </w:instrText>
      </w:r>
      <w:r>
        <w:rPr>
          <w:rFonts w:hint="eastAsia" w:ascii="宋体" w:hAnsi="宋体" w:eastAsia="宋体" w:cs="宋体"/>
          <w:i w:val="0"/>
          <w:iCs w:val="0"/>
        </w:rPr>
        <w:fldChar w:fldCharType="separate"/>
      </w:r>
      <w:r>
        <w:rPr>
          <w:rFonts w:hint="eastAsia" w:ascii="宋体" w:hAnsi="宋体" w:eastAsia="宋体" w:cs="宋体"/>
          <w:i w:val="0"/>
          <w:iCs w:val="0"/>
        </w:rPr>
        <w:t>91</w:t>
      </w:r>
      <w:r>
        <w:rPr>
          <w:rFonts w:hint="eastAsia" w:ascii="宋体" w:hAnsi="宋体" w:eastAsia="宋体" w:cs="宋体"/>
          <w:i w:val="0"/>
          <w:iCs w:val="0"/>
        </w:rPr>
        <w:fldChar w:fldCharType="end"/>
      </w:r>
      <w:r>
        <w:rPr>
          <w:rFonts w:hint="eastAsia" w:ascii="宋体" w:hAnsi="宋体" w:eastAsia="宋体" w:cs="宋体"/>
          <w:bCs w:val="0"/>
          <w:i w:val="0"/>
          <w:iCs w:val="0"/>
          <w:color w:val="auto"/>
          <w:szCs w:val="21"/>
          <w:highlight w:val="none"/>
        </w:rPr>
        <w:fldChar w:fldCharType="end"/>
      </w:r>
    </w:p>
    <w:p w14:paraId="6C867813">
      <w:pPr>
        <w:pStyle w:val="42"/>
        <w:keepNext w:val="0"/>
        <w:keepLines w:val="0"/>
        <w:pageBreakBefore w:val="0"/>
        <w:widowControl w:val="0"/>
        <w:tabs>
          <w:tab w:val="right" w:leader="dot" w:pos="9394"/>
        </w:tabs>
        <w:kinsoku/>
        <w:wordWrap/>
        <w:overflowPunct/>
        <w:topLinePunct w:val="0"/>
        <w:autoSpaceDE w:val="0"/>
        <w:autoSpaceDN w:val="0"/>
        <w:bidi w:val="0"/>
        <w:adjustRightInd/>
        <w:snapToGrid w:val="0"/>
        <w:spacing w:before="0" w:after="0" w:line="360" w:lineRule="auto"/>
        <w:ind w:left="0" w:firstLine="0" w:firstLineChars="0"/>
        <w:textAlignment w:val="auto"/>
        <w:rPr>
          <w:rFonts w:hint="eastAsia" w:ascii="宋体" w:hAnsi="宋体" w:eastAsia="宋体" w:cs="宋体"/>
          <w:b w:val="0"/>
          <w:bCs w:val="0"/>
          <w:i w:val="0"/>
          <w:iCs w:val="0"/>
          <w:caps w:val="0"/>
          <w:color w:val="auto"/>
          <w:kern w:val="2"/>
          <w:highlight w:val="none"/>
        </w:rPr>
      </w:pPr>
      <w:r>
        <w:rPr>
          <w:rFonts w:hint="eastAsia" w:ascii="宋体" w:hAnsi="宋体" w:eastAsia="宋体" w:cs="宋体"/>
          <w:bCs w:val="0"/>
          <w:i w:val="0"/>
          <w:iCs w:val="0"/>
          <w:color w:val="auto"/>
          <w:szCs w:val="21"/>
          <w:highlight w:val="none"/>
        </w:rPr>
        <w:fldChar w:fldCharType="end"/>
      </w:r>
      <w:r>
        <w:rPr>
          <w:rFonts w:hint="eastAsia" w:ascii="宋体" w:hAnsi="宋体" w:eastAsia="宋体" w:cs="宋体"/>
          <w:b w:val="0"/>
          <w:bCs w:val="0"/>
          <w:i w:val="0"/>
          <w:iCs w:val="0"/>
          <w:caps w:val="0"/>
          <w:color w:val="auto"/>
          <w:kern w:val="2"/>
          <w:highlight w:val="none"/>
        </w:rPr>
        <w:t xml:space="preserve"> </w:t>
      </w:r>
    </w:p>
    <w:p w14:paraId="1DB956C3">
      <w:pPr>
        <w:pStyle w:val="42"/>
        <w:keepNext w:val="0"/>
        <w:keepLines w:val="0"/>
        <w:pageBreakBefore w:val="0"/>
        <w:widowControl w:val="0"/>
        <w:tabs>
          <w:tab w:val="left" w:pos="851"/>
          <w:tab w:val="right" w:leader="dot" w:pos="8647"/>
          <w:tab w:val="right" w:leader="dot" w:pos="10206"/>
        </w:tabs>
        <w:kinsoku/>
        <w:wordWrap/>
        <w:overflowPunct/>
        <w:topLinePunct w:val="0"/>
        <w:autoSpaceDE w:val="0"/>
        <w:autoSpaceDN w:val="0"/>
        <w:bidi w:val="0"/>
        <w:snapToGrid/>
        <w:spacing w:before="0" w:after="0" w:line="360" w:lineRule="auto"/>
        <w:ind w:right="-50" w:rightChars="-21"/>
        <w:jc w:val="distribute"/>
        <w:textAlignment w:val="auto"/>
        <w:rPr>
          <w:rFonts w:hint="eastAsia" w:ascii="宋体" w:hAnsi="宋体" w:eastAsia="宋体" w:cs="宋体"/>
          <w:color w:val="auto"/>
          <w:sz w:val="21"/>
          <w:szCs w:val="21"/>
          <w:highlight w:val="none"/>
        </w:rPr>
      </w:pPr>
    </w:p>
    <w:p w14:paraId="02B96C20">
      <w:pPr>
        <w:pStyle w:val="3"/>
        <w:keepNext/>
        <w:keepLines/>
        <w:pageBreakBefore/>
        <w:tabs>
          <w:tab w:val="left" w:pos="1080"/>
        </w:tabs>
        <w:spacing w:line="360" w:lineRule="auto"/>
        <w:ind w:left="567" w:hanging="567"/>
        <w:jc w:val="center"/>
        <w:rPr>
          <w:rFonts w:hint="eastAsia" w:ascii="宋体" w:hAnsi="宋体" w:eastAsia="宋体"/>
          <w:b/>
          <w:bCs/>
          <w:kern w:val="44"/>
          <w:sz w:val="32"/>
          <w:szCs w:val="32"/>
          <w:lang w:val="en-US" w:eastAsia="zh-CN"/>
        </w:rPr>
      </w:pPr>
      <w:bookmarkStart w:id="0" w:name="_Toc450662846"/>
      <w:bookmarkStart w:id="1" w:name="_Toc521918064"/>
      <w:bookmarkStart w:id="2" w:name="_Toc12763"/>
      <w:r>
        <w:rPr>
          <w:rFonts w:hint="eastAsia" w:ascii="宋体" w:hAnsi="宋体" w:eastAsia="宋体"/>
          <w:b/>
          <w:bCs/>
          <w:kern w:val="44"/>
          <w:sz w:val="32"/>
          <w:szCs w:val="32"/>
          <w:lang w:val="zh-CN"/>
        </w:rPr>
        <w:t>第一篇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竞争性磋商</w:t>
      </w:r>
      <w:bookmarkEnd w:id="0"/>
      <w:bookmarkEnd w:id="1"/>
      <w:r>
        <w:rPr>
          <w:rFonts w:hint="eastAsia" w:ascii="宋体" w:hAnsi="宋体" w:eastAsia="宋体"/>
          <w:b/>
          <w:bCs/>
          <w:kern w:val="44"/>
          <w:sz w:val="32"/>
          <w:szCs w:val="32"/>
          <w:lang w:val="en-US" w:eastAsia="zh-CN"/>
        </w:rPr>
        <w:t>公告</w:t>
      </w:r>
      <w:bookmarkEnd w:id="2"/>
    </w:p>
    <w:p w14:paraId="4BE19DFA">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right="0" w:firstLine="420" w:firstLineChars="200"/>
        <w:jc w:val="both"/>
        <w:textAlignment w:val="auto"/>
        <w:rPr>
          <w:rFonts w:hint="eastAsia" w:ascii="宋体" w:hAnsi="宋体" w:eastAsia="宋体" w:cs="宋体"/>
          <w:color w:val="auto"/>
          <w:kern w:val="2"/>
          <w:sz w:val="21"/>
          <w:szCs w:val="21"/>
          <w:highlight w:val="none"/>
          <w:lang w:val="en-US" w:eastAsia="zh-CN"/>
        </w:rPr>
      </w:pPr>
    </w:p>
    <w:p w14:paraId="0F9AA599">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各潜在供应商：</w:t>
      </w:r>
    </w:p>
    <w:p w14:paraId="0161BB4C">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cs="宋体"/>
          <w:color w:val="auto"/>
          <w:kern w:val="2"/>
          <w:sz w:val="21"/>
          <w:szCs w:val="21"/>
          <w:highlight w:val="none"/>
          <w:lang w:val="en-US" w:eastAsia="zh-CN"/>
        </w:rPr>
        <w:t>广东有德招标采购有限公司</w:t>
      </w:r>
      <w:r>
        <w:rPr>
          <w:rFonts w:hint="eastAsia" w:ascii="宋体" w:hAnsi="宋体" w:eastAsia="宋体" w:cs="宋体"/>
          <w:color w:val="auto"/>
          <w:kern w:val="2"/>
          <w:sz w:val="21"/>
          <w:szCs w:val="21"/>
          <w:highlight w:val="none"/>
          <w:lang w:val="en-US" w:eastAsia="zh-CN"/>
        </w:rPr>
        <w:t xml:space="preserve"> （以下简称“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代理机构”）受东莞市众源环境投资有限公司（以下简称“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人”）的委托，对</w:t>
      </w:r>
      <w:bookmarkStart w:id="3" w:name="_Hlk41903390"/>
      <w:r>
        <w:rPr>
          <w:rFonts w:hint="eastAsia" w:ascii="宋体" w:hAnsi="宋体" w:cs="宋体"/>
          <w:color w:val="auto"/>
          <w:kern w:val="2"/>
          <w:sz w:val="21"/>
          <w:szCs w:val="21"/>
          <w:highlight w:val="none"/>
          <w:lang w:val="en-US" w:eastAsia="zh-CN"/>
        </w:rPr>
        <w:t>东莞市众源环境投资有限公司污水处理厂污泥脱水减量处理服务（BOT权属东江下游片区）采购项目（麻涌一期重新采购）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en-US" w:eastAsia="zh-CN"/>
        </w:rPr>
        <w:t>编号：</w:t>
      </w:r>
      <w:r>
        <w:rPr>
          <w:rFonts w:hint="eastAsia" w:ascii="宋体" w:hAnsi="宋体" w:cs="宋体"/>
          <w:color w:val="auto"/>
          <w:kern w:val="2"/>
          <w:sz w:val="21"/>
          <w:szCs w:val="21"/>
          <w:highlight w:val="none"/>
          <w:lang w:val="en-US" w:eastAsia="zh-CN"/>
        </w:rPr>
        <w:t xml:space="preserve">YDZB24DGQY0031-1 </w:t>
      </w:r>
      <w:r>
        <w:rPr>
          <w:rFonts w:hint="eastAsia" w:ascii="宋体" w:hAnsi="宋体" w:eastAsia="宋体" w:cs="宋体"/>
          <w:color w:val="auto"/>
          <w:kern w:val="2"/>
          <w:sz w:val="21"/>
          <w:szCs w:val="21"/>
          <w:highlight w:val="none"/>
          <w:lang w:val="en-US" w:eastAsia="zh-CN"/>
        </w:rPr>
        <w:t>)</w:t>
      </w:r>
      <w:bookmarkEnd w:id="3"/>
      <w:r>
        <w:rPr>
          <w:rFonts w:hint="eastAsia" w:ascii="宋体" w:hAnsi="宋体" w:eastAsia="宋体" w:cs="宋体"/>
          <w:color w:val="auto"/>
          <w:kern w:val="2"/>
          <w:sz w:val="21"/>
          <w:szCs w:val="21"/>
          <w:highlight w:val="none"/>
          <w:lang w:val="en-US" w:eastAsia="zh-CN"/>
        </w:rPr>
        <w:t>进行</w:t>
      </w:r>
      <w:r>
        <w:rPr>
          <w:rFonts w:hint="eastAsia" w:ascii="宋体" w:hAnsi="宋体" w:cs="宋体"/>
          <w:color w:val="auto"/>
          <w:kern w:val="2"/>
          <w:sz w:val="21"/>
          <w:szCs w:val="21"/>
          <w:highlight w:val="none"/>
          <w:lang w:val="en-US" w:eastAsia="zh-CN"/>
        </w:rPr>
        <w:t>竞争性磋商采购</w:t>
      </w:r>
      <w:r>
        <w:rPr>
          <w:rFonts w:hint="eastAsia" w:ascii="宋体" w:hAnsi="宋体" w:eastAsia="宋体" w:cs="宋体"/>
          <w:color w:val="auto"/>
          <w:kern w:val="2"/>
          <w:sz w:val="21"/>
          <w:szCs w:val="21"/>
          <w:highlight w:val="none"/>
          <w:lang w:val="en-US" w:eastAsia="zh-CN"/>
        </w:rPr>
        <w:t>，</w:t>
      </w:r>
      <w:r>
        <w:rPr>
          <w:rFonts w:hint="eastAsia" w:ascii="宋体" w:hAnsi="宋体" w:cs="宋体"/>
          <w:color w:val="auto"/>
          <w:kern w:val="2"/>
          <w:sz w:val="21"/>
          <w:szCs w:val="21"/>
          <w:highlight w:val="none"/>
          <w:lang w:val="en-US" w:eastAsia="zh-CN"/>
        </w:rPr>
        <w:t>详细内容</w:t>
      </w:r>
      <w:r>
        <w:rPr>
          <w:rFonts w:hint="eastAsia" w:ascii="宋体" w:hAnsi="宋体" w:eastAsia="宋体" w:cs="宋体"/>
          <w:color w:val="auto"/>
          <w:kern w:val="2"/>
          <w:sz w:val="21"/>
          <w:szCs w:val="21"/>
          <w:highlight w:val="none"/>
          <w:lang w:val="en-US" w:eastAsia="zh-CN"/>
        </w:rPr>
        <w:t>请参见本</w:t>
      </w:r>
      <w:r>
        <w:rPr>
          <w:rFonts w:hint="eastAsia" w:ascii="宋体" w:hAnsi="宋体" w:cs="宋体"/>
          <w:color w:val="auto"/>
          <w:kern w:val="2"/>
          <w:sz w:val="21"/>
          <w:szCs w:val="21"/>
          <w:highlight w:val="none"/>
          <w:lang w:val="en-US" w:eastAsia="zh-CN"/>
        </w:rPr>
        <w:t>竞争性磋商</w:t>
      </w:r>
      <w:r>
        <w:rPr>
          <w:rFonts w:hint="eastAsia" w:ascii="宋体" w:hAnsi="宋体" w:eastAsia="宋体" w:cs="宋体"/>
          <w:color w:val="auto"/>
          <w:kern w:val="2"/>
          <w:sz w:val="21"/>
          <w:szCs w:val="21"/>
          <w:highlight w:val="none"/>
          <w:lang w:val="en-US" w:eastAsia="zh-CN"/>
        </w:rPr>
        <w:t>文件。欢迎符合条件的合格</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en-US" w:eastAsia="zh-CN"/>
        </w:rPr>
        <w:t>参加，有关事项如下：</w:t>
      </w:r>
    </w:p>
    <w:p w14:paraId="0EDF5F1F">
      <w:pPr>
        <w:keepNext w:val="0"/>
        <w:keepLines w:val="0"/>
        <w:pageBreakBefore w:val="0"/>
        <w:widowControl w:val="0"/>
        <w:tabs>
          <w:tab w:val="left" w:pos="0"/>
          <w:tab w:val="left" w:pos="142"/>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color w:val="auto"/>
          <w:kern w:val="2"/>
          <w:sz w:val="21"/>
          <w:szCs w:val="21"/>
          <w:highlight w:val="none"/>
          <w:lang w:val="zh-CN"/>
        </w:rPr>
      </w:pPr>
    </w:p>
    <w:p w14:paraId="6363D748">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cs="宋体"/>
          <w:b/>
          <w:bCs/>
          <w:color w:val="auto"/>
          <w:kern w:val="2"/>
          <w:sz w:val="21"/>
          <w:szCs w:val="21"/>
          <w:highlight w:val="none"/>
          <w:lang w:val="en-US" w:eastAsia="zh-CN"/>
        </w:rPr>
        <w:t>1   采购</w:t>
      </w:r>
      <w:r>
        <w:rPr>
          <w:rFonts w:hint="eastAsia" w:ascii="宋体" w:hAnsi="宋体" w:eastAsia="宋体" w:cs="宋体"/>
          <w:b/>
          <w:bCs/>
          <w:color w:val="auto"/>
          <w:kern w:val="2"/>
          <w:sz w:val="21"/>
          <w:szCs w:val="21"/>
          <w:highlight w:val="none"/>
          <w:lang w:val="zh-CN"/>
        </w:rPr>
        <w:t>范围：</w:t>
      </w:r>
    </w:p>
    <w:p w14:paraId="5D204CD3">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邀请合格</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就下列</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范围内所有内容提交密封</w:t>
      </w:r>
      <w:r>
        <w:rPr>
          <w:rFonts w:hint="eastAsia" w:ascii="宋体" w:hAnsi="宋体" w:cs="宋体"/>
          <w:color w:val="auto"/>
          <w:kern w:val="2"/>
          <w:sz w:val="21"/>
          <w:szCs w:val="21"/>
          <w:highlight w:val="none"/>
          <w:lang w:val="en-US" w:eastAsia="zh-CN"/>
        </w:rPr>
        <w:t>响应文件</w:t>
      </w:r>
    </w:p>
    <w:tbl>
      <w:tblPr>
        <w:tblStyle w:val="56"/>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1570"/>
        <w:gridCol w:w="2400"/>
        <w:gridCol w:w="1922"/>
        <w:gridCol w:w="1453"/>
        <w:gridCol w:w="1781"/>
      </w:tblGrid>
      <w:tr w14:paraId="328A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467" w:type="dxa"/>
            <w:vAlign w:val="center"/>
          </w:tcPr>
          <w:p w14:paraId="3DC2EA4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序号</w:t>
            </w:r>
          </w:p>
        </w:tc>
        <w:tc>
          <w:tcPr>
            <w:tcW w:w="1570" w:type="dxa"/>
            <w:vAlign w:val="center"/>
          </w:tcPr>
          <w:p w14:paraId="37D1E328">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脱水减量化项目名称</w:t>
            </w:r>
          </w:p>
        </w:tc>
        <w:tc>
          <w:tcPr>
            <w:tcW w:w="2400" w:type="dxa"/>
            <w:vAlign w:val="center"/>
          </w:tcPr>
          <w:p w14:paraId="4175930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服务内容</w:t>
            </w:r>
          </w:p>
        </w:tc>
        <w:tc>
          <w:tcPr>
            <w:tcW w:w="1922" w:type="dxa"/>
            <w:vAlign w:val="center"/>
          </w:tcPr>
          <w:p w14:paraId="7474B71F">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预估年度污泥处理量（按含水率80%的湿泥计，吨）</w:t>
            </w:r>
          </w:p>
        </w:tc>
        <w:tc>
          <w:tcPr>
            <w:tcW w:w="1453" w:type="dxa"/>
            <w:vAlign w:val="center"/>
          </w:tcPr>
          <w:p w14:paraId="1273611C">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p>
        </w:tc>
        <w:tc>
          <w:tcPr>
            <w:tcW w:w="1781" w:type="dxa"/>
            <w:vAlign w:val="center"/>
          </w:tcPr>
          <w:p w14:paraId="14405CE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w:t>
            </w:r>
          </w:p>
        </w:tc>
      </w:tr>
      <w:tr w14:paraId="10E2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67" w:type="dxa"/>
            <w:vAlign w:val="center"/>
          </w:tcPr>
          <w:p w14:paraId="1E78870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p>
        </w:tc>
        <w:tc>
          <w:tcPr>
            <w:tcW w:w="1570" w:type="dxa"/>
            <w:vAlign w:val="center"/>
          </w:tcPr>
          <w:p w14:paraId="3C8069A6">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麻涌一期</w:t>
            </w:r>
          </w:p>
        </w:tc>
        <w:tc>
          <w:tcPr>
            <w:tcW w:w="2400" w:type="dxa"/>
            <w:vAlign w:val="center"/>
          </w:tcPr>
          <w:p w14:paraId="3F44539D">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由服务单位在污水处理厂内实施污泥脱水减量化服务，将从污水厂储泥池或沉淀池抽取的污泥脱水减量至含水率不高于55%的半干化泥粉。</w:t>
            </w:r>
          </w:p>
        </w:tc>
        <w:tc>
          <w:tcPr>
            <w:tcW w:w="1922" w:type="dxa"/>
            <w:vAlign w:val="center"/>
          </w:tcPr>
          <w:p w14:paraId="18DA547E">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10,950</w:t>
            </w:r>
          </w:p>
        </w:tc>
        <w:tc>
          <w:tcPr>
            <w:tcW w:w="1453" w:type="dxa"/>
            <w:vAlign w:val="center"/>
          </w:tcPr>
          <w:p w14:paraId="071F87B1">
            <w:pPr>
              <w:keepNext w:val="0"/>
              <w:keepLines w:val="0"/>
              <w:suppressLineNumbers w:val="0"/>
              <w:snapToGrid w:val="0"/>
              <w:spacing w:before="0" w:beforeAutospacing="0" w:after="0" w:afterAutospacing="0" w:line="24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麻涌镇新沙公园南一路9号</w:t>
            </w:r>
          </w:p>
        </w:tc>
        <w:tc>
          <w:tcPr>
            <w:tcW w:w="1781" w:type="dxa"/>
          </w:tcPr>
          <w:p w14:paraId="77765557">
            <w:pPr>
              <w:keepNext w:val="0"/>
              <w:keepLines w:val="0"/>
              <w:suppressLineNumbers w:val="0"/>
              <w:snapToGrid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rPr>
              <w:t>自采购人发出《进场通知书》之日起至2026年1月4日止。</w:t>
            </w:r>
          </w:p>
        </w:tc>
      </w:tr>
    </w:tbl>
    <w:p w14:paraId="4F372994">
      <w:pPr>
        <w:tabs>
          <w:tab w:val="left" w:pos="0"/>
        </w:tabs>
        <w:spacing w:line="360" w:lineRule="auto"/>
        <w:ind w:firstLine="420" w:firstLineChars="200"/>
        <w:jc w:val="both"/>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（具体内容详见：第三篇用户需求书）</w:t>
      </w:r>
    </w:p>
    <w:p w14:paraId="5F53DC90">
      <w:pPr>
        <w:tabs>
          <w:tab w:val="left" w:pos="0"/>
        </w:tabs>
        <w:spacing w:line="360" w:lineRule="auto"/>
        <w:ind w:left="0" w:leftChars="0" w:right="-34" w:firstLine="0" w:firstLineChars="0"/>
        <w:jc w:val="both"/>
        <w:rPr>
          <w:rFonts w:hint="eastAsia" w:ascii="宋体" w:hAnsi="宋体" w:eastAsia="宋体" w:cs="宋体"/>
          <w:color w:val="auto"/>
          <w:kern w:val="2"/>
          <w:sz w:val="21"/>
          <w:szCs w:val="21"/>
          <w:highlight w:val="none"/>
        </w:rPr>
      </w:pPr>
    </w:p>
    <w:p w14:paraId="62AADBAA">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rPr>
        <w:t>合格供应商资格</w:t>
      </w:r>
      <w:r>
        <w:rPr>
          <w:rFonts w:hint="eastAsia" w:ascii="宋体" w:hAnsi="宋体" w:eastAsia="宋体" w:cs="宋体"/>
          <w:b/>
          <w:bCs/>
          <w:color w:val="auto"/>
          <w:kern w:val="2"/>
          <w:sz w:val="21"/>
          <w:szCs w:val="21"/>
          <w:highlight w:val="none"/>
          <w:lang w:val="en-US" w:eastAsia="zh-CN"/>
        </w:rPr>
        <w:t>要求</w:t>
      </w:r>
      <w:r>
        <w:rPr>
          <w:rFonts w:hint="eastAsia" w:ascii="宋体" w:hAnsi="宋体" w:eastAsia="宋体" w:cs="宋体"/>
          <w:b/>
          <w:bCs/>
          <w:color w:val="auto"/>
          <w:kern w:val="2"/>
          <w:sz w:val="21"/>
          <w:szCs w:val="21"/>
          <w:highlight w:val="none"/>
          <w:lang w:val="zh-CN"/>
        </w:rPr>
        <w:t>：</w:t>
      </w:r>
    </w:p>
    <w:p w14:paraId="00E9BAFC">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2.1</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在中华人民共和国境内登记注册的、合法存续、正常经营且具有独立承担民事责任能力的法人</w:t>
      </w:r>
    </w:p>
    <w:p w14:paraId="617B64DA">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或其他组织。</w:t>
      </w:r>
    </w:p>
    <w:p w14:paraId="6861E313">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color w:val="auto"/>
          <w:sz w:val="21"/>
          <w:szCs w:val="21"/>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lang w:val="en-US" w:eastAsia="zh-CN"/>
        </w:rPr>
        <w:t>供应商</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日以来具有一</w:t>
      </w:r>
      <w:r>
        <w:rPr>
          <w:rFonts w:hint="eastAsia" w:ascii="宋体" w:hAnsi="宋体" w:eastAsia="宋体" w:cs="宋体"/>
          <w:b/>
          <w:color w:val="auto"/>
          <w:sz w:val="21"/>
          <w:szCs w:val="21"/>
          <w:lang w:val="en-US" w:eastAsia="zh-CN"/>
        </w:rPr>
        <w:t>项</w:t>
      </w:r>
      <w:r>
        <w:rPr>
          <w:rFonts w:hint="eastAsia" w:ascii="宋体" w:hAnsi="宋体" w:eastAsia="宋体" w:cs="宋体"/>
          <w:b/>
          <w:color w:val="auto"/>
          <w:sz w:val="21"/>
          <w:szCs w:val="21"/>
          <w:lang w:val="zh-CN"/>
        </w:rPr>
        <w:t>生活污水处理厂污泥脱水减量化处理服务业绩（合同签订日</w:t>
      </w:r>
    </w:p>
    <w:p w14:paraId="43399B45">
      <w:pPr>
        <w:keepNext w:val="0"/>
        <w:keepLines w:val="0"/>
        <w:pageBreakBefore w:val="0"/>
        <w:widowControl w:val="0"/>
        <w:tabs>
          <w:tab w:val="left" w:pos="0"/>
        </w:tabs>
        <w:kinsoku/>
        <w:wordWrap/>
        <w:overflowPunct/>
        <w:topLinePunct w:val="0"/>
        <w:autoSpaceDE w:val="0"/>
        <w:autoSpaceDN w:val="0"/>
        <w:bidi w:val="0"/>
        <w:adjustRightInd w:val="0"/>
        <w:snapToGrid/>
        <w:spacing w:line="360" w:lineRule="auto"/>
        <w:ind w:left="420" w:leftChars="175" w:right="0" w:firstLine="0" w:firstLineChars="0"/>
        <w:jc w:val="both"/>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color w:val="auto"/>
          <w:sz w:val="21"/>
          <w:szCs w:val="21"/>
          <w:lang w:val="zh-CN"/>
        </w:rPr>
        <w:t>期为</w:t>
      </w:r>
      <w:r>
        <w:rPr>
          <w:rFonts w:hint="eastAsia" w:ascii="宋体" w:hAnsi="宋体" w:eastAsia="宋体" w:cs="宋体"/>
          <w:b/>
          <w:color w:val="auto"/>
          <w:sz w:val="21"/>
          <w:szCs w:val="21"/>
        </w:rPr>
        <w:t>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月</w:t>
      </w: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日或以后）</w:t>
      </w:r>
      <w:r>
        <w:rPr>
          <w:rFonts w:hint="eastAsia" w:ascii="宋体" w:hAnsi="宋体" w:eastAsia="宋体" w:cs="宋体"/>
          <w:b/>
          <w:bCs/>
          <w:color w:val="auto"/>
          <w:sz w:val="21"/>
          <w:szCs w:val="21"/>
          <w:highlight w:val="none"/>
          <w:lang w:val="zh-CN"/>
        </w:rPr>
        <w:t>。</w:t>
      </w:r>
    </w:p>
    <w:p w14:paraId="40A172F1">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2.</w:t>
      </w:r>
      <w:r>
        <w:rPr>
          <w:rFonts w:hint="eastAsia" w:ascii="宋体" w:hAnsi="宋体" w:eastAsia="宋体" w:cs="宋体"/>
          <w:b/>
          <w:bCs/>
          <w:color w:val="auto"/>
          <w:kern w:val="2"/>
          <w:sz w:val="21"/>
          <w:szCs w:val="21"/>
          <w:highlight w:val="none"/>
          <w:lang w:val="en-US" w:eastAsia="zh-CN"/>
        </w:rPr>
        <w:t>3</w:t>
      </w:r>
      <w:r>
        <w:rPr>
          <w:rFonts w:hint="eastAsia" w:ascii="宋体" w:hAnsi="宋体" w:eastAsia="宋体" w:cs="宋体"/>
          <w:b/>
          <w:bCs/>
          <w:color w:val="auto"/>
          <w:kern w:val="2"/>
          <w:sz w:val="21"/>
          <w:szCs w:val="21"/>
          <w:highlight w:val="none"/>
          <w:lang w:val="zh-CN"/>
        </w:rPr>
        <w:t xml:space="preserve"> 本项目不接受联合体</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w:t>
      </w:r>
    </w:p>
    <w:p w14:paraId="7DC97AF0">
      <w:pPr>
        <w:keepNext w:val="0"/>
        <w:keepLines w:val="0"/>
        <w:pageBreakBefore w:val="0"/>
        <w:numPr>
          <w:ilvl w:val="0"/>
          <w:numId w:val="0"/>
        </w:numPr>
        <w:tabs>
          <w:tab w:val="left" w:pos="0"/>
          <w:tab w:val="left" w:pos="360"/>
        </w:tabs>
        <w:kinsoku/>
        <w:wordWrap/>
        <w:overflowPunct/>
        <w:topLinePunct w:val="0"/>
        <w:autoSpaceDE/>
        <w:autoSpaceDN/>
        <w:bidi w:val="0"/>
        <w:adjustRightInd/>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6B643421">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0" w:firstLineChars="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供应商获取竞争性</w:t>
      </w:r>
      <w:r>
        <w:rPr>
          <w:rFonts w:hint="eastAsia" w:ascii="宋体" w:hAnsi="宋体" w:eastAsia="宋体" w:cs="宋体"/>
          <w:b/>
          <w:bCs/>
          <w:color w:val="auto"/>
          <w:kern w:val="2"/>
          <w:sz w:val="21"/>
          <w:szCs w:val="21"/>
          <w:highlight w:val="none"/>
        </w:rPr>
        <w:t>磋商</w:t>
      </w:r>
      <w:r>
        <w:rPr>
          <w:rFonts w:hint="eastAsia" w:ascii="宋体" w:hAnsi="宋体" w:eastAsia="宋体" w:cs="宋体"/>
          <w:b/>
          <w:bCs/>
          <w:color w:val="auto"/>
          <w:kern w:val="2"/>
          <w:sz w:val="21"/>
          <w:szCs w:val="21"/>
          <w:highlight w:val="none"/>
          <w:lang w:val="zh-CN"/>
        </w:rPr>
        <w:t>文件</w:t>
      </w:r>
      <w:r>
        <w:rPr>
          <w:rFonts w:hint="eastAsia" w:ascii="宋体" w:hAnsi="宋体" w:cs="宋体"/>
          <w:b/>
          <w:bCs/>
          <w:color w:val="auto"/>
          <w:kern w:val="2"/>
          <w:sz w:val="21"/>
          <w:szCs w:val="21"/>
          <w:highlight w:val="none"/>
          <w:lang w:val="en-US" w:eastAsia="zh-CN"/>
        </w:rPr>
        <w:t>的</w:t>
      </w:r>
      <w:r>
        <w:rPr>
          <w:rFonts w:hint="eastAsia" w:ascii="宋体" w:hAnsi="宋体" w:eastAsia="宋体" w:cs="宋体"/>
          <w:b/>
          <w:bCs/>
          <w:color w:val="auto"/>
          <w:kern w:val="2"/>
          <w:sz w:val="21"/>
          <w:szCs w:val="21"/>
          <w:highlight w:val="none"/>
          <w:lang w:val="zh-CN"/>
        </w:rPr>
        <w:t>方式：</w:t>
      </w:r>
    </w:p>
    <w:p w14:paraId="01F4A26C">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本项目采用“不记名网上下载”的方式发布竞争性磋商文件，有意向</w:t>
      </w:r>
      <w:r>
        <w:rPr>
          <w:rFonts w:hint="eastAsia" w:ascii="宋体" w:hAnsi="宋体" w:cs="宋体"/>
          <w:color w:val="auto"/>
          <w:kern w:val="2"/>
          <w:sz w:val="21"/>
          <w:szCs w:val="21"/>
          <w:highlight w:val="none"/>
          <w:lang w:val="en-US" w:eastAsia="zh-CN"/>
        </w:rPr>
        <w:t>参加</w:t>
      </w:r>
      <w:r>
        <w:rPr>
          <w:rFonts w:hint="eastAsia" w:ascii="宋体" w:hAnsi="宋体" w:eastAsia="宋体" w:cs="宋体"/>
          <w:color w:val="auto"/>
          <w:kern w:val="2"/>
          <w:sz w:val="21"/>
          <w:szCs w:val="21"/>
          <w:highlight w:val="none"/>
          <w:lang w:val="zh-CN"/>
        </w:rPr>
        <w:t>的供应商可于本项目</w:t>
      </w:r>
    </w:p>
    <w:p w14:paraId="485F3135">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递交响应文件截止时间前，在本项目</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信息发布媒介</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详见本竞争性磋商公告第7点（除中国</w:t>
      </w:r>
    </w:p>
    <w:p w14:paraId="4B035F58">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rPr>
        <w:t>招标投标公共服务平台外）</w:t>
      </w:r>
      <w:r>
        <w:rPr>
          <w:rFonts w:hint="eastAsia" w:ascii="宋体" w:hAnsi="宋体" w:eastAsia="宋体" w:cs="宋体"/>
          <w:color w:val="auto"/>
          <w:kern w:val="2"/>
          <w:sz w:val="21"/>
          <w:szCs w:val="21"/>
          <w:highlight w:val="none"/>
          <w:lang w:val="zh-CN" w:eastAsia="zh-CN"/>
        </w:rPr>
        <w:t>】</w:t>
      </w:r>
      <w:r>
        <w:rPr>
          <w:rFonts w:hint="eastAsia" w:ascii="宋体" w:hAnsi="宋体" w:eastAsia="宋体" w:cs="宋体"/>
          <w:color w:val="auto"/>
          <w:kern w:val="2"/>
          <w:sz w:val="21"/>
          <w:szCs w:val="21"/>
          <w:highlight w:val="none"/>
          <w:lang w:val="zh-CN"/>
        </w:rPr>
        <w:t>下载竞争性磋商文件【</w:t>
      </w:r>
      <w:r>
        <w:rPr>
          <w:rFonts w:hint="eastAsia" w:ascii="宋体" w:hAnsi="宋体" w:eastAsia="宋体" w:cs="宋体"/>
          <w:color w:val="auto"/>
          <w:kern w:val="2"/>
          <w:sz w:val="21"/>
          <w:szCs w:val="21"/>
          <w:highlight w:val="none"/>
          <w:lang w:val="zh-CN" w:eastAsia="zh-CN"/>
        </w:rPr>
        <w:t>本竞争性磋商公告第7点</w:t>
      </w:r>
      <w:r>
        <w:rPr>
          <w:rFonts w:hint="eastAsia" w:ascii="宋体" w:hAnsi="宋体" w:eastAsia="宋体" w:cs="宋体"/>
          <w:color w:val="auto"/>
          <w:kern w:val="2"/>
          <w:sz w:val="21"/>
          <w:szCs w:val="21"/>
          <w:highlight w:val="none"/>
          <w:lang w:val="zh-CN"/>
        </w:rPr>
        <w:t>媒介</w:t>
      </w:r>
      <w:r>
        <w:rPr>
          <w:rFonts w:hint="eastAsia" w:ascii="宋体" w:hAnsi="宋体" w:eastAsia="宋体" w:cs="宋体"/>
          <w:color w:val="auto"/>
          <w:kern w:val="2"/>
          <w:sz w:val="21"/>
          <w:szCs w:val="21"/>
          <w:highlight w:val="none"/>
          <w:lang w:val="zh-CN" w:eastAsia="zh-CN"/>
        </w:rPr>
        <w:t>发布竞争性磋</w:t>
      </w:r>
    </w:p>
    <w:p w14:paraId="278E6E43">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商文件不一致时，以</w:t>
      </w:r>
      <w:r>
        <w:rPr>
          <w:rFonts w:hint="eastAsia" w:ascii="宋体" w:hAnsi="宋体" w:eastAsia="宋体" w:cs="宋体"/>
          <w:color w:val="auto"/>
          <w:kern w:val="2"/>
          <w:sz w:val="21"/>
          <w:szCs w:val="21"/>
          <w:highlight w:val="none"/>
          <w:lang w:val="zh-CN"/>
        </w:rPr>
        <w:t>东莞市水务集团有限公司网（www.dgswjt.cn）</w:t>
      </w:r>
      <w:r>
        <w:rPr>
          <w:rFonts w:hint="eastAsia" w:ascii="宋体" w:hAnsi="宋体" w:eastAsia="宋体" w:cs="宋体"/>
          <w:color w:val="auto"/>
          <w:kern w:val="2"/>
          <w:sz w:val="21"/>
          <w:szCs w:val="21"/>
          <w:highlight w:val="none"/>
          <w:lang w:val="zh-CN" w:eastAsia="zh-CN"/>
        </w:rPr>
        <w:t>发布的竞争性磋商文件为准</w:t>
      </w:r>
      <w:r>
        <w:rPr>
          <w:rFonts w:hint="eastAsia" w:ascii="宋体" w:hAnsi="宋体" w:eastAsia="宋体" w:cs="宋体"/>
          <w:color w:val="auto"/>
          <w:kern w:val="2"/>
          <w:sz w:val="21"/>
          <w:szCs w:val="21"/>
          <w:highlight w:val="none"/>
          <w:lang w:val="zh-CN"/>
        </w:rPr>
        <w:t>】。</w:t>
      </w:r>
    </w:p>
    <w:p w14:paraId="1567B663">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4D88EB3">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采购代理机构在递交响应文件截止时间</w:t>
      </w:r>
      <w:r>
        <w:rPr>
          <w:rFonts w:hint="eastAsia" w:ascii="宋体" w:hAnsi="宋体" w:cs="宋体"/>
          <w:color w:val="auto"/>
          <w:kern w:val="2"/>
          <w:sz w:val="21"/>
          <w:szCs w:val="21"/>
          <w:highlight w:val="none"/>
          <w:lang w:val="en-US" w:eastAsia="zh-CN"/>
        </w:rPr>
        <w:t>当天</w:t>
      </w:r>
      <w:r>
        <w:rPr>
          <w:rFonts w:hint="eastAsia" w:ascii="宋体" w:hAnsi="宋体" w:eastAsia="宋体" w:cs="宋体"/>
          <w:color w:val="auto"/>
          <w:kern w:val="2"/>
          <w:sz w:val="21"/>
          <w:szCs w:val="21"/>
          <w:highlight w:val="none"/>
          <w:lang w:val="zh-CN"/>
        </w:rPr>
        <w:t>通过“信用中国”网站（ www.creditchina.gov.cn）查询供应商（含其不具有独立法人资格的分支机构）信用记录。采购代理机构对供应商信用记录进行甄别，对列入失信被执行人、重大税收违法失信主体、政府采购严重违法失信行为记录名单的供应商，做好相关记录（处罚期限届满的除外）。</w:t>
      </w:r>
    </w:p>
    <w:p w14:paraId="0E9F10CD">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3AC05FFA">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val="0"/>
          <w:bCs w:val="0"/>
          <w:color w:val="auto"/>
          <w:kern w:val="2"/>
          <w:sz w:val="21"/>
          <w:szCs w:val="21"/>
          <w:highlight w:val="none"/>
          <w:lang w:val="zh-CN"/>
        </w:rPr>
        <w:t>5</w:t>
      </w:r>
      <w:r>
        <w:rPr>
          <w:rFonts w:hint="eastAsia" w:ascii="宋体" w:hAnsi="宋体" w:cs="宋体"/>
          <w:b w:val="0"/>
          <w:bCs w:val="0"/>
          <w:color w:val="auto"/>
          <w:kern w:val="2"/>
          <w:sz w:val="21"/>
          <w:szCs w:val="21"/>
          <w:highlight w:val="none"/>
          <w:lang w:val="en-US" w:eastAsia="zh-CN"/>
        </w:rPr>
        <w:t xml:space="preserve">   磋商</w:t>
      </w:r>
      <w:r>
        <w:rPr>
          <w:rFonts w:hint="eastAsia" w:ascii="宋体" w:hAnsi="宋体" w:eastAsia="宋体" w:cs="宋体"/>
          <w:b w:val="0"/>
          <w:bCs w:val="0"/>
          <w:color w:val="auto"/>
          <w:kern w:val="2"/>
          <w:sz w:val="21"/>
          <w:szCs w:val="21"/>
          <w:highlight w:val="none"/>
          <w:lang w:val="zh-CN"/>
        </w:rPr>
        <w:t>时间及地点：</w:t>
      </w:r>
    </w:p>
    <w:p w14:paraId="6A239A89">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kern w:val="2"/>
          <w:sz w:val="21"/>
          <w:szCs w:val="21"/>
          <w:highlight w:val="none"/>
          <w:u w:val="none"/>
        </w:rPr>
      </w:pPr>
      <w:r>
        <w:rPr>
          <w:rFonts w:hint="eastAsia" w:ascii="宋体" w:hAnsi="宋体" w:eastAsia="宋体" w:cs="宋体"/>
          <w:b w:val="0"/>
          <w:bCs w:val="0"/>
          <w:color w:val="auto"/>
          <w:kern w:val="2"/>
          <w:sz w:val="21"/>
          <w:szCs w:val="21"/>
          <w:highlight w:val="none"/>
          <w:u w:val="none"/>
          <w:lang w:val="zh-CN"/>
        </w:rPr>
        <w:t>5.1 响应文件递交时间：</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10</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30</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10:00</w:t>
      </w:r>
      <w:r>
        <w:rPr>
          <w:rFonts w:hint="eastAsia" w:ascii="宋体" w:hAnsi="宋体" w:eastAsia="宋体" w:cs="宋体"/>
          <w:b w:val="0"/>
          <w:bCs w:val="0"/>
          <w:color w:val="auto"/>
          <w:kern w:val="2"/>
          <w:sz w:val="21"/>
          <w:szCs w:val="21"/>
          <w:highlight w:val="none"/>
          <w:u w:val="single"/>
          <w:lang w:val="zh-CN"/>
        </w:rPr>
        <w:t>～</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3E14F4E7">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highlight w:val="none"/>
          <w:u w:val="single"/>
        </w:rPr>
      </w:pPr>
      <w:r>
        <w:rPr>
          <w:rFonts w:hint="eastAsia" w:ascii="宋体" w:hAnsi="宋体" w:eastAsia="宋体" w:cs="宋体"/>
          <w:b w:val="0"/>
          <w:bCs w:val="0"/>
          <w:color w:val="auto"/>
          <w:kern w:val="2"/>
          <w:sz w:val="21"/>
          <w:szCs w:val="21"/>
          <w:highlight w:val="none"/>
          <w:u w:val="none"/>
          <w:lang w:val="zh-CN"/>
        </w:rPr>
        <w:t>5.2 递交</w:t>
      </w:r>
      <w:r>
        <w:rPr>
          <w:rFonts w:hint="eastAsia" w:ascii="宋体" w:hAnsi="宋体" w:eastAsia="宋体" w:cs="宋体"/>
          <w:b w:val="0"/>
          <w:bCs w:val="0"/>
          <w:color w:val="auto"/>
          <w:kern w:val="2"/>
          <w:sz w:val="21"/>
          <w:szCs w:val="21"/>
          <w:highlight w:val="none"/>
          <w:u w:val="none"/>
          <w:lang w:val="en-US" w:eastAsia="zh-CN"/>
        </w:rPr>
        <w:t>响应文件</w:t>
      </w:r>
      <w:r>
        <w:rPr>
          <w:rFonts w:hint="eastAsia" w:ascii="宋体" w:hAnsi="宋体" w:eastAsia="宋体" w:cs="宋体"/>
          <w:b w:val="0"/>
          <w:bCs w:val="0"/>
          <w:color w:val="auto"/>
          <w:kern w:val="2"/>
          <w:sz w:val="21"/>
          <w:szCs w:val="21"/>
          <w:highlight w:val="none"/>
          <w:u w:val="none"/>
          <w:lang w:val="zh-CN"/>
        </w:rPr>
        <w:t>截止时间</w:t>
      </w:r>
      <w:r>
        <w:rPr>
          <w:rFonts w:hint="eastAsia" w:ascii="宋体" w:hAnsi="宋体" w:cs="宋体"/>
          <w:b w:val="0"/>
          <w:bCs w:val="0"/>
          <w:color w:val="auto"/>
          <w:kern w:val="2"/>
          <w:sz w:val="21"/>
          <w:szCs w:val="21"/>
          <w:highlight w:val="none"/>
          <w:u w:val="none"/>
          <w:lang w:val="en-US" w:eastAsia="zh-CN"/>
        </w:rPr>
        <w:t>及磋商时间</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kern w:val="2"/>
          <w:sz w:val="21"/>
          <w:szCs w:val="21"/>
          <w:highlight w:val="none"/>
          <w:u w:val="single"/>
          <w:lang w:val="zh-CN"/>
        </w:rPr>
        <w:t>202</w:t>
      </w:r>
      <w:r>
        <w:rPr>
          <w:rFonts w:hint="eastAsia" w:ascii="宋体" w:hAnsi="宋体" w:eastAsia="宋体" w:cs="宋体"/>
          <w:b w:val="0"/>
          <w:bCs w:val="0"/>
          <w:color w:val="auto"/>
          <w:kern w:val="2"/>
          <w:sz w:val="21"/>
          <w:szCs w:val="21"/>
          <w:highlight w:val="none"/>
          <w:u w:val="single"/>
          <w:lang w:val="en-US" w:eastAsia="zh-CN"/>
        </w:rPr>
        <w:t>4</w:t>
      </w:r>
      <w:r>
        <w:rPr>
          <w:rFonts w:hint="eastAsia" w:ascii="宋体" w:hAnsi="宋体" w:eastAsia="宋体" w:cs="宋体"/>
          <w:b w:val="0"/>
          <w:bCs w:val="0"/>
          <w:color w:val="auto"/>
          <w:kern w:val="2"/>
          <w:sz w:val="21"/>
          <w:szCs w:val="21"/>
          <w:highlight w:val="none"/>
          <w:u w:val="single"/>
          <w:lang w:val="zh-CN"/>
        </w:rPr>
        <w:t>年</w:t>
      </w:r>
      <w:r>
        <w:rPr>
          <w:rFonts w:hint="eastAsia" w:ascii="宋体" w:hAnsi="宋体" w:cs="宋体"/>
          <w:b w:val="0"/>
          <w:bCs w:val="0"/>
          <w:color w:val="auto"/>
          <w:kern w:val="2"/>
          <w:sz w:val="21"/>
          <w:szCs w:val="21"/>
          <w:highlight w:val="none"/>
          <w:u w:val="single"/>
          <w:lang w:val="en-US" w:eastAsia="zh-CN"/>
        </w:rPr>
        <w:t>10</w:t>
      </w:r>
      <w:r>
        <w:rPr>
          <w:rFonts w:hint="eastAsia" w:ascii="宋体" w:hAnsi="宋体" w:eastAsia="宋体" w:cs="宋体"/>
          <w:b w:val="0"/>
          <w:bCs w:val="0"/>
          <w:color w:val="auto"/>
          <w:kern w:val="2"/>
          <w:sz w:val="21"/>
          <w:szCs w:val="21"/>
          <w:highlight w:val="none"/>
          <w:u w:val="single"/>
          <w:lang w:val="zh-CN"/>
        </w:rPr>
        <w:t>月</w:t>
      </w:r>
      <w:r>
        <w:rPr>
          <w:rFonts w:hint="eastAsia" w:ascii="宋体" w:hAnsi="宋体" w:cs="宋体"/>
          <w:b w:val="0"/>
          <w:bCs w:val="0"/>
          <w:color w:val="auto"/>
          <w:kern w:val="2"/>
          <w:sz w:val="21"/>
          <w:szCs w:val="21"/>
          <w:highlight w:val="none"/>
          <w:u w:val="single"/>
          <w:lang w:val="en-US" w:eastAsia="zh-CN"/>
        </w:rPr>
        <w:t>30</w:t>
      </w:r>
      <w:r>
        <w:rPr>
          <w:rFonts w:hint="eastAsia" w:ascii="宋体" w:hAnsi="宋体" w:eastAsia="宋体" w:cs="宋体"/>
          <w:b w:val="0"/>
          <w:bCs w:val="0"/>
          <w:color w:val="auto"/>
          <w:kern w:val="2"/>
          <w:sz w:val="21"/>
          <w:szCs w:val="21"/>
          <w:highlight w:val="none"/>
          <w:u w:val="single"/>
          <w:lang w:val="zh-CN"/>
        </w:rPr>
        <w:t>日</w:t>
      </w:r>
      <w:r>
        <w:rPr>
          <w:rFonts w:hint="eastAsia" w:ascii="宋体" w:hAnsi="宋体" w:cs="宋体"/>
          <w:b w:val="0"/>
          <w:bCs w:val="0"/>
          <w:color w:val="auto"/>
          <w:kern w:val="2"/>
          <w:sz w:val="21"/>
          <w:szCs w:val="21"/>
          <w:highlight w:val="none"/>
          <w:u w:val="single"/>
          <w:lang w:val="en-US" w:eastAsia="zh-CN"/>
        </w:rPr>
        <w:t>10:30</w:t>
      </w:r>
      <w:r>
        <w:rPr>
          <w:rFonts w:hint="eastAsia" w:ascii="宋体" w:hAnsi="宋体" w:eastAsia="宋体" w:cs="宋体"/>
          <w:b w:val="0"/>
          <w:bCs w:val="0"/>
          <w:color w:val="auto"/>
          <w:kern w:val="2"/>
          <w:sz w:val="21"/>
          <w:szCs w:val="21"/>
          <w:highlight w:val="none"/>
          <w:u w:val="single"/>
        </w:rPr>
        <w:t>；</w:t>
      </w:r>
    </w:p>
    <w:p w14:paraId="71D2B12F">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b w:val="0"/>
          <w:bCs w:val="0"/>
          <w:color w:val="auto"/>
          <w:w w:val="95"/>
          <w:kern w:val="2"/>
          <w:sz w:val="21"/>
          <w:szCs w:val="21"/>
          <w:highlight w:val="none"/>
          <w:u w:val="none"/>
          <w:lang w:val="zh-CN"/>
        </w:rPr>
      </w:pPr>
      <w:r>
        <w:rPr>
          <w:rFonts w:hint="eastAsia" w:ascii="宋体" w:hAnsi="宋体" w:eastAsia="宋体" w:cs="宋体"/>
          <w:b w:val="0"/>
          <w:bCs w:val="0"/>
          <w:color w:val="auto"/>
          <w:kern w:val="2"/>
          <w:sz w:val="21"/>
          <w:szCs w:val="21"/>
          <w:highlight w:val="none"/>
          <w:u w:val="none"/>
          <w:lang w:val="zh-CN"/>
        </w:rPr>
        <w:t xml:space="preserve">5.3 </w:t>
      </w:r>
      <w:r>
        <w:rPr>
          <w:rFonts w:hint="eastAsia" w:ascii="宋体" w:hAnsi="宋体" w:eastAsia="宋体" w:cs="宋体"/>
          <w:b w:val="0"/>
          <w:bCs w:val="0"/>
          <w:color w:val="auto"/>
          <w:kern w:val="2"/>
          <w:sz w:val="21"/>
          <w:szCs w:val="21"/>
          <w:highlight w:val="none"/>
          <w:u w:val="none"/>
          <w:lang w:val="en-US" w:eastAsia="zh-CN"/>
        </w:rPr>
        <w:t>响应文件递交地点</w:t>
      </w:r>
      <w:r>
        <w:rPr>
          <w:rFonts w:hint="eastAsia" w:ascii="宋体" w:hAnsi="宋体" w:eastAsia="宋体" w:cs="宋体"/>
          <w:b w:val="0"/>
          <w:bCs w:val="0"/>
          <w:color w:val="auto"/>
          <w:kern w:val="2"/>
          <w:sz w:val="21"/>
          <w:szCs w:val="21"/>
          <w:highlight w:val="none"/>
          <w:u w:val="none"/>
          <w:lang w:val="zh-CN"/>
        </w:rPr>
        <w:t>：</w:t>
      </w:r>
      <w:r>
        <w:rPr>
          <w:rFonts w:hint="eastAsia" w:ascii="宋体" w:hAnsi="宋体" w:eastAsia="宋体" w:cs="宋体"/>
          <w:b w:val="0"/>
          <w:bCs w:val="0"/>
          <w:color w:val="auto"/>
          <w:w w:val="95"/>
          <w:kern w:val="2"/>
          <w:sz w:val="21"/>
          <w:szCs w:val="21"/>
          <w:highlight w:val="none"/>
          <w:u w:val="single"/>
          <w:lang w:val="zh-CN"/>
        </w:rPr>
        <w:t>广东省东莞市南城区西平社区宏伟三路45号东莞市公共资源交易中心开标</w:t>
      </w:r>
      <w:r>
        <w:rPr>
          <w:rFonts w:hint="eastAsia" w:ascii="宋体" w:hAnsi="宋体" w:cs="宋体"/>
          <w:b w:val="0"/>
          <w:bCs w:val="0"/>
          <w:color w:val="auto"/>
          <w:w w:val="95"/>
          <w:kern w:val="2"/>
          <w:sz w:val="21"/>
          <w:szCs w:val="21"/>
          <w:highlight w:val="none"/>
          <w:u w:val="single"/>
          <w:lang w:val="en-US" w:eastAsia="zh-CN"/>
        </w:rPr>
        <w:t>13</w:t>
      </w:r>
      <w:bookmarkStart w:id="495" w:name="_GoBack"/>
      <w:bookmarkEnd w:id="495"/>
      <w:r>
        <w:rPr>
          <w:rFonts w:hint="eastAsia" w:ascii="宋体" w:hAnsi="宋体" w:eastAsia="宋体" w:cs="宋体"/>
          <w:b w:val="0"/>
          <w:bCs w:val="0"/>
          <w:color w:val="auto"/>
          <w:w w:val="95"/>
          <w:kern w:val="2"/>
          <w:sz w:val="21"/>
          <w:szCs w:val="21"/>
          <w:highlight w:val="none"/>
          <w:u w:val="single"/>
          <w:lang w:val="zh-CN"/>
        </w:rPr>
        <w:t>室</w:t>
      </w:r>
      <w:r>
        <w:rPr>
          <w:rFonts w:hint="eastAsia" w:ascii="宋体" w:hAnsi="宋体" w:eastAsia="宋体" w:cs="宋体"/>
          <w:b w:val="0"/>
          <w:bCs w:val="0"/>
          <w:color w:val="auto"/>
          <w:w w:val="95"/>
          <w:sz w:val="21"/>
          <w:szCs w:val="21"/>
          <w:highlight w:val="none"/>
          <w:u w:val="none"/>
        </w:rPr>
        <w:t>。</w:t>
      </w:r>
    </w:p>
    <w:p w14:paraId="5419D739">
      <w:pPr>
        <w:keepNext w:val="0"/>
        <w:keepLines w:val="0"/>
        <w:pageBreakBefore w:val="0"/>
        <w:tabs>
          <w:tab w:val="left" w:pos="426"/>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2E575E3A">
      <w:pPr>
        <w:keepNext w:val="0"/>
        <w:keepLines w:val="0"/>
        <w:pageBreakBefore w:val="0"/>
        <w:widowControl w:val="0"/>
        <w:numPr>
          <w:ilvl w:val="0"/>
          <w:numId w:val="0"/>
        </w:numPr>
        <w:tabs>
          <w:tab w:val="left" w:pos="284"/>
        </w:tabs>
        <w:kinsoku/>
        <w:wordWrap/>
        <w:overflowPunct/>
        <w:topLinePunct w:val="0"/>
        <w:autoSpaceDE w:val="0"/>
        <w:autoSpaceDN w:val="0"/>
        <w:bidi w:val="0"/>
        <w:adjustRightInd w:val="0"/>
        <w:snapToGrid/>
        <w:spacing w:line="360" w:lineRule="auto"/>
        <w:ind w:left="420" w:leftChars="0" w:right="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6</w:t>
      </w:r>
      <w:r>
        <w:rPr>
          <w:rFonts w:hint="eastAsia" w:ascii="宋体" w:hAnsi="宋体" w:cs="宋体"/>
          <w:color w:val="auto"/>
          <w:kern w:val="2"/>
          <w:sz w:val="21"/>
          <w:szCs w:val="21"/>
          <w:highlight w:val="none"/>
          <w:lang w:val="en-US" w:eastAsia="zh-CN"/>
        </w:rPr>
        <w:t xml:space="preserve">   采购代理机构</w:t>
      </w:r>
      <w:r>
        <w:rPr>
          <w:rFonts w:hint="eastAsia" w:ascii="宋体" w:hAnsi="宋体" w:eastAsia="宋体" w:cs="宋体"/>
          <w:color w:val="auto"/>
          <w:kern w:val="2"/>
          <w:sz w:val="21"/>
          <w:szCs w:val="21"/>
          <w:highlight w:val="none"/>
          <w:lang w:val="zh-CN"/>
        </w:rPr>
        <w:t>只接受在递交响应文件截止日当天由供应商法定代表人或其授权代表于递交响应文件截止时间前亲自递交</w:t>
      </w:r>
      <w:r>
        <w:rPr>
          <w:rFonts w:hint="eastAsia" w:ascii="宋体" w:hAnsi="宋体" w:eastAsia="宋体" w:cs="宋体"/>
          <w:color w:val="auto"/>
          <w:kern w:val="2"/>
          <w:sz w:val="21"/>
          <w:szCs w:val="21"/>
          <w:highlight w:val="none"/>
          <w:lang w:val="en-US" w:eastAsia="zh-CN"/>
        </w:rPr>
        <w:t>密封</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lang w:val="en-US" w:eastAsia="zh-CN"/>
        </w:rPr>
        <w:t>并现场参加磋商</w:t>
      </w:r>
      <w:r>
        <w:rPr>
          <w:rFonts w:hint="eastAsia" w:ascii="宋体" w:hAnsi="宋体" w:eastAsia="宋体" w:cs="宋体"/>
          <w:color w:val="auto"/>
          <w:kern w:val="2"/>
          <w:sz w:val="21"/>
          <w:szCs w:val="21"/>
          <w:highlight w:val="none"/>
          <w:lang w:val="zh-CN"/>
        </w:rPr>
        <w:t>。电报、传真形式的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p>
    <w:p w14:paraId="5C5F22A4">
      <w:pPr>
        <w:keepNext w:val="0"/>
        <w:keepLines w:val="0"/>
        <w:pageBreakBefore w:val="0"/>
        <w:numPr>
          <w:ilvl w:val="0"/>
          <w:numId w:val="0"/>
        </w:numPr>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A49A498">
      <w:pPr>
        <w:keepNext w:val="0"/>
        <w:keepLines w:val="0"/>
        <w:pageBreakBefore w:val="0"/>
        <w:widowControl w:val="0"/>
        <w:numPr>
          <w:ilvl w:val="0"/>
          <w:numId w:val="0"/>
        </w:numPr>
        <w:tabs>
          <w:tab w:val="left" w:pos="284"/>
        </w:tabs>
        <w:kinsoku/>
        <w:wordWrap/>
        <w:overflowPunct/>
        <w:topLinePunct w:val="0"/>
        <w:autoSpaceDE/>
        <w:autoSpaceDN/>
        <w:bidi w:val="0"/>
        <w:adjustRightInd/>
        <w:snapToGrid/>
        <w:spacing w:line="360" w:lineRule="auto"/>
        <w:ind w:left="420" w:leftChars="0" w:right="0" w:hanging="420" w:hangingChars="200"/>
        <w:jc w:val="both"/>
        <w:textAlignment w:val="auto"/>
        <w:rPr>
          <w:rFonts w:hint="eastAsia" w:ascii="宋体" w:hAnsi="宋体" w:eastAsia="宋体" w:cs="宋体"/>
          <w:bCs w:val="0"/>
          <w:color w:val="auto"/>
          <w:kern w:val="2"/>
          <w:sz w:val="21"/>
          <w:szCs w:val="21"/>
          <w:highlight w:val="none"/>
          <w:lang w:val="zh-CN"/>
        </w:rPr>
      </w:pPr>
      <w:r>
        <w:rPr>
          <w:rFonts w:hint="eastAsia" w:ascii="宋体" w:hAnsi="宋体" w:cs="宋体"/>
          <w:bCs w:val="0"/>
          <w:color w:val="auto"/>
          <w:kern w:val="2"/>
          <w:sz w:val="21"/>
          <w:szCs w:val="21"/>
          <w:highlight w:val="none"/>
          <w:lang w:val="en-US" w:eastAsia="zh-CN"/>
        </w:rPr>
        <w:t xml:space="preserve">7   </w:t>
      </w:r>
      <w:r>
        <w:rPr>
          <w:rFonts w:hint="eastAsia" w:ascii="宋体" w:hAnsi="宋体" w:eastAsia="宋体" w:cs="宋体"/>
          <w:bCs w:val="0"/>
          <w:color w:val="auto"/>
          <w:kern w:val="2"/>
          <w:sz w:val="21"/>
          <w:szCs w:val="21"/>
          <w:highlight w:val="none"/>
          <w:lang w:val="zh-CN"/>
        </w:rPr>
        <w:t>本项目相关公告在以下媒介发布：广东省公共资源交易平台（ygp.gdzwfw.gov.cn）、中国招标投标公共服务平台（www.cebpubservice.com）、东莞市水务集团有限公司网（www.dgswjt.cn）、招标代理机构网站（www.youde.net）</w:t>
      </w:r>
      <w:r>
        <w:rPr>
          <w:rFonts w:hint="eastAsia" w:ascii="宋体" w:hAnsi="宋体" w:eastAsia="宋体" w:cs="宋体"/>
          <w:color w:val="auto"/>
          <w:kern w:val="2"/>
          <w:sz w:val="21"/>
          <w:szCs w:val="21"/>
          <w:highlight w:val="none"/>
          <w:lang w:val="zh-CN"/>
        </w:rPr>
        <w:t>。</w:t>
      </w:r>
    </w:p>
    <w:p w14:paraId="7C8C35C0">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p>
    <w:p w14:paraId="0C14C39F">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采购人</w:t>
      </w:r>
      <w:r>
        <w:rPr>
          <w:rFonts w:hint="eastAsia" w:ascii="宋体" w:hAnsi="宋体" w:eastAsia="宋体" w:cs="宋体"/>
          <w:color w:val="auto"/>
          <w:kern w:val="2"/>
          <w:sz w:val="21"/>
          <w:szCs w:val="21"/>
          <w:highlight w:val="none"/>
          <w:lang w:val="zh-CN"/>
        </w:rPr>
        <w:t>联系方式</w:t>
      </w:r>
    </w:p>
    <w:p w14:paraId="21309A0F">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采购人：东莞市众源环境投资有限公司</w:t>
      </w:r>
    </w:p>
    <w:p w14:paraId="5DA8573A">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rPr>
        <w:t xml:space="preserve">地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w w:val="95"/>
          <w:sz w:val="21"/>
          <w:szCs w:val="21"/>
          <w:highlight w:val="none"/>
        </w:rPr>
        <w:t>东莞市南城街道滨河路100号二期（东莞市水务集团净水有限公司）新大门内3号楼3楼</w:t>
      </w:r>
    </w:p>
    <w:p w14:paraId="05AB6155">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联系人：龚浩</w:t>
      </w:r>
    </w:p>
    <w:p w14:paraId="2E293F8C">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话：0769-22621996</w:t>
      </w:r>
    </w:p>
    <w:p w14:paraId="18DA1773">
      <w:pPr>
        <w:keepNext w:val="0"/>
        <w:keepLines w:val="0"/>
        <w:pageBreakBefore w:val="0"/>
        <w:tabs>
          <w:tab w:val="left" w:pos="284"/>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highlight w:val="none"/>
        </w:rPr>
      </w:pPr>
    </w:p>
    <w:p w14:paraId="00F54C2C">
      <w:pPr>
        <w:keepNext w:val="0"/>
        <w:keepLines w:val="0"/>
        <w:pageBreakBefore w:val="0"/>
        <w:tabs>
          <w:tab w:val="left" w:pos="0"/>
        </w:tabs>
        <w:kinsoku/>
        <w:wordWrap/>
        <w:overflowPunct/>
        <w:topLinePunct w:val="0"/>
        <w:bidi w:val="0"/>
        <w:snapToGrid/>
        <w:spacing w:line="360" w:lineRule="auto"/>
        <w:ind w:left="0" w:leftChars="0" w:right="0" w:firstLine="0" w:firstLineChars="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w:t>
      </w:r>
      <w:r>
        <w:rPr>
          <w:rFonts w:hint="eastAsia" w:ascii="宋体" w:hAnsi="宋体" w:cs="宋体"/>
          <w:color w:val="auto"/>
          <w:kern w:val="2"/>
          <w:sz w:val="21"/>
          <w:szCs w:val="21"/>
          <w:highlight w:val="none"/>
          <w:lang w:val="en-US" w:eastAsia="zh-CN"/>
        </w:rPr>
        <w:t>及异议受理</w:t>
      </w:r>
      <w:r>
        <w:rPr>
          <w:rFonts w:hint="eastAsia" w:ascii="宋体" w:hAnsi="宋体" w:eastAsia="宋体" w:cs="宋体"/>
          <w:color w:val="auto"/>
          <w:kern w:val="2"/>
          <w:sz w:val="21"/>
          <w:szCs w:val="21"/>
          <w:highlight w:val="none"/>
          <w:lang w:val="zh-CN"/>
        </w:rPr>
        <w:t>联系方式</w:t>
      </w:r>
    </w:p>
    <w:p w14:paraId="11C0AA1E">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w:t>
      </w:r>
      <w:r>
        <w:rPr>
          <w:rFonts w:hint="eastAsia" w:ascii="宋体" w:hAnsi="宋体" w:eastAsia="宋体" w:cs="宋体"/>
          <w:color w:val="auto"/>
          <w:sz w:val="21"/>
          <w:szCs w:val="21"/>
          <w:highlight w:val="none"/>
        </w:rPr>
        <w:t>代理机构</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zh-CN" w:eastAsia="zh-CN"/>
        </w:rPr>
        <w:t>广东有德招标采购有限公司</w:t>
      </w:r>
    </w:p>
    <w:p w14:paraId="7064AE17">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rPr>
      </w:pPr>
      <w:r>
        <w:rPr>
          <w:rFonts w:hint="eastAsia" w:ascii="宋体" w:hAnsi="宋体" w:eastAsia="宋体" w:cs="宋体"/>
          <w:color w:val="auto"/>
          <w:sz w:val="21"/>
          <w:szCs w:val="32"/>
          <w:highlight w:val="none"/>
        </w:rPr>
        <w:t xml:space="preserve">地 </w:t>
      </w:r>
      <w:r>
        <w:rPr>
          <w:rFonts w:hint="eastAsia" w:ascii="宋体" w:hAnsi="宋体" w:cs="宋体"/>
          <w:color w:val="auto"/>
          <w:sz w:val="21"/>
          <w:szCs w:val="32"/>
          <w:highlight w:val="none"/>
          <w:lang w:val="en-US" w:eastAsia="zh-CN"/>
        </w:rPr>
        <w:t xml:space="preserve"> </w:t>
      </w:r>
      <w:r>
        <w:rPr>
          <w:rFonts w:hint="eastAsia" w:ascii="宋体" w:hAnsi="宋体" w:eastAsia="宋体" w:cs="宋体"/>
          <w:color w:val="auto"/>
          <w:sz w:val="21"/>
          <w:szCs w:val="32"/>
          <w:highlight w:val="none"/>
        </w:rPr>
        <w:t>址：</w:t>
      </w:r>
      <w:r>
        <w:rPr>
          <w:rFonts w:hint="eastAsia" w:ascii="宋体" w:hAnsi="宋体" w:eastAsia="宋体" w:cs="宋体"/>
          <w:color w:val="auto"/>
          <w:sz w:val="21"/>
          <w:szCs w:val="32"/>
          <w:highlight w:val="none"/>
          <w:lang w:val="zh-CN"/>
        </w:rPr>
        <w:t>东莞市东城街道新源路海德琥珀台6栋1703室</w:t>
      </w:r>
    </w:p>
    <w:p w14:paraId="4DD8DD2F">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32"/>
          <w:highlight w:val="none"/>
          <w:lang w:val="en-US" w:eastAsia="zh-CN"/>
        </w:rPr>
      </w:pPr>
      <w:r>
        <w:rPr>
          <w:rFonts w:hint="eastAsia" w:ascii="宋体" w:hAnsi="宋体" w:eastAsia="宋体" w:cs="宋体"/>
          <w:color w:val="auto"/>
          <w:sz w:val="21"/>
          <w:szCs w:val="32"/>
          <w:highlight w:val="none"/>
        </w:rPr>
        <w:t>联系人：郑翠婷</w:t>
      </w:r>
    </w:p>
    <w:p w14:paraId="1CE006B4">
      <w:pPr>
        <w:keepNext w:val="0"/>
        <w:keepLines w:val="0"/>
        <w:pageBreakBefore w:val="0"/>
        <w:widowControl/>
        <w:tabs>
          <w:tab w:val="left" w:pos="0"/>
        </w:tabs>
        <w:kinsoku/>
        <w:wordWrap/>
        <w:overflowPunct/>
        <w:topLinePunct w:val="0"/>
        <w:bidi w:val="0"/>
        <w:snapToGrid/>
        <w:spacing w:line="360" w:lineRule="auto"/>
        <w:ind w:left="0" w:leftChars="0" w:right="0"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话：0769-23362836-8019</w:t>
      </w:r>
    </w:p>
    <w:p w14:paraId="53C10A40">
      <w:pPr>
        <w:widowControl/>
        <w:tabs>
          <w:tab w:val="left" w:pos="0"/>
        </w:tabs>
        <w:spacing w:line="360" w:lineRule="auto"/>
        <w:ind w:right="-36" w:firstLine="140" w:firstLineChars="67"/>
        <w:textAlignment w:val="bottom"/>
        <w:rPr>
          <w:rFonts w:hint="eastAsia" w:ascii="宋体" w:hAnsi="宋体" w:eastAsia="宋体" w:cs="宋体"/>
          <w:color w:val="auto"/>
          <w:sz w:val="21"/>
          <w:szCs w:val="21"/>
          <w:highlight w:val="none"/>
          <w:lang w:val="en-US" w:eastAsia="zh-CN"/>
        </w:rPr>
      </w:pPr>
    </w:p>
    <w:p w14:paraId="179DEB8E">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4" w:name="_Toc19427"/>
      <w:bookmarkStart w:id="5" w:name="_Toc450662847"/>
      <w:bookmarkStart w:id="6" w:name="_Toc521918065"/>
      <w:r>
        <w:rPr>
          <w:rFonts w:hint="eastAsia" w:ascii="宋体" w:hAnsi="宋体" w:eastAsia="宋体" w:cs="宋体"/>
          <w:b/>
          <w:bCs/>
          <w:kern w:val="44"/>
          <w:sz w:val="32"/>
          <w:szCs w:val="32"/>
          <w:lang w:val="zh-CN"/>
        </w:rPr>
        <w:t>第二篇</w:t>
      </w:r>
      <w:r>
        <w:rPr>
          <w:rFonts w:hint="eastAsia" w:ascii="宋体" w:hAnsi="宋体" w:eastAsia="宋体" w:cs="宋体"/>
          <w:b/>
          <w:bCs/>
          <w:kern w:val="44"/>
          <w:sz w:val="32"/>
          <w:szCs w:val="32"/>
          <w:lang w:val="zh-CN" w:eastAsia="zh-CN"/>
        </w:rPr>
        <w:t xml:space="preserve"> 磋商</w:t>
      </w:r>
      <w:r>
        <w:rPr>
          <w:rFonts w:hint="eastAsia" w:ascii="宋体" w:hAnsi="宋体" w:eastAsia="宋体" w:cs="宋体"/>
          <w:b/>
          <w:bCs/>
          <w:kern w:val="44"/>
          <w:sz w:val="32"/>
          <w:szCs w:val="32"/>
          <w:lang w:val="zh-CN"/>
        </w:rPr>
        <w:t>须知</w:t>
      </w:r>
      <w:bookmarkEnd w:id="4"/>
      <w:bookmarkEnd w:id="5"/>
      <w:bookmarkEnd w:id="6"/>
    </w:p>
    <w:p w14:paraId="6012349F">
      <w:pPr>
        <w:spacing w:line="360" w:lineRule="auto"/>
        <w:ind w:firstLine="211" w:firstLineChars="100"/>
        <w:jc w:val="left"/>
        <w:outlineLvl w:val="1"/>
        <w:rPr>
          <w:rFonts w:hint="eastAsia" w:ascii="宋体" w:hAnsi="宋体" w:eastAsia="宋体" w:cs="宋体"/>
          <w:b/>
          <w:bCs/>
          <w:kern w:val="44"/>
          <w:sz w:val="21"/>
          <w:szCs w:val="21"/>
          <w:lang w:val="zh-CN"/>
        </w:rPr>
      </w:pPr>
      <w:bookmarkStart w:id="7" w:name="_Toc450662848"/>
      <w:bookmarkStart w:id="8" w:name="_Toc521918066"/>
      <w:bookmarkStart w:id="9" w:name="_Toc24918"/>
      <w:r>
        <w:rPr>
          <w:rFonts w:hint="eastAsia" w:ascii="宋体" w:hAnsi="宋体" w:eastAsia="宋体" w:cs="宋体"/>
          <w:b/>
          <w:bCs/>
          <w:kern w:val="44"/>
          <w:sz w:val="21"/>
          <w:szCs w:val="21"/>
          <w:lang w:val="zh-CN"/>
        </w:rPr>
        <w:t>一、总则</w:t>
      </w:r>
      <w:bookmarkEnd w:id="7"/>
      <w:bookmarkEnd w:id="8"/>
      <w:bookmarkEnd w:id="9"/>
    </w:p>
    <w:p w14:paraId="5A5EDFE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0" w:name="_Toc521918067"/>
      <w:bookmarkStart w:id="11" w:name="_Toc30538"/>
      <w:bookmarkStart w:id="12" w:name="_Toc450662849"/>
      <w:r>
        <w:rPr>
          <w:rFonts w:hint="eastAsia" w:ascii="宋体" w:hAnsi="宋体" w:eastAsia="宋体" w:cs="宋体"/>
          <w:color w:val="auto"/>
          <w:kern w:val="2"/>
          <w:sz w:val="21"/>
          <w:szCs w:val="21"/>
          <w:highlight w:val="none"/>
          <w:lang w:val="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资金来源：企业自筹资金。</w:t>
      </w:r>
      <w:bookmarkEnd w:id="10"/>
      <w:bookmarkEnd w:id="11"/>
      <w:bookmarkEnd w:id="12"/>
    </w:p>
    <w:p w14:paraId="3F85F104">
      <w:pPr>
        <w:spacing w:line="360" w:lineRule="auto"/>
        <w:jc w:val="both"/>
        <w:rPr>
          <w:rFonts w:hint="eastAsia" w:ascii="宋体" w:hAnsi="宋体" w:eastAsia="宋体" w:cs="宋体"/>
          <w:color w:val="auto"/>
          <w:highlight w:val="none"/>
          <w:lang w:val="zh-CN"/>
        </w:rPr>
      </w:pPr>
    </w:p>
    <w:p w14:paraId="1AF1F1AB">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3" w:name="_Toc534216347"/>
      <w:bookmarkStart w:id="14" w:name="_Toc28598"/>
      <w:bookmarkStart w:id="15" w:name="_Toc521918068"/>
      <w:bookmarkStart w:id="16" w:name="_Toc450662850"/>
      <w:r>
        <w:rPr>
          <w:rFonts w:hint="eastAsia" w:ascii="宋体" w:hAnsi="宋体" w:eastAsia="宋体" w:cs="宋体"/>
          <w:b/>
          <w:bCs/>
          <w:color w:val="auto"/>
          <w:kern w:val="2"/>
          <w:sz w:val="21"/>
          <w:szCs w:val="21"/>
          <w:highlight w:val="none"/>
          <w:lang w:val="zh-CN"/>
        </w:rPr>
        <w:t>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3"/>
      <w:r>
        <w:rPr>
          <w:rFonts w:hint="eastAsia" w:ascii="宋体" w:hAnsi="宋体" w:eastAsia="宋体" w:cs="宋体"/>
          <w:b/>
          <w:bCs/>
          <w:color w:val="auto"/>
          <w:kern w:val="2"/>
          <w:sz w:val="21"/>
          <w:szCs w:val="21"/>
          <w:highlight w:val="none"/>
          <w:lang w:val="zh-CN"/>
        </w:rPr>
        <w:t>供应商</w:t>
      </w:r>
      <w:bookmarkEnd w:id="14"/>
    </w:p>
    <w:p w14:paraId="35081885">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 xml:space="preserve">2.1 </w:t>
      </w:r>
      <w:r>
        <w:rPr>
          <w:rFonts w:hint="eastAsia" w:ascii="宋体" w:hAnsi="宋体" w:eastAsia="宋体" w:cs="宋体"/>
          <w:b/>
          <w:bCs/>
          <w:color w:val="auto"/>
          <w:kern w:val="2"/>
          <w:sz w:val="21"/>
          <w:szCs w:val="21"/>
          <w:highlight w:val="none"/>
          <w:u w:val="single"/>
          <w:lang w:val="zh-CN"/>
        </w:rPr>
        <w:t>合格的供应商条件见第一篇《竞争性磋商</w:t>
      </w:r>
      <w:r>
        <w:rPr>
          <w:rFonts w:hint="eastAsia" w:ascii="宋体" w:hAnsi="宋体" w:cs="宋体"/>
          <w:b/>
          <w:bCs/>
          <w:color w:val="auto"/>
          <w:kern w:val="2"/>
          <w:sz w:val="21"/>
          <w:szCs w:val="21"/>
          <w:highlight w:val="none"/>
          <w:u w:val="single"/>
          <w:lang w:val="en-US" w:eastAsia="zh-CN"/>
        </w:rPr>
        <w:t>公告</w:t>
      </w:r>
      <w:r>
        <w:rPr>
          <w:rFonts w:hint="eastAsia" w:ascii="宋体" w:hAnsi="宋体" w:eastAsia="宋体" w:cs="宋体"/>
          <w:b/>
          <w:bCs/>
          <w:color w:val="auto"/>
          <w:kern w:val="2"/>
          <w:sz w:val="21"/>
          <w:szCs w:val="21"/>
          <w:highlight w:val="none"/>
          <w:u w:val="single"/>
          <w:lang w:val="zh-CN"/>
        </w:rPr>
        <w:t>》中第2条的“合格供应商资格要求”及本条以下2.2款至</w:t>
      </w:r>
      <w:r>
        <w:rPr>
          <w:rFonts w:hint="eastAsia" w:ascii="宋体" w:hAnsi="宋体" w:eastAsia="宋体" w:cs="宋体"/>
          <w:b/>
          <w:bCs/>
          <w:color w:val="auto"/>
          <w:kern w:val="2"/>
          <w:sz w:val="21"/>
          <w:szCs w:val="21"/>
          <w:highlight w:val="none"/>
          <w:u w:val="single"/>
          <w:lang w:val="en-US" w:eastAsia="zh-CN"/>
        </w:rPr>
        <w:t>2.</w:t>
      </w:r>
      <w:r>
        <w:rPr>
          <w:rFonts w:hint="eastAsia" w:ascii="宋体" w:hAnsi="宋体" w:cs="宋体"/>
          <w:b/>
          <w:bCs/>
          <w:color w:val="auto"/>
          <w:kern w:val="2"/>
          <w:sz w:val="21"/>
          <w:szCs w:val="21"/>
          <w:highlight w:val="none"/>
          <w:u w:val="single"/>
          <w:lang w:val="en-US" w:eastAsia="zh-CN"/>
        </w:rPr>
        <w:t>4</w:t>
      </w:r>
      <w:r>
        <w:rPr>
          <w:rFonts w:hint="eastAsia" w:ascii="宋体" w:hAnsi="宋体" w:eastAsia="宋体" w:cs="宋体"/>
          <w:b/>
          <w:bCs/>
          <w:color w:val="auto"/>
          <w:kern w:val="2"/>
          <w:sz w:val="21"/>
          <w:szCs w:val="21"/>
          <w:highlight w:val="none"/>
          <w:u w:val="single"/>
          <w:lang w:val="zh-CN"/>
        </w:rPr>
        <w:t>款的通用要求</w:t>
      </w:r>
      <w:r>
        <w:rPr>
          <w:rFonts w:hint="eastAsia" w:ascii="宋体" w:hAnsi="宋体" w:eastAsia="宋体" w:cs="宋体"/>
          <w:b/>
          <w:bCs/>
          <w:color w:val="auto"/>
          <w:kern w:val="2"/>
          <w:sz w:val="21"/>
          <w:szCs w:val="21"/>
          <w:highlight w:val="none"/>
          <w:u w:val="none"/>
          <w:lang w:val="zh-CN"/>
        </w:rPr>
        <w:t>。</w:t>
      </w:r>
    </w:p>
    <w:p w14:paraId="388910B7">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lang w:val="zh-CN"/>
        </w:rPr>
        <w:t>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zh-CN"/>
        </w:rPr>
        <w:t xml:space="preserve"> </w:t>
      </w:r>
      <w:r>
        <w:rPr>
          <w:rFonts w:hint="eastAsia" w:ascii="宋体" w:hAnsi="宋体" w:eastAsia="宋体" w:cs="宋体"/>
          <w:b/>
          <w:bCs/>
          <w:color w:val="auto"/>
          <w:sz w:val="21"/>
          <w:szCs w:val="21"/>
          <w:highlight w:val="none"/>
          <w:u w:val="single"/>
          <w:lang w:val="zh-CN"/>
        </w:rPr>
        <w:t>供应商</w:t>
      </w:r>
      <w:r>
        <w:rPr>
          <w:rFonts w:hint="eastAsia" w:ascii="宋体" w:hAnsi="宋体" w:eastAsia="宋体" w:cs="宋体"/>
          <w:b/>
          <w:bCs/>
          <w:color w:val="auto"/>
          <w:kern w:val="2"/>
          <w:sz w:val="21"/>
          <w:szCs w:val="21"/>
          <w:highlight w:val="none"/>
          <w:u w:val="single"/>
          <w:lang w:val="zh-CN"/>
        </w:rPr>
        <w:t>在参加本项目磋商前的三年内不得在投标活动中存在《中华人民共和国招标投标法》第五十三条（相互串通投标或者与采购人串通投标，以向采购人或者评标委员会成员行贿的手段谋取中标）、第五十四条（以他人名义投标或者以其他方式弄虚作假，骗取中标）、第六十条（</w:t>
      </w:r>
      <w:r>
        <w:rPr>
          <w:rFonts w:hint="eastAsia" w:ascii="宋体" w:hAnsi="宋体" w:cs="宋体"/>
          <w:b/>
          <w:bCs/>
          <w:color w:val="auto"/>
          <w:kern w:val="2"/>
          <w:sz w:val="21"/>
          <w:szCs w:val="21"/>
          <w:highlight w:val="none"/>
          <w:u w:val="single"/>
          <w:lang w:val="zh-CN"/>
        </w:rPr>
        <w:t>成交人</w:t>
      </w:r>
      <w:r>
        <w:rPr>
          <w:rFonts w:hint="eastAsia" w:ascii="宋体" w:hAnsi="宋体" w:eastAsia="宋体" w:cs="宋体"/>
          <w:b/>
          <w:bCs/>
          <w:color w:val="auto"/>
          <w:kern w:val="2"/>
          <w:sz w:val="21"/>
          <w:szCs w:val="21"/>
          <w:highlight w:val="none"/>
          <w:u w:val="single"/>
          <w:lang w:val="zh-CN"/>
        </w:rPr>
        <w:t>不履行与采购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r>
        <w:rPr>
          <w:rFonts w:hint="eastAsia" w:ascii="宋体" w:hAnsi="宋体" w:eastAsia="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存在前述处罚的，在响应文件中必须主动按竞争性磋商文件的要求填报“关于失信被执行人、重大税收违法失信主体、严重违法失信行为记录名单情况说明”，如果不主动填报而被事后发现的，将取消其磋商（中标）资格，并按有关规定从重处理</w:t>
      </w:r>
      <w:r>
        <w:rPr>
          <w:rFonts w:hint="eastAsia" w:ascii="宋体" w:hAnsi="宋体" w:eastAsia="宋体" w:cs="宋体"/>
          <w:b/>
          <w:bCs/>
          <w:color w:val="auto"/>
          <w:kern w:val="2"/>
          <w:sz w:val="21"/>
          <w:szCs w:val="21"/>
          <w:highlight w:val="none"/>
          <w:u w:val="none"/>
          <w:lang w:val="zh-CN"/>
        </w:rPr>
        <w:t>。</w:t>
      </w:r>
    </w:p>
    <w:p w14:paraId="4527D608">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（含其不具有独立法人资格的分支机构）未列入“信用中国”网站（ www.creditchina.gov.cn）失信被执行人、</w:t>
      </w:r>
      <w:r>
        <w:rPr>
          <w:rFonts w:hint="eastAsia" w:ascii="宋体" w:hAnsi="宋体" w:eastAsia="宋体" w:cs="宋体"/>
          <w:b/>
          <w:bCs/>
          <w:color w:val="auto"/>
          <w:kern w:val="2"/>
          <w:sz w:val="21"/>
          <w:szCs w:val="21"/>
          <w:highlight w:val="none"/>
          <w:u w:val="single"/>
          <w:lang w:val="zh-CN"/>
        </w:rPr>
        <w:t>重大税收违法失信主体、政府采购严重违法失信行为记录名单（处罚期限届满的除外）</w:t>
      </w:r>
      <w:r>
        <w:rPr>
          <w:rFonts w:hint="eastAsia" w:ascii="宋体" w:hAnsi="宋体" w:eastAsia="宋体" w:cs="宋体"/>
          <w:b/>
          <w:bCs/>
          <w:color w:val="auto"/>
          <w:sz w:val="21"/>
          <w:szCs w:val="21"/>
          <w:highlight w:val="none"/>
        </w:rPr>
        <w:t>。</w:t>
      </w:r>
    </w:p>
    <w:p w14:paraId="38335D8C">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u w:val="single"/>
        </w:rPr>
        <w:t>根据《中华人民共和国招标投标法实施条例》第三十四条规定，与采购人存在利害关系可能影响招标公正性的法人、其他组织或者个人，不得参加</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负责人为同一人或者存在控股、管理关系的不同</w:t>
      </w:r>
      <w:r>
        <w:rPr>
          <w:rFonts w:hint="eastAsia" w:ascii="宋体" w:hAnsi="宋体" w:eastAsia="宋体" w:cs="宋体"/>
          <w:b/>
          <w:bCs/>
          <w:color w:val="auto"/>
          <w:sz w:val="21"/>
          <w:szCs w:val="21"/>
          <w:highlight w:val="none"/>
          <w:u w:val="single"/>
          <w:lang w:eastAsia="zh-CN"/>
        </w:rPr>
        <w:t>供应商</w:t>
      </w:r>
      <w:r>
        <w:rPr>
          <w:rFonts w:hint="eastAsia" w:ascii="宋体" w:hAnsi="宋体" w:eastAsia="宋体" w:cs="宋体"/>
          <w:b/>
          <w:bCs/>
          <w:color w:val="auto"/>
          <w:sz w:val="21"/>
          <w:szCs w:val="21"/>
          <w:highlight w:val="none"/>
          <w:u w:val="single"/>
        </w:rPr>
        <w:t>，不得参加同一项目</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。上述情况一经发现，相关</w:t>
      </w:r>
      <w:r>
        <w:rPr>
          <w:rFonts w:hint="eastAsia" w:ascii="宋体" w:hAnsi="宋体" w:cs="宋体"/>
          <w:b/>
          <w:bCs/>
          <w:color w:val="auto"/>
          <w:sz w:val="21"/>
          <w:szCs w:val="21"/>
          <w:highlight w:val="none"/>
          <w:u w:val="single"/>
          <w:lang w:val="en-US" w:eastAsia="zh-CN"/>
        </w:rPr>
        <w:t>磋商</w:t>
      </w:r>
      <w:r>
        <w:rPr>
          <w:rFonts w:hint="eastAsia" w:ascii="宋体" w:hAnsi="宋体" w:eastAsia="宋体" w:cs="宋体"/>
          <w:b/>
          <w:bCs/>
          <w:color w:val="auto"/>
          <w:sz w:val="21"/>
          <w:szCs w:val="21"/>
          <w:highlight w:val="none"/>
          <w:u w:val="single"/>
        </w:rPr>
        <w:t>均无效</w:t>
      </w:r>
      <w:r>
        <w:rPr>
          <w:rFonts w:hint="eastAsia" w:ascii="宋体" w:hAnsi="宋体" w:eastAsia="宋体" w:cs="宋体"/>
          <w:b/>
          <w:bCs/>
          <w:color w:val="auto"/>
          <w:sz w:val="21"/>
          <w:szCs w:val="21"/>
          <w:highlight w:val="none"/>
        </w:rPr>
        <w:t>。</w:t>
      </w:r>
    </w:p>
    <w:p w14:paraId="30B91074">
      <w:pPr>
        <w:tabs>
          <w:tab w:val="left" w:pos="426"/>
        </w:tabs>
        <w:spacing w:line="360" w:lineRule="auto"/>
        <w:ind w:left="529" w:hanging="529" w:hangingChars="252"/>
        <w:jc w:val="both"/>
        <w:rPr>
          <w:rFonts w:hint="eastAsia" w:ascii="宋体" w:hAnsi="宋体" w:eastAsia="宋体" w:cs="宋体"/>
          <w:color w:val="auto"/>
          <w:sz w:val="21"/>
          <w:szCs w:val="21"/>
          <w:highlight w:val="none"/>
        </w:rPr>
      </w:pPr>
    </w:p>
    <w:bookmarkEnd w:id="15"/>
    <w:bookmarkEnd w:id="16"/>
    <w:p w14:paraId="285BDAAF">
      <w:pPr>
        <w:tabs>
          <w:tab w:val="left" w:pos="525"/>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7" w:name="_Toc23847_WPSOffice_Level3"/>
      <w:bookmarkStart w:id="18" w:name="_Toc142508315"/>
      <w:bookmarkStart w:id="19" w:name="_Toc19774"/>
      <w:bookmarkStart w:id="20" w:name="_Toc9282"/>
      <w:bookmarkStart w:id="21" w:name="_Toc24588"/>
      <w:bookmarkStart w:id="22" w:name="_Toc16100"/>
      <w:bookmarkStart w:id="23" w:name="_Toc11689"/>
      <w:bookmarkStart w:id="24" w:name="_Toc521918069"/>
      <w:bookmarkStart w:id="25" w:name="_Toc51642347"/>
      <w:bookmarkStart w:id="26" w:name="_Toc450662851"/>
      <w:r>
        <w:rPr>
          <w:rFonts w:hint="eastAsia" w:ascii="宋体" w:hAnsi="宋体" w:eastAsia="宋体" w:cs="宋体"/>
          <w:b/>
          <w:bCs/>
          <w:color w:val="auto"/>
          <w:kern w:val="2"/>
          <w:sz w:val="21"/>
          <w:szCs w:val="21"/>
          <w:highlight w:val="none"/>
          <w:lang w:val="zh-CN"/>
        </w:rPr>
        <w:t>3</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合格的</w:t>
      </w:r>
      <w:bookmarkEnd w:id="17"/>
      <w:bookmarkEnd w:id="18"/>
      <w:r>
        <w:rPr>
          <w:rFonts w:hint="eastAsia" w:ascii="宋体" w:hAnsi="宋体" w:eastAsia="宋体" w:cs="宋体"/>
          <w:b/>
          <w:bCs/>
          <w:color w:val="auto"/>
          <w:kern w:val="2"/>
          <w:sz w:val="21"/>
          <w:szCs w:val="21"/>
          <w:highlight w:val="none"/>
          <w:lang w:val="zh-CN"/>
        </w:rPr>
        <w:t>服务</w:t>
      </w:r>
      <w:bookmarkEnd w:id="19"/>
      <w:bookmarkEnd w:id="20"/>
      <w:bookmarkEnd w:id="21"/>
      <w:bookmarkEnd w:id="22"/>
      <w:bookmarkEnd w:id="23"/>
    </w:p>
    <w:p w14:paraId="3B31E8BF">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“服务”是指</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按</w:t>
      </w:r>
      <w:r>
        <w:rPr>
          <w:rFonts w:hint="eastAsia" w:ascii="宋体" w:hAnsi="宋体" w:cs="宋体"/>
          <w:color w:val="auto"/>
          <w:kern w:val="2"/>
          <w:sz w:val="21"/>
          <w:szCs w:val="21"/>
          <w:highlight w:val="none"/>
          <w:lang w:val="en-US" w:eastAsia="zh-CN"/>
        </w:rPr>
        <w:t>竞争性</w:t>
      </w:r>
      <w:r>
        <w:rPr>
          <w:rFonts w:hint="eastAsia" w:ascii="宋体" w:hAnsi="宋体" w:eastAsia="宋体" w:cs="宋体"/>
          <w:color w:val="auto"/>
          <w:kern w:val="2"/>
          <w:sz w:val="21"/>
          <w:szCs w:val="21"/>
          <w:highlight w:val="none"/>
          <w:lang w:val="zh-CN"/>
        </w:rPr>
        <w:t>文件规定完成的全部服务内容，其中包括完成服务所需的货物和</w:t>
      </w:r>
    </w:p>
    <w:p w14:paraId="387E5BC2">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工程，及须承担的技术支持、培训和其它伴随服务。</w:t>
      </w:r>
    </w:p>
    <w:p w14:paraId="6B2705E5">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27" w:name="_Toc533708063"/>
      <w:bookmarkStart w:id="28" w:name="_Toc1977663"/>
      <w:r>
        <w:rPr>
          <w:rFonts w:hint="eastAsia" w:ascii="宋体" w:hAnsi="宋体" w:eastAsia="宋体" w:cs="宋体"/>
          <w:color w:val="auto"/>
          <w:kern w:val="2"/>
          <w:sz w:val="21"/>
          <w:szCs w:val="21"/>
          <w:highlight w:val="none"/>
          <w:lang w:val="zh-CN"/>
        </w:rPr>
        <w:t xml:space="preserve">3.2 </w:t>
      </w:r>
      <w:bookmarkEnd w:id="27"/>
      <w:bookmarkEnd w:id="28"/>
      <w:bookmarkStart w:id="29" w:name="_Toc533708065"/>
      <w:bookmarkStart w:id="30" w:name="_Toc1977665"/>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必须保证提供的所有服务或服务的任何部分均为最新正式版本。</w:t>
      </w:r>
      <w:bookmarkEnd w:id="29"/>
      <w:bookmarkEnd w:id="30"/>
    </w:p>
    <w:p w14:paraId="73CC3DD0">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1" w:name="_Toc533708066"/>
      <w:bookmarkStart w:id="32" w:name="_Toc1977666"/>
      <w:r>
        <w:rPr>
          <w:rFonts w:hint="eastAsia" w:ascii="宋体" w:hAnsi="宋体" w:eastAsia="宋体" w:cs="宋体"/>
          <w:color w:val="auto"/>
          <w:kern w:val="2"/>
          <w:sz w:val="21"/>
          <w:szCs w:val="21"/>
          <w:highlight w:val="none"/>
          <w:lang w:val="zh-CN"/>
        </w:rPr>
        <w:t xml:space="preserve">3.3 </w:t>
      </w:r>
      <w:bookmarkEnd w:id="31"/>
      <w:bookmarkEnd w:id="32"/>
      <w:bookmarkStart w:id="33" w:name="_Toc533708067"/>
      <w:bookmarkStart w:id="34" w:name="_Toc1977667"/>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应保证</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人在中华人民共和国使用服务或服务的任何一部分时，</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人免受第三方提</w:t>
      </w:r>
    </w:p>
    <w:p w14:paraId="65C1D757">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出侵犯其专利权、商标权或其它知识产权的起诉。如果</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不拥有相应的知识产权，则须在</w:t>
      </w:r>
    </w:p>
    <w:p w14:paraId="46D74AE4">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报价中包括合法获取该知识产权的相关费用，并在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文件中附有相关证明文件。如有违反，</w:t>
      </w:r>
    </w:p>
    <w:p w14:paraId="308B7F65">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人任何经济损失或其他损失的，由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承担全部赔偿责任。</w:t>
      </w:r>
      <w:bookmarkEnd w:id="33"/>
      <w:bookmarkEnd w:id="34"/>
    </w:p>
    <w:p w14:paraId="4C0E2D2F">
      <w:pPr>
        <w:tabs>
          <w:tab w:val="left" w:pos="525"/>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35" w:name="_Toc533708068"/>
      <w:bookmarkStart w:id="36" w:name="_Toc1977668"/>
      <w:r>
        <w:rPr>
          <w:rFonts w:hint="eastAsia" w:ascii="宋体" w:hAnsi="宋体" w:eastAsia="宋体" w:cs="宋体"/>
          <w:color w:val="auto"/>
          <w:kern w:val="2"/>
          <w:sz w:val="21"/>
          <w:szCs w:val="21"/>
          <w:highlight w:val="none"/>
          <w:lang w:val="zh-CN"/>
        </w:rPr>
        <w:t>3.4</w:t>
      </w:r>
      <w:bookmarkEnd w:id="35"/>
      <w:bookmarkEnd w:id="36"/>
      <w:r>
        <w:rPr>
          <w:rFonts w:hint="eastAsia" w:ascii="宋体" w:hAnsi="宋体" w:eastAsia="宋体" w:cs="宋体"/>
          <w:color w:val="auto"/>
          <w:kern w:val="2"/>
          <w:sz w:val="21"/>
          <w:szCs w:val="21"/>
          <w:highlight w:val="none"/>
          <w:lang w:val="zh-CN" w:eastAsia="zh-CN"/>
        </w:rPr>
        <w:t xml:space="preserve"> </w:t>
      </w:r>
      <w:r>
        <w:rPr>
          <w:rFonts w:hint="eastAsia" w:ascii="宋体" w:hAnsi="宋体" w:eastAsia="宋体" w:cs="宋体"/>
          <w:color w:val="auto"/>
          <w:kern w:val="2"/>
          <w:sz w:val="21"/>
          <w:szCs w:val="21"/>
          <w:highlight w:val="none"/>
          <w:lang w:val="zh-CN"/>
        </w:rPr>
        <w:t>无论</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是否在</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报价表中明示，均视为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报价已包含所有应支付的对专利权、商标权</w:t>
      </w:r>
    </w:p>
    <w:p w14:paraId="37551851">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和版权、设计或其他知识产权而需要向其他方支付的版税和使用费等相关费用。如</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未依</w:t>
      </w:r>
    </w:p>
    <w:p w14:paraId="07ED04F2">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法向第三方支付应缴版税和使用费等相关费用的，造成</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人任何经济损失的，由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7B2C41F2">
      <w:pPr>
        <w:tabs>
          <w:tab w:val="left" w:pos="525"/>
        </w:tabs>
        <w:spacing w:line="360" w:lineRule="auto"/>
        <w:ind w:firstLine="420" w:firstLineChars="20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全部赔偿责任。</w:t>
      </w:r>
    </w:p>
    <w:bookmarkEnd w:id="24"/>
    <w:bookmarkEnd w:id="25"/>
    <w:bookmarkEnd w:id="26"/>
    <w:p w14:paraId="514D3493">
      <w:pPr>
        <w:spacing w:line="360" w:lineRule="auto"/>
        <w:ind w:left="420" w:hanging="420" w:hangingChars="200"/>
        <w:jc w:val="both"/>
        <w:rPr>
          <w:rFonts w:hint="eastAsia" w:ascii="宋体" w:hAnsi="宋体" w:eastAsia="宋体" w:cs="宋体"/>
          <w:color w:val="auto"/>
          <w:sz w:val="21"/>
          <w:szCs w:val="21"/>
          <w:highlight w:val="none"/>
        </w:rPr>
      </w:pPr>
    </w:p>
    <w:p w14:paraId="24AD0737">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37" w:name="_Toc450662852"/>
      <w:bookmarkStart w:id="38" w:name="_Toc10476"/>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其它说明</w:t>
      </w:r>
      <w:bookmarkEnd w:id="37"/>
      <w:bookmarkEnd w:id="38"/>
    </w:p>
    <w:p w14:paraId="2A943C9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4.1 </w:t>
      </w:r>
      <w:r>
        <w:rPr>
          <w:rFonts w:hint="eastAsia" w:ascii="宋体" w:hAnsi="宋体" w:eastAsia="宋体" w:cs="宋体"/>
          <w:color w:val="auto"/>
          <w:kern w:val="2"/>
          <w:sz w:val="21"/>
          <w:szCs w:val="21"/>
          <w:highlight w:val="none"/>
          <w:lang w:val="en-US" w:eastAsia="zh-CN"/>
        </w:rPr>
        <w:t>磋商过程</w:t>
      </w:r>
      <w:r>
        <w:rPr>
          <w:rFonts w:hint="eastAsia" w:ascii="宋体" w:hAnsi="宋体" w:eastAsia="宋体" w:cs="宋体"/>
          <w:color w:val="auto"/>
          <w:kern w:val="2"/>
          <w:sz w:val="21"/>
          <w:szCs w:val="21"/>
          <w:highlight w:val="none"/>
          <w:lang w:val="zh-CN"/>
        </w:rPr>
        <w:t>费用</w:t>
      </w:r>
    </w:p>
    <w:p w14:paraId="51553649">
      <w:pPr>
        <w:spacing w:line="360" w:lineRule="auto"/>
        <w:ind w:left="418" w:leftChars="174"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无论采购过程中的做法和结果如何，供应商须承担所有与编写和递交响应文件有关的费用，采购</w:t>
      </w:r>
      <w:r>
        <w:rPr>
          <w:rFonts w:hint="eastAsia" w:ascii="宋体" w:hAnsi="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在任何情况下不负担这些费用。</w:t>
      </w:r>
    </w:p>
    <w:p w14:paraId="42025105">
      <w:pPr>
        <w:keepNext w:val="0"/>
        <w:keepLines w:val="0"/>
        <w:pageBreakBefore w:val="0"/>
        <w:widowControl w:val="0"/>
        <w:tabs>
          <w:tab w:val="left" w:pos="567"/>
          <w:tab w:val="left" w:pos="927"/>
        </w:tabs>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2 踏勘现场</w:t>
      </w:r>
    </w:p>
    <w:p w14:paraId="263420E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val="0"/>
          <w:color w:val="auto"/>
          <w:sz w:val="21"/>
          <w:szCs w:val="21"/>
          <w:highlight w:val="none"/>
        </w:rPr>
        <w:t>本项目不组织集中踏勘现场和答疑，</w:t>
      </w:r>
      <w:r>
        <w:rPr>
          <w:rFonts w:hint="eastAsia" w:ascii="宋体" w:hAnsi="宋体" w:cs="宋体"/>
          <w:bCs w:val="0"/>
          <w:color w:val="auto"/>
          <w:sz w:val="21"/>
          <w:szCs w:val="21"/>
          <w:highlight w:val="none"/>
          <w:lang w:val="en-US" w:eastAsia="zh-CN"/>
        </w:rPr>
        <w:t>供应商</w:t>
      </w:r>
      <w:r>
        <w:rPr>
          <w:rFonts w:hint="eastAsia" w:ascii="宋体" w:hAnsi="宋体" w:eastAsia="宋体" w:cs="宋体"/>
          <w:bCs w:val="0"/>
          <w:color w:val="auto"/>
          <w:sz w:val="21"/>
          <w:szCs w:val="21"/>
          <w:highlight w:val="none"/>
          <w:lang w:val="en-US" w:eastAsia="zh-CN"/>
        </w:rPr>
        <w:t>获取</w:t>
      </w:r>
      <w:r>
        <w:rPr>
          <w:rFonts w:hint="eastAsia" w:ascii="宋体" w:hAnsi="宋体" w:cs="宋体"/>
          <w:bCs w:val="0"/>
          <w:color w:val="auto"/>
          <w:sz w:val="21"/>
          <w:szCs w:val="21"/>
          <w:highlight w:val="none"/>
          <w:lang w:val="en-US" w:eastAsia="zh-CN"/>
        </w:rPr>
        <w:t>竞争性磋商</w:t>
      </w:r>
      <w:r>
        <w:rPr>
          <w:rFonts w:hint="eastAsia" w:ascii="宋体" w:hAnsi="宋体" w:eastAsia="宋体" w:cs="宋体"/>
          <w:bCs w:val="0"/>
          <w:color w:val="auto"/>
          <w:sz w:val="21"/>
          <w:szCs w:val="21"/>
          <w:highlight w:val="none"/>
          <w:lang w:val="en-US" w:eastAsia="zh-CN"/>
        </w:rPr>
        <w:t>文件后</w:t>
      </w:r>
      <w:r>
        <w:rPr>
          <w:rFonts w:hint="eastAsia" w:ascii="宋体" w:hAnsi="宋体" w:eastAsia="宋体" w:cs="宋体"/>
          <w:bCs w:val="0"/>
          <w:color w:val="auto"/>
          <w:sz w:val="21"/>
          <w:szCs w:val="21"/>
          <w:highlight w:val="none"/>
        </w:rPr>
        <w:t>应自行到实地踏勘考察。</w:t>
      </w:r>
    </w:p>
    <w:p w14:paraId="09D789D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应承担踏勘现场自身所发生的费用。</w:t>
      </w:r>
    </w:p>
    <w:p w14:paraId="7A99A03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采购人</w:t>
      </w:r>
      <w:r>
        <w:rPr>
          <w:rFonts w:hint="eastAsia" w:ascii="宋体" w:hAnsi="宋体" w:cs="宋体"/>
          <w:color w:val="auto"/>
          <w:sz w:val="21"/>
          <w:szCs w:val="21"/>
          <w:highlight w:val="none"/>
          <w:lang w:val="en-US" w:eastAsia="zh-CN"/>
        </w:rPr>
        <w:t>和采购代理机构</w:t>
      </w:r>
      <w:r>
        <w:rPr>
          <w:rFonts w:hint="eastAsia" w:ascii="宋体" w:hAnsi="宋体" w:eastAsia="宋体" w:cs="宋体"/>
          <w:color w:val="auto"/>
          <w:sz w:val="21"/>
          <w:szCs w:val="21"/>
          <w:highlight w:val="none"/>
        </w:rPr>
        <w:t>在踏勘现场中介绍的有关现场和相关的周边环境情况，供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在编制响应文件时参考，采购人不对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据此作出的判断和决策负责。</w:t>
      </w:r>
    </w:p>
    <w:p w14:paraId="15913CFD">
      <w:pPr>
        <w:keepNext w:val="0"/>
        <w:keepLines w:val="0"/>
        <w:pageBreakBefore w:val="0"/>
        <w:widowControl w:val="0"/>
        <w:kinsoku/>
        <w:wordWrap/>
        <w:overflowPunct/>
        <w:topLinePunct w:val="0"/>
        <w:autoSpaceDE w:val="0"/>
        <w:autoSpaceDN w:val="0"/>
        <w:bidi w:val="0"/>
        <w:adjustRightInd w:val="0"/>
        <w:snapToGrid/>
        <w:spacing w:line="360" w:lineRule="auto"/>
        <w:ind w:left="525" w:leftChars="0" w:right="120" w:rightChars="5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可为踏勘需要而进入采购人的项目现场，但潜在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不得因此使采购人承担有关的责任和蒙受损失。潜在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应承担踏勘现场的责任和风险。</w:t>
      </w:r>
    </w:p>
    <w:p w14:paraId="18186621">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kern w:val="2"/>
          <w:sz w:val="21"/>
          <w:szCs w:val="21"/>
          <w:highlight w:val="none"/>
          <w:lang w:val="zh-CN"/>
        </w:rPr>
        <w:t>4.3 纪律与保密事项</w:t>
      </w:r>
    </w:p>
    <w:p w14:paraId="1FBFD9B9">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）获得本竞争性磋商文件的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，不得用作本次</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以外的任何用途</w:t>
      </w:r>
      <w:r>
        <w:rPr>
          <w:rFonts w:hint="eastAsia" w:ascii="宋体" w:hAnsi="宋体" w:eastAsia="宋体" w:cs="宋体"/>
          <w:color w:val="auto"/>
          <w:sz w:val="21"/>
          <w:szCs w:val="21"/>
          <w:highlight w:val="none"/>
          <w:lang w:eastAsia="zh-CN"/>
        </w:rPr>
        <w:t>。</w:t>
      </w:r>
    </w:p>
    <w:p w14:paraId="626C414D">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（2）凡参与</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工作的有关人员均应自觉接受有关主管部门的监督，不得向他人透露可能影响公平竞争的情况。</w:t>
      </w:r>
    </w:p>
    <w:p w14:paraId="460B3DBD">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w:t>
      </w:r>
      <w:r>
        <w:rPr>
          <w:rFonts w:hint="eastAsia" w:ascii="宋体" w:hAnsi="宋体" w:eastAsia="宋体" w:cs="宋体"/>
          <w:color w:val="auto"/>
          <w:sz w:val="21"/>
          <w:szCs w:val="21"/>
          <w:highlight w:val="none"/>
          <w:lang w:val="en-US" w:eastAsia="zh-CN"/>
        </w:rPr>
        <w:t>启响应文件</w:t>
      </w:r>
      <w:r>
        <w:rPr>
          <w:rFonts w:hint="eastAsia" w:ascii="宋体" w:hAnsi="宋体" w:eastAsia="宋体" w:cs="宋体"/>
          <w:color w:val="auto"/>
          <w:sz w:val="21"/>
          <w:szCs w:val="21"/>
          <w:highlight w:val="none"/>
        </w:rPr>
        <w:t>后，直至向成交人</w:t>
      </w:r>
      <w:r>
        <w:rPr>
          <w:rFonts w:hint="eastAsia" w:ascii="宋体" w:hAnsi="宋体" w:cs="宋体"/>
          <w:color w:val="auto"/>
          <w:sz w:val="21"/>
          <w:szCs w:val="21"/>
          <w:highlight w:val="none"/>
          <w:lang w:val="en-US" w:eastAsia="zh-CN"/>
        </w:rPr>
        <w:t>授予合同期间</w:t>
      </w:r>
      <w:r>
        <w:rPr>
          <w:rFonts w:hint="eastAsia" w:ascii="宋体" w:hAnsi="宋体" w:eastAsia="宋体" w:cs="宋体"/>
          <w:color w:val="auto"/>
          <w:sz w:val="21"/>
          <w:szCs w:val="21"/>
          <w:highlight w:val="none"/>
        </w:rPr>
        <w:t>，凡与审查、澄清、</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评价和比较报价的有关资料以及</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意见等，参与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工作的有关人员均不得向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无关的其他人透露。</w:t>
      </w:r>
    </w:p>
    <w:p w14:paraId="634EE01E">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被要求对响应文件进行澄清外，从递交响应文件截止之时起至授予合同期间，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不得就与其响应文件有关的事项主动与</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代理机构以</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采购人联系。</w:t>
      </w:r>
    </w:p>
    <w:p w14:paraId="71A8167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（5）从</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之日起至授予合同期间，在响应文件的审查、澄清、比较和评价阶段，</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试图对</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施加任何影响或对采购人的比较及授予合同的决定产生影响，都可能导致其响应文件被拒绝。</w:t>
      </w:r>
    </w:p>
    <w:p w14:paraId="5AEC472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不得串通作弊，以不正当的手段妨碍、排挤其他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，扰乱采购市场，破坏公平竞争原则。</w:t>
      </w:r>
    </w:p>
    <w:p w14:paraId="560167AD">
      <w:pPr>
        <w:spacing w:line="360" w:lineRule="auto"/>
        <w:ind w:left="420" w:hanging="420" w:hangingChars="200"/>
        <w:jc w:val="both"/>
        <w:rPr>
          <w:rFonts w:hint="eastAsia" w:ascii="宋体" w:hAnsi="宋体" w:eastAsia="宋体" w:cs="宋体"/>
          <w:color w:val="auto"/>
          <w:sz w:val="21"/>
          <w:szCs w:val="21"/>
          <w:highlight w:val="none"/>
        </w:rPr>
      </w:pPr>
    </w:p>
    <w:p w14:paraId="315C6F43">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39" w:name="_Toc450662853"/>
      <w:bookmarkStart w:id="40" w:name="_Toc521918070"/>
      <w:bookmarkStart w:id="41" w:name="_Toc19606"/>
      <w:r>
        <w:rPr>
          <w:rFonts w:hint="eastAsia" w:ascii="宋体" w:hAnsi="宋体" w:eastAsia="宋体" w:cs="宋体"/>
          <w:b/>
          <w:bCs/>
          <w:color w:val="auto"/>
          <w:kern w:val="44"/>
          <w:sz w:val="21"/>
          <w:szCs w:val="21"/>
          <w:highlight w:val="none"/>
          <w:lang w:val="zh-CN"/>
        </w:rPr>
        <w:t>二、</w:t>
      </w:r>
      <w:bookmarkEnd w:id="39"/>
      <w:bookmarkEnd w:id="40"/>
      <w:r>
        <w:rPr>
          <w:rFonts w:hint="eastAsia" w:ascii="宋体" w:hAnsi="宋体" w:eastAsia="宋体" w:cs="宋体"/>
          <w:b/>
          <w:bCs/>
          <w:color w:val="auto"/>
          <w:kern w:val="44"/>
          <w:sz w:val="21"/>
          <w:szCs w:val="21"/>
          <w:highlight w:val="none"/>
          <w:lang w:val="zh-CN"/>
        </w:rPr>
        <w:t>竞争性磋商文件</w:t>
      </w:r>
      <w:bookmarkEnd w:id="41"/>
    </w:p>
    <w:p w14:paraId="1202C19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2" w:name="_Toc450662854"/>
      <w:bookmarkStart w:id="43" w:name="_Toc521918071"/>
      <w:bookmarkStart w:id="44" w:name="_Toc17130"/>
      <w:r>
        <w:rPr>
          <w:rFonts w:hint="eastAsia" w:ascii="宋体" w:hAnsi="宋体" w:cs="宋体"/>
          <w:color w:val="auto"/>
          <w:kern w:val="2"/>
          <w:sz w:val="21"/>
          <w:szCs w:val="21"/>
          <w:highlight w:val="none"/>
          <w:lang w:val="en-US" w:eastAsia="zh-CN"/>
        </w:rPr>
        <w:t xml:space="preserve">5 </w:t>
      </w:r>
      <w:r>
        <w:rPr>
          <w:rFonts w:hint="eastAsia" w:ascii="宋体" w:hAnsi="宋体" w:eastAsia="宋体" w:cs="宋体"/>
          <w:color w:val="auto"/>
          <w:kern w:val="2"/>
          <w:sz w:val="21"/>
          <w:szCs w:val="21"/>
          <w:highlight w:val="none"/>
          <w:lang w:val="zh-CN"/>
        </w:rPr>
        <w:t>竞争性磋商文件的构成</w:t>
      </w:r>
      <w:bookmarkEnd w:id="42"/>
      <w:bookmarkEnd w:id="43"/>
      <w:bookmarkEnd w:id="44"/>
    </w:p>
    <w:p w14:paraId="1DA89FCB">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w:t>
      </w:r>
      <w:r>
        <w:rPr>
          <w:rFonts w:hint="eastAsia" w:ascii="宋体" w:hAnsi="宋体" w:cs="宋体"/>
          <w:color w:val="auto"/>
          <w:kern w:val="2"/>
          <w:sz w:val="21"/>
          <w:szCs w:val="21"/>
          <w:highlight w:val="none"/>
          <w:lang w:val="en-US" w:eastAsia="zh-CN"/>
        </w:rPr>
        <w:t xml:space="preserve">1 </w:t>
      </w:r>
      <w:r>
        <w:rPr>
          <w:rFonts w:hint="eastAsia" w:ascii="宋体" w:hAnsi="宋体" w:eastAsia="宋体" w:cs="宋体"/>
          <w:color w:val="auto"/>
          <w:kern w:val="2"/>
          <w:sz w:val="21"/>
          <w:szCs w:val="21"/>
          <w:highlight w:val="none"/>
          <w:lang w:val="zh-CN"/>
        </w:rPr>
        <w:t>竞争性磋商文件包括：</w:t>
      </w:r>
    </w:p>
    <w:p w14:paraId="78AFD572">
      <w:pPr>
        <w:tabs>
          <w:tab w:val="left" w:pos="567"/>
        </w:tabs>
        <w:spacing w:line="360" w:lineRule="auto"/>
        <w:ind w:left="574" w:leftChars="208" w:hanging="75" w:hangingChars="36"/>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第一</w:t>
      </w:r>
      <w:r>
        <w:rPr>
          <w:rFonts w:hint="eastAsia" w:ascii="宋体" w:hAnsi="宋体" w:cs="宋体"/>
          <w:color w:val="auto"/>
          <w:kern w:val="2"/>
          <w:sz w:val="21"/>
          <w:szCs w:val="21"/>
          <w:highlight w:val="none"/>
          <w:lang w:val="en-US" w:eastAsia="zh-CN"/>
        </w:rPr>
        <w:t xml:space="preserve">篇 </w:t>
      </w:r>
      <w:r>
        <w:rPr>
          <w:rFonts w:hint="eastAsia" w:ascii="宋体" w:hAnsi="宋体" w:eastAsia="宋体" w:cs="宋体"/>
          <w:color w:val="auto"/>
          <w:kern w:val="2"/>
          <w:sz w:val="21"/>
          <w:szCs w:val="21"/>
          <w:highlight w:val="none"/>
          <w:lang w:val="zh-CN"/>
        </w:rPr>
        <w:t>竞争性磋商</w:t>
      </w:r>
      <w:r>
        <w:rPr>
          <w:rFonts w:hint="eastAsia" w:ascii="宋体" w:hAnsi="宋体" w:cs="宋体"/>
          <w:color w:val="auto"/>
          <w:kern w:val="2"/>
          <w:sz w:val="21"/>
          <w:szCs w:val="21"/>
          <w:highlight w:val="none"/>
          <w:lang w:val="en-US" w:eastAsia="zh-CN"/>
        </w:rPr>
        <w:t>公告</w:t>
      </w:r>
    </w:p>
    <w:p w14:paraId="6441374F">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第二篇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w:t>
      </w:r>
    </w:p>
    <w:p w14:paraId="4E8B3D38">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第三篇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用户需求书</w:t>
      </w:r>
    </w:p>
    <w:p w14:paraId="71AD3E76">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第四篇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合同条款格式</w:t>
      </w:r>
    </w:p>
    <w:p w14:paraId="1B24F500">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eastAsia="宋体" w:cs="宋体"/>
          <w:color w:val="auto"/>
          <w:kern w:val="2"/>
          <w:sz w:val="21"/>
          <w:szCs w:val="21"/>
          <w:highlight w:val="none"/>
          <w:lang w:val="en-US" w:eastAsia="zh-CN"/>
        </w:rPr>
        <w:t>五</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相关保函</w:t>
      </w:r>
      <w:r>
        <w:rPr>
          <w:rFonts w:hint="eastAsia" w:ascii="宋体" w:hAnsi="宋体" w:eastAsia="宋体" w:cs="宋体"/>
          <w:color w:val="auto"/>
          <w:kern w:val="2"/>
          <w:sz w:val="21"/>
          <w:szCs w:val="21"/>
          <w:highlight w:val="none"/>
          <w:lang w:val="zh-CN"/>
        </w:rPr>
        <w:t>格式</w:t>
      </w:r>
    </w:p>
    <w:p w14:paraId="1264FAE9">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第</w:t>
      </w:r>
      <w:r>
        <w:rPr>
          <w:rFonts w:hint="eastAsia" w:ascii="宋体" w:hAnsi="宋体" w:cs="宋体"/>
          <w:color w:val="auto"/>
          <w:kern w:val="2"/>
          <w:sz w:val="21"/>
          <w:szCs w:val="21"/>
          <w:highlight w:val="none"/>
          <w:lang w:val="en-US" w:eastAsia="zh-CN"/>
        </w:rPr>
        <w:t>六</w:t>
      </w:r>
      <w:r>
        <w:rPr>
          <w:rFonts w:hint="eastAsia" w:ascii="宋体" w:hAnsi="宋体" w:eastAsia="宋体" w:cs="宋体"/>
          <w:color w:val="auto"/>
          <w:kern w:val="2"/>
          <w:sz w:val="21"/>
          <w:szCs w:val="21"/>
          <w:highlight w:val="none"/>
          <w:lang w:val="zh-CN"/>
        </w:rPr>
        <w:t>篇</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响应文件格式</w:t>
      </w:r>
    </w:p>
    <w:p w14:paraId="1F7709F3">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left="480" w:leftChars="200"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附件一</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评审工作大纲</w:t>
      </w:r>
    </w:p>
    <w:p w14:paraId="43DBC375">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5.2</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供应商应审阅竞争性磋商文件中所有须知、格式、条款和规格。供应商未按竞争性磋商文件要求提供全部资料或提交的响应文件未对竞争性磋商文件作出实质性响应（★标志的部分为供应商</w:t>
      </w:r>
      <w:r>
        <w:rPr>
          <w:rFonts w:hint="eastAsia" w:ascii="宋体" w:hAnsi="宋体" w:eastAsia="宋体" w:cs="宋体"/>
          <w:b/>
          <w:bCs/>
          <w:color w:val="auto"/>
          <w:kern w:val="2"/>
          <w:sz w:val="21"/>
          <w:szCs w:val="21"/>
          <w:highlight w:val="none"/>
          <w:u w:val="single"/>
          <w:lang w:val="en-US" w:eastAsia="zh-CN"/>
        </w:rPr>
        <w:t>及其</w:t>
      </w:r>
      <w:r>
        <w:rPr>
          <w:rFonts w:hint="eastAsia" w:ascii="宋体" w:hAnsi="宋体" w:eastAsia="宋体" w:cs="宋体"/>
          <w:b/>
          <w:bCs/>
          <w:color w:val="auto"/>
          <w:kern w:val="2"/>
          <w:sz w:val="21"/>
          <w:szCs w:val="21"/>
          <w:highlight w:val="none"/>
          <w:u w:val="single"/>
          <w:lang w:val="zh-CN"/>
        </w:rPr>
        <w:t>拟供服务必备的条件或重要指示），那么供应商</w:t>
      </w:r>
      <w:r>
        <w:rPr>
          <w:rFonts w:hint="eastAsia" w:ascii="宋体" w:hAnsi="宋体" w:cs="宋体"/>
          <w:b/>
          <w:bCs/>
          <w:color w:val="auto"/>
          <w:kern w:val="2"/>
          <w:sz w:val="21"/>
          <w:szCs w:val="21"/>
          <w:highlight w:val="none"/>
          <w:u w:val="single"/>
          <w:lang w:val="en-US" w:eastAsia="zh-CN"/>
        </w:rPr>
        <w:t>的</w:t>
      </w:r>
      <w:r>
        <w:rPr>
          <w:rFonts w:hint="eastAsia" w:ascii="宋体" w:hAnsi="宋体" w:eastAsia="宋体" w:cs="宋体"/>
          <w:b/>
          <w:bCs/>
          <w:color w:val="auto"/>
          <w:kern w:val="2"/>
          <w:sz w:val="21"/>
          <w:szCs w:val="21"/>
          <w:highlight w:val="none"/>
          <w:u w:val="single"/>
          <w:lang w:val="zh-CN"/>
        </w:rPr>
        <w:t>响应文件</w:t>
      </w:r>
      <w:r>
        <w:rPr>
          <w:rFonts w:hint="eastAsia" w:ascii="宋体" w:hAnsi="宋体" w:cs="宋体"/>
          <w:b/>
          <w:bCs/>
          <w:color w:val="auto"/>
          <w:kern w:val="2"/>
          <w:sz w:val="21"/>
          <w:szCs w:val="21"/>
          <w:highlight w:val="none"/>
          <w:u w:val="single"/>
          <w:lang w:val="en-US" w:eastAsia="zh-CN"/>
        </w:rPr>
        <w:t>将有可能</w:t>
      </w:r>
      <w:r>
        <w:rPr>
          <w:rFonts w:hint="eastAsia" w:ascii="宋体" w:hAnsi="宋体" w:eastAsia="宋体" w:cs="宋体"/>
          <w:b/>
          <w:bCs/>
          <w:color w:val="auto"/>
          <w:kern w:val="2"/>
          <w:sz w:val="21"/>
          <w:szCs w:val="21"/>
          <w:highlight w:val="none"/>
          <w:u w:val="single"/>
          <w:lang w:val="zh-CN"/>
        </w:rPr>
        <w:t>被拒绝接收或评审为无效响应文件</w:t>
      </w:r>
      <w:r>
        <w:rPr>
          <w:rFonts w:hint="eastAsia" w:ascii="宋体" w:hAnsi="宋体" w:eastAsia="宋体" w:cs="宋体"/>
          <w:b/>
          <w:bCs/>
          <w:color w:val="auto"/>
          <w:kern w:val="2"/>
          <w:sz w:val="21"/>
          <w:szCs w:val="21"/>
          <w:highlight w:val="none"/>
          <w:lang w:val="zh-CN"/>
        </w:rPr>
        <w:t>。</w:t>
      </w:r>
    </w:p>
    <w:p w14:paraId="19A175A5">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5.3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本竞争性磋商文件使用的词语有如下定义：</w:t>
      </w:r>
    </w:p>
    <w:p w14:paraId="19032A19">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zh-CN"/>
        </w:rPr>
        <w:t>“采购人”指</w:t>
      </w:r>
      <w:r>
        <w:rPr>
          <w:rFonts w:hint="eastAsia" w:ascii="宋体" w:hAnsi="宋体" w:eastAsia="宋体" w:cs="宋体"/>
          <w:color w:val="auto"/>
          <w:sz w:val="21"/>
          <w:szCs w:val="21"/>
          <w:highlight w:val="none"/>
        </w:rPr>
        <w:t>东莞市众源环境投资有限公司</w:t>
      </w:r>
      <w:r>
        <w:rPr>
          <w:rFonts w:hint="eastAsia" w:ascii="宋体" w:hAnsi="宋体" w:eastAsia="宋体" w:cs="宋体"/>
          <w:color w:val="auto"/>
          <w:kern w:val="2"/>
          <w:sz w:val="21"/>
          <w:szCs w:val="21"/>
          <w:highlight w:val="none"/>
          <w:lang w:val="zh-CN"/>
        </w:rPr>
        <w:t>；</w:t>
      </w:r>
    </w:p>
    <w:p w14:paraId="4317E8F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代理机构”指</w:t>
      </w:r>
      <w:r>
        <w:rPr>
          <w:rFonts w:hint="eastAsia" w:ascii="宋体" w:hAnsi="宋体" w:cs="宋体"/>
          <w:color w:val="auto"/>
          <w:kern w:val="2"/>
          <w:sz w:val="21"/>
          <w:szCs w:val="21"/>
          <w:highlight w:val="none"/>
          <w:lang w:val="zh-CN" w:eastAsia="zh-CN"/>
        </w:rPr>
        <w:t>广东有德招标采购有限公司</w:t>
      </w:r>
      <w:r>
        <w:rPr>
          <w:rFonts w:hint="eastAsia" w:ascii="宋体" w:hAnsi="宋体" w:eastAsia="宋体" w:cs="宋体"/>
          <w:color w:val="auto"/>
          <w:kern w:val="2"/>
          <w:sz w:val="21"/>
          <w:szCs w:val="21"/>
          <w:highlight w:val="none"/>
          <w:lang w:val="zh-CN"/>
        </w:rPr>
        <w:t>；</w:t>
      </w:r>
    </w:p>
    <w:p w14:paraId="0C336F7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）“供应商”指参加</w:t>
      </w:r>
      <w:r>
        <w:rPr>
          <w:rFonts w:hint="eastAsia" w:ascii="宋体" w:hAnsi="宋体" w:cs="宋体"/>
          <w:color w:val="auto"/>
          <w:kern w:val="2"/>
          <w:sz w:val="21"/>
          <w:szCs w:val="21"/>
          <w:highlight w:val="none"/>
          <w:lang w:val="zh-CN" w:eastAsia="zh-CN"/>
        </w:rPr>
        <w:t>东莞市众源环境投资有限公司污水处理厂污泥脱水减量处理服务（BOT权属东江下游片区）采购项目（麻涌一期重新采购）</w:t>
      </w:r>
      <w:r>
        <w:rPr>
          <w:rFonts w:hint="eastAsia" w:ascii="宋体" w:hAnsi="宋体" w:eastAsia="宋体" w:cs="宋体"/>
          <w:color w:val="auto"/>
          <w:kern w:val="2"/>
          <w:sz w:val="21"/>
          <w:szCs w:val="21"/>
          <w:highlight w:val="none"/>
          <w:lang w:val="zh-CN"/>
        </w:rPr>
        <w:t>所需的有关</w:t>
      </w:r>
      <w:r>
        <w:rPr>
          <w:rFonts w:hint="eastAsia" w:ascii="宋体" w:hAnsi="宋体" w:eastAsia="宋体" w:cs="宋体"/>
          <w:color w:val="auto"/>
          <w:sz w:val="21"/>
          <w:szCs w:val="21"/>
          <w:highlight w:val="none"/>
        </w:rPr>
        <w:t>服务</w:t>
      </w:r>
      <w:r>
        <w:rPr>
          <w:rFonts w:hint="eastAsia" w:ascii="宋体" w:hAnsi="宋体" w:eastAsia="宋体" w:cs="宋体"/>
          <w:color w:val="auto"/>
          <w:kern w:val="2"/>
          <w:sz w:val="21"/>
          <w:szCs w:val="21"/>
          <w:highlight w:val="none"/>
          <w:lang w:val="zh-CN"/>
        </w:rPr>
        <w:t>的</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en-US"/>
        </w:rPr>
        <w:t>报价</w:t>
      </w:r>
      <w:r>
        <w:rPr>
          <w:rFonts w:hint="eastAsia" w:ascii="宋体" w:hAnsi="宋体" w:eastAsia="宋体" w:cs="宋体"/>
          <w:color w:val="auto"/>
          <w:kern w:val="2"/>
          <w:sz w:val="21"/>
          <w:szCs w:val="21"/>
          <w:highlight w:val="none"/>
          <w:lang w:val="zh-CN"/>
        </w:rPr>
        <w:t>，并向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代理机构提交响应文件的当事人；</w:t>
      </w:r>
    </w:p>
    <w:p w14:paraId="51BB9575">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）“磋商小组”是指</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人组建</w:t>
      </w:r>
      <w:r>
        <w:rPr>
          <w:rFonts w:hint="eastAsia" w:ascii="宋体" w:hAnsi="宋体" w:eastAsia="宋体" w:cs="宋体"/>
          <w:color w:val="auto"/>
          <w:sz w:val="21"/>
          <w:szCs w:val="21"/>
          <w:highlight w:val="none"/>
          <w:lang w:val="zh-CN"/>
        </w:rPr>
        <w:t>的</w:t>
      </w:r>
      <w:r>
        <w:rPr>
          <w:rFonts w:hint="eastAsia" w:ascii="宋体" w:hAnsi="宋体" w:eastAsia="宋体" w:cs="宋体"/>
          <w:color w:val="auto"/>
          <w:kern w:val="2"/>
          <w:sz w:val="21"/>
          <w:szCs w:val="21"/>
          <w:highlight w:val="none"/>
          <w:lang w:val="zh-CN"/>
        </w:rPr>
        <w:t>专门负责本次</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工作的临时性机构；</w:t>
      </w:r>
    </w:p>
    <w:p w14:paraId="6B9C693D">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）“成交人”指其</w:t>
      </w:r>
      <w:r>
        <w:rPr>
          <w:rFonts w:hint="eastAsia" w:ascii="宋体" w:hAnsi="宋体" w:eastAsia="宋体" w:cs="宋体"/>
          <w:color w:val="auto"/>
          <w:kern w:val="2"/>
          <w:sz w:val="21"/>
          <w:szCs w:val="21"/>
          <w:highlight w:val="none"/>
          <w:lang w:val="en-US" w:eastAsia="zh-CN"/>
        </w:rPr>
        <w:t>响应报价</w:t>
      </w:r>
      <w:r>
        <w:rPr>
          <w:rFonts w:hint="eastAsia" w:ascii="宋体" w:hAnsi="宋体" w:eastAsia="宋体" w:cs="宋体"/>
          <w:color w:val="auto"/>
          <w:kern w:val="2"/>
          <w:sz w:val="21"/>
          <w:szCs w:val="21"/>
          <w:highlight w:val="none"/>
          <w:lang w:val="zh-CN"/>
        </w:rPr>
        <w:t>被采购人接受，并与采购人签订合同的当事人；</w:t>
      </w:r>
    </w:p>
    <w:p w14:paraId="1D88A2BF">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）“甲方”指在合同条款中指明的购买货物和服务的单位；</w:t>
      </w:r>
    </w:p>
    <w:p w14:paraId="21BB9A1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）“乙方”指在合同条款中指明的本合同项下提供货物和服务的公司或实体；</w:t>
      </w:r>
    </w:p>
    <w:p w14:paraId="42D03C67">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）“竞争性磋商文件”指由采购代理机构发出的本竞争性磋商文件，包括全部章节和附件；</w:t>
      </w:r>
    </w:p>
    <w:p w14:paraId="70D3C705">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）“响应文件”指供应商根据本竞争性磋商文件向采购代理机构提交的全部文件；</w:t>
      </w:r>
    </w:p>
    <w:p w14:paraId="49A50F26">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val="zh-CN"/>
        </w:rPr>
        <w:t>）“书面函件”指手写、打字或印刷的函件，包括电传、电报和传真；</w:t>
      </w:r>
    </w:p>
    <w:p w14:paraId="47FB32B0">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）“合同”指由本次采购所产生的合同或合约文件；</w:t>
      </w:r>
    </w:p>
    <w:p w14:paraId="48E230F2">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lang w:val="zh-CN"/>
        </w:rPr>
        <w:t>）“日期”指公历日，“时间”指北京时间；</w:t>
      </w:r>
    </w:p>
    <w:p w14:paraId="71E87E73">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13</w:t>
      </w:r>
      <w:r>
        <w:rPr>
          <w:rFonts w:hint="eastAsia" w:ascii="宋体" w:hAnsi="宋体" w:eastAsia="宋体" w:cs="宋体"/>
          <w:color w:val="auto"/>
          <w:kern w:val="2"/>
          <w:sz w:val="21"/>
          <w:szCs w:val="21"/>
          <w:highlight w:val="none"/>
          <w:lang w:val="zh-CN"/>
        </w:rPr>
        <w:t>）本竞争性磋商文件中的“境内”特指中华人民共和国海关关境以内，“境外”特指中华人民</w:t>
      </w:r>
    </w:p>
    <w:p w14:paraId="5F67CBAB">
      <w:pPr>
        <w:keepNext w:val="0"/>
        <w:keepLines w:val="0"/>
        <w:pageBreakBefore w:val="0"/>
        <w:widowControl w:val="0"/>
        <w:kinsoku/>
        <w:wordWrap/>
        <w:overflowPunct/>
        <w:topLinePunct w:val="0"/>
        <w:autoSpaceDE w:val="0"/>
        <w:autoSpaceDN w:val="0"/>
        <w:bidi w:val="0"/>
        <w:adjustRightInd w:val="0"/>
        <w:snapToGrid/>
        <w:spacing w:line="360" w:lineRule="auto"/>
        <w:ind w:left="636" w:leftChars="265"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共和国海关关境以外；</w:t>
      </w:r>
    </w:p>
    <w:p w14:paraId="20C6D17C">
      <w:pPr>
        <w:keepNext w:val="0"/>
        <w:keepLines w:val="0"/>
        <w:pageBreakBefore w:val="0"/>
        <w:widowControl w:val="0"/>
        <w:kinsoku/>
        <w:wordWrap/>
        <w:overflowPunct/>
        <w:topLinePunct w:val="0"/>
        <w:autoSpaceDE w:val="0"/>
        <w:autoSpaceDN w:val="0"/>
        <w:bidi w:val="0"/>
        <w:adjustRightInd w:val="0"/>
        <w:snapToGrid/>
        <w:spacing w:line="360" w:lineRule="auto"/>
        <w:ind w:left="525" w:leftChars="0"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14</w:t>
      </w:r>
      <w:r>
        <w:rPr>
          <w:rFonts w:hint="eastAsia" w:ascii="宋体" w:hAnsi="宋体" w:eastAsia="宋体" w:cs="宋体"/>
          <w:color w:val="auto"/>
          <w:kern w:val="2"/>
          <w:sz w:val="21"/>
          <w:szCs w:val="21"/>
          <w:highlight w:val="none"/>
          <w:lang w:val="zh-CN"/>
        </w:rPr>
        <w:t>）不含税价，即为《中华人民共和国增值税暂行条例》（国务院令第691号修订版）规定的销售</w:t>
      </w:r>
    </w:p>
    <w:p w14:paraId="5158C17A">
      <w:pPr>
        <w:keepNext w:val="0"/>
        <w:keepLines w:val="0"/>
        <w:pageBreakBefore w:val="0"/>
        <w:widowControl w:val="0"/>
        <w:kinsoku/>
        <w:wordWrap/>
        <w:overflowPunct/>
        <w:topLinePunct w:val="0"/>
        <w:autoSpaceDE w:val="0"/>
        <w:autoSpaceDN w:val="0"/>
        <w:bidi w:val="0"/>
        <w:adjustRightInd w:val="0"/>
        <w:snapToGrid/>
        <w:spacing w:line="360" w:lineRule="auto"/>
        <w:ind w:left="617" w:leftChars="257" w:firstLine="0" w:firstLineChars="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额。本竞争性磋商文件所称的不含税价和合同价是指不含本采购项目供应商的销项税额，包含了供应商完成合同义务（含供应商代缴代扣、分包及委外服务、施工、采购货物等所产生的价税）的其他全部费用。本采购项目供应商的销项税额由采购人承担，不计入报价。</w:t>
      </w:r>
    </w:p>
    <w:p w14:paraId="5502CF5B">
      <w:pPr>
        <w:spacing w:line="360" w:lineRule="auto"/>
        <w:ind w:left="1214" w:leftChars="178" w:hanging="787" w:hangingChars="375"/>
        <w:jc w:val="both"/>
        <w:rPr>
          <w:rFonts w:hint="eastAsia" w:ascii="宋体" w:hAnsi="宋体" w:eastAsia="宋体" w:cs="宋体"/>
          <w:color w:val="auto"/>
          <w:kern w:val="2"/>
          <w:sz w:val="21"/>
          <w:szCs w:val="21"/>
          <w:highlight w:val="none"/>
          <w:lang w:val="zh-CN"/>
        </w:rPr>
      </w:pPr>
    </w:p>
    <w:p w14:paraId="5DA0F47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5" w:name="_Toc521918072"/>
      <w:bookmarkStart w:id="46" w:name="_Toc26466"/>
      <w:bookmarkStart w:id="47" w:name="_Toc450662855"/>
      <w:r>
        <w:rPr>
          <w:rFonts w:hint="eastAsia" w:ascii="宋体" w:hAnsi="宋体" w:eastAsia="宋体" w:cs="宋体"/>
          <w:color w:val="auto"/>
          <w:kern w:val="2"/>
          <w:sz w:val="21"/>
          <w:szCs w:val="21"/>
          <w:highlight w:val="none"/>
          <w:lang w:val="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竞争性磋商文件的异议</w:t>
      </w:r>
      <w:bookmarkEnd w:id="45"/>
      <w:bookmarkEnd w:id="46"/>
      <w:bookmarkEnd w:id="47"/>
    </w:p>
    <w:p w14:paraId="49E5350F">
      <w:pPr>
        <w:tabs>
          <w:tab w:val="left" w:pos="567"/>
        </w:tabs>
        <w:spacing w:line="360" w:lineRule="auto"/>
        <w:ind w:left="418" w:leftChars="174" w:firstLine="420" w:firstLineChars="200"/>
        <w:jc w:val="both"/>
        <w:outlineLvl w:val="9"/>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bCs/>
          <w:color w:val="auto"/>
          <w:kern w:val="2"/>
          <w:sz w:val="21"/>
          <w:szCs w:val="21"/>
          <w:highlight w:val="none"/>
          <w:lang w:val="zh-CN"/>
        </w:rPr>
        <w:t>供应商或者其他利害关系人对竞争性磋商文件有异议的，应当在递交响应文件截止时间</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日前</w:t>
      </w:r>
      <w:r>
        <w:rPr>
          <w:rFonts w:hint="eastAsia" w:ascii="宋体" w:hAnsi="宋体" w:eastAsia="宋体" w:cs="宋体"/>
          <w:color w:val="auto"/>
          <w:kern w:val="2"/>
          <w:sz w:val="21"/>
          <w:szCs w:val="21"/>
          <w:highlight w:val="none"/>
          <w:lang w:val="zh-CN"/>
        </w:rPr>
        <w:t>以书面形式向</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代理机构提出，并将材料原件送达</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代理机构，逾期则视为对竞争性磋商文件所有内容无异议。</w:t>
      </w:r>
      <w:r>
        <w:rPr>
          <w:rFonts w:hint="eastAsia" w:ascii="宋体" w:hAnsi="宋体" w:eastAsia="宋体" w:cs="宋体"/>
          <w:bCs/>
          <w:color w:val="auto"/>
          <w:kern w:val="2"/>
          <w:sz w:val="21"/>
          <w:szCs w:val="21"/>
          <w:highlight w:val="none"/>
          <w:lang w:val="zh-CN"/>
        </w:rPr>
        <w:t>异议</w:t>
      </w:r>
      <w:r>
        <w:rPr>
          <w:rFonts w:hint="eastAsia" w:ascii="宋体" w:hAnsi="宋体" w:eastAsia="宋体" w:cs="宋体"/>
          <w:color w:val="auto"/>
          <w:kern w:val="2"/>
          <w:sz w:val="21"/>
          <w:szCs w:val="21"/>
          <w:highlight w:val="none"/>
          <w:lang w:val="zh-CN"/>
        </w:rPr>
        <w:t>书面材料必须加盖供应商法人公章，并注明联系人、联系电话、联系地址。</w:t>
      </w:r>
      <w:r>
        <w:rPr>
          <w:rFonts w:hint="eastAsia" w:ascii="宋体" w:hAnsi="宋体" w:eastAsia="宋体" w:cs="宋体"/>
          <w:bCs/>
          <w:color w:val="auto"/>
          <w:kern w:val="2"/>
          <w:sz w:val="21"/>
          <w:szCs w:val="21"/>
          <w:highlight w:val="none"/>
          <w:lang w:val="zh-CN"/>
        </w:rPr>
        <w:t>超出</w:t>
      </w:r>
      <w:r>
        <w:rPr>
          <w:rFonts w:hint="eastAsia" w:ascii="宋体" w:hAnsi="宋体" w:eastAsia="宋体" w:cs="宋体"/>
          <w:color w:val="auto"/>
          <w:kern w:val="2"/>
          <w:sz w:val="21"/>
          <w:szCs w:val="21"/>
          <w:highlight w:val="none"/>
          <w:lang w:val="zh-CN"/>
        </w:rPr>
        <w:t>提交接收异议截止时间而</w:t>
      </w:r>
      <w:r>
        <w:rPr>
          <w:rFonts w:hint="eastAsia" w:ascii="宋体" w:hAnsi="宋体" w:eastAsia="宋体" w:cs="宋体"/>
          <w:bCs/>
          <w:color w:val="auto"/>
          <w:kern w:val="2"/>
          <w:sz w:val="21"/>
          <w:szCs w:val="21"/>
          <w:highlight w:val="none"/>
          <w:lang w:val="zh-CN"/>
        </w:rPr>
        <w:t>提出的疑问，</w:t>
      </w:r>
      <w:r>
        <w:rPr>
          <w:rFonts w:hint="eastAsia" w:ascii="宋体" w:hAnsi="宋体" w:eastAsia="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代理机构</w:t>
      </w:r>
      <w:r>
        <w:rPr>
          <w:rFonts w:hint="eastAsia" w:ascii="宋体" w:hAnsi="宋体" w:eastAsia="宋体" w:cs="宋体"/>
          <w:bCs/>
          <w:color w:val="auto"/>
          <w:kern w:val="2"/>
          <w:sz w:val="21"/>
          <w:szCs w:val="21"/>
          <w:highlight w:val="none"/>
          <w:lang w:val="zh-CN"/>
        </w:rPr>
        <w:t>可不予答复。</w:t>
      </w:r>
      <w:r>
        <w:rPr>
          <w:rFonts w:hint="eastAsia" w:ascii="宋体" w:hAnsi="宋体" w:eastAsia="宋体" w:cs="宋体"/>
          <w:b/>
          <w:bCs/>
          <w:color w:val="auto"/>
          <w:kern w:val="2"/>
          <w:sz w:val="21"/>
          <w:szCs w:val="21"/>
          <w:highlight w:val="none"/>
          <w:u w:val="single"/>
          <w:lang w:val="zh-CN"/>
        </w:rPr>
        <w:t>供应商必须在响应文件中提供磋商承诺书（格式详见第</w:t>
      </w:r>
      <w:r>
        <w:rPr>
          <w:rFonts w:hint="eastAsia" w:ascii="宋体" w:hAnsi="宋体" w:cs="宋体"/>
          <w:b/>
          <w:bCs/>
          <w:color w:val="auto"/>
          <w:kern w:val="2"/>
          <w:sz w:val="21"/>
          <w:szCs w:val="21"/>
          <w:highlight w:val="none"/>
          <w:u w:val="single"/>
          <w:lang w:val="en-US" w:eastAsia="zh-CN"/>
        </w:rPr>
        <w:t>六</w:t>
      </w:r>
      <w:r>
        <w:rPr>
          <w:rFonts w:hint="eastAsia" w:ascii="宋体" w:hAnsi="宋体" w:eastAsia="宋体" w:cs="宋体"/>
          <w:b/>
          <w:bCs/>
          <w:color w:val="auto"/>
          <w:kern w:val="2"/>
          <w:sz w:val="21"/>
          <w:szCs w:val="21"/>
          <w:highlight w:val="none"/>
          <w:u w:val="single"/>
          <w:lang w:val="zh-CN"/>
        </w:rPr>
        <w:t>篇响应文件格式）。</w:t>
      </w:r>
    </w:p>
    <w:p w14:paraId="301854EE">
      <w:pPr>
        <w:spacing w:line="360" w:lineRule="auto"/>
        <w:ind w:left="569" w:leftChars="237" w:firstLine="422" w:firstLineChars="200"/>
        <w:jc w:val="both"/>
        <w:rPr>
          <w:rFonts w:hint="eastAsia" w:ascii="宋体" w:hAnsi="宋体" w:eastAsia="宋体" w:cs="宋体"/>
          <w:b/>
          <w:bCs/>
          <w:color w:val="auto"/>
          <w:kern w:val="2"/>
          <w:sz w:val="21"/>
          <w:szCs w:val="21"/>
          <w:highlight w:val="none"/>
          <w:u w:val="single"/>
          <w:lang w:val="zh-CN"/>
        </w:rPr>
      </w:pPr>
    </w:p>
    <w:p w14:paraId="4B47100B">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48" w:name="_Toc450662856"/>
      <w:bookmarkStart w:id="49" w:name="_Toc8528"/>
      <w:bookmarkStart w:id="50" w:name="_Toc521918073"/>
      <w:r>
        <w:rPr>
          <w:rFonts w:hint="eastAsia" w:ascii="宋体" w:hAnsi="宋体" w:eastAsia="宋体" w:cs="宋体"/>
          <w:color w:val="auto"/>
          <w:kern w:val="2"/>
          <w:sz w:val="21"/>
          <w:szCs w:val="21"/>
          <w:highlight w:val="none"/>
          <w:lang w:val="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竞争性磋商文件的澄清及修改</w:t>
      </w:r>
      <w:bookmarkEnd w:id="48"/>
      <w:bookmarkEnd w:id="49"/>
      <w:bookmarkEnd w:id="50"/>
    </w:p>
    <w:p w14:paraId="1CA506B8">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7.1</w:t>
      </w:r>
      <w:r>
        <w:rPr>
          <w:rFonts w:hint="eastAsia" w:ascii="宋体" w:hAnsi="宋体" w:eastAsia="宋体" w:cs="宋体"/>
          <w:color w:val="auto"/>
          <w:sz w:val="21"/>
          <w:szCs w:val="21"/>
          <w:highlight w:val="none"/>
          <w:lang w:val="en-US" w:eastAsia="zh-CN"/>
        </w:rPr>
        <w:t xml:space="preserve"> 采购</w:t>
      </w:r>
      <w:r>
        <w:rPr>
          <w:rFonts w:hint="eastAsia" w:ascii="宋体" w:hAnsi="宋体" w:eastAsia="宋体" w:cs="宋体"/>
          <w:color w:val="auto"/>
          <w:sz w:val="21"/>
          <w:szCs w:val="21"/>
          <w:highlight w:val="none"/>
          <w:lang w:val="zh-CN"/>
        </w:rPr>
        <w:t>代理机构对已发出的竞争性磋商文件进行必要澄清或者修改的，将在竞争性磋商文件要求提交响应文件截止时间</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日前，在</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信息发布媒介上发布更正公告，请各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密切留意。该澄清或者修改的内容为竞争性磋商文件的组成部分。</w:t>
      </w:r>
    </w:p>
    <w:p w14:paraId="601E6AB3">
      <w:pPr>
        <w:spacing w:line="360" w:lineRule="auto"/>
        <w:ind w:left="420" w:hanging="420" w:hangingChars="200"/>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项目特定情况下，</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代理机构必须延长</w:t>
      </w:r>
      <w:r>
        <w:rPr>
          <w:rFonts w:hint="eastAsia" w:ascii="宋体" w:hAnsi="宋体" w:eastAsia="宋体" w:cs="宋体"/>
          <w:color w:val="auto"/>
          <w:sz w:val="21"/>
          <w:szCs w:val="21"/>
          <w:highlight w:val="none"/>
          <w:lang w:val="en-US" w:eastAsia="zh-CN"/>
        </w:rPr>
        <w:t>响应文件提交</w:t>
      </w:r>
      <w:r>
        <w:rPr>
          <w:rFonts w:hint="eastAsia" w:ascii="宋体" w:hAnsi="宋体" w:eastAsia="宋体" w:cs="宋体"/>
          <w:color w:val="auto"/>
          <w:sz w:val="21"/>
          <w:szCs w:val="21"/>
          <w:highlight w:val="none"/>
          <w:lang w:val="zh-CN"/>
        </w:rPr>
        <w:t>截止时间和</w:t>
      </w:r>
      <w:r>
        <w:rPr>
          <w:rFonts w:hint="eastAsia" w:ascii="宋体" w:hAnsi="宋体" w:eastAsia="宋体" w:cs="宋体"/>
          <w:color w:val="auto"/>
          <w:sz w:val="21"/>
          <w:szCs w:val="21"/>
          <w:highlight w:val="none"/>
          <w:lang w:val="en-US" w:eastAsia="zh-CN"/>
        </w:rPr>
        <w:t>开启</w:t>
      </w:r>
      <w:r>
        <w:rPr>
          <w:rFonts w:hint="eastAsia" w:ascii="宋体" w:hAnsi="宋体" w:eastAsia="宋体" w:cs="宋体"/>
          <w:color w:val="auto"/>
          <w:sz w:val="21"/>
          <w:szCs w:val="21"/>
          <w:highlight w:val="none"/>
          <w:lang w:val="zh-CN"/>
        </w:rPr>
        <w:t>时间时，将在竞争性磋商文件要求提交响应文件的截止时间前，在</w:t>
      </w:r>
      <w:r>
        <w:rPr>
          <w:rFonts w:hint="eastAsia" w:ascii="宋体" w:hAnsi="宋体" w:eastAsia="宋体" w:cs="宋体"/>
          <w:color w:val="auto"/>
          <w:sz w:val="21"/>
          <w:szCs w:val="21"/>
          <w:highlight w:val="none"/>
          <w:lang w:val="zh-CN" w:eastAsia="zh-CN"/>
        </w:rPr>
        <w:t>采购</w:t>
      </w:r>
      <w:r>
        <w:rPr>
          <w:rFonts w:hint="eastAsia" w:ascii="宋体" w:hAnsi="宋体" w:eastAsia="宋体" w:cs="宋体"/>
          <w:color w:val="auto"/>
          <w:sz w:val="21"/>
          <w:szCs w:val="21"/>
          <w:highlight w:val="none"/>
          <w:lang w:val="zh-CN"/>
        </w:rPr>
        <w:t>信息发布媒介上发布变更公告。</w:t>
      </w:r>
    </w:p>
    <w:p w14:paraId="0C636EDC">
      <w:pPr>
        <w:spacing w:line="360" w:lineRule="auto"/>
        <w:ind w:left="420" w:hanging="420" w:hanging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7.3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竞争性磋商文件的修改、补充通知在广东省公共资源交易平台（ygp.gdzwfw.gov.cn）、中国招标投标公共服务平台（www.cebpubservice.com）、东莞市水务集团有限公司网（www.dgswjt.cn）、招标代理机构网站（www.youde.ne）公布，请各供应商密切留意。</w:t>
      </w:r>
    </w:p>
    <w:p w14:paraId="5D651721">
      <w:pPr>
        <w:spacing w:line="360" w:lineRule="auto"/>
        <w:ind w:left="567" w:hanging="567"/>
        <w:jc w:val="both"/>
        <w:rPr>
          <w:rFonts w:hint="eastAsia" w:ascii="宋体" w:hAnsi="宋体" w:eastAsia="宋体" w:cs="宋体"/>
          <w:color w:val="auto"/>
          <w:kern w:val="2"/>
          <w:sz w:val="21"/>
          <w:szCs w:val="21"/>
          <w:highlight w:val="none"/>
          <w:lang w:val="zh-CN"/>
        </w:rPr>
      </w:pPr>
    </w:p>
    <w:p w14:paraId="070330B4">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51" w:name="_Toc1142"/>
      <w:bookmarkStart w:id="52" w:name="_Toc521918074"/>
      <w:bookmarkStart w:id="53" w:name="_Toc450662857"/>
      <w:r>
        <w:rPr>
          <w:rFonts w:hint="eastAsia" w:ascii="宋体" w:hAnsi="宋体" w:eastAsia="宋体" w:cs="宋体"/>
          <w:b/>
          <w:bCs/>
          <w:color w:val="auto"/>
          <w:kern w:val="44"/>
          <w:sz w:val="21"/>
          <w:szCs w:val="21"/>
          <w:highlight w:val="none"/>
          <w:lang w:val="zh-CN"/>
        </w:rPr>
        <w:t>三、响应文件的编制</w:t>
      </w:r>
      <w:bookmarkEnd w:id="51"/>
      <w:bookmarkEnd w:id="52"/>
      <w:bookmarkEnd w:id="53"/>
    </w:p>
    <w:p w14:paraId="0F3840D3">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4" w:name="_Toc450662858"/>
      <w:bookmarkStart w:id="55" w:name="_Toc521918075"/>
      <w:bookmarkStart w:id="56" w:name="_Toc21346"/>
      <w:r>
        <w:rPr>
          <w:rFonts w:hint="eastAsia" w:ascii="宋体" w:hAnsi="宋体" w:eastAsia="宋体" w:cs="宋体"/>
          <w:color w:val="auto"/>
          <w:kern w:val="2"/>
          <w:sz w:val="21"/>
          <w:szCs w:val="21"/>
          <w:highlight w:val="none"/>
          <w:lang w:val="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使用的文字及度量衡单位</w:t>
      </w:r>
      <w:bookmarkEnd w:id="54"/>
      <w:bookmarkEnd w:id="55"/>
      <w:bookmarkEnd w:id="56"/>
    </w:p>
    <w:p w14:paraId="0B9A4AAD">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供应商的响应文件以及供应商与采购代理机构就有关</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的所有往来函电均应使用简体中文。</w:t>
      </w:r>
    </w:p>
    <w:p w14:paraId="0BFAB63C">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响应文件使用的度量衡单位采用中华人民共和国法定计量单位。</w:t>
      </w:r>
    </w:p>
    <w:p w14:paraId="0AD41F71">
      <w:pPr>
        <w:spacing w:line="360" w:lineRule="auto"/>
        <w:ind w:left="420" w:hanging="420" w:hangingChars="200"/>
        <w:jc w:val="both"/>
        <w:rPr>
          <w:rFonts w:hint="eastAsia" w:ascii="宋体" w:hAnsi="宋体" w:eastAsia="宋体" w:cs="宋体"/>
          <w:color w:val="auto"/>
          <w:sz w:val="21"/>
          <w:szCs w:val="21"/>
          <w:highlight w:val="none"/>
          <w:lang w:val="zh-CN"/>
        </w:rPr>
      </w:pPr>
    </w:p>
    <w:p w14:paraId="20D19435">
      <w:pPr>
        <w:tabs>
          <w:tab w:val="left" w:pos="675"/>
        </w:tabs>
        <w:spacing w:line="360" w:lineRule="auto"/>
        <w:ind w:left="567" w:hanging="567"/>
        <w:jc w:val="both"/>
        <w:outlineLvl w:val="2"/>
        <w:rPr>
          <w:rFonts w:hint="eastAsia" w:ascii="宋体" w:hAnsi="宋体" w:eastAsia="宋体" w:cs="宋体"/>
          <w:color w:val="auto"/>
          <w:kern w:val="2"/>
          <w:sz w:val="21"/>
          <w:szCs w:val="21"/>
          <w:highlight w:val="none"/>
          <w:lang w:val="zh-CN" w:eastAsia="zh-CN"/>
        </w:rPr>
      </w:pPr>
      <w:bookmarkStart w:id="57" w:name="_Toc15349"/>
      <w:r>
        <w:rPr>
          <w:rFonts w:hint="eastAsia" w:ascii="宋体" w:hAnsi="宋体" w:eastAsia="宋体" w:cs="宋体"/>
          <w:color w:val="auto"/>
          <w:kern w:val="2"/>
          <w:sz w:val="21"/>
          <w:szCs w:val="21"/>
          <w:highlight w:val="none"/>
          <w:lang w:val="zh-CN" w:eastAsia="zh-CN"/>
        </w:rPr>
        <w:t>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eastAsia="zh-CN"/>
        </w:rPr>
        <w:t>的组成</w:t>
      </w:r>
      <w:bookmarkEnd w:id="57"/>
    </w:p>
    <w:p w14:paraId="570D3917">
      <w:pPr>
        <w:spacing w:line="360" w:lineRule="auto"/>
        <w:ind w:left="422" w:hanging="422" w:hangingChars="200"/>
        <w:jc w:val="both"/>
        <w:rPr>
          <w:rFonts w:hint="eastAsia" w:ascii="宋体" w:hAnsi="宋体" w:eastAsia="宋体" w:cs="宋体"/>
          <w:color w:val="auto"/>
          <w:sz w:val="21"/>
          <w:szCs w:val="21"/>
          <w:highlight w:val="none"/>
          <w:lang w:val="zh-CN"/>
        </w:rPr>
      </w:pPr>
      <w:r>
        <w:rPr>
          <w:rFonts w:hint="eastAsia" w:ascii="宋体" w:hAnsi="宋体" w:cs="宋体"/>
          <w:b/>
          <w:bCs/>
          <w:color w:val="auto"/>
          <w:sz w:val="21"/>
          <w:szCs w:val="21"/>
          <w:highlight w:val="none"/>
          <w:u w:val="none"/>
          <w:lang w:val="en-US" w:eastAsia="zh-CN"/>
        </w:rPr>
        <w:t>9.1</w:t>
      </w:r>
      <w:r>
        <w:rPr>
          <w:rFonts w:hint="eastAsia" w:ascii="宋体" w:hAnsi="宋体" w:cs="宋体"/>
          <w:b w:val="0"/>
          <w:bCs w:val="0"/>
          <w:color w:val="auto"/>
          <w:sz w:val="21"/>
          <w:szCs w:val="21"/>
          <w:highlight w:val="none"/>
          <w:u w:val="none"/>
          <w:lang w:val="en-US" w:eastAsia="zh-CN"/>
        </w:rPr>
        <w:t xml:space="preserve"> </w:t>
      </w:r>
      <w:r>
        <w:rPr>
          <w:rFonts w:hint="eastAsia" w:ascii="宋体" w:hAnsi="宋体" w:eastAsia="宋体" w:cs="宋体"/>
          <w:b w:val="0"/>
          <w:bCs w:val="0"/>
          <w:color w:val="auto"/>
          <w:sz w:val="21"/>
          <w:szCs w:val="21"/>
          <w:highlight w:val="none"/>
          <w:u w:val="none"/>
          <w:lang w:val="en-US" w:eastAsia="zh-CN"/>
        </w:rPr>
        <w:t>响应文件的组成：</w:t>
      </w:r>
      <w:r>
        <w:rPr>
          <w:rFonts w:hint="eastAsia" w:ascii="宋体" w:hAnsi="宋体" w:eastAsia="宋体" w:cs="宋体"/>
          <w:b/>
          <w:bCs/>
          <w:color w:val="auto"/>
          <w:sz w:val="21"/>
          <w:szCs w:val="21"/>
          <w:highlight w:val="none"/>
          <w:u w:val="single"/>
          <w:lang w:val="zh-CN"/>
        </w:rPr>
        <w:t>商务文件、技术文件由</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根据各自文件的实际情况决定是否分册装订，</w:t>
      </w:r>
      <w:r>
        <w:rPr>
          <w:rFonts w:hint="eastAsia" w:ascii="宋体" w:hAnsi="宋体" w:eastAsia="宋体" w:cs="宋体"/>
          <w:b/>
          <w:bCs/>
          <w:color w:val="auto"/>
          <w:sz w:val="21"/>
          <w:szCs w:val="21"/>
          <w:highlight w:val="none"/>
          <w:u w:val="single"/>
          <w:lang w:val="en-US" w:eastAsia="zh-CN"/>
        </w:rPr>
        <w:t>竞争性磋商</w:t>
      </w:r>
      <w:r>
        <w:rPr>
          <w:rFonts w:hint="eastAsia" w:ascii="宋体" w:hAnsi="宋体" w:eastAsia="宋体" w:cs="宋体"/>
          <w:b/>
          <w:bCs/>
          <w:color w:val="auto"/>
          <w:sz w:val="21"/>
          <w:szCs w:val="21"/>
          <w:highlight w:val="none"/>
          <w:u w:val="single"/>
          <w:lang w:val="zh-CN"/>
        </w:rPr>
        <w:t>文件不做限制</w:t>
      </w:r>
      <w:r>
        <w:rPr>
          <w:rFonts w:hint="eastAsia" w:ascii="宋体" w:hAnsi="宋体" w:eastAsia="宋体" w:cs="宋体"/>
          <w:color w:val="auto"/>
          <w:sz w:val="21"/>
          <w:szCs w:val="21"/>
          <w:highlight w:val="none"/>
          <w:lang w:val="zh-CN"/>
        </w:rPr>
        <w:t>。</w:t>
      </w:r>
    </w:p>
    <w:p w14:paraId="60998BF8">
      <w:pPr>
        <w:spacing w:line="360" w:lineRule="auto"/>
        <w:ind w:left="420" w:hanging="422" w:hangingChars="200"/>
        <w:jc w:val="both"/>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1.1 </w:t>
      </w:r>
      <w:r>
        <w:rPr>
          <w:rFonts w:hint="eastAsia" w:ascii="宋体" w:hAnsi="宋体" w:eastAsia="宋体" w:cs="宋体"/>
          <w:b/>
          <w:bCs/>
          <w:color w:val="auto"/>
          <w:sz w:val="21"/>
          <w:szCs w:val="21"/>
          <w:highlight w:val="none"/>
          <w:lang w:val="zh-CN"/>
        </w:rPr>
        <w:t>商务文件：</w:t>
      </w:r>
    </w:p>
    <w:p w14:paraId="37336A60">
      <w:pPr>
        <w:keepNext w:val="0"/>
        <w:keepLines w:val="0"/>
        <w:pageBreakBefore w:val="0"/>
        <w:widowControl w:val="0"/>
        <w:kinsoku/>
        <w:wordWrap/>
        <w:overflowPunct/>
        <w:topLinePunct w:val="0"/>
        <w:autoSpaceDE w:val="0"/>
        <w:autoSpaceDN w:val="0"/>
        <w:bidi w:val="0"/>
        <w:adjustRightInd w:val="0"/>
        <w:snapToGrid/>
        <w:spacing w:line="360" w:lineRule="auto"/>
        <w:ind w:left="422" w:leftChars="0" w:hanging="422" w:hangingChars="2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2C00770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函；</w:t>
      </w:r>
    </w:p>
    <w:p w14:paraId="4E3ACE0B">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（2）磋商承诺书；</w:t>
      </w:r>
    </w:p>
    <w:p w14:paraId="44AEDF6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（3）供货及/或提供服务过程承诺函；</w:t>
      </w:r>
    </w:p>
    <w:p w14:paraId="0081DAE6">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）首次报价表；</w:t>
      </w:r>
    </w:p>
    <w:p w14:paraId="5889942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）供应商资格证明文件：</w:t>
      </w:r>
    </w:p>
    <w:p w14:paraId="63F570B7">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eastAsia="zh-CN"/>
        </w:rPr>
        <w:t xml:space="preserve"> 多证合一营业执照（或事业单位法人证书）复印件；</w:t>
      </w:r>
    </w:p>
    <w:p w14:paraId="46917A82">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2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开户许可证复印件（基本存款账户）复印件，如供应商企业银行账户开户所在地区已取消企业银行账户许可，供应商应提供基本存款账户开户名称、开户银行、账号、编号等信息及相关备案证明（如有）或其他能证明其为基本存款账户的资料复印件</w:t>
      </w:r>
      <w:r>
        <w:rPr>
          <w:rFonts w:hint="eastAsia" w:ascii="宋体" w:hAnsi="宋体" w:cs="宋体"/>
          <w:color w:val="auto"/>
          <w:sz w:val="21"/>
          <w:szCs w:val="21"/>
          <w:highlight w:val="none"/>
          <w:lang w:eastAsia="zh-CN"/>
        </w:rPr>
        <w:t>；</w:t>
      </w:r>
    </w:p>
    <w:p w14:paraId="6644F637">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 3 \* GB3 </w:instrText>
      </w:r>
      <w:r>
        <w:rPr>
          <w:rFonts w:hint="eastAsia" w:ascii="宋体" w:hAnsi="宋体" w:eastAsia="宋体" w:cs="宋体"/>
          <w:color w:val="auto"/>
          <w:sz w:val="21"/>
          <w:szCs w:val="21"/>
          <w:highlight w:val="none"/>
          <w:lang w:eastAsia="zh-CN"/>
        </w:rPr>
        <w:fldChar w:fldCharType="separate"/>
      </w: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 xml:space="preserve"> 法定代表人身份证明书</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eastAsia="zh-CN"/>
        </w:rPr>
        <w:t>法定代表人授权书原件（法定代表人磋商时只需提供法定代表人身份证明书，委托他人为磋商代表或签署响应文件时需同时提供法定代表人授权书）；</w:t>
      </w:r>
    </w:p>
    <w:p w14:paraId="5948C18C">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color w:val="auto"/>
          <w:highlight w:val="none"/>
          <w:lang w:eastAsia="zh-CN"/>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资格业绩【供应商提供一</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年1月1日以来具有</w:t>
      </w:r>
      <w:r>
        <w:rPr>
          <w:rFonts w:hint="eastAsia" w:ascii="宋体" w:hAnsi="宋体" w:eastAsia="宋体" w:cs="宋体"/>
          <w:b/>
          <w:bCs/>
          <w:color w:val="auto"/>
          <w:sz w:val="21"/>
          <w:szCs w:val="21"/>
          <w:highlight w:val="none"/>
          <w:lang w:eastAsia="zh-CN"/>
        </w:rPr>
        <w:t>生活污水处理厂污泥脱水减量化处理服务业绩</w:t>
      </w:r>
      <w:r>
        <w:rPr>
          <w:rFonts w:hint="eastAsia" w:ascii="宋体" w:hAnsi="宋体" w:eastAsia="宋体" w:cs="宋体"/>
          <w:color w:val="auto"/>
          <w:sz w:val="21"/>
          <w:szCs w:val="21"/>
          <w:highlight w:val="none"/>
          <w:lang w:eastAsia="zh-CN"/>
        </w:rPr>
        <w:t>（合同签订日期为20</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lang w:eastAsia="zh-CN"/>
        </w:rPr>
        <w:t>年1月1日或以后</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资格业绩证明材料提交要求详见竞争性磋商文件第六篇响应文件格式</w:t>
      </w:r>
      <w:r>
        <w:rPr>
          <w:rFonts w:hint="eastAsia" w:ascii="宋体" w:hAnsi="宋体" w:cs="宋体"/>
          <w:color w:val="auto"/>
          <w:sz w:val="21"/>
          <w:szCs w:val="21"/>
          <w:highlight w:val="none"/>
          <w:u w:val="single"/>
          <w:lang w:val="en-US" w:eastAsia="zh-CN"/>
        </w:rPr>
        <w:t>6.4</w:t>
      </w:r>
      <w:r>
        <w:rPr>
          <w:rFonts w:hint="eastAsia" w:ascii="宋体" w:hAnsi="宋体" w:eastAsia="宋体" w:cs="宋体"/>
          <w:color w:val="auto"/>
          <w:sz w:val="21"/>
          <w:szCs w:val="21"/>
          <w:highlight w:val="none"/>
          <w:lang w:eastAsia="zh-CN"/>
        </w:rPr>
        <w:t>】；</w:t>
      </w:r>
    </w:p>
    <w:p w14:paraId="1DB78B13">
      <w:pPr>
        <w:keepNext w:val="0"/>
        <w:keepLines w:val="0"/>
        <w:pageBreakBefore w:val="0"/>
        <w:widowControl w:val="0"/>
        <w:kinsoku/>
        <w:wordWrap/>
        <w:overflowPunct/>
        <w:topLinePunct w:val="0"/>
        <w:autoSpaceDE w:val="0"/>
        <w:autoSpaceDN w:val="0"/>
        <w:bidi w:val="0"/>
        <w:adjustRightInd w:val="0"/>
        <w:snapToGrid/>
        <w:spacing w:line="360" w:lineRule="auto"/>
        <w:ind w:left="507" w:leftChars="80" w:hanging="315" w:hanging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最近3年</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牵涉的其他（失信和违法）处罚说明</w:t>
      </w:r>
      <w:r>
        <w:rPr>
          <w:rFonts w:hint="eastAsia" w:ascii="宋体" w:hAnsi="宋体" w:eastAsia="宋体" w:cs="宋体"/>
          <w:color w:val="auto"/>
          <w:sz w:val="21"/>
          <w:szCs w:val="21"/>
          <w:highlight w:val="none"/>
          <w:lang w:eastAsia="zh-CN"/>
        </w:rPr>
        <w:t>；</w:t>
      </w:r>
    </w:p>
    <w:p w14:paraId="21FA3967">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供应商</w:t>
      </w:r>
      <w:r>
        <w:rPr>
          <w:rFonts w:hint="eastAsia" w:ascii="宋体" w:hAnsi="宋体" w:eastAsia="宋体" w:cs="宋体"/>
          <w:color w:val="auto"/>
          <w:sz w:val="21"/>
          <w:szCs w:val="21"/>
          <w:highlight w:val="none"/>
          <w:lang w:val="zh-CN"/>
        </w:rPr>
        <w:t>基本情况</w:t>
      </w:r>
      <w:r>
        <w:rPr>
          <w:rFonts w:hint="eastAsia" w:ascii="宋体" w:hAnsi="宋体" w:eastAsia="宋体" w:cs="宋体"/>
          <w:color w:val="auto"/>
          <w:sz w:val="21"/>
          <w:szCs w:val="21"/>
          <w:highlight w:val="none"/>
          <w:lang w:val="en-US" w:eastAsia="zh-CN"/>
        </w:rPr>
        <w:t>一览表</w:t>
      </w:r>
      <w:r>
        <w:rPr>
          <w:rFonts w:hint="eastAsia" w:ascii="宋体" w:hAnsi="宋体" w:eastAsia="宋体" w:cs="宋体"/>
          <w:color w:val="auto"/>
          <w:sz w:val="21"/>
          <w:szCs w:val="21"/>
          <w:highlight w:val="none"/>
          <w:lang w:val="zh-CN"/>
        </w:rPr>
        <w:t>；</w:t>
      </w:r>
    </w:p>
    <w:p w14:paraId="4E4BF28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）供应商财务状况</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223B805E">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标准化体系认证</w:t>
      </w:r>
      <w:r>
        <w:rPr>
          <w:rFonts w:hint="eastAsia" w:ascii="宋体" w:hAnsi="宋体" w:eastAsia="宋体" w:cs="宋体"/>
          <w:color w:val="auto"/>
          <w:sz w:val="21"/>
          <w:szCs w:val="21"/>
          <w:highlight w:val="none"/>
          <w:lang w:val="zh-CN"/>
        </w:rPr>
        <w:t>；</w:t>
      </w:r>
    </w:p>
    <w:p w14:paraId="4F101DB5">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zh-CN"/>
        </w:rPr>
        <w:t>）合同条款</w:t>
      </w:r>
      <w:r>
        <w:rPr>
          <w:rFonts w:hint="eastAsia" w:ascii="宋体" w:hAnsi="宋体" w:cs="宋体"/>
          <w:color w:val="auto"/>
          <w:sz w:val="21"/>
          <w:szCs w:val="21"/>
          <w:highlight w:val="none"/>
          <w:lang w:val="en-US" w:eastAsia="zh-CN"/>
        </w:rPr>
        <w:t>响应程度（合同条款偏离表）</w:t>
      </w:r>
      <w:r>
        <w:rPr>
          <w:rFonts w:hint="eastAsia" w:ascii="宋体" w:hAnsi="宋体" w:eastAsia="宋体" w:cs="宋体"/>
          <w:color w:val="auto"/>
          <w:sz w:val="21"/>
          <w:szCs w:val="21"/>
          <w:highlight w:val="none"/>
          <w:lang w:val="zh-CN"/>
        </w:rPr>
        <w:t>；</w:t>
      </w:r>
    </w:p>
    <w:p w14:paraId="3B9AFC6C">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）业绩</w:t>
      </w:r>
      <w:r>
        <w:rPr>
          <w:rFonts w:hint="eastAsia" w:ascii="宋体" w:hAnsi="宋体" w:cs="宋体"/>
          <w:color w:val="auto"/>
          <w:sz w:val="21"/>
          <w:szCs w:val="21"/>
          <w:highlight w:val="none"/>
          <w:lang w:val="en-US" w:eastAsia="zh-CN"/>
        </w:rPr>
        <w:t>表</w:t>
      </w:r>
      <w:r>
        <w:rPr>
          <w:rFonts w:hint="eastAsia" w:ascii="宋体" w:hAnsi="宋体" w:eastAsia="宋体" w:cs="宋体"/>
          <w:color w:val="auto"/>
          <w:sz w:val="21"/>
          <w:szCs w:val="21"/>
          <w:highlight w:val="none"/>
          <w:lang w:val="zh-CN"/>
        </w:rPr>
        <w:t>；</w:t>
      </w:r>
    </w:p>
    <w:p w14:paraId="5378A6D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磋商保证金汇入</w:t>
      </w:r>
      <w:r>
        <w:rPr>
          <w:rFonts w:hint="eastAsia" w:ascii="宋体" w:hAnsi="宋体" w:eastAsia="宋体" w:cs="宋体"/>
          <w:color w:val="auto"/>
          <w:sz w:val="21"/>
          <w:szCs w:val="21"/>
          <w:highlight w:val="none"/>
          <w:lang w:val="zh-CN"/>
        </w:rPr>
        <w:t>情况</w:t>
      </w:r>
      <w:r>
        <w:rPr>
          <w:rFonts w:hint="eastAsia" w:ascii="宋体" w:hAnsi="宋体" w:cs="宋体"/>
          <w:color w:val="auto"/>
          <w:sz w:val="21"/>
          <w:szCs w:val="21"/>
          <w:highlight w:val="none"/>
          <w:lang w:val="en-US" w:eastAsia="zh-CN"/>
        </w:rPr>
        <w:t>说明</w:t>
      </w:r>
      <w:r>
        <w:rPr>
          <w:rFonts w:hint="eastAsia" w:ascii="宋体" w:hAnsi="宋体" w:eastAsia="宋体" w:cs="宋体"/>
          <w:color w:val="auto"/>
          <w:sz w:val="21"/>
          <w:szCs w:val="21"/>
          <w:highlight w:val="none"/>
          <w:lang w:val="zh-CN"/>
        </w:rPr>
        <w:t>；</w:t>
      </w:r>
    </w:p>
    <w:p w14:paraId="6247F6CE">
      <w:pPr>
        <w:keepNext w:val="0"/>
        <w:keepLines w:val="0"/>
        <w:pageBreakBefore w:val="0"/>
        <w:widowControl w:val="0"/>
        <w:kinsoku/>
        <w:wordWrap/>
        <w:overflowPunct/>
        <w:topLinePunct w:val="0"/>
        <w:autoSpaceDE w:val="0"/>
        <w:autoSpaceDN w:val="0"/>
        <w:bidi w:val="0"/>
        <w:adjustRightInd w:val="0"/>
        <w:snapToGrid/>
        <w:spacing w:line="360" w:lineRule="auto"/>
        <w:ind w:left="630" w:leftChars="0" w:hanging="630" w:hangingChars="3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供应商资格证明文件以外的其他资质证书、知识产权证书及获得的相关获奖、认证证书、社会评价资料证明文件复印件等供应商认为有需要证明其具备为本次采购项目提供服务能力的有关其它商务文件（不做强制要求）</w:t>
      </w:r>
      <w:r>
        <w:rPr>
          <w:rFonts w:hint="eastAsia" w:ascii="宋体" w:hAnsi="宋体" w:cs="宋体"/>
          <w:color w:val="auto"/>
          <w:sz w:val="21"/>
          <w:szCs w:val="21"/>
          <w:highlight w:val="none"/>
          <w:lang w:val="zh-CN"/>
        </w:rPr>
        <w:t>。</w:t>
      </w:r>
    </w:p>
    <w:p w14:paraId="1A0A2BF8">
      <w:pPr>
        <w:spacing w:line="360" w:lineRule="auto"/>
        <w:ind w:left="420" w:hanging="422" w:hangingChars="200"/>
        <w:jc w:val="both"/>
        <w:rPr>
          <w:rFonts w:hint="eastAsia"/>
          <w:color w:val="auto"/>
          <w:highlight w:val="none"/>
          <w:lang w:val="zh-CN"/>
        </w:rPr>
      </w:pPr>
      <w:r>
        <w:rPr>
          <w:rFonts w:hint="eastAsia" w:ascii="宋体" w:hAnsi="宋体" w:eastAsia="宋体" w:cs="宋体"/>
          <w:b/>
          <w:bCs/>
          <w:color w:val="auto"/>
          <w:sz w:val="21"/>
          <w:szCs w:val="21"/>
          <w:highlight w:val="none"/>
          <w:lang w:val="zh-CN"/>
        </w:rPr>
        <w:t>9.</w:t>
      </w:r>
      <w:r>
        <w:rPr>
          <w:rFonts w:hint="eastAsia" w:ascii="宋体" w:hAnsi="宋体" w:cs="宋体"/>
          <w:b/>
          <w:bCs/>
          <w:color w:val="auto"/>
          <w:sz w:val="21"/>
          <w:szCs w:val="21"/>
          <w:highlight w:val="none"/>
          <w:lang w:val="en-US" w:eastAsia="zh-CN"/>
        </w:rPr>
        <w:t xml:space="preserve">1.2 </w:t>
      </w:r>
      <w:r>
        <w:rPr>
          <w:rFonts w:hint="eastAsia" w:ascii="宋体" w:hAnsi="宋体" w:eastAsia="宋体" w:cs="宋体"/>
          <w:b/>
          <w:bCs/>
          <w:color w:val="auto"/>
          <w:sz w:val="21"/>
          <w:szCs w:val="21"/>
          <w:highlight w:val="none"/>
          <w:lang w:val="zh-CN"/>
        </w:rPr>
        <w:t>技术文件：</w:t>
      </w:r>
    </w:p>
    <w:p w14:paraId="1F44E1BF">
      <w:pPr>
        <w:keepNext w:val="0"/>
        <w:keepLines w:val="0"/>
        <w:pageBreakBefore w:val="0"/>
        <w:widowControl w:val="0"/>
        <w:kinsoku/>
        <w:wordWrap/>
        <w:overflowPunct/>
        <w:topLinePunct w:val="0"/>
        <w:autoSpaceDE w:val="0"/>
        <w:autoSpaceDN w:val="0"/>
        <w:bidi w:val="0"/>
        <w:adjustRightInd w:val="0"/>
        <w:snapToGrid/>
        <w:spacing w:line="360" w:lineRule="auto"/>
        <w:ind w:left="422" w:leftChars="88" w:hanging="211" w:hangingChars="100"/>
        <w:jc w:val="both"/>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 xml:space="preserve"> </w:t>
      </w: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zh-CN"/>
        </w:rPr>
        <w:t>目录：</w:t>
      </w:r>
    </w:p>
    <w:p w14:paraId="4B4821BD">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）用户需求响应</w:t>
      </w:r>
      <w:r>
        <w:rPr>
          <w:rFonts w:hint="eastAsia" w:ascii="宋体" w:hAnsi="宋体" w:cs="宋体"/>
          <w:color w:val="auto"/>
          <w:sz w:val="21"/>
          <w:szCs w:val="21"/>
          <w:highlight w:val="none"/>
          <w:lang w:val="en-US" w:eastAsia="zh-CN"/>
        </w:rPr>
        <w:t>程度（即用户需求偏离表格式）</w:t>
      </w:r>
      <w:r>
        <w:rPr>
          <w:rFonts w:hint="eastAsia" w:ascii="宋体" w:hAnsi="宋体" w:eastAsia="宋体" w:cs="宋体"/>
          <w:color w:val="auto"/>
          <w:sz w:val="21"/>
          <w:szCs w:val="21"/>
          <w:highlight w:val="none"/>
          <w:lang w:val="zh-CN"/>
        </w:rPr>
        <w:t>；</w:t>
      </w:r>
    </w:p>
    <w:p w14:paraId="0A2D7A89">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技术</w:t>
      </w:r>
      <w:r>
        <w:rPr>
          <w:rFonts w:hint="eastAsia" w:ascii="宋体" w:hAnsi="宋体" w:eastAsia="宋体" w:cs="宋体"/>
          <w:color w:val="auto"/>
          <w:sz w:val="21"/>
          <w:szCs w:val="21"/>
          <w:highlight w:val="none"/>
          <w:lang w:val="zh-CN"/>
        </w:rPr>
        <w:t>方案；</w:t>
      </w:r>
    </w:p>
    <w:p w14:paraId="560E8E78">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）污泥脱水减量化处理服务</w:t>
      </w:r>
      <w:r>
        <w:rPr>
          <w:rFonts w:hint="eastAsia" w:ascii="宋体" w:hAnsi="宋体" w:eastAsia="宋体" w:cs="宋体"/>
          <w:color w:val="auto"/>
          <w:sz w:val="21"/>
          <w:szCs w:val="21"/>
          <w:highlight w:val="none"/>
          <w:lang w:val="zh-CN" w:eastAsia="zh-CN"/>
        </w:rPr>
        <w:t>管理方案；</w:t>
      </w:r>
    </w:p>
    <w:p w14:paraId="0C69FCD0">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项目正式投产时间承诺表</w:t>
      </w:r>
      <w:r>
        <w:rPr>
          <w:rFonts w:hint="eastAsia" w:ascii="宋体" w:hAnsi="宋体" w:eastAsia="宋体" w:cs="宋体"/>
          <w:color w:val="auto"/>
          <w:sz w:val="21"/>
          <w:szCs w:val="21"/>
          <w:highlight w:val="none"/>
          <w:lang w:val="zh-CN"/>
        </w:rPr>
        <w:t>；</w:t>
      </w:r>
    </w:p>
    <w:p w14:paraId="6250A581">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zh-CN" w:eastAsia="zh-CN"/>
        </w:rPr>
        <w:t>进度计划及保障措施</w:t>
      </w:r>
      <w:r>
        <w:rPr>
          <w:rFonts w:hint="eastAsia" w:ascii="宋体" w:hAnsi="宋体" w:eastAsia="宋体" w:cs="宋体"/>
          <w:color w:val="auto"/>
          <w:sz w:val="21"/>
          <w:szCs w:val="21"/>
          <w:highlight w:val="none"/>
          <w:lang w:val="en-US" w:eastAsia="zh-CN"/>
        </w:rPr>
        <w:t>；</w:t>
      </w:r>
    </w:p>
    <w:p w14:paraId="43163D2F">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eastAsia" w:ascii="宋体" w:hAnsi="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）应急预案和保障措施</w:t>
      </w:r>
      <w:r>
        <w:rPr>
          <w:rFonts w:hint="eastAsia" w:ascii="宋体" w:hAnsi="宋体" w:cs="宋体"/>
          <w:color w:val="auto"/>
          <w:sz w:val="21"/>
          <w:szCs w:val="21"/>
          <w:highlight w:val="none"/>
          <w:lang w:val="zh-CN"/>
        </w:rPr>
        <w:t>；</w:t>
      </w:r>
    </w:p>
    <w:p w14:paraId="2FB8037A">
      <w:pPr>
        <w:keepNext w:val="0"/>
        <w:keepLines w:val="0"/>
        <w:pageBreakBefore w:val="0"/>
        <w:widowControl w:val="0"/>
        <w:kinsoku/>
        <w:wordWrap/>
        <w:overflowPunct/>
        <w:topLinePunct w:val="0"/>
        <w:autoSpaceDE w:val="0"/>
        <w:autoSpaceDN w:val="0"/>
        <w:bidi w:val="0"/>
        <w:adjustRightInd w:val="0"/>
        <w:snapToGrid/>
        <w:spacing w:line="360" w:lineRule="auto"/>
        <w:ind w:left="420" w:leftChars="0" w:hanging="420" w:hangingChars="200"/>
        <w:jc w:val="both"/>
        <w:textAlignment w:val="auto"/>
        <w:rPr>
          <w:rFonts w:hint="default" w:eastAsia="宋体"/>
          <w:lang w:val="en-US" w:eastAsia="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供应商认为有必要提供的其它材料（不做强制要求）。</w:t>
      </w:r>
    </w:p>
    <w:p w14:paraId="5862F345">
      <w:pPr>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9.</w:t>
      </w:r>
      <w:r>
        <w:rPr>
          <w:rFonts w:hint="eastAsia" w:ascii="宋体" w:hAnsi="宋体" w:cs="宋体"/>
          <w:b/>
          <w:bCs/>
          <w:color w:val="auto"/>
          <w:kern w:val="2"/>
          <w:sz w:val="21"/>
          <w:szCs w:val="21"/>
          <w:highlight w:val="none"/>
          <w:lang w:val="en-US" w:eastAsia="zh-CN"/>
        </w:rPr>
        <w:t>1.3</w:t>
      </w:r>
      <w:r>
        <w:rPr>
          <w:rFonts w:hint="eastAsia" w:ascii="宋体" w:hAnsi="宋体" w:eastAsia="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响应文件电子文件</w:t>
      </w:r>
      <w:r>
        <w:rPr>
          <w:rFonts w:hint="eastAsia" w:ascii="宋体" w:hAnsi="宋体" w:eastAsia="宋体" w:cs="宋体"/>
          <w:bCs/>
          <w:color w:val="auto"/>
          <w:kern w:val="2"/>
          <w:sz w:val="21"/>
          <w:szCs w:val="21"/>
          <w:highlight w:val="none"/>
          <w:lang w:val="zh-CN"/>
        </w:rPr>
        <w:t>（详细要求见本篇第17.5款）</w:t>
      </w:r>
    </w:p>
    <w:p w14:paraId="532F11C4">
      <w:pPr>
        <w:spacing w:line="360" w:lineRule="auto"/>
        <w:jc w:val="both"/>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w:t>
      </w:r>
      <w:r>
        <w:rPr>
          <w:rFonts w:hint="eastAsia" w:ascii="宋体" w:hAnsi="宋体" w:eastAsia="宋体" w:cs="宋体"/>
          <w:color w:val="auto"/>
          <w:sz w:val="21"/>
          <w:szCs w:val="21"/>
          <w:highlight w:val="none"/>
          <w:lang w:val="zh-CN"/>
        </w:rPr>
        <w:t>签字、盖章后的响应文件扫描版PDF格式电子文件。</w:t>
      </w:r>
    </w:p>
    <w:p w14:paraId="2239A26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b w:val="0"/>
          <w:bCs/>
          <w:color w:val="auto"/>
          <w:kern w:val="2"/>
          <w:sz w:val="21"/>
          <w:szCs w:val="21"/>
          <w:highlight w:val="none"/>
          <w:u w:val="none"/>
          <w:lang w:val="en-US" w:eastAsia="zh-CN"/>
        </w:rPr>
        <w:t xml:space="preserve"> 供应商按照响应</w:t>
      </w:r>
      <w:r>
        <w:rPr>
          <w:rFonts w:hint="eastAsia" w:ascii="宋体" w:hAnsi="宋体" w:eastAsia="宋体" w:cs="宋体"/>
          <w:b w:val="0"/>
          <w:bCs/>
          <w:color w:val="auto"/>
          <w:kern w:val="2"/>
          <w:sz w:val="21"/>
          <w:szCs w:val="21"/>
          <w:highlight w:val="none"/>
          <w:u w:val="none"/>
          <w:lang w:val="zh-CN"/>
        </w:rPr>
        <w:t>文件</w:t>
      </w:r>
      <w:r>
        <w:rPr>
          <w:rFonts w:hint="eastAsia" w:ascii="宋体" w:hAnsi="宋体" w:eastAsia="宋体" w:cs="宋体"/>
          <w:b w:val="0"/>
          <w:bCs/>
          <w:color w:val="auto"/>
          <w:kern w:val="2"/>
          <w:sz w:val="21"/>
          <w:szCs w:val="21"/>
          <w:highlight w:val="none"/>
          <w:u w:val="none"/>
          <w:lang w:val="en-US" w:eastAsia="zh-CN"/>
        </w:rPr>
        <w:t>的组成目录编制响应文件应包括上述内容，但不限于上述内容。响应文件提供了相关格式的，严格按照竞争性磋商文件的要求编制，响应文件未含格式的，供应商自行编制。响应文件编制中要求的复印件、照片可为该资料扫描件的打印件。</w:t>
      </w:r>
    </w:p>
    <w:p w14:paraId="5196280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w:t>
      </w:r>
      <w:r>
        <w:rPr>
          <w:rFonts w:hint="eastAsia" w:ascii="宋体" w:hAnsi="宋体" w:cs="宋体"/>
          <w:color w:val="auto"/>
          <w:kern w:val="2"/>
          <w:sz w:val="21"/>
          <w:szCs w:val="21"/>
          <w:highlight w:val="none"/>
          <w:lang w:val="en-US" w:eastAsia="zh-CN"/>
        </w:rPr>
        <w:t>3</w:t>
      </w:r>
      <w:r>
        <w:rPr>
          <w:rFonts w:hint="eastAsia" w:ascii="宋体" w:hAnsi="宋体" w:eastAsia="宋体" w:cs="宋体"/>
          <w:b/>
          <w:color w:val="auto"/>
          <w:kern w:val="2"/>
          <w:sz w:val="21"/>
          <w:szCs w:val="21"/>
          <w:highlight w:val="none"/>
          <w:u w:val="none"/>
          <w:lang w:val="en-US" w:eastAsia="zh-CN"/>
        </w:rPr>
        <w:t xml:space="preserve"> </w:t>
      </w:r>
      <w:r>
        <w:rPr>
          <w:rFonts w:hint="eastAsia" w:ascii="宋体" w:hAnsi="宋体" w:eastAsia="宋体" w:cs="宋体"/>
          <w:b/>
          <w:color w:val="auto"/>
          <w:kern w:val="2"/>
          <w:sz w:val="21"/>
          <w:szCs w:val="21"/>
          <w:highlight w:val="none"/>
          <w:u w:val="single"/>
          <w:lang w:val="zh-CN"/>
        </w:rPr>
        <w:t>响应文件中相关证件、证书、合同、发票、照片等证明材料中的原始印章、签名、关键内容必须清晰、可辨认，否则视为无效证明材料；响应文件中存在外文资料的，供应商必须同时提供中文译本，且必须保证中文译本的准确，否则采购人不予认可，视为无效材料；供应商须承担因此对应造成</w:t>
      </w:r>
      <w:r>
        <w:rPr>
          <w:rFonts w:hint="eastAsia" w:ascii="宋体" w:hAnsi="宋体" w:eastAsia="宋体" w:cs="宋体"/>
          <w:b/>
          <w:color w:val="auto"/>
          <w:kern w:val="2"/>
          <w:sz w:val="21"/>
          <w:szCs w:val="21"/>
          <w:highlight w:val="none"/>
          <w:u w:val="single"/>
          <w:lang w:val="en-US" w:eastAsia="zh-CN"/>
        </w:rPr>
        <w:t>响应文件</w:t>
      </w:r>
      <w:r>
        <w:rPr>
          <w:rFonts w:hint="eastAsia" w:ascii="宋体" w:hAnsi="宋体" w:eastAsia="宋体" w:cs="宋体"/>
          <w:b/>
          <w:color w:val="auto"/>
          <w:kern w:val="2"/>
          <w:sz w:val="21"/>
          <w:szCs w:val="21"/>
          <w:highlight w:val="none"/>
          <w:u w:val="single"/>
          <w:lang w:val="zh-CN"/>
        </w:rPr>
        <w:t>无效，或评审时因无效证明材料不得分，或拒绝接受</w:t>
      </w:r>
      <w:r>
        <w:rPr>
          <w:rFonts w:hint="eastAsia" w:ascii="宋体" w:hAnsi="宋体" w:eastAsia="宋体" w:cs="宋体"/>
          <w:b/>
          <w:color w:val="auto"/>
          <w:kern w:val="2"/>
          <w:sz w:val="21"/>
          <w:szCs w:val="21"/>
          <w:highlight w:val="none"/>
          <w:u w:val="single"/>
          <w:lang w:val="en-US" w:eastAsia="zh-CN"/>
        </w:rPr>
        <w:t>磋商</w:t>
      </w:r>
      <w:r>
        <w:rPr>
          <w:rFonts w:hint="eastAsia" w:ascii="宋体" w:hAnsi="宋体" w:eastAsia="宋体" w:cs="宋体"/>
          <w:b/>
          <w:color w:val="auto"/>
          <w:kern w:val="2"/>
          <w:sz w:val="21"/>
          <w:szCs w:val="21"/>
          <w:highlight w:val="none"/>
          <w:u w:val="single"/>
          <w:lang w:val="zh-CN"/>
        </w:rPr>
        <w:t>的风险。</w:t>
      </w:r>
    </w:p>
    <w:p w14:paraId="2A899E6A">
      <w:pPr>
        <w:spacing w:line="360" w:lineRule="auto"/>
        <w:ind w:left="540" w:hanging="15" w:firstLineChars="0"/>
        <w:jc w:val="both"/>
        <w:rPr>
          <w:rFonts w:hint="eastAsia" w:ascii="宋体" w:hAnsi="宋体" w:eastAsia="宋体" w:cs="宋体"/>
          <w:b w:val="0"/>
          <w:color w:val="auto"/>
          <w:kern w:val="2"/>
          <w:sz w:val="21"/>
          <w:szCs w:val="21"/>
          <w:highlight w:val="none"/>
          <w:lang w:val="zh-CN"/>
        </w:rPr>
      </w:pPr>
    </w:p>
    <w:p w14:paraId="4221AB5E">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58" w:name="_Toc1760"/>
      <w:bookmarkStart w:id="59" w:name="_Toc450662860"/>
      <w:bookmarkStart w:id="60" w:name="_Toc521918077"/>
      <w:r>
        <w:rPr>
          <w:rFonts w:hint="eastAsia" w:ascii="宋体" w:hAnsi="宋体" w:eastAsia="宋体" w:cs="宋体"/>
          <w:color w:val="auto"/>
          <w:kern w:val="2"/>
          <w:sz w:val="21"/>
          <w:szCs w:val="21"/>
          <w:highlight w:val="none"/>
          <w:lang w:val="zh-CN"/>
        </w:rPr>
        <w:t>10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bookmarkEnd w:id="58"/>
      <w:bookmarkEnd w:id="59"/>
      <w:bookmarkEnd w:id="60"/>
    </w:p>
    <w:p w14:paraId="2C08A5E8">
      <w:pPr>
        <w:spacing w:line="360" w:lineRule="auto"/>
        <w:ind w:left="540" w:hanging="15"/>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供应商应完整填写响应文件格式中规定的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函。</w:t>
      </w:r>
    </w:p>
    <w:p w14:paraId="64864E45">
      <w:pPr>
        <w:spacing w:line="360" w:lineRule="auto"/>
        <w:ind w:left="540" w:hanging="15"/>
        <w:jc w:val="both"/>
        <w:rPr>
          <w:rFonts w:hint="eastAsia" w:ascii="宋体" w:hAnsi="宋体" w:eastAsia="宋体" w:cs="宋体"/>
          <w:color w:val="auto"/>
          <w:kern w:val="2"/>
          <w:sz w:val="21"/>
          <w:szCs w:val="21"/>
          <w:highlight w:val="none"/>
          <w:lang w:val="zh-CN"/>
        </w:rPr>
      </w:pPr>
    </w:p>
    <w:p w14:paraId="16C877D4">
      <w:pPr>
        <w:tabs>
          <w:tab w:val="left" w:pos="567"/>
        </w:tabs>
        <w:spacing w:line="360" w:lineRule="auto"/>
        <w:ind w:left="567" w:hanging="567"/>
        <w:jc w:val="both"/>
        <w:outlineLvl w:val="2"/>
        <w:rPr>
          <w:rFonts w:hint="eastAsia" w:ascii="宋体" w:hAnsi="宋体" w:eastAsia="宋体" w:cs="宋体"/>
          <w:color w:val="auto"/>
          <w:sz w:val="21"/>
          <w:szCs w:val="21"/>
          <w:highlight w:val="none"/>
        </w:rPr>
      </w:pPr>
      <w:bookmarkStart w:id="61" w:name="_Toc450662861"/>
      <w:bookmarkStart w:id="62" w:name="_Toc521918078"/>
      <w:bookmarkStart w:id="63" w:name="_Toc18981"/>
      <w:r>
        <w:rPr>
          <w:rFonts w:hint="eastAsia" w:ascii="宋体" w:hAnsi="宋体" w:eastAsia="宋体" w:cs="宋体"/>
          <w:bCs/>
          <w:color w:val="auto"/>
          <w:kern w:val="2"/>
          <w:sz w:val="21"/>
          <w:szCs w:val="21"/>
          <w:highlight w:val="none"/>
          <w:lang w:val="zh-CN"/>
        </w:rPr>
        <w:t>11</w:t>
      </w:r>
      <w:bookmarkEnd w:id="61"/>
      <w:bookmarkEnd w:id="62"/>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响应报价</w:t>
      </w:r>
      <w:bookmarkEnd w:id="63"/>
    </w:p>
    <w:p w14:paraId="54C0CACB">
      <w:pPr>
        <w:tabs>
          <w:tab w:val="left" w:pos="142"/>
        </w:tabs>
        <w:spacing w:line="360" w:lineRule="auto"/>
        <w:ind w:left="532" w:hanging="532"/>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zh-CN"/>
        </w:rPr>
        <w:t xml:space="preserve">11.1 </w:t>
      </w:r>
      <w:r>
        <w:rPr>
          <w:rFonts w:hint="eastAsia" w:ascii="宋体" w:hAnsi="宋体" w:eastAsia="宋体" w:cs="宋体"/>
          <w:b/>
          <w:bCs/>
          <w:color w:val="auto"/>
          <w:kern w:val="2"/>
          <w:sz w:val="21"/>
          <w:szCs w:val="21"/>
          <w:highlight w:val="none"/>
          <w:u w:val="single"/>
        </w:rPr>
        <w:t>本项目</w:t>
      </w:r>
      <w:r>
        <w:rPr>
          <w:rFonts w:hint="eastAsia" w:ascii="宋体" w:hAnsi="宋体" w:cs="宋体"/>
          <w:b/>
          <w:bCs/>
          <w:color w:val="auto"/>
          <w:kern w:val="2"/>
          <w:sz w:val="21"/>
          <w:szCs w:val="21"/>
          <w:highlight w:val="none"/>
          <w:u w:val="single"/>
          <w:lang w:val="en-US" w:eastAsia="zh-CN"/>
        </w:rPr>
        <w:t>最终报价</w:t>
      </w:r>
      <w:r>
        <w:rPr>
          <w:rFonts w:hint="eastAsia" w:ascii="宋体" w:hAnsi="宋体" w:eastAsia="宋体" w:cs="宋体"/>
          <w:b/>
          <w:bCs/>
          <w:color w:val="auto"/>
          <w:kern w:val="2"/>
          <w:sz w:val="21"/>
          <w:szCs w:val="21"/>
          <w:highlight w:val="none"/>
          <w:u w:val="single"/>
        </w:rPr>
        <w:t>只允许有一个报价价格，任何有选择的或不是固定价的响应报价将不予接受，作为非实质性响应</w:t>
      </w:r>
      <w:r>
        <w:rPr>
          <w:rFonts w:hint="eastAsia" w:ascii="宋体" w:hAnsi="宋体" w:eastAsia="宋体" w:cs="宋体"/>
          <w:b/>
          <w:bCs/>
          <w:color w:val="auto"/>
          <w:kern w:val="2"/>
          <w:sz w:val="21"/>
          <w:szCs w:val="21"/>
          <w:highlight w:val="none"/>
          <w:u w:val="single"/>
          <w:lang w:eastAsia="zh-CN"/>
        </w:rPr>
        <w:t>报价</w:t>
      </w:r>
      <w:r>
        <w:rPr>
          <w:rFonts w:hint="eastAsia" w:ascii="宋体" w:hAnsi="宋体" w:eastAsia="宋体" w:cs="宋体"/>
          <w:b/>
          <w:bCs/>
          <w:color w:val="auto"/>
          <w:kern w:val="2"/>
          <w:sz w:val="21"/>
          <w:szCs w:val="21"/>
          <w:highlight w:val="none"/>
          <w:u w:val="single"/>
        </w:rPr>
        <w:t>而予以拒绝。</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2"/>
          <w:sz w:val="21"/>
          <w:szCs w:val="21"/>
          <w:highlight w:val="none"/>
          <w:u w:val="single"/>
        </w:rPr>
        <w:t>不得以低于企业自身成本的价格</w:t>
      </w:r>
      <w:r>
        <w:rPr>
          <w:rFonts w:hint="eastAsia" w:ascii="宋体" w:hAnsi="宋体" w:cs="宋体"/>
          <w:b/>
          <w:bCs/>
          <w:color w:val="auto"/>
          <w:kern w:val="2"/>
          <w:sz w:val="21"/>
          <w:szCs w:val="21"/>
          <w:highlight w:val="none"/>
          <w:u w:val="single"/>
          <w:lang w:val="en-US" w:eastAsia="zh-CN"/>
        </w:rPr>
        <w:t>报价</w:t>
      </w:r>
      <w:r>
        <w:rPr>
          <w:rFonts w:hint="eastAsia" w:ascii="宋体" w:hAnsi="宋体" w:eastAsia="宋体" w:cs="宋体"/>
          <w:b/>
          <w:bCs/>
          <w:color w:val="auto"/>
          <w:kern w:val="2"/>
          <w:sz w:val="21"/>
          <w:szCs w:val="21"/>
          <w:highlight w:val="none"/>
        </w:rPr>
        <w:t>。</w:t>
      </w:r>
    </w:p>
    <w:p w14:paraId="74F85EC0">
      <w:pPr>
        <w:tabs>
          <w:tab w:val="left" w:pos="567"/>
        </w:tabs>
        <w:autoSpaceDE/>
        <w:autoSpaceDN/>
        <w:adjustRightInd w:val="0"/>
        <w:spacing w:line="360" w:lineRule="auto"/>
        <w:ind w:left="528" w:leftChars="220" w:firstLine="454"/>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出现超低报价，有可能影响服务质量和不能诚信履约的，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将要求该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作出书面说明并提供相关证明材料，以确定</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是否以低于企业成本价报价。若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6D7B471C">
      <w:pPr>
        <w:tabs>
          <w:tab w:val="left" w:pos="567"/>
        </w:tabs>
        <w:autoSpaceDE/>
        <w:autoSpaceDN/>
        <w:spacing w:line="360" w:lineRule="auto"/>
        <w:ind w:left="528" w:leftChars="220" w:firstLine="454"/>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b/>
          <w:color w:val="auto"/>
          <w:sz w:val="21"/>
          <w:szCs w:val="21"/>
          <w:highlight w:val="none"/>
          <w:u w:val="single"/>
          <w:lang w:val="zh-CN"/>
        </w:rPr>
        <w:t>对是否低于企业成本价报价的事宜有争议的</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文件，</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成员将以记名方式表决，</w:t>
      </w:r>
      <w:r>
        <w:rPr>
          <w:rFonts w:hint="eastAsia" w:ascii="宋体" w:hAnsi="宋体" w:eastAsia="宋体" w:cs="宋体"/>
          <w:b/>
          <w:color w:val="auto"/>
          <w:sz w:val="21"/>
          <w:szCs w:val="21"/>
          <w:highlight w:val="none"/>
          <w:u w:val="single"/>
          <w:lang w:val="en-US" w:eastAsia="zh-CN"/>
        </w:rPr>
        <w:t>根据少数服从</w:t>
      </w:r>
      <w:r>
        <w:rPr>
          <w:rFonts w:hint="eastAsia" w:ascii="宋体" w:hAnsi="宋体" w:eastAsia="宋体" w:cs="宋体"/>
          <w:b/>
          <w:color w:val="auto"/>
          <w:sz w:val="21"/>
          <w:szCs w:val="21"/>
          <w:highlight w:val="none"/>
          <w:u w:val="single"/>
          <w:lang w:val="zh-CN" w:eastAsia="zh-CN"/>
        </w:rPr>
        <w:t>多数</w:t>
      </w:r>
      <w:r>
        <w:rPr>
          <w:rFonts w:hint="eastAsia" w:ascii="宋体" w:hAnsi="宋体" w:eastAsia="宋体" w:cs="宋体"/>
          <w:b/>
          <w:color w:val="auto"/>
          <w:sz w:val="21"/>
          <w:szCs w:val="21"/>
          <w:highlight w:val="none"/>
          <w:u w:val="single"/>
          <w:lang w:val="en-US" w:eastAsia="zh-CN"/>
        </w:rPr>
        <w:t>的原则，获多数表决通过</w:t>
      </w:r>
      <w:r>
        <w:rPr>
          <w:rFonts w:hint="eastAsia" w:ascii="宋体" w:hAnsi="宋体" w:eastAsia="宋体" w:cs="宋体"/>
          <w:b/>
          <w:color w:val="auto"/>
          <w:sz w:val="21"/>
          <w:szCs w:val="21"/>
          <w:highlight w:val="none"/>
          <w:u w:val="single"/>
          <w:lang w:val="zh-CN"/>
        </w:rPr>
        <w:t>的</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才有资格进入下一阶段的评审，否则将按无效</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处理</w:t>
      </w:r>
      <w:r>
        <w:rPr>
          <w:rFonts w:hint="eastAsia" w:ascii="宋体" w:hAnsi="宋体" w:eastAsia="宋体" w:cs="宋体"/>
          <w:b/>
          <w:color w:val="auto"/>
          <w:sz w:val="21"/>
          <w:szCs w:val="21"/>
          <w:highlight w:val="none"/>
          <w:lang w:val="zh-CN"/>
        </w:rPr>
        <w:t>。</w:t>
      </w:r>
    </w:p>
    <w:p w14:paraId="7FC278DC">
      <w:pPr>
        <w:tabs>
          <w:tab w:val="left" w:pos="142"/>
        </w:tabs>
        <w:spacing w:line="360" w:lineRule="auto"/>
        <w:ind w:left="533" w:hanging="533"/>
        <w:jc w:val="both"/>
        <w:rPr>
          <w:rFonts w:hint="eastAsia" w:ascii="宋体" w:hAnsi="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zh-CN"/>
        </w:rPr>
        <w:t xml:space="preserve">11.2 </w:t>
      </w:r>
      <w:r>
        <w:rPr>
          <w:rFonts w:hint="eastAsia" w:ascii="宋体" w:hAnsi="宋体" w:eastAsia="宋体" w:cs="宋体"/>
          <w:b/>
          <w:color w:val="auto"/>
          <w:kern w:val="2"/>
          <w:sz w:val="21"/>
          <w:szCs w:val="21"/>
          <w:highlight w:val="none"/>
          <w:u w:val="single"/>
          <w:lang w:val="zh-CN"/>
        </w:rPr>
        <w:t>本项目</w:t>
      </w:r>
      <w:r>
        <w:rPr>
          <w:rFonts w:hint="eastAsia" w:ascii="宋体" w:hAnsi="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报价</w:t>
      </w:r>
      <w:r>
        <w:rPr>
          <w:rFonts w:hint="eastAsia" w:ascii="宋体" w:hAnsi="宋体" w:cs="宋体"/>
          <w:b/>
          <w:color w:val="auto"/>
          <w:kern w:val="2"/>
          <w:sz w:val="21"/>
          <w:szCs w:val="21"/>
          <w:highlight w:val="none"/>
          <w:u w:val="single"/>
          <w:lang w:val="en-US" w:eastAsia="zh-CN"/>
        </w:rPr>
        <w:t>处理服务费单价（按含水率80%的湿泥计）</w:t>
      </w:r>
      <w:r>
        <w:rPr>
          <w:rFonts w:hint="eastAsia" w:ascii="宋体" w:hAnsi="宋体" w:eastAsia="宋体" w:cs="宋体"/>
          <w:b/>
          <w:color w:val="auto"/>
          <w:kern w:val="2"/>
          <w:sz w:val="21"/>
          <w:szCs w:val="21"/>
          <w:highlight w:val="none"/>
          <w:u w:val="single"/>
          <w:lang w:val="zh-CN"/>
        </w:rPr>
        <w:t>为不含税价，即为《中华人民共和国增值税暂行条例》（国务院令第691号修订版）规定的销售额</w:t>
      </w:r>
      <w:r>
        <w:rPr>
          <w:rFonts w:hint="eastAsia" w:ascii="宋体" w:hAnsi="宋体" w:eastAsia="宋体" w:cs="宋体"/>
          <w:color w:val="auto"/>
          <w:kern w:val="2"/>
          <w:sz w:val="21"/>
          <w:szCs w:val="21"/>
          <w:highlight w:val="none"/>
          <w:lang w:val="zh-CN"/>
        </w:rPr>
        <w:t>。本竞争性磋商文件所称的不含税价和</w:t>
      </w:r>
      <w:r>
        <w:rPr>
          <w:rFonts w:hint="eastAsia" w:ascii="宋体" w:hAnsi="宋体" w:cs="宋体"/>
          <w:color w:val="auto"/>
          <w:kern w:val="2"/>
          <w:sz w:val="21"/>
          <w:szCs w:val="21"/>
          <w:highlight w:val="none"/>
          <w:lang w:val="en-US" w:eastAsia="zh-CN"/>
        </w:rPr>
        <w:t>不含税</w:t>
      </w:r>
      <w:r>
        <w:rPr>
          <w:rFonts w:hint="eastAsia" w:ascii="宋体" w:hAnsi="宋体" w:eastAsia="宋体" w:cs="宋体"/>
          <w:color w:val="auto"/>
          <w:kern w:val="2"/>
          <w:sz w:val="21"/>
          <w:szCs w:val="21"/>
          <w:highlight w:val="none"/>
          <w:lang w:val="zh-CN"/>
        </w:rPr>
        <w:t>合同价是指不含本采购项目供应商的销项税额，包含了供应商完成合同义务（含供应商代缴代扣、分包及委外服务、</w:t>
      </w:r>
      <w:r>
        <w:rPr>
          <w:rFonts w:hint="eastAsia" w:ascii="宋体" w:hAnsi="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val="zh-CN"/>
        </w:rPr>
        <w:t>、采购货物等所产生的价税）的其他全部费用。本采购项目的销项税额由采购人承担，不计入响应报价。</w:t>
      </w:r>
      <w:r>
        <w:rPr>
          <w:rFonts w:hint="eastAsia" w:ascii="宋体" w:hAnsi="宋体" w:cs="宋体"/>
          <w:color w:val="auto"/>
          <w:kern w:val="2"/>
          <w:sz w:val="21"/>
          <w:szCs w:val="21"/>
          <w:highlight w:val="none"/>
          <w:lang w:val="en-US" w:eastAsia="zh-CN"/>
        </w:rPr>
        <w:t>本采购项目响应报价已含供应商履行本采购内容全部义务的一切费用，包括但不限于：</w:t>
      </w:r>
    </w:p>
    <w:p w14:paraId="6C5B08FF">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脱水减量化项目进行污泥脱水减量化成套设备设施的设计、供应、运输（至项目现场）、保险、装卸、安装（含安全防护、文明施工措施，设备安装基础）、调试、验收及日常运营、维护和维修，以及服务期满后的拆除、场地恢复原貌的费用；</w:t>
      </w:r>
    </w:p>
    <w:p w14:paraId="58873E2B">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（2）脱水减量化处理所需调理剂等药剂的供应、投加，以及加装符合国家及行业标准要求的计量装置的相关费用；</w:t>
      </w:r>
    </w:p>
    <w:p w14:paraId="60B02CC8">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（3）从污水处理厂储泥</w:t>
      </w:r>
      <w:r>
        <w:rPr>
          <w:rFonts w:hint="eastAsia" w:ascii="宋体" w:hAnsi="宋体" w:eastAsia="宋体" w:cs="宋体"/>
          <w:color w:val="auto"/>
          <w:kern w:val="2"/>
          <w:sz w:val="21"/>
          <w:szCs w:val="21"/>
          <w:highlight w:val="none"/>
          <w:lang w:val="zh-CN" w:eastAsia="zh-CN"/>
        </w:rPr>
        <w:t>池或沉淀池将</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eastAsia="zh-CN"/>
        </w:rPr>
        <w:t>人污泥转运（或管道输送）</w:t>
      </w:r>
      <w:r>
        <w:rPr>
          <w:rFonts w:hint="eastAsia" w:ascii="宋体" w:hAnsi="宋体" w:eastAsia="宋体" w:cs="宋体"/>
          <w:color w:val="auto"/>
          <w:kern w:val="2"/>
          <w:sz w:val="21"/>
          <w:szCs w:val="21"/>
          <w:highlight w:val="none"/>
          <w:lang w:val="zh-CN"/>
        </w:rPr>
        <w:t>、投加到脱水减量化设备的费用（含从其他污水处理厂运至该减量化集中处理点的污泥处理前的暂存储泥仓或稀释池费用），将脱水减量化处理后的污泥转运到污水处理厂（或处理后贮存点）内</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人指定暂存地点的费用；将脱水减量化以后的污泥进行破碎</w:t>
      </w:r>
      <w:r>
        <w:rPr>
          <w:rFonts w:hint="eastAsia" w:ascii="宋体" w:hAnsi="宋体" w:eastAsia="宋体" w:cs="宋体"/>
          <w:color w:val="auto"/>
          <w:kern w:val="2"/>
          <w:sz w:val="21"/>
          <w:szCs w:val="21"/>
          <w:highlight w:val="none"/>
          <w:lang w:val="zh-CN" w:eastAsia="zh-CN"/>
        </w:rPr>
        <w:t>和外运装车</w:t>
      </w:r>
      <w:r>
        <w:rPr>
          <w:rFonts w:hint="eastAsia" w:ascii="宋体" w:hAnsi="宋体" w:eastAsia="宋体" w:cs="宋体"/>
          <w:color w:val="auto"/>
          <w:kern w:val="2"/>
          <w:sz w:val="21"/>
          <w:szCs w:val="21"/>
          <w:highlight w:val="none"/>
          <w:lang w:val="zh-CN"/>
        </w:rPr>
        <w:t>的费用；</w:t>
      </w:r>
    </w:p>
    <w:p w14:paraId="3BE1F522">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人脱水减量化处理服务全过程的人工、住宿、餐饮、人员社会保险、人身意外保险、第三方责任险、项目投资、建设及运营风险等费用；</w:t>
      </w:r>
    </w:p>
    <w:p w14:paraId="6E99182A">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（5）室外脱水减量化处理服务所需的“三通一平”、临时设施建设（含保证脱水减量化设备正常运行所需的临时设施、设备基础，脱水后半干化污泥临时暂存避雨防水的储泥仓等）；</w:t>
      </w:r>
    </w:p>
    <w:p w14:paraId="7FF6A7CA">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（6）污泥减量化处理相关知识产权版税等使用费；</w:t>
      </w:r>
    </w:p>
    <w:p w14:paraId="085DE44D">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（7）实现污泥脱水减量化达标、废水、废气、噪声达标，以及完成脱水减量化处理服务相关的其他直接及间接费用；</w:t>
      </w:r>
    </w:p>
    <w:p w14:paraId="358C1C17">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（8）合理利润、</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销项税额以外的税费等；</w:t>
      </w:r>
    </w:p>
    <w:p w14:paraId="1F9473A0">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（9）法律法规、商业公认、完成合同实施过程中由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承担的其他直接及间接费用。未经</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人书面同意，</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（包括但不限于</w:t>
      </w:r>
      <w:r>
        <w:rPr>
          <w:rFonts w:hint="eastAsia" w:ascii="宋体" w:hAnsi="宋体" w:cs="宋体"/>
          <w:color w:val="auto"/>
          <w:kern w:val="2"/>
          <w:sz w:val="21"/>
          <w:szCs w:val="21"/>
          <w:highlight w:val="none"/>
          <w:lang w:val="en-US" w:eastAsia="zh-CN"/>
        </w:rPr>
        <w:t>供应商指定</w:t>
      </w:r>
      <w:r>
        <w:rPr>
          <w:rFonts w:hint="eastAsia" w:ascii="宋体" w:hAnsi="宋体" w:eastAsia="宋体" w:cs="宋体"/>
          <w:color w:val="auto"/>
          <w:kern w:val="2"/>
          <w:sz w:val="21"/>
          <w:szCs w:val="21"/>
          <w:highlight w:val="none"/>
          <w:lang w:val="zh-CN"/>
        </w:rPr>
        <w:t>的第三方）不得要求</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人另行支付其他任何费用。</w:t>
      </w:r>
    </w:p>
    <w:p w14:paraId="343A4553">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11.3 </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根据</w:t>
      </w:r>
      <w:r>
        <w:rPr>
          <w:rFonts w:hint="eastAsia" w:ascii="宋体" w:hAnsi="宋体" w:eastAsia="宋体" w:cs="宋体"/>
          <w:color w:val="auto"/>
          <w:kern w:val="2"/>
          <w:sz w:val="21"/>
          <w:szCs w:val="21"/>
          <w:highlight w:val="none"/>
          <w:lang w:val="zh-CN"/>
        </w:rPr>
        <w:fldChar w:fldCharType="begin"/>
      </w:r>
      <w:r>
        <w:rPr>
          <w:rFonts w:hint="eastAsia" w:ascii="宋体" w:hAnsi="宋体" w:eastAsia="宋体" w:cs="宋体"/>
          <w:color w:val="auto"/>
          <w:kern w:val="2"/>
          <w:sz w:val="21"/>
          <w:szCs w:val="21"/>
          <w:highlight w:val="none"/>
          <w:lang w:val="zh-CN"/>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2"/>
          <w:sz w:val="21"/>
          <w:szCs w:val="21"/>
          <w:highlight w:val="none"/>
          <w:lang w:val="zh-CN"/>
        </w:rPr>
        <w:fldChar w:fldCharType="separate"/>
      </w:r>
      <w:r>
        <w:rPr>
          <w:rFonts w:hint="eastAsia" w:ascii="宋体" w:hAnsi="宋体" w:eastAsia="宋体" w:cs="宋体"/>
          <w:color w:val="auto"/>
          <w:kern w:val="2"/>
          <w:sz w:val="21"/>
          <w:szCs w:val="21"/>
          <w:highlight w:val="none"/>
          <w:lang w:val="zh-CN"/>
        </w:rPr>
        <w:t>第11.2款</w:t>
      </w:r>
      <w:r>
        <w:rPr>
          <w:rFonts w:hint="eastAsia" w:ascii="宋体" w:hAnsi="宋体" w:eastAsia="宋体" w:cs="宋体"/>
          <w:color w:val="auto"/>
          <w:kern w:val="2"/>
          <w:sz w:val="21"/>
          <w:szCs w:val="21"/>
          <w:highlight w:val="none"/>
          <w:lang w:val="zh-CN"/>
        </w:rPr>
        <w:fldChar w:fldCharType="end"/>
      </w:r>
      <w:r>
        <w:rPr>
          <w:rFonts w:hint="eastAsia" w:ascii="宋体" w:hAnsi="宋体" w:eastAsia="宋体" w:cs="宋体"/>
          <w:color w:val="auto"/>
          <w:kern w:val="2"/>
          <w:sz w:val="21"/>
          <w:szCs w:val="21"/>
          <w:highlight w:val="none"/>
          <w:lang w:val="zh-CN"/>
        </w:rPr>
        <w:t>所报的价格分项仅供</w:t>
      </w:r>
      <w:r>
        <w:rPr>
          <w:rFonts w:hint="eastAsia" w:ascii="宋体" w:hAnsi="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评审时使用；在任何情况下不限制</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以不同的条件</w:t>
      </w:r>
      <w:r>
        <w:rPr>
          <w:rFonts w:hint="eastAsia" w:ascii="宋体" w:hAnsi="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的权利。</w:t>
      </w:r>
    </w:p>
    <w:p w14:paraId="66A6E0B2">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11.4 在合同期间，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 xml:space="preserve">报价不随国家政策或法规、标准、市场因素及采购数量的变化而进行调整。 </w:t>
      </w:r>
    </w:p>
    <w:p w14:paraId="7769C538">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11.5 </w:t>
      </w:r>
      <w:r>
        <w:rPr>
          <w:rFonts w:hint="eastAsia" w:ascii="宋体" w:hAnsi="宋体" w:eastAsia="宋体" w:cs="宋体"/>
          <w:b/>
          <w:bCs/>
          <w:color w:val="auto"/>
          <w:kern w:val="2"/>
          <w:sz w:val="21"/>
          <w:szCs w:val="21"/>
          <w:highlight w:val="none"/>
          <w:u w:val="single"/>
          <w:lang w:val="zh-CN"/>
        </w:rPr>
        <w:t>合同项下，</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人需要的相关服务所需的费用，</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都应计入</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w:t>
      </w:r>
      <w:r>
        <w:rPr>
          <w:rFonts w:hint="eastAsia" w:ascii="宋体" w:hAnsi="宋体" w:eastAsia="宋体" w:cs="宋体"/>
          <w:b/>
          <w:bCs/>
          <w:color w:val="auto"/>
          <w:kern w:val="2"/>
          <w:sz w:val="21"/>
          <w:szCs w:val="21"/>
          <w:highlight w:val="none"/>
          <w:lang w:val="zh-CN"/>
        </w:rPr>
        <w:t>。</w:t>
      </w:r>
    </w:p>
    <w:p w14:paraId="6E76234A">
      <w:pPr>
        <w:tabs>
          <w:tab w:val="left" w:pos="142"/>
        </w:tabs>
        <w:spacing w:line="360" w:lineRule="auto"/>
        <w:ind w:left="533" w:hanging="53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11.6 </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报价高于最高限价的，该</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的</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文件将被视为无效</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eastAsia="zh-CN"/>
        </w:rPr>
        <w:t>本项目</w:t>
      </w:r>
      <w:r>
        <w:rPr>
          <w:rFonts w:hint="eastAsia" w:ascii="宋体" w:hAnsi="宋体" w:eastAsia="宋体" w:cs="宋体"/>
          <w:b/>
          <w:bCs/>
          <w:color w:val="auto"/>
          <w:kern w:val="2"/>
          <w:sz w:val="21"/>
          <w:szCs w:val="21"/>
          <w:highlight w:val="none"/>
          <w:u w:val="single"/>
          <w:lang w:val="zh-CN"/>
        </w:rPr>
        <w:t>处理服务费单价不含税的最高限价为</w:t>
      </w:r>
      <w:r>
        <w:rPr>
          <w:rFonts w:hint="eastAsia" w:ascii="宋体" w:hAnsi="宋体" w:cs="宋体"/>
          <w:b/>
          <w:bCs/>
          <w:color w:val="auto"/>
          <w:kern w:val="2"/>
          <w:sz w:val="21"/>
          <w:szCs w:val="21"/>
          <w:highlight w:val="none"/>
          <w:u w:val="single"/>
          <w:lang w:val="en-US" w:eastAsia="zh-CN"/>
        </w:rPr>
        <w:t>191.17</w:t>
      </w:r>
      <w:r>
        <w:rPr>
          <w:rFonts w:hint="eastAsia" w:ascii="宋体" w:hAnsi="宋体" w:eastAsia="宋体" w:cs="宋体"/>
          <w:b/>
          <w:bCs/>
          <w:color w:val="auto"/>
          <w:kern w:val="2"/>
          <w:sz w:val="21"/>
          <w:szCs w:val="21"/>
          <w:highlight w:val="none"/>
          <w:u w:val="single"/>
          <w:lang w:val="zh-CN"/>
        </w:rPr>
        <w:t>元/吨（大写：每吨</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佰</w:t>
      </w:r>
      <w:r>
        <w:rPr>
          <w:rFonts w:hint="eastAsia" w:ascii="宋体" w:hAnsi="宋体" w:cs="宋体"/>
          <w:b/>
          <w:bCs/>
          <w:color w:val="auto"/>
          <w:kern w:val="2"/>
          <w:sz w:val="21"/>
          <w:szCs w:val="21"/>
          <w:highlight w:val="none"/>
          <w:u w:val="single"/>
          <w:lang w:val="en-US" w:eastAsia="zh-CN"/>
        </w:rPr>
        <w:t>玖</w:t>
      </w:r>
      <w:r>
        <w:rPr>
          <w:rFonts w:hint="eastAsia" w:ascii="宋体" w:hAnsi="宋体" w:eastAsia="宋体" w:cs="宋体"/>
          <w:b/>
          <w:bCs/>
          <w:color w:val="auto"/>
          <w:kern w:val="2"/>
          <w:sz w:val="21"/>
          <w:szCs w:val="21"/>
          <w:highlight w:val="none"/>
          <w:u w:val="single"/>
          <w:lang w:val="zh-CN" w:eastAsia="zh-CN"/>
        </w:rPr>
        <w:t>拾</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元</w:t>
      </w:r>
      <w:r>
        <w:rPr>
          <w:rFonts w:hint="eastAsia" w:ascii="宋体" w:hAnsi="宋体" w:cs="宋体"/>
          <w:b/>
          <w:bCs/>
          <w:color w:val="auto"/>
          <w:kern w:val="2"/>
          <w:sz w:val="21"/>
          <w:szCs w:val="21"/>
          <w:highlight w:val="none"/>
          <w:u w:val="single"/>
          <w:lang w:val="en-US" w:eastAsia="zh-CN"/>
        </w:rPr>
        <w:t>壹</w:t>
      </w:r>
      <w:r>
        <w:rPr>
          <w:rFonts w:hint="eastAsia" w:ascii="宋体" w:hAnsi="宋体" w:eastAsia="宋体" w:cs="宋体"/>
          <w:b/>
          <w:bCs/>
          <w:color w:val="auto"/>
          <w:kern w:val="2"/>
          <w:sz w:val="21"/>
          <w:szCs w:val="21"/>
          <w:highlight w:val="none"/>
          <w:u w:val="single"/>
          <w:lang w:val="zh-CN" w:eastAsia="zh-CN"/>
        </w:rPr>
        <w:t>角</w:t>
      </w:r>
      <w:r>
        <w:rPr>
          <w:rFonts w:hint="eastAsia" w:ascii="宋体" w:hAnsi="宋体" w:cs="宋体"/>
          <w:b/>
          <w:bCs/>
          <w:color w:val="auto"/>
          <w:kern w:val="2"/>
          <w:sz w:val="21"/>
          <w:szCs w:val="21"/>
          <w:highlight w:val="none"/>
          <w:u w:val="single"/>
          <w:lang w:val="en-US" w:eastAsia="zh-CN"/>
        </w:rPr>
        <w:t>柒</w:t>
      </w:r>
      <w:r>
        <w:rPr>
          <w:rFonts w:hint="eastAsia" w:ascii="宋体" w:hAnsi="宋体" w:eastAsia="宋体" w:cs="宋体"/>
          <w:b/>
          <w:bCs/>
          <w:color w:val="auto"/>
          <w:kern w:val="2"/>
          <w:sz w:val="21"/>
          <w:szCs w:val="21"/>
          <w:highlight w:val="none"/>
          <w:u w:val="single"/>
          <w:lang w:val="zh-CN" w:eastAsia="zh-CN"/>
        </w:rPr>
        <w:t>分</w:t>
      </w:r>
      <w:r>
        <w:rPr>
          <w:rFonts w:hint="eastAsia" w:ascii="宋体" w:hAnsi="宋体" w:eastAsia="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lang w:val="zh-CN"/>
        </w:rPr>
        <w:t>。</w:t>
      </w:r>
    </w:p>
    <w:p w14:paraId="2D17CF5E">
      <w:pPr>
        <w:tabs>
          <w:tab w:val="left" w:pos="142"/>
        </w:tabs>
        <w:spacing w:line="360" w:lineRule="auto"/>
        <w:ind w:left="532" w:hanging="532"/>
        <w:jc w:val="both"/>
        <w:rPr>
          <w:rFonts w:hint="eastAsia" w:ascii="宋体" w:hAnsi="宋体" w:eastAsia="宋体" w:cs="宋体"/>
          <w:b/>
          <w:bCs/>
          <w:color w:val="auto"/>
          <w:sz w:val="21"/>
          <w:highlight w:val="none"/>
          <w:u w:val="single"/>
        </w:rPr>
      </w:pPr>
    </w:p>
    <w:p w14:paraId="651FC02F">
      <w:pPr>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64" w:name="_Toc450662862"/>
      <w:bookmarkStart w:id="65" w:name="_Toc15993"/>
      <w:bookmarkStart w:id="66" w:name="_Toc521918079"/>
      <w:r>
        <w:rPr>
          <w:rFonts w:hint="eastAsia" w:ascii="宋体" w:hAnsi="宋体" w:eastAsia="宋体" w:cs="宋体"/>
          <w:b/>
          <w:bCs/>
          <w:color w:val="auto"/>
          <w:kern w:val="2"/>
          <w:sz w:val="21"/>
          <w:szCs w:val="21"/>
          <w:highlight w:val="none"/>
          <w:lang w:val="zh-CN"/>
        </w:rPr>
        <w:t>12</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响应报价货币</w:t>
      </w:r>
      <w:bookmarkEnd w:id="64"/>
      <w:bookmarkEnd w:id="65"/>
      <w:bookmarkEnd w:id="66"/>
    </w:p>
    <w:p w14:paraId="7E227395">
      <w:pPr>
        <w:spacing w:line="360" w:lineRule="auto"/>
        <w:ind w:left="540" w:hanging="15"/>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响应报价表上的价格须以人民币报价，以其它货币标价的报价将予以拒绝</w:t>
      </w:r>
      <w:r>
        <w:rPr>
          <w:rFonts w:hint="eastAsia" w:ascii="宋体" w:hAnsi="宋体" w:eastAsia="宋体" w:cs="宋体"/>
          <w:b/>
          <w:bCs/>
          <w:color w:val="auto"/>
          <w:kern w:val="2"/>
          <w:sz w:val="21"/>
          <w:szCs w:val="21"/>
          <w:highlight w:val="none"/>
          <w:lang w:val="zh-CN"/>
        </w:rPr>
        <w:t>。</w:t>
      </w:r>
    </w:p>
    <w:p w14:paraId="4EB80183">
      <w:pPr>
        <w:spacing w:line="360" w:lineRule="auto"/>
        <w:ind w:left="540" w:hanging="15"/>
        <w:jc w:val="both"/>
        <w:rPr>
          <w:rFonts w:hint="eastAsia" w:ascii="宋体" w:hAnsi="宋体" w:eastAsia="宋体" w:cs="宋体"/>
          <w:color w:val="auto"/>
          <w:kern w:val="2"/>
          <w:sz w:val="21"/>
          <w:szCs w:val="21"/>
          <w:highlight w:val="none"/>
          <w:lang w:val="zh-CN"/>
        </w:rPr>
      </w:pPr>
    </w:p>
    <w:p w14:paraId="64D9B968">
      <w:pPr>
        <w:tabs>
          <w:tab w:val="left" w:pos="57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67" w:name="_Toc521918080"/>
      <w:bookmarkStart w:id="68" w:name="_Toc450662863"/>
      <w:bookmarkStart w:id="69" w:name="_Toc26760"/>
      <w:r>
        <w:rPr>
          <w:rFonts w:hint="eastAsia" w:ascii="宋体" w:hAnsi="宋体" w:eastAsia="宋体" w:cs="宋体"/>
          <w:color w:val="auto"/>
          <w:kern w:val="2"/>
          <w:sz w:val="21"/>
          <w:szCs w:val="21"/>
          <w:highlight w:val="none"/>
          <w:lang w:val="zh-CN"/>
        </w:rPr>
        <w:t>13</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证明供应商的合格性和资格的声明文件</w:t>
      </w:r>
      <w:bookmarkEnd w:id="67"/>
      <w:bookmarkEnd w:id="68"/>
      <w:bookmarkEnd w:id="69"/>
    </w:p>
    <w:p w14:paraId="0BB8A368">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根据第2条、第13.2款规定，供应商须提交证明其有资格进行</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和有能力履行合同的文件，</w:t>
      </w:r>
    </w:p>
    <w:p w14:paraId="223F9B1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作为响应文件的一部分。</w:t>
      </w:r>
    </w:p>
    <w:p w14:paraId="3E1DC85F">
      <w:pPr>
        <w:spacing w:line="360" w:lineRule="auto"/>
        <w:ind w:left="567" w:hanging="567"/>
        <w:jc w:val="both"/>
        <w:rPr>
          <w:rFonts w:hint="eastAsia" w:ascii="宋体" w:hAnsi="宋体" w:eastAsia="宋体" w:cs="宋体"/>
          <w:color w:val="auto"/>
          <w:kern w:val="2"/>
          <w:sz w:val="21"/>
          <w:szCs w:val="21"/>
          <w:highlight w:val="none"/>
          <w:vertAlign w:val="superscript"/>
          <w:lang w:val="zh-CN"/>
        </w:rPr>
      </w:pPr>
      <w:r>
        <w:rPr>
          <w:rFonts w:hint="eastAsia" w:ascii="宋体" w:hAnsi="宋体" w:eastAsia="宋体" w:cs="宋体"/>
          <w:color w:val="auto"/>
          <w:kern w:val="2"/>
          <w:sz w:val="21"/>
          <w:szCs w:val="21"/>
          <w:highlight w:val="none"/>
          <w:lang w:val="zh-CN"/>
        </w:rPr>
        <w:t>13.2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供应商提供的履行合同的资格声明文件应符合：</w:t>
      </w:r>
    </w:p>
    <w:p w14:paraId="4B34659B">
      <w:pPr>
        <w:spacing w:line="360" w:lineRule="auto"/>
        <w:ind w:left="563" w:hanging="562" w:hangingChars="268"/>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（1）符合</w:t>
      </w:r>
      <w:r>
        <w:rPr>
          <w:rFonts w:hint="eastAsia" w:ascii="宋体" w:hAnsi="宋体" w:eastAsia="宋体" w:cs="宋体"/>
          <w:color w:val="auto"/>
          <w:kern w:val="2"/>
          <w:sz w:val="21"/>
          <w:szCs w:val="21"/>
          <w:highlight w:val="none"/>
          <w:lang w:val="en-US" w:eastAsia="zh-CN"/>
        </w:rPr>
        <w:t>竞争性磋商文件合格供应商应</w:t>
      </w:r>
      <w:r>
        <w:rPr>
          <w:rFonts w:hint="eastAsia" w:ascii="宋体" w:hAnsi="宋体" w:eastAsia="宋体" w:cs="宋体"/>
          <w:color w:val="auto"/>
          <w:kern w:val="2"/>
          <w:sz w:val="21"/>
          <w:szCs w:val="21"/>
          <w:highlight w:val="none"/>
          <w:lang w:val="zh-CN"/>
        </w:rPr>
        <w:t>当具备的条件；</w:t>
      </w:r>
    </w:p>
    <w:p w14:paraId="1BEF316C">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kern w:val="2"/>
          <w:sz w:val="21"/>
          <w:szCs w:val="21"/>
          <w:highlight w:val="none"/>
          <w:lang w:val="zh-CN"/>
        </w:rPr>
        <w:t>具有履行本项目所必须的证明文件；</w:t>
      </w:r>
    </w:p>
    <w:p w14:paraId="45C711E3">
      <w:pPr>
        <w:spacing w:line="360" w:lineRule="auto"/>
        <w:ind w:left="839" w:leftChars="1" w:hanging="837" w:hangingChars="399"/>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（3）供应商证明其相应资格符合或优于竞争性磋商文件要求的其它文件。</w:t>
      </w:r>
    </w:p>
    <w:p w14:paraId="4D969292">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13.3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供应商根据竞争性磋商文件载明的</w:t>
      </w:r>
      <w:r>
        <w:rPr>
          <w:rFonts w:hint="eastAsia" w:ascii="宋体" w:hAnsi="宋体" w:cs="宋体"/>
          <w:color w:val="auto"/>
          <w:kern w:val="2"/>
          <w:sz w:val="21"/>
          <w:szCs w:val="21"/>
          <w:highlight w:val="none"/>
          <w:lang w:val="en-US" w:eastAsia="zh-CN"/>
        </w:rPr>
        <w:t>相关</w:t>
      </w:r>
      <w:r>
        <w:rPr>
          <w:rFonts w:hint="eastAsia" w:ascii="宋体" w:hAnsi="宋体" w:eastAsia="宋体" w:cs="宋体"/>
          <w:color w:val="auto"/>
          <w:kern w:val="2"/>
          <w:sz w:val="21"/>
          <w:szCs w:val="21"/>
          <w:highlight w:val="none"/>
          <w:lang w:val="zh-CN"/>
        </w:rPr>
        <w:t>服务要求的实际情况，拟在</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后将</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项目的非主体、</w:t>
      </w:r>
    </w:p>
    <w:p w14:paraId="2EC47EFC">
      <w:pPr>
        <w:keepNext w:val="0"/>
        <w:keepLines w:val="0"/>
        <w:pageBreakBefore w:val="0"/>
        <w:widowControl w:val="0"/>
        <w:tabs>
          <w:tab w:val="left" w:pos="142"/>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非关键性专业工作交由他人完成的，应当在响应文件中载明，并提供</w:t>
      </w:r>
      <w:r>
        <w:rPr>
          <w:rFonts w:hint="eastAsia" w:ascii="宋体" w:hAnsi="宋体" w:cs="宋体"/>
          <w:color w:val="auto"/>
          <w:kern w:val="2"/>
          <w:sz w:val="21"/>
          <w:szCs w:val="21"/>
          <w:highlight w:val="none"/>
          <w:lang w:val="en-US" w:eastAsia="zh-CN"/>
        </w:rPr>
        <w:t>他</w:t>
      </w:r>
      <w:r>
        <w:rPr>
          <w:rFonts w:hint="eastAsia" w:ascii="宋体" w:hAnsi="宋体" w:eastAsia="宋体" w:cs="宋体"/>
          <w:color w:val="auto"/>
          <w:kern w:val="2"/>
          <w:sz w:val="21"/>
          <w:szCs w:val="21"/>
          <w:highlight w:val="none"/>
          <w:lang w:val="zh-CN"/>
        </w:rPr>
        <w:t>人的资质、能力证明材料。</w:t>
      </w:r>
    </w:p>
    <w:p w14:paraId="2BFD9FAF">
      <w:pPr>
        <w:tabs>
          <w:tab w:val="left" w:pos="142"/>
        </w:tabs>
        <w:spacing w:line="360" w:lineRule="auto"/>
        <w:ind w:left="532" w:hanging="532"/>
        <w:jc w:val="both"/>
        <w:rPr>
          <w:rFonts w:hint="eastAsia" w:ascii="宋体" w:hAnsi="宋体" w:eastAsia="宋体" w:cs="宋体"/>
          <w:color w:val="auto"/>
          <w:kern w:val="2"/>
          <w:sz w:val="21"/>
          <w:szCs w:val="21"/>
          <w:highlight w:val="none"/>
        </w:rPr>
      </w:pPr>
    </w:p>
    <w:p w14:paraId="6421CC58">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0" w:name="_Toc450662864"/>
      <w:bookmarkStart w:id="71" w:name="_Toc521918081"/>
      <w:bookmarkStart w:id="72" w:name="_Toc20713"/>
      <w:r>
        <w:rPr>
          <w:rFonts w:hint="eastAsia" w:ascii="宋体" w:hAnsi="宋体" w:eastAsia="宋体" w:cs="宋体"/>
          <w:color w:val="auto"/>
          <w:kern w:val="2"/>
          <w:sz w:val="21"/>
          <w:szCs w:val="21"/>
          <w:highlight w:val="none"/>
          <w:lang w:val="zh-CN"/>
        </w:rPr>
        <w:t>14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证明服务的合格性并符合竞争性磋商文件规定的声明文件</w:t>
      </w:r>
      <w:bookmarkEnd w:id="70"/>
      <w:bookmarkEnd w:id="71"/>
      <w:bookmarkEnd w:id="72"/>
    </w:p>
    <w:p w14:paraId="703503FE">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14.1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根据第9条规定，供应商须提交证明其拟供服务的合格性并符合竞争性磋商文件规定的声明文</w:t>
      </w:r>
    </w:p>
    <w:p w14:paraId="48A6608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件，作为响应文件的一部分。</w:t>
      </w:r>
    </w:p>
    <w:p w14:paraId="74F6CD08">
      <w:pPr>
        <w:tabs>
          <w:tab w:val="left" w:pos="142"/>
        </w:tabs>
        <w:spacing w:line="360" w:lineRule="auto"/>
        <w:ind w:left="532" w:hanging="532"/>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14.2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证明服务与竞争性磋商文件的要求相一致的文件可以是文字资料、图纸和数据资料。</w:t>
      </w:r>
    </w:p>
    <w:p w14:paraId="2BA892E3">
      <w:pPr>
        <w:tabs>
          <w:tab w:val="left" w:pos="567"/>
        </w:tabs>
        <w:spacing w:line="360" w:lineRule="auto"/>
        <w:ind w:left="567" w:hanging="567"/>
        <w:jc w:val="both"/>
        <w:rPr>
          <w:rFonts w:hint="eastAsia" w:ascii="宋体" w:hAnsi="宋体" w:eastAsia="宋体" w:cs="宋体"/>
          <w:b/>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 xml:space="preserve">14.3 </w:t>
      </w:r>
      <w:r>
        <w:rPr>
          <w:rFonts w:hint="eastAsia" w:ascii="宋体" w:hAnsi="宋体" w:eastAsia="宋体" w:cs="宋体"/>
          <w:b/>
          <w:color w:val="auto"/>
          <w:kern w:val="2"/>
          <w:sz w:val="21"/>
          <w:szCs w:val="21"/>
          <w:highlight w:val="none"/>
          <w:u w:val="single"/>
          <w:lang w:val="zh-CN"/>
        </w:rPr>
        <w:t>为说明第14.2款的规定，供应商应注意本竞争性磋商文件在《用户需求书》中对服务要求</w:t>
      </w:r>
      <w:r>
        <w:rPr>
          <w:rFonts w:hint="eastAsia" w:ascii="宋体" w:hAnsi="宋体" w:cs="宋体"/>
          <w:b/>
          <w:color w:val="auto"/>
          <w:kern w:val="2"/>
          <w:sz w:val="21"/>
          <w:szCs w:val="21"/>
          <w:highlight w:val="none"/>
          <w:u w:val="single"/>
          <w:lang w:val="en-US" w:eastAsia="zh-CN"/>
        </w:rPr>
        <w:t>的</w:t>
      </w:r>
      <w:r>
        <w:rPr>
          <w:rFonts w:hint="eastAsia" w:ascii="宋体" w:hAnsi="宋体" w:eastAsia="宋体" w:cs="宋体"/>
          <w:b/>
          <w:color w:val="auto"/>
          <w:kern w:val="2"/>
          <w:sz w:val="21"/>
          <w:szCs w:val="21"/>
          <w:highlight w:val="none"/>
          <w:u w:val="single"/>
          <w:lang w:val="zh-CN"/>
        </w:rPr>
        <w:t>说</w:t>
      </w:r>
    </w:p>
    <w:p w14:paraId="1C064CF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u w:val="single"/>
          <w:lang w:val="zh-CN"/>
        </w:rPr>
        <w:t>明只是概括性的，不能理解为所需要的全部服务的要求，供应商应按国家、行业相关技术标准、规范和以往的服务经验，合格优质的完成采购内容和包含的全部服务。凡标有“★”的地方均被视为重要的技术</w:t>
      </w:r>
      <w:r>
        <w:rPr>
          <w:rFonts w:hint="eastAsia" w:ascii="宋体" w:hAnsi="宋体" w:cs="宋体"/>
          <w:b/>
          <w:color w:val="auto"/>
          <w:kern w:val="2"/>
          <w:sz w:val="21"/>
          <w:szCs w:val="21"/>
          <w:highlight w:val="none"/>
          <w:u w:val="single"/>
          <w:lang w:val="en-US" w:eastAsia="zh-CN"/>
        </w:rPr>
        <w:t>指标</w:t>
      </w:r>
      <w:r>
        <w:rPr>
          <w:rFonts w:hint="eastAsia" w:ascii="宋体" w:hAnsi="宋体" w:eastAsia="宋体" w:cs="宋体"/>
          <w:b/>
          <w:color w:val="auto"/>
          <w:kern w:val="2"/>
          <w:sz w:val="21"/>
          <w:szCs w:val="21"/>
          <w:highlight w:val="none"/>
          <w:u w:val="single"/>
          <w:lang w:val="zh-CN"/>
        </w:rPr>
        <w:t>要求或</w:t>
      </w:r>
      <w:r>
        <w:rPr>
          <w:rFonts w:hint="eastAsia" w:ascii="宋体" w:hAnsi="宋体" w:cs="宋体"/>
          <w:b/>
          <w:color w:val="auto"/>
          <w:kern w:val="2"/>
          <w:sz w:val="21"/>
          <w:szCs w:val="21"/>
          <w:highlight w:val="none"/>
          <w:u w:val="single"/>
          <w:lang w:val="en-US" w:eastAsia="zh-CN"/>
        </w:rPr>
        <w:t>性能</w:t>
      </w:r>
      <w:r>
        <w:rPr>
          <w:rFonts w:hint="eastAsia" w:ascii="宋体" w:hAnsi="宋体" w:eastAsia="宋体" w:cs="宋体"/>
          <w:b/>
          <w:color w:val="auto"/>
          <w:kern w:val="2"/>
          <w:sz w:val="21"/>
          <w:szCs w:val="21"/>
          <w:highlight w:val="none"/>
          <w:u w:val="single"/>
          <w:lang w:val="zh-CN"/>
        </w:rPr>
        <w:t>要求。供应商要特别加以注意，必须对此回答并完全满足这些要求，否则若有一项带“★”的条款未响应或不满足，将按无效</w:t>
      </w:r>
      <w:r>
        <w:rPr>
          <w:rFonts w:hint="eastAsia" w:ascii="宋体" w:hAnsi="宋体" w:eastAsia="宋体" w:cs="宋体"/>
          <w:b/>
          <w:color w:val="auto"/>
          <w:kern w:val="2"/>
          <w:sz w:val="21"/>
          <w:szCs w:val="21"/>
          <w:highlight w:val="none"/>
          <w:u w:val="single"/>
          <w:lang w:val="en-US" w:eastAsia="zh-CN"/>
        </w:rPr>
        <w:t>响应</w:t>
      </w:r>
      <w:r>
        <w:rPr>
          <w:rFonts w:hint="eastAsia" w:ascii="宋体" w:hAnsi="宋体" w:eastAsia="宋体" w:cs="宋体"/>
          <w:b/>
          <w:color w:val="auto"/>
          <w:kern w:val="2"/>
          <w:sz w:val="21"/>
          <w:szCs w:val="21"/>
          <w:highlight w:val="none"/>
          <w:u w:val="single"/>
          <w:lang w:val="zh-CN"/>
        </w:rPr>
        <w:t>处理。</w:t>
      </w:r>
    </w:p>
    <w:p w14:paraId="11C6D198">
      <w:pPr>
        <w:tabs>
          <w:tab w:val="left" w:pos="567"/>
        </w:tabs>
        <w:spacing w:line="360" w:lineRule="auto"/>
        <w:ind w:left="567" w:hanging="567"/>
        <w:jc w:val="both"/>
        <w:rPr>
          <w:rFonts w:hint="eastAsia" w:ascii="宋体" w:hAnsi="宋体" w:eastAsia="宋体" w:cs="宋体"/>
          <w:b/>
          <w:color w:val="auto"/>
          <w:kern w:val="2"/>
          <w:sz w:val="21"/>
          <w:szCs w:val="21"/>
          <w:highlight w:val="none"/>
          <w:lang w:val="zh-CN"/>
        </w:rPr>
      </w:pPr>
    </w:p>
    <w:p w14:paraId="19C8A170">
      <w:pPr>
        <w:tabs>
          <w:tab w:val="left" w:pos="567"/>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73" w:name="_Toc12553"/>
      <w:bookmarkStart w:id="74" w:name="_Toc521918082"/>
      <w:r>
        <w:rPr>
          <w:rFonts w:hint="eastAsia" w:ascii="宋体" w:hAnsi="宋体" w:eastAsia="宋体" w:cs="宋体"/>
          <w:bCs/>
          <w:color w:val="auto"/>
          <w:kern w:val="2"/>
          <w:sz w:val="21"/>
          <w:szCs w:val="21"/>
          <w:highlight w:val="none"/>
          <w:lang w:val="zh-CN"/>
        </w:rPr>
        <w:t>15</w:t>
      </w:r>
      <w:r>
        <w:rPr>
          <w:rFonts w:hint="eastAsia" w:ascii="宋体" w:hAnsi="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磋商</w:t>
      </w:r>
      <w:r>
        <w:rPr>
          <w:rFonts w:hint="eastAsia" w:ascii="宋体" w:hAnsi="宋体" w:eastAsia="宋体" w:cs="宋体"/>
          <w:bCs/>
          <w:color w:val="auto"/>
          <w:kern w:val="2"/>
          <w:sz w:val="21"/>
          <w:szCs w:val="21"/>
          <w:highlight w:val="none"/>
          <w:lang w:val="zh-CN"/>
        </w:rPr>
        <w:t>保证金</w:t>
      </w:r>
      <w:bookmarkEnd w:id="73"/>
      <w:bookmarkEnd w:id="74"/>
    </w:p>
    <w:p w14:paraId="7F30B2BC">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u w:val="single"/>
          <w:lang w:val="zh-CN"/>
        </w:rPr>
      </w:pPr>
      <w:bookmarkStart w:id="75" w:name="_Toc450662865"/>
      <w:bookmarkStart w:id="76" w:name="_Toc521918083"/>
      <w:r>
        <w:rPr>
          <w:rFonts w:hint="eastAsia" w:ascii="宋体" w:hAnsi="宋体" w:eastAsia="宋体" w:cs="宋体"/>
          <w:color w:val="auto"/>
          <w:sz w:val="21"/>
          <w:szCs w:val="21"/>
          <w:highlight w:val="none"/>
          <w:lang w:val="zh-CN"/>
        </w:rPr>
        <w:t>15.1</w:t>
      </w:r>
      <w:r>
        <w:rPr>
          <w:rFonts w:hint="eastAsia" w:ascii="宋体" w:hAnsi="宋体" w:cs="宋体"/>
          <w:color w:val="auto"/>
          <w:sz w:val="21"/>
          <w:szCs w:val="21"/>
          <w:highlight w:val="none"/>
          <w:lang w:val="en-US" w:eastAsia="zh-CN"/>
        </w:rPr>
        <w:t xml:space="preserve"> </w:t>
      </w:r>
      <w:r>
        <w:rPr>
          <w:rFonts w:hint="eastAsia" w:ascii="宋体" w:hAnsi="宋体" w:cs="宋体"/>
          <w:b/>
          <w:bCs w:val="0"/>
          <w:color w:val="auto"/>
          <w:sz w:val="21"/>
          <w:szCs w:val="21"/>
          <w:highlight w:val="none"/>
          <w:u w:val="single"/>
          <w:lang w:val="en-US" w:eastAsia="zh-CN"/>
        </w:rPr>
        <w:t>供应商响应</w:t>
      </w:r>
      <w:r>
        <w:rPr>
          <w:rFonts w:hint="eastAsia" w:ascii="宋体" w:hAnsi="宋体" w:eastAsia="宋体" w:cs="宋体"/>
          <w:b/>
          <w:bCs w:val="0"/>
          <w:color w:val="auto"/>
          <w:sz w:val="21"/>
          <w:szCs w:val="21"/>
          <w:highlight w:val="none"/>
          <w:u w:val="single"/>
          <w:lang w:val="zh-CN"/>
        </w:rPr>
        <w:t>时须</w:t>
      </w:r>
      <w:r>
        <w:rPr>
          <w:rFonts w:hint="eastAsia" w:ascii="宋体" w:hAnsi="宋体" w:cs="宋体"/>
          <w:b/>
          <w:bCs w:val="0"/>
          <w:color w:val="auto"/>
          <w:sz w:val="21"/>
          <w:szCs w:val="21"/>
          <w:highlight w:val="none"/>
          <w:u w:val="single"/>
          <w:lang w:val="en-US" w:eastAsia="zh-CN"/>
        </w:rPr>
        <w:t>提交磋商保证金41</w:t>
      </w:r>
      <w:r>
        <w:rPr>
          <w:rFonts w:hint="eastAsia" w:ascii="宋体" w:hAnsi="宋体" w:eastAsia="宋体" w:cs="宋体"/>
          <w:b/>
          <w:bCs w:val="0"/>
          <w:color w:val="auto"/>
          <w:sz w:val="21"/>
          <w:szCs w:val="21"/>
          <w:highlight w:val="none"/>
          <w:u w:val="single"/>
          <w:lang w:val="zh-CN"/>
        </w:rPr>
        <w:t>,</w:t>
      </w:r>
      <w:r>
        <w:rPr>
          <w:rFonts w:hint="eastAsia" w:ascii="宋体" w:hAnsi="宋体" w:cs="宋体"/>
          <w:b/>
          <w:bCs w:val="0"/>
          <w:color w:val="auto"/>
          <w:sz w:val="21"/>
          <w:szCs w:val="21"/>
          <w:highlight w:val="none"/>
          <w:u w:val="single"/>
          <w:lang w:val="en-US" w:eastAsia="zh-CN"/>
        </w:rPr>
        <w:t>600</w:t>
      </w:r>
      <w:r>
        <w:rPr>
          <w:rFonts w:hint="eastAsia" w:ascii="宋体" w:hAnsi="宋体" w:eastAsia="宋体" w:cs="宋体"/>
          <w:b/>
          <w:bCs w:val="0"/>
          <w:color w:val="auto"/>
          <w:sz w:val="21"/>
          <w:szCs w:val="21"/>
          <w:highlight w:val="none"/>
          <w:u w:val="single"/>
          <w:lang w:val="zh-CN"/>
        </w:rPr>
        <w:t>.00元（大写：人民币</w:t>
      </w:r>
      <w:r>
        <w:rPr>
          <w:rFonts w:hint="eastAsia" w:ascii="宋体" w:hAnsi="宋体" w:cs="宋体"/>
          <w:b/>
          <w:bCs w:val="0"/>
          <w:color w:val="auto"/>
          <w:sz w:val="21"/>
          <w:szCs w:val="21"/>
          <w:highlight w:val="none"/>
          <w:u w:val="single"/>
          <w:lang w:val="en-US" w:eastAsia="zh-CN"/>
        </w:rPr>
        <w:t>肆</w:t>
      </w:r>
      <w:r>
        <w:rPr>
          <w:rFonts w:hint="eastAsia" w:ascii="宋体" w:hAnsi="宋体" w:eastAsia="宋体" w:cs="宋体"/>
          <w:b/>
          <w:bCs w:val="0"/>
          <w:color w:val="auto"/>
          <w:sz w:val="21"/>
          <w:szCs w:val="21"/>
          <w:highlight w:val="none"/>
          <w:u w:val="single"/>
          <w:lang w:val="zh-CN"/>
        </w:rPr>
        <w:t>万</w:t>
      </w:r>
      <w:r>
        <w:rPr>
          <w:rFonts w:hint="eastAsia" w:ascii="宋体" w:hAnsi="宋体" w:cs="宋体"/>
          <w:b/>
          <w:bCs w:val="0"/>
          <w:color w:val="auto"/>
          <w:sz w:val="21"/>
          <w:szCs w:val="21"/>
          <w:highlight w:val="none"/>
          <w:u w:val="single"/>
          <w:lang w:val="en-US" w:eastAsia="zh-CN"/>
        </w:rPr>
        <w:t>壹</w:t>
      </w:r>
      <w:r>
        <w:rPr>
          <w:rFonts w:hint="eastAsia" w:ascii="宋体" w:hAnsi="宋体" w:eastAsia="宋体" w:cs="宋体"/>
          <w:b/>
          <w:bCs w:val="0"/>
          <w:color w:val="auto"/>
          <w:sz w:val="21"/>
          <w:szCs w:val="21"/>
          <w:highlight w:val="none"/>
          <w:u w:val="single"/>
          <w:lang w:val="zh-CN" w:eastAsia="zh-CN"/>
        </w:rPr>
        <w:t>仟</w:t>
      </w:r>
      <w:r>
        <w:rPr>
          <w:rFonts w:hint="eastAsia" w:ascii="宋体" w:hAnsi="宋体" w:cs="宋体"/>
          <w:b/>
          <w:bCs w:val="0"/>
          <w:color w:val="auto"/>
          <w:sz w:val="21"/>
          <w:szCs w:val="21"/>
          <w:highlight w:val="none"/>
          <w:u w:val="single"/>
          <w:lang w:val="en-US" w:eastAsia="zh-CN"/>
        </w:rPr>
        <w:t>陆佰</w:t>
      </w:r>
      <w:r>
        <w:rPr>
          <w:rFonts w:hint="eastAsia" w:ascii="宋体" w:hAnsi="宋体" w:eastAsia="宋体" w:cs="宋体"/>
          <w:b/>
          <w:bCs w:val="0"/>
          <w:color w:val="auto"/>
          <w:sz w:val="21"/>
          <w:szCs w:val="21"/>
          <w:highlight w:val="none"/>
          <w:u w:val="single"/>
          <w:lang w:val="zh-CN"/>
        </w:rPr>
        <w:t>元整）。</w:t>
      </w:r>
    </w:p>
    <w:p w14:paraId="216EBDD0">
      <w:pPr>
        <w:pStyle w:val="107"/>
        <w:spacing w:line="360" w:lineRule="auto"/>
        <w:jc w:val="both"/>
        <w:rPr>
          <w:rFonts w:hint="eastAsia" w:ascii="宋体" w:hAnsi="宋体" w:eastAsia="宋体" w:cs="宋体"/>
          <w:b/>
          <w:bCs w:val="0"/>
          <w:color w:val="auto"/>
          <w:sz w:val="21"/>
          <w:szCs w:val="21"/>
          <w:highlight w:val="none"/>
          <w:u w:val="single"/>
          <w:lang w:val="zh-CN"/>
        </w:rPr>
      </w:pPr>
      <w:r>
        <w:rPr>
          <w:rFonts w:hint="eastAsia" w:ascii="宋体" w:hAnsi="宋体" w:eastAsia="宋体" w:cs="宋体"/>
          <w:color w:val="auto"/>
          <w:sz w:val="21"/>
          <w:szCs w:val="21"/>
          <w:highlight w:val="none"/>
          <w:lang w:val="zh-CN"/>
        </w:rPr>
        <w:t>15.2</w:t>
      </w:r>
      <w:r>
        <w:rPr>
          <w:rFonts w:hint="eastAsia" w:ascii="宋体" w:hAnsi="宋体" w:cs="宋体"/>
          <w:color w:val="auto"/>
          <w:sz w:val="21"/>
          <w:szCs w:val="21"/>
          <w:highlight w:val="none"/>
          <w:lang w:val="en-US" w:eastAsia="zh-CN"/>
        </w:rPr>
        <w:t xml:space="preserve"> 供应商</w:t>
      </w:r>
      <w:r>
        <w:rPr>
          <w:rFonts w:hint="eastAsia" w:ascii="宋体" w:hAnsi="宋体" w:eastAsia="宋体" w:cs="宋体"/>
          <w:color w:val="auto"/>
          <w:sz w:val="21"/>
          <w:szCs w:val="21"/>
          <w:highlight w:val="none"/>
          <w:lang w:val="zh-CN"/>
        </w:rPr>
        <w:t>应按要求提交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必须通过本单位银行基本账户采用银行转账、电汇形</w:t>
      </w:r>
    </w:p>
    <w:p w14:paraId="3A4544E7">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b/>
          <w:bCs w:val="0"/>
          <w:color w:val="auto"/>
          <w:sz w:val="21"/>
          <w:szCs w:val="21"/>
          <w:highlight w:val="none"/>
          <w:u w:val="single"/>
          <w:lang w:val="zh-CN"/>
        </w:rPr>
        <w:t>式缴交，</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与交款人名称必须一致，非</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rPr>
        <w:t>缴纳的或未通过其基本账户提交的</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保证金无效</w:t>
      </w:r>
      <w:r>
        <w:rPr>
          <w:rFonts w:hint="eastAsia" w:ascii="宋体" w:hAnsi="宋体" w:eastAsia="宋体" w:cs="宋体"/>
          <w:b/>
          <w:bCs w:val="0"/>
          <w:color w:val="auto"/>
          <w:sz w:val="21"/>
          <w:szCs w:val="21"/>
          <w:highlight w:val="none"/>
          <w:u w:val="none"/>
          <w:lang w:val="zh-CN"/>
        </w:rPr>
        <w:t>。</w:t>
      </w:r>
    </w:p>
    <w:p w14:paraId="2ED996FD">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15.3 提交</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保证金时应符合下列规定：</w:t>
      </w:r>
    </w:p>
    <w:p w14:paraId="38CB0BA6">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必须通过本单位基本账户采用银行转账、电汇方式提交，且在递交</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文件截止时间前到</w:t>
      </w:r>
    </w:p>
    <w:p w14:paraId="13635634">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达以下账户上。</w:t>
      </w:r>
    </w:p>
    <w:p w14:paraId="02133AD8">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开户名称：</w:t>
      </w:r>
      <w:r>
        <w:rPr>
          <w:rFonts w:hint="eastAsia" w:ascii="宋体" w:hAnsi="宋体" w:eastAsia="宋体" w:cs="宋体"/>
          <w:color w:val="auto"/>
          <w:sz w:val="21"/>
          <w:szCs w:val="21"/>
          <w:highlight w:val="none"/>
          <w:lang w:val="zh-CN" w:eastAsia="zh-CN"/>
        </w:rPr>
        <w:t xml:space="preserve">东莞市众源环境投资有限公司 </w:t>
      </w:r>
      <w:r>
        <w:rPr>
          <w:rFonts w:hint="eastAsia" w:ascii="宋体" w:hAnsi="宋体" w:eastAsia="宋体" w:cs="宋体"/>
          <w:color w:val="auto"/>
          <w:sz w:val="21"/>
          <w:szCs w:val="21"/>
          <w:highlight w:val="none"/>
          <w:lang w:val="zh-CN"/>
        </w:rPr>
        <w:t xml:space="preserve"> </w:t>
      </w:r>
    </w:p>
    <w:p w14:paraId="416D6615">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开户银行：</w:t>
      </w:r>
      <w:r>
        <w:rPr>
          <w:rFonts w:hint="eastAsia" w:ascii="宋体" w:hAnsi="宋体" w:eastAsia="宋体" w:cs="宋体"/>
          <w:color w:val="auto"/>
          <w:sz w:val="21"/>
          <w:szCs w:val="21"/>
          <w:highlight w:val="none"/>
          <w:lang w:val="zh-CN" w:eastAsia="zh-CN"/>
        </w:rPr>
        <w:t>招商银行股份有限公司东莞分行</w:t>
      </w:r>
    </w:p>
    <w:p w14:paraId="54B6BA8F">
      <w:pPr>
        <w:pStyle w:val="107"/>
        <w:keepNext w:val="0"/>
        <w:keepLines w:val="0"/>
        <w:pageBreakBefore w:val="0"/>
        <w:widowControl w:val="0"/>
        <w:kinsoku/>
        <w:wordWrap/>
        <w:overflowPunct/>
        <w:topLinePunct w:val="0"/>
        <w:autoSpaceDE w:val="0"/>
        <w:autoSpaceDN w:val="0"/>
        <w:bidi w:val="0"/>
        <w:adjustRightInd w:val="0"/>
        <w:snapToGrid/>
        <w:spacing w:line="360" w:lineRule="auto"/>
        <w:ind w:left="960" w:leftChars="400"/>
        <w:jc w:val="both"/>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银行账号：</w:t>
      </w:r>
      <w:r>
        <w:rPr>
          <w:rFonts w:hint="eastAsia" w:ascii="宋体" w:hAnsi="宋体" w:eastAsia="宋体" w:cs="宋体"/>
          <w:color w:val="auto"/>
          <w:sz w:val="21"/>
          <w:szCs w:val="21"/>
          <w:highlight w:val="none"/>
          <w:lang w:val="zh-CN" w:eastAsia="zh-CN"/>
        </w:rPr>
        <w:t>769908269610828</w:t>
      </w:r>
    </w:p>
    <w:p w14:paraId="28F06F01">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rPr>
      </w:pP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保证金未按规定时间到达指定账户或提交金额不足的，将被视为无效</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w:t>
      </w:r>
      <w:r>
        <w:rPr>
          <w:rFonts w:hint="eastAsia" w:ascii="宋体" w:hAnsi="宋体" w:eastAsia="宋体" w:cs="宋体"/>
          <w:b/>
          <w:bCs w:val="0"/>
          <w:color w:val="auto"/>
          <w:sz w:val="21"/>
          <w:szCs w:val="21"/>
          <w:highlight w:val="none"/>
          <w:lang w:val="zh-CN"/>
        </w:rPr>
        <w:t>。</w:t>
      </w:r>
    </w:p>
    <w:p w14:paraId="2362FA00">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rPr>
      </w:pPr>
    </w:p>
    <w:p w14:paraId="7970D209">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15.4 </w:t>
      </w:r>
      <w:r>
        <w:rPr>
          <w:rFonts w:hint="eastAsia" w:ascii="宋体" w:hAnsi="宋体" w:eastAsia="宋体" w:cs="宋体"/>
          <w:b/>
          <w:bCs w:val="0"/>
          <w:color w:val="auto"/>
          <w:sz w:val="21"/>
          <w:szCs w:val="21"/>
          <w:highlight w:val="none"/>
          <w:u w:val="single"/>
          <w:lang w:val="zh-CN"/>
        </w:rPr>
        <w:t>任何未按第15.1款、第15.2款、第15.3款规定提交</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rPr>
        <w:t>保证金的</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u w:val="single"/>
          <w:lang w:val="zh-CN"/>
        </w:rPr>
        <w:t>，将被视为无效</w:t>
      </w:r>
      <w:r>
        <w:rPr>
          <w:rFonts w:hint="eastAsia" w:ascii="宋体" w:hAnsi="宋体" w:cs="宋体"/>
          <w:b/>
          <w:bCs w:val="0"/>
          <w:color w:val="auto"/>
          <w:sz w:val="21"/>
          <w:szCs w:val="21"/>
          <w:highlight w:val="none"/>
          <w:u w:val="single"/>
          <w:lang w:val="en-US" w:eastAsia="zh-CN"/>
        </w:rPr>
        <w:t>响应</w:t>
      </w:r>
      <w:r>
        <w:rPr>
          <w:rFonts w:hint="eastAsia" w:ascii="宋体" w:hAnsi="宋体" w:eastAsia="宋体" w:cs="宋体"/>
          <w:b/>
          <w:bCs w:val="0"/>
          <w:color w:val="auto"/>
          <w:sz w:val="21"/>
          <w:szCs w:val="21"/>
          <w:highlight w:val="none"/>
          <w:lang w:val="zh-CN"/>
        </w:rPr>
        <w:t>。</w:t>
      </w:r>
    </w:p>
    <w:p w14:paraId="2901E09F">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b/>
          <w:bCs w:val="0"/>
          <w:color w:val="auto"/>
          <w:sz w:val="21"/>
          <w:szCs w:val="21"/>
          <w:highlight w:val="none"/>
          <w:lang w:val="zh-CN" w:eastAsia="zh-CN"/>
        </w:rPr>
      </w:pPr>
      <w:r>
        <w:rPr>
          <w:rFonts w:hint="eastAsia" w:ascii="宋体" w:hAnsi="宋体" w:eastAsia="宋体" w:cs="宋体"/>
          <w:b/>
          <w:bCs w:val="0"/>
          <w:color w:val="auto"/>
          <w:sz w:val="21"/>
          <w:szCs w:val="21"/>
          <w:highlight w:val="none"/>
          <w:u w:val="single"/>
          <w:lang w:val="zh-CN" w:eastAsia="zh-CN"/>
        </w:rPr>
        <w:t>为更快捷将</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保证金关联到本项目，</w:t>
      </w:r>
      <w:r>
        <w:rPr>
          <w:rFonts w:hint="eastAsia" w:ascii="宋体" w:hAnsi="宋体" w:cs="宋体"/>
          <w:b/>
          <w:bCs w:val="0"/>
          <w:color w:val="auto"/>
          <w:sz w:val="21"/>
          <w:szCs w:val="21"/>
          <w:highlight w:val="none"/>
          <w:u w:val="single"/>
          <w:lang w:val="en-US" w:eastAsia="zh-CN"/>
        </w:rPr>
        <w:t>供应商</w:t>
      </w:r>
      <w:r>
        <w:rPr>
          <w:rFonts w:hint="eastAsia" w:ascii="宋体" w:hAnsi="宋体" w:eastAsia="宋体" w:cs="宋体"/>
          <w:b/>
          <w:bCs w:val="0"/>
          <w:color w:val="auto"/>
          <w:sz w:val="21"/>
          <w:szCs w:val="21"/>
          <w:highlight w:val="none"/>
          <w:u w:val="single"/>
          <w:lang w:val="zh-CN" w:eastAsia="zh-CN"/>
        </w:rPr>
        <w:t>应在转账时</w:t>
      </w:r>
      <w:r>
        <w:rPr>
          <w:rFonts w:hint="eastAsia" w:ascii="宋体" w:hAnsi="宋体" w:eastAsia="宋体" w:cs="宋体"/>
          <w:b/>
          <w:bCs w:val="0"/>
          <w:color w:val="auto"/>
          <w:sz w:val="21"/>
          <w:szCs w:val="21"/>
          <w:highlight w:val="none"/>
          <w:u w:val="single"/>
          <w:lang w:val="zh-CN"/>
        </w:rPr>
        <w:t>注明</w:t>
      </w:r>
      <w:r>
        <w:rPr>
          <w:rFonts w:hint="eastAsia" w:ascii="宋体" w:hAnsi="宋体" w:cs="宋体"/>
          <w:b/>
          <w:bCs w:val="0"/>
          <w:color w:val="auto"/>
          <w:sz w:val="21"/>
          <w:szCs w:val="21"/>
          <w:highlight w:val="none"/>
          <w:u w:val="single"/>
          <w:lang w:val="en-US" w:eastAsia="zh-CN"/>
        </w:rPr>
        <w:t>采购</w:t>
      </w:r>
      <w:r>
        <w:rPr>
          <w:rFonts w:hint="eastAsia" w:ascii="宋体" w:hAnsi="宋体" w:eastAsia="宋体" w:cs="宋体"/>
          <w:b/>
          <w:bCs w:val="0"/>
          <w:color w:val="auto"/>
          <w:sz w:val="21"/>
          <w:szCs w:val="21"/>
          <w:highlight w:val="none"/>
          <w:u w:val="single"/>
          <w:lang w:val="zh-CN"/>
        </w:rPr>
        <w:t>编号</w:t>
      </w:r>
      <w:r>
        <w:rPr>
          <w:rFonts w:hint="eastAsia" w:ascii="宋体" w:hAnsi="宋体" w:eastAsia="宋体" w:cs="宋体"/>
          <w:b/>
          <w:bCs w:val="0"/>
          <w:color w:val="auto"/>
          <w:sz w:val="21"/>
          <w:szCs w:val="21"/>
          <w:highlight w:val="none"/>
          <w:u w:val="single"/>
          <w:lang w:val="zh-CN" w:eastAsia="zh-CN"/>
        </w:rPr>
        <w:t>，否则因此导致的无法识别</w:t>
      </w:r>
      <w:r>
        <w:rPr>
          <w:rFonts w:hint="eastAsia" w:ascii="宋体" w:hAnsi="宋体" w:cs="宋体"/>
          <w:b/>
          <w:bCs w:val="0"/>
          <w:color w:val="auto"/>
          <w:sz w:val="21"/>
          <w:szCs w:val="21"/>
          <w:highlight w:val="none"/>
          <w:u w:val="single"/>
          <w:lang w:val="en-US" w:eastAsia="zh-CN"/>
        </w:rPr>
        <w:t>磋商</w:t>
      </w:r>
      <w:r>
        <w:rPr>
          <w:rFonts w:hint="eastAsia" w:ascii="宋体" w:hAnsi="宋体" w:eastAsia="宋体" w:cs="宋体"/>
          <w:b/>
          <w:bCs w:val="0"/>
          <w:color w:val="auto"/>
          <w:sz w:val="21"/>
          <w:szCs w:val="21"/>
          <w:highlight w:val="none"/>
          <w:u w:val="single"/>
          <w:lang w:val="zh-CN" w:eastAsia="zh-CN"/>
        </w:rPr>
        <w:t>保证金对应项目等不利后果将由</w:t>
      </w:r>
      <w:r>
        <w:rPr>
          <w:rFonts w:hint="eastAsia" w:ascii="宋体" w:hAnsi="宋体" w:cs="宋体"/>
          <w:b/>
          <w:bCs w:val="0"/>
          <w:color w:val="auto"/>
          <w:sz w:val="21"/>
          <w:szCs w:val="21"/>
          <w:highlight w:val="none"/>
          <w:u w:val="single"/>
          <w:lang w:val="zh-CN" w:eastAsia="zh-CN"/>
        </w:rPr>
        <w:t>供应商</w:t>
      </w:r>
      <w:r>
        <w:rPr>
          <w:rFonts w:hint="eastAsia" w:ascii="宋体" w:hAnsi="宋体" w:eastAsia="宋体" w:cs="宋体"/>
          <w:b/>
          <w:bCs w:val="0"/>
          <w:color w:val="auto"/>
          <w:sz w:val="21"/>
          <w:szCs w:val="21"/>
          <w:highlight w:val="none"/>
          <w:u w:val="single"/>
          <w:lang w:val="zh-CN" w:eastAsia="zh-CN"/>
        </w:rPr>
        <w:t>承担</w:t>
      </w:r>
      <w:r>
        <w:rPr>
          <w:rFonts w:hint="eastAsia" w:ascii="宋体" w:hAnsi="宋体" w:eastAsia="宋体" w:cs="宋体"/>
          <w:b/>
          <w:bCs w:val="0"/>
          <w:color w:val="auto"/>
          <w:sz w:val="21"/>
          <w:szCs w:val="21"/>
          <w:highlight w:val="none"/>
          <w:lang w:val="zh-CN" w:eastAsia="zh-CN"/>
        </w:rPr>
        <w:t>。</w:t>
      </w:r>
    </w:p>
    <w:p w14:paraId="02514B5A">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15.5 未</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在本项目的书面合同签订后5日内，按照其</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00335A51">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支付凭证上注明的收款人名称和账号予以退还，除非</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保证金有效期已延长。</w:t>
      </w:r>
    </w:p>
    <w:p w14:paraId="38751C23">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15.6 </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保证金，满足下列要求，并</w:t>
      </w:r>
      <w:r>
        <w:rPr>
          <w:rFonts w:hint="eastAsia" w:ascii="宋体" w:hAnsi="宋体" w:eastAsia="宋体" w:cs="宋体"/>
          <w:color w:val="auto"/>
          <w:sz w:val="21"/>
          <w:szCs w:val="21"/>
          <w:highlight w:val="none"/>
          <w:lang w:val="zh-CN" w:eastAsia="zh-CN"/>
        </w:rPr>
        <w:t>最迟应</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本项目的书面</w:t>
      </w:r>
      <w:r>
        <w:rPr>
          <w:rFonts w:hint="eastAsia" w:ascii="宋体" w:hAnsi="宋体" w:eastAsia="宋体" w:cs="宋体"/>
          <w:color w:val="auto"/>
          <w:sz w:val="21"/>
          <w:szCs w:val="21"/>
          <w:highlight w:val="none"/>
          <w:lang w:val="zh-CN"/>
        </w:rPr>
        <w:t>合同签订后5日内退还。</w:t>
      </w:r>
    </w:p>
    <w:p w14:paraId="61911D51">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人提交了履约担保；</w:t>
      </w:r>
    </w:p>
    <w:p w14:paraId="6F8C42DD">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（2）在</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过程中不存在违反本</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rPr>
        <w:t>文件</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zh-CN"/>
        </w:rPr>
        <w:t>有关法律、法规、规章相关规定的行为。</w:t>
      </w:r>
    </w:p>
    <w:p w14:paraId="4AE5B54D">
      <w:pPr>
        <w:pStyle w:val="107"/>
        <w:spacing w:line="360" w:lineRule="auto"/>
        <w:jc w:val="both"/>
        <w:rPr>
          <w:rFonts w:hint="eastAsia" w:ascii="宋体" w:hAnsi="宋体" w:eastAsia="宋体" w:cs="宋体"/>
          <w:color w:val="auto"/>
          <w:sz w:val="21"/>
          <w:szCs w:val="21"/>
          <w:highlight w:val="none"/>
          <w:lang w:val="zh-CN"/>
        </w:rPr>
      </w:pPr>
    </w:p>
    <w:p w14:paraId="05699CEB">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15.7 若发生下列情况，</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人在书面通知</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人）后有权不予退还</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rPr>
        <w:t>保证金：</w:t>
      </w:r>
    </w:p>
    <w:p w14:paraId="4F04F2FE">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如果</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（或</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w:t>
      </w:r>
    </w:p>
    <w:p w14:paraId="7FA223DA">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rPr>
        <w:t>在规定的</w:t>
      </w:r>
      <w:r>
        <w:rPr>
          <w:rFonts w:hint="eastAsia" w:ascii="宋体" w:hAnsi="宋体" w:cs="宋体"/>
          <w:color w:val="auto"/>
          <w:sz w:val="21"/>
          <w:szCs w:val="21"/>
          <w:highlight w:val="none"/>
          <w:lang w:val="en-US" w:eastAsia="zh-CN"/>
        </w:rPr>
        <w:t>递交响应文件</w:t>
      </w:r>
      <w:r>
        <w:rPr>
          <w:rFonts w:hint="eastAsia" w:ascii="宋体" w:hAnsi="宋体" w:eastAsia="宋体" w:cs="宋体"/>
          <w:color w:val="auto"/>
          <w:sz w:val="21"/>
          <w:szCs w:val="21"/>
          <w:highlight w:val="none"/>
          <w:lang w:val="zh-CN"/>
        </w:rPr>
        <w:t>截止时间后至</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有效期满之前撤销或修改其</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w:t>
      </w:r>
    </w:p>
    <w:p w14:paraId="7062C339">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人未能在规定期限内提交履约担保；</w:t>
      </w:r>
    </w:p>
    <w:p w14:paraId="772E020F">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（3）未根据第34条规定签署合同；</w:t>
      </w:r>
    </w:p>
    <w:p w14:paraId="67306515">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项目转让给他人，或者在</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文件中未说明，且未经</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人同意，将</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rPr>
        <w:t>项目的合同的</w:t>
      </w:r>
    </w:p>
    <w:p w14:paraId="5E02DE25">
      <w:pPr>
        <w:pStyle w:val="107"/>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权利义务转让给第三方的；</w:t>
      </w:r>
    </w:p>
    <w:p w14:paraId="58C23FF9">
      <w:pPr>
        <w:pStyle w:val="107"/>
        <w:spacing w:line="360" w:lineRule="auto"/>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（5）提供虚假</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rPr>
        <w:t>文件或虚假补充文件的，或违反有关法律、法规、规章相关规定的行为。</w:t>
      </w:r>
    </w:p>
    <w:p w14:paraId="4FEAFD5E">
      <w:pPr>
        <w:pStyle w:val="107"/>
        <w:spacing w:line="360" w:lineRule="auto"/>
        <w:jc w:val="both"/>
        <w:rPr>
          <w:rFonts w:hint="eastAsia" w:ascii="宋体" w:hAnsi="宋体" w:eastAsia="宋体" w:cs="宋体"/>
          <w:color w:val="auto"/>
          <w:highlight w:val="none"/>
          <w:lang w:val="zh-CN"/>
        </w:rPr>
      </w:pPr>
    </w:p>
    <w:p w14:paraId="0B1C26A2">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7" w:name="_Toc7692"/>
      <w:r>
        <w:rPr>
          <w:rFonts w:hint="eastAsia" w:ascii="宋体" w:hAnsi="宋体" w:eastAsia="宋体" w:cs="宋体"/>
          <w:color w:val="auto"/>
          <w:kern w:val="2"/>
          <w:sz w:val="21"/>
          <w:szCs w:val="21"/>
          <w:highlight w:val="none"/>
          <w:lang w:val="zh-CN"/>
        </w:rPr>
        <w:t>16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有效期</w:t>
      </w:r>
      <w:bookmarkEnd w:id="75"/>
      <w:bookmarkEnd w:id="76"/>
      <w:bookmarkEnd w:id="77"/>
    </w:p>
    <w:p w14:paraId="1262C12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16.1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u w:val="single"/>
          <w:lang w:val="zh-CN"/>
        </w:rPr>
        <w:t>响应文件将在递交响应文件截止时间届满后90日内有效。</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有效期比规定时间短的</w:t>
      </w:r>
      <w:r>
        <w:rPr>
          <w:rFonts w:hint="eastAsia" w:ascii="宋体" w:hAnsi="宋体" w:cs="宋体"/>
          <w:b/>
          <w:bCs/>
          <w:color w:val="auto"/>
          <w:kern w:val="2"/>
          <w:sz w:val="21"/>
          <w:szCs w:val="21"/>
          <w:highlight w:val="none"/>
          <w:u w:val="single"/>
          <w:lang w:val="en-US" w:eastAsia="zh-CN"/>
        </w:rPr>
        <w:t>按无效响应文件处理</w:t>
      </w:r>
      <w:r>
        <w:rPr>
          <w:rFonts w:hint="eastAsia" w:ascii="宋体" w:hAnsi="宋体" w:eastAsia="宋体" w:cs="宋体"/>
          <w:b/>
          <w:bCs/>
          <w:color w:val="auto"/>
          <w:kern w:val="2"/>
          <w:sz w:val="21"/>
          <w:szCs w:val="21"/>
          <w:highlight w:val="none"/>
          <w:lang w:val="zh-CN"/>
        </w:rPr>
        <w:t>。</w:t>
      </w:r>
    </w:p>
    <w:p w14:paraId="158D2E40">
      <w:pPr>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成交人的响应文件作为合同附件，合同失效时同时失效。</w:t>
      </w:r>
    </w:p>
    <w:p w14:paraId="21BA5F1E">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16.3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在特殊情况下，采购代理机构可于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有效期满之前要求供应商同意延长</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有效期。要求与答复均应为书面形式往来。供应商可以拒绝上述要求</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人将退还其</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保证金。对于同意该要求的</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，既不要求也不允许其修改</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文件，但将要求其相应延长</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保证金的有效期。第15条</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保证金的有关规定在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保证金延长期内仍适用。</w:t>
      </w:r>
    </w:p>
    <w:p w14:paraId="34AFCE78">
      <w:pPr>
        <w:spacing w:line="360" w:lineRule="auto"/>
        <w:ind w:left="567" w:hanging="567"/>
        <w:jc w:val="both"/>
        <w:rPr>
          <w:rFonts w:hint="eastAsia" w:ascii="宋体" w:hAnsi="宋体" w:eastAsia="宋体" w:cs="宋体"/>
          <w:color w:val="auto"/>
          <w:kern w:val="2"/>
          <w:sz w:val="21"/>
          <w:szCs w:val="21"/>
          <w:highlight w:val="none"/>
          <w:lang w:val="zh-CN"/>
        </w:rPr>
      </w:pPr>
    </w:p>
    <w:p w14:paraId="069F8A51">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78" w:name="_Toc521918084"/>
      <w:bookmarkStart w:id="79" w:name="_Toc450662866"/>
      <w:bookmarkStart w:id="80" w:name="_Toc25421"/>
      <w:r>
        <w:rPr>
          <w:rFonts w:hint="eastAsia" w:ascii="宋体" w:hAnsi="宋体" w:eastAsia="宋体" w:cs="宋体"/>
          <w:color w:val="auto"/>
          <w:kern w:val="2"/>
          <w:sz w:val="21"/>
          <w:szCs w:val="21"/>
          <w:highlight w:val="none"/>
          <w:lang w:val="zh-CN"/>
        </w:rPr>
        <w:t>17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响应文件的式样和签署</w:t>
      </w:r>
      <w:bookmarkEnd w:id="78"/>
      <w:bookmarkEnd w:id="79"/>
      <w:bookmarkEnd w:id="80"/>
    </w:p>
    <w:p w14:paraId="227C9F8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供应商应准备一份响应文件电子文件、一份正本和</w:t>
      </w:r>
      <w:r>
        <w:rPr>
          <w:rFonts w:hint="eastAsia" w:ascii="宋体" w:hAnsi="宋体" w:cs="宋体"/>
          <w:b/>
          <w:color w:val="auto"/>
          <w:kern w:val="2"/>
          <w:sz w:val="21"/>
          <w:szCs w:val="21"/>
          <w:highlight w:val="none"/>
          <w:u w:val="single"/>
          <w:lang w:val="en-US" w:eastAsia="zh-CN"/>
        </w:rPr>
        <w:t>五</w:t>
      </w:r>
      <w:r>
        <w:rPr>
          <w:rFonts w:hint="eastAsia" w:ascii="宋体" w:hAnsi="宋体" w:eastAsia="宋体" w:cs="宋体"/>
          <w:b/>
          <w:color w:val="auto"/>
          <w:kern w:val="2"/>
          <w:sz w:val="21"/>
          <w:szCs w:val="21"/>
          <w:highlight w:val="none"/>
          <w:u w:val="single"/>
          <w:lang w:val="zh-CN"/>
        </w:rPr>
        <w:t>份副本“响应文件”</w:t>
      </w:r>
      <w:r>
        <w:rPr>
          <w:rFonts w:hint="eastAsia" w:ascii="宋体" w:hAnsi="宋体" w:eastAsia="宋体" w:cs="宋体"/>
          <w:color w:val="auto"/>
          <w:kern w:val="2"/>
          <w:sz w:val="21"/>
          <w:szCs w:val="21"/>
          <w:highlight w:val="none"/>
          <w:lang w:val="zh-CN"/>
        </w:rPr>
        <w:t>。在每一份响应文件上编上目录（目录内的页码必须与实际内容对应）、页次，装订成册（不允许使用活页夹），并要明确注明 “正本”或“副本”，一旦正本和副本发现差异，以正本为准。</w:t>
      </w:r>
    </w:p>
    <w:p w14:paraId="272A000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lang w:val="zh-CN"/>
        </w:rPr>
        <w:t>响应文件正本和副本须打印或用不褪色墨水书写，竞争性磋商文件提供的格式文件或响应文件中</w:t>
      </w:r>
      <w:r>
        <w:rPr>
          <w:rFonts w:hint="eastAsia" w:ascii="宋体" w:hAnsi="宋体" w:eastAsia="宋体" w:cs="宋体"/>
          <w:color w:val="auto"/>
          <w:kern w:val="2"/>
          <w:sz w:val="21"/>
          <w:szCs w:val="21"/>
          <w:highlight w:val="none"/>
          <w:lang w:val="zh-CN"/>
        </w:rPr>
        <w:t>明确要求签署的，</w:t>
      </w:r>
      <w:r>
        <w:rPr>
          <w:rFonts w:hint="eastAsia" w:ascii="宋体" w:hAnsi="宋体" w:cs="宋体"/>
          <w:color w:val="auto"/>
          <w:kern w:val="2"/>
          <w:sz w:val="21"/>
          <w:szCs w:val="21"/>
          <w:highlight w:val="none"/>
          <w:lang w:val="en-US" w:eastAsia="zh-CN"/>
        </w:rPr>
        <w:t>由供应商法定代表人或其授权代表签字（或盖私章），后者须将“法定代表人授权书”以书面形式附在响应文件中。副本文件可由正本文件复印而成。</w:t>
      </w:r>
    </w:p>
    <w:p w14:paraId="392F3462">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color w:val="auto"/>
          <w:kern w:val="2"/>
          <w:sz w:val="21"/>
          <w:szCs w:val="21"/>
          <w:highlight w:val="none"/>
          <w:lang w:val="zh-CN"/>
        </w:rPr>
        <w:t>17.3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除供应商对错处作必要修改外，响应文件中不许有加行、涂抹或改写。</w:t>
      </w:r>
      <w:r>
        <w:rPr>
          <w:rFonts w:hint="eastAsia" w:ascii="宋体" w:hAnsi="宋体" w:eastAsia="宋体" w:cs="宋体"/>
          <w:bCs/>
          <w:color w:val="auto"/>
          <w:kern w:val="2"/>
          <w:sz w:val="21"/>
          <w:szCs w:val="21"/>
          <w:highlight w:val="none"/>
          <w:lang w:val="zh-CN"/>
        </w:rPr>
        <w:t>若有修改须由签署响应文件的人进行签字（或盖私章），并加盖供应商法人公章。</w:t>
      </w:r>
    </w:p>
    <w:p w14:paraId="3EDC10B7">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bCs/>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17.4 响应文件的封面应注明“项目名称、采购编号、供应商名称、</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日期等”。</w:t>
      </w:r>
    </w:p>
    <w:p w14:paraId="3F15FEEE">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b w:val="0"/>
          <w:bCs w:val="0"/>
          <w:color w:val="auto"/>
          <w:kern w:val="2"/>
          <w:sz w:val="21"/>
          <w:szCs w:val="21"/>
          <w:highlight w:val="none"/>
          <w:lang w:val="zh-CN"/>
        </w:rPr>
      </w:pPr>
      <w:r>
        <w:rPr>
          <w:rFonts w:hint="eastAsia" w:ascii="宋体" w:hAnsi="宋体" w:eastAsia="宋体" w:cs="宋体"/>
          <w:color w:val="auto"/>
          <w:kern w:val="2"/>
          <w:sz w:val="21"/>
          <w:szCs w:val="21"/>
          <w:highlight w:val="none"/>
          <w:lang w:val="zh-CN"/>
        </w:rPr>
        <w:t>17.5</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rPr>
        <w:t>电子文件：电子文件不可设置密码，用DVD或CD-R光盘</w:t>
      </w:r>
      <w:r>
        <w:rPr>
          <w:rFonts w:hint="eastAsia" w:ascii="宋体" w:hAnsi="宋体" w:eastAsia="宋体" w:cs="宋体"/>
          <w:b w:val="0"/>
          <w:bCs w:val="0"/>
          <w:color w:val="auto"/>
          <w:kern w:val="2"/>
          <w:sz w:val="21"/>
          <w:szCs w:val="21"/>
          <w:highlight w:val="none"/>
          <w:u w:val="none"/>
          <w:lang w:val="en-US" w:eastAsia="zh-CN"/>
        </w:rPr>
        <w:t>或U盘</w:t>
      </w:r>
      <w:r>
        <w:rPr>
          <w:rFonts w:hint="eastAsia" w:ascii="宋体" w:hAnsi="宋体" w:eastAsia="宋体" w:cs="宋体"/>
          <w:b w:val="0"/>
          <w:bCs w:val="0"/>
          <w:color w:val="auto"/>
          <w:kern w:val="2"/>
          <w:sz w:val="21"/>
          <w:szCs w:val="21"/>
          <w:highlight w:val="none"/>
          <w:u w:val="none"/>
          <w:lang w:val="zh-CN"/>
        </w:rPr>
        <w:t>储存 ，并</w:t>
      </w:r>
      <w:r>
        <w:rPr>
          <w:rFonts w:hint="eastAsia" w:ascii="宋体" w:hAnsi="宋体" w:eastAsia="宋体" w:cs="宋体"/>
          <w:b w:val="0"/>
          <w:bCs w:val="0"/>
          <w:color w:val="auto"/>
          <w:kern w:val="2"/>
          <w:sz w:val="21"/>
          <w:szCs w:val="21"/>
          <w:highlight w:val="none"/>
          <w:u w:val="none"/>
          <w:lang w:val="en-US" w:eastAsia="zh-CN"/>
        </w:rPr>
        <w:t>独立</w:t>
      </w:r>
      <w:r>
        <w:rPr>
          <w:rFonts w:hint="eastAsia" w:ascii="宋体" w:hAnsi="宋体" w:eastAsia="宋体" w:cs="宋体"/>
          <w:b w:val="0"/>
          <w:bCs w:val="0"/>
          <w:color w:val="auto"/>
          <w:kern w:val="2"/>
          <w:sz w:val="21"/>
          <w:szCs w:val="21"/>
          <w:highlight w:val="none"/>
          <w:u w:val="none"/>
          <w:lang w:val="zh-CN"/>
        </w:rPr>
        <w:t>密封（电子文件的包装封面需注明项目名称、采购编号、供应商名称，并加盖供应商法人公章）。</w:t>
      </w:r>
    </w:p>
    <w:p w14:paraId="20CE9632">
      <w:pPr>
        <w:keepNext w:val="0"/>
        <w:keepLines w:val="0"/>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17.6</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电报、电传、传真的</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概不接受。</w:t>
      </w:r>
      <w:bookmarkStart w:id="81" w:name="_Toc450662867"/>
    </w:p>
    <w:p w14:paraId="04774ACE">
      <w:pPr>
        <w:spacing w:line="360" w:lineRule="auto"/>
        <w:ind w:left="567" w:hanging="567"/>
        <w:jc w:val="both"/>
        <w:rPr>
          <w:rFonts w:hint="eastAsia" w:ascii="宋体" w:hAnsi="宋体" w:eastAsia="宋体" w:cs="宋体"/>
          <w:color w:val="auto"/>
          <w:kern w:val="2"/>
          <w:sz w:val="21"/>
          <w:szCs w:val="21"/>
          <w:highlight w:val="none"/>
          <w:lang w:val="zh-CN"/>
        </w:rPr>
      </w:pPr>
    </w:p>
    <w:p w14:paraId="7177AAF9">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82" w:name="_Toc521918085"/>
      <w:bookmarkStart w:id="83" w:name="_Toc4448"/>
      <w:r>
        <w:rPr>
          <w:rFonts w:hint="eastAsia" w:ascii="宋体" w:hAnsi="宋体" w:eastAsia="宋体" w:cs="宋体"/>
          <w:b/>
          <w:bCs/>
          <w:color w:val="auto"/>
          <w:kern w:val="44"/>
          <w:sz w:val="21"/>
          <w:szCs w:val="21"/>
          <w:highlight w:val="none"/>
          <w:lang w:val="zh-CN"/>
        </w:rPr>
        <w:t>四、响应文件的递交</w:t>
      </w:r>
      <w:bookmarkEnd w:id="81"/>
      <w:bookmarkEnd w:id="82"/>
      <w:bookmarkEnd w:id="83"/>
    </w:p>
    <w:p w14:paraId="0CFD1F8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4" w:name="_Toc521918086"/>
      <w:bookmarkStart w:id="85" w:name="_Toc450662868"/>
      <w:bookmarkStart w:id="86" w:name="_Toc26006"/>
      <w:r>
        <w:rPr>
          <w:rFonts w:hint="eastAsia" w:ascii="宋体" w:hAnsi="宋体" w:eastAsia="宋体" w:cs="宋体"/>
          <w:color w:val="auto"/>
          <w:kern w:val="2"/>
          <w:sz w:val="21"/>
          <w:szCs w:val="21"/>
          <w:highlight w:val="none"/>
          <w:lang w:val="zh-CN"/>
        </w:rPr>
        <w:t>18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响应文件的密封和标记</w:t>
      </w:r>
      <w:bookmarkEnd w:id="84"/>
      <w:bookmarkEnd w:id="85"/>
      <w:bookmarkEnd w:id="86"/>
    </w:p>
    <w:p w14:paraId="6F95C94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供应商应将所有正本和副本响应文件（本处不含响应文件电子文件）密封在不透明的外层封装中。</w:t>
      </w:r>
    </w:p>
    <w:p w14:paraId="0A388F78">
      <w:pPr>
        <w:keepNext w:val="0"/>
        <w:keepLines w:val="0"/>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2 </w:t>
      </w:r>
      <w:r>
        <w:rPr>
          <w:rFonts w:hint="eastAsia" w:ascii="宋体" w:hAnsi="宋体" w:eastAsia="宋体" w:cs="宋体"/>
          <w:color w:val="auto"/>
          <w:kern w:val="2"/>
          <w:sz w:val="21"/>
          <w:szCs w:val="21"/>
          <w:highlight w:val="none"/>
          <w:lang w:val="zh-CN"/>
        </w:rPr>
        <w:t>响应文件密封封装标记：</w:t>
      </w:r>
    </w:p>
    <w:p w14:paraId="5833CA72">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（1）外层密封封装表面应正确注明项目名称、</w:t>
      </w:r>
      <w:r>
        <w:rPr>
          <w:rFonts w:hint="eastAsia" w:ascii="宋体" w:hAnsi="宋体" w:cs="宋体"/>
          <w:color w:val="auto"/>
          <w:kern w:val="2"/>
          <w:sz w:val="21"/>
          <w:szCs w:val="21"/>
          <w:highlight w:val="none"/>
          <w:lang w:val="en-US" w:eastAsia="zh-CN"/>
        </w:rPr>
        <w:t>采购</w:t>
      </w:r>
      <w:r>
        <w:rPr>
          <w:rFonts w:hint="eastAsia" w:ascii="宋体" w:hAnsi="宋体" w:eastAsia="宋体" w:cs="宋体"/>
          <w:color w:val="auto"/>
          <w:kern w:val="2"/>
          <w:sz w:val="21"/>
          <w:szCs w:val="21"/>
          <w:highlight w:val="none"/>
          <w:lang w:val="zh-CN"/>
        </w:rPr>
        <w:t>编号、</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名称、并注明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文件递交截止时间之前不得开封（在封口位置的封条上标注注明），封口位置的封条上须加盖</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法人公章；</w:t>
      </w:r>
    </w:p>
    <w:p w14:paraId="34E9E6CA">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文件已密封但不按前述标志封包，由此而引起的提前开封或错放责任由</w:t>
      </w:r>
      <w:r>
        <w:rPr>
          <w:rFonts w:hint="eastAsia" w:ascii="宋体" w:hAnsi="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承担；</w:t>
      </w:r>
    </w:p>
    <w:p w14:paraId="463728EF">
      <w:pPr>
        <w:keepNext w:val="0"/>
        <w:keepLines w:val="0"/>
        <w:pageBreakBefore w:val="0"/>
        <w:widowControl w:val="0"/>
        <w:kinsoku/>
        <w:wordWrap/>
        <w:overflowPunct/>
        <w:topLinePunct w:val="0"/>
        <w:autoSpaceDE w:val="0"/>
        <w:autoSpaceDN w:val="0"/>
        <w:bidi w:val="0"/>
        <w:adjustRightInd w:val="0"/>
        <w:snapToGrid/>
        <w:spacing w:line="360" w:lineRule="auto"/>
        <w:ind w:left="563" w:right="35"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（3）不足以造成</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文件可以从外包装内散出而导致</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文件泄密的，不认定为</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文件未密封。</w:t>
      </w:r>
    </w:p>
    <w:p w14:paraId="62E8E62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 xml:space="preserve">3 </w:t>
      </w:r>
      <w:r>
        <w:rPr>
          <w:rFonts w:hint="eastAsia" w:ascii="宋体" w:hAnsi="宋体" w:eastAsia="宋体" w:cs="宋体"/>
          <w:b/>
          <w:bCs/>
          <w:color w:val="auto"/>
          <w:kern w:val="2"/>
          <w:sz w:val="21"/>
          <w:szCs w:val="21"/>
          <w:highlight w:val="none"/>
          <w:u w:val="single"/>
          <w:lang w:val="zh-CN"/>
        </w:rPr>
        <w:t>如果密封封装未按本款规定密封和标记，采购代理机构对响应文件的误投或提前拆封不负责任。对由此造成提前开封的响应文件，采购代理机构予以拒绝，并退回供应商</w:t>
      </w:r>
      <w:r>
        <w:rPr>
          <w:rFonts w:hint="eastAsia" w:ascii="宋体" w:hAnsi="宋体" w:eastAsia="宋体" w:cs="宋体"/>
          <w:b/>
          <w:bCs/>
          <w:color w:val="auto"/>
          <w:kern w:val="2"/>
          <w:sz w:val="21"/>
          <w:szCs w:val="21"/>
          <w:highlight w:val="none"/>
          <w:lang w:val="zh-CN"/>
        </w:rPr>
        <w:t>。</w:t>
      </w:r>
    </w:p>
    <w:p w14:paraId="3FFDFF80">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18.</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开启响应文件</w:t>
      </w:r>
      <w:r>
        <w:rPr>
          <w:rFonts w:hint="eastAsia" w:ascii="宋体" w:hAnsi="宋体" w:eastAsia="宋体" w:cs="宋体"/>
          <w:color w:val="auto"/>
          <w:kern w:val="2"/>
          <w:sz w:val="21"/>
          <w:szCs w:val="21"/>
          <w:highlight w:val="none"/>
          <w:lang w:val="zh-CN"/>
        </w:rPr>
        <w:t>前，由供应商代表（第一位递交响应文件的供应商代表及主动自愿参与检查的供应商代表）和采购人代表将对所有的响应文件的密封性进行检查，并签署进行确认。</w:t>
      </w:r>
    </w:p>
    <w:p w14:paraId="350A726B">
      <w:pPr>
        <w:keepNext w:val="0"/>
        <w:keepLines w:val="0"/>
        <w:pageBreakBefore w:val="0"/>
        <w:widowControl w:val="0"/>
        <w:kinsoku/>
        <w:wordWrap/>
        <w:overflowPunct/>
        <w:topLinePunct w:val="0"/>
        <w:autoSpaceDE w:val="0"/>
        <w:autoSpaceDN w:val="0"/>
        <w:bidi w:val="0"/>
        <w:adjustRightInd w:val="0"/>
        <w:snapToGrid/>
        <w:spacing w:line="360" w:lineRule="auto"/>
        <w:ind w:left="523" w:leftChars="-1" w:right="18" w:hanging="525" w:hangingChars="250"/>
        <w:jc w:val="both"/>
        <w:textAlignment w:val="auto"/>
        <w:rPr>
          <w:rFonts w:hint="eastAsia" w:ascii="宋体" w:hAnsi="宋体" w:eastAsia="宋体" w:cs="宋体"/>
          <w:color w:val="auto"/>
          <w:kern w:val="2"/>
          <w:sz w:val="21"/>
          <w:szCs w:val="21"/>
          <w:highlight w:val="none"/>
          <w:lang w:val="zh-CN"/>
        </w:rPr>
      </w:pPr>
    </w:p>
    <w:p w14:paraId="3ACB7CC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87" w:name="_Toc450662869"/>
      <w:bookmarkStart w:id="88" w:name="_Toc521918087"/>
      <w:bookmarkStart w:id="89" w:name="_Toc1491"/>
      <w:r>
        <w:rPr>
          <w:rFonts w:hint="eastAsia" w:ascii="宋体" w:hAnsi="宋体" w:eastAsia="宋体" w:cs="宋体"/>
          <w:color w:val="auto"/>
          <w:kern w:val="2"/>
          <w:sz w:val="21"/>
          <w:szCs w:val="21"/>
          <w:highlight w:val="none"/>
          <w:lang w:val="zh-CN"/>
        </w:rPr>
        <w:t>19</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递交响应文件的截止日期</w:t>
      </w:r>
      <w:bookmarkEnd w:id="87"/>
      <w:bookmarkEnd w:id="88"/>
      <w:bookmarkEnd w:id="89"/>
    </w:p>
    <w:p w14:paraId="758E0A7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采购代理机构收到响应文件的时间不得迟于第一篇“竞争性磋商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zh-CN"/>
        </w:rPr>
        <w:t>”中规定的截止时间。</w:t>
      </w:r>
    </w:p>
    <w:p w14:paraId="4FA508C3">
      <w:pPr>
        <w:keepNext w:val="0"/>
        <w:keepLines w:val="0"/>
        <w:pageBreakBefore w:val="0"/>
        <w:widowControl w:val="0"/>
        <w:kinsoku/>
        <w:wordWrap/>
        <w:overflowPunct/>
        <w:topLinePunct w:val="0"/>
        <w:autoSpaceDE w:val="0"/>
        <w:autoSpaceDN w:val="0"/>
        <w:bidi w:val="0"/>
        <w:adjustRightInd w:val="0"/>
        <w:snapToGrid/>
        <w:spacing w:line="360" w:lineRule="auto"/>
        <w:ind w:left="567"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19.2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采购代理机构可按照第7条的规定修改竞争性磋商文件并酌情延长递交响应文件的截止时间，因此，已规定的采购代理机构和供应商的一切权利和义务将按延期后的递交响应文件截止时间履行。</w:t>
      </w:r>
    </w:p>
    <w:p w14:paraId="66F7384F">
      <w:pPr>
        <w:spacing w:line="360" w:lineRule="auto"/>
        <w:ind w:left="567" w:hanging="567"/>
        <w:jc w:val="both"/>
        <w:rPr>
          <w:rFonts w:hint="eastAsia" w:ascii="宋体" w:hAnsi="宋体" w:eastAsia="宋体" w:cs="宋体"/>
          <w:color w:val="auto"/>
          <w:kern w:val="2"/>
          <w:sz w:val="21"/>
          <w:szCs w:val="21"/>
          <w:highlight w:val="none"/>
          <w:lang w:val="zh-CN"/>
        </w:rPr>
      </w:pPr>
    </w:p>
    <w:p w14:paraId="6AC5239D">
      <w:pPr>
        <w:tabs>
          <w:tab w:val="left" w:pos="567"/>
        </w:tabs>
        <w:spacing w:line="360" w:lineRule="auto"/>
        <w:ind w:left="567" w:hanging="567"/>
        <w:jc w:val="both"/>
        <w:outlineLvl w:val="2"/>
        <w:rPr>
          <w:rFonts w:hint="eastAsia" w:ascii="宋体" w:hAnsi="宋体" w:eastAsia="宋体" w:cs="宋体"/>
          <w:color w:val="auto"/>
          <w:highlight w:val="none"/>
        </w:rPr>
      </w:pPr>
      <w:bookmarkStart w:id="90" w:name="_Toc450662870"/>
      <w:bookmarkStart w:id="91" w:name="_Toc521918088"/>
      <w:bookmarkStart w:id="92" w:name="_Toc26095"/>
      <w:r>
        <w:rPr>
          <w:rFonts w:hint="eastAsia" w:ascii="宋体" w:hAnsi="宋体" w:eastAsia="宋体" w:cs="宋体"/>
          <w:color w:val="auto"/>
          <w:kern w:val="2"/>
          <w:sz w:val="21"/>
          <w:szCs w:val="21"/>
          <w:highlight w:val="none"/>
          <w:lang w:val="zh-CN"/>
        </w:rPr>
        <w:t>20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迟交的</w:t>
      </w:r>
      <w:bookmarkEnd w:id="90"/>
      <w:bookmarkEnd w:id="91"/>
      <w:r>
        <w:rPr>
          <w:rFonts w:hint="eastAsia" w:ascii="宋体" w:hAnsi="宋体" w:eastAsia="宋体" w:cs="宋体"/>
          <w:color w:val="auto"/>
          <w:kern w:val="2"/>
          <w:sz w:val="21"/>
          <w:szCs w:val="21"/>
          <w:highlight w:val="none"/>
          <w:lang w:val="zh-CN"/>
        </w:rPr>
        <w:t>响应文件</w:t>
      </w:r>
      <w:bookmarkEnd w:id="92"/>
    </w:p>
    <w:p w14:paraId="412D6AE5">
      <w:pPr>
        <w:spacing w:line="360" w:lineRule="auto"/>
        <w:ind w:firstLine="525" w:firstLine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根据第19条规定，采购代理机构将拒绝任何晚于递交响应文件的截止时间交到的响应文件。</w:t>
      </w:r>
    </w:p>
    <w:p w14:paraId="4F6832AE">
      <w:pPr>
        <w:spacing w:line="360" w:lineRule="auto"/>
        <w:ind w:firstLine="525" w:firstLineChars="250"/>
        <w:jc w:val="both"/>
        <w:rPr>
          <w:rFonts w:hint="eastAsia" w:ascii="宋体" w:hAnsi="宋体" w:eastAsia="宋体" w:cs="宋体"/>
          <w:color w:val="auto"/>
          <w:kern w:val="2"/>
          <w:sz w:val="21"/>
          <w:szCs w:val="21"/>
          <w:highlight w:val="none"/>
          <w:lang w:val="zh-CN"/>
        </w:rPr>
      </w:pPr>
    </w:p>
    <w:p w14:paraId="5DC59FB4">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93" w:name="_Toc521918089"/>
      <w:bookmarkStart w:id="94" w:name="_Toc450662871"/>
      <w:bookmarkStart w:id="95" w:name="_Toc31955"/>
      <w:r>
        <w:rPr>
          <w:rFonts w:hint="eastAsia" w:ascii="宋体" w:hAnsi="宋体" w:eastAsia="宋体" w:cs="宋体"/>
          <w:color w:val="auto"/>
          <w:kern w:val="2"/>
          <w:sz w:val="21"/>
          <w:szCs w:val="21"/>
          <w:highlight w:val="none"/>
          <w:lang w:val="zh-CN"/>
        </w:rPr>
        <w:t>21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响应文件的修改和撤回</w:t>
      </w:r>
      <w:bookmarkEnd w:id="93"/>
      <w:bookmarkEnd w:id="94"/>
      <w:bookmarkEnd w:id="95"/>
    </w:p>
    <w:p w14:paraId="50CF8BB8">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供应商在提交响应文件后可对其响应文件进行修改或撤回，但采购代理机构须在提交响应文件截止日期前收到该修改或撤回的书面通知。</w:t>
      </w:r>
    </w:p>
    <w:p w14:paraId="340CD330">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供应商对响应文件的修改或撤回的通知应按第17条和第18条规定进行准备、密封、标注和递送。</w:t>
      </w:r>
    </w:p>
    <w:p w14:paraId="1E2DA8A4">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21.3</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递交响应文件截止时间后不得修改响应文件。</w:t>
      </w:r>
    </w:p>
    <w:p w14:paraId="22604186">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21.4</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供应商不得在递交响应文件截止时间起至第16条规定的响应文件有效期期满前撤销响应文件</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否则采购人将按15.7款（1）规定不予退还其磋商保证金。</w:t>
      </w:r>
    </w:p>
    <w:p w14:paraId="7C3BC12E">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p>
    <w:p w14:paraId="7DF3170B">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en-US" w:eastAsia="zh-CN"/>
        </w:rPr>
      </w:pPr>
      <w:bookmarkStart w:id="96" w:name="_Toc521918090"/>
      <w:bookmarkStart w:id="97" w:name="_Toc450662872"/>
      <w:bookmarkStart w:id="98" w:name="_Toc25968"/>
      <w:r>
        <w:rPr>
          <w:rFonts w:hint="eastAsia" w:ascii="宋体" w:hAnsi="宋体" w:eastAsia="宋体" w:cs="宋体"/>
          <w:b/>
          <w:bCs/>
          <w:color w:val="auto"/>
          <w:kern w:val="44"/>
          <w:sz w:val="21"/>
          <w:szCs w:val="21"/>
          <w:highlight w:val="none"/>
          <w:lang w:val="zh-CN"/>
        </w:rPr>
        <w:t>五、</w:t>
      </w:r>
      <w:bookmarkEnd w:id="96"/>
      <w:bookmarkEnd w:id="97"/>
      <w:r>
        <w:rPr>
          <w:rFonts w:hint="eastAsia" w:ascii="宋体" w:hAnsi="宋体" w:eastAsia="宋体" w:cs="宋体"/>
          <w:b/>
          <w:bCs/>
          <w:color w:val="auto"/>
          <w:kern w:val="44"/>
          <w:sz w:val="21"/>
          <w:szCs w:val="21"/>
          <w:highlight w:val="none"/>
          <w:lang w:val="en-US" w:eastAsia="zh-CN"/>
        </w:rPr>
        <w:t>竞争性磋商流程</w:t>
      </w:r>
      <w:bookmarkEnd w:id="98"/>
    </w:p>
    <w:p w14:paraId="6898E01B">
      <w:pPr>
        <w:tabs>
          <w:tab w:val="left" w:pos="567"/>
        </w:tabs>
        <w:spacing w:line="360" w:lineRule="auto"/>
        <w:ind w:left="567" w:hanging="567"/>
        <w:jc w:val="both"/>
        <w:outlineLvl w:val="2"/>
        <w:rPr>
          <w:rFonts w:hint="default" w:ascii="宋体" w:hAnsi="宋体" w:eastAsia="宋体" w:cs="宋体"/>
          <w:color w:val="auto"/>
          <w:kern w:val="2"/>
          <w:sz w:val="21"/>
          <w:szCs w:val="21"/>
          <w:highlight w:val="none"/>
          <w:lang w:val="en-US" w:eastAsia="zh-CN"/>
        </w:rPr>
      </w:pPr>
      <w:bookmarkStart w:id="99" w:name="_Toc27377"/>
      <w:bookmarkStart w:id="100" w:name="_Toc17049"/>
      <w:bookmarkStart w:id="101" w:name="_Toc11614"/>
      <w:r>
        <w:rPr>
          <w:rFonts w:hint="eastAsia" w:ascii="宋体" w:hAnsi="宋体" w:eastAsia="宋体" w:cs="宋体"/>
          <w:color w:val="auto"/>
          <w:kern w:val="2"/>
          <w:sz w:val="21"/>
          <w:szCs w:val="21"/>
          <w:highlight w:val="none"/>
          <w:lang w:val="zh-CN"/>
        </w:rPr>
        <w:t>22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响应文件</w:t>
      </w:r>
      <w:r>
        <w:rPr>
          <w:rFonts w:hint="eastAsia" w:ascii="宋体" w:hAnsi="宋体" w:cs="宋体"/>
          <w:color w:val="auto"/>
          <w:kern w:val="2"/>
          <w:sz w:val="21"/>
          <w:szCs w:val="21"/>
          <w:highlight w:val="none"/>
          <w:lang w:val="en-US" w:eastAsia="zh-CN"/>
        </w:rPr>
        <w:t>密封性检查</w:t>
      </w:r>
      <w:bookmarkEnd w:id="99"/>
    </w:p>
    <w:p w14:paraId="73C89AEB">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采购代理机构在供应商代表自愿出席的情况下，在第一篇“竞争性磋商</w:t>
      </w:r>
      <w:r>
        <w:rPr>
          <w:rFonts w:hint="eastAsia" w:ascii="宋体" w:hAnsi="宋体" w:cs="宋体"/>
          <w:color w:val="auto"/>
          <w:kern w:val="2"/>
          <w:sz w:val="21"/>
          <w:szCs w:val="21"/>
          <w:highlight w:val="none"/>
          <w:lang w:val="en-US" w:eastAsia="zh-CN"/>
        </w:rPr>
        <w:t>公告</w:t>
      </w:r>
      <w:r>
        <w:rPr>
          <w:rFonts w:hint="eastAsia" w:ascii="宋体" w:hAnsi="宋体" w:eastAsia="宋体" w:cs="宋体"/>
          <w:color w:val="auto"/>
          <w:kern w:val="2"/>
          <w:sz w:val="21"/>
          <w:szCs w:val="21"/>
          <w:highlight w:val="none"/>
          <w:lang w:val="en-US" w:eastAsia="zh-CN"/>
        </w:rPr>
        <w:t>”规定的地点和时间</w:t>
      </w:r>
      <w:r>
        <w:rPr>
          <w:rFonts w:hint="eastAsia" w:ascii="宋体" w:hAnsi="宋体" w:cs="宋体"/>
          <w:color w:val="auto"/>
          <w:kern w:val="2"/>
          <w:sz w:val="21"/>
          <w:szCs w:val="21"/>
          <w:highlight w:val="none"/>
          <w:lang w:val="en-US" w:eastAsia="zh-CN"/>
        </w:rPr>
        <w:t>进行响应文件密封性检查</w:t>
      </w:r>
      <w:r>
        <w:rPr>
          <w:rFonts w:hint="eastAsia" w:ascii="宋体" w:hAnsi="宋体" w:eastAsia="宋体" w:cs="宋体"/>
          <w:color w:val="auto"/>
          <w:kern w:val="2"/>
          <w:sz w:val="21"/>
          <w:szCs w:val="21"/>
          <w:highlight w:val="none"/>
          <w:lang w:val="en-US" w:eastAsia="zh-CN"/>
        </w:rPr>
        <w:t>，出席代表需登记以示出席</w:t>
      </w:r>
      <w:r>
        <w:rPr>
          <w:rFonts w:hint="eastAsia" w:ascii="宋体" w:hAnsi="宋体" w:eastAsia="宋体" w:cs="宋体"/>
          <w:color w:val="auto"/>
          <w:kern w:val="2"/>
          <w:sz w:val="21"/>
          <w:szCs w:val="21"/>
          <w:highlight w:val="none"/>
          <w:lang w:val="zh-CN"/>
        </w:rPr>
        <w:t>。</w:t>
      </w:r>
    </w:p>
    <w:p w14:paraId="30DF78CD">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2" w:name="_Toc11996"/>
      <w:bookmarkStart w:id="103" w:name="_Toc1601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对</w:t>
      </w:r>
      <w:r>
        <w:rPr>
          <w:rFonts w:hint="eastAsia" w:ascii="宋体" w:hAnsi="宋体" w:cs="宋体"/>
          <w:color w:val="auto"/>
          <w:kern w:val="2"/>
          <w:sz w:val="21"/>
          <w:szCs w:val="21"/>
          <w:highlight w:val="none"/>
          <w:lang w:val="en-US" w:eastAsia="zh-CN"/>
        </w:rPr>
        <w:t>响应文件密封性检查</w:t>
      </w:r>
      <w:r>
        <w:rPr>
          <w:rFonts w:hint="eastAsia" w:ascii="宋体" w:hAnsi="宋体" w:eastAsia="宋体" w:cs="宋体"/>
          <w:color w:val="auto"/>
          <w:kern w:val="2"/>
          <w:sz w:val="21"/>
          <w:szCs w:val="21"/>
          <w:highlight w:val="none"/>
          <w:lang w:val="zh-CN"/>
        </w:rPr>
        <w:t>有异议的，应当在</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zh-CN"/>
        </w:rPr>
        <w:t>现场提出，</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en-US" w:eastAsia="zh-CN"/>
        </w:rPr>
        <w:t>代理机构</w:t>
      </w:r>
      <w:r>
        <w:rPr>
          <w:rFonts w:hint="eastAsia" w:ascii="宋体" w:hAnsi="宋体" w:eastAsia="宋体" w:cs="宋体"/>
          <w:color w:val="auto"/>
          <w:kern w:val="2"/>
          <w:sz w:val="21"/>
          <w:szCs w:val="21"/>
          <w:highlight w:val="none"/>
          <w:lang w:val="zh-CN"/>
        </w:rPr>
        <w:t>应当当场</w:t>
      </w:r>
    </w:p>
    <w:p w14:paraId="58920D6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528" w:leftChars="220"/>
        <w:jc w:val="both"/>
        <w:textAlignment w:val="auto"/>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作出答复，并制作记录。</w:t>
      </w:r>
      <w:bookmarkEnd w:id="102"/>
      <w:bookmarkEnd w:id="103"/>
    </w:p>
    <w:p w14:paraId="0CDC26F5">
      <w:pPr>
        <w:tabs>
          <w:tab w:val="left" w:pos="567"/>
        </w:tabs>
        <w:spacing w:line="360" w:lineRule="auto"/>
        <w:ind w:left="567" w:hanging="567"/>
        <w:jc w:val="both"/>
        <w:outlineLvl w:val="9"/>
        <w:rPr>
          <w:rFonts w:hint="eastAsia" w:ascii="宋体" w:hAnsi="宋体" w:eastAsia="宋体" w:cs="宋体"/>
          <w:color w:val="auto"/>
          <w:kern w:val="2"/>
          <w:sz w:val="21"/>
          <w:szCs w:val="21"/>
          <w:highlight w:val="none"/>
          <w:lang w:val="zh-CN"/>
        </w:rPr>
      </w:pPr>
      <w:bookmarkStart w:id="104" w:name="_Toc20173"/>
      <w:bookmarkStart w:id="105" w:name="_Toc2634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color w:val="auto"/>
          <w:kern w:val="2"/>
          <w:sz w:val="21"/>
          <w:szCs w:val="21"/>
          <w:highlight w:val="none"/>
          <w:lang w:val="en-US" w:eastAsia="zh-CN"/>
        </w:rPr>
        <w:t>采购代理机构将做</w:t>
      </w:r>
      <w:r>
        <w:rPr>
          <w:rFonts w:hint="eastAsia" w:ascii="宋体" w:hAnsi="宋体" w:cs="宋体"/>
          <w:color w:val="auto"/>
          <w:kern w:val="2"/>
          <w:sz w:val="21"/>
          <w:szCs w:val="21"/>
          <w:highlight w:val="none"/>
          <w:lang w:val="en-US" w:eastAsia="zh-CN"/>
        </w:rPr>
        <w:t>密封性检查</w:t>
      </w:r>
      <w:r>
        <w:rPr>
          <w:rFonts w:hint="eastAsia" w:ascii="宋体" w:hAnsi="宋体" w:eastAsia="宋体" w:cs="宋体"/>
          <w:color w:val="auto"/>
          <w:kern w:val="2"/>
          <w:sz w:val="21"/>
          <w:szCs w:val="21"/>
          <w:highlight w:val="none"/>
          <w:lang w:val="en-US" w:eastAsia="zh-CN"/>
        </w:rPr>
        <w:t>记录，记录包括第22.</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en-US" w:eastAsia="zh-CN"/>
        </w:rPr>
        <w:t>款发生的异议及答复的全部内容</w:t>
      </w:r>
      <w:r>
        <w:rPr>
          <w:rFonts w:hint="eastAsia" w:ascii="宋体" w:hAnsi="宋体" w:eastAsia="宋体" w:cs="宋体"/>
          <w:color w:val="auto"/>
          <w:kern w:val="2"/>
          <w:sz w:val="21"/>
          <w:szCs w:val="21"/>
          <w:highlight w:val="none"/>
          <w:lang w:val="zh-CN"/>
        </w:rPr>
        <w:t>。</w:t>
      </w:r>
      <w:bookmarkEnd w:id="104"/>
      <w:bookmarkEnd w:id="105"/>
    </w:p>
    <w:bookmarkEnd w:id="100"/>
    <w:bookmarkEnd w:id="101"/>
    <w:p w14:paraId="090F871E">
      <w:pPr>
        <w:pageBreakBefore w:val="0"/>
        <w:widowControl w:val="0"/>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sz w:val="21"/>
          <w:szCs w:val="21"/>
          <w:highlight w:val="none"/>
        </w:rPr>
      </w:pPr>
    </w:p>
    <w:p w14:paraId="0841525D">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06" w:name="_Toc450662874"/>
      <w:bookmarkStart w:id="107" w:name="_Toc1749"/>
      <w:bookmarkStart w:id="108" w:name="_Toc521918092"/>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rPr>
        <w:t>过程的保密性</w:t>
      </w:r>
      <w:bookmarkEnd w:id="106"/>
      <w:bookmarkEnd w:id="107"/>
      <w:bookmarkEnd w:id="108"/>
    </w:p>
    <w:p w14:paraId="5CFA8E16">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递交响应文件后，直至向成交人授予合同时止，凡与审查、澄清、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评估和比较响应报价的有关资料以及意见等，均不得向供应商及与</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无关的其他人透露，否则追究有关当事人的法律责任。</w:t>
      </w:r>
    </w:p>
    <w:p w14:paraId="3A440E87">
      <w:pPr>
        <w:pageBreakBefore w:val="0"/>
        <w:widowControl w:val="0"/>
        <w:tabs>
          <w:tab w:val="left" w:pos="567"/>
        </w:tabs>
        <w:kinsoku/>
        <w:wordWrap/>
        <w:overflowPunct/>
        <w:topLinePunct w:val="0"/>
        <w:autoSpaceDE w:val="0"/>
        <w:autoSpaceDN w:val="0"/>
        <w:bidi w:val="0"/>
        <w:adjustRightInd w:val="0"/>
        <w:snapToGrid/>
        <w:spacing w:line="360" w:lineRule="auto"/>
        <w:ind w:left="567" w:right="18" w:hanging="525" w:hangingChars="25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过程中，如果供应商试图在响应文件审查、澄清、</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比较及授予合同方面向采购代理机构和采购人施加任何影响，其响应文件将被拒绝。</w:t>
      </w:r>
    </w:p>
    <w:p w14:paraId="6C86D07A">
      <w:pPr>
        <w:spacing w:line="360" w:lineRule="auto"/>
        <w:ind w:left="0" w:firstLine="0"/>
        <w:jc w:val="both"/>
        <w:rPr>
          <w:rFonts w:hint="eastAsia" w:ascii="宋体" w:hAnsi="宋体" w:eastAsia="宋体" w:cs="宋体"/>
          <w:color w:val="auto"/>
          <w:kern w:val="2"/>
          <w:sz w:val="21"/>
          <w:szCs w:val="21"/>
          <w:highlight w:val="none"/>
          <w:lang w:val="zh-CN"/>
        </w:rPr>
      </w:pPr>
    </w:p>
    <w:p w14:paraId="0E0E33AE">
      <w:pPr>
        <w:pageBreakBefore w:val="0"/>
        <w:widowControl w:val="0"/>
        <w:tabs>
          <w:tab w:val="left" w:pos="567"/>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en-US" w:eastAsia="zh-CN"/>
        </w:rPr>
      </w:pPr>
      <w:bookmarkStart w:id="109" w:name="_Toc11934"/>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磋商小组</w:t>
      </w:r>
      <w:bookmarkEnd w:id="109"/>
    </w:p>
    <w:p w14:paraId="28D74476">
      <w:pPr>
        <w:tabs>
          <w:tab w:val="left" w:pos="142"/>
        </w:tabs>
        <w:spacing w:line="360" w:lineRule="auto"/>
        <w:ind w:left="532" w:hanging="532"/>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本项目由采购</w:t>
      </w:r>
      <w:r>
        <w:rPr>
          <w:rFonts w:hint="eastAsia" w:ascii="宋体" w:hAnsi="宋体" w:cs="宋体"/>
          <w:color w:val="auto"/>
          <w:kern w:val="2"/>
          <w:sz w:val="21"/>
          <w:szCs w:val="21"/>
          <w:highlight w:val="none"/>
          <w:lang w:val="en-US" w:eastAsia="zh-CN"/>
        </w:rPr>
        <w:t>人</w:t>
      </w:r>
      <w:r>
        <w:rPr>
          <w:rFonts w:hint="eastAsia" w:ascii="宋体" w:hAnsi="宋体" w:eastAsia="宋体" w:cs="宋体"/>
          <w:color w:val="auto"/>
          <w:kern w:val="2"/>
          <w:sz w:val="21"/>
          <w:szCs w:val="21"/>
          <w:highlight w:val="none"/>
          <w:lang w:val="zh-CN"/>
        </w:rPr>
        <w:t>组建磋商小组。</w:t>
      </w:r>
    </w:p>
    <w:p w14:paraId="0683ECD5">
      <w:pPr>
        <w:tabs>
          <w:tab w:val="left" w:pos="567"/>
        </w:tabs>
        <w:spacing w:line="360" w:lineRule="auto"/>
        <w:ind w:left="567" w:hanging="567"/>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磋商小组依法根据竞争性磋商文件的规定，进行响应文件的评审，得出评审结果，并向采购人推荐成交候选人。</w:t>
      </w:r>
    </w:p>
    <w:p w14:paraId="3AF2E800">
      <w:pPr>
        <w:spacing w:line="360" w:lineRule="auto"/>
        <w:jc w:val="both"/>
        <w:rPr>
          <w:rFonts w:hint="eastAsia" w:ascii="宋体" w:hAnsi="宋体" w:eastAsia="宋体" w:cs="宋体"/>
          <w:color w:val="auto"/>
          <w:kern w:val="2"/>
          <w:sz w:val="21"/>
          <w:szCs w:val="21"/>
          <w:highlight w:val="none"/>
          <w:lang w:val="zh-CN"/>
        </w:rPr>
      </w:pPr>
    </w:p>
    <w:p w14:paraId="08C63607">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0" w:name="_Toc28048"/>
      <w:bookmarkStart w:id="111" w:name="_Toc719"/>
      <w:bookmarkStart w:id="112" w:name="_Toc32302"/>
      <w:bookmarkStart w:id="113" w:name="_Toc521918094"/>
      <w:bookmarkStart w:id="114" w:name="_Toc450662876"/>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响应文件的评审</w:t>
      </w:r>
      <w:bookmarkEnd w:id="110"/>
      <w:bookmarkEnd w:id="111"/>
      <w:bookmarkEnd w:id="112"/>
    </w:p>
    <w:p w14:paraId="1DA45B36">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.1 磋商小组根据</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须知规定的方法和“评审工作大纲”中规定的审查标准，对所有已接收的响应文件进行评审。没有规定的方法和标准不得作为评审依据。</w:t>
      </w:r>
    </w:p>
    <w:p w14:paraId="7F8DDC3D">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5B6396FE">
      <w:pPr>
        <w:tabs>
          <w:tab w:val="left" w:pos="525"/>
        </w:tabs>
        <w:spacing w:line="360" w:lineRule="auto"/>
        <w:ind w:left="567" w:hanging="567" w:firstLineChars="0"/>
        <w:jc w:val="both"/>
        <w:outlineLvl w:val="2"/>
        <w:rPr>
          <w:rFonts w:hint="eastAsia" w:ascii="宋体" w:hAnsi="宋体" w:eastAsia="宋体" w:cs="宋体"/>
          <w:color w:val="auto"/>
          <w:kern w:val="2"/>
          <w:sz w:val="21"/>
          <w:szCs w:val="21"/>
          <w:highlight w:val="none"/>
          <w:lang w:val="zh-CN" w:eastAsia="zh-CN"/>
        </w:rPr>
      </w:pPr>
      <w:bookmarkStart w:id="115" w:name="_Toc10697"/>
      <w:r>
        <w:rPr>
          <w:rFonts w:hint="eastAsia" w:ascii="宋体" w:hAnsi="宋体" w:eastAsia="宋体" w:cs="宋体"/>
          <w:color w:val="auto"/>
          <w:kern w:val="2"/>
          <w:sz w:val="21"/>
          <w:szCs w:val="21"/>
          <w:highlight w:val="none"/>
          <w:lang w:val="zh-CN" w:eastAsia="zh-CN"/>
        </w:rPr>
        <w:t>26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eastAsia="zh-CN"/>
        </w:rPr>
        <w:t>响应文件的澄清</w:t>
      </w:r>
      <w:bookmarkEnd w:id="115"/>
    </w:p>
    <w:p w14:paraId="69F2AE9B">
      <w:pPr>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 xml:space="preserve"> 对响应文件中含义不明确、同类问题表述不一致或者有明显文字和计算错误的内容，磋商小组可以书面形式（应当由磋商小组专家签字）要求供应商作出必要的澄清、说明或者纠正。供应商的澄清、说明或者补正应当采用书面形式，由其授权的代表签字，并不得超出响应文件的范围或者改变响应文件的实质性内容。</w:t>
      </w:r>
    </w:p>
    <w:p w14:paraId="167AFDB4">
      <w:pPr>
        <w:autoSpaceDE/>
        <w:autoSpaceDN/>
        <w:adjustRightInd/>
        <w:spacing w:line="360" w:lineRule="auto"/>
        <w:ind w:left="525" w:leftChars="0" w:right="0" w:rightChars="0" w:hanging="525" w:hangingChars="25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zh-CN"/>
        </w:rPr>
        <w:t xml:space="preserve">26.2 </w:t>
      </w:r>
      <w:r>
        <w:rPr>
          <w:rFonts w:hint="eastAsia" w:ascii="宋体" w:hAnsi="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eastAsia="zh-CN"/>
        </w:rPr>
        <w:t>当天</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法定代表人或法定代表人授权书列明的被授权人的联系电话应保持开机状态，以便在</w:t>
      </w:r>
      <w:r>
        <w:rPr>
          <w:rFonts w:hint="eastAsia" w:ascii="宋体" w:hAnsi="宋体" w:eastAsia="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期间，</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要求</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文件进行澄清时能够收到有关通知，否则视为</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放弃澄清的权利，对</w:t>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就该项内容的评审意见无异议。</w:t>
      </w:r>
    </w:p>
    <w:p w14:paraId="34A4DF34">
      <w:pPr>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5FE983CA">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16" w:name="_Toc6970"/>
      <w:bookmarkStart w:id="117" w:name="_Toc22065"/>
      <w:bookmarkStart w:id="118" w:name="_Toc521918096"/>
      <w:bookmarkStart w:id="119" w:name="_Toc142508343"/>
      <w:bookmarkStart w:id="120" w:name="_Toc522047355"/>
      <w:bookmarkStart w:id="121" w:name="_Toc30630"/>
      <w:bookmarkStart w:id="122" w:name="_Toc10967"/>
      <w:bookmarkStart w:id="123" w:name="_Toc18368_WPSOffice_Level3"/>
      <w:r>
        <w:rPr>
          <w:rFonts w:hint="eastAsia" w:ascii="宋体" w:hAnsi="宋体" w:eastAsia="宋体" w:cs="宋体"/>
          <w:color w:val="auto"/>
          <w:kern w:val="2"/>
          <w:sz w:val="21"/>
          <w:szCs w:val="21"/>
          <w:highlight w:val="none"/>
          <w:lang w:val="zh-CN"/>
        </w:rPr>
        <w:t>27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文件的比较和评价</w:t>
      </w:r>
      <w:bookmarkEnd w:id="116"/>
      <w:bookmarkEnd w:id="117"/>
      <w:bookmarkEnd w:id="118"/>
      <w:bookmarkEnd w:id="119"/>
      <w:bookmarkEnd w:id="120"/>
      <w:bookmarkEnd w:id="121"/>
      <w:bookmarkEnd w:id="122"/>
      <w:bookmarkEnd w:id="123"/>
    </w:p>
    <w:p w14:paraId="1599BA4C">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en-US" w:eastAsia="zh-CN"/>
        </w:rPr>
        <w:t>磋商小组</w:t>
      </w:r>
      <w:r>
        <w:rPr>
          <w:rFonts w:hint="eastAsia" w:ascii="宋体" w:hAnsi="宋体" w:eastAsia="宋体" w:cs="宋体"/>
          <w:color w:val="auto"/>
          <w:kern w:val="2"/>
          <w:sz w:val="21"/>
          <w:szCs w:val="21"/>
          <w:highlight w:val="none"/>
          <w:lang w:val="zh-CN"/>
        </w:rPr>
        <w:t>将对资格性检查和符合性检查合格的响应文件进行比较和评价，包括商务、技术和价格的详细评审。</w:t>
      </w:r>
    </w:p>
    <w:p w14:paraId="105CF20C">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文件商务的评审详见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08AA8272">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27.3</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文件技术的评审详见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243167DD">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27.4</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对</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价格的评审详见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36D32A5A">
      <w:pPr>
        <w:autoSpaceDE/>
        <w:autoSpaceDN/>
        <w:adjustRightInd/>
        <w:spacing w:line="360" w:lineRule="auto"/>
        <w:ind w:left="525" w:leftChars="0" w:right="0" w:rightChars="0"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27.5</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本次</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的评分权重详见</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工作大纲。</w:t>
      </w:r>
    </w:p>
    <w:p w14:paraId="25A4115D">
      <w:pPr>
        <w:autoSpaceDE/>
        <w:autoSpaceDN/>
        <w:adjustRightInd/>
        <w:spacing w:line="360" w:lineRule="auto"/>
        <w:ind w:left="525" w:hanging="525" w:hangingChars="250"/>
        <w:jc w:val="both"/>
        <w:outlineLvl w:val="9"/>
        <w:rPr>
          <w:rFonts w:hint="eastAsia" w:ascii="宋体" w:hAnsi="宋体" w:eastAsia="宋体" w:cs="宋体"/>
          <w:color w:val="auto"/>
          <w:highlight w:val="none"/>
          <w:lang w:val="zh-CN"/>
        </w:rPr>
      </w:pPr>
      <w:r>
        <w:rPr>
          <w:rFonts w:hint="eastAsia" w:ascii="宋体" w:hAnsi="宋体" w:eastAsia="宋体" w:cs="宋体"/>
          <w:color w:val="auto"/>
          <w:kern w:val="2"/>
          <w:sz w:val="21"/>
          <w:szCs w:val="21"/>
          <w:highlight w:val="none"/>
          <w:lang w:val="zh-CN"/>
        </w:rPr>
        <w:t>27.6</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根据上述商务、技术及价格综合评价的权重分配计算出各</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lang w:val="zh-CN"/>
        </w:rPr>
        <w:t>的综合得分。</w:t>
      </w:r>
    </w:p>
    <w:p w14:paraId="3AA869AD">
      <w:pPr>
        <w:spacing w:line="360" w:lineRule="auto"/>
        <w:outlineLvl w:val="9"/>
        <w:rPr>
          <w:rFonts w:hint="eastAsia" w:ascii="宋体" w:hAnsi="宋体" w:eastAsia="宋体" w:cs="宋体"/>
          <w:color w:val="auto"/>
          <w:highlight w:val="none"/>
          <w:lang w:val="zh-CN"/>
        </w:rPr>
      </w:pPr>
    </w:p>
    <w:bookmarkEnd w:id="113"/>
    <w:bookmarkEnd w:id="114"/>
    <w:p w14:paraId="1D43017B">
      <w:pPr>
        <w:pageBreakBefore w:val="0"/>
        <w:widowControl w:val="0"/>
        <w:tabs>
          <w:tab w:val="left" w:pos="525"/>
        </w:tabs>
        <w:kinsoku/>
        <w:wordWrap/>
        <w:overflowPunct/>
        <w:topLinePunct w:val="0"/>
        <w:autoSpaceDE w:val="0"/>
        <w:autoSpaceDN w:val="0"/>
        <w:bidi w:val="0"/>
        <w:adjustRightInd w:val="0"/>
        <w:snapToGrid/>
        <w:spacing w:line="360" w:lineRule="auto"/>
        <w:ind w:left="567" w:hanging="525" w:hangingChars="250"/>
        <w:jc w:val="both"/>
        <w:textAlignment w:val="auto"/>
        <w:outlineLvl w:val="2"/>
        <w:rPr>
          <w:rFonts w:hint="eastAsia" w:ascii="宋体" w:hAnsi="宋体" w:eastAsia="宋体" w:cs="宋体"/>
          <w:color w:val="auto"/>
          <w:kern w:val="2"/>
          <w:sz w:val="21"/>
          <w:szCs w:val="21"/>
          <w:highlight w:val="none"/>
          <w:lang w:val="zh-CN"/>
        </w:rPr>
      </w:pPr>
      <w:bookmarkStart w:id="124" w:name="_Toc51642375"/>
      <w:bookmarkStart w:id="125" w:name="_Toc32098"/>
      <w:bookmarkStart w:id="126" w:name="_Toc450662879"/>
      <w:bookmarkStart w:id="127" w:name="_Toc521918097"/>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评审原则及方法</w:t>
      </w:r>
      <w:bookmarkEnd w:id="124"/>
      <w:bookmarkEnd w:id="125"/>
    </w:p>
    <w:p w14:paraId="41F78A10">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8" w:name="_Toc56076579"/>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磋商小组对所有响应文件的评审，都采用相同的程序和标准。</w:t>
      </w:r>
      <w:bookmarkEnd w:id="128"/>
    </w:p>
    <w:p w14:paraId="7BF316B4">
      <w:pPr>
        <w:pageBreakBefore w:val="0"/>
        <w:widowControl w:val="0"/>
        <w:kinsoku/>
        <w:wordWrap/>
        <w:overflowPunct/>
        <w:topLinePunct w:val="0"/>
        <w:autoSpaceDE w:val="0"/>
        <w:autoSpaceDN w:val="0"/>
        <w:bidi w:val="0"/>
        <w:adjustRightInd w:val="0"/>
        <w:snapToGrid/>
        <w:spacing w:line="360" w:lineRule="auto"/>
        <w:ind w:left="525" w:hanging="525" w:hangingChars="250"/>
        <w:jc w:val="both"/>
        <w:textAlignment w:val="auto"/>
        <w:rPr>
          <w:rFonts w:hint="eastAsia" w:ascii="宋体" w:hAnsi="宋体" w:eastAsia="宋体" w:cs="宋体"/>
          <w:color w:val="auto"/>
          <w:kern w:val="2"/>
          <w:sz w:val="21"/>
          <w:szCs w:val="21"/>
          <w:highlight w:val="none"/>
          <w:lang w:val="zh-CN"/>
        </w:rPr>
      </w:pPr>
      <w:bookmarkStart w:id="129" w:name="_Toc5607658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.2 评审严格按照竞争性磋商文件的要求和条件进行。</w:t>
      </w:r>
      <w:bookmarkEnd w:id="129"/>
    </w:p>
    <w:p w14:paraId="555D3D07">
      <w:pPr>
        <w:tabs>
          <w:tab w:val="left" w:pos="360"/>
        </w:tabs>
        <w:spacing w:line="360" w:lineRule="auto"/>
        <w:ind w:left="525" w:leftChars="0" w:right="51" w:hanging="525" w:hangingChars="250"/>
        <w:jc w:val="both"/>
        <w:rPr>
          <w:rFonts w:hint="eastAsia" w:ascii="宋体" w:hAnsi="宋体" w:eastAsia="宋体" w:cs="宋体"/>
          <w:color w:val="auto"/>
          <w:kern w:val="2"/>
          <w:sz w:val="21"/>
          <w:szCs w:val="21"/>
          <w:highlight w:val="none"/>
          <w:lang w:val="zh-CN"/>
        </w:rPr>
      </w:pPr>
      <w:bookmarkStart w:id="130" w:name="_Toc56076581"/>
      <w:r>
        <w:rPr>
          <w:rFonts w:hint="eastAsia" w:ascii="宋体" w:hAnsi="宋体" w:eastAsia="宋体" w:cs="宋体"/>
          <w:color w:val="auto"/>
          <w:kern w:val="2"/>
          <w:sz w:val="21"/>
          <w:szCs w:val="21"/>
          <w:highlight w:val="none"/>
          <w:lang w:val="zh-CN" w:eastAsia="zh-CN"/>
        </w:rPr>
        <w:t xml:space="preserve"> </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在评审时将根据第27条，采用综合评分法的评审方法，对所有实质响应性响应文件进行综合打分。</w:t>
      </w:r>
      <w:bookmarkEnd w:id="130"/>
    </w:p>
    <w:p w14:paraId="7E6A345D">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525" w:hangingChars="25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w:t>
      </w:r>
      <w:r>
        <w:rPr>
          <w:rFonts w:hint="eastAsia" w:ascii="宋体" w:hAnsi="宋体" w:eastAsia="宋体" w:cs="宋体"/>
          <w:b/>
          <w:bCs/>
          <w:color w:val="auto"/>
          <w:kern w:val="2"/>
          <w:sz w:val="21"/>
          <w:szCs w:val="21"/>
          <w:highlight w:val="none"/>
          <w:u w:val="single"/>
          <w:lang w:val="zh-CN"/>
        </w:rPr>
        <w:t>若本次采购过程中有效供应商只有2家时，经磋商小组论证，竞争性磋商文件没有不合理条款、采购程序符合规定的，经采购人代表和作出实质性响应的供应商代表同意后，本竞争性磋商采购活动可以继续进行</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若本次</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过程中</w:t>
      </w:r>
      <w:r>
        <w:rPr>
          <w:rFonts w:hint="eastAsia" w:ascii="宋体" w:hAnsi="宋体" w:cs="宋体"/>
          <w:b/>
          <w:bCs/>
          <w:color w:val="auto"/>
          <w:kern w:val="2"/>
          <w:sz w:val="21"/>
          <w:szCs w:val="21"/>
          <w:highlight w:val="none"/>
          <w:u w:val="single"/>
          <w:lang w:val="en-US" w:eastAsia="zh-CN"/>
        </w:rPr>
        <w:t>有效供应商为1家时，经磋商小组论证，竞争性磋商文件没有不合理条款、采购程序符合规定的，经采购人代表和作出实质性响应的供应商代表同意后，</w:t>
      </w:r>
      <w:r>
        <w:rPr>
          <w:rFonts w:hint="eastAsia" w:ascii="宋体" w:hAnsi="宋体" w:cs="宋体"/>
          <w:b/>
          <w:bCs/>
          <w:color w:val="auto"/>
          <w:kern w:val="2"/>
          <w:sz w:val="21"/>
          <w:szCs w:val="21"/>
          <w:highlight w:val="none"/>
          <w:u w:val="single"/>
        </w:rPr>
        <w:t>现场更改为单一来源的方式继续采购</w:t>
      </w:r>
      <w:r>
        <w:rPr>
          <w:rFonts w:hint="eastAsia" w:ascii="宋体" w:hAnsi="宋体" w:eastAsia="宋体" w:cs="宋体"/>
          <w:b/>
          <w:bCs/>
          <w:color w:val="auto"/>
          <w:kern w:val="2"/>
          <w:sz w:val="21"/>
          <w:szCs w:val="21"/>
          <w:highlight w:val="none"/>
          <w:lang w:val="zh-CN"/>
        </w:rPr>
        <w:t>。</w:t>
      </w:r>
    </w:p>
    <w:p w14:paraId="61B9F1BC">
      <w:pPr>
        <w:pageBreakBefore w:val="0"/>
        <w:widowControl w:val="0"/>
        <w:tabs>
          <w:tab w:val="left" w:pos="360"/>
        </w:tabs>
        <w:kinsoku/>
        <w:wordWrap/>
        <w:overflowPunct/>
        <w:topLinePunct w:val="0"/>
        <w:autoSpaceDE w:val="0"/>
        <w:autoSpaceDN w:val="0"/>
        <w:bidi w:val="0"/>
        <w:adjustRightInd w:val="0"/>
        <w:snapToGrid/>
        <w:spacing w:line="360" w:lineRule="auto"/>
        <w:ind w:left="540" w:right="51" w:hanging="600" w:hangingChars="250"/>
        <w:jc w:val="both"/>
        <w:textAlignment w:val="auto"/>
        <w:rPr>
          <w:rFonts w:hint="eastAsia" w:ascii="宋体" w:hAnsi="宋体" w:eastAsia="宋体" w:cs="宋体"/>
          <w:color w:val="auto"/>
          <w:highlight w:val="none"/>
          <w:lang w:val="zh-CN"/>
        </w:rPr>
      </w:pPr>
    </w:p>
    <w:p w14:paraId="387B6D01">
      <w:pPr>
        <w:tabs>
          <w:tab w:val="left" w:pos="525"/>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31" w:name="_Toc51642376"/>
      <w:bookmarkStart w:id="132" w:name="_Toc14120"/>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cs="宋体"/>
          <w:color w:val="auto"/>
          <w:kern w:val="2"/>
          <w:sz w:val="21"/>
          <w:szCs w:val="21"/>
          <w:highlight w:val="none"/>
          <w:lang w:val="en-US" w:eastAsia="zh-CN"/>
        </w:rPr>
        <w:t xml:space="preserve"> 评审</w:t>
      </w:r>
      <w:r>
        <w:rPr>
          <w:rFonts w:hint="eastAsia" w:ascii="宋体" w:hAnsi="宋体" w:eastAsia="宋体" w:cs="宋体"/>
          <w:color w:val="auto"/>
          <w:kern w:val="2"/>
          <w:sz w:val="21"/>
          <w:szCs w:val="21"/>
          <w:highlight w:val="none"/>
          <w:lang w:val="en-US" w:eastAsia="zh-CN"/>
        </w:rPr>
        <w:t>结果公示</w:t>
      </w:r>
      <w:r>
        <w:rPr>
          <w:rFonts w:hint="eastAsia" w:ascii="宋体" w:hAnsi="宋体" w:eastAsia="宋体" w:cs="宋体"/>
          <w:color w:val="auto"/>
          <w:kern w:val="2"/>
          <w:sz w:val="21"/>
          <w:szCs w:val="21"/>
          <w:highlight w:val="none"/>
          <w:lang w:val="zh-CN"/>
        </w:rPr>
        <w:t>及异议、投诉</w:t>
      </w:r>
      <w:bookmarkEnd w:id="131"/>
      <w:bookmarkEnd w:id="132"/>
    </w:p>
    <w:p w14:paraId="0BC3B521">
      <w:pPr>
        <w:tabs>
          <w:tab w:val="left" w:pos="360"/>
        </w:tabs>
        <w:spacing w:line="360" w:lineRule="auto"/>
        <w:ind w:left="525" w:right="51" w:hanging="525" w:hangingChars="250"/>
        <w:jc w:val="both"/>
        <w:rPr>
          <w:rFonts w:hint="eastAsia" w:ascii="宋体" w:hAnsi="宋体" w:eastAsia="宋体" w:cs="宋体"/>
          <w:color w:val="auto"/>
          <w:kern w:val="2"/>
          <w:sz w:val="21"/>
          <w:szCs w:val="21"/>
          <w:highlight w:val="none"/>
          <w:lang w:val="zh-CN"/>
        </w:rPr>
      </w:pPr>
      <w:bookmarkStart w:id="133" w:name="_Toc56076583"/>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.1 采购代理机构在</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公告发布媒介公示</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候选人，公示期为3日。供应商或者其他利害关系人对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结果有异议的，应当在</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结果公示期间向</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代理机构以书面的形式提出，并将完整的异议书面材料原件送达</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代理机构，逾期则视为对</w:t>
      </w:r>
      <w:r>
        <w:rPr>
          <w:rFonts w:hint="eastAsia" w:ascii="宋体" w:hAnsi="宋体" w:cs="宋体"/>
          <w:color w:val="auto"/>
          <w:kern w:val="2"/>
          <w:sz w:val="21"/>
          <w:szCs w:val="21"/>
          <w:highlight w:val="none"/>
          <w:lang w:val="en-US" w:eastAsia="zh-CN"/>
        </w:rPr>
        <w:t>评审</w:t>
      </w:r>
      <w:r>
        <w:rPr>
          <w:rFonts w:hint="eastAsia" w:ascii="宋体" w:hAnsi="宋体" w:eastAsia="宋体" w:cs="宋体"/>
          <w:color w:val="auto"/>
          <w:kern w:val="2"/>
          <w:sz w:val="21"/>
          <w:szCs w:val="21"/>
          <w:highlight w:val="none"/>
          <w:lang w:val="zh-CN"/>
        </w:rPr>
        <w:t>结果无异议。超出提交异议截止时间而提出的任何疑问，</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代理机构可不予答复。</w:t>
      </w:r>
    </w:p>
    <w:p w14:paraId="1BB7B631">
      <w:pPr>
        <w:tabs>
          <w:tab w:val="left" w:pos="360"/>
        </w:tabs>
        <w:autoSpaceDE/>
        <w:autoSpaceDN/>
        <w:spacing w:line="360" w:lineRule="auto"/>
        <w:ind w:left="480" w:leftChars="200" w:right="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5885C048">
      <w:pPr>
        <w:tabs>
          <w:tab w:val="left" w:pos="360"/>
        </w:tabs>
        <w:autoSpaceDE/>
        <w:autoSpaceDN/>
        <w:spacing w:line="360" w:lineRule="auto"/>
        <w:ind w:left="0" w:right="22" w:rightChars="9" w:hanging="525" w:hangingChars="2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29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结果公示后，</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有权要求</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候选人在结果公示之日起3日内提交</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文件中所提供的资格证明文件、业绩证明文件、对</w:t>
      </w:r>
      <w:r>
        <w:rPr>
          <w:rFonts w:hint="eastAsia" w:ascii="宋体" w:hAnsi="宋体" w:eastAsia="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文件实质性条款响应文件、履约能力证明文件的原件供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如有需要，</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候选人有义务提供</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如发现</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人提供虚假证明文件、虚假响应文件等弄虚作假行为骗取</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的，</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将取消其</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w:t>
      </w:r>
      <w:r>
        <w:rPr>
          <w:rFonts w:hint="eastAsia" w:ascii="宋体" w:hAnsi="宋体" w:cs="宋体"/>
          <w:b/>
          <w:bCs/>
          <w:color w:val="auto"/>
          <w:kern w:val="2"/>
          <w:sz w:val="21"/>
          <w:szCs w:val="21"/>
          <w:highlight w:val="none"/>
          <w:u w:val="single"/>
          <w:lang w:val="zh-CN"/>
        </w:rPr>
        <w:t>，</w:t>
      </w:r>
      <w:r>
        <w:rPr>
          <w:rFonts w:hint="eastAsia" w:ascii="宋体" w:hAnsi="宋体" w:cs="宋体"/>
          <w:b/>
          <w:bCs/>
          <w:color w:val="auto"/>
          <w:kern w:val="2"/>
          <w:sz w:val="21"/>
          <w:szCs w:val="21"/>
          <w:highlight w:val="none"/>
          <w:u w:val="single"/>
          <w:lang w:val="en-US" w:eastAsia="zh-CN"/>
        </w:rPr>
        <w:t>不予退还其磋商保证金</w:t>
      </w:r>
      <w:r>
        <w:rPr>
          <w:rFonts w:hint="eastAsia" w:ascii="宋体" w:hAnsi="宋体" w:eastAsia="宋体" w:cs="宋体"/>
          <w:b/>
          <w:bCs/>
          <w:color w:val="auto"/>
          <w:kern w:val="2"/>
          <w:sz w:val="21"/>
          <w:szCs w:val="21"/>
          <w:highlight w:val="none"/>
          <w:u w:val="single"/>
          <w:lang w:val="zh-CN"/>
        </w:rPr>
        <w:t>。涉嫌违法犯罪的，将移交司法机关处理</w:t>
      </w:r>
      <w:r>
        <w:rPr>
          <w:rFonts w:hint="eastAsia" w:ascii="宋体" w:hAnsi="宋体" w:eastAsia="宋体" w:cs="宋体"/>
          <w:b/>
          <w:bCs/>
          <w:color w:val="auto"/>
          <w:kern w:val="2"/>
          <w:sz w:val="21"/>
          <w:szCs w:val="21"/>
          <w:highlight w:val="none"/>
          <w:lang w:val="zh-CN"/>
        </w:rPr>
        <w:t>。</w:t>
      </w:r>
    </w:p>
    <w:p w14:paraId="624BC9C4">
      <w:pPr>
        <w:autoSpaceDE/>
        <w:autoSpaceDN/>
        <w:adjustRightInd/>
        <w:snapToGrid/>
        <w:spacing w:line="360" w:lineRule="auto"/>
        <w:ind w:left="480" w:leftChars="200" w:firstLine="422" w:firstLineChars="200"/>
        <w:jc w:val="both"/>
        <w:rPr>
          <w:rFonts w:hint="eastAsia" w:ascii="宋体" w:hAnsi="宋体" w:eastAsia="宋体" w:cs="宋体"/>
          <w:b w:val="0"/>
          <w:color w:val="auto"/>
          <w:kern w:val="2"/>
          <w:sz w:val="21"/>
          <w:szCs w:val="21"/>
          <w:highlight w:val="none"/>
          <w:lang w:val="zh-CN"/>
        </w:rPr>
      </w:pPr>
      <w:r>
        <w:rPr>
          <w:rFonts w:hint="eastAsia" w:ascii="宋体" w:hAnsi="宋体" w:eastAsia="宋体" w:cs="宋体"/>
          <w:b/>
          <w:bCs/>
          <w:color w:val="auto"/>
          <w:kern w:val="2"/>
          <w:sz w:val="21"/>
          <w:szCs w:val="21"/>
          <w:highlight w:val="none"/>
          <w:u w:val="single"/>
          <w:lang w:val="zh-CN"/>
        </w:rPr>
        <w:t>当</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代理机构）向</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候选人发出提供上述</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文件或</w:t>
      </w:r>
      <w:r>
        <w:rPr>
          <w:rFonts w:hint="eastAsia" w:ascii="宋体" w:hAnsi="宋体" w:eastAsia="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文件外其他相关（包括但不限于业绩合同对应的发票等）的证明资料原件进行核查的书面通知后，第一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候选人未能在</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（或其委托的</w:t>
      </w:r>
      <w:r>
        <w:rPr>
          <w:rFonts w:hint="eastAsia" w:ascii="宋体" w:hAnsi="宋体" w:eastAsia="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代理机构) 书面要求的时间(一般不少于三个工作日) 内提供完整的材料原件进行核查的，视为其无法提供真实的资料，</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kern w:val="2"/>
          <w:sz w:val="21"/>
          <w:szCs w:val="21"/>
          <w:highlight w:val="none"/>
          <w:u w:val="single"/>
          <w:lang w:val="zh-CN"/>
        </w:rPr>
        <w:t>有权取消其</w:t>
      </w:r>
      <w:r>
        <w:rPr>
          <w:rFonts w:hint="eastAsia" w:ascii="宋体" w:hAnsi="宋体" w:eastAsia="宋体" w:cs="宋体"/>
          <w:b/>
          <w:bCs/>
          <w:color w:val="auto"/>
          <w:kern w:val="2"/>
          <w:sz w:val="21"/>
          <w:szCs w:val="21"/>
          <w:highlight w:val="none"/>
          <w:u w:val="single"/>
          <w:lang w:val="en-US" w:eastAsia="zh-CN"/>
        </w:rPr>
        <w:t>成交候</w:t>
      </w:r>
      <w:r>
        <w:rPr>
          <w:rFonts w:hint="eastAsia" w:ascii="宋体" w:hAnsi="宋体" w:eastAsia="宋体" w:cs="宋体"/>
          <w:b/>
          <w:bCs/>
          <w:color w:val="auto"/>
          <w:kern w:val="2"/>
          <w:sz w:val="21"/>
          <w:szCs w:val="21"/>
          <w:highlight w:val="none"/>
          <w:u w:val="single"/>
          <w:lang w:val="zh-CN"/>
        </w:rPr>
        <w:t>选人资格</w:t>
      </w:r>
      <w:r>
        <w:rPr>
          <w:rFonts w:hint="eastAsia" w:ascii="宋体" w:hAnsi="宋体" w:eastAsia="宋体" w:cs="宋体"/>
          <w:b/>
          <w:bCs/>
          <w:color w:val="auto"/>
          <w:kern w:val="2"/>
          <w:sz w:val="21"/>
          <w:szCs w:val="21"/>
          <w:highlight w:val="none"/>
          <w:lang w:val="zh-CN"/>
        </w:rPr>
        <w:t>。</w:t>
      </w:r>
    </w:p>
    <w:bookmarkEnd w:id="126"/>
    <w:bookmarkEnd w:id="127"/>
    <w:bookmarkEnd w:id="133"/>
    <w:p w14:paraId="3F64B77B">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 xml:space="preserve"> 供应商或者其他利害关系人认为采购活动不符合法律、行政法规规定的，可以自知道或者应当知道之日起10日内，按程序向采购人</w:t>
      </w:r>
      <w:r>
        <w:rPr>
          <w:rFonts w:hint="eastAsia" w:ascii="宋体" w:hAnsi="宋体" w:cs="宋体"/>
          <w:color w:val="auto"/>
          <w:kern w:val="2"/>
          <w:sz w:val="21"/>
          <w:szCs w:val="21"/>
          <w:highlight w:val="none"/>
          <w:lang w:val="en-US" w:eastAsia="zh-CN"/>
        </w:rPr>
        <w:t>采购活动的监督部门</w:t>
      </w:r>
      <w:r>
        <w:rPr>
          <w:rFonts w:hint="eastAsia" w:ascii="宋体" w:hAnsi="宋体" w:eastAsia="宋体" w:cs="宋体"/>
          <w:color w:val="auto"/>
          <w:kern w:val="2"/>
          <w:sz w:val="21"/>
          <w:szCs w:val="21"/>
          <w:highlight w:val="none"/>
          <w:lang w:val="zh-CN"/>
        </w:rPr>
        <w:t>投诉。投诉应当提供</w:t>
      </w:r>
      <w:r>
        <w:rPr>
          <w:rFonts w:hint="eastAsia" w:ascii="宋体" w:hAnsi="宋体" w:eastAsia="宋体" w:cs="宋体"/>
          <w:color w:val="auto"/>
          <w:sz w:val="21"/>
          <w:szCs w:val="21"/>
          <w:highlight w:val="none"/>
          <w:lang w:val="zh-CN"/>
        </w:rPr>
        <w:t>有明确请求</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kern w:val="2"/>
          <w:sz w:val="21"/>
          <w:szCs w:val="21"/>
          <w:highlight w:val="none"/>
          <w:lang w:val="zh-CN"/>
        </w:rPr>
        <w:t>纸质投诉书及必要的证明材料。投诉书应当包括下列内容：</w:t>
      </w:r>
    </w:p>
    <w:p w14:paraId="66C865BB">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（一）投诉人和被投诉人的姓名或者名称、通讯地址、邮编、联系人及联系电话；</w:t>
      </w:r>
    </w:p>
    <w:p w14:paraId="5008732E">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（二）异议和异议答复情况说明及相关证明材料；</w:t>
      </w:r>
    </w:p>
    <w:p w14:paraId="74A98ED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（三）具体、明确的投诉事项和与投诉事项相关的投诉请求；</w:t>
      </w:r>
    </w:p>
    <w:p w14:paraId="37632DA1">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（四）事实依据；</w:t>
      </w:r>
    </w:p>
    <w:p w14:paraId="1E4DC4A0">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（五）法律依据；</w:t>
      </w:r>
    </w:p>
    <w:p w14:paraId="3E2647A4">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（六）提起投诉的日期；</w:t>
      </w:r>
    </w:p>
    <w:p w14:paraId="0D3CB2BA">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投诉人为法人或者其他组织的，应当由法定代表人、主要负责人，或者其授权代表签字或者盖章，并加盖公章。</w:t>
      </w:r>
    </w:p>
    <w:p w14:paraId="1C073D9E">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投诉人投诉的事项不得超出</w:t>
      </w:r>
      <w:r>
        <w:rPr>
          <w:rFonts w:hint="eastAsia" w:ascii="宋体" w:hAnsi="宋体" w:cs="宋体"/>
          <w:color w:val="auto"/>
          <w:kern w:val="2"/>
          <w:sz w:val="21"/>
          <w:szCs w:val="21"/>
          <w:highlight w:val="none"/>
          <w:lang w:val="en-US" w:eastAsia="zh-CN"/>
        </w:rPr>
        <w:t>异议</w:t>
      </w:r>
      <w:r>
        <w:rPr>
          <w:rFonts w:hint="eastAsia" w:ascii="宋体" w:hAnsi="宋体" w:eastAsia="宋体" w:cs="宋体"/>
          <w:color w:val="auto"/>
          <w:kern w:val="2"/>
          <w:sz w:val="21"/>
          <w:szCs w:val="21"/>
          <w:highlight w:val="none"/>
          <w:lang w:val="zh-CN"/>
        </w:rPr>
        <w:t>事项的范围，但基于异议答复内容提出的投诉事项除外。</w:t>
      </w:r>
    </w:p>
    <w:p w14:paraId="5FEA5E51">
      <w:pPr>
        <w:snapToGrid w:val="0"/>
        <w:spacing w:line="360" w:lineRule="auto"/>
        <w:ind w:left="480" w:leftChars="200"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监督</w:t>
      </w:r>
      <w:r>
        <w:rPr>
          <w:rFonts w:hint="eastAsia" w:ascii="宋体" w:hAnsi="宋体" w:eastAsia="宋体" w:cs="宋体"/>
          <w:color w:val="auto"/>
          <w:kern w:val="2"/>
          <w:sz w:val="21"/>
          <w:szCs w:val="21"/>
          <w:highlight w:val="none"/>
          <w:lang w:val="zh-CN"/>
        </w:rPr>
        <w:t>部门：东莞市水务集团有限公司，联系人：莫先生，联系电话：0769-28823251。</w:t>
      </w:r>
    </w:p>
    <w:p w14:paraId="462030FF">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02F1A903">
      <w:pPr>
        <w:tabs>
          <w:tab w:val="left" w:pos="567"/>
        </w:tabs>
        <w:spacing w:line="360" w:lineRule="auto"/>
        <w:jc w:val="both"/>
        <w:outlineLvl w:val="2"/>
        <w:rPr>
          <w:rFonts w:hint="eastAsia" w:ascii="宋体" w:hAnsi="宋体" w:eastAsia="宋体" w:cs="宋体"/>
          <w:b/>
          <w:bCs/>
          <w:color w:val="auto"/>
          <w:kern w:val="2"/>
          <w:sz w:val="21"/>
          <w:szCs w:val="21"/>
          <w:highlight w:val="none"/>
          <w:lang w:val="zh-CN"/>
        </w:rPr>
      </w:pPr>
      <w:bookmarkStart w:id="134" w:name="_Toc521918099"/>
      <w:bookmarkStart w:id="135" w:name="_Toc466882018"/>
      <w:bookmarkStart w:id="136" w:name="_Toc465358970"/>
      <w:bookmarkStart w:id="137" w:name="_Toc7700"/>
      <w:r>
        <w:rPr>
          <w:rFonts w:hint="eastAsia" w:ascii="宋体" w:hAnsi="宋体" w:eastAsia="宋体" w:cs="宋体"/>
          <w:b/>
          <w:bCs/>
          <w:color w:val="auto"/>
          <w:kern w:val="2"/>
          <w:sz w:val="21"/>
          <w:szCs w:val="21"/>
          <w:highlight w:val="none"/>
          <w:lang w:val="en-US" w:eastAsia="zh-CN"/>
        </w:rPr>
        <w:t>30</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zh-CN"/>
        </w:rPr>
        <w:t>真实性审查</w:t>
      </w:r>
      <w:bookmarkEnd w:id="134"/>
      <w:bookmarkEnd w:id="135"/>
      <w:bookmarkEnd w:id="136"/>
      <w:bookmarkEnd w:id="137"/>
    </w:p>
    <w:p w14:paraId="7FD95496">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.1 </w:t>
      </w:r>
      <w:r>
        <w:rPr>
          <w:rFonts w:hint="eastAsia" w:ascii="宋体" w:hAnsi="宋体" w:eastAsia="宋体" w:cs="宋体"/>
          <w:b/>
          <w:bCs/>
          <w:color w:val="auto"/>
          <w:kern w:val="2"/>
          <w:sz w:val="21"/>
          <w:szCs w:val="21"/>
          <w:highlight w:val="none"/>
          <w:u w:val="single"/>
          <w:lang w:val="zh-CN"/>
        </w:rPr>
        <w:t>在授予合同前，采购人（或其委托的采购代理机构）或磋商小组有权组织对供应商的真实性审查。包括对供应商资格证明文件、</w:t>
      </w:r>
      <w:r>
        <w:rPr>
          <w:rFonts w:hint="eastAsia" w:ascii="宋体" w:hAnsi="宋体" w:eastAsia="宋体" w:cs="宋体"/>
          <w:b/>
          <w:bCs/>
          <w:color w:val="auto"/>
          <w:kern w:val="2"/>
          <w:sz w:val="21"/>
          <w:szCs w:val="21"/>
          <w:highlight w:val="none"/>
          <w:u w:val="single"/>
        </w:rPr>
        <w:t>业绩证明资料</w:t>
      </w:r>
      <w:r>
        <w:rPr>
          <w:rFonts w:hint="eastAsia" w:ascii="宋体" w:hAnsi="宋体" w:eastAsia="宋体" w:cs="宋体"/>
          <w:b/>
          <w:bCs/>
          <w:color w:val="auto"/>
          <w:kern w:val="2"/>
          <w:sz w:val="21"/>
          <w:szCs w:val="21"/>
          <w:highlight w:val="none"/>
          <w:u w:val="single"/>
          <w:lang w:val="zh-CN"/>
        </w:rPr>
        <w:t>、对竞争性磋商文件实质性条款响应文件、履约能力证明文件的真实性进行核查。</w:t>
      </w:r>
      <w:r>
        <w:rPr>
          <w:rFonts w:hint="eastAsia" w:ascii="宋体" w:hAnsi="宋体" w:eastAsia="宋体" w:cs="宋体"/>
          <w:b/>
          <w:bCs/>
          <w:color w:val="auto"/>
          <w:kern w:val="2"/>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如有需要，</w:t>
      </w:r>
      <w:r>
        <w:rPr>
          <w:rFonts w:hint="eastAsia" w:ascii="宋体" w:hAnsi="宋体" w:eastAsia="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有义务提供</w:t>
      </w:r>
      <w:r>
        <w:rPr>
          <w:rFonts w:hint="eastAsia" w:ascii="宋体" w:hAnsi="宋体" w:eastAsia="宋体" w:cs="宋体"/>
          <w:b/>
          <w:bCs/>
          <w:color w:val="auto"/>
          <w:sz w:val="21"/>
          <w:szCs w:val="21"/>
          <w:highlight w:val="none"/>
          <w:u w:val="single"/>
          <w:lang w:val="en-US" w:eastAsia="zh-CN"/>
        </w:rPr>
        <w:t>响应</w:t>
      </w:r>
      <w:r>
        <w:rPr>
          <w:rFonts w:hint="eastAsia" w:ascii="宋体" w:hAnsi="宋体" w:eastAsia="宋体" w:cs="宋体"/>
          <w:b/>
          <w:bCs/>
          <w:color w:val="auto"/>
          <w:sz w:val="21"/>
          <w:szCs w:val="21"/>
          <w:highlight w:val="none"/>
          <w:u w:val="single"/>
          <w:lang w:val="zh-CN"/>
        </w:rPr>
        <w:t>文件外其他相关证明资料原件（包括但不限于业绩合同对应的发票等）供</w:t>
      </w:r>
      <w:r>
        <w:rPr>
          <w:rFonts w:hint="eastAsia" w:ascii="宋体" w:hAnsi="宋体" w:eastAsia="宋体" w:cs="宋体"/>
          <w:b/>
          <w:bCs/>
          <w:color w:val="auto"/>
          <w:sz w:val="21"/>
          <w:szCs w:val="21"/>
          <w:highlight w:val="none"/>
          <w:u w:val="single"/>
          <w:lang w:val="en-US" w:eastAsia="zh-CN"/>
        </w:rPr>
        <w:t>采购人</w:t>
      </w:r>
      <w:r>
        <w:rPr>
          <w:rFonts w:hint="eastAsia" w:ascii="宋体" w:hAnsi="宋体" w:eastAsia="宋体" w:cs="宋体"/>
          <w:b/>
          <w:bCs/>
          <w:color w:val="auto"/>
          <w:sz w:val="21"/>
          <w:szCs w:val="21"/>
          <w:highlight w:val="none"/>
          <w:u w:val="single"/>
          <w:lang w:val="zh-CN"/>
        </w:rPr>
        <w:t>核查。</w:t>
      </w:r>
      <w:r>
        <w:rPr>
          <w:rFonts w:hint="eastAsia" w:ascii="宋体" w:hAnsi="宋体" w:eastAsia="宋体" w:cs="宋体"/>
          <w:b/>
          <w:bCs/>
          <w:color w:val="auto"/>
          <w:kern w:val="2"/>
          <w:sz w:val="21"/>
          <w:szCs w:val="21"/>
          <w:highlight w:val="none"/>
          <w:u w:val="single"/>
          <w:lang w:val="zh-CN"/>
        </w:rPr>
        <w:t>若发现</w:t>
      </w:r>
      <w:r>
        <w:rPr>
          <w:rFonts w:hint="eastAsia" w:ascii="宋体" w:hAnsi="宋体" w:cs="宋体"/>
          <w:b/>
          <w:bCs/>
          <w:color w:val="auto"/>
          <w:kern w:val="2"/>
          <w:sz w:val="21"/>
          <w:szCs w:val="21"/>
          <w:highlight w:val="none"/>
          <w:u w:val="single"/>
          <w:lang w:val="en-US" w:eastAsia="zh-CN"/>
        </w:rPr>
        <w:t>供应商</w:t>
      </w:r>
      <w:r>
        <w:rPr>
          <w:rFonts w:hint="eastAsia" w:ascii="宋体" w:hAnsi="宋体" w:eastAsia="宋体" w:cs="宋体"/>
          <w:b/>
          <w:bCs/>
          <w:color w:val="auto"/>
          <w:kern w:val="2"/>
          <w:sz w:val="21"/>
          <w:szCs w:val="21"/>
          <w:highlight w:val="none"/>
          <w:u w:val="single"/>
          <w:lang w:val="zh-CN"/>
        </w:rPr>
        <w:t>提供虚假证明文件、虚假响应文件等弄虚作假行为的，或经审查确认其经营、财务状况发生较大变化（或者存在违法行为）导致无法按照响应文件的承诺履约的，或其明确表示不按照响应文件承诺履约等影响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sz w:val="21"/>
          <w:szCs w:val="21"/>
          <w:highlight w:val="none"/>
        </w:rPr>
        <w:t>。</w:t>
      </w:r>
    </w:p>
    <w:p w14:paraId="25323142">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.2 </w:t>
      </w:r>
      <w:r>
        <w:rPr>
          <w:rFonts w:hint="eastAsia" w:ascii="宋体" w:hAnsi="宋体" w:eastAsia="宋体" w:cs="宋体"/>
          <w:b/>
          <w:bCs/>
          <w:color w:val="auto"/>
          <w:kern w:val="2"/>
          <w:sz w:val="21"/>
          <w:szCs w:val="21"/>
          <w:highlight w:val="none"/>
          <w:u w:val="single"/>
          <w:lang w:val="zh-CN"/>
        </w:rPr>
        <w:t>供应商在采购人（或其委托的采购代理机构）</w:t>
      </w:r>
      <w:r>
        <w:rPr>
          <w:rFonts w:hint="eastAsia" w:ascii="宋体" w:hAnsi="宋体" w:cs="宋体"/>
          <w:b/>
          <w:bCs/>
          <w:color w:val="auto"/>
          <w:kern w:val="2"/>
          <w:sz w:val="21"/>
          <w:szCs w:val="21"/>
          <w:highlight w:val="none"/>
          <w:u w:val="single"/>
          <w:lang w:val="zh-CN"/>
        </w:rPr>
        <w:t>、</w:t>
      </w:r>
      <w:r>
        <w:rPr>
          <w:rFonts w:hint="eastAsia" w:ascii="宋体" w:hAnsi="宋体" w:eastAsia="宋体" w:cs="宋体"/>
          <w:b/>
          <w:bCs/>
          <w:color w:val="auto"/>
          <w:kern w:val="2"/>
          <w:sz w:val="21"/>
          <w:szCs w:val="21"/>
          <w:highlight w:val="none"/>
          <w:u w:val="single"/>
          <w:lang w:val="zh-CN"/>
        </w:rPr>
        <w:t>或磋商小组通知其提供上述</w:t>
      </w:r>
      <w:r>
        <w:rPr>
          <w:rFonts w:hint="eastAsia" w:ascii="宋体" w:hAnsi="宋体" w:cs="宋体"/>
          <w:b/>
          <w:bCs/>
          <w:color w:val="auto"/>
          <w:kern w:val="2"/>
          <w:sz w:val="21"/>
          <w:szCs w:val="21"/>
          <w:highlight w:val="none"/>
          <w:u w:val="single"/>
          <w:lang w:val="en-US" w:eastAsia="zh-CN"/>
        </w:rPr>
        <w:t>响应文件或响应文件外其他相关（包括但不限于业绩合同对应的发票等）的</w:t>
      </w:r>
      <w:r>
        <w:rPr>
          <w:rFonts w:hint="eastAsia" w:ascii="宋体" w:hAnsi="宋体" w:eastAsia="宋体" w:cs="宋体"/>
          <w:b/>
          <w:bCs/>
          <w:color w:val="auto"/>
          <w:kern w:val="2"/>
          <w:sz w:val="21"/>
          <w:szCs w:val="21"/>
          <w:highlight w:val="none"/>
          <w:u w:val="single"/>
          <w:lang w:val="zh-CN"/>
        </w:rPr>
        <w:t>证明资料原件进行核查的要求后，未能在约定的时间内提供原件进行核查的，视为供应商无法提供真实的资料，采购人有权</w:t>
      </w:r>
      <w:r>
        <w:rPr>
          <w:rFonts w:hint="eastAsia" w:ascii="宋体" w:hAnsi="宋体" w:eastAsia="宋体" w:cs="宋体"/>
          <w:b/>
          <w:bCs/>
          <w:color w:val="auto"/>
          <w:kern w:val="0"/>
          <w:sz w:val="21"/>
          <w:szCs w:val="21"/>
          <w:highlight w:val="none"/>
          <w:u w:val="single"/>
        </w:rPr>
        <w:t>按照</w:t>
      </w:r>
      <w:r>
        <w:rPr>
          <w:rFonts w:hint="eastAsia" w:ascii="宋体" w:hAnsi="宋体" w:eastAsia="宋体" w:cs="宋体"/>
          <w:b/>
          <w:bCs/>
          <w:color w:val="auto"/>
          <w:kern w:val="0"/>
          <w:sz w:val="21"/>
          <w:szCs w:val="21"/>
          <w:highlight w:val="none"/>
          <w:u w:val="single"/>
          <w:lang w:val="en-US" w:eastAsia="zh-CN"/>
        </w:rPr>
        <w:t>磋商小组</w:t>
      </w:r>
      <w:r>
        <w:rPr>
          <w:rFonts w:hint="eastAsia" w:ascii="宋体" w:hAnsi="宋体" w:eastAsia="宋体" w:cs="宋体"/>
          <w:b/>
          <w:bCs/>
          <w:color w:val="auto"/>
          <w:kern w:val="0"/>
          <w:sz w:val="21"/>
          <w:szCs w:val="21"/>
          <w:highlight w:val="none"/>
          <w:u w:val="single"/>
        </w:rPr>
        <w:t>提出</w:t>
      </w:r>
      <w:r>
        <w:rPr>
          <w:rFonts w:hint="eastAsia" w:ascii="宋体" w:hAnsi="宋体" w:eastAsia="宋体" w:cs="宋体"/>
          <w:b/>
          <w:bCs/>
          <w:color w:val="auto"/>
          <w:kern w:val="0"/>
          <w:sz w:val="21"/>
          <w:szCs w:val="21"/>
          <w:highlight w:val="none"/>
          <w:u w:val="single"/>
          <w:lang w:val="en-US" w:eastAsia="zh-CN"/>
        </w:rPr>
        <w:t>的成交</w:t>
      </w:r>
      <w:r>
        <w:rPr>
          <w:rFonts w:hint="eastAsia" w:ascii="宋体" w:hAnsi="宋体" w:eastAsia="宋体" w:cs="宋体"/>
          <w:b/>
          <w:bCs/>
          <w:color w:val="auto"/>
          <w:kern w:val="0"/>
          <w:sz w:val="21"/>
          <w:szCs w:val="21"/>
          <w:highlight w:val="none"/>
          <w:u w:val="single"/>
        </w:rPr>
        <w:t>候选人名单排序依次确定其他</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候选人为</w:t>
      </w:r>
      <w:r>
        <w:rPr>
          <w:rFonts w:hint="eastAsia" w:ascii="宋体" w:hAnsi="宋体" w:eastAsia="宋体" w:cs="宋体"/>
          <w:b/>
          <w:bCs/>
          <w:color w:val="auto"/>
          <w:kern w:val="0"/>
          <w:sz w:val="21"/>
          <w:szCs w:val="21"/>
          <w:highlight w:val="none"/>
          <w:u w:val="single"/>
          <w:lang w:val="en-US" w:eastAsia="zh-CN"/>
        </w:rPr>
        <w:t>成交</w:t>
      </w:r>
      <w:r>
        <w:rPr>
          <w:rFonts w:hint="eastAsia" w:ascii="宋体" w:hAnsi="宋体" w:eastAsia="宋体" w:cs="宋体"/>
          <w:b/>
          <w:bCs/>
          <w:color w:val="auto"/>
          <w:kern w:val="0"/>
          <w:sz w:val="21"/>
          <w:szCs w:val="21"/>
          <w:highlight w:val="none"/>
          <w:u w:val="single"/>
        </w:rPr>
        <w:t>人或重新</w:t>
      </w:r>
      <w:r>
        <w:rPr>
          <w:rFonts w:hint="eastAsia" w:ascii="宋体" w:hAnsi="宋体" w:eastAsia="宋体" w:cs="宋体"/>
          <w:b/>
          <w:bCs/>
          <w:color w:val="auto"/>
          <w:kern w:val="0"/>
          <w:sz w:val="21"/>
          <w:szCs w:val="21"/>
          <w:highlight w:val="none"/>
          <w:u w:val="single"/>
          <w:lang w:val="en-US" w:eastAsia="zh-CN"/>
        </w:rPr>
        <w:t>采购</w:t>
      </w:r>
      <w:r>
        <w:rPr>
          <w:rFonts w:hint="eastAsia" w:ascii="宋体" w:hAnsi="宋体" w:eastAsia="宋体" w:cs="宋体"/>
          <w:b/>
          <w:bCs/>
          <w:color w:val="auto"/>
          <w:kern w:val="2"/>
          <w:sz w:val="21"/>
          <w:szCs w:val="21"/>
          <w:highlight w:val="none"/>
          <w:lang w:val="zh-CN"/>
        </w:rPr>
        <w:t>。</w:t>
      </w:r>
      <w:bookmarkStart w:id="138" w:name="_Toc465358971"/>
      <w:bookmarkStart w:id="139" w:name="_Toc466882019"/>
    </w:p>
    <w:p w14:paraId="18273CCD">
      <w:pPr>
        <w:snapToGrid w:val="0"/>
        <w:spacing w:line="360" w:lineRule="auto"/>
        <w:ind w:left="529" w:hanging="531" w:hangingChars="252"/>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en-US" w:eastAsia="zh-CN"/>
        </w:rPr>
        <w:t>30</w:t>
      </w:r>
      <w:r>
        <w:rPr>
          <w:rFonts w:hint="eastAsia" w:ascii="宋体" w:hAnsi="宋体" w:eastAsia="宋体" w:cs="宋体"/>
          <w:b/>
          <w:bCs/>
          <w:color w:val="auto"/>
          <w:kern w:val="2"/>
          <w:sz w:val="21"/>
          <w:szCs w:val="21"/>
          <w:highlight w:val="none"/>
          <w:lang w:val="zh-CN"/>
        </w:rPr>
        <w:t xml:space="preserve">.3 </w:t>
      </w:r>
      <w:r>
        <w:rPr>
          <w:rFonts w:hint="eastAsia" w:ascii="宋体" w:hAnsi="宋体" w:eastAsia="宋体" w:cs="宋体"/>
          <w:b/>
          <w:bCs/>
          <w:color w:val="auto"/>
          <w:kern w:val="2"/>
          <w:sz w:val="21"/>
          <w:szCs w:val="21"/>
          <w:highlight w:val="none"/>
          <w:u w:val="single"/>
          <w:lang w:val="zh-CN"/>
        </w:rPr>
        <w:t>若供应商在</w:t>
      </w:r>
      <w:r>
        <w:rPr>
          <w:rFonts w:hint="eastAsia" w:ascii="宋体" w:hAnsi="宋体" w:cs="宋体"/>
          <w:b/>
          <w:bCs/>
          <w:color w:val="auto"/>
          <w:kern w:val="2"/>
          <w:sz w:val="21"/>
          <w:szCs w:val="21"/>
          <w:highlight w:val="none"/>
          <w:u w:val="single"/>
          <w:lang w:val="en-US" w:eastAsia="zh-CN"/>
        </w:rPr>
        <w:t>响应</w:t>
      </w:r>
      <w:r>
        <w:rPr>
          <w:rFonts w:hint="eastAsia" w:ascii="宋体" w:hAnsi="宋体" w:eastAsia="宋体" w:cs="宋体"/>
          <w:b/>
          <w:bCs/>
          <w:color w:val="auto"/>
          <w:kern w:val="2"/>
          <w:sz w:val="21"/>
          <w:szCs w:val="21"/>
          <w:highlight w:val="none"/>
          <w:u w:val="single"/>
          <w:lang w:val="zh-CN"/>
        </w:rPr>
        <w:t>或履约过程中存在提供虚假材料、虚假响应</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w:t>
      </w:r>
      <w:r>
        <w:rPr>
          <w:rFonts w:hint="eastAsia" w:ascii="宋体" w:hAnsi="宋体" w:cs="宋体"/>
          <w:b/>
          <w:bCs/>
          <w:color w:val="auto"/>
          <w:kern w:val="2"/>
          <w:sz w:val="21"/>
          <w:szCs w:val="21"/>
          <w:highlight w:val="none"/>
          <w:u w:val="single"/>
          <w:lang w:val="en-US" w:eastAsia="zh-CN"/>
        </w:rPr>
        <w:t>要求</w:t>
      </w:r>
      <w:r>
        <w:rPr>
          <w:rFonts w:hint="eastAsia" w:ascii="宋体" w:hAnsi="宋体" w:eastAsia="宋体" w:cs="宋体"/>
          <w:b/>
          <w:bCs/>
          <w:color w:val="auto"/>
          <w:kern w:val="2"/>
          <w:sz w:val="21"/>
          <w:szCs w:val="21"/>
          <w:highlight w:val="none"/>
          <w:u w:val="single"/>
          <w:lang w:val="zh-CN"/>
        </w:rPr>
        <w:t>等弄虚作假行为，</w:t>
      </w:r>
      <w:r>
        <w:rPr>
          <w:rFonts w:hint="eastAsia" w:ascii="宋体" w:hAnsi="宋体" w:eastAsia="宋体" w:cs="宋体"/>
          <w:b/>
          <w:bCs/>
          <w:color w:val="auto"/>
          <w:sz w:val="21"/>
          <w:szCs w:val="21"/>
          <w:highlight w:val="none"/>
          <w:u w:val="single"/>
        </w:rPr>
        <w:t>或未能根据本须知2</w:t>
      </w:r>
      <w:r>
        <w:rPr>
          <w:rFonts w:hint="eastAsia" w:ascii="宋体" w:hAnsi="宋体" w:eastAsia="宋体"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rPr>
        <w:t>.2款约定按时提供原件进行核查的，</w:t>
      </w:r>
      <w:r>
        <w:rPr>
          <w:rFonts w:hint="eastAsia" w:ascii="宋体" w:hAnsi="宋体" w:eastAsia="宋体" w:cs="宋体"/>
          <w:b/>
          <w:bCs/>
          <w:color w:val="auto"/>
          <w:kern w:val="2"/>
          <w:sz w:val="21"/>
          <w:szCs w:val="21"/>
          <w:highlight w:val="none"/>
          <w:u w:val="single"/>
          <w:lang w:val="zh-CN"/>
        </w:rPr>
        <w:t>或不按照响应文件承诺履约或撤回</w:t>
      </w:r>
      <w:r>
        <w:rPr>
          <w:rFonts w:hint="eastAsia" w:ascii="宋体" w:hAnsi="宋体" w:eastAsia="宋体" w:cs="宋体"/>
          <w:b/>
          <w:bCs/>
          <w:color w:val="auto"/>
          <w:kern w:val="2"/>
          <w:sz w:val="21"/>
          <w:szCs w:val="21"/>
          <w:highlight w:val="none"/>
          <w:u w:val="single"/>
          <w:lang w:val="en-US" w:eastAsia="zh-CN"/>
        </w:rPr>
        <w:t>响应文件</w:t>
      </w:r>
      <w:r>
        <w:rPr>
          <w:rFonts w:hint="eastAsia" w:ascii="宋体" w:hAnsi="宋体" w:eastAsia="宋体" w:cs="宋体"/>
          <w:b/>
          <w:bCs/>
          <w:color w:val="auto"/>
          <w:kern w:val="2"/>
          <w:sz w:val="21"/>
          <w:szCs w:val="21"/>
          <w:highlight w:val="none"/>
          <w:u w:val="single"/>
          <w:lang w:val="zh-CN"/>
        </w:rPr>
        <w:t>或放弃</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资格或不按要求与采购人签订合同等影响</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结果的行为，因此导致供应商无法参与东莞市水务集团有限公司相关采购等活动的，由供应商自行承担全部后果</w:t>
      </w:r>
      <w:r>
        <w:rPr>
          <w:rFonts w:hint="eastAsia" w:ascii="宋体" w:hAnsi="宋体" w:eastAsia="宋体" w:cs="宋体"/>
          <w:b/>
          <w:bCs/>
          <w:color w:val="auto"/>
          <w:kern w:val="2"/>
          <w:sz w:val="21"/>
          <w:szCs w:val="21"/>
          <w:highlight w:val="none"/>
          <w:lang w:val="zh-CN"/>
        </w:rPr>
        <w:t>。</w:t>
      </w:r>
    </w:p>
    <w:p w14:paraId="517EAC50">
      <w:pPr>
        <w:snapToGrid w:val="0"/>
        <w:spacing w:line="360" w:lineRule="auto"/>
        <w:ind w:left="529" w:hanging="529" w:hangingChars="252"/>
        <w:jc w:val="both"/>
        <w:rPr>
          <w:rFonts w:hint="eastAsia" w:ascii="宋体" w:hAnsi="宋体" w:eastAsia="宋体" w:cs="宋体"/>
          <w:color w:val="auto"/>
          <w:kern w:val="2"/>
          <w:sz w:val="21"/>
          <w:szCs w:val="21"/>
          <w:highlight w:val="none"/>
          <w:lang w:val="zh-CN"/>
        </w:rPr>
      </w:pPr>
    </w:p>
    <w:p w14:paraId="2A7E5389">
      <w:pPr>
        <w:tabs>
          <w:tab w:val="left" w:pos="567"/>
        </w:tabs>
        <w:spacing w:line="360" w:lineRule="auto"/>
        <w:jc w:val="both"/>
        <w:outlineLvl w:val="2"/>
        <w:rPr>
          <w:rFonts w:hint="eastAsia" w:ascii="宋体" w:hAnsi="宋体" w:eastAsia="宋体" w:cs="宋体"/>
          <w:color w:val="auto"/>
          <w:kern w:val="2"/>
          <w:sz w:val="21"/>
          <w:szCs w:val="21"/>
          <w:highlight w:val="none"/>
          <w:lang w:val="zh-CN"/>
        </w:rPr>
      </w:pPr>
      <w:bookmarkStart w:id="140" w:name="_Toc521918100"/>
      <w:bookmarkStart w:id="141" w:name="_Toc333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1</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磋商小组和采购人接受或拒绝任何</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或所有</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的权利</w:t>
      </w:r>
      <w:bookmarkEnd w:id="138"/>
      <w:bookmarkEnd w:id="139"/>
      <w:bookmarkEnd w:id="140"/>
      <w:bookmarkEnd w:id="141"/>
    </w:p>
    <w:p w14:paraId="174E3695">
      <w:pPr>
        <w:spacing w:line="360" w:lineRule="auto"/>
        <w:ind w:left="523" w:hanging="523" w:hangingChars="218"/>
        <w:jc w:val="both"/>
        <w:rPr>
          <w:rFonts w:hint="eastAsia" w:ascii="宋体" w:hAnsi="宋体" w:eastAsia="宋体" w:cs="宋体"/>
          <w:color w:val="auto"/>
          <w:sz w:val="21"/>
          <w:szCs w:val="21"/>
          <w:highlight w:val="none"/>
        </w:rPr>
      </w:pPr>
      <w:r>
        <w:rPr>
          <w:rFonts w:hint="eastAsia" w:ascii="宋体" w:hAnsi="宋体" w:eastAsia="宋体" w:cs="宋体"/>
          <w:color w:val="auto"/>
          <w:kern w:val="2"/>
          <w:highlight w:val="none"/>
          <w:lang w:val="zh-CN"/>
        </w:rPr>
        <w:t xml:space="preserve">    </w:t>
      </w:r>
      <w:r>
        <w:rPr>
          <w:rFonts w:hint="eastAsia" w:ascii="宋体" w:hAnsi="宋体" w:eastAsia="宋体" w:cs="宋体"/>
          <w:color w:val="auto"/>
          <w:kern w:val="2"/>
          <w:highlight w:val="none"/>
          <w:lang w:val="en-US" w:eastAsia="zh-CN"/>
        </w:rPr>
        <w:t xml:space="preserve">    </w:t>
      </w:r>
      <w:r>
        <w:rPr>
          <w:rFonts w:hint="eastAsia" w:ascii="宋体" w:hAnsi="宋体" w:eastAsia="宋体" w:cs="宋体"/>
          <w:color w:val="auto"/>
          <w:sz w:val="21"/>
          <w:szCs w:val="21"/>
          <w:highlight w:val="none"/>
        </w:rPr>
        <w:t>在授予合同前的任何时候，采购人仍保留接受或拒绝任何</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，宣布</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程序无效或拒绝所有</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的权利，无需向受影响的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承担任何责任。</w:t>
      </w:r>
    </w:p>
    <w:p w14:paraId="0BEC897D">
      <w:pPr>
        <w:snapToGrid w:val="0"/>
        <w:spacing w:line="360" w:lineRule="auto"/>
        <w:ind w:left="629" w:leftChars="-58" w:hanging="768" w:hangingChars="320"/>
        <w:jc w:val="both"/>
        <w:rPr>
          <w:rFonts w:hint="eastAsia" w:ascii="宋体" w:hAnsi="宋体" w:eastAsia="宋体" w:cs="宋体"/>
          <w:color w:val="auto"/>
          <w:kern w:val="44"/>
          <w:highlight w:val="none"/>
          <w:lang w:val="zh-CN"/>
        </w:rPr>
      </w:pPr>
      <w:bookmarkStart w:id="142" w:name="_Toc450662880"/>
    </w:p>
    <w:p w14:paraId="38F68A1A">
      <w:pPr>
        <w:pStyle w:val="4"/>
        <w:keepNext/>
        <w:keepLines/>
        <w:pageBreakBefore w:val="0"/>
        <w:widowControl w:val="0"/>
        <w:tabs>
          <w:tab w:val="left" w:pos="567"/>
        </w:tabs>
        <w:kinsoku/>
        <w:wordWrap/>
        <w:overflowPunct/>
        <w:topLinePunct w:val="0"/>
        <w:autoSpaceDE w:val="0"/>
        <w:autoSpaceDN w:val="0"/>
        <w:bidi w:val="0"/>
        <w:adjustRightInd w:val="0"/>
        <w:snapToGrid/>
        <w:spacing w:line="360" w:lineRule="auto"/>
        <w:ind w:firstLine="211" w:firstLineChars="100"/>
        <w:jc w:val="both"/>
        <w:textAlignment w:val="auto"/>
        <w:outlineLvl w:val="1"/>
        <w:rPr>
          <w:rFonts w:hint="eastAsia" w:ascii="宋体" w:hAnsi="宋体" w:eastAsia="宋体" w:cs="宋体"/>
          <w:b/>
          <w:bCs/>
          <w:color w:val="auto"/>
          <w:kern w:val="44"/>
          <w:sz w:val="21"/>
          <w:szCs w:val="21"/>
          <w:highlight w:val="none"/>
          <w:lang w:val="zh-CN"/>
        </w:rPr>
      </w:pPr>
      <w:bookmarkStart w:id="143" w:name="_Toc29619"/>
      <w:bookmarkStart w:id="144" w:name="_Toc521918101"/>
      <w:r>
        <w:rPr>
          <w:rFonts w:hint="eastAsia" w:ascii="宋体" w:hAnsi="宋体" w:eastAsia="宋体" w:cs="宋体"/>
          <w:b/>
          <w:bCs/>
          <w:color w:val="auto"/>
          <w:kern w:val="44"/>
          <w:sz w:val="21"/>
          <w:szCs w:val="21"/>
          <w:highlight w:val="none"/>
          <w:lang w:val="zh-CN"/>
        </w:rPr>
        <w:t>六、授予合同</w:t>
      </w:r>
      <w:bookmarkEnd w:id="142"/>
      <w:bookmarkEnd w:id="143"/>
      <w:bookmarkEnd w:id="144"/>
    </w:p>
    <w:p w14:paraId="19723DFB">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45" w:name="_Toc521918102"/>
      <w:bookmarkStart w:id="146" w:name="_Toc2314"/>
      <w:bookmarkStart w:id="147" w:name="_Toc450662881"/>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授予合同的准则</w:t>
      </w:r>
      <w:bookmarkEnd w:id="145"/>
      <w:bookmarkEnd w:id="146"/>
      <w:bookmarkEnd w:id="147"/>
    </w:p>
    <w:p w14:paraId="694CA500">
      <w:pPr>
        <w:tabs>
          <w:tab w:val="left" w:pos="645"/>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除第2</w:t>
      </w: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kern w:val="2"/>
          <w:sz w:val="21"/>
          <w:szCs w:val="21"/>
          <w:highlight w:val="none"/>
          <w:lang w:val="en-US" w:eastAsia="zh-CN"/>
        </w:rPr>
        <w:t>30</w:t>
      </w:r>
      <w:r>
        <w:rPr>
          <w:rFonts w:hint="eastAsia" w:ascii="宋体" w:hAnsi="宋体" w:eastAsia="宋体" w:cs="宋体"/>
          <w:color w:val="auto"/>
          <w:kern w:val="2"/>
          <w:sz w:val="21"/>
          <w:szCs w:val="21"/>
          <w:highlight w:val="none"/>
          <w:lang w:val="zh-CN"/>
        </w:rPr>
        <w:t>条</w:t>
      </w:r>
      <w:r>
        <w:rPr>
          <w:rFonts w:hint="eastAsia" w:ascii="宋体" w:hAnsi="宋体" w:eastAsia="宋体" w:cs="宋体"/>
          <w:color w:val="auto"/>
          <w:highlight w:val="none"/>
        </w:rPr>
        <w:t>、</w:t>
      </w: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1</w:t>
      </w:r>
      <w:r>
        <w:rPr>
          <w:rFonts w:hint="eastAsia" w:ascii="宋体" w:hAnsi="宋体" w:eastAsia="宋体" w:cs="宋体"/>
          <w:color w:val="auto"/>
          <w:kern w:val="2"/>
          <w:sz w:val="21"/>
          <w:szCs w:val="21"/>
          <w:highlight w:val="none"/>
          <w:lang w:val="zh-CN"/>
        </w:rPr>
        <w:t>条规定外，采购人将合同授予其响应文件符合竞争性磋商文件要求，并且能承诺履行合同，对采购人最为有利的供应商。</w:t>
      </w:r>
    </w:p>
    <w:p w14:paraId="78B514C5">
      <w:pPr>
        <w:numPr>
          <w:ilvl w:val="1"/>
          <w:numId w:val="0"/>
        </w:numPr>
        <w:tabs>
          <w:tab w:val="left" w:pos="540"/>
        </w:tabs>
        <w:spacing w:line="360" w:lineRule="auto"/>
        <w:ind w:left="540" w:right="51"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.2</w:t>
      </w:r>
      <w:r>
        <w:rPr>
          <w:rFonts w:hint="eastAsia" w:ascii="宋体" w:hAnsi="宋体" w:eastAsia="宋体" w:cs="宋体"/>
          <w:b w:val="0"/>
          <w:bCs w:val="0"/>
          <w:color w:val="auto"/>
          <w:kern w:val="2"/>
          <w:sz w:val="21"/>
          <w:szCs w:val="21"/>
          <w:highlight w:val="none"/>
          <w:u w:val="none"/>
          <w:lang w:val="zh-CN"/>
        </w:rPr>
        <w:t xml:space="preserve"> 采购人依法按照评</w:t>
      </w:r>
      <w:r>
        <w:rPr>
          <w:rFonts w:hint="eastAsia" w:ascii="宋体" w:hAnsi="宋体" w:cs="宋体"/>
          <w:b w:val="0"/>
          <w:bCs w:val="0"/>
          <w:color w:val="auto"/>
          <w:kern w:val="2"/>
          <w:sz w:val="21"/>
          <w:szCs w:val="21"/>
          <w:highlight w:val="none"/>
          <w:u w:val="none"/>
          <w:lang w:val="en-US" w:eastAsia="zh-CN"/>
        </w:rPr>
        <w:t>审</w:t>
      </w:r>
      <w:r>
        <w:rPr>
          <w:rFonts w:hint="eastAsia" w:ascii="宋体" w:hAnsi="宋体" w:eastAsia="宋体" w:cs="宋体"/>
          <w:b w:val="0"/>
          <w:bCs w:val="0"/>
          <w:color w:val="auto"/>
          <w:kern w:val="2"/>
          <w:sz w:val="21"/>
          <w:szCs w:val="21"/>
          <w:highlight w:val="none"/>
          <w:u w:val="none"/>
          <w:lang w:val="zh-CN"/>
        </w:rPr>
        <w:t>报告中推荐的成交候选人</w:t>
      </w:r>
      <w:r>
        <w:rPr>
          <w:rFonts w:hint="eastAsia" w:ascii="宋体" w:hAnsi="宋体" w:eastAsia="宋体" w:cs="宋体"/>
          <w:b w:val="0"/>
          <w:bCs w:val="0"/>
          <w:color w:val="auto"/>
          <w:kern w:val="2"/>
          <w:sz w:val="21"/>
          <w:szCs w:val="21"/>
          <w:highlight w:val="none"/>
          <w:u w:val="none"/>
          <w:lang w:val="en-US" w:eastAsia="zh-CN"/>
        </w:rPr>
        <w:t>顺序确定</w:t>
      </w:r>
      <w:r>
        <w:rPr>
          <w:rFonts w:hint="eastAsia" w:ascii="宋体" w:hAnsi="宋体" w:eastAsia="宋体" w:cs="宋体"/>
          <w:b w:val="0"/>
          <w:bCs w:val="0"/>
          <w:color w:val="auto"/>
          <w:kern w:val="2"/>
          <w:sz w:val="21"/>
          <w:szCs w:val="21"/>
          <w:highlight w:val="none"/>
          <w:u w:val="none"/>
          <w:lang w:val="zh-CN"/>
        </w:rPr>
        <w:t>成交人。</w:t>
      </w:r>
    </w:p>
    <w:p w14:paraId="56C1129C">
      <w:pPr>
        <w:tabs>
          <w:tab w:val="left" w:pos="645"/>
        </w:tabs>
        <w:autoSpaceDE/>
        <w:autoSpaceDN/>
        <w:adjustRightInd/>
        <w:snapToGrid/>
        <w:spacing w:line="360" w:lineRule="auto"/>
        <w:ind w:left="540" w:leftChars="0" w:right="51" w:hanging="540" w:firstLineChars="0"/>
        <w:jc w:val="both"/>
        <w:rPr>
          <w:rFonts w:hint="eastAsia" w:ascii="宋体" w:hAnsi="宋体" w:eastAsia="宋体" w:cs="宋体"/>
          <w:b w:val="0"/>
          <w:color w:val="auto"/>
          <w:kern w:val="2"/>
          <w:sz w:val="21"/>
          <w:szCs w:val="21"/>
          <w:highlight w:val="none"/>
          <w:lang w:val="zh-CN"/>
        </w:rPr>
      </w:pPr>
      <w:bookmarkStart w:id="148" w:name="_Toc450662886"/>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.3 因不可抗力或自身原因不能履行合同的、不按要求</w:t>
      </w:r>
      <w:r>
        <w:rPr>
          <w:rFonts w:hint="eastAsia" w:ascii="宋体" w:hAnsi="宋体" w:eastAsia="宋体" w:cs="宋体"/>
          <w:color w:val="auto"/>
          <w:kern w:val="2"/>
          <w:sz w:val="21"/>
          <w:szCs w:val="21"/>
          <w:highlight w:val="none"/>
          <w:lang w:val="en-US" w:eastAsia="zh-CN"/>
        </w:rPr>
        <w:t>或约定时间内</w:t>
      </w:r>
      <w:r>
        <w:rPr>
          <w:rFonts w:hint="eastAsia" w:ascii="宋体" w:hAnsi="宋体" w:eastAsia="宋体" w:cs="宋体"/>
          <w:color w:val="auto"/>
          <w:kern w:val="2"/>
          <w:sz w:val="21"/>
          <w:szCs w:val="21"/>
          <w:highlight w:val="none"/>
          <w:lang w:val="zh-CN"/>
        </w:rPr>
        <w:t>与</w:t>
      </w:r>
      <w:r>
        <w:rPr>
          <w:rFonts w:hint="eastAsia" w:ascii="宋体" w:hAnsi="宋体" w:eastAsia="宋体" w:cs="宋体"/>
          <w:color w:val="auto"/>
          <w:kern w:val="2"/>
          <w:sz w:val="21"/>
          <w:szCs w:val="21"/>
          <w:highlight w:val="none"/>
          <w:lang w:val="zh-CN" w:eastAsia="zh-CN"/>
        </w:rPr>
        <w:t>采购人</w:t>
      </w:r>
      <w:r>
        <w:rPr>
          <w:rFonts w:hint="eastAsia" w:ascii="宋体" w:hAnsi="宋体" w:eastAsia="宋体" w:cs="宋体"/>
          <w:color w:val="auto"/>
          <w:kern w:val="2"/>
          <w:sz w:val="21"/>
          <w:szCs w:val="21"/>
          <w:highlight w:val="none"/>
          <w:lang w:val="zh-CN"/>
        </w:rPr>
        <w:t>签订合同、</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人放弃</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资格被依法确认无效的，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人可以按照</w:t>
      </w:r>
      <w:r>
        <w:rPr>
          <w:rFonts w:hint="eastAsia" w:ascii="宋体" w:hAnsi="宋体" w:eastAsia="宋体" w:cs="宋体"/>
          <w:color w:val="auto"/>
          <w:kern w:val="2"/>
          <w:sz w:val="21"/>
          <w:szCs w:val="21"/>
          <w:highlight w:val="none"/>
          <w:lang w:val="zh-CN" w:eastAsia="zh-CN"/>
        </w:rPr>
        <w:t>磋商小组</w:t>
      </w:r>
      <w:r>
        <w:rPr>
          <w:rFonts w:hint="eastAsia" w:ascii="宋体" w:hAnsi="宋体" w:eastAsia="宋体" w:cs="宋体"/>
          <w:color w:val="auto"/>
          <w:kern w:val="2"/>
          <w:sz w:val="21"/>
          <w:szCs w:val="21"/>
          <w:highlight w:val="none"/>
          <w:lang w:val="zh-CN"/>
        </w:rPr>
        <w:t>提出的</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候选人名单排序依次确定其他</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候选人为</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人或重新</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b w:val="0"/>
          <w:color w:val="auto"/>
          <w:kern w:val="2"/>
          <w:sz w:val="21"/>
          <w:szCs w:val="21"/>
          <w:highlight w:val="none"/>
          <w:lang w:val="zh-CN"/>
        </w:rPr>
        <w:t>。</w:t>
      </w:r>
    </w:p>
    <w:p w14:paraId="655C0E6B">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438094B">
      <w:pPr>
        <w:tabs>
          <w:tab w:val="left" w:pos="567"/>
        </w:tabs>
        <w:autoSpaceDE/>
        <w:autoSpaceDN/>
        <w:adjustRightInd/>
        <w:spacing w:line="360" w:lineRule="auto"/>
        <w:ind w:left="567" w:leftChars="0" w:hanging="567"/>
        <w:jc w:val="both"/>
        <w:outlineLvl w:val="2"/>
        <w:rPr>
          <w:rFonts w:hint="eastAsia" w:ascii="宋体" w:hAnsi="宋体" w:eastAsia="宋体" w:cs="宋体"/>
          <w:color w:val="auto"/>
          <w:kern w:val="2"/>
          <w:sz w:val="21"/>
          <w:szCs w:val="21"/>
          <w:highlight w:val="none"/>
          <w:lang w:val="zh-CN"/>
        </w:rPr>
      </w:pPr>
      <w:bookmarkStart w:id="149" w:name="_Toc14377"/>
      <w:bookmarkStart w:id="150" w:name="_Toc304"/>
      <w:bookmarkStart w:id="151" w:name="_Toc142508350"/>
      <w:bookmarkStart w:id="152" w:name="_Toc18984"/>
      <w:bookmarkStart w:id="153" w:name="_Toc486167699"/>
      <w:bookmarkStart w:id="154" w:name="_Toc8196"/>
      <w:bookmarkStart w:id="155" w:name="_Toc6726_WPSOffice_Level3"/>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3 </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通知</w:t>
      </w:r>
      <w:bookmarkEnd w:id="149"/>
      <w:bookmarkEnd w:id="150"/>
      <w:bookmarkEnd w:id="151"/>
      <w:bookmarkEnd w:id="152"/>
      <w:bookmarkEnd w:id="153"/>
      <w:bookmarkEnd w:id="154"/>
      <w:bookmarkEnd w:id="155"/>
    </w:p>
    <w:p w14:paraId="71D8FEDF">
      <w:pPr>
        <w:numPr>
          <w:ilvl w:val="1"/>
          <w:numId w:val="0"/>
        </w:numPr>
        <w:tabs>
          <w:tab w:val="left" w:pos="540"/>
        </w:tabs>
        <w:autoSpaceDE/>
        <w:autoSpaceDN/>
        <w:adjustRightInd/>
        <w:snapToGrid/>
        <w:spacing w:line="360" w:lineRule="auto"/>
        <w:ind w:left="540" w:leftChars="0" w:right="51" w:hanging="540" w:firstLineChars="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通知书是合同的一个组成部分。</w:t>
      </w:r>
    </w:p>
    <w:p w14:paraId="1E1E5657">
      <w:pPr>
        <w:numPr>
          <w:ilvl w:val="-1"/>
          <w:numId w:val="0"/>
        </w:numPr>
        <w:autoSpaceDE/>
        <w:autoSpaceDN/>
        <w:adjustRightInd/>
        <w:snapToGrid w:val="0"/>
        <w:spacing w:line="360" w:lineRule="auto"/>
        <w:ind w:left="525" w:leftChars="0" w:right="0" w:hanging="525" w:hangingChars="250"/>
        <w:jc w:val="both"/>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代理机构向</w:t>
      </w:r>
      <w:r>
        <w:rPr>
          <w:rFonts w:hint="eastAsia" w:ascii="宋体" w:hAnsi="宋体" w:eastAsia="宋体" w:cs="宋体"/>
          <w:color w:val="auto"/>
          <w:kern w:val="2"/>
          <w:sz w:val="21"/>
          <w:szCs w:val="21"/>
          <w:highlight w:val="none"/>
          <w:lang w:val="zh-CN" w:eastAsia="zh-CN"/>
        </w:rPr>
        <w:t>成交</w:t>
      </w:r>
      <w:r>
        <w:rPr>
          <w:rFonts w:hint="eastAsia" w:ascii="宋体" w:hAnsi="宋体" w:eastAsia="宋体" w:cs="宋体"/>
          <w:color w:val="auto"/>
          <w:kern w:val="2"/>
          <w:sz w:val="21"/>
          <w:szCs w:val="21"/>
          <w:highlight w:val="none"/>
          <w:lang w:val="zh-CN"/>
        </w:rPr>
        <w:t>人发出书面通知的同时，</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代理机构通知落选的</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其</w:t>
      </w:r>
      <w:r>
        <w:rPr>
          <w:rFonts w:hint="eastAsia" w:ascii="宋体" w:hAnsi="宋体" w:eastAsia="宋体" w:cs="宋体"/>
          <w:color w:val="auto"/>
          <w:kern w:val="2"/>
          <w:sz w:val="21"/>
          <w:szCs w:val="21"/>
          <w:highlight w:val="none"/>
          <w:lang w:val="zh-CN" w:eastAsia="zh-CN"/>
        </w:rPr>
        <w:t>响应</w:t>
      </w:r>
      <w:r>
        <w:rPr>
          <w:rFonts w:hint="eastAsia" w:ascii="宋体" w:hAnsi="宋体" w:eastAsia="宋体" w:cs="宋体"/>
          <w:color w:val="auto"/>
          <w:kern w:val="2"/>
          <w:sz w:val="21"/>
          <w:szCs w:val="21"/>
          <w:highlight w:val="none"/>
          <w:lang w:val="zh-CN"/>
        </w:rPr>
        <w:t>文件未被接受而不提原因。</w:t>
      </w:r>
    </w:p>
    <w:p w14:paraId="4908CBE2">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0ACD960A">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75D94373">
      <w:pPr>
        <w:tabs>
          <w:tab w:val="left" w:pos="567"/>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6" w:name="_Toc29614"/>
      <w:bookmarkStart w:id="157" w:name="_Toc521918104"/>
      <w:r>
        <w:rPr>
          <w:rFonts w:hint="eastAsia" w:ascii="宋体" w:hAnsi="宋体" w:eastAsia="宋体" w:cs="宋体"/>
          <w:color w:val="auto"/>
          <w:kern w:val="2"/>
          <w:sz w:val="21"/>
          <w:szCs w:val="21"/>
          <w:highlight w:val="none"/>
          <w:lang w:val="zh-CN"/>
        </w:rPr>
        <w:t>3</w:t>
      </w:r>
      <w:r>
        <w:rPr>
          <w:rFonts w:hint="eastAsia" w:ascii="宋体" w:hAnsi="宋体" w:cs="宋体"/>
          <w:color w:val="auto"/>
          <w:kern w:val="2"/>
          <w:sz w:val="21"/>
          <w:szCs w:val="21"/>
          <w:highlight w:val="none"/>
          <w:lang w:val="en-US" w:eastAsia="zh-CN"/>
        </w:rPr>
        <w:t xml:space="preserve">4 </w:t>
      </w:r>
      <w:r>
        <w:rPr>
          <w:rFonts w:hint="eastAsia" w:ascii="宋体" w:hAnsi="宋体" w:eastAsia="宋体" w:cs="宋体"/>
          <w:color w:val="auto"/>
          <w:kern w:val="2"/>
          <w:sz w:val="21"/>
          <w:szCs w:val="21"/>
          <w:highlight w:val="none"/>
          <w:lang w:val="zh-CN"/>
        </w:rPr>
        <w:t>签署合同</w:t>
      </w:r>
      <w:bookmarkEnd w:id="148"/>
      <w:bookmarkEnd w:id="156"/>
      <w:bookmarkEnd w:id="157"/>
    </w:p>
    <w:p w14:paraId="7AA2BF4E">
      <w:pPr>
        <w:tabs>
          <w:tab w:val="left" w:pos="540"/>
        </w:tabs>
        <w:spacing w:line="360" w:lineRule="auto"/>
        <w:ind w:left="540" w:right="18" w:hanging="54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b/>
          <w:color w:val="auto"/>
          <w:kern w:val="2"/>
          <w:sz w:val="21"/>
          <w:szCs w:val="21"/>
          <w:highlight w:val="none"/>
          <w:u w:val="single"/>
          <w:lang w:val="zh-CN"/>
        </w:rPr>
        <w:t>成交人在自成交通知书发出之日起</w:t>
      </w:r>
      <w:r>
        <w:rPr>
          <w:rFonts w:hint="eastAsia" w:ascii="宋体" w:hAnsi="宋体" w:cs="宋体"/>
          <w:b/>
          <w:color w:val="auto"/>
          <w:kern w:val="2"/>
          <w:sz w:val="21"/>
          <w:szCs w:val="21"/>
          <w:highlight w:val="none"/>
          <w:u w:val="single"/>
          <w:lang w:val="en-US" w:eastAsia="zh-CN"/>
        </w:rPr>
        <w:t>30</w:t>
      </w:r>
      <w:r>
        <w:rPr>
          <w:rFonts w:hint="eastAsia" w:ascii="宋体" w:hAnsi="宋体" w:eastAsia="宋体" w:cs="宋体"/>
          <w:b/>
          <w:color w:val="auto"/>
          <w:kern w:val="2"/>
          <w:sz w:val="21"/>
          <w:szCs w:val="21"/>
          <w:highlight w:val="none"/>
          <w:u w:val="single"/>
          <w:lang w:val="zh-CN"/>
        </w:rPr>
        <w:t>日内，</w:t>
      </w:r>
      <w:r>
        <w:rPr>
          <w:rFonts w:hint="eastAsia" w:ascii="宋体" w:hAnsi="宋体" w:cs="宋体"/>
          <w:b/>
          <w:color w:val="auto"/>
          <w:kern w:val="2"/>
          <w:sz w:val="21"/>
          <w:szCs w:val="21"/>
          <w:highlight w:val="none"/>
          <w:u w:val="single"/>
          <w:lang w:val="en-US" w:eastAsia="zh-CN"/>
        </w:rPr>
        <w:t>按照竞争性磋商文件和成交人的响应文件的约定，与采购人签订书面合同，具体签订方式以采购人通知为准。</w:t>
      </w:r>
      <w:r>
        <w:rPr>
          <w:rFonts w:hint="eastAsia" w:ascii="宋体" w:hAnsi="宋体" w:eastAsia="宋体" w:cs="宋体"/>
          <w:b/>
          <w:color w:val="auto"/>
          <w:kern w:val="2"/>
          <w:sz w:val="21"/>
          <w:szCs w:val="21"/>
          <w:highlight w:val="none"/>
          <w:u w:val="single"/>
          <w:lang w:val="zh-CN"/>
        </w:rPr>
        <w:t>否则采购人有权取消</w:t>
      </w:r>
      <w:r>
        <w:rPr>
          <w:rFonts w:hint="eastAsia" w:ascii="宋体" w:hAnsi="宋体" w:eastAsia="宋体" w:cs="宋体"/>
          <w:b/>
          <w:color w:val="auto"/>
          <w:kern w:val="2"/>
          <w:sz w:val="21"/>
          <w:szCs w:val="21"/>
          <w:highlight w:val="none"/>
          <w:u w:val="single"/>
          <w:lang w:val="en-US" w:eastAsia="zh-CN"/>
        </w:rPr>
        <w:t>成交</w:t>
      </w:r>
      <w:r>
        <w:rPr>
          <w:rFonts w:hint="eastAsia" w:ascii="宋体" w:hAnsi="宋体" w:eastAsia="宋体" w:cs="宋体"/>
          <w:b/>
          <w:color w:val="auto"/>
          <w:kern w:val="2"/>
          <w:sz w:val="21"/>
          <w:szCs w:val="21"/>
          <w:highlight w:val="none"/>
          <w:u w:val="single"/>
          <w:lang w:val="zh-CN"/>
        </w:rPr>
        <w:t>资格并按竞争性磋商文件及法律、法规的规定进行处理</w:t>
      </w:r>
      <w:r>
        <w:rPr>
          <w:rFonts w:hint="eastAsia" w:ascii="宋体" w:hAnsi="宋体" w:eastAsia="宋体" w:cs="宋体"/>
          <w:color w:val="auto"/>
          <w:kern w:val="2"/>
          <w:sz w:val="21"/>
          <w:szCs w:val="21"/>
          <w:highlight w:val="none"/>
          <w:lang w:val="zh-CN"/>
        </w:rPr>
        <w:t>。</w:t>
      </w:r>
    </w:p>
    <w:p w14:paraId="2EC01905">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.2 在签署合同前，采购人可对成交人响应报价表内的算术性错误的情况进行修正，修正原则为：</w:t>
      </w:r>
    </w:p>
    <w:p w14:paraId="28616A78">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（1）当以数字表示的金额与以文字表示的金额不一致时，以文字表示的金额为准；</w:t>
      </w:r>
    </w:p>
    <w:p w14:paraId="571E9EA0">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2</w:t>
      </w:r>
      <w:r>
        <w:rPr>
          <w:rFonts w:hint="eastAsia" w:ascii="宋体" w:hAnsi="宋体" w:eastAsia="宋体" w:cs="宋体"/>
          <w:color w:val="auto"/>
          <w:kern w:val="2"/>
          <w:sz w:val="21"/>
          <w:szCs w:val="21"/>
          <w:highlight w:val="none"/>
          <w:lang w:val="zh-CN"/>
        </w:rPr>
        <w:t>）当分项报价表内</w:t>
      </w:r>
      <w:r>
        <w:rPr>
          <w:rFonts w:hint="eastAsia" w:ascii="宋体" w:hAnsi="宋体" w:eastAsia="宋体" w:cs="宋体"/>
          <w:color w:val="auto"/>
          <w:kern w:val="2"/>
          <w:sz w:val="21"/>
          <w:szCs w:val="21"/>
          <w:highlight w:val="none"/>
          <w:lang w:val="zh-CN" w:eastAsia="zh-CN"/>
        </w:rPr>
        <w:t>合计</w:t>
      </w:r>
      <w:r>
        <w:rPr>
          <w:rFonts w:hint="eastAsia" w:ascii="宋体" w:hAnsi="宋体" w:eastAsia="宋体" w:cs="宋体"/>
          <w:color w:val="auto"/>
          <w:kern w:val="2"/>
          <w:sz w:val="21"/>
          <w:szCs w:val="21"/>
          <w:highlight w:val="none"/>
          <w:lang w:val="zh-CN"/>
        </w:rPr>
        <w:t>与</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报价表内报价不</w:t>
      </w:r>
      <w:r>
        <w:rPr>
          <w:rFonts w:hint="eastAsia" w:ascii="宋体" w:hAnsi="宋体" w:eastAsia="宋体" w:cs="宋体"/>
          <w:color w:val="auto"/>
          <w:kern w:val="2"/>
          <w:sz w:val="21"/>
          <w:szCs w:val="21"/>
          <w:highlight w:val="none"/>
          <w:lang w:val="zh-CN" w:eastAsia="zh-CN"/>
        </w:rPr>
        <w:t>一致</w:t>
      </w:r>
      <w:r>
        <w:rPr>
          <w:rFonts w:hint="eastAsia" w:ascii="宋体" w:hAnsi="宋体" w:eastAsia="宋体" w:cs="宋体"/>
          <w:color w:val="auto"/>
          <w:kern w:val="2"/>
          <w:sz w:val="21"/>
          <w:szCs w:val="21"/>
          <w:highlight w:val="none"/>
          <w:lang w:val="zh-CN"/>
        </w:rPr>
        <w:t>时，以</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报价表为准，修正分项报价表内的各分项报价；</w:t>
      </w:r>
    </w:p>
    <w:p w14:paraId="6941425A">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zh-CN" w:eastAsia="zh-CN"/>
        </w:rPr>
        <w:t>3</w:t>
      </w:r>
      <w:r>
        <w:rPr>
          <w:rFonts w:hint="eastAsia" w:ascii="宋体" w:hAnsi="宋体" w:eastAsia="宋体" w:cs="宋体"/>
          <w:color w:val="auto"/>
          <w:kern w:val="2"/>
          <w:sz w:val="21"/>
          <w:szCs w:val="21"/>
          <w:highlight w:val="none"/>
          <w:lang w:val="zh-CN"/>
        </w:rPr>
        <w:t>）按前述修正原则排序依次进行修正至唯一值后的报价表经双方确认后，作为合同文件的组成部分。</w:t>
      </w:r>
    </w:p>
    <w:p w14:paraId="5A64D08D">
      <w:pPr>
        <w:snapToGrid w:val="0"/>
        <w:spacing w:line="360" w:lineRule="auto"/>
        <w:ind w:left="523" w:leftChars="218" w:firstLine="42" w:firstLineChars="20"/>
        <w:jc w:val="both"/>
        <w:rPr>
          <w:rFonts w:hint="eastAsia" w:ascii="宋体" w:hAnsi="宋体" w:eastAsia="宋体" w:cs="宋体"/>
          <w:color w:val="auto"/>
          <w:kern w:val="2"/>
          <w:sz w:val="21"/>
          <w:szCs w:val="21"/>
          <w:highlight w:val="none"/>
          <w:lang w:val="zh-CN"/>
        </w:rPr>
      </w:pPr>
    </w:p>
    <w:p w14:paraId="711F8321">
      <w:pPr>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58" w:name="_Toc16657"/>
      <w:bookmarkStart w:id="159" w:name="_Toc51642383"/>
      <w:bookmarkStart w:id="160" w:name="_Toc450662887"/>
      <w:bookmarkStart w:id="161" w:name="_Toc521918105"/>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履约担保</w:t>
      </w:r>
      <w:bookmarkEnd w:id="158"/>
      <w:bookmarkEnd w:id="159"/>
    </w:p>
    <w:p w14:paraId="04C9D2D4">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35.1</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人应在签订合同前，按本</w:t>
      </w:r>
      <w:r>
        <w:rPr>
          <w:rFonts w:hint="eastAsia" w:ascii="宋体" w:hAnsi="宋体" w:cs="宋体"/>
          <w:b/>
          <w:bCs/>
          <w:color w:val="auto"/>
          <w:kern w:val="2"/>
          <w:sz w:val="21"/>
          <w:szCs w:val="21"/>
          <w:highlight w:val="none"/>
          <w:u w:val="single"/>
          <w:lang w:val="en-US" w:eastAsia="zh-CN"/>
        </w:rPr>
        <w:t>竞争性磋商</w:t>
      </w:r>
      <w:r>
        <w:rPr>
          <w:rFonts w:hint="eastAsia" w:ascii="宋体" w:hAnsi="宋体" w:eastAsia="宋体" w:cs="宋体"/>
          <w:b/>
          <w:bCs/>
          <w:color w:val="auto"/>
          <w:kern w:val="2"/>
          <w:sz w:val="21"/>
          <w:szCs w:val="21"/>
          <w:highlight w:val="none"/>
          <w:u w:val="single"/>
          <w:lang w:val="zh-CN"/>
        </w:rPr>
        <w:t>文件规定金额及形式要求，向</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人提交不可撤销的银行履约保函（或履约保证金</w:t>
      </w:r>
      <w:r>
        <w:rPr>
          <w:rFonts w:hint="eastAsia" w:ascii="宋体" w:hAnsi="宋体" w:eastAsia="宋体" w:cs="宋体"/>
          <w:b/>
          <w:bCs/>
          <w:color w:val="auto"/>
          <w:kern w:val="2"/>
          <w:sz w:val="21"/>
          <w:szCs w:val="21"/>
          <w:highlight w:val="none"/>
          <w:u w:val="single"/>
          <w:lang w:val="zh-CN" w:eastAsia="zh-CN"/>
        </w:rPr>
        <w:t>或</w:t>
      </w:r>
      <w:r>
        <w:rPr>
          <w:rFonts w:hint="eastAsia" w:ascii="宋体" w:hAnsi="宋体" w:eastAsia="宋体" w:cs="宋体"/>
          <w:b/>
          <w:bCs/>
          <w:color w:val="auto"/>
          <w:kern w:val="2"/>
          <w:sz w:val="21"/>
          <w:szCs w:val="21"/>
          <w:highlight w:val="none"/>
          <w:u w:val="single"/>
          <w:lang w:val="zh-CN"/>
        </w:rPr>
        <w:t>履约保证保险或担保公司履约担保书），作为履约担保（所需费用由</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人自行承担），否则</w:t>
      </w:r>
      <w:r>
        <w:rPr>
          <w:rFonts w:hint="eastAsia" w:ascii="宋体" w:hAnsi="宋体" w:cs="宋体"/>
          <w:b/>
          <w:bCs/>
          <w:color w:val="auto"/>
          <w:kern w:val="2"/>
          <w:sz w:val="21"/>
          <w:szCs w:val="21"/>
          <w:highlight w:val="none"/>
          <w:u w:val="single"/>
          <w:lang w:val="en-US" w:eastAsia="zh-CN"/>
        </w:rPr>
        <w:t>采购</w:t>
      </w:r>
      <w:r>
        <w:rPr>
          <w:rFonts w:hint="eastAsia" w:ascii="宋体" w:hAnsi="宋体" w:eastAsia="宋体" w:cs="宋体"/>
          <w:b/>
          <w:bCs/>
          <w:color w:val="auto"/>
          <w:kern w:val="2"/>
          <w:sz w:val="21"/>
          <w:szCs w:val="21"/>
          <w:highlight w:val="none"/>
          <w:u w:val="single"/>
          <w:lang w:val="zh-CN"/>
        </w:rPr>
        <w:t>人可有权取消</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人的</w:t>
      </w:r>
      <w:r>
        <w:rPr>
          <w:rFonts w:hint="eastAsia" w:ascii="宋体" w:hAnsi="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资格，并不予退还其</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保证金。履约担保金额为人民币</w:t>
      </w:r>
      <w:r>
        <w:rPr>
          <w:rFonts w:hint="eastAsia" w:ascii="宋体" w:hAnsi="宋体" w:cs="宋体"/>
          <w:b/>
          <w:bCs/>
          <w:color w:val="auto"/>
          <w:kern w:val="2"/>
          <w:sz w:val="21"/>
          <w:szCs w:val="21"/>
          <w:highlight w:val="none"/>
          <w:u w:val="single"/>
          <w:lang w:val="en-US" w:eastAsia="zh-CN"/>
        </w:rPr>
        <w:t>10</w:t>
      </w:r>
      <w:r>
        <w:rPr>
          <w:rFonts w:hint="eastAsia" w:ascii="宋体" w:hAnsi="宋体" w:eastAsia="宋体" w:cs="宋体"/>
          <w:b/>
          <w:bCs/>
          <w:color w:val="auto"/>
          <w:kern w:val="2"/>
          <w:sz w:val="21"/>
          <w:szCs w:val="21"/>
          <w:highlight w:val="none"/>
          <w:u w:val="single"/>
          <w:lang w:val="zh-CN"/>
        </w:rPr>
        <w:t>万元</w:t>
      </w:r>
      <w:r>
        <w:rPr>
          <w:rFonts w:hint="eastAsia" w:ascii="宋体" w:hAnsi="宋体" w:eastAsia="宋体" w:cs="宋体"/>
          <w:bCs w:val="0"/>
          <w:color w:val="auto"/>
          <w:kern w:val="2"/>
          <w:sz w:val="21"/>
          <w:szCs w:val="21"/>
          <w:highlight w:val="none"/>
          <w:lang w:val="zh-CN"/>
        </w:rPr>
        <w:t>。合同履行过程中，</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人造成的损失超过履约担保数额的，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人还应当对超过部分予以赔偿，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人并依法追究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人的相应责任。</w:t>
      </w:r>
    </w:p>
    <w:p w14:paraId="10F66C8D">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35.2</w:t>
      </w:r>
      <w:r>
        <w:rPr>
          <w:rFonts w:hint="eastAsia" w:ascii="宋体" w:hAnsi="宋体" w:eastAsia="宋体" w:cs="宋体"/>
          <w:bCs w:val="0"/>
          <w:color w:val="auto"/>
          <w:kern w:val="2"/>
          <w:sz w:val="21"/>
          <w:szCs w:val="21"/>
          <w:highlight w:val="none"/>
          <w:lang w:val="zh-CN" w:eastAsia="zh-CN"/>
        </w:rPr>
        <w:t xml:space="preserve"> </w:t>
      </w:r>
      <w:r>
        <w:rPr>
          <w:rFonts w:hint="eastAsia" w:ascii="宋体" w:hAnsi="宋体" w:eastAsia="宋体" w:cs="宋体"/>
          <w:bCs w:val="0"/>
          <w:color w:val="auto"/>
          <w:kern w:val="2"/>
          <w:sz w:val="21"/>
          <w:szCs w:val="21"/>
          <w:highlight w:val="none"/>
          <w:lang w:val="zh-CN"/>
        </w:rPr>
        <w:t>履约担保用于补偿</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人不能完全履行其合同义务而蒙受的损失或其他合同约定的事项。如发生下列任一情况时，</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人有权依合同追究违约责任外，同时有权提取履约担保并进行相应处理：</w:t>
      </w:r>
    </w:p>
    <w:p w14:paraId="6CED3F3F">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人将合同项下</w:t>
      </w:r>
      <w:r>
        <w:rPr>
          <w:rFonts w:hint="eastAsia" w:ascii="宋体" w:hAnsi="宋体" w:cs="宋体"/>
          <w:bCs w:val="0"/>
          <w:color w:val="auto"/>
          <w:kern w:val="2"/>
          <w:sz w:val="21"/>
          <w:szCs w:val="21"/>
          <w:highlight w:val="none"/>
          <w:lang w:val="zh-CN"/>
        </w:rPr>
        <w:t>成交人</w:t>
      </w:r>
      <w:r>
        <w:rPr>
          <w:rFonts w:hint="eastAsia" w:ascii="宋体" w:hAnsi="宋体" w:eastAsia="宋体" w:cs="宋体"/>
          <w:bCs w:val="0"/>
          <w:color w:val="auto"/>
          <w:kern w:val="2"/>
          <w:sz w:val="21"/>
          <w:szCs w:val="21"/>
          <w:highlight w:val="none"/>
          <w:lang w:val="zh-CN"/>
        </w:rPr>
        <w:t>的权利义务全部转让给第三方，或未经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人书面同意将部分权利义务转让给第三方的，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人有权没收其履约担保。</w:t>
      </w:r>
    </w:p>
    <w:p w14:paraId="288F4BF8">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人怠于履行合同义务，经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人通知或要求承担违约金后仍拒不改正的，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人有权没收或适当扣除其履约担保。</w:t>
      </w:r>
    </w:p>
    <w:p w14:paraId="2B97AA25">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（3）在合同履行期间，因</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人服务质量问题造成损害、侵权损失（包括但不限于</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人经济损失、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人所雇人员及第三人人身财产损失等）、拖欠原材料供应商货款或与其所雇用员工发生劳资纠纷、上访、闹事或其他影响</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人生产经营等情况而其未及时妥善处理的，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人有权使用履约担保予以支付或作出相应处理，由此产生的一切法律后果由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39418CC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（4）在合同履行期间，</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人违约产生的违约金、赔偿、罚款或其他应付费用等款项，</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人有权直接从未付款项中直接扣除或启用履约担保予以支付。</w:t>
      </w:r>
    </w:p>
    <w:p w14:paraId="29852B40">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（5）合同期内，</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人不能及时完成合同某项义务的，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人有权提取履约担保用于处理该项工作。</w:t>
      </w:r>
    </w:p>
    <w:p w14:paraId="0128A73D">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（6）其他根据本合同约定或法律规定，</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人可启用履约担保的情形。</w:t>
      </w:r>
    </w:p>
    <w:p w14:paraId="4862A96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35.3 履约担保应符合如下规定：</w:t>
      </w:r>
    </w:p>
    <w:p w14:paraId="71F891DB">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（1）出具履约保函的银行必须是境内支行一级以上机构，并经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w:t>
      </w:r>
    </w:p>
    <w:p w14:paraId="20A578FB">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（2）履约担保格式应采用</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文件中提供的（格式参见第五篇），</w:t>
      </w:r>
      <w:r>
        <w:rPr>
          <w:rFonts w:hint="eastAsia" w:ascii="宋体" w:hAnsi="宋体" w:cs="宋体"/>
          <w:bCs w:val="0"/>
          <w:color w:val="auto"/>
          <w:kern w:val="2"/>
          <w:sz w:val="21"/>
          <w:szCs w:val="21"/>
          <w:highlight w:val="none"/>
          <w:lang w:val="en-US" w:eastAsia="zh-CN"/>
        </w:rPr>
        <w:t>供应商</w:t>
      </w:r>
      <w:r>
        <w:rPr>
          <w:rFonts w:hint="eastAsia" w:ascii="宋体" w:hAnsi="宋体" w:eastAsia="宋体" w:cs="宋体"/>
          <w:bCs w:val="0"/>
          <w:color w:val="auto"/>
          <w:kern w:val="2"/>
          <w:sz w:val="21"/>
          <w:szCs w:val="21"/>
          <w:highlight w:val="none"/>
          <w:lang w:val="zh-CN"/>
        </w:rPr>
        <w:t>如以履约保函（或履约保证保险或担保公司履约担保书）形式提供履约担保的，</w:t>
      </w:r>
      <w:r>
        <w:rPr>
          <w:rFonts w:hint="eastAsia" w:ascii="宋体" w:hAnsi="宋体" w:cs="宋体"/>
          <w:bCs w:val="0"/>
          <w:color w:val="auto"/>
          <w:kern w:val="2"/>
          <w:sz w:val="21"/>
          <w:szCs w:val="21"/>
          <w:highlight w:val="none"/>
          <w:lang w:val="en-US" w:eastAsia="zh-CN"/>
        </w:rPr>
        <w:t>响应</w:t>
      </w:r>
      <w:r>
        <w:rPr>
          <w:rFonts w:hint="eastAsia" w:ascii="宋体" w:hAnsi="宋体" w:eastAsia="宋体" w:cs="宋体"/>
          <w:bCs w:val="0"/>
          <w:color w:val="auto"/>
          <w:kern w:val="2"/>
          <w:sz w:val="21"/>
          <w:szCs w:val="21"/>
          <w:highlight w:val="none"/>
          <w:lang w:val="zh-CN"/>
        </w:rPr>
        <w:t>前应当自行向其拟申请开具保函的银行（或保险或担保）机构落实履约保函（或履约保证保险或担保公司履约担保书）格式情况，以确保能按本</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文件规定的格式提供保函。如使用其他格式的履约保函（或履约保证保险或担保公司履约担保书），须事先经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人的书面同意。</w:t>
      </w:r>
    </w:p>
    <w:p w14:paraId="3F49C70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（3）提供担保的担保机构经济性质须为东莞市国有企业，或政府性融资担保机构（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人须提供能证明其属于政府性融资担保机构的证明文件），并经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人同意，执行本款时所发生的费用由</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人承担。如</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人合同条款接受担保公司预付款担保函的，对担保机构要求参照本条执行。</w:t>
      </w:r>
    </w:p>
    <w:p w14:paraId="54CD0B8E">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（4）如果</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人提交的履约担保的有效期届满时间先于</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文件、合同文件要求的，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人应在原提交的履约担保有效期届满前15日内，无条件办理符合</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人要求的履约担保延期手续，否则视为</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人违约，</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人有权在不可撤销银行履约保函或履约保证保险或担保公司履约担保书到期前向出具履约担保的机构提取履约担保金。在不可撤销银行履约保函（或履约保证保险或担保公司履约担保书）到期后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人未按</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人要求重新提供的，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人以履约担保金额为限承担违约金，违约金可直接从未付采购合同费用中扣除。</w:t>
      </w:r>
    </w:p>
    <w:p w14:paraId="4F2E1E1A">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（5）在合同履行过程中，不论何种原因导致履约担保金数额不符合</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文件要求的，</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人应当在5日内予以补足。逾期不予补足的，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人有权按需补足的金额要求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人承担违约金，并要求限期补足。如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人仍不补足的，</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人有权单方解除合同，违约金可直接从未付合同款或履约担保中扣除。</w:t>
      </w:r>
    </w:p>
    <w:p w14:paraId="1C9B443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（6）不可撤销银行履约保函（或履约保证保险或担保公司履约担保书）应自合同签订之日起至合同期限届满并完成合同全部服务义务后二十八（28）日内保持有效。</w:t>
      </w:r>
    </w:p>
    <w:p w14:paraId="3CB1D987">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35.4 履约保证金应用本合同货币。</w:t>
      </w:r>
    </w:p>
    <w:p w14:paraId="540261BC">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35.5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人也可以按</w:t>
      </w:r>
      <w:r>
        <w:rPr>
          <w:rFonts w:hint="eastAsia" w:ascii="宋体" w:hAnsi="宋体" w:cs="宋体"/>
          <w:bCs w:val="0"/>
          <w:color w:val="auto"/>
          <w:kern w:val="2"/>
          <w:sz w:val="21"/>
          <w:szCs w:val="21"/>
          <w:highlight w:val="none"/>
          <w:lang w:val="en-US" w:eastAsia="zh-CN"/>
        </w:rPr>
        <w:t>竞争性磋商</w:t>
      </w:r>
      <w:r>
        <w:rPr>
          <w:rFonts w:hint="eastAsia" w:ascii="宋体" w:hAnsi="宋体" w:eastAsia="宋体" w:cs="宋体"/>
          <w:bCs w:val="0"/>
          <w:color w:val="auto"/>
          <w:kern w:val="2"/>
          <w:sz w:val="21"/>
          <w:szCs w:val="21"/>
          <w:highlight w:val="none"/>
          <w:lang w:val="zh-CN"/>
        </w:rPr>
        <w:t>文件约定的额度和时间，向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人交纳同等数额的履约保证金作为履约担保。如</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人提交的履约保证金是其分支机构以转账形式转入的，要提交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人的法人书面授权，不接受由私人账户和其它单位转入的保证金，也不接受现金形式提交。履约保证金应以存入</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人指定的以下银行账户为准。</w:t>
      </w:r>
    </w:p>
    <w:p w14:paraId="3F750A3F">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履约保证金账户：</w:t>
      </w:r>
    </w:p>
    <w:p w14:paraId="22EA5913">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开户名称：东莞市众源环境投资有限公司</w:t>
      </w:r>
    </w:p>
    <w:p w14:paraId="25B74D55">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银行账号：769908269610828</w:t>
      </w:r>
    </w:p>
    <w:p w14:paraId="50396E38">
      <w:pPr>
        <w:numPr>
          <w:ilvl w:val="-1"/>
          <w:numId w:val="0"/>
        </w:numPr>
        <w:snapToGrid w:val="0"/>
        <w:spacing w:line="360" w:lineRule="auto"/>
        <w:ind w:left="629" w:leftChars="262" w:right="0" w:firstLine="316" w:firstLineChars="150"/>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开户银行：招商银行股份有限公司东莞分行</w:t>
      </w:r>
    </w:p>
    <w:p w14:paraId="29CE8AB6">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35.6 </w:t>
      </w:r>
      <w:r>
        <w:rPr>
          <w:rFonts w:hint="eastAsia" w:ascii="宋体" w:hAnsi="宋体" w:cs="宋体"/>
          <w:bCs w:val="0"/>
          <w:color w:val="auto"/>
          <w:kern w:val="2"/>
          <w:sz w:val="21"/>
          <w:szCs w:val="21"/>
          <w:highlight w:val="none"/>
          <w:lang w:val="en-US" w:eastAsia="zh-CN"/>
        </w:rPr>
        <w:t>成交人</w:t>
      </w:r>
      <w:r>
        <w:rPr>
          <w:rFonts w:hint="eastAsia" w:ascii="宋体" w:hAnsi="宋体" w:eastAsia="宋体" w:cs="宋体"/>
          <w:bCs w:val="0"/>
          <w:color w:val="auto"/>
          <w:kern w:val="2"/>
          <w:sz w:val="21"/>
          <w:szCs w:val="21"/>
          <w:highlight w:val="none"/>
          <w:lang w:val="zh-CN"/>
        </w:rPr>
        <w:t>提交了履约担保后，当履约保证金转达</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人履约保证金账户后，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人将履约保证金的汇款凭证用A4纸复印件（注明</w:t>
      </w:r>
      <w:r>
        <w:rPr>
          <w:rFonts w:hint="eastAsia" w:ascii="宋体" w:hAnsi="宋体" w:cs="宋体"/>
          <w:bCs w:val="0"/>
          <w:color w:val="auto"/>
          <w:kern w:val="2"/>
          <w:sz w:val="21"/>
          <w:szCs w:val="21"/>
          <w:highlight w:val="none"/>
          <w:lang w:val="zh-CN"/>
        </w:rPr>
        <w:t>采购</w:t>
      </w:r>
      <w:r>
        <w:rPr>
          <w:rFonts w:hint="eastAsia" w:ascii="宋体" w:hAnsi="宋体" w:eastAsia="宋体" w:cs="宋体"/>
          <w:bCs w:val="0"/>
          <w:color w:val="auto"/>
          <w:kern w:val="2"/>
          <w:sz w:val="21"/>
          <w:szCs w:val="21"/>
          <w:highlight w:val="none"/>
          <w:lang w:val="zh-CN"/>
        </w:rPr>
        <w:t>编号）一式二份并加盖</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人的公章送</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代理机构，[或当</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人采取不可撤销银行履约保函（或履约保证保险或担保公司履约担保书）的方式缴纳履约担保时，</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人将不可撤销银行履约保函（或履约保证保险或担保公司履约担保书）原件交给</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人，由</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人在履约保函一式两份复印件上注明“原件已收”及签收人、日期后，</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人在每份复印件上加盖</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人的公章，送</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代理机构]。</w:t>
      </w:r>
    </w:p>
    <w:p w14:paraId="788DA569">
      <w:pPr>
        <w:numPr>
          <w:ilvl w:val="-1"/>
          <w:numId w:val="0"/>
        </w:numPr>
        <w:snapToGrid w:val="0"/>
        <w:spacing w:line="360" w:lineRule="auto"/>
        <w:ind w:left="525" w:right="0" w:hanging="525" w:hangingChars="250"/>
        <w:jc w:val="both"/>
        <w:rPr>
          <w:rFonts w:hint="eastAsia" w:ascii="宋体" w:hAnsi="宋体" w:eastAsia="宋体" w:cs="宋体"/>
          <w:bCs w:val="0"/>
          <w:color w:val="auto"/>
          <w:kern w:val="2"/>
          <w:sz w:val="21"/>
          <w:szCs w:val="21"/>
          <w:highlight w:val="none"/>
          <w:lang w:val="zh-CN"/>
        </w:rPr>
      </w:pPr>
      <w:r>
        <w:rPr>
          <w:rFonts w:hint="eastAsia" w:ascii="宋体" w:hAnsi="宋体" w:eastAsia="宋体" w:cs="宋体"/>
          <w:bCs w:val="0"/>
          <w:color w:val="auto"/>
          <w:kern w:val="2"/>
          <w:sz w:val="21"/>
          <w:szCs w:val="21"/>
          <w:highlight w:val="none"/>
          <w:lang w:val="zh-CN"/>
        </w:rPr>
        <w:t xml:space="preserve">35.7 </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人以履约保证金（银行转账形式）提供履约担保的在依法完成本项目的所有合同义务后，经</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人确认，</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人可向</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人提交退回履约担保的申请。</w:t>
      </w:r>
      <w:r>
        <w:rPr>
          <w:rFonts w:hint="eastAsia" w:ascii="宋体" w:hAnsi="宋体" w:cs="宋体"/>
          <w:bCs w:val="0"/>
          <w:color w:val="auto"/>
          <w:kern w:val="2"/>
          <w:sz w:val="21"/>
          <w:szCs w:val="21"/>
          <w:highlight w:val="none"/>
          <w:lang w:val="en-US" w:eastAsia="zh-CN"/>
        </w:rPr>
        <w:t>采购</w:t>
      </w:r>
      <w:r>
        <w:rPr>
          <w:rFonts w:hint="eastAsia" w:ascii="宋体" w:hAnsi="宋体" w:eastAsia="宋体" w:cs="宋体"/>
          <w:bCs w:val="0"/>
          <w:color w:val="auto"/>
          <w:kern w:val="2"/>
          <w:sz w:val="21"/>
          <w:szCs w:val="21"/>
          <w:highlight w:val="none"/>
          <w:lang w:val="zh-CN"/>
        </w:rPr>
        <w:t>人审核无异议后，办理履约担保退还手续，退回时一律以银行转账的形式无息退回到</w:t>
      </w:r>
      <w:r>
        <w:rPr>
          <w:rFonts w:hint="eastAsia" w:ascii="宋体" w:hAnsi="宋体" w:cs="宋体"/>
          <w:bCs w:val="0"/>
          <w:color w:val="auto"/>
          <w:kern w:val="2"/>
          <w:sz w:val="21"/>
          <w:szCs w:val="21"/>
          <w:highlight w:val="none"/>
          <w:lang w:val="en-US" w:eastAsia="zh-CN"/>
        </w:rPr>
        <w:t>成交</w:t>
      </w:r>
      <w:r>
        <w:rPr>
          <w:rFonts w:hint="eastAsia" w:ascii="宋体" w:hAnsi="宋体" w:eastAsia="宋体" w:cs="宋体"/>
          <w:bCs w:val="0"/>
          <w:color w:val="auto"/>
          <w:kern w:val="2"/>
          <w:sz w:val="21"/>
          <w:szCs w:val="21"/>
          <w:highlight w:val="none"/>
          <w:lang w:val="zh-CN"/>
        </w:rPr>
        <w:t>人的</w:t>
      </w:r>
      <w:r>
        <w:rPr>
          <w:rFonts w:hint="eastAsia" w:ascii="宋体" w:hAnsi="宋体" w:eastAsia="宋体" w:cs="宋体"/>
          <w:bCs w:val="0"/>
          <w:color w:val="auto"/>
          <w:kern w:val="2"/>
          <w:sz w:val="21"/>
          <w:szCs w:val="21"/>
          <w:highlight w:val="none"/>
          <w:lang w:val="zh-CN" w:eastAsia="zh-CN"/>
        </w:rPr>
        <w:t>账户</w:t>
      </w:r>
      <w:r>
        <w:rPr>
          <w:rFonts w:hint="eastAsia" w:ascii="宋体" w:hAnsi="宋体" w:eastAsia="宋体" w:cs="宋体"/>
          <w:bCs w:val="0"/>
          <w:color w:val="auto"/>
          <w:kern w:val="2"/>
          <w:sz w:val="21"/>
          <w:szCs w:val="21"/>
          <w:highlight w:val="none"/>
          <w:lang w:val="zh-CN"/>
        </w:rPr>
        <w:t>。</w:t>
      </w:r>
    </w:p>
    <w:bookmarkEnd w:id="160"/>
    <w:bookmarkEnd w:id="161"/>
    <w:p w14:paraId="1DEC1A84">
      <w:pPr>
        <w:tabs>
          <w:tab w:val="left" w:pos="360"/>
          <w:tab w:val="left" w:pos="4725"/>
        </w:tabs>
        <w:spacing w:line="360" w:lineRule="auto"/>
        <w:ind w:left="720" w:hanging="720" w:hangingChars="300"/>
        <w:jc w:val="both"/>
        <w:rPr>
          <w:rFonts w:hint="eastAsia" w:ascii="宋体" w:hAnsi="宋体" w:eastAsia="宋体" w:cs="宋体"/>
          <w:color w:val="auto"/>
          <w:highlight w:val="none"/>
          <w:lang w:val="zh-CN"/>
        </w:rPr>
      </w:pPr>
    </w:p>
    <w:p w14:paraId="11BA3AA8">
      <w:pPr>
        <w:tabs>
          <w:tab w:val="left" w:pos="36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2" w:name="_Toc2374"/>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在合同履行中变更采购范围的权利</w:t>
      </w:r>
      <w:bookmarkEnd w:id="162"/>
    </w:p>
    <w:p w14:paraId="5D0034E5">
      <w:pPr>
        <w:snapToGrid w:val="0"/>
        <w:spacing w:line="360" w:lineRule="auto"/>
        <w:ind w:left="525" w:leftChars="0" w:hanging="525" w:hangingChars="250"/>
        <w:jc w:val="both"/>
        <w:rPr>
          <w:rFonts w:hint="eastAsia" w:ascii="宋体" w:hAnsi="宋体" w:eastAsia="宋体" w:cs="宋体"/>
          <w:color w:val="auto"/>
          <w:sz w:val="21"/>
          <w:szCs w:val="21"/>
          <w:highlight w:val="none"/>
        </w:rPr>
      </w:pPr>
      <w:bookmarkStart w:id="163" w:name="_Toc450662888"/>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.1 合同履行中，采购人在合同约定的</w:t>
      </w:r>
      <w:r>
        <w:rPr>
          <w:rFonts w:hint="eastAsia" w:ascii="宋体" w:hAnsi="宋体" w:eastAsia="宋体" w:cs="宋体"/>
          <w:color w:val="auto"/>
          <w:kern w:val="2"/>
          <w:sz w:val="21"/>
          <w:szCs w:val="21"/>
          <w:highlight w:val="none"/>
          <w:lang w:val="zh-CN" w:eastAsia="zh-CN"/>
        </w:rPr>
        <w:t>采购</w:t>
      </w:r>
      <w:r>
        <w:rPr>
          <w:rFonts w:hint="eastAsia" w:ascii="宋体" w:hAnsi="宋体" w:eastAsia="宋体" w:cs="宋体"/>
          <w:color w:val="auto"/>
          <w:kern w:val="2"/>
          <w:sz w:val="21"/>
          <w:szCs w:val="21"/>
          <w:highlight w:val="none"/>
          <w:lang w:val="zh-CN"/>
        </w:rPr>
        <w:t>范围内，采购人有权根据项目实际情况及有关法律法规、政策的规定对采购范围进行变更调整，变更采购范围后，</w:t>
      </w:r>
      <w:r>
        <w:rPr>
          <w:rFonts w:hint="eastAsia" w:ascii="宋体" w:hAnsi="宋体" w:eastAsia="宋体" w:cs="宋体"/>
          <w:color w:val="auto"/>
          <w:kern w:val="2"/>
          <w:sz w:val="21"/>
          <w:szCs w:val="21"/>
          <w:highlight w:val="none"/>
          <w:lang w:val="zh-CN" w:eastAsia="zh-CN"/>
        </w:rPr>
        <w:t>供应商</w:t>
      </w:r>
      <w:r>
        <w:rPr>
          <w:rFonts w:hint="eastAsia" w:ascii="宋体" w:hAnsi="宋体" w:eastAsia="宋体" w:cs="宋体"/>
          <w:color w:val="auto"/>
          <w:kern w:val="2"/>
          <w:sz w:val="21"/>
          <w:szCs w:val="21"/>
          <w:highlight w:val="none"/>
          <w:lang w:val="zh-CN"/>
        </w:rPr>
        <w:t>应遵照执行</w:t>
      </w:r>
      <w:r>
        <w:rPr>
          <w:rFonts w:hint="eastAsia" w:ascii="宋体" w:hAnsi="宋体" w:eastAsia="宋体" w:cs="宋体"/>
          <w:color w:val="auto"/>
          <w:sz w:val="21"/>
          <w:szCs w:val="21"/>
          <w:highlight w:val="none"/>
        </w:rPr>
        <w:t>。</w:t>
      </w:r>
    </w:p>
    <w:p w14:paraId="24D708C6">
      <w:pPr>
        <w:spacing w:line="360" w:lineRule="auto"/>
        <w:ind w:left="598" w:leftChars="1" w:hanging="596" w:hangingChars="284"/>
        <w:jc w:val="both"/>
        <w:rPr>
          <w:rFonts w:hint="eastAsia" w:ascii="宋体" w:hAnsi="宋体" w:eastAsia="宋体" w:cs="宋体"/>
          <w:color w:val="auto"/>
          <w:sz w:val="21"/>
          <w:szCs w:val="21"/>
          <w:highlight w:val="none"/>
        </w:rPr>
      </w:pPr>
    </w:p>
    <w:p w14:paraId="54A2B071">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4" w:name="_Toc699"/>
      <w:bookmarkStart w:id="165" w:name="_Toc521918107"/>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7</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代理</w:t>
      </w:r>
      <w:r>
        <w:rPr>
          <w:rFonts w:hint="eastAsia" w:ascii="宋体" w:hAnsi="宋体" w:eastAsia="宋体" w:cs="宋体"/>
          <w:color w:val="auto"/>
          <w:kern w:val="2"/>
          <w:sz w:val="21"/>
          <w:szCs w:val="21"/>
          <w:highlight w:val="none"/>
          <w:lang w:val="zh-CN"/>
        </w:rPr>
        <w:t>服务费</w:t>
      </w:r>
      <w:bookmarkEnd w:id="163"/>
      <w:bookmarkEnd w:id="164"/>
      <w:bookmarkEnd w:id="165"/>
    </w:p>
    <w:p w14:paraId="3C23FB20">
      <w:pPr>
        <w:spacing w:line="360" w:lineRule="auto"/>
        <w:ind w:right="18"/>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37.1 </w:t>
      </w:r>
      <w:r>
        <w:rPr>
          <w:rFonts w:hint="eastAsia" w:ascii="宋体" w:hAnsi="宋体" w:eastAsia="宋体" w:cs="宋体"/>
          <w:bCs/>
          <w:color w:val="auto"/>
          <w:kern w:val="2"/>
          <w:sz w:val="21"/>
          <w:szCs w:val="21"/>
          <w:highlight w:val="none"/>
          <w:lang w:val="zh-CN"/>
        </w:rPr>
        <w:t>本项目</w:t>
      </w:r>
      <w:r>
        <w:rPr>
          <w:rFonts w:hint="eastAsia" w:ascii="宋体" w:hAnsi="宋体" w:eastAsia="宋体" w:cs="宋体"/>
          <w:bCs/>
          <w:color w:val="auto"/>
          <w:kern w:val="2"/>
          <w:sz w:val="21"/>
          <w:szCs w:val="21"/>
          <w:highlight w:val="none"/>
          <w:lang w:val="en-US" w:eastAsia="zh-CN"/>
        </w:rPr>
        <w:t>代理服务费由采购人向代理机构支付。</w:t>
      </w:r>
    </w:p>
    <w:p w14:paraId="3B1710D6">
      <w:pPr>
        <w:spacing w:line="360" w:lineRule="auto"/>
        <w:ind w:left="598" w:leftChars="1" w:hanging="596" w:hangingChars="284"/>
        <w:jc w:val="both"/>
        <w:outlineLvl w:val="9"/>
        <w:rPr>
          <w:rFonts w:hint="eastAsia" w:ascii="宋体" w:hAnsi="宋体" w:eastAsia="宋体" w:cs="宋体"/>
          <w:color w:val="auto"/>
          <w:kern w:val="0"/>
          <w:sz w:val="21"/>
          <w:szCs w:val="21"/>
          <w:highlight w:val="none"/>
          <w:lang w:val="zh-CN"/>
        </w:rPr>
      </w:pPr>
      <w:bookmarkStart w:id="166" w:name="_Toc450662889"/>
      <w:bookmarkStart w:id="167" w:name="_Toc521918108"/>
    </w:p>
    <w:p w14:paraId="6620553B">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pPr>
      <w:bookmarkStart w:id="168" w:name="_Toc13969"/>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发票</w:t>
      </w:r>
      <w:bookmarkEnd w:id="166"/>
      <w:bookmarkEnd w:id="167"/>
      <w:bookmarkEnd w:id="168"/>
    </w:p>
    <w:p w14:paraId="5F96A41C">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lang w:val="zh-CN"/>
        </w:rPr>
        <w:t>.1 该项目获得成交的成交人在执行合同过程中，向采购人（或采购人控股公司或由采购人管理的</w:t>
      </w:r>
      <w:r>
        <w:rPr>
          <w:rFonts w:hint="eastAsia" w:ascii="宋体" w:hAnsi="宋体" w:eastAsia="宋体" w:cs="宋体"/>
          <w:color w:val="auto"/>
          <w:sz w:val="21"/>
          <w:szCs w:val="21"/>
          <w:highlight w:val="none"/>
        </w:rPr>
        <w:t>参股</w:t>
      </w:r>
      <w:r>
        <w:rPr>
          <w:rFonts w:hint="eastAsia" w:ascii="宋体" w:hAnsi="宋体" w:eastAsia="宋体" w:cs="宋体"/>
          <w:color w:val="auto"/>
          <w:kern w:val="2"/>
          <w:sz w:val="21"/>
          <w:szCs w:val="21"/>
          <w:highlight w:val="none"/>
          <w:lang w:val="zh-CN"/>
        </w:rPr>
        <w:t>公司</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代管项目主体公司</w:t>
      </w:r>
      <w:r>
        <w:rPr>
          <w:rFonts w:hint="eastAsia" w:ascii="宋体" w:hAnsi="宋体" w:eastAsia="宋体" w:cs="宋体"/>
          <w:color w:val="auto"/>
          <w:kern w:val="2"/>
          <w:sz w:val="21"/>
          <w:szCs w:val="21"/>
          <w:highlight w:val="none"/>
          <w:lang w:val="zh-CN"/>
        </w:rPr>
        <w:t>）出具的发票必须是由成交人开具，不得以其他单位或个人名义出具，本项目成交人向采购人</w:t>
      </w:r>
      <w:r>
        <w:rPr>
          <w:rFonts w:hint="eastAsia" w:ascii="宋体" w:hAnsi="宋体" w:cs="宋体"/>
          <w:color w:val="auto"/>
          <w:kern w:val="2"/>
          <w:sz w:val="21"/>
          <w:szCs w:val="21"/>
          <w:highlight w:val="none"/>
          <w:lang w:val="zh-CN"/>
        </w:rPr>
        <w:t>（或</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人控股公司或由</w:t>
      </w:r>
      <w:r>
        <w:rPr>
          <w:rFonts w:hint="eastAsia" w:ascii="宋体" w:hAnsi="宋体" w:cs="宋体"/>
          <w:color w:val="auto"/>
          <w:kern w:val="2"/>
          <w:sz w:val="21"/>
          <w:szCs w:val="21"/>
          <w:highlight w:val="none"/>
          <w:lang w:val="en-US" w:eastAsia="zh-CN"/>
        </w:rPr>
        <w:t>采购</w:t>
      </w:r>
      <w:r>
        <w:rPr>
          <w:rFonts w:hint="eastAsia" w:ascii="宋体" w:hAnsi="宋体" w:cs="宋体"/>
          <w:color w:val="auto"/>
          <w:kern w:val="2"/>
          <w:sz w:val="21"/>
          <w:szCs w:val="21"/>
          <w:highlight w:val="none"/>
          <w:lang w:val="zh-CN"/>
        </w:rPr>
        <w:t>人管理的参股公司、代管项目主体公司）</w:t>
      </w:r>
      <w:r>
        <w:rPr>
          <w:rFonts w:hint="eastAsia" w:ascii="宋体" w:hAnsi="宋体" w:eastAsia="宋体" w:cs="宋体"/>
          <w:color w:val="auto"/>
          <w:kern w:val="2"/>
          <w:sz w:val="21"/>
          <w:szCs w:val="21"/>
          <w:highlight w:val="none"/>
          <w:lang w:val="zh-CN"/>
        </w:rPr>
        <w:t>出具的发票类型为增值税</w:t>
      </w:r>
      <w:r>
        <w:rPr>
          <w:rFonts w:hint="eastAsia" w:ascii="宋体" w:hAnsi="宋体" w:cs="宋体"/>
          <w:color w:val="auto"/>
          <w:kern w:val="2"/>
          <w:sz w:val="21"/>
          <w:szCs w:val="21"/>
          <w:highlight w:val="none"/>
          <w:lang w:val="en-US" w:eastAsia="zh-CN"/>
        </w:rPr>
        <w:t>专用</w:t>
      </w:r>
      <w:r>
        <w:rPr>
          <w:rFonts w:hint="eastAsia" w:ascii="宋体" w:hAnsi="宋体" w:eastAsia="宋体" w:cs="宋体"/>
          <w:color w:val="auto"/>
          <w:kern w:val="2"/>
          <w:sz w:val="21"/>
          <w:szCs w:val="21"/>
          <w:highlight w:val="none"/>
          <w:lang w:val="zh-CN"/>
        </w:rPr>
        <w:t>发票。</w:t>
      </w:r>
    </w:p>
    <w:p w14:paraId="4D137FD3">
      <w:pPr>
        <w:snapToGrid w:val="0"/>
        <w:spacing w:line="360" w:lineRule="auto"/>
        <w:ind w:left="525" w:hanging="600" w:hangingChars="250"/>
        <w:jc w:val="both"/>
        <w:rPr>
          <w:rFonts w:hint="eastAsia" w:ascii="宋体" w:hAnsi="宋体" w:eastAsia="宋体" w:cs="宋体"/>
          <w:color w:val="auto"/>
          <w:highlight w:val="none"/>
          <w:lang w:val="zh-CN"/>
        </w:rPr>
      </w:pPr>
    </w:p>
    <w:p w14:paraId="17DF8694">
      <w:pPr>
        <w:tabs>
          <w:tab w:val="left" w:pos="680"/>
        </w:tabs>
        <w:spacing w:line="360" w:lineRule="auto"/>
        <w:ind w:left="567" w:hanging="567"/>
        <w:jc w:val="both"/>
        <w:outlineLvl w:val="2"/>
        <w:rPr>
          <w:rFonts w:hint="eastAsia" w:ascii="宋体" w:hAnsi="宋体" w:eastAsia="宋体" w:cs="宋体"/>
          <w:b/>
          <w:bCs/>
          <w:color w:val="auto"/>
          <w:kern w:val="2"/>
          <w:sz w:val="21"/>
          <w:szCs w:val="21"/>
          <w:highlight w:val="none"/>
          <w:lang w:val="zh-CN"/>
        </w:rPr>
      </w:pPr>
      <w:bookmarkStart w:id="169" w:name="_Toc142508356"/>
      <w:bookmarkStart w:id="170" w:name="_Toc14106"/>
      <w:bookmarkStart w:id="171" w:name="_Toc27075"/>
      <w:bookmarkStart w:id="172" w:name="_Toc24547"/>
      <w:bookmarkStart w:id="173" w:name="_Toc8619"/>
      <w:r>
        <w:rPr>
          <w:rFonts w:hint="eastAsia" w:ascii="宋体" w:hAnsi="宋体" w:eastAsia="宋体" w:cs="宋体"/>
          <w:b/>
          <w:bCs/>
          <w:color w:val="auto"/>
          <w:kern w:val="2"/>
          <w:sz w:val="21"/>
          <w:szCs w:val="21"/>
          <w:highlight w:val="none"/>
          <w:lang w:val="zh-CN"/>
        </w:rPr>
        <w:t>3</w:t>
      </w:r>
      <w:r>
        <w:rPr>
          <w:rFonts w:hint="eastAsia" w:ascii="宋体" w:hAnsi="宋体" w:eastAsia="宋体" w:cs="宋体"/>
          <w:b/>
          <w:bCs/>
          <w:color w:val="auto"/>
          <w:kern w:val="2"/>
          <w:sz w:val="21"/>
          <w:szCs w:val="21"/>
          <w:highlight w:val="none"/>
          <w:lang w:val="en-US" w:eastAsia="zh-CN"/>
        </w:rPr>
        <w:t>9</w:t>
      </w:r>
      <w:r>
        <w:rPr>
          <w:rFonts w:hint="eastAsia" w:ascii="宋体" w:hAnsi="宋体" w:cs="宋体"/>
          <w:b/>
          <w:bCs/>
          <w:color w:val="auto"/>
          <w:kern w:val="2"/>
          <w:sz w:val="21"/>
          <w:szCs w:val="21"/>
          <w:highlight w:val="none"/>
          <w:lang w:val="en-US" w:eastAsia="zh-CN"/>
        </w:rPr>
        <w:t xml:space="preserve"> </w:t>
      </w:r>
      <w:r>
        <w:rPr>
          <w:rFonts w:hint="eastAsia" w:ascii="宋体" w:hAnsi="宋体" w:eastAsia="宋体" w:cs="宋体"/>
          <w:b/>
          <w:bCs/>
          <w:color w:val="auto"/>
          <w:kern w:val="2"/>
          <w:sz w:val="21"/>
          <w:szCs w:val="21"/>
          <w:highlight w:val="none"/>
          <w:lang w:val="en-US" w:eastAsia="zh-CN"/>
        </w:rPr>
        <w:t>采购</w:t>
      </w:r>
      <w:r>
        <w:rPr>
          <w:rFonts w:hint="eastAsia" w:ascii="宋体" w:hAnsi="宋体" w:eastAsia="宋体" w:cs="宋体"/>
          <w:b/>
          <w:bCs/>
          <w:color w:val="auto"/>
          <w:kern w:val="2"/>
          <w:sz w:val="21"/>
          <w:szCs w:val="21"/>
          <w:highlight w:val="none"/>
          <w:lang w:val="zh-CN"/>
        </w:rPr>
        <w:t>相关补充约定</w:t>
      </w:r>
      <w:bookmarkEnd w:id="169"/>
      <w:bookmarkEnd w:id="170"/>
      <w:bookmarkEnd w:id="171"/>
      <w:bookmarkEnd w:id="172"/>
      <w:bookmarkEnd w:id="173"/>
    </w:p>
    <w:p w14:paraId="1914668E">
      <w:pPr>
        <w:autoSpaceDE/>
        <w:autoSpaceDN/>
        <w:adjustRightInd/>
        <w:snapToGrid w:val="0"/>
        <w:spacing w:line="360" w:lineRule="auto"/>
        <w:ind w:left="525" w:hanging="527" w:hangingChars="250"/>
        <w:jc w:val="both"/>
        <w:rPr>
          <w:rFonts w:hint="eastAsia" w:ascii="宋体" w:hAnsi="宋体" w:eastAsia="宋体" w:cs="宋体"/>
          <w:color w:val="auto"/>
          <w:highlight w:val="none"/>
          <w:lang w:val="zh-CN"/>
        </w:rPr>
      </w:pPr>
      <w:r>
        <w:rPr>
          <w:rFonts w:hint="eastAsia" w:ascii="宋体" w:hAnsi="宋体" w:eastAsia="宋体" w:cs="宋体"/>
          <w:b/>
          <w:bCs/>
          <w:color w:val="auto"/>
          <w:kern w:val="2"/>
          <w:sz w:val="21"/>
          <w:szCs w:val="21"/>
          <w:highlight w:val="none"/>
          <w:lang w:val="en-US" w:eastAsia="zh-CN"/>
        </w:rPr>
        <w:t>39</w:t>
      </w:r>
      <w:r>
        <w:rPr>
          <w:rFonts w:hint="eastAsia" w:ascii="宋体" w:hAnsi="宋体" w:eastAsia="宋体" w:cs="宋体"/>
          <w:b/>
          <w:bCs/>
          <w:color w:val="auto"/>
          <w:kern w:val="2"/>
          <w:sz w:val="21"/>
          <w:szCs w:val="21"/>
          <w:highlight w:val="none"/>
          <w:lang w:val="zh-CN"/>
        </w:rPr>
        <w:t>.1</w:t>
      </w:r>
      <w:r>
        <w:rPr>
          <w:rFonts w:hint="eastAsia" w:ascii="宋体" w:hAnsi="宋体" w:eastAsia="宋体" w:cs="宋体"/>
          <w:b w:val="0"/>
          <w:color w:val="auto"/>
          <w:kern w:val="2"/>
          <w:sz w:val="21"/>
          <w:szCs w:val="21"/>
          <w:highlight w:val="none"/>
          <w:lang w:val="zh-CN"/>
        </w:rPr>
        <w:tab/>
      </w:r>
      <w:r>
        <w:rPr>
          <w:rFonts w:hint="eastAsia" w:ascii="宋体" w:hAnsi="宋体" w:eastAsia="宋体" w:cs="宋体"/>
          <w:b/>
          <w:bCs/>
          <w:color w:val="auto"/>
          <w:kern w:val="2"/>
          <w:sz w:val="21"/>
          <w:szCs w:val="21"/>
          <w:highlight w:val="none"/>
          <w:u w:val="single"/>
          <w:lang w:val="zh-CN"/>
        </w:rPr>
        <w:t>本项目</w:t>
      </w:r>
      <w:r>
        <w:rPr>
          <w:rFonts w:hint="eastAsia" w:ascii="宋体" w:hAnsi="宋体" w:eastAsia="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须知第2条所述行政处罚信息，以递交响应文件截止时间</w:t>
      </w:r>
      <w:r>
        <w:rPr>
          <w:rFonts w:hint="eastAsia" w:ascii="宋体" w:hAnsi="宋体" w:eastAsia="宋体" w:cs="宋体"/>
          <w:b/>
          <w:bCs/>
          <w:color w:val="auto"/>
          <w:kern w:val="2"/>
          <w:sz w:val="21"/>
          <w:szCs w:val="21"/>
          <w:highlight w:val="none"/>
          <w:u w:val="single"/>
          <w:lang w:val="zh-CN" w:eastAsia="zh-CN"/>
        </w:rPr>
        <w:t>当天</w:t>
      </w:r>
      <w:r>
        <w:rPr>
          <w:rFonts w:hint="eastAsia" w:ascii="宋体" w:hAnsi="宋体" w:eastAsia="宋体" w:cs="宋体"/>
          <w:b/>
          <w:bCs/>
          <w:color w:val="auto"/>
          <w:kern w:val="2"/>
          <w:sz w:val="21"/>
          <w:szCs w:val="21"/>
          <w:highlight w:val="none"/>
          <w:u w:val="single"/>
          <w:lang w:val="zh-CN"/>
        </w:rPr>
        <w:t>在“信用中国”网站（www.creditchina.gov.cn）查询结果为准，或以司法、仲裁机构等出具的生效文件予以认定,时间以认定文件的落款时间为准。</w:t>
      </w:r>
      <w:r>
        <w:rPr>
          <w:rFonts w:hint="eastAsia" w:ascii="宋体" w:hAnsi="宋体" w:cs="宋体"/>
          <w:b/>
          <w:bCs/>
          <w:color w:val="auto"/>
          <w:kern w:val="2"/>
          <w:sz w:val="21"/>
          <w:szCs w:val="21"/>
          <w:highlight w:val="none"/>
          <w:u w:val="single"/>
          <w:lang w:val="en-US" w:eastAsia="zh-CN"/>
        </w:rPr>
        <w:t>磋商</w:t>
      </w:r>
      <w:r>
        <w:rPr>
          <w:rFonts w:hint="eastAsia" w:ascii="宋体" w:hAnsi="宋体" w:eastAsia="宋体" w:cs="宋体"/>
          <w:b/>
          <w:bCs/>
          <w:color w:val="auto"/>
          <w:kern w:val="2"/>
          <w:sz w:val="21"/>
          <w:szCs w:val="21"/>
          <w:highlight w:val="none"/>
          <w:u w:val="single"/>
          <w:lang w:val="zh-CN"/>
        </w:rPr>
        <w:t>结束后，有关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的行政处罚信息，以递交响应文件截止时间</w:t>
      </w:r>
      <w:r>
        <w:rPr>
          <w:rFonts w:hint="eastAsia" w:ascii="宋体" w:hAnsi="宋体" w:eastAsia="宋体" w:cs="宋体"/>
          <w:b/>
          <w:bCs/>
          <w:color w:val="auto"/>
          <w:kern w:val="2"/>
          <w:sz w:val="21"/>
          <w:szCs w:val="21"/>
          <w:highlight w:val="none"/>
          <w:u w:val="single"/>
          <w:lang w:val="zh-CN" w:eastAsia="zh-CN"/>
        </w:rPr>
        <w:t>当天查询</w:t>
      </w:r>
      <w:r>
        <w:rPr>
          <w:rFonts w:hint="eastAsia" w:ascii="宋体" w:hAnsi="宋体" w:eastAsia="宋体" w:cs="宋体"/>
          <w:b/>
          <w:bCs/>
          <w:color w:val="auto"/>
          <w:kern w:val="2"/>
          <w:sz w:val="21"/>
          <w:szCs w:val="21"/>
          <w:highlight w:val="none"/>
          <w:u w:val="single"/>
          <w:lang w:val="zh-CN"/>
        </w:rPr>
        <w:t>结果为准；结果公示期间，如对有关</w:t>
      </w:r>
      <w:r>
        <w:rPr>
          <w:rFonts w:hint="eastAsia" w:ascii="宋体" w:hAnsi="宋体" w:cs="宋体"/>
          <w:b/>
          <w:bCs/>
          <w:color w:val="auto"/>
          <w:kern w:val="2"/>
          <w:sz w:val="21"/>
          <w:szCs w:val="21"/>
          <w:highlight w:val="none"/>
          <w:u w:val="single"/>
          <w:lang w:val="en-US" w:eastAsia="zh-CN"/>
        </w:rPr>
        <w:t>响应供应商</w:t>
      </w:r>
      <w:r>
        <w:rPr>
          <w:rFonts w:hint="eastAsia" w:ascii="宋体" w:hAnsi="宋体" w:eastAsia="宋体" w:cs="宋体"/>
          <w:b/>
          <w:bCs/>
          <w:color w:val="auto"/>
          <w:kern w:val="2"/>
          <w:sz w:val="21"/>
          <w:szCs w:val="21"/>
          <w:highlight w:val="none"/>
          <w:u w:val="single"/>
          <w:lang w:val="zh-CN"/>
        </w:rPr>
        <w:t>的行政处罚信息存在异议，但不涉及第一</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候选人的，视为对</w:t>
      </w:r>
      <w:r>
        <w:rPr>
          <w:rFonts w:hint="eastAsia" w:ascii="宋体" w:hAnsi="宋体" w:eastAsia="宋体" w:cs="宋体"/>
          <w:b/>
          <w:bCs/>
          <w:color w:val="auto"/>
          <w:kern w:val="2"/>
          <w:sz w:val="21"/>
          <w:szCs w:val="21"/>
          <w:highlight w:val="none"/>
          <w:u w:val="single"/>
          <w:lang w:val="en-US" w:eastAsia="zh-CN"/>
        </w:rPr>
        <w:t>成交</w:t>
      </w:r>
      <w:r>
        <w:rPr>
          <w:rFonts w:hint="eastAsia" w:ascii="宋体" w:hAnsi="宋体" w:eastAsia="宋体" w:cs="宋体"/>
          <w:b/>
          <w:bCs/>
          <w:color w:val="auto"/>
          <w:kern w:val="2"/>
          <w:sz w:val="21"/>
          <w:szCs w:val="21"/>
          <w:highlight w:val="none"/>
          <w:u w:val="single"/>
          <w:lang w:val="zh-CN"/>
        </w:rPr>
        <w:t>结果没有造成实质影响</w:t>
      </w:r>
      <w:r>
        <w:rPr>
          <w:rFonts w:hint="eastAsia" w:ascii="宋体" w:hAnsi="宋体" w:eastAsia="宋体" w:cs="宋体"/>
          <w:b/>
          <w:bCs/>
          <w:color w:val="auto"/>
          <w:kern w:val="2"/>
          <w:sz w:val="21"/>
          <w:szCs w:val="21"/>
          <w:highlight w:val="none"/>
          <w:lang w:val="zh-CN"/>
        </w:rPr>
        <w:t>。</w:t>
      </w:r>
    </w:p>
    <w:p w14:paraId="110DF4F1">
      <w:pPr>
        <w:snapToGrid w:val="0"/>
        <w:spacing w:line="360" w:lineRule="auto"/>
        <w:ind w:left="525" w:hanging="525" w:hangingChars="250"/>
        <w:jc w:val="both"/>
        <w:rPr>
          <w:rFonts w:hint="eastAsia" w:ascii="宋体" w:hAnsi="宋体" w:eastAsia="宋体" w:cs="宋体"/>
          <w:color w:val="auto"/>
          <w:kern w:val="2"/>
          <w:sz w:val="21"/>
          <w:szCs w:val="21"/>
          <w:highlight w:val="none"/>
          <w:lang w:val="zh-CN"/>
        </w:rPr>
      </w:pPr>
    </w:p>
    <w:p w14:paraId="65CB58E8">
      <w:pPr>
        <w:tabs>
          <w:tab w:val="left" w:pos="680"/>
        </w:tabs>
        <w:spacing w:line="360" w:lineRule="auto"/>
        <w:ind w:left="567" w:hanging="567"/>
        <w:jc w:val="both"/>
        <w:outlineLvl w:val="2"/>
        <w:rPr>
          <w:rFonts w:hint="eastAsia" w:ascii="宋体" w:hAnsi="宋体" w:eastAsia="宋体" w:cs="宋体"/>
          <w:color w:val="auto"/>
          <w:kern w:val="2"/>
          <w:sz w:val="21"/>
          <w:szCs w:val="21"/>
          <w:highlight w:val="none"/>
          <w:lang w:val="zh-CN"/>
        </w:rPr>
        <w:sectPr>
          <w:headerReference r:id="rId4" w:type="first"/>
          <w:footerReference r:id="rId7" w:type="first"/>
          <w:headerReference r:id="rId3" w:type="default"/>
          <w:footerReference r:id="rId5" w:type="default"/>
          <w:footerReference r:id="rId6" w:type="even"/>
          <w:pgSz w:w="11906" w:h="16838"/>
          <w:pgMar w:top="1417" w:right="1418" w:bottom="1417" w:left="1418" w:header="720" w:footer="1003" w:gutter="0"/>
          <w:pgBorders w:offsetFrom="page">
            <w:top w:val="none" w:sz="0" w:space="0"/>
            <w:left w:val="none" w:sz="0" w:space="0"/>
            <w:bottom w:val="none" w:sz="0" w:space="0"/>
            <w:right w:val="none" w:sz="0" w:space="0"/>
          </w:pgBorders>
          <w:pgNumType w:fmt="decimal"/>
          <w:cols w:space="720" w:num="1"/>
          <w:titlePg/>
          <w:docGrid w:linePitch="326" w:charSpace="0"/>
        </w:sectPr>
      </w:pPr>
      <w:bookmarkStart w:id="174" w:name="_Toc521918109"/>
      <w:bookmarkStart w:id="175" w:name="_Toc11090"/>
      <w:r>
        <w:rPr>
          <w:rFonts w:hint="eastAsia" w:ascii="宋体" w:hAnsi="宋体" w:eastAsia="宋体" w:cs="宋体"/>
          <w:color w:val="auto"/>
          <w:kern w:val="2"/>
          <w:sz w:val="21"/>
          <w:szCs w:val="21"/>
          <w:highlight w:val="none"/>
          <w:lang w:val="en-US" w:eastAsia="zh-CN"/>
        </w:rPr>
        <w:t>40</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本次采购活动的最终解释权归采购代理机构及采购人所有。</w:t>
      </w:r>
      <w:bookmarkEnd w:id="174"/>
      <w:bookmarkEnd w:id="175"/>
    </w:p>
    <w:p w14:paraId="779CF8EF">
      <w:pPr>
        <w:pageBreakBefore/>
        <w:spacing w:line="360" w:lineRule="auto"/>
        <w:ind w:left="-195" w:leftChars="-100" w:hanging="45"/>
        <w:jc w:val="center"/>
        <w:outlineLvl w:val="0"/>
        <w:rPr>
          <w:rFonts w:hint="eastAsia" w:ascii="宋体" w:hAnsi="宋体" w:eastAsia="宋体" w:cs="宋体"/>
          <w:b/>
          <w:bCs/>
          <w:kern w:val="44"/>
          <w:sz w:val="32"/>
          <w:szCs w:val="32"/>
          <w:lang w:val="zh-CN"/>
        </w:rPr>
      </w:pPr>
      <w:bookmarkStart w:id="176" w:name="_Toc4386"/>
      <w:bookmarkStart w:id="177" w:name="_Toc27939_WPSOffice_Level1"/>
      <w:bookmarkStart w:id="178" w:name="_Toc14879"/>
      <w:bookmarkStart w:id="179" w:name="_Toc142508358"/>
      <w:bookmarkStart w:id="180" w:name="_Toc486167706"/>
      <w:bookmarkStart w:id="181" w:name="_Toc5471"/>
      <w:bookmarkStart w:id="182" w:name="_Toc450662891"/>
      <w:bookmarkStart w:id="183" w:name="_Toc21446"/>
      <w:bookmarkStart w:id="184" w:name="_Toc20321"/>
      <w:bookmarkStart w:id="185" w:name="_Toc29178"/>
      <w:bookmarkStart w:id="186" w:name="_Toc20661"/>
      <w:bookmarkStart w:id="187" w:name="_Toc19458"/>
      <w:bookmarkStart w:id="188" w:name="_Toc523567019"/>
      <w:bookmarkStart w:id="189" w:name="_Toc447044479"/>
      <w:bookmarkStart w:id="190" w:name="_Toc489359498"/>
      <w:bookmarkStart w:id="191" w:name="_Toc447044603"/>
      <w:bookmarkStart w:id="192" w:name="_Toc521918112"/>
      <w:bookmarkStart w:id="193" w:name="_Toc447045090"/>
      <w:r>
        <w:rPr>
          <w:rFonts w:hint="eastAsia" w:ascii="宋体" w:hAnsi="宋体" w:eastAsia="宋体" w:cs="宋体"/>
          <w:b/>
          <w:bCs/>
          <w:kern w:val="44"/>
          <w:sz w:val="32"/>
          <w:szCs w:val="32"/>
          <w:lang w:val="zh-CN"/>
        </w:rPr>
        <w:t>第三篇 用户需求书</w:t>
      </w:r>
      <w:bookmarkEnd w:id="176"/>
      <w:bookmarkEnd w:id="177"/>
      <w:bookmarkEnd w:id="178"/>
      <w:bookmarkEnd w:id="179"/>
      <w:bookmarkEnd w:id="180"/>
      <w:bookmarkEnd w:id="181"/>
      <w:bookmarkEnd w:id="182"/>
      <w:bookmarkEnd w:id="183"/>
      <w:bookmarkEnd w:id="184"/>
    </w:p>
    <w:p w14:paraId="68A7AA42">
      <w:pPr>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bookmarkStart w:id="194" w:name="_Toc6474_WPSOffice_Level2"/>
      <w:bookmarkStart w:id="195" w:name="_Toc23768_WPSOffice_Level2"/>
      <w:r>
        <w:rPr>
          <w:rFonts w:hint="eastAsia" w:ascii="宋体" w:hAnsi="宋体" w:eastAsia="宋体" w:cs="宋体"/>
          <w:b/>
          <w:bCs/>
          <w:kern w:val="2"/>
          <w:sz w:val="21"/>
          <w:szCs w:val="21"/>
          <w:lang w:val="zh-CN"/>
        </w:rPr>
        <w:t>一、项目概况</w:t>
      </w:r>
      <w:bookmarkEnd w:id="194"/>
      <w:bookmarkEnd w:id="195"/>
    </w:p>
    <w:p w14:paraId="442F60FB">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1、东莞市</w:t>
      </w:r>
      <w:r>
        <w:rPr>
          <w:rFonts w:hint="eastAsia" w:ascii="宋体" w:hAnsi="宋体" w:eastAsia="宋体" w:cs="宋体"/>
          <w:color w:val="auto"/>
          <w:sz w:val="21"/>
          <w:szCs w:val="21"/>
          <w:highlight w:val="none"/>
          <w:lang w:val="zh-CN" w:eastAsia="zh-CN"/>
        </w:rPr>
        <w:t>BOT污水处理厂</w:t>
      </w:r>
      <w:r>
        <w:rPr>
          <w:rFonts w:hint="eastAsia" w:ascii="宋体" w:hAnsi="宋体" w:cs="宋体"/>
          <w:color w:val="auto"/>
          <w:sz w:val="21"/>
          <w:szCs w:val="21"/>
          <w:highlight w:val="none"/>
          <w:lang w:val="en-US" w:eastAsia="zh-CN"/>
        </w:rPr>
        <w:t>东江下游</w:t>
      </w:r>
      <w:r>
        <w:rPr>
          <w:rFonts w:hint="eastAsia" w:ascii="宋体" w:hAnsi="宋体" w:eastAsia="宋体" w:cs="宋体"/>
          <w:color w:val="auto"/>
          <w:sz w:val="21"/>
          <w:szCs w:val="21"/>
          <w:highlight w:val="none"/>
          <w:lang w:val="zh-CN" w:eastAsia="zh-CN"/>
        </w:rPr>
        <w:t>片区</w:t>
      </w:r>
      <w:r>
        <w:rPr>
          <w:rFonts w:hint="eastAsia" w:ascii="宋体" w:hAnsi="宋体" w:eastAsia="宋体" w:cs="宋体"/>
          <w:color w:val="auto"/>
          <w:sz w:val="21"/>
          <w:szCs w:val="21"/>
          <w:highlight w:val="none"/>
          <w:lang w:val="zh-CN"/>
        </w:rPr>
        <w:t>由</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rPr>
        <w:t>在</w:t>
      </w:r>
      <w:r>
        <w:rPr>
          <w:rFonts w:hint="eastAsia" w:ascii="宋体" w:hAnsi="宋体" w:eastAsia="宋体" w:cs="宋体"/>
          <w:color w:val="auto"/>
          <w:sz w:val="21"/>
          <w:szCs w:val="21"/>
          <w:highlight w:val="none"/>
          <w:lang w:val="zh-CN" w:eastAsia="zh-CN"/>
        </w:rPr>
        <w:t>各污水处理</w:t>
      </w:r>
      <w:r>
        <w:rPr>
          <w:rFonts w:hint="eastAsia" w:ascii="宋体" w:hAnsi="宋体" w:eastAsia="宋体" w:cs="宋体"/>
          <w:color w:val="auto"/>
          <w:sz w:val="21"/>
          <w:szCs w:val="21"/>
          <w:highlight w:val="none"/>
          <w:lang w:val="zh-CN"/>
        </w:rPr>
        <w:t>厂内实施污泥脱水减量化处理</w:t>
      </w:r>
      <w:r>
        <w:rPr>
          <w:rFonts w:hint="eastAsia" w:ascii="宋体" w:hAnsi="宋体" w:eastAsia="宋体" w:cs="宋体"/>
          <w:color w:val="auto"/>
          <w:sz w:val="21"/>
          <w:szCs w:val="21"/>
          <w:highlight w:val="none"/>
          <w:lang w:val="zh-CN" w:eastAsia="zh-CN"/>
        </w:rPr>
        <w:t>。目前已有服务单位在实施污泥脱水减量化服务，服务期至2024年10月5日。由于原服务合同即将到期，本次</w:t>
      </w:r>
      <w:r>
        <w:rPr>
          <w:rFonts w:hint="eastAsia" w:ascii="宋体" w:hAnsi="宋体" w:cs="宋体"/>
          <w:color w:val="auto"/>
          <w:sz w:val="21"/>
          <w:szCs w:val="21"/>
          <w:highlight w:val="none"/>
          <w:lang w:val="zh-CN" w:eastAsia="zh-CN"/>
        </w:rPr>
        <w:t>采购人</w:t>
      </w:r>
      <w:r>
        <w:rPr>
          <w:rFonts w:hint="eastAsia" w:ascii="宋体" w:hAnsi="宋体" w:eastAsia="宋体" w:cs="宋体"/>
          <w:color w:val="auto"/>
          <w:sz w:val="21"/>
          <w:szCs w:val="21"/>
          <w:highlight w:val="none"/>
          <w:lang w:val="zh-CN" w:eastAsia="zh-CN"/>
        </w:rPr>
        <w:t>通过</w:t>
      </w:r>
      <w:r>
        <w:rPr>
          <w:rFonts w:hint="eastAsia" w:ascii="宋体" w:hAnsi="宋体" w:cs="宋体"/>
          <w:color w:val="auto"/>
          <w:sz w:val="21"/>
          <w:szCs w:val="21"/>
          <w:highlight w:val="none"/>
          <w:lang w:val="en-US" w:eastAsia="zh-CN"/>
        </w:rPr>
        <w:t>竞争性磋商</w:t>
      </w:r>
      <w:r>
        <w:rPr>
          <w:rFonts w:hint="eastAsia" w:ascii="宋体" w:hAnsi="宋体" w:eastAsia="宋体" w:cs="宋体"/>
          <w:color w:val="auto"/>
          <w:sz w:val="21"/>
          <w:szCs w:val="21"/>
          <w:highlight w:val="none"/>
          <w:lang w:val="zh-CN" w:eastAsia="zh-CN"/>
        </w:rPr>
        <w:t>的方式，采购污泥脱水减量化服务单位，由</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zh-CN" w:eastAsia="zh-CN"/>
        </w:rPr>
        <w:t>的服务单位在麻涌一期</w:t>
      </w:r>
      <w:r>
        <w:rPr>
          <w:rFonts w:hint="eastAsia" w:ascii="宋体" w:hAnsi="宋体" w:eastAsia="宋体" w:cs="宋体"/>
          <w:color w:val="auto"/>
          <w:sz w:val="21"/>
          <w:szCs w:val="21"/>
          <w:highlight w:val="none"/>
          <w:lang w:val="zh-CN"/>
        </w:rPr>
        <w:t>污水处理厂</w:t>
      </w:r>
      <w:r>
        <w:rPr>
          <w:rFonts w:hint="eastAsia" w:ascii="宋体" w:hAnsi="宋体" w:eastAsia="宋体" w:cs="宋体"/>
          <w:color w:val="auto"/>
          <w:sz w:val="21"/>
          <w:szCs w:val="21"/>
          <w:highlight w:val="none"/>
          <w:lang w:val="zh-CN" w:eastAsia="zh-CN"/>
        </w:rPr>
        <w:t>内</w:t>
      </w:r>
      <w:r>
        <w:rPr>
          <w:rFonts w:hint="eastAsia" w:ascii="宋体" w:hAnsi="宋体" w:eastAsia="宋体" w:cs="宋体"/>
          <w:color w:val="auto"/>
          <w:sz w:val="21"/>
          <w:szCs w:val="21"/>
          <w:highlight w:val="none"/>
          <w:lang w:val="zh-CN"/>
        </w:rPr>
        <w:t>实施污泥脱水减量化服务</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zh-CN"/>
        </w:rPr>
        <w:t>将</w:t>
      </w:r>
      <w:r>
        <w:rPr>
          <w:rFonts w:hint="eastAsia" w:ascii="宋体" w:hAnsi="宋体" w:eastAsia="宋体" w:cs="宋体"/>
          <w:color w:val="auto"/>
          <w:sz w:val="21"/>
          <w:szCs w:val="21"/>
          <w:highlight w:val="none"/>
          <w:lang w:val="zh-CN" w:eastAsia="zh-CN"/>
        </w:rPr>
        <w:t>从污水厂储泥池或沉淀池抽取的污泥</w:t>
      </w:r>
      <w:r>
        <w:rPr>
          <w:rFonts w:hint="eastAsia" w:ascii="宋体" w:hAnsi="宋体" w:eastAsia="宋体" w:cs="宋体"/>
          <w:color w:val="auto"/>
          <w:sz w:val="21"/>
          <w:szCs w:val="21"/>
          <w:highlight w:val="none"/>
          <w:lang w:val="zh-CN"/>
        </w:rPr>
        <w:t>脱水减量</w:t>
      </w:r>
      <w:r>
        <w:rPr>
          <w:rFonts w:hint="eastAsia" w:ascii="宋体" w:hAnsi="宋体" w:eastAsia="宋体" w:cs="宋体"/>
          <w:color w:val="auto"/>
          <w:sz w:val="21"/>
          <w:szCs w:val="21"/>
          <w:highlight w:val="none"/>
          <w:lang w:val="zh-CN" w:eastAsia="zh-CN"/>
        </w:rPr>
        <w:t>至</w:t>
      </w:r>
      <w:r>
        <w:rPr>
          <w:rFonts w:hint="eastAsia" w:ascii="宋体" w:hAnsi="宋体" w:eastAsia="宋体" w:cs="宋体"/>
          <w:color w:val="auto"/>
          <w:sz w:val="21"/>
          <w:szCs w:val="21"/>
          <w:highlight w:val="none"/>
          <w:lang w:val="zh-CN"/>
        </w:rPr>
        <w:t>含水率</w:t>
      </w:r>
      <w:r>
        <w:rPr>
          <w:rFonts w:hint="eastAsia" w:ascii="宋体" w:hAnsi="宋体" w:eastAsia="宋体" w:cs="宋体"/>
          <w:color w:val="auto"/>
          <w:sz w:val="21"/>
          <w:szCs w:val="21"/>
          <w:highlight w:val="none"/>
          <w:lang w:val="zh-CN" w:eastAsia="zh-CN"/>
        </w:rPr>
        <w:t>不高于55%的半干化泥粉</w:t>
      </w:r>
      <w:r>
        <w:rPr>
          <w:rFonts w:hint="eastAsia" w:ascii="宋体" w:hAnsi="宋体" w:eastAsia="宋体" w:cs="宋体"/>
          <w:color w:val="auto"/>
          <w:sz w:val="21"/>
          <w:szCs w:val="21"/>
          <w:highlight w:val="none"/>
          <w:lang w:val="zh-CN"/>
        </w:rPr>
        <w:t>。</w:t>
      </w:r>
    </w:p>
    <w:p w14:paraId="34218064">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2、</w:t>
      </w:r>
      <w:r>
        <w:rPr>
          <w:rFonts w:hint="eastAsia" w:ascii="宋体" w:hAnsi="宋体" w:cs="宋体"/>
          <w:color w:val="auto"/>
          <w:sz w:val="21"/>
          <w:szCs w:val="21"/>
          <w:highlight w:val="none"/>
          <w:lang w:val="zh-CN" w:eastAsia="zh-CN"/>
        </w:rPr>
        <w:t>BOT权属东江下游片区</w:t>
      </w:r>
      <w:r>
        <w:rPr>
          <w:rFonts w:hint="eastAsia" w:ascii="宋体" w:hAnsi="宋体" w:eastAsia="宋体" w:cs="宋体"/>
          <w:color w:val="auto"/>
          <w:sz w:val="21"/>
          <w:szCs w:val="21"/>
          <w:highlight w:val="none"/>
          <w:lang w:val="zh-CN" w:eastAsia="zh-CN"/>
        </w:rPr>
        <w:t>基本情况信息表</w:t>
      </w:r>
    </w:p>
    <w:tbl>
      <w:tblPr>
        <w:tblStyle w:val="55"/>
        <w:tblW w:w="98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8"/>
        <w:gridCol w:w="1340"/>
        <w:gridCol w:w="860"/>
        <w:gridCol w:w="1150"/>
        <w:gridCol w:w="810"/>
        <w:gridCol w:w="840"/>
        <w:gridCol w:w="1119"/>
        <w:gridCol w:w="1488"/>
        <w:gridCol w:w="1883"/>
      </w:tblGrid>
      <w:tr w14:paraId="3A1F5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jc w:val="center"/>
        </w:trPr>
        <w:tc>
          <w:tcPr>
            <w:tcW w:w="358" w:type="dxa"/>
            <w:tcBorders>
              <w:bottom w:val="single" w:color="auto" w:sz="4" w:space="0"/>
              <w:right w:val="single" w:color="auto" w:sz="4" w:space="0"/>
            </w:tcBorders>
            <w:shd w:val="clear" w:color="auto" w:fill="auto"/>
            <w:vAlign w:val="center"/>
          </w:tcPr>
          <w:p w14:paraId="23EE9FE5">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序号</w:t>
            </w:r>
          </w:p>
        </w:tc>
        <w:tc>
          <w:tcPr>
            <w:tcW w:w="1340" w:type="dxa"/>
            <w:tcBorders>
              <w:left w:val="single" w:color="auto" w:sz="4" w:space="0"/>
              <w:bottom w:val="single" w:color="auto" w:sz="4" w:space="0"/>
              <w:right w:val="single" w:color="auto" w:sz="4" w:space="0"/>
            </w:tcBorders>
            <w:shd w:val="clear" w:color="auto" w:fill="auto"/>
            <w:vAlign w:val="center"/>
          </w:tcPr>
          <w:p w14:paraId="5D800B3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860" w:type="dxa"/>
            <w:tcBorders>
              <w:left w:val="single" w:color="auto" w:sz="4" w:space="0"/>
              <w:bottom w:val="single" w:color="auto" w:sz="4" w:space="0"/>
              <w:right w:val="single" w:color="auto" w:sz="4" w:space="0"/>
            </w:tcBorders>
            <w:shd w:val="clear" w:color="auto" w:fill="auto"/>
            <w:vAlign w:val="center"/>
          </w:tcPr>
          <w:p w14:paraId="18A04336">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污水处理设计规模（万吨/日）</w:t>
            </w:r>
          </w:p>
        </w:tc>
        <w:tc>
          <w:tcPr>
            <w:tcW w:w="1150" w:type="dxa"/>
            <w:tcBorders>
              <w:left w:val="single" w:color="auto" w:sz="4" w:space="0"/>
              <w:bottom w:val="single" w:color="auto" w:sz="4" w:space="0"/>
              <w:right w:val="single" w:color="auto" w:sz="4" w:space="0"/>
            </w:tcBorders>
            <w:shd w:val="clear" w:color="auto" w:fill="auto"/>
            <w:vAlign w:val="center"/>
          </w:tcPr>
          <w:p w14:paraId="1A8B9580">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设计污泥脱水减量能力</w:t>
            </w:r>
          </w:p>
          <w:p w14:paraId="6FC97A5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（吨/日，含水率80%）</w:t>
            </w:r>
          </w:p>
        </w:tc>
        <w:tc>
          <w:tcPr>
            <w:tcW w:w="810" w:type="dxa"/>
            <w:tcBorders>
              <w:left w:val="single" w:color="auto" w:sz="4" w:space="0"/>
              <w:bottom w:val="single" w:color="auto" w:sz="4" w:space="0"/>
              <w:right w:val="single" w:color="auto" w:sz="4" w:space="0"/>
            </w:tcBorders>
            <w:shd w:val="clear" w:color="auto" w:fill="auto"/>
            <w:vAlign w:val="center"/>
          </w:tcPr>
          <w:p w14:paraId="5A5EF1EB">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减量项目可用地面积约（M²）</w:t>
            </w:r>
          </w:p>
        </w:tc>
        <w:tc>
          <w:tcPr>
            <w:tcW w:w="840" w:type="dxa"/>
            <w:tcBorders>
              <w:left w:val="single" w:color="auto" w:sz="4" w:space="0"/>
              <w:bottom w:val="single" w:color="auto" w:sz="4" w:space="0"/>
              <w:right w:val="single" w:color="auto" w:sz="4" w:space="0"/>
            </w:tcBorders>
            <w:shd w:val="clear" w:color="auto" w:fill="auto"/>
            <w:vAlign w:val="center"/>
          </w:tcPr>
          <w:p w14:paraId="69966921">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减量项目可装机容量约（KW）</w:t>
            </w:r>
          </w:p>
        </w:tc>
        <w:tc>
          <w:tcPr>
            <w:tcW w:w="1119" w:type="dxa"/>
            <w:tcBorders>
              <w:left w:val="single" w:color="auto" w:sz="4" w:space="0"/>
              <w:bottom w:val="single" w:color="auto" w:sz="4" w:space="0"/>
              <w:right w:val="single" w:color="auto" w:sz="4" w:space="0"/>
            </w:tcBorders>
            <w:shd w:val="clear" w:color="auto" w:fill="auto"/>
            <w:vAlign w:val="center"/>
          </w:tcPr>
          <w:p w14:paraId="485AF444">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污水处理工艺</w:t>
            </w:r>
          </w:p>
        </w:tc>
        <w:tc>
          <w:tcPr>
            <w:tcW w:w="1488" w:type="dxa"/>
            <w:tcBorders>
              <w:left w:val="single" w:color="auto" w:sz="4" w:space="0"/>
              <w:bottom w:val="single" w:color="auto" w:sz="4" w:space="0"/>
              <w:right w:val="single" w:color="auto" w:sz="4" w:space="0"/>
            </w:tcBorders>
            <w:shd w:val="clear" w:color="auto" w:fill="auto"/>
            <w:noWrap/>
            <w:vAlign w:val="center"/>
          </w:tcPr>
          <w:p w14:paraId="2F2C3DB7">
            <w:pPr>
              <w:keepNext w:val="0"/>
              <w:keepLines w:val="0"/>
              <w:widowControl/>
              <w:suppressLineNumbers w:val="0"/>
              <w:spacing w:before="0" w:beforeAutospacing="0" w:after="0" w:afterAutospacing="0"/>
              <w:ind w:left="0" w:right="0"/>
              <w:jc w:val="center"/>
              <w:textAlignment w:val="center"/>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地址</w:t>
            </w:r>
          </w:p>
        </w:tc>
        <w:tc>
          <w:tcPr>
            <w:tcW w:w="1883" w:type="dxa"/>
            <w:tcBorders>
              <w:left w:val="single" w:color="auto" w:sz="4" w:space="0"/>
              <w:bottom w:val="single" w:color="auto" w:sz="4" w:space="0"/>
            </w:tcBorders>
            <w:shd w:val="clear" w:color="auto" w:fill="auto"/>
            <w:vAlign w:val="center"/>
          </w:tcPr>
          <w:p w14:paraId="0D0ADCB3">
            <w:pPr>
              <w:keepNext w:val="0"/>
              <w:keepLines w:val="0"/>
              <w:widowControl/>
              <w:suppressLineNumbers w:val="0"/>
              <w:spacing w:before="0" w:beforeAutospacing="0" w:after="0" w:afterAutospacing="0"/>
              <w:ind w:left="0" w:right="0"/>
              <w:jc w:val="center"/>
              <w:textAlignment w:val="center"/>
              <w:outlineLvl w:val="9"/>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采购</w:t>
            </w:r>
            <w:r>
              <w:rPr>
                <w:rFonts w:hint="eastAsia" w:ascii="宋体" w:hAnsi="宋体" w:eastAsia="宋体" w:cs="宋体"/>
                <w:i w:val="0"/>
                <w:iCs w:val="0"/>
                <w:color w:val="000000"/>
                <w:kern w:val="0"/>
                <w:sz w:val="18"/>
                <w:szCs w:val="18"/>
                <w:u w:val="none"/>
                <w:lang w:val="en-US" w:eastAsia="zh-CN" w:bidi="ar"/>
              </w:rPr>
              <w:t>人承接东莞市BOT污水处理厂污泥处理处置服务合同期限</w:t>
            </w:r>
          </w:p>
        </w:tc>
      </w:tr>
      <w:tr w14:paraId="12048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358" w:type="dxa"/>
            <w:tcBorders>
              <w:top w:val="single" w:color="000000" w:sz="4" w:space="0"/>
              <w:bottom w:val="single" w:color="000000" w:sz="4" w:space="0"/>
              <w:right w:val="single" w:color="000000" w:sz="4" w:space="0"/>
            </w:tcBorders>
            <w:shd w:val="clear" w:color="auto" w:fill="auto"/>
            <w:vAlign w:val="center"/>
          </w:tcPr>
          <w:p w14:paraId="0F5727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3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麻涌一期</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C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7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4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0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SBR（CASS）</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B2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麻涌镇新沙公园南一路9号</w:t>
            </w:r>
          </w:p>
        </w:tc>
        <w:tc>
          <w:tcPr>
            <w:tcW w:w="1883" w:type="dxa"/>
            <w:tcBorders>
              <w:left w:val="single" w:color="000000" w:sz="4" w:space="0"/>
            </w:tcBorders>
            <w:shd w:val="clear" w:color="auto" w:fill="auto"/>
            <w:vAlign w:val="center"/>
          </w:tcPr>
          <w:p w14:paraId="1B5BF474">
            <w:pPr>
              <w:keepNext w:val="0"/>
              <w:keepLines w:val="0"/>
              <w:suppressLineNumbers w:val="0"/>
              <w:spacing w:before="0" w:beforeAutospacing="0" w:after="0" w:afterAutospacing="0"/>
              <w:ind w:left="0" w:right="0"/>
              <w:jc w:val="left"/>
              <w:outlineLvl w:val="9"/>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自2023年1月5日起至东莞市污泥集中处理处置特许经营项目建成投运为止（具体以产业中心通知为准），最长不超过2026年1月4日。</w:t>
            </w:r>
          </w:p>
        </w:tc>
      </w:tr>
    </w:tbl>
    <w:p w14:paraId="47074003">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31AC9A36">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3、</w:t>
      </w:r>
      <w:r>
        <w:rPr>
          <w:rFonts w:hint="eastAsia" w:ascii="宋体" w:hAnsi="宋体" w:eastAsia="宋体" w:cs="宋体"/>
          <w:b/>
          <w:bCs/>
          <w:color w:val="auto"/>
          <w:sz w:val="21"/>
          <w:szCs w:val="21"/>
          <w:highlight w:val="none"/>
          <w:u w:val="single"/>
          <w:lang w:val="zh-CN"/>
        </w:rPr>
        <w:t>本用户需求书介绍的污泥减量化处理规模仅为便于</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了解项目情况使用，不作为</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最终委托减量化处理量的保证。最终按实际处理量结算，</w:t>
      </w:r>
      <w:r>
        <w:rPr>
          <w:rFonts w:hint="eastAsia" w:ascii="宋体" w:hAnsi="宋体" w:cs="宋体"/>
          <w:b/>
          <w:bCs/>
          <w:color w:val="auto"/>
          <w:sz w:val="21"/>
          <w:szCs w:val="21"/>
          <w:highlight w:val="none"/>
          <w:u w:val="single"/>
          <w:lang w:val="en-US" w:eastAsia="zh-CN"/>
        </w:rPr>
        <w:t>成交人</w:t>
      </w:r>
      <w:r>
        <w:rPr>
          <w:rFonts w:hint="eastAsia" w:ascii="宋体" w:hAnsi="宋体" w:eastAsia="宋体" w:cs="宋体"/>
          <w:b/>
          <w:bCs/>
          <w:color w:val="auto"/>
          <w:sz w:val="21"/>
          <w:szCs w:val="21"/>
          <w:highlight w:val="none"/>
          <w:u w:val="single"/>
          <w:lang w:val="zh-CN"/>
        </w:rPr>
        <w:t>不得因脱水减量化处理量的减少或增加而要求提供任何形式的补偿或赔偿，或要求</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按本用户需求书介绍的范围或规模采购相应的减量化处理服务</w:t>
      </w:r>
      <w:r>
        <w:rPr>
          <w:rFonts w:hint="eastAsia" w:ascii="宋体" w:hAnsi="宋体" w:eastAsia="宋体" w:cs="宋体"/>
          <w:b/>
          <w:bCs/>
          <w:color w:val="auto"/>
          <w:sz w:val="21"/>
          <w:szCs w:val="21"/>
          <w:highlight w:val="none"/>
          <w:lang w:val="zh-CN"/>
        </w:rPr>
        <w:t>。</w:t>
      </w:r>
    </w:p>
    <w:p w14:paraId="70FA3FDB">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eastAsia="zh-CN"/>
        </w:rPr>
        <w:t>4</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u w:val="single"/>
          <w:lang w:val="zh-CN"/>
        </w:rPr>
        <w:t>风险特别约定情况：</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清楚理解</w:t>
      </w:r>
      <w:r>
        <w:rPr>
          <w:rFonts w:hint="eastAsia" w:ascii="宋体" w:hAnsi="宋体" w:eastAsia="宋体" w:cs="宋体"/>
          <w:b/>
          <w:bCs/>
          <w:color w:val="auto"/>
          <w:sz w:val="21"/>
          <w:szCs w:val="21"/>
          <w:highlight w:val="none"/>
          <w:u w:val="single"/>
          <w:lang w:val="zh-CN" w:eastAsia="zh-CN"/>
        </w:rPr>
        <w:t>并同意接受</w:t>
      </w:r>
      <w:r>
        <w:rPr>
          <w:rFonts w:hint="eastAsia" w:ascii="宋体" w:hAnsi="宋体" w:eastAsia="宋体" w:cs="宋体"/>
          <w:b/>
          <w:bCs/>
          <w:color w:val="auto"/>
          <w:sz w:val="21"/>
          <w:szCs w:val="21"/>
          <w:highlight w:val="none"/>
          <w:u w:val="single"/>
          <w:lang w:val="zh-CN"/>
        </w:rPr>
        <w:t>本项目具有很大的不确定性</w:t>
      </w:r>
      <w:r>
        <w:rPr>
          <w:rFonts w:hint="eastAsia" w:ascii="宋体" w:hAnsi="宋体" w:eastAsia="宋体" w:cs="宋体"/>
          <w:b/>
          <w:bCs/>
          <w:color w:val="auto"/>
          <w:sz w:val="21"/>
          <w:szCs w:val="21"/>
          <w:highlight w:val="none"/>
          <w:u w:val="single"/>
          <w:lang w:val="zh-CN" w:eastAsia="zh-CN"/>
        </w:rPr>
        <w:t>，存在</w:t>
      </w:r>
      <w:r>
        <w:rPr>
          <w:rFonts w:hint="eastAsia" w:ascii="宋体" w:hAnsi="宋体" w:eastAsia="宋体" w:cs="宋体"/>
          <w:b/>
          <w:bCs/>
          <w:color w:val="auto"/>
          <w:sz w:val="21"/>
          <w:szCs w:val="21"/>
          <w:highlight w:val="none"/>
          <w:u w:val="single"/>
          <w:lang w:val="zh-CN"/>
        </w:rPr>
        <w:t>包括但不限于以下不确定性因素</w:t>
      </w:r>
      <w:r>
        <w:rPr>
          <w:rFonts w:hint="eastAsia" w:ascii="宋体" w:hAnsi="宋体" w:eastAsia="宋体" w:cs="宋体"/>
          <w:b/>
          <w:bCs/>
          <w:color w:val="auto"/>
          <w:sz w:val="21"/>
          <w:szCs w:val="21"/>
          <w:highlight w:val="none"/>
          <w:u w:val="single"/>
          <w:lang w:val="zh-CN" w:eastAsia="zh-CN"/>
        </w:rPr>
        <w:t>：</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eastAsia="zh-CN"/>
        </w:rPr>
        <w:t>的BOT污水处理厂污泥处理处置服务合同因政策变化等原因的调整而</w:t>
      </w:r>
      <w:r>
        <w:rPr>
          <w:rFonts w:hint="eastAsia" w:ascii="宋体" w:hAnsi="宋体" w:eastAsia="宋体" w:cs="宋体"/>
          <w:b/>
          <w:bCs/>
          <w:color w:val="auto"/>
          <w:sz w:val="21"/>
          <w:szCs w:val="21"/>
          <w:highlight w:val="none"/>
          <w:u w:val="single"/>
          <w:lang w:val="zh-CN"/>
        </w:rPr>
        <w:t>导致</w:t>
      </w:r>
      <w:r>
        <w:rPr>
          <w:rFonts w:hint="eastAsia" w:ascii="宋体" w:hAnsi="宋体" w:eastAsia="宋体" w:cs="宋体"/>
          <w:b/>
          <w:bCs/>
          <w:color w:val="auto"/>
          <w:sz w:val="21"/>
          <w:szCs w:val="21"/>
          <w:highlight w:val="none"/>
          <w:u w:val="single"/>
          <w:lang w:val="zh-CN" w:eastAsia="zh-CN"/>
        </w:rPr>
        <w:t>需提前解除</w:t>
      </w:r>
      <w:r>
        <w:rPr>
          <w:rFonts w:hint="eastAsia" w:ascii="宋体" w:hAnsi="宋体" w:eastAsia="宋体" w:cs="宋体"/>
          <w:b/>
          <w:bCs/>
          <w:color w:val="auto"/>
          <w:sz w:val="21"/>
          <w:szCs w:val="21"/>
          <w:highlight w:val="none"/>
          <w:u w:val="single"/>
          <w:lang w:val="zh-CN"/>
        </w:rPr>
        <w:t>污泥脱水减量化</w:t>
      </w:r>
      <w:r>
        <w:rPr>
          <w:rFonts w:hint="eastAsia" w:ascii="宋体" w:hAnsi="宋体" w:eastAsia="宋体" w:cs="宋体"/>
          <w:b/>
          <w:bCs/>
          <w:color w:val="auto"/>
          <w:sz w:val="21"/>
          <w:szCs w:val="21"/>
          <w:highlight w:val="none"/>
          <w:u w:val="single"/>
          <w:lang w:val="zh-CN" w:eastAsia="zh-CN"/>
        </w:rPr>
        <w:t>处理服务合同、因</w:t>
      </w:r>
      <w:r>
        <w:rPr>
          <w:rFonts w:hint="eastAsia" w:ascii="宋体" w:hAnsi="宋体" w:cs="宋体"/>
          <w:b/>
          <w:bCs/>
          <w:color w:val="auto"/>
          <w:sz w:val="21"/>
          <w:szCs w:val="21"/>
          <w:highlight w:val="none"/>
          <w:u w:val="single"/>
          <w:lang w:val="zh-CN" w:eastAsia="zh-CN"/>
        </w:rPr>
        <w:t>采购人</w:t>
      </w:r>
      <w:r>
        <w:rPr>
          <w:rFonts w:hint="eastAsia" w:ascii="宋体" w:hAnsi="宋体" w:eastAsia="宋体" w:cs="宋体"/>
          <w:b/>
          <w:bCs/>
          <w:color w:val="auto"/>
          <w:sz w:val="21"/>
          <w:szCs w:val="21"/>
          <w:highlight w:val="none"/>
          <w:u w:val="single"/>
          <w:lang w:val="zh-CN" w:eastAsia="zh-CN"/>
        </w:rPr>
        <w:t>（或污水处理厂）自行建设并运营污泥脱水减量化处理设施而导致需提前解除污泥脱水减量化处理服务合同、因</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的设施不达标或超标或用电用地的原因导致</w:t>
      </w:r>
      <w:r>
        <w:rPr>
          <w:rFonts w:hint="eastAsia" w:ascii="宋体" w:hAnsi="宋体" w:eastAsia="宋体" w:cs="宋体"/>
          <w:b/>
          <w:bCs/>
          <w:color w:val="auto"/>
          <w:sz w:val="21"/>
          <w:szCs w:val="21"/>
          <w:highlight w:val="none"/>
          <w:u w:val="single"/>
          <w:lang w:val="zh-CN"/>
        </w:rPr>
        <w:t>污水处理厂不接受</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安装污泥脱水减量化处理设施</w:t>
      </w:r>
      <w:r>
        <w:rPr>
          <w:rFonts w:hint="eastAsia" w:ascii="宋体" w:hAnsi="宋体" w:eastAsia="宋体" w:cs="宋体"/>
          <w:b/>
          <w:bCs/>
          <w:color w:val="auto"/>
          <w:sz w:val="21"/>
          <w:szCs w:val="21"/>
          <w:highlight w:val="none"/>
          <w:u w:val="single"/>
          <w:lang w:val="zh-CN" w:eastAsia="zh-CN"/>
        </w:rPr>
        <w:t>、</w:t>
      </w:r>
      <w:r>
        <w:rPr>
          <w:rFonts w:hint="eastAsia" w:ascii="宋体" w:hAnsi="宋体" w:eastAsia="宋体" w:cs="宋体"/>
          <w:b/>
          <w:bCs/>
          <w:color w:val="auto"/>
          <w:sz w:val="21"/>
          <w:szCs w:val="21"/>
          <w:highlight w:val="none"/>
          <w:u w:val="single"/>
          <w:lang w:val="zh-CN"/>
        </w:rPr>
        <w:t>污水处理厂不具备安装</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eastAsia="zh-CN"/>
        </w:rPr>
        <w:t>的</w:t>
      </w:r>
      <w:r>
        <w:rPr>
          <w:rFonts w:hint="eastAsia" w:ascii="宋体" w:hAnsi="宋体" w:eastAsia="宋体" w:cs="宋体"/>
          <w:b/>
          <w:bCs/>
          <w:color w:val="auto"/>
          <w:sz w:val="21"/>
          <w:szCs w:val="21"/>
          <w:highlight w:val="none"/>
          <w:u w:val="single"/>
          <w:lang w:val="zh-CN"/>
        </w:rPr>
        <w:t>污泥脱水减量化处理设施条件、</w:t>
      </w:r>
      <w:r>
        <w:rPr>
          <w:rFonts w:hint="eastAsia" w:ascii="宋体" w:hAnsi="宋体" w:cs="宋体"/>
          <w:b/>
          <w:bCs/>
          <w:sz w:val="21"/>
          <w:szCs w:val="21"/>
          <w:u w:val="single"/>
          <w:lang w:val="en-US" w:eastAsia="zh-CN"/>
        </w:rPr>
        <w:t>原服务单位协商不顺利未拆除现有设备导致供应商无法进场安装污泥脱水减量化处理设施、</w:t>
      </w:r>
      <w:r>
        <w:rPr>
          <w:rFonts w:hint="eastAsia" w:ascii="宋体" w:hAnsi="宋体" w:eastAsia="宋体" w:cs="宋体"/>
          <w:b/>
          <w:bCs/>
          <w:color w:val="auto"/>
          <w:sz w:val="21"/>
          <w:szCs w:val="21"/>
          <w:highlight w:val="none"/>
          <w:u w:val="single"/>
          <w:lang w:val="zh-CN" w:eastAsia="zh-CN"/>
        </w:rPr>
        <w:t>因污水处理厂用地手续不完善等问题被相关行政主管部门叫停而导致需提前解除污泥脱水减量化处理服务合同、</w:t>
      </w:r>
      <w:r>
        <w:rPr>
          <w:rFonts w:hint="eastAsia" w:ascii="宋体" w:hAnsi="宋体" w:eastAsia="宋体" w:cs="宋体"/>
          <w:b/>
          <w:bCs/>
          <w:color w:val="auto"/>
          <w:sz w:val="21"/>
          <w:szCs w:val="21"/>
          <w:highlight w:val="none"/>
          <w:u w:val="single"/>
          <w:lang w:val="zh-CN"/>
        </w:rPr>
        <w:t>提供给</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脱水减量化处理的泥量严重不符、</w:t>
      </w:r>
      <w:r>
        <w:rPr>
          <w:rFonts w:hint="eastAsia" w:ascii="宋体" w:hAnsi="宋体" w:eastAsia="宋体" w:cs="宋体"/>
          <w:b/>
          <w:bCs/>
          <w:color w:val="auto"/>
          <w:sz w:val="21"/>
          <w:szCs w:val="21"/>
          <w:highlight w:val="none"/>
          <w:u w:val="single"/>
          <w:lang w:val="zh-CN" w:eastAsia="zh-CN"/>
        </w:rPr>
        <w:t>污泥脱水减量化含水率的变化、或因东莞市污泥集中处理处置特许经营项目建设运营情况而导致需提前解除污泥脱水减量化处理服务合同</w:t>
      </w:r>
      <w:r>
        <w:rPr>
          <w:rFonts w:hint="eastAsia" w:ascii="宋体" w:hAnsi="宋体" w:eastAsia="宋体" w:cs="宋体"/>
          <w:b/>
          <w:bCs/>
          <w:color w:val="auto"/>
          <w:sz w:val="21"/>
          <w:szCs w:val="21"/>
          <w:highlight w:val="none"/>
          <w:u w:val="single"/>
          <w:lang w:val="zh-CN"/>
        </w:rPr>
        <w:t>等，因前述原因或同类因素导致已委托给</w:t>
      </w:r>
      <w:r>
        <w:rPr>
          <w:rFonts w:hint="eastAsia" w:ascii="宋体" w:hAnsi="宋体" w:cs="宋体"/>
          <w:b/>
          <w:bCs/>
          <w:color w:val="auto"/>
          <w:sz w:val="21"/>
          <w:szCs w:val="21"/>
          <w:highlight w:val="none"/>
          <w:u w:val="single"/>
          <w:lang w:val="zh-CN"/>
        </w:rPr>
        <w:t>成交人</w:t>
      </w:r>
      <w:r>
        <w:rPr>
          <w:rFonts w:hint="eastAsia" w:ascii="宋体" w:hAnsi="宋体" w:eastAsia="宋体" w:cs="宋体"/>
          <w:b/>
          <w:bCs/>
          <w:color w:val="auto"/>
          <w:sz w:val="21"/>
          <w:szCs w:val="21"/>
          <w:highlight w:val="none"/>
          <w:u w:val="single"/>
          <w:lang w:val="zh-CN"/>
        </w:rPr>
        <w:t>的项目无法实施或已安装了污泥脱水处理设施后项目取消的，</w:t>
      </w:r>
      <w:r>
        <w:rPr>
          <w:rFonts w:hint="eastAsia" w:ascii="宋体" w:hAnsi="宋体" w:cs="宋体"/>
          <w:b/>
          <w:bCs/>
          <w:color w:val="auto"/>
          <w:sz w:val="21"/>
          <w:szCs w:val="21"/>
          <w:highlight w:val="none"/>
          <w:u w:val="single"/>
          <w:lang w:val="en-US" w:eastAsia="zh-CN"/>
        </w:rPr>
        <w:t>供应商</w:t>
      </w:r>
      <w:r>
        <w:rPr>
          <w:rFonts w:hint="eastAsia" w:ascii="宋体" w:hAnsi="宋体" w:eastAsia="宋体" w:cs="宋体"/>
          <w:b/>
          <w:bCs/>
          <w:color w:val="auto"/>
          <w:sz w:val="21"/>
          <w:szCs w:val="21"/>
          <w:highlight w:val="none"/>
          <w:u w:val="single"/>
          <w:lang w:val="zh-CN"/>
        </w:rPr>
        <w:t>同意放弃向</w:t>
      </w:r>
      <w:r>
        <w:rPr>
          <w:rFonts w:hint="eastAsia" w:ascii="宋体" w:hAnsi="宋体" w:cs="宋体"/>
          <w:b/>
          <w:bCs/>
          <w:color w:val="auto"/>
          <w:sz w:val="21"/>
          <w:szCs w:val="21"/>
          <w:highlight w:val="none"/>
          <w:u w:val="single"/>
          <w:lang w:val="zh-CN"/>
        </w:rPr>
        <w:t>采购人</w:t>
      </w:r>
      <w:r>
        <w:rPr>
          <w:rFonts w:hint="eastAsia" w:ascii="宋体" w:hAnsi="宋体" w:eastAsia="宋体" w:cs="宋体"/>
          <w:b/>
          <w:bCs/>
          <w:color w:val="auto"/>
          <w:sz w:val="21"/>
          <w:szCs w:val="21"/>
          <w:highlight w:val="none"/>
          <w:u w:val="single"/>
          <w:lang w:val="zh-CN"/>
        </w:rPr>
        <w:t>追讨任何费用或主张任何权利和责任。</w:t>
      </w:r>
    </w:p>
    <w:p w14:paraId="14DBC48D">
      <w:pPr>
        <w:widowControl/>
        <w:autoSpaceDE/>
        <w:autoSpaceDN/>
        <w:adjustRightInd/>
        <w:snapToGrid w:val="0"/>
        <w:spacing w:line="360" w:lineRule="auto"/>
        <w:ind w:firstLine="420"/>
        <w:contextualSpacing/>
        <w:jc w:val="both"/>
        <w:outlineLvl w:val="9"/>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二、采购范围、服务期限、建设进度</w:t>
      </w:r>
    </w:p>
    <w:p w14:paraId="2E9E495C">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1、采购范围：</w:t>
      </w:r>
    </w:p>
    <w:p w14:paraId="41913245">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由服务单位在污水处理厂内实施污泥脱水减量化服务，将从污水厂储泥池或沉淀池抽取的污泥脱水减量至含水率不高于55%的半干化泥粉。</w:t>
      </w:r>
    </w:p>
    <w:p w14:paraId="05EA8D8E">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2、服务期限：</w:t>
      </w:r>
    </w:p>
    <w:p w14:paraId="6ECADEE5">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污泥厂内减量化处理服务期限自采购人发出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之日起至</w:t>
      </w:r>
      <w:r>
        <w:rPr>
          <w:rFonts w:hint="eastAsia" w:ascii="宋体" w:hAnsi="宋体" w:eastAsia="宋体" w:cs="宋体"/>
          <w:b/>
          <w:bCs/>
          <w:kern w:val="2"/>
          <w:sz w:val="21"/>
          <w:szCs w:val="21"/>
          <w:u w:val="single"/>
          <w:lang w:val="en-US" w:eastAsia="zh-CN"/>
        </w:rPr>
        <w:t>2026年1月4日</w:t>
      </w:r>
      <w:r>
        <w:rPr>
          <w:rFonts w:hint="eastAsia" w:ascii="宋体" w:hAnsi="宋体" w:cs="宋体"/>
          <w:b/>
          <w:bCs/>
          <w:kern w:val="2"/>
          <w:sz w:val="21"/>
          <w:szCs w:val="21"/>
          <w:u w:val="single"/>
          <w:lang w:val="en-US" w:eastAsia="zh-CN"/>
        </w:rPr>
        <w:t>止（具体以采购人通知为准）</w:t>
      </w:r>
      <w:r>
        <w:rPr>
          <w:rFonts w:hint="eastAsia" w:ascii="宋体" w:hAnsi="宋体" w:eastAsia="宋体" w:cs="宋体"/>
          <w:b/>
          <w:bCs/>
          <w:kern w:val="2"/>
          <w:sz w:val="21"/>
          <w:szCs w:val="21"/>
          <w:u w:val="single"/>
          <w:lang w:val="zh-CN"/>
        </w:rPr>
        <w:t>。服务期内，采购人根据</w:t>
      </w:r>
      <w:r>
        <w:rPr>
          <w:rFonts w:hint="eastAsia" w:ascii="宋体" w:hAnsi="宋体" w:eastAsia="宋体" w:cs="宋体"/>
          <w:b/>
          <w:bCs/>
          <w:kern w:val="2"/>
          <w:sz w:val="21"/>
          <w:szCs w:val="21"/>
          <w:u w:val="single"/>
          <w:lang w:val="zh-CN" w:eastAsia="zh-CN"/>
        </w:rPr>
        <w:t>污水厂厂区污泥脱水减量设备进行的实施进度或东莞市污泥集中处理处置特许经营项目建设运营情况</w:t>
      </w:r>
      <w:r>
        <w:rPr>
          <w:rFonts w:hint="eastAsia" w:ascii="宋体" w:hAnsi="宋体" w:eastAsia="宋体" w:cs="宋体"/>
          <w:b/>
          <w:bCs/>
          <w:kern w:val="2"/>
          <w:sz w:val="21"/>
          <w:szCs w:val="21"/>
          <w:u w:val="single"/>
          <w:lang w:val="zh-CN"/>
        </w:rPr>
        <w:t>有权要求</w:t>
      </w:r>
      <w:r>
        <w:rPr>
          <w:rFonts w:hint="eastAsia" w:ascii="宋体" w:hAnsi="宋体" w:eastAsia="宋体" w:cs="宋体"/>
          <w:b/>
          <w:bCs/>
          <w:kern w:val="2"/>
          <w:sz w:val="21"/>
          <w:szCs w:val="21"/>
          <w:u w:val="single"/>
          <w:lang w:val="en-US" w:eastAsia="zh-CN"/>
        </w:rPr>
        <w:t>成交人</w:t>
      </w:r>
      <w:r>
        <w:rPr>
          <w:rFonts w:hint="eastAsia" w:ascii="宋体" w:hAnsi="宋体" w:eastAsia="宋体" w:cs="宋体"/>
          <w:b/>
          <w:bCs/>
          <w:kern w:val="2"/>
          <w:sz w:val="21"/>
          <w:szCs w:val="21"/>
          <w:u w:val="single"/>
          <w:lang w:val="zh-CN"/>
        </w:rPr>
        <w:t>无条件提前终止服务并撤场。在服务期满后，如采购人需委托</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人继续开展服务范围内的服务时，</w:t>
      </w:r>
      <w:r>
        <w:rPr>
          <w:rFonts w:hint="eastAsia" w:ascii="宋体" w:hAnsi="宋体" w:eastAsia="宋体" w:cs="宋体"/>
          <w:b/>
          <w:bCs/>
          <w:kern w:val="2"/>
          <w:sz w:val="21"/>
          <w:szCs w:val="21"/>
          <w:u w:val="single"/>
          <w:lang w:val="zh-CN" w:eastAsia="zh-CN"/>
        </w:rPr>
        <w:t>经双方协商一致，</w:t>
      </w:r>
      <w:r>
        <w:rPr>
          <w:rFonts w:hint="eastAsia" w:ascii="宋体" w:hAnsi="宋体" w:eastAsia="宋体" w:cs="宋体"/>
          <w:b/>
          <w:bCs/>
          <w:kern w:val="2"/>
          <w:sz w:val="21"/>
          <w:szCs w:val="21"/>
          <w:u w:val="single"/>
          <w:lang w:val="en-US" w:eastAsia="zh-CN"/>
        </w:rPr>
        <w:t>成交</w:t>
      </w:r>
      <w:r>
        <w:rPr>
          <w:rFonts w:hint="eastAsia" w:ascii="宋体" w:hAnsi="宋体" w:eastAsia="宋体" w:cs="宋体"/>
          <w:b/>
          <w:bCs/>
          <w:kern w:val="2"/>
          <w:sz w:val="21"/>
          <w:szCs w:val="21"/>
          <w:u w:val="single"/>
          <w:lang w:val="zh-CN"/>
        </w:rPr>
        <w:t>人应按合同约定的计价方式和服务标准向采购人继续提供处理服务</w:t>
      </w:r>
      <w:r>
        <w:rPr>
          <w:rFonts w:hint="eastAsia" w:ascii="宋体" w:hAnsi="宋体" w:eastAsia="宋体" w:cs="宋体"/>
          <w:b/>
          <w:bCs/>
          <w:kern w:val="2"/>
          <w:sz w:val="21"/>
          <w:szCs w:val="21"/>
          <w:lang w:val="zh-CN"/>
        </w:rPr>
        <w:t>。</w:t>
      </w:r>
    </w:p>
    <w:p w14:paraId="2A2A633C">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3、脱水减量化处理设施建设进度要求</w:t>
      </w:r>
    </w:p>
    <w:p w14:paraId="438608AF">
      <w:pPr>
        <w:widowControl/>
        <w:autoSpaceDE/>
        <w:autoSpaceDN/>
        <w:adjustRightInd/>
        <w:snapToGrid w:val="0"/>
        <w:spacing w:line="360" w:lineRule="auto"/>
        <w:ind w:firstLine="420"/>
        <w:contextualSpacing/>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污水处理厂脱水减量化处理项目,</w:t>
      </w:r>
      <w:r>
        <w:rPr>
          <w:rFonts w:hint="eastAsia" w:ascii="宋体" w:hAnsi="宋体" w:eastAsia="宋体" w:cs="宋体"/>
          <w:b/>
          <w:bCs/>
          <w:kern w:val="2"/>
          <w:sz w:val="21"/>
          <w:szCs w:val="21"/>
          <w:u w:val="single"/>
          <w:lang w:val="en-US" w:eastAsia="zh-CN"/>
        </w:rPr>
        <w:t>供应商</w:t>
      </w:r>
      <w:r>
        <w:rPr>
          <w:rFonts w:hint="eastAsia" w:ascii="宋体" w:hAnsi="宋体" w:eastAsia="宋体" w:cs="宋体"/>
          <w:b/>
          <w:bCs/>
          <w:kern w:val="2"/>
          <w:sz w:val="21"/>
          <w:szCs w:val="21"/>
          <w:u w:val="single"/>
          <w:lang w:val="zh-CN"/>
        </w:rPr>
        <w:t>必须承诺在收到采购人</w:t>
      </w:r>
      <w:r>
        <w:rPr>
          <w:rFonts w:hint="eastAsia" w:ascii="宋体" w:hAnsi="宋体" w:eastAsia="宋体" w:cs="宋体"/>
          <w:b/>
          <w:bCs/>
          <w:kern w:val="2"/>
          <w:sz w:val="21"/>
          <w:szCs w:val="21"/>
          <w:u w:val="single"/>
          <w:lang w:val="zh-CN" w:eastAsia="zh-CN"/>
        </w:rPr>
        <w:t>《进场</w:t>
      </w:r>
      <w:r>
        <w:rPr>
          <w:rFonts w:hint="eastAsia" w:ascii="宋体" w:hAnsi="宋体" w:eastAsia="宋体" w:cs="宋体"/>
          <w:b/>
          <w:bCs/>
          <w:kern w:val="2"/>
          <w:sz w:val="21"/>
          <w:szCs w:val="21"/>
          <w:u w:val="single"/>
          <w:lang w:val="zh-CN"/>
        </w:rPr>
        <w:t>通知</w:t>
      </w:r>
      <w:r>
        <w:rPr>
          <w:rFonts w:hint="eastAsia" w:ascii="宋体" w:hAnsi="宋体" w:eastAsia="宋体" w:cs="宋体"/>
          <w:b/>
          <w:bCs/>
          <w:kern w:val="2"/>
          <w:sz w:val="21"/>
          <w:szCs w:val="21"/>
          <w:u w:val="single"/>
          <w:lang w:val="zh-CN" w:eastAsia="zh-CN"/>
        </w:rPr>
        <w:t>书》</w:t>
      </w:r>
      <w:r>
        <w:rPr>
          <w:rFonts w:hint="eastAsia" w:ascii="宋体" w:hAnsi="宋体" w:eastAsia="宋体" w:cs="宋体"/>
          <w:b/>
          <w:bCs/>
          <w:kern w:val="2"/>
          <w:sz w:val="21"/>
          <w:szCs w:val="21"/>
          <w:u w:val="single"/>
          <w:lang w:val="zh-CN"/>
        </w:rPr>
        <w:t>之日起30天内完成设备安装并具备正式投产条件</w:t>
      </w:r>
      <w:r>
        <w:rPr>
          <w:rFonts w:hint="eastAsia" w:ascii="宋体" w:hAnsi="宋体" w:eastAsia="宋体" w:cs="宋体"/>
          <w:b/>
          <w:bCs/>
          <w:kern w:val="2"/>
          <w:sz w:val="21"/>
          <w:szCs w:val="21"/>
          <w:lang w:val="zh-CN"/>
        </w:rPr>
        <w:t>。</w:t>
      </w:r>
      <w:r>
        <w:rPr>
          <w:rFonts w:hint="eastAsia" w:ascii="宋体" w:hAnsi="宋体" w:eastAsia="宋体" w:cs="宋体"/>
          <w:kern w:val="2"/>
          <w:sz w:val="21"/>
          <w:szCs w:val="21"/>
          <w:lang w:val="zh-CN"/>
        </w:rPr>
        <w:t xml:space="preserve"> </w:t>
      </w:r>
    </w:p>
    <w:p w14:paraId="068BD5BE">
      <w:pPr>
        <w:widowControl/>
        <w:autoSpaceDE/>
        <w:autoSpaceDN/>
        <w:adjustRightInd/>
        <w:snapToGrid w:val="0"/>
        <w:spacing w:line="360" w:lineRule="auto"/>
        <w:ind w:firstLine="420"/>
        <w:contextualSpacing/>
        <w:jc w:val="both"/>
        <w:outlineLvl w:val="9"/>
        <w:rPr>
          <w:rFonts w:hint="eastAsia" w:ascii="宋体" w:hAnsi="宋体" w:eastAsia="宋体" w:cs="宋体"/>
          <w:color w:val="auto"/>
          <w:sz w:val="21"/>
          <w:szCs w:val="21"/>
          <w:highlight w:val="none"/>
          <w:lang w:val="zh-CN"/>
        </w:rPr>
      </w:pPr>
      <w:bookmarkStart w:id="196" w:name="_Toc24054"/>
      <w:bookmarkStart w:id="197" w:name="_Toc1332"/>
      <w:r>
        <w:rPr>
          <w:rFonts w:hint="eastAsia" w:ascii="宋体" w:hAnsi="宋体" w:eastAsia="宋体" w:cs="宋体"/>
          <w:kern w:val="2"/>
          <w:sz w:val="21"/>
          <w:szCs w:val="21"/>
          <w:lang w:val="zh-CN"/>
        </w:rPr>
        <w:t>污泥脱水减量化项目的“投产”是指污泥脱水减量化产能连续三天稳定达到该处理点设计规模产能的70%或以上，减量化后的半干化污泥含水率不高于55%（若由于污泥产出单位自身原因导致的污泥产量不足，则由采购人与污泥产生单位经现场确认其产能是否符合要求）。</w:t>
      </w:r>
      <w:bookmarkEnd w:id="196"/>
      <w:bookmarkEnd w:id="197"/>
      <w:bookmarkStart w:id="198" w:name="_Toc17256"/>
      <w:bookmarkStart w:id="199" w:name="_Toc5313"/>
    </w:p>
    <w:bookmarkEnd w:id="198"/>
    <w:bookmarkEnd w:id="199"/>
    <w:p w14:paraId="02867DC6">
      <w:pPr>
        <w:widowControl/>
        <w:autoSpaceDE/>
        <w:autoSpaceDN/>
        <w:adjustRightInd/>
        <w:snapToGrid w:val="0"/>
        <w:spacing w:line="360" w:lineRule="auto"/>
        <w:ind w:firstLine="420"/>
        <w:contextualSpacing/>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三、污泥计量、脱水减量化处理后污泥的含水率及</w:t>
      </w:r>
      <w:r>
        <w:rPr>
          <w:rFonts w:hint="eastAsia" w:ascii="宋体" w:hAnsi="宋体" w:eastAsia="宋体" w:cs="宋体"/>
          <w:b/>
          <w:bCs/>
          <w:kern w:val="2"/>
          <w:sz w:val="21"/>
          <w:szCs w:val="21"/>
          <w:lang w:val="zh-CN" w:eastAsia="zh-CN"/>
        </w:rPr>
        <w:t>检测</w:t>
      </w:r>
      <w:r>
        <w:rPr>
          <w:rFonts w:hint="eastAsia" w:ascii="宋体" w:hAnsi="宋体" w:eastAsia="宋体" w:cs="宋体"/>
          <w:b/>
          <w:bCs/>
          <w:kern w:val="2"/>
          <w:sz w:val="21"/>
          <w:szCs w:val="21"/>
          <w:lang w:val="zh-CN"/>
        </w:rPr>
        <w:t>、计费</w:t>
      </w:r>
    </w:p>
    <w:p w14:paraId="70777AE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1、污水处理厂污泥减量化项目减量化服务费单价按含水率80%的湿泥计价（元/吨）。若在项目服务期间，因污泥减量化技术升级，污泥含水率可脱水至更低，经双方协商</w:t>
      </w:r>
      <w:r>
        <w:rPr>
          <w:rFonts w:hint="eastAsia" w:ascii="宋体" w:hAnsi="宋体" w:eastAsia="宋体" w:cs="宋体"/>
          <w:kern w:val="2"/>
          <w:sz w:val="21"/>
          <w:szCs w:val="21"/>
          <w:lang w:val="zh-CN" w:eastAsia="zh-CN"/>
        </w:rPr>
        <w:t>一致</w:t>
      </w:r>
      <w:r>
        <w:rPr>
          <w:rFonts w:hint="eastAsia" w:ascii="宋体" w:hAnsi="宋体" w:eastAsia="宋体" w:cs="宋体"/>
          <w:kern w:val="2"/>
          <w:sz w:val="21"/>
          <w:szCs w:val="21"/>
          <w:lang w:val="zh-CN"/>
        </w:rPr>
        <w:t>，可调整折算公式。</w:t>
      </w:r>
    </w:p>
    <w:p w14:paraId="01D56B4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（1）污泥称重计量：污水处理厂出厂的半干化泥粉，通过采购人指定的地磅的称重数据（磅单）为计量计费依据，计量相关费用均由采购人承担。</w:t>
      </w:r>
    </w:p>
    <w:p w14:paraId="271AFC68">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（2）当车结算泥量。当车结算泥量=称重数据（磅单）×（1-55%）/（1-80%）。</w:t>
      </w:r>
    </w:p>
    <w:p w14:paraId="6FC7BDBC">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2、含水率。</w:t>
      </w:r>
    </w:p>
    <w:p w14:paraId="145F9BEC">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en-US" w:eastAsia="zh-CN"/>
        </w:rPr>
        <w:t>成交</w:t>
      </w:r>
      <w:r>
        <w:rPr>
          <w:rFonts w:hint="eastAsia" w:ascii="宋体" w:hAnsi="宋体" w:eastAsia="宋体" w:cs="宋体"/>
          <w:kern w:val="2"/>
          <w:sz w:val="21"/>
          <w:szCs w:val="21"/>
          <w:lang w:val="zh-CN"/>
        </w:rPr>
        <w:t>人应严格遵照采购人要求将污泥脱水减量化至含水率不高于55%，按合同单价（将从污水厂储泥池或沉淀池抽取的污泥脱水减量至含水率不高于55%的半干化污泥服务费单价）计取。</w:t>
      </w:r>
    </w:p>
    <w:p w14:paraId="23D4FCFA">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rPr>
        <w:t>3、含水率</w:t>
      </w:r>
      <w:r>
        <w:rPr>
          <w:rFonts w:hint="eastAsia" w:ascii="宋体" w:hAnsi="宋体" w:eastAsia="宋体" w:cs="宋体"/>
          <w:kern w:val="2"/>
          <w:sz w:val="21"/>
          <w:szCs w:val="21"/>
          <w:lang w:val="zh-CN" w:eastAsia="zh-CN"/>
        </w:rPr>
        <w:t>检测</w:t>
      </w:r>
    </w:p>
    <w:p w14:paraId="60FF6A3D">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含水率</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包括由污水处理厂化验室（或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委托的第三方检测机构）检测及采购人抽检两部分。</w:t>
      </w:r>
    </w:p>
    <w:p w14:paraId="747AB85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w:t>
      </w:r>
      <w:r>
        <w:rPr>
          <w:rFonts w:hint="eastAsia" w:ascii="宋体" w:hAnsi="宋体" w:eastAsia="宋体" w:cs="宋体"/>
          <w:kern w:val="2"/>
          <w:sz w:val="21"/>
          <w:szCs w:val="21"/>
          <w:lang w:val="zh-CN" w:eastAsia="zh-CN"/>
        </w:rPr>
        <w:t>检测</w:t>
      </w:r>
      <w:r>
        <w:rPr>
          <w:rFonts w:hint="eastAsia" w:ascii="宋体" w:hAnsi="宋体" w:eastAsia="宋体" w:cs="宋体"/>
          <w:kern w:val="2"/>
          <w:sz w:val="21"/>
          <w:szCs w:val="21"/>
          <w:lang w:val="zh-CN"/>
        </w:rPr>
        <w:t>采样方式：在本项目半干化泥粉外运装车时采集半干化泥粉样品，采样点为外运半干化泥粉的运输车内，采样方法执行《城镇污水处理厂污染物排放标准》（GB18918-2002）的规定，多点取样，即在运输车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委托的第三方检测机构）检测及存底，1份放至污水处理厂化验室（或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委托的第三方检测机构），以便采购人委托的第三方检测机构复检（有异议时）或抽检（每月4次）；剩余1交由成交人自行保留或自检。若成交人对污水处理厂化验室（或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委托的第三方检测机构）检测的含水率有异议（24小时内提出），则由采购人委托的第三方有资质的检测公司对污水处理厂留底的样品进行检测（48小时内），并以该含水率作为最终计费依据。</w:t>
      </w:r>
    </w:p>
    <w:p w14:paraId="2DCC80A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（2）采样时成交人需用水印相机拍摄采样过程视频，并由成交人负责建立《采样台账》（具体格式由成交人自定，</w:t>
      </w:r>
      <w:r>
        <w:rPr>
          <w:rFonts w:hint="eastAsia" w:ascii="宋体" w:hAnsi="宋体" w:eastAsia="宋体" w:cs="宋体"/>
          <w:kern w:val="2"/>
          <w:sz w:val="21"/>
          <w:szCs w:val="21"/>
          <w:lang w:val="zh-CN" w:eastAsia="zh-CN"/>
        </w:rPr>
        <w:t>应至少</w:t>
      </w:r>
      <w:r>
        <w:rPr>
          <w:rFonts w:hint="eastAsia" w:ascii="宋体" w:hAnsi="宋体" w:eastAsia="宋体" w:cs="宋体"/>
          <w:kern w:val="2"/>
          <w:sz w:val="21"/>
          <w:szCs w:val="21"/>
          <w:lang w:val="zh-CN"/>
        </w:rPr>
        <w:t>含样品编码、抽检位置、抽检时间及双方签字记录等信息），由污水处理厂（或污水处理厂委托的第三方检测机构）和成交人共同在《采样台账》上签名确认污泥样品，采样视频及《采样台账》于每月请款时交采购人留底。</w:t>
      </w:r>
    </w:p>
    <w:p w14:paraId="409B3D73">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委托的第三方检测机构）检测。由污水处理厂化验室（或</w:t>
      </w:r>
      <w:r>
        <w:rPr>
          <w:rFonts w:hint="eastAsia" w:ascii="宋体" w:hAnsi="宋体" w:eastAsia="宋体" w:cs="宋体"/>
          <w:kern w:val="2"/>
          <w:sz w:val="21"/>
          <w:szCs w:val="21"/>
          <w:lang w:val="zh-CN" w:eastAsia="zh-CN"/>
        </w:rPr>
        <w:t>采购人委托的第三方检测机构、或污泥产生单位</w:t>
      </w:r>
      <w:r>
        <w:rPr>
          <w:rFonts w:hint="eastAsia" w:ascii="宋体" w:hAnsi="宋体" w:eastAsia="宋体" w:cs="宋体"/>
          <w:kern w:val="2"/>
          <w:sz w:val="21"/>
          <w:szCs w:val="21"/>
          <w:lang w:val="zh-CN"/>
        </w:rPr>
        <w:t>委托的第三方检测机构）对出厂时每车半干化泥粉进行采样检测。脱水减量化后的半干化泥粉出厂含水率的确认，由</w:t>
      </w:r>
      <w:r>
        <w:rPr>
          <w:rFonts w:hint="eastAsia" w:ascii="宋体" w:hAnsi="宋体" w:eastAsia="宋体" w:cs="宋体"/>
          <w:kern w:val="2"/>
          <w:sz w:val="21"/>
          <w:szCs w:val="21"/>
          <w:lang w:val="zh-CN" w:eastAsia="zh-CN"/>
        </w:rPr>
        <w:t>污泥产生单位</w:t>
      </w:r>
      <w:r>
        <w:rPr>
          <w:rFonts w:hint="eastAsia" w:ascii="宋体" w:hAnsi="宋体" w:eastAsia="宋体" w:cs="宋体"/>
          <w:kern w:val="2"/>
          <w:sz w:val="21"/>
          <w:szCs w:val="21"/>
          <w:lang w:val="zh-CN"/>
        </w:rPr>
        <w:t>、采购人及成交人三方共同确认，形成《统计台账》，于每月请款时交采购人留底。</w:t>
      </w:r>
    </w:p>
    <w:p w14:paraId="14398650">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采购人委托的第三方检测机构每月随机从采集的样品中选取4个进行检测，并最终以采购人委托的第三方检测机构的检测数据作为当车污泥脱水减量化处理服务费计费依据，当月其余车次含水率以《统计台账》为准，形成《XXX年XX月XXX厂污泥脱水减量服务费结算台账》（下称“《结算台账》”），作为采购人向成交人支付当月污泥脱水减量化处理服务费的结算依据。</w:t>
      </w:r>
    </w:p>
    <w:p w14:paraId="0F476490">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4、污泥脱水减量化处理服务费计费。</w:t>
      </w:r>
    </w:p>
    <w:p w14:paraId="4FBDBA7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（1）当车含水率小于等于55%时，当车污泥脱水减量化处理服务费=当车结算泥量×合同单价（从污水厂储泥池或沉淀池抽取的污泥减量至含水率不高于55%的半干化污泥服务费单价）。</w:t>
      </w:r>
    </w:p>
    <w:p w14:paraId="7C2BB22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kern w:val="2"/>
          <w:sz w:val="21"/>
          <w:szCs w:val="21"/>
          <w:lang w:val="zh-CN" w:eastAsia="zh-CN"/>
        </w:rPr>
        <w:t>2</w:t>
      </w:r>
      <w:r>
        <w:rPr>
          <w:rFonts w:hint="eastAsia" w:ascii="宋体" w:hAnsi="宋体" w:eastAsia="宋体" w:cs="宋体"/>
          <w:kern w:val="2"/>
          <w:sz w:val="21"/>
          <w:szCs w:val="21"/>
          <w:lang w:val="zh-CN"/>
        </w:rPr>
        <w:t>）采购人按月支付污泥脱水减量化处理服务费给成交人。</w:t>
      </w:r>
    </w:p>
    <w:p w14:paraId="26E63C46">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四、污泥减量化项目技术要求</w:t>
      </w:r>
    </w:p>
    <w:p w14:paraId="33B5FD4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 污泥处理要求</w:t>
      </w:r>
    </w:p>
    <w:p w14:paraId="2D5C3DDE">
      <w:pPr>
        <w:autoSpaceDE/>
        <w:autoSpaceDN/>
        <w:adjustRightInd/>
        <w:snapToGrid w:val="0"/>
        <w:spacing w:line="360" w:lineRule="auto"/>
        <w:ind w:firstLine="420" w:firstLineChars="200"/>
        <w:jc w:val="both"/>
        <w:outlineLvl w:val="9"/>
        <w:rPr>
          <w:rFonts w:hint="eastAsia" w:ascii="宋体" w:hAnsi="宋体" w:eastAsia="宋体" w:cs="宋体"/>
          <w:b/>
          <w:bCs w:val="0"/>
          <w:kern w:val="2"/>
          <w:sz w:val="21"/>
          <w:szCs w:val="21"/>
          <w:lang w:val="zh-CN"/>
        </w:rPr>
      </w:pPr>
      <w:r>
        <w:rPr>
          <w:rFonts w:hint="eastAsia" w:ascii="宋体" w:hAnsi="宋体" w:eastAsia="宋体" w:cs="宋体"/>
          <w:bCs/>
          <w:kern w:val="2"/>
          <w:sz w:val="21"/>
          <w:szCs w:val="21"/>
          <w:lang w:val="zh-CN"/>
        </w:rPr>
        <w:t>（1）★</w:t>
      </w:r>
      <w:r>
        <w:rPr>
          <w:rFonts w:hint="eastAsia" w:ascii="宋体" w:hAnsi="宋体" w:eastAsia="宋体" w:cs="宋体"/>
          <w:b/>
          <w:bCs w:val="0"/>
          <w:kern w:val="2"/>
          <w:sz w:val="21"/>
          <w:szCs w:val="21"/>
          <w:u w:val="single"/>
          <w:lang w:val="zh-CN"/>
        </w:rPr>
        <w:t>脱水减量化处理后的半干化污泥含水率应≤55%。考虑到脱水减量化的半干化污泥后端送砖厂、纸厂、电厂处置的要求，成交人需采取措施将半干化污泥粉进行适当破碎</w:t>
      </w:r>
      <w:r>
        <w:rPr>
          <w:rFonts w:hint="eastAsia" w:ascii="宋体" w:hAnsi="宋体" w:eastAsia="宋体" w:cs="宋体"/>
          <w:b/>
          <w:bCs w:val="0"/>
          <w:kern w:val="2"/>
          <w:sz w:val="21"/>
          <w:szCs w:val="21"/>
          <w:lang w:val="zh-CN"/>
        </w:rPr>
        <w:t>。</w:t>
      </w:r>
    </w:p>
    <w:p w14:paraId="6725CB6C">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w:t>
      </w:r>
      <w:r>
        <w:rPr>
          <w:rFonts w:hint="eastAsia" w:ascii="宋体" w:hAnsi="宋体" w:eastAsia="宋体" w:cs="宋体"/>
          <w:b/>
          <w:bCs w:val="0"/>
          <w:kern w:val="2"/>
          <w:sz w:val="21"/>
          <w:szCs w:val="21"/>
          <w:u w:val="single"/>
          <w:lang w:val="zh-CN"/>
        </w:rPr>
        <w:t>为保证污泥减量效果，不允许添加石灰以及含石灰的调理剂</w:t>
      </w:r>
      <w:r>
        <w:rPr>
          <w:rFonts w:hint="eastAsia" w:ascii="宋体" w:hAnsi="宋体" w:eastAsia="宋体" w:cs="宋体"/>
          <w:b/>
          <w:bCs w:val="0"/>
          <w:kern w:val="2"/>
          <w:sz w:val="21"/>
          <w:szCs w:val="21"/>
          <w:lang w:val="zh-CN"/>
        </w:rPr>
        <w:t>。</w:t>
      </w:r>
    </w:p>
    <w:p w14:paraId="3319BAAE">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color w:val="auto"/>
          <w:sz w:val="21"/>
          <w:szCs w:val="21"/>
          <w:highlight w:val="none"/>
          <w:lang w:val="zh-CN"/>
        </w:rPr>
        <w:t>（</w:t>
      </w:r>
      <w:r>
        <w:rPr>
          <w:rFonts w:hint="eastAsia" w:ascii="宋体" w:hAnsi="宋体" w:eastAsia="宋体" w:cs="宋体"/>
          <w:bCs/>
          <w:kern w:val="2"/>
          <w:sz w:val="21"/>
          <w:szCs w:val="21"/>
          <w:lang w:val="zh-CN"/>
        </w:rPr>
        <w:t>3）成交人需做好调理剂等添加药剂的出入库单（或进出场记录）或用量记录，定期提供给采购人，以备各级政府主管部门检查、核查。</w:t>
      </w:r>
    </w:p>
    <w:p w14:paraId="64633E33">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2、配套设施排放要求</w:t>
      </w:r>
    </w:p>
    <w:p w14:paraId="7D0821CD">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（1）成交人减量化设备设施一般建设在污水处理厂污泥脱水车间或附近可利用空地，具体根据各处理点实际情况及污泥产生单位意见确定。</w:t>
      </w:r>
    </w:p>
    <w:p w14:paraId="4806F66B">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（2）减量化处理过程中产生的废水须回流至污水处理厂指定地方，不得直接外排。</w:t>
      </w:r>
    </w:p>
    <w:p w14:paraId="67C61613">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（3）</w:t>
      </w:r>
      <w:r>
        <w:rPr>
          <w:rFonts w:hint="eastAsia" w:ascii="宋体" w:hAnsi="宋体" w:eastAsia="宋体" w:cs="宋体"/>
          <w:bCs/>
          <w:kern w:val="2"/>
          <w:sz w:val="21"/>
          <w:szCs w:val="21"/>
          <w:lang w:val="zh-CN" w:eastAsia="zh-CN"/>
        </w:rPr>
        <w:t>供应商应确保</w:t>
      </w:r>
      <w:r>
        <w:rPr>
          <w:rFonts w:hint="eastAsia" w:ascii="宋体" w:hAnsi="宋体" w:eastAsia="宋体" w:cs="宋体"/>
          <w:bCs/>
          <w:kern w:val="2"/>
          <w:sz w:val="21"/>
          <w:szCs w:val="21"/>
          <w:lang w:val="zh-CN"/>
        </w:rPr>
        <w:t>减量处理项目产生的臭气、噪声不引起投诉。如出现相关投诉或</w:t>
      </w:r>
      <w:r>
        <w:rPr>
          <w:rFonts w:hint="eastAsia" w:ascii="宋体" w:hAnsi="宋体" w:eastAsia="宋体" w:cs="宋体"/>
          <w:bCs/>
          <w:kern w:val="2"/>
          <w:sz w:val="21"/>
          <w:szCs w:val="21"/>
          <w:lang w:val="zh-CN" w:eastAsia="zh-CN"/>
        </w:rPr>
        <w:t>被</w:t>
      </w:r>
      <w:r>
        <w:rPr>
          <w:rFonts w:hint="eastAsia" w:ascii="宋体" w:hAnsi="宋体" w:eastAsia="宋体" w:cs="宋体"/>
          <w:bCs/>
          <w:kern w:val="2"/>
          <w:sz w:val="21"/>
          <w:szCs w:val="21"/>
          <w:lang w:val="zh-CN"/>
        </w:rPr>
        <w:t>行政主管部门通知整改时，由成交人负责制定整改方案并限期完成整改工作，产生的相关费用由成交人自行承担。</w:t>
      </w:r>
    </w:p>
    <w:p w14:paraId="5D42067D">
      <w:pPr>
        <w:autoSpaceDE/>
        <w:autoSpaceDN/>
        <w:adjustRightInd/>
        <w:snapToGrid w:val="0"/>
        <w:spacing w:line="360" w:lineRule="auto"/>
        <w:ind w:firstLine="420" w:firstLineChars="200"/>
        <w:jc w:val="both"/>
        <w:outlineLvl w:val="9"/>
        <w:rPr>
          <w:rFonts w:hint="eastAsia" w:ascii="宋体" w:hAnsi="宋体" w:eastAsia="宋体" w:cs="宋体"/>
          <w:bCs/>
          <w:kern w:val="2"/>
          <w:sz w:val="21"/>
          <w:szCs w:val="21"/>
          <w:lang w:val="zh-CN"/>
        </w:rPr>
      </w:pPr>
      <w:r>
        <w:rPr>
          <w:rFonts w:hint="eastAsia" w:ascii="宋体" w:hAnsi="宋体" w:eastAsia="宋体" w:cs="宋体"/>
          <w:bCs/>
          <w:kern w:val="2"/>
          <w:sz w:val="21"/>
          <w:szCs w:val="21"/>
          <w:lang w:val="zh-CN"/>
        </w:rPr>
        <w:t>（4）在国家、广东省以及东莞市的相关环保标准调整时，项目执行的排放标准相应进行调整。</w:t>
      </w:r>
    </w:p>
    <w:p w14:paraId="66CFBFC7">
      <w:pPr>
        <w:autoSpaceDE/>
        <w:autoSpaceDN/>
        <w:adjustRightInd/>
        <w:snapToGrid w:val="0"/>
        <w:spacing w:line="360" w:lineRule="auto"/>
        <w:ind w:firstLine="422" w:firstLineChars="200"/>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五、服务要求</w:t>
      </w:r>
    </w:p>
    <w:p w14:paraId="39CDBF21">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在合同履行期间，本用户需求书所提及或采购人要求的相关法律、法规、规章、标准、规范等有修订、修正、更新，或被新的法律、法规、规章、标准、规范等取代，或在相关领域内有新的法律、法规、规章、标准、规范等出台，成交人应无条件按新的法律、法规、规章、标准、规范等执行。</w:t>
      </w:r>
    </w:p>
    <w:p w14:paraId="3FD712B5">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1、项目服务要求</w:t>
      </w:r>
    </w:p>
    <w:p w14:paraId="2566EA61">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（1）成交人污泥减量化服务过程中的用水、用电、产生的废水处理费等产生的费用视污水处理厂要求支付，若污水处理厂要求支付，相应费用由成交人承担。</w:t>
      </w:r>
    </w:p>
    <w:p w14:paraId="7B7CAE98">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（2）采购人按现状提供指定范围内的空地。项目用地的“三通一平”由成交人自主负责，若涉及总配电系统、供水管网、供气管网等设施设备改造或加装，所有费用亦由成交人承担，采购人予以配合。</w:t>
      </w:r>
    </w:p>
    <w:p w14:paraId="4ABF8BE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（3）成交人对各污水处理厂原有道路、绿化等造成损坏，需在采购人限期内恢复原状并承担一切费用。</w:t>
      </w:r>
    </w:p>
    <w:p w14:paraId="1FF014F4">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（4）在服务期间，成交人需保证本项目设施的外立面简洁美观，设备外观整洁，无明显的破损及渗漏，周边环境整洁，无污泥、污水、泥饼等跑、冒、滴、漏的现象。</w:t>
      </w:r>
    </w:p>
    <w:p w14:paraId="67A1D9D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成交人完成项目前置或准备工作后，进入试运行需通知采购人，采购人将对设备设施或项目临时组建成果进行全面考核。成交人应积极配合采购人对项目建设费用、项目运营成本、设备运行效果、设备稳定性、环境影响进行评估。</w:t>
      </w:r>
    </w:p>
    <w:p w14:paraId="09490071">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（6）由成交人负责半干化泥粉的外运装车工作，装车费用由成交人承担，成交人视现场情况考量是否配备铲车。</w:t>
      </w:r>
    </w:p>
    <w:p w14:paraId="3E919A3E">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脱水减量化设备设施布置在污水处理厂脱水车间附近，应充分做好沟通协调，降低对现有脱水车间运行影响。若需要调整现有脱水车间设备运行情况，应提交专项方案，由采购人和污泥产生单位审核同意后实施。</w:t>
      </w:r>
    </w:p>
    <w:p w14:paraId="217B13AA">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2、项目管理要求</w:t>
      </w:r>
    </w:p>
    <w:p w14:paraId="25649F3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（1）成交人应严格执行《中华人民共和国安全生产法》、《企业安全生产标准化基本规范》（GB/T 33000-2016）等国家有关安全生产和劳动保护的规范和标准，并遵守采购人及污水处理厂的安全生产管理制度以及《安全生产管理协议》，建立完善的安全生产和劳动保护体系，制定与污泥安全处理有关的规章制度、污泥安全监督管理实施方案和突发事故等安全生产应急预防方案，并向采购人报备。成交人须在合同履行期间保证安全与卫生设施随项目主体同时投入使用，并制定相应的操作规程。</w:t>
      </w:r>
    </w:p>
    <w:p w14:paraId="541208DC">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如因成交人安全生产设备、措施、操作规程、环保设备设施、劳动保护条件等不符合规范要求或标准，导致安全生产事故/造成人身损害或财产损失的，由成交人自行承担全部责任和后果，如因此给采购人造成损失的，成交人承担全部赔偿责任。</w:t>
      </w:r>
    </w:p>
    <w:p w14:paraId="79AC4F97">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（3）合同期内，成交人的一切活动均须服从采购人的管理要求，接受采购人对本项目实施过程中的监督管理，采购人及其上级主管部门有权随时检查成交人的贮存和处理情况。</w:t>
      </w:r>
    </w:p>
    <w:p w14:paraId="33516F2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4）成交人应建立项目《生产台账》(具体格式由成交人自定)，《生产台账》内容应包括但不限于：如实记录日常运营中的污泥进料量、主要设备工艺及配套设备的运行参数、药剂使用量和进出场记录、能源使用量、污泥脱水产生量及含水率等。为便利采购人监管，成交人需及时向采购人提交项目《生产台账》并持续更新内容。</w:t>
      </w:r>
    </w:p>
    <w:p w14:paraId="2B5D8C10">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（5）服务期内，成交人应对本项目所含各项设施设备进行日常养护、维修、更新改造或重置，以满足项目运营目标之需要，并承担相应费用。</w:t>
      </w:r>
    </w:p>
    <w:p w14:paraId="5B673E02">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6）成交人在各污水处理厂内的一切活动均须服从采购人的管理要求，成交人的所有工作人员须遵守采购人、污泥产生单位及相关污水处理厂的安全生产管理制度，未经采购人、污泥产生单位同意，不能进入与运营无关的区域，不得影响采购人、污泥产生单位的办公、生产、生活等。成交人管理人员、车辆、机械等进出采购人、污泥产生单位相关污水处理厂须服从采购人的管理规定，并佩戴成交人的工作牌，对不服从管理的人员，采购人有权拒绝其进入。</w:t>
      </w:r>
    </w:p>
    <w:p w14:paraId="549A827F">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7）如是可预见性的计划外停产，成交人应提前书面通知采购人并经采购人同意。如是不可预见性的任何计划外停产时，成交人应立即通知采购人并采取有效的补救措施，且须在停产后的2日内向采购人提交书面的情况说明。</w:t>
      </w:r>
    </w:p>
    <w:p w14:paraId="7173024B">
      <w:pPr>
        <w:autoSpaceDE/>
        <w:autoSpaceDN/>
        <w:adjustRightInd/>
        <w:snapToGrid w:val="0"/>
        <w:spacing w:line="360" w:lineRule="auto"/>
        <w:ind w:firstLine="420" w:firstLineChars="200"/>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（8）成交人自行负责合同履行期间管理人员食宿等的办公生活保障。</w:t>
      </w:r>
    </w:p>
    <w:p w14:paraId="7D722CBD">
      <w:pPr>
        <w:autoSpaceDE/>
        <w:autoSpaceDN/>
        <w:adjustRightInd/>
        <w:snapToGrid w:val="0"/>
        <w:spacing w:line="360" w:lineRule="auto"/>
        <w:ind w:firstLine="413" w:firstLineChars="196"/>
        <w:jc w:val="both"/>
        <w:outlineLvl w:val="9"/>
        <w:rPr>
          <w:rFonts w:hint="eastAsia" w:ascii="宋体" w:hAnsi="宋体" w:eastAsia="宋体" w:cs="宋体"/>
          <w:b/>
          <w:kern w:val="2"/>
          <w:sz w:val="21"/>
          <w:szCs w:val="21"/>
          <w:lang w:val="zh-CN"/>
        </w:rPr>
      </w:pPr>
      <w:r>
        <w:rPr>
          <w:rFonts w:hint="eastAsia" w:ascii="宋体" w:hAnsi="宋体" w:eastAsia="宋体" w:cs="宋体"/>
          <w:b/>
          <w:kern w:val="2"/>
          <w:sz w:val="21"/>
          <w:szCs w:val="21"/>
          <w:lang w:val="zh-CN"/>
        </w:rPr>
        <w:t>六、付费机制</w:t>
      </w:r>
    </w:p>
    <w:p w14:paraId="66697547">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合同的履约过程中，成交人根据合同约定需向采购人支付违约金、赔偿金、或其他应付费用等款项的，成交人必须向采购人支付完相关款项后，采购人才根据合同向成交人支付服务费。若因成交人未能支付前述费用，影响项目实施的，采购人有权直接从履约担保或未付服务费中直接扣除，且成交人必须按照扣除前述费用前的</w:t>
      </w:r>
      <w:r>
        <w:rPr>
          <w:rFonts w:hint="eastAsia" w:ascii="宋体" w:hAnsi="宋体" w:eastAsia="宋体" w:cs="宋体"/>
          <w:kern w:val="2"/>
          <w:sz w:val="21"/>
          <w:szCs w:val="21"/>
          <w:lang w:val="zh-CN" w:eastAsia="zh-CN"/>
        </w:rPr>
        <w:t>污泥</w:t>
      </w:r>
      <w:r>
        <w:rPr>
          <w:rFonts w:hint="eastAsia" w:ascii="宋体" w:hAnsi="宋体" w:eastAsia="宋体" w:cs="宋体"/>
          <w:kern w:val="2"/>
          <w:sz w:val="21"/>
          <w:szCs w:val="21"/>
          <w:lang w:val="zh-CN"/>
        </w:rPr>
        <w:t>脱水减量处理费</w:t>
      </w:r>
      <w:r>
        <w:rPr>
          <w:rFonts w:hint="eastAsia" w:ascii="宋体" w:hAnsi="宋体" w:eastAsia="宋体" w:cs="宋体"/>
          <w:kern w:val="2"/>
          <w:sz w:val="21"/>
          <w:szCs w:val="21"/>
          <w:lang w:val="zh-CN" w:eastAsia="zh-CN"/>
        </w:rPr>
        <w:t>（销售额）</w:t>
      </w:r>
      <w:r>
        <w:rPr>
          <w:rFonts w:hint="eastAsia" w:ascii="宋体" w:hAnsi="宋体" w:eastAsia="宋体" w:cs="宋体"/>
          <w:kern w:val="2"/>
          <w:sz w:val="21"/>
          <w:szCs w:val="21"/>
          <w:lang w:val="zh-CN"/>
        </w:rPr>
        <w:t>开具等额、合法、有效的增值税专用发票。</w:t>
      </w:r>
    </w:p>
    <w:p w14:paraId="41AF90F8">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2、支付方式：</w:t>
      </w:r>
    </w:p>
    <w:p w14:paraId="1815AA93">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1）采购人通过银行承兑汇票或商业承兑汇票方式向成交人支付半干化泥粉脱水减量处理费。成交人应每月15日前，向采购人提交以下文件及单据等有效的请款凭证（所有资料需加盖成交人公章），申请支付上月污泥脱水减量处理费，采购人收到请款凭证后在45个工作日内完成核实工作，核实后向成交人支付请款金额的50%，采用银行承兑汇票或商业承兑汇票的方式支付，付款期限不超过3个月。</w:t>
      </w:r>
    </w:p>
    <w:p w14:paraId="36B85B1B">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A.请款报告；</w:t>
      </w:r>
    </w:p>
    <w:p w14:paraId="5AF3FE74">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B.请款月份污泥脱水减量处理费100%的足额、合法、有效的增值税专用发票；</w:t>
      </w:r>
    </w:p>
    <w:p w14:paraId="41325871">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C.《结算台账》。</w:t>
      </w:r>
    </w:p>
    <w:p w14:paraId="3B776F9C">
      <w:pPr>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（2）在前述第（1）项款项支付后三个月内，</w:t>
      </w:r>
      <w:r>
        <w:rPr>
          <w:rFonts w:hint="eastAsia" w:ascii="宋体" w:hAnsi="宋体" w:eastAsia="宋体" w:cs="宋体"/>
          <w:kern w:val="2"/>
          <w:sz w:val="21"/>
          <w:szCs w:val="21"/>
          <w:lang w:val="zh-CN" w:eastAsia="zh-CN"/>
        </w:rPr>
        <w:t>且采购人</w:t>
      </w:r>
      <w:r>
        <w:rPr>
          <w:rFonts w:hint="eastAsia" w:ascii="宋体" w:hAnsi="宋体" w:eastAsia="宋体" w:cs="宋体"/>
          <w:kern w:val="2"/>
          <w:sz w:val="21"/>
          <w:szCs w:val="21"/>
          <w:lang w:val="zh-CN"/>
        </w:rPr>
        <w:t>扣除成交人根据合同约定需向采购人支付的违约金、赔偿金、或其他应付费用等款项后，通过银行转账或汇款方式向成交人支付剩余款项。</w:t>
      </w:r>
    </w:p>
    <w:p w14:paraId="33BCD819">
      <w:pPr>
        <w:tabs>
          <w:tab w:val="left" w:pos="142"/>
        </w:tabs>
        <w:autoSpaceDE/>
        <w:autoSpaceDN/>
        <w:adjustRightInd/>
        <w:snapToGrid w:val="0"/>
        <w:spacing w:line="360" w:lineRule="auto"/>
        <w:ind w:firstLine="422" w:firstLineChars="200"/>
        <w:jc w:val="both"/>
        <w:outlineLvl w:val="9"/>
        <w:rPr>
          <w:rFonts w:hint="eastAsia" w:ascii="宋体" w:hAnsi="宋体" w:eastAsia="宋体" w:cs="宋体"/>
          <w:b/>
          <w:bCs/>
          <w:kern w:val="2"/>
          <w:sz w:val="21"/>
          <w:szCs w:val="21"/>
          <w:lang w:val="zh-CN"/>
        </w:rPr>
      </w:pPr>
      <w:r>
        <w:rPr>
          <w:rFonts w:hint="eastAsia" w:ascii="宋体" w:hAnsi="宋体" w:eastAsia="宋体" w:cs="宋体"/>
          <w:b/>
          <w:bCs/>
          <w:kern w:val="2"/>
          <w:sz w:val="21"/>
          <w:szCs w:val="21"/>
          <w:lang w:val="zh-CN"/>
        </w:rPr>
        <w:t>七、服务期满后</w:t>
      </w:r>
    </w:p>
    <w:p w14:paraId="2A340C9D">
      <w:pPr>
        <w:widowControl/>
        <w:autoSpaceDE/>
        <w:autoSpaceDN/>
        <w:adjustRightInd/>
        <w:snapToGrid w:val="0"/>
        <w:spacing w:line="360" w:lineRule="auto"/>
        <w:ind w:firstLine="424" w:firstLineChars="202"/>
        <w:jc w:val="both"/>
        <w:outlineLvl w:val="9"/>
        <w:rPr>
          <w:rFonts w:hint="eastAsia" w:ascii="宋体" w:hAnsi="宋体" w:eastAsia="宋体" w:cs="宋体"/>
          <w:kern w:val="2"/>
          <w:sz w:val="21"/>
          <w:szCs w:val="21"/>
          <w:lang w:val="zh-CN"/>
        </w:rPr>
      </w:pPr>
      <w:r>
        <w:rPr>
          <w:rFonts w:hint="eastAsia" w:ascii="宋体" w:hAnsi="宋体" w:eastAsia="宋体" w:cs="宋体"/>
          <w:kern w:val="2"/>
          <w:sz w:val="21"/>
          <w:szCs w:val="21"/>
          <w:lang w:val="zh-CN"/>
        </w:rPr>
        <w:t>★</w:t>
      </w:r>
      <w:r>
        <w:rPr>
          <w:rFonts w:hint="eastAsia" w:ascii="宋体" w:hAnsi="宋体" w:eastAsia="宋体" w:cs="宋体"/>
          <w:b/>
          <w:bCs/>
          <w:kern w:val="2"/>
          <w:sz w:val="21"/>
          <w:szCs w:val="21"/>
          <w:u w:val="single"/>
          <w:lang w:val="zh-CN"/>
        </w:rPr>
        <w:t>除非双方另有合同约定，成交人在以下情况应自行拆除本项目服务期间新建的设备设施，并恢复本项目场地的原状：（1）服务期内，发生风险特别约定情况，采购人要求成交人无条件提前终止服务并发出撤场通知之日起30日内；（2）服务期内，</w:t>
      </w:r>
      <w:r>
        <w:rPr>
          <w:rFonts w:hint="eastAsia" w:ascii="宋体" w:hAnsi="宋体" w:eastAsia="宋体" w:cs="宋体"/>
          <w:b/>
          <w:bCs/>
          <w:kern w:val="2"/>
          <w:sz w:val="21"/>
          <w:szCs w:val="21"/>
          <w:u w:val="single"/>
          <w:lang w:val="zh-CN" w:eastAsia="zh-CN"/>
        </w:rPr>
        <w:t>因成交人存在违约行为等，采购人根据合同约定要求</w:t>
      </w:r>
      <w:r>
        <w:rPr>
          <w:rFonts w:hint="eastAsia" w:ascii="宋体" w:hAnsi="宋体" w:eastAsia="宋体" w:cs="宋体"/>
          <w:b/>
          <w:bCs/>
          <w:kern w:val="2"/>
          <w:sz w:val="21"/>
          <w:szCs w:val="21"/>
          <w:u w:val="single"/>
          <w:lang w:val="zh-CN"/>
        </w:rPr>
        <w:t>成交人提前终止服务并发出撤场通知之日起30日内；（3）服务期届满后30日内。以上所导致的因拆除设备设施及场地复原产生的相应费用由成交人承担，在本项目的拆除过程中和拆除之后，采购人无须向成交人支付任何补偿或移交费用</w:t>
      </w:r>
      <w:r>
        <w:rPr>
          <w:rFonts w:hint="eastAsia" w:ascii="宋体" w:hAnsi="宋体" w:eastAsia="宋体" w:cs="宋体"/>
          <w:b/>
          <w:bCs/>
          <w:kern w:val="2"/>
          <w:sz w:val="21"/>
          <w:szCs w:val="21"/>
          <w:lang w:val="zh-CN"/>
        </w:rPr>
        <w:t>。</w:t>
      </w:r>
    </w:p>
    <w:p w14:paraId="25DFE2AB">
      <w:pPr>
        <w:keepNext w:val="0"/>
        <w:keepLines w:val="0"/>
        <w:pageBreakBefore w:val="0"/>
        <w:widowControl w:val="0"/>
        <w:tabs>
          <w:tab w:val="left" w:pos="621"/>
        </w:tabs>
        <w:kinsoku/>
        <w:wordWrap/>
        <w:overflowPunct/>
        <w:topLinePunct w:val="0"/>
        <w:autoSpaceDE w:val="0"/>
        <w:autoSpaceDN w:val="0"/>
        <w:bidi w:val="0"/>
        <w:adjustRightInd w:val="0"/>
        <w:snapToGrid/>
        <w:spacing w:line="360" w:lineRule="auto"/>
        <w:ind w:firstLine="0" w:firstLineChars="0"/>
        <w:textAlignment w:val="auto"/>
        <w:rPr>
          <w:rFonts w:hint="eastAsia" w:ascii="宋体" w:hAnsi="宋体" w:eastAsia="宋体" w:cs="宋体"/>
          <w:color w:val="auto"/>
          <w:sz w:val="21"/>
          <w:szCs w:val="21"/>
          <w:highlight w:val="none"/>
          <w:lang w:val="zh-CN"/>
        </w:rPr>
      </w:pPr>
    </w:p>
    <w:p w14:paraId="536B6150">
      <w:pPr>
        <w:bidi w:val="0"/>
        <w:rPr>
          <w:rFonts w:hint="eastAsia"/>
          <w:color w:val="auto"/>
          <w:highlight w:val="none"/>
          <w:lang w:val="zh-CN" w:eastAsia="zh-CN"/>
        </w:rPr>
      </w:pPr>
    </w:p>
    <w:bookmarkEnd w:id="185"/>
    <w:bookmarkEnd w:id="186"/>
    <w:bookmarkEnd w:id="187"/>
    <w:p w14:paraId="6F9A7B78">
      <w:pPr>
        <w:pageBreakBefore w:val="0"/>
        <w:tabs>
          <w:tab w:val="left" w:pos="621"/>
        </w:tabs>
        <w:kinsoku/>
        <w:wordWrap/>
        <w:overflowPunct/>
        <w:topLinePunct w:val="0"/>
        <w:bidi w:val="0"/>
        <w:snapToGrid/>
        <w:spacing w:line="360" w:lineRule="auto"/>
        <w:rPr>
          <w:rFonts w:hint="eastAsia" w:ascii="宋体" w:hAnsi="宋体" w:eastAsia="宋体" w:cs="宋体"/>
          <w:color w:val="auto"/>
          <w:sz w:val="21"/>
          <w:szCs w:val="21"/>
          <w:highlight w:val="none"/>
          <w:lang w:val="zh-CN"/>
        </w:rPr>
      </w:pPr>
    </w:p>
    <w:bookmarkEnd w:id="188"/>
    <w:bookmarkEnd w:id="189"/>
    <w:bookmarkEnd w:id="190"/>
    <w:bookmarkEnd w:id="191"/>
    <w:bookmarkEnd w:id="192"/>
    <w:bookmarkEnd w:id="193"/>
    <w:p w14:paraId="753DCA62">
      <w:pPr>
        <w:pageBreakBefore/>
        <w:tabs>
          <w:tab w:val="left" w:pos="1080"/>
        </w:tabs>
        <w:autoSpaceDE w:val="0"/>
        <w:autoSpaceDN w:val="0"/>
        <w:adjustRightInd w:val="0"/>
        <w:spacing w:line="360" w:lineRule="auto"/>
        <w:ind w:left="327" w:leftChars="-100" w:hanging="567"/>
        <w:jc w:val="center"/>
        <w:outlineLvl w:val="0"/>
        <w:rPr>
          <w:rFonts w:hint="eastAsia" w:ascii="宋体" w:hAnsi="宋体" w:eastAsia="宋体" w:cs="宋体"/>
          <w:b/>
          <w:bCs/>
          <w:kern w:val="44"/>
          <w:sz w:val="32"/>
          <w:szCs w:val="32"/>
          <w:lang w:val="zh-CN"/>
        </w:rPr>
      </w:pPr>
      <w:bookmarkStart w:id="200" w:name="_Toc20401"/>
      <w:bookmarkStart w:id="201" w:name="_Toc450662892"/>
      <w:bookmarkStart w:id="202" w:name="_Toc142508359"/>
      <w:bookmarkStart w:id="203" w:name="_Toc28077"/>
      <w:bookmarkStart w:id="204" w:name="_Toc16287"/>
      <w:bookmarkStart w:id="205" w:name="_Toc11281_WPSOffice_Level1"/>
      <w:bookmarkStart w:id="206" w:name="_Toc25251"/>
      <w:bookmarkStart w:id="207" w:name="_Toc31357"/>
      <w:bookmarkStart w:id="208" w:name="_Toc486167707"/>
      <w:bookmarkStart w:id="209" w:name="_Toc3093"/>
      <w:bookmarkStart w:id="210" w:name="_Toc29174"/>
      <w:bookmarkStart w:id="211" w:name="_Toc20774"/>
      <w:bookmarkStart w:id="212" w:name="_Toc450662895"/>
      <w:bookmarkStart w:id="213" w:name="_Toc521918113"/>
      <w:r>
        <w:rPr>
          <w:rFonts w:hint="eastAsia" w:ascii="宋体" w:hAnsi="宋体" w:eastAsia="宋体" w:cs="宋体"/>
          <w:b/>
          <w:bCs/>
          <w:kern w:val="44"/>
          <w:sz w:val="32"/>
          <w:szCs w:val="32"/>
          <w:lang w:val="zh-CN"/>
        </w:rPr>
        <w:t>第四篇 合同条款格式</w:t>
      </w:r>
      <w:bookmarkEnd w:id="200"/>
      <w:bookmarkEnd w:id="201"/>
      <w:bookmarkEnd w:id="202"/>
      <w:bookmarkEnd w:id="203"/>
      <w:bookmarkEnd w:id="204"/>
      <w:bookmarkEnd w:id="205"/>
      <w:bookmarkEnd w:id="206"/>
      <w:bookmarkEnd w:id="207"/>
      <w:bookmarkEnd w:id="208"/>
    </w:p>
    <w:p w14:paraId="6BED4D72">
      <w:pPr>
        <w:autoSpaceDE w:val="0"/>
        <w:autoSpaceDN w:val="0"/>
        <w:adjustRightInd w:val="0"/>
        <w:snapToGrid w:val="0"/>
        <w:spacing w:line="360" w:lineRule="auto"/>
        <w:jc w:val="center"/>
        <w:rPr>
          <w:rFonts w:hint="eastAsia" w:ascii="宋体" w:hAnsi="宋体" w:eastAsia="宋体" w:cs="宋体"/>
          <w:kern w:val="0"/>
          <w:sz w:val="24"/>
          <w:szCs w:val="24"/>
        </w:rPr>
      </w:pPr>
    </w:p>
    <w:p w14:paraId="437FE5E2">
      <w:pPr>
        <w:autoSpaceDE w:val="0"/>
        <w:autoSpaceDN w:val="0"/>
        <w:adjustRightInd w:val="0"/>
        <w:snapToGrid w:val="0"/>
        <w:spacing w:line="360" w:lineRule="auto"/>
        <w:jc w:val="center"/>
        <w:rPr>
          <w:rFonts w:hint="eastAsia" w:ascii="宋体" w:hAnsi="宋体" w:eastAsia="宋体" w:cs="宋体"/>
          <w:kern w:val="0"/>
          <w:sz w:val="24"/>
          <w:szCs w:val="24"/>
        </w:rPr>
      </w:pPr>
    </w:p>
    <w:p w14:paraId="692EAB9B">
      <w:pPr>
        <w:autoSpaceDE w:val="0"/>
        <w:autoSpaceDN w:val="0"/>
        <w:adjustRightInd w:val="0"/>
        <w:snapToGrid w:val="0"/>
        <w:spacing w:line="360" w:lineRule="auto"/>
        <w:jc w:val="center"/>
        <w:outlineLvl w:val="9"/>
        <w:rPr>
          <w:rFonts w:hint="eastAsia" w:ascii="宋体" w:hAnsi="宋体" w:eastAsia="宋体" w:cs="宋体"/>
          <w:kern w:val="0"/>
          <w:sz w:val="24"/>
          <w:szCs w:val="24"/>
        </w:rPr>
      </w:pPr>
    </w:p>
    <w:p w14:paraId="61CB9277">
      <w:pPr>
        <w:autoSpaceDE w:val="0"/>
        <w:autoSpaceDN w:val="0"/>
        <w:adjustRightInd w:val="0"/>
        <w:spacing w:line="360" w:lineRule="auto"/>
        <w:jc w:val="center"/>
        <w:outlineLvl w:val="9"/>
        <w:rPr>
          <w:rFonts w:hint="eastAsia" w:ascii="宋体" w:hAnsi="宋体" w:eastAsia="宋体" w:cs="宋体"/>
          <w:b/>
          <w:kern w:val="0"/>
          <w:sz w:val="44"/>
          <w:szCs w:val="44"/>
          <w:lang w:eastAsia="zh-CN"/>
        </w:rPr>
      </w:pPr>
      <w:r>
        <w:rPr>
          <w:rFonts w:hint="eastAsia" w:ascii="宋体" w:hAnsi="宋体" w:cs="宋体"/>
          <w:b/>
          <w:kern w:val="0"/>
          <w:sz w:val="44"/>
          <w:szCs w:val="44"/>
          <w:lang w:eastAsia="zh-CN"/>
        </w:rPr>
        <w:t>东莞市众源环境投资有限公司污水处理厂污泥脱水减量处理服务（BOT权属东江下游片区）采购项目（麻涌一期重新采购）</w:t>
      </w:r>
    </w:p>
    <w:p w14:paraId="0F6DA99F">
      <w:pPr>
        <w:autoSpaceDE w:val="0"/>
        <w:autoSpaceDN w:val="0"/>
        <w:adjustRightInd w:val="0"/>
        <w:spacing w:line="360" w:lineRule="auto"/>
        <w:jc w:val="center"/>
        <w:outlineLvl w:val="9"/>
        <w:rPr>
          <w:rFonts w:hint="eastAsia" w:ascii="宋体" w:hAnsi="宋体" w:eastAsia="宋体" w:cs="宋体"/>
          <w:bCs/>
          <w:kern w:val="0"/>
          <w:sz w:val="52"/>
          <w:szCs w:val="52"/>
        </w:rPr>
      </w:pPr>
    </w:p>
    <w:p w14:paraId="3C0617A2">
      <w:pPr>
        <w:pStyle w:val="22"/>
        <w:rPr>
          <w:rFonts w:hint="eastAsia"/>
          <w:sz w:val="44"/>
          <w:szCs w:val="44"/>
        </w:rPr>
      </w:pPr>
    </w:p>
    <w:p w14:paraId="58180F65">
      <w:pPr>
        <w:autoSpaceDE w:val="0"/>
        <w:autoSpaceDN w:val="0"/>
        <w:adjustRightInd w:val="0"/>
        <w:spacing w:before="840" w:beforeLines="350" w:after="360" w:afterLines="150" w:line="360" w:lineRule="auto"/>
        <w:jc w:val="center"/>
        <w:outlineLvl w:val="9"/>
        <w:rPr>
          <w:rFonts w:hint="eastAsia" w:ascii="宋体" w:hAnsi="宋体" w:eastAsia="宋体" w:cs="宋体"/>
          <w:b/>
          <w:bCs/>
          <w:spacing w:val="60"/>
          <w:kern w:val="0"/>
          <w:sz w:val="52"/>
          <w:szCs w:val="52"/>
        </w:rPr>
      </w:pPr>
      <w:r>
        <w:rPr>
          <w:rFonts w:hint="eastAsia" w:ascii="宋体" w:hAnsi="宋体" w:eastAsia="宋体" w:cs="宋体"/>
          <w:b/>
          <w:bCs/>
          <w:spacing w:val="60"/>
          <w:kern w:val="0"/>
          <w:sz w:val="52"/>
          <w:szCs w:val="52"/>
        </w:rPr>
        <w:t>采购合同</w:t>
      </w:r>
    </w:p>
    <w:p w14:paraId="3077FAAB">
      <w:pPr>
        <w:autoSpaceDE w:val="0"/>
        <w:autoSpaceDN w:val="0"/>
        <w:adjustRightInd w:val="0"/>
        <w:spacing w:line="360" w:lineRule="auto"/>
        <w:jc w:val="center"/>
        <w:outlineLvl w:val="9"/>
        <w:rPr>
          <w:rFonts w:hint="eastAsia" w:ascii="宋体" w:hAnsi="宋体" w:eastAsia="宋体" w:cs="宋体"/>
          <w:b/>
          <w:bCs/>
          <w:kern w:val="0"/>
          <w:sz w:val="24"/>
          <w:szCs w:val="21"/>
        </w:rPr>
      </w:pPr>
      <w:r>
        <w:rPr>
          <w:rFonts w:hint="eastAsia" w:ascii="宋体" w:hAnsi="宋体" w:eastAsia="宋体" w:cs="宋体"/>
          <w:b/>
          <w:bCs/>
          <w:kern w:val="0"/>
          <w:sz w:val="24"/>
          <w:szCs w:val="21"/>
        </w:rPr>
        <w:t>（合同编号：       ）</w:t>
      </w:r>
    </w:p>
    <w:p w14:paraId="665A5D4A">
      <w:pPr>
        <w:autoSpaceDE w:val="0"/>
        <w:autoSpaceDN w:val="0"/>
        <w:adjustRightInd w:val="0"/>
        <w:spacing w:line="360" w:lineRule="auto"/>
        <w:jc w:val="left"/>
        <w:outlineLvl w:val="9"/>
        <w:rPr>
          <w:rFonts w:hint="eastAsia" w:ascii="宋体" w:hAnsi="宋体" w:eastAsia="宋体" w:cs="宋体"/>
          <w:b/>
          <w:bCs/>
          <w:kern w:val="0"/>
          <w:sz w:val="24"/>
          <w:szCs w:val="21"/>
        </w:rPr>
      </w:pPr>
    </w:p>
    <w:p w14:paraId="6FDBA8F9">
      <w:pPr>
        <w:autoSpaceDE w:val="0"/>
        <w:autoSpaceDN w:val="0"/>
        <w:adjustRightInd w:val="0"/>
        <w:spacing w:line="360" w:lineRule="auto"/>
        <w:jc w:val="left"/>
        <w:outlineLvl w:val="9"/>
        <w:rPr>
          <w:rFonts w:hint="eastAsia" w:ascii="宋体" w:hAnsi="宋体" w:eastAsia="宋体" w:cs="宋体"/>
          <w:b/>
          <w:bCs/>
          <w:kern w:val="0"/>
          <w:sz w:val="24"/>
          <w:szCs w:val="21"/>
        </w:rPr>
      </w:pPr>
    </w:p>
    <w:p w14:paraId="0284AFD2">
      <w:pPr>
        <w:pStyle w:val="22"/>
        <w:jc w:val="both"/>
        <w:rPr>
          <w:rFonts w:hint="eastAsia"/>
        </w:rPr>
      </w:pPr>
    </w:p>
    <w:p w14:paraId="1886FBEF">
      <w:pPr>
        <w:autoSpaceDE w:val="0"/>
        <w:autoSpaceDN w:val="0"/>
        <w:adjustRightInd w:val="0"/>
        <w:spacing w:line="360" w:lineRule="auto"/>
        <w:jc w:val="left"/>
        <w:outlineLvl w:val="9"/>
        <w:rPr>
          <w:rFonts w:hint="eastAsia" w:ascii="宋体" w:hAnsi="宋体" w:eastAsia="宋体" w:cs="宋体"/>
          <w:b/>
          <w:bCs/>
          <w:kern w:val="0"/>
          <w:sz w:val="24"/>
          <w:szCs w:val="21"/>
        </w:rPr>
      </w:pPr>
    </w:p>
    <w:p w14:paraId="17EE28B6">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甲方：</w:t>
      </w:r>
      <w:r>
        <w:rPr>
          <w:rFonts w:hint="eastAsia" w:ascii="宋体" w:hAnsi="宋体" w:eastAsia="宋体" w:cs="宋体"/>
          <w:b/>
          <w:bCs/>
          <w:kern w:val="0"/>
          <w:sz w:val="28"/>
          <w:szCs w:val="28"/>
          <w:u w:val="single"/>
        </w:rPr>
        <w:t xml:space="preserve">东莞市众源环境投资有限公司 </w:t>
      </w:r>
      <w:r>
        <w:rPr>
          <w:rFonts w:hint="eastAsia" w:ascii="宋体" w:hAnsi="宋体" w:eastAsia="宋体" w:cs="宋体"/>
          <w:b/>
          <w:bCs/>
          <w:kern w:val="0"/>
          <w:sz w:val="28"/>
          <w:szCs w:val="28"/>
        </w:rPr>
        <w:t xml:space="preserve"> </w:t>
      </w:r>
    </w:p>
    <w:p w14:paraId="0F3303ED">
      <w:pPr>
        <w:autoSpaceDE w:val="0"/>
        <w:autoSpaceDN w:val="0"/>
        <w:adjustRightInd w:val="0"/>
        <w:spacing w:line="480" w:lineRule="auto"/>
        <w:ind w:firstLine="1102" w:firstLineChars="392"/>
        <w:jc w:val="left"/>
        <w:outlineLvl w:val="9"/>
        <w:rPr>
          <w:rFonts w:hint="eastAsia" w:ascii="宋体" w:hAnsi="宋体" w:eastAsia="宋体" w:cs="宋体"/>
          <w:b/>
          <w:bCs/>
          <w:kern w:val="0"/>
          <w:sz w:val="28"/>
          <w:szCs w:val="28"/>
          <w:u w:val="single"/>
        </w:rPr>
      </w:pPr>
      <w:r>
        <w:rPr>
          <w:rFonts w:hint="eastAsia" w:ascii="宋体" w:hAnsi="宋体" w:eastAsia="宋体" w:cs="宋体"/>
          <w:b/>
          <w:bCs/>
          <w:kern w:val="0"/>
          <w:sz w:val="28"/>
          <w:szCs w:val="28"/>
        </w:rPr>
        <w:t>乙方：</w:t>
      </w:r>
      <w:r>
        <w:rPr>
          <w:rFonts w:hint="eastAsia" w:ascii="宋体" w:hAnsi="宋体" w:eastAsia="宋体" w:cs="宋体"/>
          <w:b/>
          <w:bCs/>
          <w:kern w:val="0"/>
          <w:sz w:val="28"/>
          <w:szCs w:val="28"/>
          <w:u w:val="single"/>
        </w:rPr>
        <w:t xml:space="preserve">                          </w:t>
      </w:r>
    </w:p>
    <w:p w14:paraId="117613B1">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p>
    <w:p w14:paraId="57373744">
      <w:pPr>
        <w:autoSpaceDE w:val="0"/>
        <w:autoSpaceDN w:val="0"/>
        <w:adjustRightInd w:val="0"/>
        <w:spacing w:line="360" w:lineRule="auto"/>
        <w:ind w:firstLine="1102" w:firstLineChars="392"/>
        <w:jc w:val="left"/>
        <w:outlineLvl w:val="9"/>
        <w:rPr>
          <w:rFonts w:hint="eastAsia" w:ascii="宋体" w:hAnsi="宋体" w:eastAsia="宋体" w:cs="宋体"/>
          <w:b/>
          <w:bCs/>
          <w:kern w:val="0"/>
          <w:sz w:val="28"/>
          <w:szCs w:val="28"/>
        </w:rPr>
      </w:pPr>
      <w:r>
        <w:rPr>
          <w:rFonts w:hint="eastAsia" w:ascii="宋体" w:hAnsi="宋体" w:eastAsia="宋体" w:cs="宋体"/>
          <w:b/>
          <w:bCs/>
          <w:kern w:val="0"/>
          <w:sz w:val="28"/>
          <w:szCs w:val="28"/>
        </w:rPr>
        <w:t>签订日期：   年   月   日</w:t>
      </w:r>
    </w:p>
    <w:p w14:paraId="53A58A02">
      <w:pPr>
        <w:snapToGrid w:val="0"/>
        <w:spacing w:line="360" w:lineRule="auto"/>
        <w:outlineLvl w:val="9"/>
        <w:rPr>
          <w:rFonts w:hint="eastAsia" w:ascii="宋体" w:hAnsi="宋体" w:eastAsia="宋体" w:cs="宋体"/>
          <w:b/>
          <w:bCs/>
          <w:sz w:val="21"/>
          <w:szCs w:val="21"/>
        </w:rPr>
      </w:pPr>
    </w:p>
    <w:p w14:paraId="6F9835F1">
      <w:pPr>
        <w:snapToGrid w:val="0"/>
        <w:spacing w:line="360" w:lineRule="auto"/>
        <w:outlineLvl w:val="9"/>
        <w:rPr>
          <w:rFonts w:hint="eastAsia" w:ascii="宋体" w:hAnsi="宋体" w:eastAsia="宋体" w:cs="宋体"/>
          <w:b/>
          <w:bCs/>
          <w:sz w:val="21"/>
          <w:szCs w:val="21"/>
        </w:rPr>
      </w:pPr>
      <w:r>
        <w:rPr>
          <w:rFonts w:hint="eastAsia" w:ascii="宋体" w:hAnsi="宋体" w:eastAsia="宋体" w:cs="宋体"/>
          <w:b/>
          <w:bCs/>
          <w:sz w:val="21"/>
          <w:szCs w:val="21"/>
        </w:rPr>
        <w:t xml:space="preserve">委托方（甲方）：东莞市众源环境投资有限公司 </w:t>
      </w:r>
    </w:p>
    <w:p w14:paraId="742F9BC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5484622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住所：</w:t>
      </w:r>
    </w:p>
    <w:p w14:paraId="695B3AB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法定代表人：</w:t>
      </w:r>
    </w:p>
    <w:p w14:paraId="19EE2956">
      <w:pPr>
        <w:widowControl/>
        <w:snapToGrid w:val="0"/>
        <w:spacing w:line="360" w:lineRule="auto"/>
        <w:outlineLvl w:val="9"/>
        <w:rPr>
          <w:rFonts w:hint="eastAsia" w:ascii="宋体" w:hAnsi="宋体" w:eastAsia="宋体" w:cs="宋体"/>
          <w:b/>
          <w:bCs/>
          <w:sz w:val="21"/>
          <w:szCs w:val="21"/>
        </w:rPr>
      </w:pPr>
    </w:p>
    <w:p w14:paraId="0C36EC9A">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 xml:space="preserve">受托方（乙方）： </w:t>
      </w:r>
    </w:p>
    <w:p w14:paraId="6A570B1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统一社会信用代码： </w:t>
      </w:r>
    </w:p>
    <w:p w14:paraId="6E1E515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住所： </w:t>
      </w:r>
    </w:p>
    <w:p w14:paraId="7EA4041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法定代表人： </w:t>
      </w:r>
    </w:p>
    <w:p w14:paraId="287A900A">
      <w:pPr>
        <w:widowControl/>
        <w:snapToGrid w:val="0"/>
        <w:spacing w:line="360" w:lineRule="auto"/>
        <w:ind w:firstLine="420" w:firstLineChars="200"/>
        <w:outlineLvl w:val="9"/>
        <w:rPr>
          <w:rFonts w:hint="eastAsia" w:ascii="宋体" w:hAnsi="宋体" w:eastAsia="宋体" w:cs="宋体"/>
          <w:sz w:val="21"/>
          <w:szCs w:val="21"/>
        </w:rPr>
      </w:pPr>
    </w:p>
    <w:p w14:paraId="015E408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基于甲方通过</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方式确定乙方为东莞市众源环境投资有限公司污水处理厂污泥脱水减量处理服务（</w:t>
      </w:r>
      <w:r>
        <w:rPr>
          <w:rFonts w:hint="eastAsia" w:ascii="宋体" w:hAnsi="宋体" w:cs="宋体"/>
          <w:sz w:val="21"/>
          <w:szCs w:val="21"/>
          <w:lang w:eastAsia="zh-CN"/>
        </w:rPr>
        <w:t>BOT权属东江下游片区</w:t>
      </w:r>
      <w:r>
        <w:rPr>
          <w:rFonts w:hint="eastAsia" w:ascii="宋体" w:hAnsi="宋体" w:eastAsia="宋体" w:cs="宋体"/>
          <w:sz w:val="21"/>
          <w:szCs w:val="21"/>
        </w:rPr>
        <w:t>）</w:t>
      </w:r>
      <w:r>
        <w:rPr>
          <w:rFonts w:hint="eastAsia" w:ascii="宋体" w:hAnsi="宋体" w:cs="宋体"/>
          <w:sz w:val="21"/>
          <w:szCs w:val="21"/>
          <w:lang w:val="en-US" w:eastAsia="zh-CN"/>
        </w:rPr>
        <w:t>采购项目</w:t>
      </w:r>
      <w:r>
        <w:rPr>
          <w:rFonts w:hint="eastAsia" w:ascii="宋体" w:hAnsi="宋体" w:cs="宋体"/>
          <w:sz w:val="21"/>
          <w:szCs w:val="21"/>
          <w:lang w:eastAsia="zh-CN"/>
        </w:rPr>
        <w:t>（麻涌一期</w:t>
      </w:r>
      <w:r>
        <w:rPr>
          <w:rFonts w:hint="eastAsia" w:ascii="宋体" w:hAnsi="宋体" w:cs="宋体"/>
          <w:sz w:val="21"/>
          <w:szCs w:val="21"/>
          <w:lang w:val="en-US" w:eastAsia="zh-CN"/>
        </w:rPr>
        <w:t>重新采购</w:t>
      </w:r>
      <w:r>
        <w:rPr>
          <w:rFonts w:hint="eastAsia" w:ascii="宋体" w:hAnsi="宋体" w:cs="宋体"/>
          <w:sz w:val="21"/>
          <w:szCs w:val="21"/>
          <w:lang w:eastAsia="zh-CN"/>
        </w:rPr>
        <w:t>）</w:t>
      </w:r>
      <w:r>
        <w:rPr>
          <w:rFonts w:hint="eastAsia" w:ascii="宋体" w:hAnsi="宋体" w:eastAsia="宋体" w:cs="宋体"/>
          <w:sz w:val="21"/>
          <w:szCs w:val="21"/>
        </w:rPr>
        <w:t>的</w:t>
      </w:r>
      <w:r>
        <w:rPr>
          <w:rFonts w:hint="eastAsia" w:ascii="宋体" w:hAnsi="宋体" w:eastAsia="宋体" w:cs="宋体"/>
          <w:sz w:val="21"/>
          <w:szCs w:val="21"/>
          <w:lang w:val="en-US" w:eastAsia="zh-CN"/>
        </w:rPr>
        <w:t>成交</w:t>
      </w:r>
      <w:r>
        <w:rPr>
          <w:rFonts w:hint="eastAsia" w:ascii="宋体" w:hAnsi="宋体" w:eastAsia="宋体" w:cs="宋体"/>
          <w:sz w:val="21"/>
          <w:szCs w:val="21"/>
        </w:rPr>
        <w:t>单位，就委托乙方实施的</w:t>
      </w:r>
      <w:r>
        <w:rPr>
          <w:rFonts w:hint="eastAsia" w:ascii="宋体" w:hAnsi="宋体" w:cs="宋体"/>
          <w:sz w:val="21"/>
          <w:szCs w:val="21"/>
          <w:lang w:eastAsia="zh-CN"/>
        </w:rPr>
        <w:t>BOT权属东江下游片区</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污水处理厂污泥厂内脱水减量化处理服务，甲乙双方本着诚实守信、平等互利的原则，经平等协商，订立本合同。 </w:t>
      </w:r>
    </w:p>
    <w:p w14:paraId="0104682A">
      <w:pPr>
        <w:widowControl/>
        <w:snapToGrid w:val="0"/>
        <w:spacing w:line="360" w:lineRule="auto"/>
        <w:outlineLvl w:val="9"/>
        <w:rPr>
          <w:rFonts w:hint="eastAsia" w:ascii="宋体" w:hAnsi="宋体" w:eastAsia="宋体" w:cs="宋体"/>
          <w:b/>
          <w:bCs/>
          <w:sz w:val="21"/>
          <w:szCs w:val="21"/>
        </w:rPr>
      </w:pPr>
    </w:p>
    <w:p w14:paraId="2512D967">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第一条 合同范围、服务内容及风险的特别约定</w:t>
      </w:r>
    </w:p>
    <w:p w14:paraId="3CEBE43B">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1、乙方负责在</w:t>
      </w:r>
      <w:r>
        <w:rPr>
          <w:rFonts w:hint="eastAsia" w:ascii="宋体" w:hAnsi="宋体" w:eastAsia="宋体" w:cs="宋体"/>
          <w:sz w:val="21"/>
          <w:szCs w:val="21"/>
          <w:u w:val="single"/>
        </w:rPr>
        <w:t xml:space="preserve">           污水处理厂</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lang w:val="en-US" w:eastAsia="zh-CN"/>
        </w:rPr>
        <w:t xml:space="preserve">  吨/天</w:t>
      </w:r>
      <w:r>
        <w:rPr>
          <w:rFonts w:hint="eastAsia" w:ascii="宋体" w:hAnsi="宋体" w:eastAsia="宋体" w:cs="宋体"/>
          <w:sz w:val="21"/>
          <w:szCs w:val="21"/>
          <w:u w:val="single"/>
          <w:lang w:eastAsia="zh-CN"/>
        </w:rPr>
        <w:t>）</w:t>
      </w:r>
      <w:r>
        <w:rPr>
          <w:rFonts w:hint="eastAsia" w:ascii="宋体" w:hAnsi="宋体" w:eastAsia="宋体" w:cs="宋体"/>
          <w:sz w:val="21"/>
          <w:szCs w:val="21"/>
        </w:rPr>
        <w:t>安装污泥脱水减量化处理设施，根据甲方书面正式通知，按照甲方通知的时间运营已安装的污泥脱水减量化处理设施开展脱水减量化处理服务，主要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w:t>
      </w:r>
    </w:p>
    <w:p w14:paraId="08883667">
      <w:pPr>
        <w:tabs>
          <w:tab w:val="left" w:pos="0"/>
        </w:tabs>
        <w:snapToGrid w:val="0"/>
        <w:spacing w:line="360" w:lineRule="auto"/>
        <w:ind w:right="-34"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rPr>
        <w:t>污水处理厂污泥脱水减量化处理项目服务期内，经甲乙双方协商一致同意，乙方投入该项目的设备设施可转移至其他服务地点实施污泥脱水减量化处理</w:t>
      </w:r>
      <w:r>
        <w:rPr>
          <w:rFonts w:hint="eastAsia" w:ascii="宋体" w:hAnsi="宋体" w:eastAsia="宋体" w:cs="宋体"/>
          <w:sz w:val="21"/>
          <w:szCs w:val="21"/>
        </w:rPr>
        <w:t>。</w:t>
      </w:r>
    </w:p>
    <w:p w14:paraId="038AA893">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2、关于风险的特别约定。</w:t>
      </w:r>
    </w:p>
    <w:p w14:paraId="630A46A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本合同以及订立合同过程中甲方提供的</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文件内介绍的污水处理厂污泥减量化处理规模仅为便于乙方了解项目情况使用，不作为甲方最终委托实施脱水减量化处理量的保证。</w:t>
      </w:r>
    </w:p>
    <w:p w14:paraId="099E0C49">
      <w:pPr>
        <w:snapToGrid w:val="0"/>
        <w:spacing w:line="360" w:lineRule="auto"/>
        <w:ind w:firstLine="422" w:firstLineChars="200"/>
        <w:outlineLvl w:val="9"/>
        <w:rPr>
          <w:rFonts w:hint="eastAsia" w:ascii="宋体" w:hAnsi="宋体" w:eastAsia="宋体" w:cs="宋体"/>
          <w:sz w:val="21"/>
          <w:szCs w:val="21"/>
        </w:rPr>
      </w:pPr>
      <w:r>
        <w:rPr>
          <w:rFonts w:hint="eastAsia" w:ascii="宋体" w:hAnsi="宋体" w:eastAsia="宋体" w:cs="宋体"/>
          <w:b/>
          <w:bCs/>
          <w:sz w:val="21"/>
          <w:szCs w:val="21"/>
          <w:u w:val="single"/>
        </w:rPr>
        <w:t>乙方清楚理解</w:t>
      </w:r>
      <w:r>
        <w:rPr>
          <w:rFonts w:hint="eastAsia" w:ascii="宋体" w:hAnsi="宋体" w:eastAsia="宋体" w:cs="宋体"/>
          <w:b/>
          <w:bCs/>
          <w:sz w:val="21"/>
          <w:szCs w:val="21"/>
          <w:u w:val="single"/>
          <w:lang w:val="en-US" w:eastAsia="zh-CN"/>
        </w:rPr>
        <w:t>并同意接受</w:t>
      </w:r>
      <w:r>
        <w:rPr>
          <w:rFonts w:hint="eastAsia" w:ascii="宋体" w:hAnsi="宋体" w:eastAsia="宋体" w:cs="宋体"/>
          <w:b/>
          <w:bCs/>
          <w:sz w:val="21"/>
          <w:szCs w:val="21"/>
          <w:u w:val="single"/>
        </w:rPr>
        <w:t>本项目具有很大的不确定性</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存在</w:t>
      </w:r>
      <w:r>
        <w:rPr>
          <w:rFonts w:hint="eastAsia" w:ascii="宋体" w:hAnsi="宋体" w:eastAsia="宋体" w:cs="宋体"/>
          <w:b/>
          <w:bCs/>
          <w:sz w:val="21"/>
          <w:szCs w:val="21"/>
          <w:u w:val="single"/>
        </w:rPr>
        <w:t>包括但不限于以下不确定性因素</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甲方的BOT污水处理厂污泥处理处置服务合同因政策变化等原因的调整而</w:t>
      </w:r>
      <w:r>
        <w:rPr>
          <w:rFonts w:hint="eastAsia" w:ascii="宋体" w:hAnsi="宋体" w:eastAsia="宋体" w:cs="宋体"/>
          <w:b/>
          <w:bCs/>
          <w:sz w:val="21"/>
          <w:szCs w:val="21"/>
          <w:u w:val="single"/>
        </w:rPr>
        <w:t>导致</w:t>
      </w:r>
      <w:r>
        <w:rPr>
          <w:rFonts w:hint="eastAsia" w:ascii="宋体" w:hAnsi="宋体" w:eastAsia="宋体" w:cs="宋体"/>
          <w:b/>
          <w:bCs/>
          <w:sz w:val="21"/>
          <w:szCs w:val="21"/>
          <w:u w:val="single"/>
          <w:lang w:val="en-US" w:eastAsia="zh-CN"/>
        </w:rPr>
        <w:t>需提前解除本合同</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lang w:val="en-US" w:eastAsia="zh-CN"/>
        </w:rPr>
        <w:t>因甲方（或污水处理厂）自行建设并运营污泥脱水减量化处理设施而导致需提前解除本合同、因乙方的设施不达标或超标或用电用地的原因导致</w:t>
      </w:r>
      <w:r>
        <w:rPr>
          <w:rFonts w:hint="eastAsia" w:ascii="宋体" w:hAnsi="宋体" w:eastAsia="宋体" w:cs="宋体"/>
          <w:b/>
          <w:bCs/>
          <w:sz w:val="21"/>
          <w:szCs w:val="21"/>
          <w:u w:val="single"/>
        </w:rPr>
        <w:t>污水处理厂不接受</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安装污泥脱水减量化处理设施</w:t>
      </w:r>
      <w:r>
        <w:rPr>
          <w:rFonts w:hint="eastAsia" w:ascii="宋体" w:hAnsi="宋体" w:eastAsia="宋体" w:cs="宋体"/>
          <w:b/>
          <w:bCs/>
          <w:sz w:val="21"/>
          <w:szCs w:val="21"/>
          <w:u w:val="single"/>
          <w:lang w:eastAsia="zh-CN"/>
        </w:rPr>
        <w:t>、</w:t>
      </w:r>
      <w:r>
        <w:rPr>
          <w:rFonts w:hint="eastAsia" w:ascii="宋体" w:hAnsi="宋体" w:eastAsia="宋体" w:cs="宋体"/>
          <w:b/>
          <w:bCs/>
          <w:sz w:val="21"/>
          <w:szCs w:val="21"/>
          <w:u w:val="single"/>
        </w:rPr>
        <w:t>污水处理厂不具备安装</w:t>
      </w:r>
      <w:r>
        <w:rPr>
          <w:rFonts w:hint="eastAsia" w:ascii="宋体" w:hAnsi="宋体" w:eastAsia="宋体" w:cs="宋体"/>
          <w:b/>
          <w:bCs/>
          <w:sz w:val="21"/>
          <w:szCs w:val="21"/>
          <w:u w:val="single"/>
          <w:lang w:val="en-US" w:eastAsia="zh-CN"/>
        </w:rPr>
        <w:t>乙方的</w:t>
      </w:r>
      <w:r>
        <w:rPr>
          <w:rFonts w:hint="eastAsia" w:ascii="宋体" w:hAnsi="宋体" w:eastAsia="宋体" w:cs="宋体"/>
          <w:b/>
          <w:bCs/>
          <w:sz w:val="21"/>
          <w:szCs w:val="21"/>
          <w:u w:val="single"/>
        </w:rPr>
        <w:t>污泥脱水减量化处理设施条件、</w:t>
      </w:r>
      <w:r>
        <w:rPr>
          <w:rFonts w:hint="eastAsia" w:ascii="宋体" w:hAnsi="宋体" w:cs="宋体"/>
          <w:b/>
          <w:bCs/>
          <w:sz w:val="21"/>
          <w:szCs w:val="21"/>
          <w:u w:val="single"/>
          <w:lang w:val="en-US" w:eastAsia="zh-CN"/>
        </w:rPr>
        <w:t>原服务单位协商不顺利未拆除现有设备导致乙方无法进场安装污泥脱水减量化处理设施、</w:t>
      </w:r>
      <w:r>
        <w:rPr>
          <w:rFonts w:hint="eastAsia" w:ascii="宋体" w:hAnsi="宋体" w:eastAsia="宋体" w:cs="宋体"/>
          <w:b/>
          <w:bCs/>
          <w:sz w:val="21"/>
          <w:szCs w:val="21"/>
          <w:u w:val="single"/>
          <w:lang w:val="en-US" w:eastAsia="zh-CN"/>
        </w:rPr>
        <w:t>因污水处理厂用地手续不完善等问题被相关行政主管部门叫停而导致需提前解除本合同、</w:t>
      </w:r>
      <w:r>
        <w:rPr>
          <w:rFonts w:hint="eastAsia" w:ascii="宋体" w:hAnsi="宋体" w:eastAsia="宋体" w:cs="宋体"/>
          <w:b/>
          <w:bCs/>
          <w:sz w:val="21"/>
          <w:szCs w:val="21"/>
          <w:u w:val="single"/>
        </w:rPr>
        <w:t>提供给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脱水减量化处理的泥量严重不符、</w:t>
      </w:r>
      <w:r>
        <w:rPr>
          <w:rFonts w:hint="eastAsia" w:ascii="宋体" w:hAnsi="宋体" w:eastAsia="宋体" w:cs="宋体"/>
          <w:b/>
          <w:bCs/>
          <w:sz w:val="21"/>
          <w:szCs w:val="21"/>
          <w:u w:val="single"/>
          <w:lang w:val="en-US" w:eastAsia="zh-CN"/>
        </w:rPr>
        <w:t>污泥脱水减量化含水率的变化、或因东莞市污泥集中处理处置特许经营项目建设运营情况而导致提前解除本合同</w:t>
      </w:r>
      <w:r>
        <w:rPr>
          <w:rFonts w:hint="eastAsia" w:ascii="宋体" w:hAnsi="宋体" w:eastAsia="宋体" w:cs="宋体"/>
          <w:b/>
          <w:bCs/>
          <w:sz w:val="21"/>
          <w:szCs w:val="21"/>
          <w:u w:val="single"/>
        </w:rPr>
        <w:t>等，因前述原因或同类因素导致已委托给</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的项目无法实施或已安装了污泥脱水处理设施后项目取消的，</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同意放弃向</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追讨任何费用或主张任何权利和责任</w:t>
      </w:r>
      <w:r>
        <w:rPr>
          <w:rFonts w:hint="eastAsia" w:ascii="宋体" w:hAnsi="宋体" w:eastAsia="宋体" w:cs="宋体"/>
          <w:sz w:val="21"/>
          <w:szCs w:val="21"/>
        </w:rPr>
        <w:t>。</w:t>
      </w:r>
    </w:p>
    <w:p w14:paraId="45BC77EE">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乙方与甲方签订本合同，即视为清楚了解和接受本项目的风险，并同意自行承担前述风险，乙方同意并承诺不因前述风险事项的发生而向甲方追究违约责任或主张损失赔偿。</w:t>
      </w:r>
    </w:p>
    <w:p w14:paraId="144B4837">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第二条 服务期限、处理服务费用</w:t>
      </w:r>
    </w:p>
    <w:p w14:paraId="30C87ED4">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1、服务期限：</w:t>
      </w:r>
    </w:p>
    <w:p w14:paraId="0FA56C1E">
      <w:pPr>
        <w:tabs>
          <w:tab w:val="left" w:pos="0"/>
        </w:tabs>
        <w:snapToGrid w:val="0"/>
        <w:spacing w:line="360" w:lineRule="auto"/>
        <w:ind w:right="-34" w:firstLine="420" w:firstLineChars="200"/>
        <w:outlineLvl w:val="9"/>
        <w:rPr>
          <w:rFonts w:hint="eastAsia" w:ascii="宋体" w:hAnsi="宋体" w:eastAsia="宋体" w:cs="宋体"/>
          <w:sz w:val="21"/>
          <w:szCs w:val="21"/>
        </w:rPr>
      </w:pPr>
      <w:r>
        <w:rPr>
          <w:rFonts w:hint="eastAsia" w:ascii="宋体" w:hAnsi="宋体" w:eastAsia="宋体" w:cs="宋体"/>
          <w:sz w:val="21"/>
          <w:szCs w:val="21"/>
        </w:rPr>
        <w:t>污泥厂内减量化处理服务期限自甲方发出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进场通知书</w:t>
      </w:r>
      <w:r>
        <w:rPr>
          <w:rFonts w:hint="eastAsia" w:ascii="宋体" w:hAnsi="宋体" w:eastAsia="宋体" w:cs="宋体"/>
          <w:sz w:val="21"/>
          <w:szCs w:val="21"/>
          <w:lang w:eastAsia="zh-CN"/>
        </w:rPr>
        <w:t>》</w:t>
      </w:r>
      <w:r>
        <w:rPr>
          <w:rFonts w:hint="eastAsia" w:ascii="宋体" w:hAnsi="宋体" w:eastAsia="宋体" w:cs="宋体"/>
          <w:sz w:val="21"/>
          <w:szCs w:val="21"/>
        </w:rPr>
        <w:t>之日起至</w:t>
      </w:r>
      <w:r>
        <w:rPr>
          <w:rFonts w:hint="eastAsia" w:ascii="宋体" w:hAnsi="宋体" w:eastAsia="宋体" w:cs="宋体"/>
          <w:sz w:val="21"/>
          <w:szCs w:val="21"/>
          <w:lang w:val="en-US" w:eastAsia="zh-CN"/>
        </w:rPr>
        <w:t>2026年1月4日</w:t>
      </w:r>
      <w:r>
        <w:rPr>
          <w:rFonts w:hint="eastAsia" w:ascii="宋体" w:hAnsi="宋体" w:cs="宋体"/>
          <w:sz w:val="21"/>
          <w:szCs w:val="21"/>
          <w:lang w:val="en-US" w:eastAsia="zh-CN"/>
        </w:rPr>
        <w:t>止</w:t>
      </w:r>
      <w:r>
        <w:rPr>
          <w:rFonts w:hint="eastAsia" w:ascii="宋体" w:hAnsi="宋体" w:eastAsia="宋体" w:cs="宋体"/>
          <w:sz w:val="21"/>
          <w:szCs w:val="21"/>
        </w:rPr>
        <w:t>。服务期内，</w:t>
      </w:r>
      <w:r>
        <w:rPr>
          <w:rFonts w:hint="eastAsia" w:ascii="宋体" w:hAnsi="宋体" w:eastAsia="宋体" w:cs="宋体"/>
          <w:b/>
          <w:bCs/>
          <w:sz w:val="21"/>
          <w:szCs w:val="21"/>
          <w:u w:val="single"/>
          <w:lang w:val="en-US" w:eastAsia="zh-CN"/>
        </w:rPr>
        <w:t>甲方</w:t>
      </w:r>
      <w:r>
        <w:rPr>
          <w:rFonts w:hint="eastAsia" w:ascii="宋体" w:hAnsi="宋体" w:eastAsia="宋体" w:cs="宋体"/>
          <w:b/>
          <w:bCs/>
          <w:sz w:val="21"/>
          <w:szCs w:val="21"/>
          <w:u w:val="single"/>
        </w:rPr>
        <w:t>根据</w:t>
      </w:r>
      <w:r>
        <w:rPr>
          <w:rFonts w:hint="eastAsia" w:ascii="宋体" w:hAnsi="宋体" w:eastAsia="宋体" w:cs="宋体"/>
          <w:b/>
          <w:bCs/>
          <w:sz w:val="21"/>
          <w:szCs w:val="21"/>
          <w:u w:val="single"/>
          <w:lang w:val="en-US" w:eastAsia="zh-CN"/>
        </w:rPr>
        <w:t>污水厂厂区污泥脱水减量设备进行的实施进度或东莞市污泥集中处理处置特许经营项目建设运营情况</w:t>
      </w:r>
      <w:r>
        <w:rPr>
          <w:rFonts w:hint="eastAsia" w:ascii="宋体" w:hAnsi="宋体" w:eastAsia="宋体" w:cs="宋体"/>
          <w:b/>
          <w:bCs/>
          <w:sz w:val="21"/>
          <w:szCs w:val="21"/>
          <w:u w:val="single"/>
        </w:rPr>
        <w:t>有权要求</w:t>
      </w:r>
      <w:r>
        <w:rPr>
          <w:rFonts w:hint="eastAsia" w:ascii="宋体" w:hAnsi="宋体" w:eastAsia="宋体" w:cs="宋体"/>
          <w:b/>
          <w:bCs/>
          <w:sz w:val="21"/>
          <w:szCs w:val="21"/>
          <w:u w:val="single"/>
          <w:lang w:val="en-US" w:eastAsia="zh-CN"/>
        </w:rPr>
        <w:t>乙方</w:t>
      </w:r>
      <w:r>
        <w:rPr>
          <w:rFonts w:hint="eastAsia" w:ascii="宋体" w:hAnsi="宋体" w:eastAsia="宋体" w:cs="宋体"/>
          <w:b/>
          <w:bCs/>
          <w:sz w:val="21"/>
          <w:szCs w:val="21"/>
          <w:u w:val="single"/>
        </w:rPr>
        <w:t>无条件提前终止服务并撤场</w:t>
      </w:r>
      <w:r>
        <w:rPr>
          <w:rFonts w:hint="eastAsia" w:ascii="宋体" w:hAnsi="宋体" w:eastAsia="宋体" w:cs="宋体"/>
          <w:sz w:val="21"/>
          <w:szCs w:val="21"/>
        </w:rPr>
        <w:t>。在服务期满后，如甲方需委托乙方继续开展服务范围内的服务时，</w:t>
      </w:r>
      <w:r>
        <w:rPr>
          <w:rFonts w:hint="eastAsia" w:ascii="宋体" w:hAnsi="宋体" w:eastAsia="宋体" w:cs="宋体"/>
          <w:sz w:val="21"/>
          <w:szCs w:val="21"/>
          <w:lang w:val="en-US" w:eastAsia="zh-CN"/>
        </w:rPr>
        <w:t>经双方协商一致，</w:t>
      </w:r>
      <w:r>
        <w:rPr>
          <w:rFonts w:hint="eastAsia" w:ascii="宋体" w:hAnsi="宋体" w:eastAsia="宋体" w:cs="宋体"/>
          <w:sz w:val="21"/>
          <w:szCs w:val="21"/>
        </w:rPr>
        <w:t>乙方应按本合同约定的计价方式和服务标准向甲方继续提供处理服务。</w:t>
      </w:r>
    </w:p>
    <w:p w14:paraId="6F8CF192">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2、乙方在收到甲方</w:t>
      </w:r>
      <w:r>
        <w:rPr>
          <w:rFonts w:hint="eastAsia" w:ascii="宋体" w:hAnsi="宋体" w:eastAsia="宋体" w:cs="宋体"/>
          <w:sz w:val="21"/>
          <w:szCs w:val="21"/>
          <w:lang w:eastAsia="zh-CN"/>
        </w:rPr>
        <w:t>《</w:t>
      </w:r>
      <w:r>
        <w:rPr>
          <w:rFonts w:hint="eastAsia" w:ascii="宋体" w:hAnsi="宋体" w:eastAsia="宋体" w:cs="宋体"/>
          <w:sz w:val="21"/>
          <w:szCs w:val="21"/>
        </w:rPr>
        <w:t>进场通知</w:t>
      </w:r>
      <w:r>
        <w:rPr>
          <w:rFonts w:hint="eastAsia" w:ascii="宋体" w:hAnsi="宋体" w:eastAsia="宋体" w:cs="宋体"/>
          <w:sz w:val="21"/>
          <w:szCs w:val="21"/>
          <w:lang w:val="en-US" w:eastAsia="zh-CN"/>
        </w:rPr>
        <w:t>书</w:t>
      </w:r>
      <w:r>
        <w:rPr>
          <w:rFonts w:hint="eastAsia" w:ascii="宋体" w:hAnsi="宋体" w:eastAsia="宋体" w:cs="宋体"/>
          <w:sz w:val="21"/>
          <w:szCs w:val="21"/>
          <w:lang w:eastAsia="zh-CN"/>
        </w:rPr>
        <w:t>》</w:t>
      </w:r>
      <w:r>
        <w:rPr>
          <w:rFonts w:hint="eastAsia" w:ascii="宋体" w:hAnsi="宋体" w:eastAsia="宋体" w:cs="宋体"/>
          <w:sz w:val="21"/>
          <w:szCs w:val="21"/>
        </w:rPr>
        <w:t>之日起</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天内完成设备安装并具备正式投产条件。</w:t>
      </w:r>
    </w:p>
    <w:p w14:paraId="2BD7CAC8">
      <w:pPr>
        <w:widowControl/>
        <w:snapToGrid w:val="0"/>
        <w:spacing w:line="360" w:lineRule="auto"/>
        <w:ind w:firstLine="420"/>
        <w:contextualSpacing/>
        <w:outlineLvl w:val="9"/>
        <w:rPr>
          <w:rFonts w:hint="eastAsia" w:ascii="宋体" w:hAnsi="宋体" w:eastAsia="宋体" w:cs="宋体"/>
          <w:sz w:val="21"/>
          <w:szCs w:val="21"/>
        </w:rPr>
      </w:pPr>
      <w:r>
        <w:rPr>
          <w:rFonts w:hint="eastAsia" w:ascii="宋体" w:hAnsi="宋体" w:eastAsia="宋体" w:cs="宋体"/>
          <w:sz w:val="21"/>
          <w:szCs w:val="21"/>
        </w:rPr>
        <w:t>本合同内的“投产”是指污泥脱水减量化产能连续三天稳定达到该处理点设计规模产能的70%或以上，减量化后的半干化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含水率不高于55%（若由于污泥产出单位自身原因导致的污泥产量不足，则由甲方与污泥产生单位经现场确认其产能是否符合要求）。</w:t>
      </w:r>
    </w:p>
    <w:p w14:paraId="64B49B72">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3、除非双方另有合同约定，乙方在以下情况应自行拆除本项目服务期间新建的设备设施，并恢复本项目场地的原状：</w:t>
      </w:r>
      <w:r>
        <w:rPr>
          <w:rFonts w:hint="eastAsia" w:ascii="宋体" w:hAnsi="宋体" w:eastAsia="宋体" w:cs="宋体"/>
          <w:b/>
          <w:bCs/>
          <w:sz w:val="21"/>
          <w:szCs w:val="21"/>
          <w:u w:val="single"/>
        </w:rPr>
        <w:t>（1）服务期内，发生</w:t>
      </w:r>
      <w:r>
        <w:rPr>
          <w:rFonts w:hint="eastAsia" w:ascii="宋体" w:hAnsi="宋体" w:eastAsia="宋体" w:cs="宋体"/>
          <w:b/>
          <w:bCs/>
          <w:sz w:val="21"/>
          <w:szCs w:val="21"/>
          <w:u w:val="single"/>
          <w:lang w:val="en-US" w:eastAsia="zh-CN"/>
        </w:rPr>
        <w:t>第一条第2款</w:t>
      </w:r>
      <w:r>
        <w:rPr>
          <w:rFonts w:hint="eastAsia" w:ascii="宋体" w:hAnsi="宋体" w:eastAsia="宋体" w:cs="宋体"/>
          <w:b/>
          <w:bCs/>
          <w:sz w:val="21"/>
          <w:szCs w:val="21"/>
          <w:u w:val="single"/>
        </w:rPr>
        <w:t>风险特别约定情况，甲方要求乙方无条件提前终止服务并发出撤场通知之日起30日内；（2）服务期内，</w:t>
      </w:r>
      <w:r>
        <w:rPr>
          <w:rFonts w:hint="eastAsia" w:ascii="宋体" w:hAnsi="宋体" w:eastAsia="宋体" w:cs="宋体"/>
          <w:b/>
          <w:bCs/>
          <w:sz w:val="21"/>
          <w:szCs w:val="21"/>
          <w:u w:val="single"/>
          <w:lang w:val="en-US" w:eastAsia="zh-CN"/>
        </w:rPr>
        <w:t>因乙方存在违约行为等，</w:t>
      </w:r>
      <w:r>
        <w:rPr>
          <w:rFonts w:hint="eastAsia" w:ascii="宋体" w:hAnsi="宋体" w:eastAsia="宋体" w:cs="宋体"/>
          <w:b/>
          <w:bCs/>
          <w:sz w:val="21"/>
          <w:szCs w:val="21"/>
          <w:u w:val="single"/>
        </w:rPr>
        <w:t>甲方</w:t>
      </w:r>
      <w:r>
        <w:rPr>
          <w:rFonts w:hint="eastAsia" w:ascii="宋体" w:hAnsi="宋体" w:eastAsia="宋体" w:cs="宋体"/>
          <w:b/>
          <w:bCs/>
          <w:sz w:val="21"/>
          <w:szCs w:val="21"/>
          <w:u w:val="single"/>
          <w:lang w:val="en-US" w:eastAsia="zh-CN"/>
        </w:rPr>
        <w:t>根据本合同约定要求乙方提前终止服务并发出</w:t>
      </w:r>
      <w:r>
        <w:rPr>
          <w:rFonts w:hint="eastAsia" w:ascii="宋体" w:hAnsi="宋体" w:eastAsia="宋体" w:cs="宋体"/>
          <w:b/>
          <w:bCs/>
          <w:sz w:val="21"/>
          <w:szCs w:val="21"/>
          <w:u w:val="single"/>
        </w:rPr>
        <w:t>撤场通知之日起30日内；（3）服务期届满后30日内</w:t>
      </w:r>
      <w:r>
        <w:rPr>
          <w:rFonts w:hint="eastAsia" w:ascii="宋体" w:hAnsi="宋体" w:eastAsia="宋体" w:cs="宋体"/>
          <w:sz w:val="21"/>
          <w:szCs w:val="21"/>
        </w:rPr>
        <w:t>。以上所导致的因拆除设备设施及场地复原产生的相应费用由乙方承担，在本项目的拆除过程中和拆除之后，甲方无须向乙方支付任何补偿或移交费用。</w:t>
      </w:r>
    </w:p>
    <w:p w14:paraId="4A80E7FA">
      <w:pPr>
        <w:snapToGrid w:val="0"/>
        <w:spacing w:line="360" w:lineRule="auto"/>
        <w:ind w:firstLine="482"/>
        <w:outlineLvl w:val="9"/>
        <w:rPr>
          <w:rFonts w:hint="eastAsia" w:ascii="宋体" w:hAnsi="宋体" w:eastAsia="宋体" w:cs="宋体"/>
          <w:sz w:val="21"/>
          <w:szCs w:val="21"/>
        </w:rPr>
      </w:pPr>
      <w:r>
        <w:rPr>
          <w:rFonts w:hint="eastAsia" w:ascii="宋体" w:hAnsi="宋体" w:eastAsia="宋体" w:cs="宋体"/>
          <w:sz w:val="21"/>
          <w:szCs w:val="21"/>
        </w:rPr>
        <w:t>4、污泥脱水减量化服务费用：</w:t>
      </w:r>
    </w:p>
    <w:p w14:paraId="3AD33AF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（1）减量化服务费单价按含水率80%的湿泥计价（元/吨）。将从污水厂储泥池或沉淀池抽取的污泥脱水减量至含水率不高于55%的半干化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的不含税服务费单价（合同单价）为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元/吨。在本合同履行过程中，合同单价（即销售额，不含乙方销项税额）不随法律法规政策、物价人工、服务期调整而进行调整，未经甲方书面确认，乙方无权增加任何费用。</w:t>
      </w:r>
    </w:p>
    <w:p w14:paraId="5BA91AB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（2）依法计得并根据本合同约定确定的销项税额由甲方承担。根据</w:t>
      </w:r>
      <w:r>
        <w:rPr>
          <w:rFonts w:hint="eastAsia" w:ascii="宋体" w:hAnsi="宋体" w:eastAsia="宋体" w:cs="宋体"/>
          <w:sz w:val="21"/>
          <w:szCs w:val="21"/>
          <w:lang w:val="zh-CN"/>
        </w:rPr>
        <w:t>《中华人民共和国增值税</w:t>
      </w:r>
      <w:r>
        <w:rPr>
          <w:rFonts w:hint="eastAsia" w:ascii="宋体" w:hAnsi="宋体" w:eastAsia="宋体" w:cs="宋体"/>
          <w:sz w:val="21"/>
          <w:szCs w:val="21"/>
        </w:rPr>
        <w:t>暂行</w:t>
      </w:r>
      <w:r>
        <w:rPr>
          <w:rFonts w:hint="eastAsia" w:ascii="宋体" w:hAnsi="宋体" w:eastAsia="宋体" w:cs="宋体"/>
          <w:sz w:val="21"/>
          <w:szCs w:val="21"/>
          <w:lang w:val="zh-CN"/>
        </w:rPr>
        <w:t>条例》（国务院令第691号修订版）</w:t>
      </w:r>
      <w:r>
        <w:rPr>
          <w:rFonts w:hint="eastAsia" w:ascii="宋体" w:hAnsi="宋体" w:eastAsia="宋体" w:cs="宋体"/>
          <w:sz w:val="21"/>
          <w:szCs w:val="21"/>
        </w:rPr>
        <w:t>及当前税务部门的相关规定，本合同项目污泥处理服务费的增值税税率暂定为</w:t>
      </w:r>
      <w:r>
        <w:rPr>
          <w:rFonts w:hint="eastAsia" w:ascii="宋体" w:hAnsi="宋体" w:eastAsia="宋体" w:cs="宋体"/>
          <w:sz w:val="21"/>
          <w:szCs w:val="21"/>
          <w:u w:val="single"/>
        </w:rPr>
        <w:t xml:space="preserve">    %</w:t>
      </w:r>
      <w:r>
        <w:rPr>
          <w:rFonts w:hint="eastAsia" w:ascii="宋体" w:hAnsi="宋体" w:eastAsia="宋体" w:cs="宋体"/>
          <w:sz w:val="21"/>
          <w:szCs w:val="21"/>
        </w:rPr>
        <w:t>，乙方的增值税销项税额根据本合同约定按实结算。但因乙方未按合同约定提供服务、未根据合同约定提供合法、完整的请款资料等原因导致销项税额增加的，相应损失由乙方承担。</w:t>
      </w:r>
    </w:p>
    <w:p w14:paraId="79248411">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因乙方未按法定税率计算税额或未根据本合同约定出具对应税额的增值税专用发票等乙方原因导致甲方多支付税额的，乙方必须退还甲方，给甲方造成损失的，乙方须向甲方赔偿相应损失。</w:t>
      </w:r>
    </w:p>
    <w:p w14:paraId="42D4FF6D">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（3）合同单价价税合计暂定为</w:t>
      </w:r>
      <w:r>
        <w:rPr>
          <w:rFonts w:hint="eastAsia" w:ascii="宋体" w:hAnsi="宋体" w:eastAsia="宋体" w:cs="宋体"/>
          <w:sz w:val="21"/>
          <w:szCs w:val="21"/>
          <w:u w:val="single"/>
        </w:rPr>
        <w:t xml:space="preserve">      </w:t>
      </w:r>
      <w:r>
        <w:rPr>
          <w:rFonts w:hint="eastAsia" w:ascii="宋体" w:hAnsi="宋体" w:eastAsia="宋体" w:cs="宋体"/>
          <w:sz w:val="21"/>
          <w:szCs w:val="21"/>
        </w:rPr>
        <w:t>元/吨，合同履行期间根据上述第（2）项规定调整销项税额的，结算合同单价价税合计对应调整。</w:t>
      </w:r>
    </w:p>
    <w:p w14:paraId="1AB13B4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本项目合同单价，包含了甲方污水处理厂现状条件下（其他污水处理厂运至该减量化集中处理点的污泥由甲方负责运输），乙方完成甲方污泥减量化达标处理服务所需的设备设施、物资、服务、人力等全部费用，包括但不限于：</w:t>
      </w:r>
    </w:p>
    <w:p w14:paraId="0BA31B5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①</w:t>
      </w:r>
      <w:r>
        <w:rPr>
          <w:rFonts w:hint="eastAsia" w:ascii="宋体" w:hAnsi="宋体" w:eastAsia="宋体" w:cs="宋体"/>
          <w:sz w:val="21"/>
          <w:szCs w:val="21"/>
          <w:lang w:val="zh-CN"/>
        </w:rPr>
        <w:t>在污水处理厂或污泥集中处理点进行污泥脱水减量化成套设备设施</w:t>
      </w:r>
      <w:r>
        <w:rPr>
          <w:rFonts w:hint="eastAsia" w:ascii="宋体" w:hAnsi="宋体" w:eastAsia="宋体" w:cs="宋体"/>
          <w:sz w:val="21"/>
          <w:szCs w:val="21"/>
        </w:rPr>
        <w:t>的设计、供应、运输（至项目现场）、保险、装卸、安装（含安全防护、文明施工措施，设备安装基础）、调试、验收及日常运营、维护和维修，以及服务期满后的拆除、场地恢复原貌的费用；</w:t>
      </w:r>
    </w:p>
    <w:p w14:paraId="18681FC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②</w:t>
      </w:r>
      <w:r>
        <w:rPr>
          <w:rFonts w:hint="eastAsia" w:ascii="宋体" w:hAnsi="宋体" w:eastAsia="宋体" w:cs="宋体"/>
          <w:sz w:val="21"/>
          <w:szCs w:val="21"/>
          <w:lang w:val="zh-CN"/>
        </w:rPr>
        <w:t>脱水</w:t>
      </w:r>
      <w:r>
        <w:rPr>
          <w:rFonts w:hint="eastAsia" w:ascii="宋体" w:hAnsi="宋体" w:eastAsia="宋体" w:cs="宋体"/>
          <w:sz w:val="21"/>
          <w:szCs w:val="21"/>
        </w:rPr>
        <w:t>减量化处理所需调理剂等药剂的供应、投加，以及加装符合国家及行业标准要求的计量装置的相关费用；</w:t>
      </w:r>
    </w:p>
    <w:p w14:paraId="35EAA26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③从</w:t>
      </w:r>
      <w:r>
        <w:rPr>
          <w:rFonts w:hint="eastAsia" w:ascii="宋体" w:hAnsi="宋体" w:eastAsia="宋体" w:cs="宋体"/>
          <w:sz w:val="21"/>
          <w:szCs w:val="21"/>
          <w:lang w:val="zh-CN"/>
        </w:rPr>
        <w:t>污水处理厂储泥</w:t>
      </w:r>
      <w:r>
        <w:rPr>
          <w:rFonts w:hint="eastAsia" w:ascii="宋体" w:hAnsi="宋体" w:eastAsia="宋体" w:cs="宋体"/>
          <w:sz w:val="21"/>
          <w:szCs w:val="21"/>
          <w:lang w:val="en-US" w:eastAsia="zh-CN"/>
        </w:rPr>
        <w:t>池或沉淀池将甲方污泥转运（或管道输送）</w:t>
      </w:r>
      <w:r>
        <w:rPr>
          <w:rFonts w:hint="eastAsia" w:ascii="宋体" w:hAnsi="宋体" w:eastAsia="宋体" w:cs="宋体"/>
          <w:sz w:val="21"/>
          <w:szCs w:val="21"/>
        </w:rPr>
        <w:t>、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w:t>
      </w:r>
      <w:r>
        <w:rPr>
          <w:rFonts w:hint="eastAsia" w:ascii="宋体" w:hAnsi="宋体" w:eastAsia="宋体" w:cs="宋体"/>
          <w:sz w:val="21"/>
          <w:szCs w:val="21"/>
          <w:lang w:val="en-US" w:eastAsia="zh-CN"/>
        </w:rPr>
        <w:t>的</w:t>
      </w:r>
      <w:r>
        <w:rPr>
          <w:rFonts w:hint="eastAsia" w:ascii="宋体" w:hAnsi="宋体" w:eastAsia="宋体" w:cs="宋体"/>
          <w:sz w:val="21"/>
          <w:szCs w:val="21"/>
        </w:rPr>
        <w:t>污泥进行破碎</w:t>
      </w:r>
      <w:r>
        <w:rPr>
          <w:rFonts w:hint="eastAsia" w:ascii="宋体" w:hAnsi="宋体" w:eastAsia="宋体" w:cs="宋体"/>
          <w:sz w:val="21"/>
          <w:szCs w:val="21"/>
          <w:lang w:val="en-US" w:eastAsia="zh-CN"/>
        </w:rPr>
        <w:t>和外运装车</w:t>
      </w:r>
      <w:r>
        <w:rPr>
          <w:rFonts w:hint="eastAsia" w:ascii="宋体" w:hAnsi="宋体" w:eastAsia="宋体" w:cs="宋体"/>
          <w:sz w:val="21"/>
          <w:szCs w:val="21"/>
        </w:rPr>
        <w:t>的费用</w:t>
      </w:r>
      <w:r>
        <w:rPr>
          <w:rFonts w:hint="eastAsia" w:ascii="宋体" w:hAnsi="宋体" w:eastAsia="宋体" w:cs="宋体"/>
          <w:sz w:val="21"/>
          <w:szCs w:val="21"/>
          <w:lang w:val="zh-CN"/>
        </w:rPr>
        <w:t>；</w:t>
      </w:r>
    </w:p>
    <w:p w14:paraId="16F21DE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④乙方</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减量化处理服务全过程的人工、住宿、餐饮、人员社会保险、人身意外保险、第三方责任险、项目投资、建设及运营风险等费用；</w:t>
      </w:r>
    </w:p>
    <w:p w14:paraId="125AFB5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⑤室外</w:t>
      </w:r>
      <w:r>
        <w:rPr>
          <w:rFonts w:hint="eastAsia" w:ascii="宋体" w:hAnsi="宋体" w:eastAsia="宋体" w:cs="宋体"/>
          <w:sz w:val="21"/>
          <w:szCs w:val="21"/>
          <w:lang w:val="zh-CN"/>
        </w:rPr>
        <w:t>脱水</w:t>
      </w:r>
      <w:r>
        <w:rPr>
          <w:rFonts w:hint="eastAsia" w:ascii="宋体" w:hAnsi="宋体" w:eastAsia="宋体" w:cs="宋体"/>
          <w:sz w:val="21"/>
          <w:szCs w:val="21"/>
        </w:rPr>
        <w:t>减量化处理服务所需的“三通一平”、临时设施建设（含保证</w:t>
      </w:r>
      <w:r>
        <w:rPr>
          <w:rFonts w:hint="eastAsia" w:ascii="宋体" w:hAnsi="宋体" w:eastAsia="宋体" w:cs="宋体"/>
          <w:sz w:val="21"/>
          <w:szCs w:val="21"/>
          <w:lang w:val="zh-CN"/>
        </w:rPr>
        <w:t>脱水</w:t>
      </w:r>
      <w:r>
        <w:rPr>
          <w:rFonts w:hint="eastAsia" w:ascii="宋体" w:hAnsi="宋体" w:eastAsia="宋体" w:cs="宋体"/>
          <w:sz w:val="21"/>
          <w:szCs w:val="21"/>
        </w:rPr>
        <w:t>减量化设备正常运行所需的临时设施、设备基础，脱水后半干化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临时暂存避雨防水的储泥仓等）；</w:t>
      </w:r>
    </w:p>
    <w:p w14:paraId="3756773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⑥污泥减量化处理相关知识产权版税等使用费；</w:t>
      </w:r>
    </w:p>
    <w:p w14:paraId="3402819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⑦乙方销项税额以外的税费、利润等；</w:t>
      </w:r>
    </w:p>
    <w:p w14:paraId="746C462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⑧实现污泥</w:t>
      </w:r>
      <w:r>
        <w:rPr>
          <w:rFonts w:hint="eastAsia" w:ascii="宋体" w:hAnsi="宋体" w:eastAsia="宋体" w:cs="宋体"/>
          <w:sz w:val="21"/>
          <w:szCs w:val="21"/>
          <w:lang w:val="zh-CN"/>
        </w:rPr>
        <w:t>脱水</w:t>
      </w:r>
      <w:r>
        <w:rPr>
          <w:rFonts w:hint="eastAsia" w:ascii="宋体" w:hAnsi="宋体" w:eastAsia="宋体" w:cs="宋体"/>
          <w:sz w:val="21"/>
          <w:szCs w:val="21"/>
        </w:rPr>
        <w:t>减量化达标、废水、废气、噪声达标，以及完成</w:t>
      </w:r>
      <w:r>
        <w:rPr>
          <w:rFonts w:hint="eastAsia" w:ascii="宋体" w:hAnsi="宋体" w:eastAsia="宋体" w:cs="宋体"/>
          <w:sz w:val="21"/>
          <w:szCs w:val="21"/>
          <w:lang w:val="zh-CN"/>
        </w:rPr>
        <w:t>脱水减量化</w:t>
      </w:r>
      <w:r>
        <w:rPr>
          <w:rFonts w:hint="eastAsia" w:ascii="宋体" w:hAnsi="宋体" w:eastAsia="宋体" w:cs="宋体"/>
          <w:sz w:val="21"/>
          <w:szCs w:val="21"/>
        </w:rPr>
        <w:t>处理服务相关的其他直接及间接费用。</w:t>
      </w:r>
    </w:p>
    <w:p w14:paraId="7236A72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（5）乙方污泥脱水减量化服务费的具体单价取值，根据本合同第三条的约定确定。</w:t>
      </w:r>
    </w:p>
    <w:p w14:paraId="26C4D8B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5、甲方按</w:t>
      </w:r>
      <w:r>
        <w:rPr>
          <w:rFonts w:hint="eastAsia" w:ascii="宋体" w:hAnsi="宋体" w:eastAsia="宋体" w:cs="宋体"/>
          <w:sz w:val="21"/>
          <w:szCs w:val="21"/>
          <w:lang w:val="en-US" w:eastAsia="zh-CN"/>
        </w:rPr>
        <w:t>车次</w:t>
      </w:r>
      <w:r>
        <w:rPr>
          <w:rFonts w:hint="eastAsia" w:ascii="宋体" w:hAnsi="宋体" w:eastAsia="宋体" w:cs="宋体"/>
          <w:sz w:val="21"/>
          <w:szCs w:val="21"/>
        </w:rPr>
        <w:t>检测减量化</w:t>
      </w:r>
      <w:r>
        <w:rPr>
          <w:rFonts w:hint="eastAsia" w:ascii="宋体" w:hAnsi="宋体" w:eastAsia="宋体" w:cs="宋体"/>
          <w:sz w:val="21"/>
          <w:szCs w:val="21"/>
          <w:lang w:val="en-US" w:eastAsia="zh-CN"/>
        </w:rPr>
        <w:t>后</w:t>
      </w:r>
      <w:r>
        <w:rPr>
          <w:rFonts w:hint="eastAsia" w:ascii="宋体" w:hAnsi="宋体" w:eastAsia="宋体" w:cs="宋体"/>
          <w:sz w:val="21"/>
          <w:szCs w:val="21"/>
        </w:rPr>
        <w:t>的</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含水率，费用由甲方承担，乙方无条件配合检测工作；因建立台账而产生自检的费用由乙方自行负责。</w:t>
      </w:r>
    </w:p>
    <w:p w14:paraId="16AEFD7B">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第三条 污泥计量、脱水减量化处理后污泥的含水率检测及计费</w:t>
      </w:r>
    </w:p>
    <w:p w14:paraId="491EF28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1、污水处理厂污泥减量化项目减量化服务费单价按含水率80%的湿泥计价（元/吨）。</w:t>
      </w:r>
    </w:p>
    <w:p w14:paraId="24B1510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若在项目服务期间，因污泥减量化技术升级，污泥含水率可脱水至更低，经双方协商</w:t>
      </w:r>
      <w:r>
        <w:rPr>
          <w:rFonts w:hint="eastAsia" w:ascii="宋体" w:hAnsi="宋体" w:eastAsia="宋体" w:cs="宋体"/>
          <w:sz w:val="21"/>
          <w:szCs w:val="21"/>
          <w:lang w:val="en-US" w:eastAsia="zh-CN"/>
        </w:rPr>
        <w:t>一致</w:t>
      </w:r>
      <w:r>
        <w:rPr>
          <w:rFonts w:hint="eastAsia" w:ascii="宋体" w:hAnsi="宋体" w:eastAsia="宋体" w:cs="宋体"/>
          <w:sz w:val="21"/>
          <w:szCs w:val="21"/>
        </w:rPr>
        <w:t>，可调整折算公式。</w:t>
      </w:r>
    </w:p>
    <w:p w14:paraId="0320558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（1）污泥称重计量：污水处理厂出厂的半干化泥粉，通过甲方指定的地磅的称重数据（磅单）为计量计费依据，计量相关费用均由甲方承担。</w:t>
      </w:r>
    </w:p>
    <w:p w14:paraId="3232534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（2）当车结算泥量。当车结算泥量=称重数据（磅单）×（1-55%）/（1-80%）。</w:t>
      </w:r>
    </w:p>
    <w:p w14:paraId="744CC0E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2、含水率</w:t>
      </w:r>
    </w:p>
    <w:p w14:paraId="132015D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乙方应严格遵照合同及甲方要求将污泥脱水减量化至含水率不高于55%，合同统一按含水率55%统计污泥减量化处理量，并折算为含水率80%的湿泥计价，按合同单价（将从污水厂储泥池或沉淀池抽取的污泥脱水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服务费单价）计取。</w:t>
      </w:r>
    </w:p>
    <w:p w14:paraId="018295D5">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rPr>
        <w:t>3、含水率</w:t>
      </w:r>
      <w:r>
        <w:rPr>
          <w:rFonts w:hint="eastAsia" w:ascii="宋体" w:hAnsi="宋体" w:eastAsia="宋体" w:cs="宋体"/>
          <w:sz w:val="21"/>
          <w:szCs w:val="21"/>
          <w:lang w:val="en-US" w:eastAsia="zh-CN"/>
        </w:rPr>
        <w:t>检测</w:t>
      </w:r>
    </w:p>
    <w:p w14:paraId="6E2C65E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含水率</w:t>
      </w:r>
      <w:r>
        <w:rPr>
          <w:rFonts w:hint="eastAsia" w:ascii="宋体" w:hAnsi="宋体" w:eastAsia="宋体" w:cs="宋体"/>
          <w:sz w:val="21"/>
          <w:szCs w:val="21"/>
          <w:lang w:val="en-US" w:eastAsia="zh-CN"/>
        </w:rPr>
        <w:t>检测</w:t>
      </w:r>
      <w:r>
        <w:rPr>
          <w:rFonts w:hint="eastAsia" w:ascii="宋体" w:hAnsi="宋体" w:eastAsia="宋体" w:cs="宋体"/>
          <w:sz w:val="21"/>
          <w:szCs w:val="21"/>
        </w:rPr>
        <w:t>包括由污水处理厂化验室（或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委托的第三方检测机构）检测及甲方抽检两部分。</w:t>
      </w:r>
    </w:p>
    <w:p w14:paraId="333C2B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检测</w:t>
      </w:r>
      <w:r>
        <w:rPr>
          <w:rFonts w:hint="eastAsia" w:ascii="宋体" w:hAnsi="宋体" w:eastAsia="宋体" w:cs="宋体"/>
          <w:sz w:val="21"/>
          <w:szCs w:val="21"/>
        </w:rPr>
        <w:t>采样方式：在本项目半干化泥粉外运装车时采集半干化泥粉样品，采样点为外运半干化泥粉的运输车内，采样方法执行《城镇污水处理厂污染物排放标准》（GB18918-2002）的规定，多点取样，即在污泥运输车上3个不同的地方，用不锈钢采样器采集泥样后，现场混合碾碎为一个均匀样。前述采集的均匀样分为3份，并对3份样品进行编码以便记录和区分。1份交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委托的第三方检测机构）检测及存底；1份放至污水处理厂化验室（或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委托的第三方检测机构），以备甲方委托的第三方检测机构复检（有异议时）或抽检（每月4次）；剩余1份交由乙方自行保留或自检。若乙方对污水处理厂化验室（或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委托的第三方检测机构）检测的含水率有异议（24小时内提出），则由甲方委托的第三方有资质的检测公司对污水处理厂留底的样品进行检测（48小时内），并以该含水率作为最终计费依据。</w:t>
      </w:r>
    </w:p>
    <w:p w14:paraId="764C26A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（2）采样时乙方需用水印相机拍摄采样过程视频，并由乙方负责建立《采样台账》（具体格式由乙方自定，</w:t>
      </w:r>
      <w:r>
        <w:rPr>
          <w:rFonts w:hint="eastAsia" w:ascii="宋体" w:hAnsi="宋体" w:eastAsia="宋体" w:cs="宋体"/>
          <w:sz w:val="21"/>
          <w:szCs w:val="21"/>
          <w:lang w:val="en-US" w:eastAsia="zh-CN"/>
        </w:rPr>
        <w:t>应至少</w:t>
      </w:r>
      <w:r>
        <w:rPr>
          <w:rFonts w:hint="eastAsia" w:ascii="宋体" w:hAnsi="宋体" w:eastAsia="宋体" w:cs="宋体"/>
          <w:sz w:val="21"/>
          <w:szCs w:val="21"/>
        </w:rPr>
        <w:t>含样品编码、抽检位置、抽检时间及双方签字记录等信息），由污水处理厂（或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委托的第三方检测机构）和乙方共同在《采样台账》上签名确认污泥样品，采样视频及《采样台账》于每月请款时交甲方留底。</w:t>
      </w:r>
    </w:p>
    <w:p w14:paraId="271C5A0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委托的第三方检测机构）检测。由污水处理厂化验室（或</w:t>
      </w:r>
      <w:r>
        <w:rPr>
          <w:rFonts w:hint="eastAsia" w:ascii="宋体" w:hAnsi="宋体" w:eastAsia="宋体" w:cs="宋体"/>
          <w:sz w:val="21"/>
          <w:szCs w:val="21"/>
          <w:lang w:val="en-US" w:eastAsia="zh-CN"/>
        </w:rPr>
        <w:t>甲方委托的第三方检测机构、或污泥产生单位</w:t>
      </w:r>
      <w:r>
        <w:rPr>
          <w:rFonts w:hint="eastAsia" w:ascii="宋体" w:hAnsi="宋体" w:eastAsia="宋体" w:cs="宋体"/>
          <w:sz w:val="21"/>
          <w:szCs w:val="21"/>
        </w:rPr>
        <w:t>委托的第三方检测机构）对出厂时每车半干化泥粉进行采样检测。脱水减量化后的半干化泥粉出厂含水率的确认，由</w:t>
      </w:r>
      <w:r>
        <w:rPr>
          <w:rFonts w:hint="eastAsia" w:ascii="宋体" w:hAnsi="宋体" w:eastAsia="宋体" w:cs="宋体"/>
          <w:sz w:val="21"/>
          <w:szCs w:val="21"/>
          <w:lang w:val="en-US" w:eastAsia="zh-CN"/>
        </w:rPr>
        <w:t>污泥产生单位</w:t>
      </w:r>
      <w:r>
        <w:rPr>
          <w:rFonts w:hint="eastAsia" w:ascii="宋体" w:hAnsi="宋体" w:eastAsia="宋体" w:cs="宋体"/>
          <w:sz w:val="21"/>
          <w:szCs w:val="21"/>
        </w:rPr>
        <w:t>、甲方及乙方三方共同确认，形成《统计台账》，于每月请款时交甲方留底。</w:t>
      </w:r>
    </w:p>
    <w:p w14:paraId="62C1255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甲方委托的第三方检测机构每月随机从采集的样品中选取4个进行检测，并最终以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14:paraId="1E70211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4、污泥脱水减量化处理服务费计费。</w:t>
      </w:r>
    </w:p>
    <w:p w14:paraId="34195FB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（1）当车含水率小于等于55%时，当车污泥脱水减量化处理服务费=当车结算泥量×合同单价（从污水厂储泥池或沉淀池抽取的污泥减量至含水率不高于55%的半干化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服务费单价）。</w:t>
      </w:r>
    </w:p>
    <w:p w14:paraId="5AEDD983">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）甲方按月支付污泥脱水减量化处理服务费给乙方。</w:t>
      </w:r>
    </w:p>
    <w:p w14:paraId="07A9701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第四条 费用核算与支付</w:t>
      </w:r>
    </w:p>
    <w:p w14:paraId="13462AF7">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合同的履约过程中，乙方根据本合同约定需向甲方支付违约金、赔偿金、或其他应付费用等款项的，乙方必须向甲方支付完相关款项后，甲方才根据本合同向乙方支付服务费。若因乙方未能支付前述费用，影响项目实施的，甲方有权直接从履约担保或未付服务费款项中直接扣除，且乙方必须按照</w:t>
      </w:r>
      <w:r>
        <w:rPr>
          <w:rFonts w:hint="eastAsia" w:ascii="宋体" w:hAnsi="宋体" w:eastAsia="宋体" w:cs="宋体"/>
          <w:b/>
          <w:bCs/>
          <w:sz w:val="21"/>
          <w:szCs w:val="21"/>
          <w:u w:val="single"/>
        </w:rPr>
        <w:t>扣除前述费用前的</w:t>
      </w:r>
      <w:r>
        <w:rPr>
          <w:rFonts w:hint="eastAsia" w:ascii="宋体" w:hAnsi="宋体" w:eastAsia="宋体" w:cs="宋体"/>
          <w:b/>
          <w:bCs/>
          <w:sz w:val="21"/>
          <w:szCs w:val="21"/>
          <w:u w:val="single"/>
          <w:lang w:val="en-US" w:eastAsia="zh-CN"/>
        </w:rPr>
        <w:t>污泥脱水减量处理费</w:t>
      </w:r>
      <w:r>
        <w:rPr>
          <w:rFonts w:hint="eastAsia" w:ascii="宋体" w:hAnsi="宋体" w:eastAsia="宋体" w:cs="宋体"/>
          <w:sz w:val="21"/>
          <w:szCs w:val="21"/>
        </w:rPr>
        <w:t>（销售额）开具等额、合法、有效的增值税专用发票。</w:t>
      </w:r>
    </w:p>
    <w:p w14:paraId="00ED669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2、支付方式：</w:t>
      </w:r>
    </w:p>
    <w:p w14:paraId="3041ABA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甲方通过银行承兑汇票或商业承兑汇票方式向乙方支付处理服务费。乙方应每月15日前，向甲方提交以下文件及单据等有效的请款凭证（所有资料需加盖乙方公章），申请支付上月污泥脱水减量化服务费，甲方收到请款凭证后在45个工作日内完成核实工作，核实后向乙方支付请款金额的50%，采用银行承兑汇票或商业承兑汇票的方式支付，付款期限不超过3个月。</w:t>
      </w:r>
    </w:p>
    <w:p w14:paraId="45E80A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A.请款报告；</w:t>
      </w:r>
    </w:p>
    <w:p w14:paraId="41AB633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B.</w:t>
      </w:r>
      <w:r>
        <w:rPr>
          <w:rFonts w:hint="eastAsia" w:ascii="宋体" w:hAnsi="宋体" w:eastAsia="宋体" w:cs="宋体"/>
          <w:sz w:val="21"/>
          <w:szCs w:val="21"/>
          <w:lang w:val="en-US" w:eastAsia="zh-CN"/>
        </w:rPr>
        <w:t>请款月份污泥脱水减量处理费100%的足</w:t>
      </w:r>
      <w:r>
        <w:rPr>
          <w:rFonts w:hint="eastAsia" w:ascii="宋体" w:hAnsi="宋体" w:eastAsia="宋体" w:cs="宋体"/>
          <w:sz w:val="21"/>
          <w:szCs w:val="21"/>
        </w:rPr>
        <w:t xml:space="preserve">额、合法、有效的增值税专用发票（收款方、出具票据方、合同受托方均需与乙方名称一致，付款方为东莞市众源环境投资有限公司）； </w:t>
      </w:r>
    </w:p>
    <w:p w14:paraId="4490C7C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C.《结算台账》。</w:t>
      </w:r>
    </w:p>
    <w:p w14:paraId="6FD2D54F">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 剩余款项将在第一期款项支付后三个月内，</w:t>
      </w:r>
      <w:r>
        <w:rPr>
          <w:rFonts w:hint="eastAsia" w:ascii="宋体" w:hAnsi="宋体" w:eastAsia="宋体" w:cs="宋体"/>
          <w:sz w:val="21"/>
          <w:szCs w:val="21"/>
          <w:lang w:val="en-US" w:eastAsia="zh-CN"/>
        </w:rPr>
        <w:t>且甲方</w:t>
      </w:r>
      <w:r>
        <w:rPr>
          <w:rFonts w:hint="eastAsia" w:ascii="宋体" w:hAnsi="宋体" w:eastAsia="宋体" w:cs="宋体"/>
          <w:sz w:val="21"/>
          <w:szCs w:val="21"/>
        </w:rPr>
        <w:t>扣除乙方根据本合同约定需向甲方支付的违约金、赔偿金、或其他应付费用等款项后，</w:t>
      </w:r>
      <w:r>
        <w:rPr>
          <w:rFonts w:hint="eastAsia" w:ascii="宋体" w:hAnsi="宋体" w:eastAsia="宋体" w:cs="宋体"/>
          <w:sz w:val="21"/>
          <w:szCs w:val="21"/>
          <w:lang w:val="en-US" w:eastAsia="zh-CN"/>
        </w:rPr>
        <w:t>通过</w:t>
      </w:r>
      <w:r>
        <w:rPr>
          <w:rFonts w:hint="eastAsia" w:ascii="宋体" w:hAnsi="宋体" w:eastAsia="宋体" w:cs="宋体"/>
          <w:sz w:val="21"/>
          <w:szCs w:val="21"/>
        </w:rPr>
        <w:t>银行转账或汇款方式向乙方支付。</w:t>
      </w:r>
    </w:p>
    <w:p w14:paraId="3714DC8D">
      <w:pPr>
        <w:pStyle w:val="2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eastAsia="zh-CN"/>
        </w:rPr>
        <w:t>3、</w:t>
      </w:r>
      <w:r>
        <w:rPr>
          <w:rFonts w:hint="eastAsia" w:ascii="宋体" w:hAnsi="宋体" w:eastAsia="宋体" w:cs="宋体"/>
          <w:b w:val="0"/>
          <w:bCs w:val="0"/>
          <w:kern w:val="0"/>
          <w:sz w:val="21"/>
          <w:szCs w:val="21"/>
          <w:lang w:val="en-US"/>
        </w:rPr>
        <w:t>乙方收款账号信息</w:t>
      </w:r>
    </w:p>
    <w:p w14:paraId="2FAE3E51">
      <w:pPr>
        <w:pStyle w:val="2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（1）乙方转账或汇款收款账户：</w:t>
      </w:r>
    </w:p>
    <w:p w14:paraId="73083B38">
      <w:pPr>
        <w:pStyle w:val="2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账号户名：</w:t>
      </w:r>
    </w:p>
    <w:p w14:paraId="4676D294">
      <w:pPr>
        <w:pStyle w:val="2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开户银行名称：</w:t>
      </w:r>
    </w:p>
    <w:p w14:paraId="769B6FE4">
      <w:pPr>
        <w:pStyle w:val="23"/>
        <w:autoSpaceDE/>
        <w:autoSpaceDN/>
        <w:adjustRightInd/>
        <w:snapToGrid w:val="0"/>
        <w:spacing w:after="0" w:line="360" w:lineRule="auto"/>
        <w:ind w:right="0" w:firstLineChars="200"/>
        <w:jc w:val="both"/>
        <w:outlineLvl w:val="9"/>
        <w:rPr>
          <w:rFonts w:hint="eastAsia" w:ascii="宋体" w:hAnsi="宋体" w:eastAsia="宋体" w:cs="宋体"/>
          <w:b w:val="0"/>
          <w:bCs w:val="0"/>
          <w:kern w:val="2"/>
          <w:sz w:val="21"/>
          <w:szCs w:val="21"/>
          <w:lang w:val="en-US" w:eastAsia="zh-CN"/>
        </w:rPr>
      </w:pPr>
      <w:r>
        <w:rPr>
          <w:rFonts w:hint="eastAsia" w:ascii="宋体" w:hAnsi="宋体" w:eastAsia="宋体" w:cs="宋体"/>
          <w:b w:val="0"/>
          <w:bCs w:val="0"/>
          <w:kern w:val="2"/>
          <w:sz w:val="21"/>
          <w:szCs w:val="21"/>
          <w:lang w:val="en-US" w:eastAsia="zh-CN"/>
        </w:rPr>
        <w:t>银行账号：</w:t>
      </w:r>
    </w:p>
    <w:p w14:paraId="5B5CAE1E">
      <w:pPr>
        <w:pStyle w:val="2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（2）乙方汇票账号：</w:t>
      </w:r>
    </w:p>
    <w:p w14:paraId="506D66DA">
      <w:pPr>
        <w:pStyle w:val="2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账号户名：</w:t>
      </w:r>
    </w:p>
    <w:p w14:paraId="20DBC7DC">
      <w:pPr>
        <w:pStyle w:val="22"/>
        <w:snapToGrid w:val="0"/>
        <w:spacing w:line="360" w:lineRule="auto"/>
        <w:ind w:firstLine="420" w:firstLineChars="200"/>
        <w:jc w:val="both"/>
        <w:outlineLvl w:val="9"/>
        <w:rPr>
          <w:rFonts w:hint="eastAsia" w:ascii="宋体" w:hAnsi="宋体" w:eastAsia="宋体" w:cs="宋体"/>
          <w:b w:val="0"/>
          <w:bCs w:val="0"/>
          <w:kern w:val="0"/>
          <w:sz w:val="21"/>
          <w:szCs w:val="21"/>
          <w:lang w:val="en-US"/>
        </w:rPr>
      </w:pPr>
      <w:r>
        <w:rPr>
          <w:rFonts w:hint="eastAsia" w:ascii="宋体" w:hAnsi="宋体" w:eastAsia="宋体" w:cs="宋体"/>
          <w:b w:val="0"/>
          <w:bCs w:val="0"/>
          <w:kern w:val="0"/>
          <w:sz w:val="21"/>
          <w:szCs w:val="21"/>
          <w:lang w:val="en-US"/>
        </w:rPr>
        <w:t>开户银行名称：</w:t>
      </w:r>
    </w:p>
    <w:p w14:paraId="2BB10EE8">
      <w:pPr>
        <w:snapToGrid w:val="0"/>
        <w:spacing w:line="360" w:lineRule="auto"/>
        <w:ind w:firstLine="411" w:firstLineChars="196"/>
        <w:outlineLvl w:val="9"/>
        <w:rPr>
          <w:rFonts w:hint="eastAsia" w:ascii="宋体" w:hAnsi="宋体" w:eastAsia="宋体" w:cs="宋体"/>
          <w:b/>
          <w:sz w:val="21"/>
          <w:szCs w:val="21"/>
        </w:rPr>
      </w:pPr>
      <w:r>
        <w:rPr>
          <w:rFonts w:hint="eastAsia" w:ascii="宋体" w:hAnsi="宋体" w:eastAsia="宋体" w:cs="宋体"/>
          <w:b w:val="0"/>
          <w:bCs w:val="0"/>
          <w:kern w:val="0"/>
          <w:sz w:val="21"/>
          <w:szCs w:val="21"/>
          <w:lang w:val="en-US"/>
        </w:rPr>
        <w:t>银行账号：</w:t>
      </w:r>
    </w:p>
    <w:p w14:paraId="39A650E0">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第五条 技术服务标准</w:t>
      </w:r>
    </w:p>
    <w:p w14:paraId="7CE7C997">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1、污泥处理标准</w:t>
      </w:r>
    </w:p>
    <w:p w14:paraId="6647293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（1）脱水减量化处理后的半干化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含水率应不高于55%。考虑到脱水减量化的半干化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后端送砖厂、纸厂、电厂处置的要求，乙方需采取措施将半干化</w:t>
      </w:r>
      <w:r>
        <w:rPr>
          <w:rFonts w:hint="eastAsia" w:ascii="宋体" w:hAnsi="宋体" w:eastAsia="宋体" w:cs="宋体"/>
          <w:sz w:val="21"/>
          <w:szCs w:val="21"/>
          <w:lang w:val="en-US" w:eastAsia="zh-CN"/>
        </w:rPr>
        <w:t>泥粉</w:t>
      </w:r>
      <w:r>
        <w:rPr>
          <w:rFonts w:hint="eastAsia" w:ascii="宋体" w:hAnsi="宋体" w:eastAsia="宋体" w:cs="宋体"/>
          <w:sz w:val="21"/>
          <w:szCs w:val="21"/>
        </w:rPr>
        <w:t>进行适当破碎。</w:t>
      </w:r>
    </w:p>
    <w:p w14:paraId="21EF682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（2）为保证污泥减量效果，不允许添加石灰以及含石灰的调理剂。</w:t>
      </w:r>
    </w:p>
    <w:p w14:paraId="32DF1B5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（3）乙方需做好调理剂等添加药剂的出入库单（或进出场记录）或用量记录，定期提供给甲方，以备各级政府主管部门检查、核查。</w:t>
      </w:r>
    </w:p>
    <w:p w14:paraId="67C2C3B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2、配套设施排放要求</w:t>
      </w:r>
    </w:p>
    <w:p w14:paraId="0F3D9D7F">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（1）乙方减量化设备设施一般建设在污水处理厂污泥脱水车间或附近可利用空地，具体根据各处理点实际情况及污泥产生单位意见确定。</w:t>
      </w:r>
    </w:p>
    <w:p w14:paraId="213CCFC0">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（2）减量化处理过程中产生的废水须回流至污水处理厂指定地方，不得直接外排。</w:t>
      </w:r>
    </w:p>
    <w:p w14:paraId="09FB8E07">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乙方应确保</w:t>
      </w:r>
      <w:r>
        <w:rPr>
          <w:rFonts w:hint="eastAsia" w:ascii="宋体" w:hAnsi="宋体" w:eastAsia="宋体" w:cs="宋体"/>
          <w:sz w:val="21"/>
          <w:szCs w:val="21"/>
        </w:rPr>
        <w:t>减量处理项目产生的臭气、噪声不引起投诉。如出现相关投诉或</w:t>
      </w:r>
      <w:r>
        <w:rPr>
          <w:rFonts w:hint="eastAsia" w:ascii="宋体" w:hAnsi="宋体" w:eastAsia="宋体" w:cs="宋体"/>
          <w:sz w:val="21"/>
          <w:szCs w:val="21"/>
          <w:lang w:val="en-US" w:eastAsia="zh-CN"/>
        </w:rPr>
        <w:t>被</w:t>
      </w:r>
      <w:r>
        <w:rPr>
          <w:rFonts w:hint="eastAsia" w:ascii="宋体" w:hAnsi="宋体" w:eastAsia="宋体" w:cs="宋体"/>
          <w:sz w:val="21"/>
          <w:szCs w:val="21"/>
        </w:rPr>
        <w:t>行政主管部门通知整改时，由乙方负责制定整改方案并限期完成整改工作，产生的相关费用由乙方自行承担。</w:t>
      </w:r>
    </w:p>
    <w:p w14:paraId="7908073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（4）在国家、广东省以及东莞市的相关环保标准调整时，本合同下项目执行的排放标准相应进行调整。</w:t>
      </w:r>
    </w:p>
    <w:p w14:paraId="0BC3934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3、项目服务标准</w:t>
      </w:r>
    </w:p>
    <w:p w14:paraId="60634AB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在合同履行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14:paraId="50EBF88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（2）甲方按现状提供指定范围内的空地。项目用地的“三通一平”由乙方自主负责，若涉及总配电系统、供水管网、供气管网等设施设备改造或加装，所有费用亦由乙方承担，甲方予以配合。</w:t>
      </w:r>
    </w:p>
    <w:p w14:paraId="066DDA9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（3）乙方对各污水处理厂原有道路、绿化等造成损坏，需在甲方限期内恢复原状并承担一切费用。</w:t>
      </w:r>
    </w:p>
    <w:p w14:paraId="25E0353A">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（4）在服务期间，乙方需保证项目设施的外立面简洁美观，设备外观整洁，无明显的破损及渗漏，周边环境整洁，无污泥、污水、泥饼等跑、冒、滴、漏的现象。</w:t>
      </w:r>
    </w:p>
    <w:p w14:paraId="732BAC1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乙方完成合同下项目前置或准备工作后，进入试运行需通知甲方，由甲方对设备设施或项目临时组建成果进行全面考核。乙方应积极配合甲方对项目建设费用、项目运营成本、设备运行效果、设备稳定性、环境影响进行评估。</w:t>
      </w:r>
    </w:p>
    <w:p w14:paraId="556C0D6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（6）由乙方负责半干化泥粉的外运装车工作，装车费用由乙方承担，乙方视现场情况考量是否配备铲车。</w:t>
      </w:r>
    </w:p>
    <w:p w14:paraId="266CA2E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脱水减量化设备设施布置在污水处理厂脱水车间附近，乙方应与甲方充分做好沟通协调，降低对现有脱水车间运行影响。若需要调整现有脱水车间设备运行情况，应提交专项方案，由甲方和污泥产生单位审核同意后实施。</w:t>
      </w:r>
    </w:p>
    <w:p w14:paraId="0240A5F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4、项目管理要求</w:t>
      </w:r>
    </w:p>
    <w:p w14:paraId="417AE26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（1）乙方应严格执行《中华人民共和国安全生产法》、《企业安全生产标准化基本规范》（GB/T 33000-2016）等国家有关安全生产和劳动保护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14:paraId="612CAEF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如因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35C0AA22">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（3）合同期内，乙方的一切活动均须服从甲方的管理要求，接受甲方对本项目实施过程中的监督管理，甲方及其上级主管部门有权随时检查乙方的贮存和处理情况。</w:t>
      </w:r>
    </w:p>
    <w:p w14:paraId="012D55C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14:paraId="2A66EEC3">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（5）合同期内，乙方应对本项目所含各项设施设备进行日常养护、维修、更新改造或重置，以满足项目运营目标之需要，并承担相应费用。</w:t>
      </w:r>
    </w:p>
    <w:p w14:paraId="2A132C7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6）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14:paraId="17535642">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（7）如是可预见性的计划外停产，乙方应提前书面通知甲方并经甲方同意。如是不可预见性的任何计划外停产时，乙方应立即通知甲方并采取有效的补救措施，且须在停产后的2日内向甲方提交书面的情况说明。</w:t>
      </w:r>
    </w:p>
    <w:p w14:paraId="10E7CB3E">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（8）乙方自行负责合同履行期间管理人员食宿等的办公生活保障。</w:t>
      </w:r>
    </w:p>
    <w:p w14:paraId="1FED823F">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第六条 双方的权利与义务</w:t>
      </w:r>
    </w:p>
    <w:p w14:paraId="05E46A6D">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1、甲方权利和义务</w:t>
      </w:r>
    </w:p>
    <w:p w14:paraId="43155FD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（1）审核乙方提交的污泥脱水减量化服务方案进行备案（但不免除乙方应当承担的合同责任）。</w:t>
      </w:r>
    </w:p>
    <w:p w14:paraId="4694B15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（2）与乙方共同确认污泥减量化实际产量。</w:t>
      </w:r>
    </w:p>
    <w:p w14:paraId="6E711F9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14:paraId="55F8676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（4）监督、指导乙方进行运营管理工作，及时纠正乙方出现问题，甲方有权要求乙方对不符合要求的问题提出书面整改意见，乙方应在甲方规定的时间内完成整改。</w:t>
      </w:r>
    </w:p>
    <w:p w14:paraId="11BEA9B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合同履行期内，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行期内，乙方同意不因相关执行标准的调整而要求甲方增加费用或要求补偿。</w:t>
      </w:r>
    </w:p>
    <w:p w14:paraId="5E9FF58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（6）甲方按照既定的审批支付程序，及时办理服务费的支付手续。</w:t>
      </w:r>
    </w:p>
    <w:p w14:paraId="5DD656D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（7）甲方有权根据其他污水处理厂处理需求或水环境、水污染治理、通沟、自来水厂排泥水处理等其他项目污泥运输至本合同下项目由乙方减量化处理。</w:t>
      </w:r>
    </w:p>
    <w:p w14:paraId="20188D7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）若乙方污泥减量化处理能力不能满足甲方污泥脱水减量化处理需求或乙方未能根据承诺按时投产或达标处理的，甲方有权</w:t>
      </w:r>
      <w:r>
        <w:rPr>
          <w:rFonts w:hint="eastAsia" w:ascii="宋体" w:hAnsi="宋体" w:eastAsia="宋体" w:cs="宋体"/>
          <w:sz w:val="21"/>
          <w:szCs w:val="21"/>
          <w:lang w:val="en-US" w:eastAsia="zh-CN"/>
        </w:rPr>
        <w:t>要求乙方通过增加脱水减量化设备、技术升级或改造等措施以满足污泥脱水减量化处理需求，且甲方有权</w:t>
      </w:r>
      <w:r>
        <w:rPr>
          <w:rFonts w:hint="eastAsia" w:ascii="宋体" w:hAnsi="宋体" w:eastAsia="宋体" w:cs="宋体"/>
          <w:sz w:val="21"/>
          <w:szCs w:val="21"/>
        </w:rPr>
        <w:t>另行委托其他单位实施脱水减量化处理，甲方不承担任何违约责任。</w:t>
      </w:r>
    </w:p>
    <w:p w14:paraId="006BA67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）合同文件及附件内容约定的甲方其他权利义务。</w:t>
      </w:r>
    </w:p>
    <w:p w14:paraId="5BFB6BA7">
      <w:pPr>
        <w:tabs>
          <w:tab w:val="left" w:pos="142"/>
        </w:tabs>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2、乙方权利和义务</w:t>
      </w:r>
    </w:p>
    <w:p w14:paraId="46B7A6E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（1）乙方应按甲方的要求连续不间断的接收处理污泥，确保污水处理厂污泥脱水减量化处理服务项目能按设计规模满负荷运行</w:t>
      </w:r>
      <w:r>
        <w:rPr>
          <w:rFonts w:hint="eastAsia" w:ascii="宋体" w:hAnsi="宋体" w:eastAsia="宋体" w:cs="宋体"/>
          <w:sz w:val="21"/>
          <w:szCs w:val="21"/>
          <w:lang w:val="en-US" w:eastAsia="zh-CN"/>
        </w:rPr>
        <w:t>或满足污泥处理量增加、泥质变化等情况下的污水处理厂污泥脱水减量化处理服务需求</w:t>
      </w:r>
      <w:r>
        <w:rPr>
          <w:rFonts w:hint="eastAsia" w:ascii="宋体" w:hAnsi="宋体" w:eastAsia="宋体" w:cs="宋体"/>
          <w:sz w:val="21"/>
          <w:szCs w:val="21"/>
          <w:lang w:eastAsia="zh-CN"/>
        </w:rPr>
        <w:t>，</w:t>
      </w:r>
      <w:r>
        <w:rPr>
          <w:rFonts w:hint="eastAsia" w:ascii="宋体" w:hAnsi="宋体" w:eastAsia="宋体" w:cs="宋体"/>
          <w:sz w:val="21"/>
          <w:szCs w:val="21"/>
          <w:highlight w:val="none"/>
          <w:lang w:val="en-US" w:eastAsia="zh-CN"/>
        </w:rPr>
        <w:t>若乙方污泥减量化处理能力不能满足甲方污泥脱水减量化处理需求时</w:t>
      </w:r>
      <w:r>
        <w:rPr>
          <w:rFonts w:hint="eastAsia" w:ascii="宋体" w:hAnsi="宋体" w:eastAsia="宋体" w:cs="宋体"/>
          <w:sz w:val="21"/>
          <w:szCs w:val="21"/>
          <w:lang w:val="en-US" w:eastAsia="zh-CN"/>
        </w:rPr>
        <w:t>，乙方有义务通过增加脱水减量化设备、技术升级或改造等措施提高产能，以满足污泥脱水减量化处理需求</w:t>
      </w:r>
      <w:r>
        <w:rPr>
          <w:rFonts w:hint="eastAsia" w:ascii="宋体" w:hAnsi="宋体" w:eastAsia="宋体" w:cs="宋体"/>
          <w:sz w:val="21"/>
          <w:szCs w:val="21"/>
        </w:rPr>
        <w:t>。污泥减量化处理过程中，</w:t>
      </w:r>
      <w:r>
        <w:rPr>
          <w:rFonts w:hint="eastAsia" w:ascii="宋体" w:hAnsi="宋体" w:eastAsia="宋体" w:cs="宋体"/>
          <w:sz w:val="21"/>
          <w:szCs w:val="21"/>
          <w:lang w:val="en-US" w:eastAsia="zh-CN"/>
        </w:rPr>
        <w:t>乙方应</w:t>
      </w:r>
      <w:r>
        <w:rPr>
          <w:rFonts w:hint="eastAsia" w:ascii="宋体" w:hAnsi="宋体" w:eastAsia="宋体" w:cs="宋体"/>
          <w:sz w:val="21"/>
          <w:szCs w:val="21"/>
        </w:rPr>
        <w:t>同步操作和运行新增的除臭、污水处理等环境保护设施，确保污泥处理系统满足国家相关法律、法规、技术标准的要求。</w:t>
      </w:r>
    </w:p>
    <w:p w14:paraId="4AE5F3A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2）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14:paraId="65BD838F">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3）乙方应严格执行本合同服务范围内甲方、污泥产生单位及污水处理厂的管理规章制度，并根据甲方的生产调度安排，进行本合同项目的污泥脱水的生产运营，不能对项目服务范围内的污水处理厂的正常生产运营、出水达标造成影响。</w:t>
      </w:r>
    </w:p>
    <w:p w14:paraId="63E7904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4）在合同履行期间，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14:paraId="37C8EB2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（5）建立及完善符合本项目实施所要求的内部管理制度，如因质量问题、操作不当或乙方自身管理原因而造成一切责任及经济损失由乙方承担。</w:t>
      </w:r>
    </w:p>
    <w:p w14:paraId="22474D1B">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（6）在服务范围内按规范操作运行各处理系统，并做好各处理系统及配套设施的保护工作。若因乙方防护不力而造成损失，一切责任及经济损失由乙方承担。</w:t>
      </w:r>
    </w:p>
    <w:p w14:paraId="5426598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7）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14:paraId="1951FA19">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（8）严格遵守国家法律、法规，协助甲方做好社会治安综合管理工作等工作。乙方员工有违法乱纪的行为，乙方应承担一切经济责任和法律责任。</w:t>
      </w:r>
    </w:p>
    <w:p w14:paraId="2486B7A5">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9）甲方上级单位或市有关部门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14:paraId="69DF3256">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（10）乙方应在每月结束后5日内根据每月工作实况向甲方提供按本合同要求建立的项目</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生产台账</w:t>
      </w:r>
      <w:r>
        <w:rPr>
          <w:rFonts w:hint="eastAsia" w:ascii="宋体" w:hAnsi="宋体" w:eastAsia="宋体" w:cs="宋体"/>
          <w:sz w:val="21"/>
          <w:szCs w:val="21"/>
          <w:lang w:eastAsia="zh-CN"/>
        </w:rPr>
        <w:t>》</w:t>
      </w:r>
      <w:r>
        <w:rPr>
          <w:rFonts w:hint="eastAsia" w:ascii="宋体" w:hAnsi="宋体" w:eastAsia="宋体" w:cs="宋体"/>
          <w:sz w:val="21"/>
          <w:szCs w:val="21"/>
        </w:rPr>
        <w:t>，并协助甲方做好各级政府主管部门的参观检查工作。</w:t>
      </w:r>
    </w:p>
    <w:p w14:paraId="399553F1">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11）在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11DDE80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（12）禁止乙方将全部的权利义务转让给第三人；未经甲方书面同意，乙方不得将本合同项下乙方的部分权利义务</w:t>
      </w:r>
      <w:r>
        <w:rPr>
          <w:rFonts w:hint="eastAsia" w:ascii="宋体" w:hAnsi="宋体" w:eastAsia="宋体" w:cs="宋体"/>
          <w:sz w:val="21"/>
          <w:szCs w:val="21"/>
          <w:lang w:val="en-US" w:eastAsia="zh-CN"/>
        </w:rPr>
        <w:t>分包</w:t>
      </w:r>
      <w:r>
        <w:rPr>
          <w:rFonts w:hint="eastAsia" w:ascii="宋体" w:hAnsi="宋体" w:eastAsia="宋体" w:cs="宋体"/>
          <w:sz w:val="21"/>
          <w:szCs w:val="21"/>
        </w:rPr>
        <w:t>给第三人。</w:t>
      </w:r>
    </w:p>
    <w:p w14:paraId="76BA380E">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（13）在污泥接收及处理过程中，因乙方自身原因引起以及乙方在甲方厂区内外造成污泥二次污染事故，均由乙方承担相应的责任，如给甲方造成损失的，还应当承担全部赔偿责任。</w:t>
      </w:r>
    </w:p>
    <w:p w14:paraId="3240CC24">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（14）严格按照符合国家、省及东莞市有关规定的污泥处理方式、工艺及甲方的要求按时、保质完成污泥的减量化处理工作。</w:t>
      </w:r>
    </w:p>
    <w:p w14:paraId="41CD04A0">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（15）乙方施工进场前应与甲方签订《安全生产管理协议》，明确双方安全工作职责，乙方需配合甲方的安全生产检查以及应急演练等。</w:t>
      </w:r>
    </w:p>
    <w:p w14:paraId="630C9D28">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（16）乙方在污泥减量化处理过程中</w:t>
      </w:r>
      <w:r>
        <w:rPr>
          <w:rFonts w:hint="eastAsia" w:ascii="宋体" w:hAnsi="宋体" w:eastAsia="宋体" w:cs="宋体"/>
          <w:sz w:val="21"/>
          <w:szCs w:val="21"/>
          <w:lang w:val="en-US" w:eastAsia="zh-CN"/>
        </w:rPr>
        <w:t>不允许添加石灰以及含石灰的调理剂</w:t>
      </w:r>
      <w:r>
        <w:rPr>
          <w:rFonts w:hint="eastAsia" w:ascii="宋体" w:hAnsi="宋体" w:eastAsia="宋体" w:cs="宋体"/>
          <w:sz w:val="21"/>
          <w:szCs w:val="21"/>
        </w:rPr>
        <w:t>。</w:t>
      </w:r>
    </w:p>
    <w:p w14:paraId="51AAE6AE">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）甲方通过银行承兑汇票或商业承兑汇票支付处理服务费时，乙方还应根据相关法律法规的规定履行以下义务：</w:t>
      </w:r>
    </w:p>
    <w:p w14:paraId="761BB196">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（A）乙方不得更改票据金额、日期、收款人名称，更改的票据无效。对票据上的其他记载事项，甲方可以更改，更改时应当由甲方签章证明。</w:t>
      </w:r>
    </w:p>
    <w:p w14:paraId="0C2FC8E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（B）乙方应自汇票到期前十日内持汇票向汇票指定银行提示付款。乙方向银行申请汇票贴现的，贴现利息以及相关手续费用等均由乙方自行承担，甲方无需承担因此产生的利息、手续费等任何费用。</w:t>
      </w:r>
    </w:p>
    <w:p w14:paraId="40380BFD">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（C）乙方获得付款的，应当在汇票上签收，并将汇票交给银行。乙方委托银行收款的，受委托的银行将代收的汇票金额转账收入乙方账户的，视同签收。</w:t>
      </w:r>
    </w:p>
    <w:p w14:paraId="376D606B">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D）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103552E0">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（E）本合同项下的汇票以本合同的真实合法交易关系为基础，乙方不履行合同约定义务的，甲方有权拒绝向乙方付款。</w:t>
      </w:r>
    </w:p>
    <w:p w14:paraId="082EC60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（F）乙方不得提供伪造或变造的票据向银行提示付款，否则，乙方除需依法承担相应的法律责任外，甲方有权追究乙方违约责任，并要求乙方支付1万元违约金，如甲方因此遭受损失的，乙方还应予全额赔偿。</w:t>
      </w:r>
    </w:p>
    <w:p w14:paraId="67BE37A7">
      <w:pPr>
        <w:widowControl/>
        <w:snapToGrid w:val="0"/>
        <w:spacing w:line="360" w:lineRule="auto"/>
        <w:ind w:firstLine="420" w:firstLineChars="200"/>
        <w:outlineLvl w:val="9"/>
        <w:rPr>
          <w:rFonts w:hint="eastAsia" w:ascii="宋体" w:hAnsi="宋体" w:eastAsia="宋体" w:cs="宋体"/>
          <w:b w:val="0"/>
          <w:bCs w:val="0"/>
          <w:sz w:val="21"/>
          <w:szCs w:val="21"/>
          <w:u w:val="none"/>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18</w:t>
      </w:r>
      <w:r>
        <w:rPr>
          <w:rFonts w:hint="eastAsia" w:ascii="宋体" w:hAnsi="宋体" w:eastAsia="宋体" w:cs="宋体"/>
          <w:sz w:val="21"/>
          <w:szCs w:val="21"/>
        </w:rPr>
        <w:t>）</w:t>
      </w:r>
      <w:r>
        <w:rPr>
          <w:rFonts w:hint="eastAsia" w:ascii="宋体" w:hAnsi="宋体" w:eastAsia="宋体" w:cs="宋体"/>
          <w:sz w:val="21"/>
          <w:szCs w:val="21"/>
          <w:lang w:val="en-US" w:eastAsia="zh-CN"/>
        </w:rPr>
        <w:t>合同履行期间，若</w:t>
      </w:r>
      <w:r>
        <w:rPr>
          <w:rFonts w:hint="eastAsia" w:ascii="宋体" w:hAnsi="宋体" w:eastAsia="宋体" w:cs="宋体"/>
          <w:sz w:val="21"/>
          <w:szCs w:val="21"/>
        </w:rPr>
        <w:t>污水处理厂要求支付污泥减量化服务过程中的用水、用电、</w:t>
      </w:r>
      <w:r>
        <w:rPr>
          <w:rFonts w:hint="eastAsia" w:ascii="宋体" w:hAnsi="宋体" w:eastAsia="宋体" w:cs="宋体"/>
          <w:sz w:val="21"/>
          <w:szCs w:val="21"/>
          <w:lang w:val="en-US" w:eastAsia="zh-CN"/>
        </w:rPr>
        <w:t>生产过程中</w:t>
      </w:r>
      <w:r>
        <w:rPr>
          <w:rFonts w:hint="eastAsia" w:ascii="宋体" w:hAnsi="宋体" w:eastAsia="宋体" w:cs="宋体"/>
          <w:sz w:val="21"/>
          <w:szCs w:val="21"/>
        </w:rPr>
        <w:t>产生的废水处理费</w:t>
      </w:r>
      <w:r>
        <w:rPr>
          <w:rFonts w:hint="eastAsia" w:ascii="宋体" w:hAnsi="宋体" w:eastAsia="宋体" w:cs="宋体"/>
          <w:sz w:val="21"/>
          <w:szCs w:val="21"/>
          <w:lang w:val="en-US" w:eastAsia="zh-CN"/>
        </w:rPr>
        <w:t>的</w:t>
      </w:r>
      <w:r>
        <w:rPr>
          <w:rFonts w:hint="eastAsia" w:ascii="宋体" w:hAnsi="宋体" w:eastAsia="宋体" w:cs="宋体"/>
          <w:sz w:val="21"/>
          <w:szCs w:val="21"/>
        </w:rPr>
        <w:t>，</w:t>
      </w:r>
      <w:r>
        <w:rPr>
          <w:rFonts w:hint="eastAsia" w:ascii="宋体" w:hAnsi="宋体" w:eastAsia="宋体" w:cs="宋体"/>
          <w:sz w:val="21"/>
          <w:szCs w:val="21"/>
          <w:lang w:val="en-US" w:eastAsia="zh-CN"/>
        </w:rPr>
        <w:t>费用由乙方承担，并按照污水处理厂的要求支付</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甲方无需向乙方补偿该部分费用，乙方</w:t>
      </w:r>
      <w:r>
        <w:rPr>
          <w:rFonts w:hint="eastAsia" w:ascii="宋体" w:hAnsi="宋体" w:eastAsia="宋体" w:cs="宋体"/>
          <w:b w:val="0"/>
          <w:bCs w:val="0"/>
          <w:sz w:val="21"/>
          <w:szCs w:val="21"/>
          <w:u w:val="none"/>
        </w:rPr>
        <w:t>同意放弃向</w:t>
      </w:r>
      <w:r>
        <w:rPr>
          <w:rFonts w:hint="eastAsia" w:ascii="宋体" w:hAnsi="宋体" w:eastAsia="宋体" w:cs="宋体"/>
          <w:b w:val="0"/>
          <w:bCs w:val="0"/>
          <w:sz w:val="21"/>
          <w:szCs w:val="21"/>
          <w:u w:val="none"/>
          <w:lang w:val="en-US" w:eastAsia="zh-CN"/>
        </w:rPr>
        <w:t>甲方</w:t>
      </w:r>
      <w:r>
        <w:rPr>
          <w:rFonts w:hint="eastAsia" w:ascii="宋体" w:hAnsi="宋体" w:eastAsia="宋体" w:cs="宋体"/>
          <w:b w:val="0"/>
          <w:bCs w:val="0"/>
          <w:sz w:val="21"/>
          <w:szCs w:val="21"/>
          <w:u w:val="none"/>
        </w:rPr>
        <w:t>追讨任何费用或主张任何权利</w:t>
      </w:r>
      <w:r>
        <w:rPr>
          <w:rFonts w:hint="eastAsia" w:ascii="宋体" w:hAnsi="宋体" w:eastAsia="宋体" w:cs="宋体"/>
          <w:b w:val="0"/>
          <w:bCs w:val="0"/>
          <w:sz w:val="21"/>
          <w:szCs w:val="21"/>
          <w:u w:val="none"/>
          <w:lang w:eastAsia="zh-CN"/>
        </w:rPr>
        <w:t>。</w:t>
      </w:r>
    </w:p>
    <w:p w14:paraId="3756559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19</w:t>
      </w:r>
      <w:r>
        <w:rPr>
          <w:rFonts w:hint="eastAsia" w:ascii="宋体" w:hAnsi="宋体" w:eastAsia="宋体" w:cs="宋体"/>
          <w:sz w:val="21"/>
          <w:szCs w:val="21"/>
        </w:rPr>
        <w:t>）合同文件及附件内容约定的乙方其他权利义务。</w:t>
      </w:r>
    </w:p>
    <w:p w14:paraId="1FE1001B">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第七条 履约担保</w:t>
      </w:r>
    </w:p>
    <w:p w14:paraId="3E7B8E92">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1、乙方应当在规定的时间内向甲方提供履约担保，履约担保形式及金额由乙方从以下方式中任选一种：</w:t>
      </w:r>
    </w:p>
    <w:p w14:paraId="6866A0EF">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履约保证金（银行转账形式）金额为人民币</w:t>
      </w:r>
      <w:r>
        <w:rPr>
          <w:rFonts w:hint="eastAsia" w:ascii="宋体" w:hAnsi="宋体" w:eastAsia="宋体" w:cs="宋体"/>
          <w:color w:val="000000"/>
          <w:sz w:val="21"/>
          <w:szCs w:val="21"/>
          <w:u w:val="single"/>
        </w:rPr>
        <w:t xml:space="preserve">      。</w:t>
      </w:r>
    </w:p>
    <w:p w14:paraId="5D76244B">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银行不可撤销履约保函（</w:t>
      </w:r>
      <w:r>
        <w:rPr>
          <w:rFonts w:hint="eastAsia" w:ascii="宋体" w:hAnsi="宋体" w:eastAsia="宋体" w:cs="宋体"/>
          <w:kern w:val="0"/>
          <w:sz w:val="21"/>
          <w:szCs w:val="21"/>
        </w:rPr>
        <w:t>或履约保证保险</w:t>
      </w:r>
      <w:r>
        <w:rPr>
          <w:rFonts w:hint="eastAsia" w:ascii="宋体" w:hAnsi="宋体" w:eastAsia="宋体" w:cs="宋体"/>
          <w:color w:val="000000"/>
          <w:sz w:val="21"/>
          <w:szCs w:val="21"/>
        </w:rPr>
        <w:t>）金额为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1E9F6AE8">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 担保公司履约担保书金额为</w:t>
      </w:r>
      <w:r>
        <w:rPr>
          <w:rFonts w:hint="eastAsia" w:ascii="宋体" w:hAnsi="宋体" w:eastAsia="宋体" w:cs="宋体"/>
          <w:color w:val="000000"/>
          <w:sz w:val="21"/>
          <w:szCs w:val="21"/>
          <w:lang w:val="zh-CN"/>
        </w:rPr>
        <w:t>人民币</w:t>
      </w:r>
      <w:r>
        <w:rPr>
          <w:rFonts w:hint="eastAsia" w:ascii="宋体" w:hAnsi="宋体" w:eastAsia="宋体" w:cs="宋体"/>
          <w:color w:val="000000"/>
          <w:sz w:val="21"/>
          <w:szCs w:val="21"/>
          <w:u w:val="single"/>
        </w:rPr>
        <w:t xml:space="preserve">        。</w:t>
      </w:r>
    </w:p>
    <w:p w14:paraId="2CF851D9">
      <w:pPr>
        <w:snapToGrid w:val="0"/>
        <w:spacing w:line="360" w:lineRule="auto"/>
        <w:ind w:firstLine="371" w:firstLineChars="177"/>
        <w:outlineLvl w:val="9"/>
        <w:rPr>
          <w:rFonts w:hint="eastAsia" w:ascii="宋体" w:hAnsi="宋体" w:eastAsia="宋体" w:cs="宋体"/>
          <w:color w:val="000000"/>
          <w:sz w:val="21"/>
          <w:szCs w:val="21"/>
          <w:u w:val="single"/>
        </w:rPr>
      </w:pPr>
      <w:r>
        <w:rPr>
          <w:rFonts w:hint="eastAsia" w:ascii="宋体" w:hAnsi="宋体" w:eastAsia="宋体" w:cs="宋体"/>
          <w:color w:val="000000"/>
          <w:sz w:val="21"/>
          <w:szCs w:val="21"/>
        </w:rPr>
        <w:t>2、履约担保用于补偿甲方因乙方不能完全履行其合同义务而蒙受的损失，如发生下列任一情况时，甲方除有权依合同追究乙方违约责任外，还有权提取履约担保并进行相应处理：</w:t>
      </w:r>
    </w:p>
    <w:p w14:paraId="7D4CF40B">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（1）乙方将本合同项下乙方的权利义务全部转让给第三方，或未经甲方书面同意，乙方将本合同部分权利义务转让给第三方，甲方有权没收其履约担保。</w:t>
      </w:r>
    </w:p>
    <w:p w14:paraId="2907A291">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（2）在合同履行期间，乙方怠于履行合同义务，经甲方通知或要求承担违约金后仍拒不改正的，甲方有权没收或适当扣除其履约担保。</w:t>
      </w:r>
    </w:p>
    <w:p w14:paraId="0632E81E">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合同履行期间，因乙方服务质量问题造成损害、侵权损失（包括但不限于甲方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51127C3D">
      <w:pPr>
        <w:snapToGrid w:val="0"/>
        <w:spacing w:line="360" w:lineRule="auto"/>
        <w:ind w:firstLine="371" w:firstLineChars="177"/>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（4）在合同履行期间，乙方违约产生的违约金、赔偿、罚款或其他应付费用等款项，甲方有权直接从未付服务费中扣除或使用履约担保予以支付。</w:t>
      </w:r>
    </w:p>
    <w:p w14:paraId="2D8D66E3">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（5）合同期内，乙方不能及时完成合同某项义务的，甲方有权使用履约担保用于处理该项工作。</w:t>
      </w:r>
    </w:p>
    <w:p w14:paraId="2A871890">
      <w:pPr>
        <w:snapToGrid w:val="0"/>
        <w:spacing w:line="360" w:lineRule="auto"/>
        <w:ind w:left="374" w:leftChars="156"/>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（6）其他根据本合同约定或法律规定，甲方可使用履约担保的情形。</w:t>
      </w:r>
    </w:p>
    <w:p w14:paraId="7A1195CB">
      <w:pPr>
        <w:snapToGrid w:val="0"/>
        <w:spacing w:line="360" w:lineRule="auto"/>
        <w:ind w:firstLine="424" w:firstLineChars="202"/>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3、在</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，甲方将履约担保余额无息退还乙方。</w:t>
      </w:r>
    </w:p>
    <w:p w14:paraId="470B52A7">
      <w:pPr>
        <w:snapToGrid w:val="0"/>
        <w:spacing w:line="360" w:lineRule="auto"/>
        <w:ind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4、如乙方提供不可撤销银行履约保函或担保公司履约担保书作为履约担保的，不可撤销银行履约保函或担保公司履约担保书应自合同签订之日起到</w:t>
      </w:r>
      <w:r>
        <w:rPr>
          <w:rFonts w:hint="eastAsia" w:ascii="宋体" w:hAnsi="宋体" w:eastAsia="宋体" w:cs="宋体"/>
          <w:sz w:val="21"/>
          <w:szCs w:val="21"/>
        </w:rPr>
        <w:t>期限届满并在</w:t>
      </w:r>
      <w:r>
        <w:rPr>
          <w:rFonts w:hint="eastAsia" w:ascii="宋体" w:hAnsi="宋体" w:eastAsia="宋体" w:cs="宋体"/>
          <w:color w:val="000000"/>
          <w:sz w:val="21"/>
          <w:szCs w:val="21"/>
        </w:rPr>
        <w:t>乙方完成本合同</w:t>
      </w:r>
      <w:r>
        <w:rPr>
          <w:rFonts w:hint="eastAsia" w:ascii="宋体" w:hAnsi="宋体" w:eastAsia="宋体" w:cs="宋体"/>
          <w:sz w:val="21"/>
          <w:szCs w:val="21"/>
        </w:rPr>
        <w:t>的全部服务义务后二十八（28）日内</w:t>
      </w:r>
      <w:r>
        <w:rPr>
          <w:rFonts w:hint="eastAsia" w:ascii="宋体" w:hAnsi="宋体" w:eastAsia="宋体" w:cs="宋体"/>
          <w:color w:val="000000"/>
          <w:sz w:val="21"/>
          <w:szCs w:val="21"/>
        </w:rPr>
        <w:t>保持有效。</w:t>
      </w:r>
    </w:p>
    <w:p w14:paraId="2FF5875C">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sz w:val="21"/>
          <w:szCs w:val="21"/>
        </w:rPr>
        <w:t>5、在合同履行过程中，不论何种原因导致履约担保数额不符合</w:t>
      </w:r>
      <w:r>
        <w:rPr>
          <w:rFonts w:hint="eastAsia" w:ascii="宋体" w:hAnsi="宋体" w:eastAsia="宋体" w:cs="宋体"/>
          <w:sz w:val="21"/>
          <w:szCs w:val="21"/>
          <w:lang w:eastAsia="zh-CN"/>
        </w:rPr>
        <w:t>竞争性磋商文件</w:t>
      </w:r>
      <w:r>
        <w:rPr>
          <w:rFonts w:hint="eastAsia" w:ascii="宋体" w:hAnsi="宋体" w:eastAsia="宋体" w:cs="宋体"/>
          <w:color w:val="000000"/>
          <w:sz w:val="21"/>
          <w:szCs w:val="21"/>
        </w:rPr>
        <w:t>要求的，乙方应当在5日内予以补足。逾期不予补足的，甲方有权按需补足的金额要求乙方承担违约金，并要求乙方限期补足。如乙方仍不补足的，甲方有权单方解除合同。</w:t>
      </w:r>
    </w:p>
    <w:p w14:paraId="6102EDD9">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第八条  违约责任</w:t>
      </w:r>
    </w:p>
    <w:p w14:paraId="463EBD8A">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1、乙方履约过程中，若乙方每迟于一天正式投产的，乙方需向甲方支付违约金，每天违约金为该单项污水处理厂项目污泥脱水减量化设计规模1天（吨）处理量服务费的2倍，即按该单项污水处理厂脱水减量化设施含水率80%污泥设计规模乘以合同含税单价的2倍。</w:t>
      </w:r>
      <w:r>
        <w:rPr>
          <w:rFonts w:hint="eastAsia" w:ascii="宋体" w:hAnsi="宋体" w:eastAsia="宋体" w:cs="宋体"/>
          <w:sz w:val="21"/>
          <w:szCs w:val="21"/>
        </w:rPr>
        <w:t>乙方逾期15日未能</w:t>
      </w:r>
      <w:r>
        <w:rPr>
          <w:rFonts w:hint="eastAsia" w:ascii="宋体" w:hAnsi="宋体" w:eastAsia="宋体" w:cs="宋体"/>
          <w:bCs/>
          <w:sz w:val="21"/>
          <w:szCs w:val="21"/>
        </w:rPr>
        <w:t>具备正式投产条件的</w:t>
      </w:r>
      <w:r>
        <w:rPr>
          <w:rFonts w:hint="eastAsia" w:ascii="宋体" w:hAnsi="宋体" w:eastAsia="宋体" w:cs="宋体"/>
          <w:sz w:val="21"/>
          <w:szCs w:val="21"/>
        </w:rPr>
        <w:t>，在乙方根据前述约定支付违约金外，甲方有权单方解除合同。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116CAADA">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bCs/>
          <w:sz w:val="21"/>
          <w:szCs w:val="21"/>
        </w:rPr>
        <w:t>2、</w:t>
      </w:r>
      <w:r>
        <w:rPr>
          <w:rFonts w:hint="eastAsia" w:ascii="宋体" w:hAnsi="宋体" w:eastAsia="宋体" w:cs="宋体"/>
          <w:sz w:val="21"/>
          <w:szCs w:val="21"/>
        </w:rPr>
        <w:t>乙方在合同约定正式投产之日起7日内，非甲方原因（或非甲方接受的正当理由），乙方未能达到污泥脱水减量化处理点污泥处理规模产能（吨/天，按含水率80%污泥计）</w:t>
      </w:r>
      <w:r>
        <w:rPr>
          <w:rFonts w:hint="eastAsia" w:ascii="宋体" w:hAnsi="宋体" w:eastAsia="宋体" w:cs="宋体"/>
          <w:bCs/>
          <w:sz w:val="21"/>
          <w:szCs w:val="21"/>
        </w:rPr>
        <w:t>的100%</w:t>
      </w:r>
      <w:r>
        <w:rPr>
          <w:rFonts w:hint="eastAsia" w:ascii="宋体" w:hAnsi="宋体" w:eastAsia="宋体" w:cs="宋体"/>
          <w:sz w:val="21"/>
          <w:szCs w:val="21"/>
        </w:rPr>
        <w:t>（含服务期未经甲方书面同意减产、停产导致的产能不足。不含未能正式投产，未能正式投产的违约金金额按本合同第八条第1款的约定执行）。进行污泥减量化处理，</w:t>
      </w:r>
      <w:r>
        <w:rPr>
          <w:rFonts w:hint="eastAsia" w:ascii="宋体" w:hAnsi="宋体" w:eastAsia="宋体" w:cs="宋体"/>
          <w:bCs/>
          <w:sz w:val="21"/>
          <w:szCs w:val="21"/>
        </w:rPr>
        <w:t>甲方有权要求乙方自第8日开始支付3万元/日（含税）的违约金。</w:t>
      </w:r>
      <w:r>
        <w:rPr>
          <w:rFonts w:hint="eastAsia" w:ascii="宋体" w:hAnsi="宋体" w:eastAsia="宋体" w:cs="宋体"/>
          <w:sz w:val="21"/>
          <w:szCs w:val="21"/>
        </w:rPr>
        <w:t>乙方应积极采取措施在甲方限期内提高产能至合同约定量，并承担因此造成甲方损失的全部赔偿责任。乙方在合同约定的投产日期之日起15日内未能达到污泥脱水减量化处理点污泥处理规模产能（且含水率不高于55%），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45C195C3">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rPr>
        <w:t>3、乙方脱水减量化处理后的半干化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当车含水率大于55%不高于60%时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的50%作为违约处置，</w:t>
      </w:r>
      <w:r>
        <w:rPr>
          <w:rFonts w:hint="eastAsia" w:ascii="宋体" w:hAnsi="宋体" w:eastAsia="宋体" w:cs="宋体"/>
          <w:bCs/>
          <w:sz w:val="21"/>
          <w:szCs w:val="21"/>
        </w:rPr>
        <w:t>乙方脱水减量化处理后的半干化</w:t>
      </w:r>
      <w:r>
        <w:rPr>
          <w:rFonts w:hint="eastAsia" w:ascii="宋体" w:hAnsi="宋体" w:eastAsia="宋体" w:cs="宋体"/>
          <w:bCs/>
          <w:sz w:val="21"/>
          <w:szCs w:val="21"/>
          <w:lang w:val="en-US" w:eastAsia="zh-CN"/>
        </w:rPr>
        <w:t>泥粉</w:t>
      </w:r>
      <w:r>
        <w:rPr>
          <w:rFonts w:hint="eastAsia" w:ascii="宋体" w:hAnsi="宋体" w:eastAsia="宋体" w:cs="宋体"/>
          <w:sz w:val="21"/>
          <w:szCs w:val="21"/>
        </w:rPr>
        <w:t>当车含水率大于60%时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甲方将扣减乙方</w:t>
      </w:r>
      <w:r>
        <w:rPr>
          <w:rFonts w:hint="eastAsia" w:ascii="宋体" w:hAnsi="宋体" w:eastAsia="宋体" w:cs="宋体"/>
          <w:sz w:val="21"/>
          <w:szCs w:val="21"/>
        </w:rPr>
        <w:t>当车污泥脱水减量化处理服务费</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合同单价</w:t>
      </w:r>
      <w:r>
        <w:rPr>
          <w:rFonts w:hint="eastAsia" w:ascii="宋体" w:hAnsi="宋体" w:eastAsia="宋体" w:cs="宋体"/>
          <w:sz w:val="21"/>
          <w:szCs w:val="21"/>
        </w:rPr>
        <w:t>×当车结算泥量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作为违约处置。</w:t>
      </w:r>
      <w:r>
        <w:rPr>
          <w:rFonts w:hint="eastAsia" w:ascii="宋体" w:hAnsi="宋体" w:eastAsia="宋体" w:cs="宋体"/>
          <w:sz w:val="21"/>
          <w:szCs w:val="21"/>
        </w:rPr>
        <w:t>甲方按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乙方服务费，不代表甲方对乙方服务工作的认可，</w:t>
      </w:r>
      <w:r>
        <w:rPr>
          <w:rFonts w:hint="eastAsia" w:ascii="宋体" w:hAnsi="宋体" w:eastAsia="宋体" w:cs="宋体"/>
          <w:bCs/>
          <w:sz w:val="21"/>
          <w:szCs w:val="21"/>
        </w:rPr>
        <w:t>若由此给甲方造成损失的，乙方仍应当承担全部赔偿责任</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在本合同履行期间，甲方有权要求乙方采取措施保证减量化处理后的半干化泥粉含水率达标。如单个减量化项目点单个月份内乙方脱水减量化处理后的半干化泥粉含水率不合格次数达到四次以上（含四次）时，甲方</w:t>
      </w:r>
      <w:r>
        <w:rPr>
          <w:rFonts w:hint="eastAsia" w:ascii="宋体" w:hAnsi="宋体" w:eastAsia="宋体" w:cs="宋体"/>
          <w:sz w:val="21"/>
          <w:szCs w:val="21"/>
        </w:rPr>
        <w:t>按</w:t>
      </w:r>
      <w:r>
        <w:rPr>
          <w:rFonts w:hint="eastAsia" w:ascii="宋体" w:hAnsi="宋体" w:eastAsia="宋体" w:cs="宋体"/>
          <w:bCs/>
          <w:sz w:val="21"/>
          <w:szCs w:val="21"/>
        </w:rPr>
        <w:t>前述标准</w:t>
      </w:r>
      <w:r>
        <w:rPr>
          <w:rFonts w:hint="eastAsia" w:ascii="宋体" w:hAnsi="宋体" w:eastAsia="宋体" w:cs="宋体"/>
          <w:sz w:val="21"/>
          <w:szCs w:val="21"/>
          <w:lang w:val="en-US" w:eastAsia="zh-CN"/>
        </w:rPr>
        <w:t>扣减</w:t>
      </w:r>
      <w:r>
        <w:rPr>
          <w:rFonts w:hint="eastAsia" w:ascii="宋体" w:hAnsi="宋体" w:eastAsia="宋体" w:cs="宋体"/>
          <w:sz w:val="21"/>
          <w:szCs w:val="21"/>
        </w:rPr>
        <w:t>乙方服务费</w:t>
      </w:r>
      <w:r>
        <w:rPr>
          <w:rFonts w:hint="eastAsia" w:ascii="宋体" w:hAnsi="宋体" w:eastAsia="宋体" w:cs="宋体"/>
          <w:sz w:val="21"/>
          <w:szCs w:val="21"/>
          <w:lang w:val="en-US" w:eastAsia="zh-CN"/>
        </w:rPr>
        <w:t>后，还有权</w:t>
      </w:r>
      <w:r>
        <w:rPr>
          <w:rFonts w:hint="eastAsia" w:ascii="宋体" w:hAnsi="宋体" w:eastAsia="宋体" w:cs="宋体"/>
          <w:bCs/>
          <w:sz w:val="21"/>
          <w:szCs w:val="21"/>
        </w:rPr>
        <w:t>在乙方</w:t>
      </w:r>
      <w:r>
        <w:rPr>
          <w:rFonts w:hint="eastAsia" w:ascii="宋体" w:hAnsi="宋体" w:eastAsia="宋体" w:cs="宋体"/>
          <w:bCs/>
          <w:sz w:val="21"/>
          <w:szCs w:val="21"/>
          <w:lang w:val="en-US" w:eastAsia="zh-CN"/>
        </w:rPr>
        <w:t>对应单个减量化项目点</w:t>
      </w:r>
      <w:r>
        <w:rPr>
          <w:rFonts w:hint="eastAsia" w:ascii="宋体" w:hAnsi="宋体" w:eastAsia="宋体" w:cs="宋体"/>
          <w:bCs/>
          <w:sz w:val="21"/>
          <w:szCs w:val="21"/>
        </w:rPr>
        <w:t>当月应收取的服务费中扣减</w:t>
      </w:r>
      <w:r>
        <w:rPr>
          <w:rFonts w:hint="eastAsia" w:ascii="宋体" w:hAnsi="宋体" w:eastAsia="宋体" w:cs="宋体"/>
          <w:bCs/>
          <w:sz w:val="21"/>
          <w:szCs w:val="21"/>
          <w:lang w:val="en-US" w:eastAsia="zh-CN"/>
        </w:rPr>
        <w:t>1</w:t>
      </w:r>
      <w:r>
        <w:rPr>
          <w:rFonts w:hint="eastAsia" w:ascii="宋体" w:hAnsi="宋体" w:eastAsia="宋体" w:cs="宋体"/>
          <w:bCs/>
          <w:sz w:val="21"/>
          <w:szCs w:val="21"/>
        </w:rPr>
        <w:t>0%作为违约金。</w:t>
      </w:r>
    </w:p>
    <w:p w14:paraId="615A32B5">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、因乙方减量化处理后的污泥含水率高于55%，导致甲方委外的污泥处置单位拒收，因此发生的往返运输、称重、装车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重新减量化处理</w:t>
      </w:r>
      <w:r>
        <w:rPr>
          <w:rFonts w:hint="eastAsia" w:ascii="宋体" w:hAnsi="宋体" w:eastAsia="宋体" w:cs="宋体"/>
          <w:sz w:val="21"/>
          <w:szCs w:val="21"/>
        </w:rPr>
        <w:t>等相关费用由乙方承担。</w:t>
      </w:r>
      <w:r>
        <w:rPr>
          <w:rFonts w:hint="eastAsia" w:ascii="宋体" w:hAnsi="宋体" w:eastAsia="宋体" w:cs="宋体"/>
          <w:bCs/>
          <w:sz w:val="21"/>
          <w:szCs w:val="21"/>
        </w:rPr>
        <w:t>若由此给甲方造成损失的，乙方还应当承担全部赔偿责任。</w:t>
      </w:r>
    </w:p>
    <w:p w14:paraId="6CF15B7B">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5</w:t>
      </w:r>
      <w:r>
        <w:rPr>
          <w:rFonts w:hint="eastAsia" w:ascii="宋体" w:hAnsi="宋体" w:eastAsia="宋体" w:cs="宋体"/>
          <w:bCs/>
          <w:sz w:val="21"/>
          <w:szCs w:val="21"/>
        </w:rPr>
        <w:t xml:space="preserve">、若乙方在污泥减量化处理过程中添加石灰以及含石灰的调理剂，甲方有权要求乙方立即更换符合本合同约定的调理剂，并有权在乙方当月应收取的服务费中扣减10%作为违约金。 </w:t>
      </w:r>
    </w:p>
    <w:p w14:paraId="0DAC124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6</w:t>
      </w:r>
      <w:r>
        <w:rPr>
          <w:rFonts w:hint="eastAsia" w:ascii="宋体" w:hAnsi="宋体" w:eastAsia="宋体" w:cs="宋体"/>
          <w:bCs/>
          <w:sz w:val="21"/>
          <w:szCs w:val="21"/>
        </w:rPr>
        <w:t>、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按</w:t>
      </w:r>
      <w:r>
        <w:rPr>
          <w:rFonts w:hint="eastAsia" w:ascii="宋体" w:hAnsi="宋体" w:eastAsia="宋体" w:cs="宋体"/>
          <w:bCs/>
          <w:sz w:val="21"/>
          <w:szCs w:val="21"/>
          <w:lang w:val="en-US" w:eastAsia="zh-CN"/>
        </w:rPr>
        <w:t>履约担保等额</w:t>
      </w:r>
      <w:r>
        <w:rPr>
          <w:rFonts w:hint="eastAsia" w:ascii="宋体" w:hAnsi="宋体" w:eastAsia="宋体" w:cs="宋体"/>
          <w:bCs/>
          <w:sz w:val="21"/>
          <w:szCs w:val="21"/>
        </w:rPr>
        <w:t>支付违约金。给甲方造成损失的，乙方还应承担全部赔偿责任。</w:t>
      </w:r>
    </w:p>
    <w:p w14:paraId="2AA0AC3F">
      <w:pPr>
        <w:snapToGrid w:val="0"/>
        <w:spacing w:line="360" w:lineRule="auto"/>
        <w:ind w:left="-19" w:leftChars="-8" w:firstLine="420" w:firstLineChars="200"/>
        <w:outlineLvl w:val="9"/>
        <w:rPr>
          <w:rFonts w:hint="eastAsia" w:ascii="宋体" w:hAnsi="宋体" w:eastAsia="宋体" w:cs="宋体"/>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w:t>
      </w:r>
      <w:r>
        <w:rPr>
          <w:rFonts w:hint="eastAsia" w:ascii="宋体" w:hAnsi="宋体" w:eastAsia="宋体" w:cs="宋体"/>
          <w:sz w:val="21"/>
          <w:szCs w:val="21"/>
        </w:rPr>
        <w:t>若乙方在污泥脱水减量化处理过程中排放的</w:t>
      </w:r>
      <w:r>
        <w:rPr>
          <w:rFonts w:hint="eastAsia" w:ascii="宋体" w:hAnsi="宋体" w:eastAsia="宋体" w:cs="宋体"/>
          <w:bCs/>
          <w:sz w:val="21"/>
          <w:szCs w:val="21"/>
        </w:rPr>
        <w:t>污染物</w:t>
      </w:r>
      <w:r>
        <w:rPr>
          <w:rFonts w:hint="eastAsia" w:ascii="宋体" w:hAnsi="宋体" w:eastAsia="宋体" w:cs="宋体"/>
          <w:sz w:val="21"/>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 w:val="21"/>
          <w:szCs w:val="21"/>
        </w:rPr>
        <w:t>上月应收取服务费的20%作为违约金</w:t>
      </w:r>
      <w:r>
        <w:rPr>
          <w:rFonts w:hint="eastAsia" w:ascii="宋体" w:hAnsi="宋体" w:eastAsia="宋体" w:cs="宋体"/>
          <w:sz w:val="21"/>
          <w:szCs w:val="21"/>
        </w:rPr>
        <w:t>，并有权单方解除合同。若给甲方造成损失的，乙方应承担全部赔偿责任。</w:t>
      </w:r>
    </w:p>
    <w:p w14:paraId="405AB72C">
      <w:pPr>
        <w:snapToGrid w:val="0"/>
        <w:spacing w:line="360" w:lineRule="auto"/>
        <w:ind w:left="-19" w:leftChars="-8" w:firstLine="420" w:firstLineChars="200"/>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w:t>
      </w:r>
      <w:r>
        <w:rPr>
          <w:rFonts w:hint="eastAsia" w:ascii="宋体" w:hAnsi="宋体" w:eastAsia="宋体" w:cs="宋体"/>
          <w:sz w:val="21"/>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 w:val="21"/>
          <w:szCs w:val="21"/>
        </w:rPr>
        <w:t>对应项目</w:t>
      </w:r>
      <w:r>
        <w:rPr>
          <w:rFonts w:hint="eastAsia" w:ascii="宋体" w:hAnsi="宋体" w:eastAsia="宋体" w:cs="宋体"/>
          <w:sz w:val="21"/>
          <w:szCs w:val="21"/>
        </w:rPr>
        <w:t>当天的服务费，且乙方需按相关部门要求限期整改。服务期内相关检测/监测不合格次数达到三次以上（含三次），甲方有权单方解除</w:t>
      </w:r>
      <w:r>
        <w:rPr>
          <w:rFonts w:hint="eastAsia" w:ascii="宋体" w:hAnsi="宋体" w:eastAsia="宋体" w:cs="宋体"/>
          <w:bCs/>
          <w:sz w:val="21"/>
          <w:szCs w:val="21"/>
          <w:lang w:val="en-US" w:eastAsia="zh-CN"/>
        </w:rPr>
        <w:t>本</w:t>
      </w:r>
      <w:r>
        <w:rPr>
          <w:rFonts w:hint="eastAsia" w:ascii="宋体" w:hAnsi="宋体" w:eastAsia="宋体" w:cs="宋体"/>
          <w:sz w:val="21"/>
          <w:szCs w:val="21"/>
        </w:rPr>
        <w:t>合同，并要求乙方承担5万元违约金。若甲方未单方解除合同，在乙方整改期，甲方有权临时采用其他方式处理（如委托第三方处理），由此产生的一切费用及损失由乙方承担。</w:t>
      </w:r>
    </w:p>
    <w:p w14:paraId="33D3095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9</w:t>
      </w:r>
      <w:r>
        <w:rPr>
          <w:rFonts w:hint="eastAsia" w:ascii="宋体" w:hAnsi="宋体" w:eastAsia="宋体" w:cs="宋体"/>
          <w:bCs/>
          <w:sz w:val="21"/>
          <w:szCs w:val="21"/>
        </w:rPr>
        <w:t>、乙方在本合同项目施工、运营期间应严格按照本合同附件2《生产安全管理协议》执行。甲方有权监督该项目的建设、运营行为，因乙方原因致使该项目造成甲方损失或乙方有违反《生产安全管理协议》安全管理规定、限期内未对隐患进行整改等行为，甲方有权从</w:t>
      </w:r>
      <w:r>
        <w:rPr>
          <w:rFonts w:hint="eastAsia" w:ascii="宋体" w:hAnsi="宋体" w:eastAsia="宋体" w:cs="宋体"/>
          <w:bCs/>
          <w:sz w:val="21"/>
          <w:szCs w:val="21"/>
          <w:lang w:val="en-US" w:eastAsia="zh-CN"/>
        </w:rPr>
        <w:t>未付款项或履约担保中直接</w:t>
      </w:r>
      <w:r>
        <w:rPr>
          <w:rFonts w:hint="eastAsia" w:ascii="宋体" w:hAnsi="宋体" w:eastAsia="宋体" w:cs="宋体"/>
          <w:bCs/>
          <w:sz w:val="21"/>
          <w:szCs w:val="21"/>
        </w:rPr>
        <w:t>扣除甲方的损失及</w:t>
      </w:r>
      <w:r>
        <w:rPr>
          <w:rFonts w:hint="eastAsia" w:ascii="宋体" w:hAnsi="宋体" w:eastAsia="宋体" w:cs="宋体"/>
          <w:bCs/>
          <w:sz w:val="21"/>
          <w:szCs w:val="21"/>
          <w:lang w:val="en-US" w:eastAsia="zh-CN"/>
        </w:rPr>
        <w:t>乙方应支付的</w:t>
      </w:r>
      <w:r>
        <w:rPr>
          <w:rFonts w:hint="eastAsia" w:ascii="宋体" w:hAnsi="宋体" w:eastAsia="宋体" w:cs="宋体"/>
          <w:bCs/>
          <w:sz w:val="21"/>
          <w:szCs w:val="21"/>
        </w:rPr>
        <w:t>违约金，具体扣除事由及标准以《生产安全管理协议》约定为准。</w:t>
      </w:r>
      <w:r>
        <w:rPr>
          <w:rFonts w:hint="eastAsia" w:ascii="宋体" w:hAnsi="宋体" w:eastAsia="宋体" w:cs="宋体"/>
          <w:bCs/>
          <w:sz w:val="21"/>
          <w:szCs w:val="21"/>
          <w:lang w:val="en-US" w:eastAsia="zh-CN"/>
        </w:rPr>
        <w:t>未付款项或履约担保</w:t>
      </w:r>
      <w:r>
        <w:rPr>
          <w:rFonts w:hint="eastAsia" w:ascii="宋体" w:hAnsi="宋体" w:eastAsia="宋体" w:cs="宋体"/>
          <w:bCs/>
          <w:sz w:val="21"/>
          <w:szCs w:val="21"/>
        </w:rPr>
        <w:t>不足以抵扣甲方损失及违约金的，乙方还应另行支付。</w:t>
      </w:r>
    </w:p>
    <w:p w14:paraId="685A464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lang w:val="en-US" w:eastAsia="zh-CN"/>
        </w:rPr>
        <w:t>10</w:t>
      </w:r>
      <w:r>
        <w:rPr>
          <w:rFonts w:hint="eastAsia" w:ascii="宋体" w:hAnsi="宋体" w:eastAsia="宋体" w:cs="宋体"/>
          <w:bCs/>
          <w:sz w:val="21"/>
          <w:szCs w:val="21"/>
        </w:rPr>
        <w:t>、若乙方未按合同约定制定相关应急预案并向甲方备案的，</w:t>
      </w:r>
      <w:r>
        <w:rPr>
          <w:rFonts w:hint="eastAsia" w:ascii="宋体" w:hAnsi="宋体" w:eastAsia="宋体" w:cs="宋体"/>
          <w:bCs/>
          <w:sz w:val="21"/>
          <w:szCs w:val="21"/>
          <w:lang w:val="en-US" w:eastAsia="zh-CN"/>
        </w:rPr>
        <w:t>构成</w:t>
      </w:r>
      <w:r>
        <w:rPr>
          <w:rFonts w:hint="eastAsia" w:ascii="宋体" w:hAnsi="宋体" w:eastAsia="宋体" w:cs="宋体"/>
          <w:bCs/>
          <w:sz w:val="21"/>
          <w:szCs w:val="21"/>
        </w:rPr>
        <w:t>违约，甲方有权要求乙方支付1万元违约金。</w:t>
      </w:r>
    </w:p>
    <w:p w14:paraId="6ACFF349">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1</w:t>
      </w:r>
      <w:r>
        <w:rPr>
          <w:rFonts w:hint="eastAsia" w:ascii="宋体" w:hAnsi="宋体" w:eastAsia="宋体" w:cs="宋体"/>
          <w:bCs/>
          <w:sz w:val="21"/>
          <w:szCs w:val="21"/>
        </w:rPr>
        <w:t>、乙方必须积极响应并接受相关部门的监督检查，若受到相关部门的批评，经调查认定情况属实的，视情节轻重承担相应违约金；若受到相关部门行政处罚或违法处罚的，甲方扣减乙方本月应收服务费的10%作为违约金，并有权单方解除合同，若由此给甲方造成损失的，乙方还应当承担全部赔偿责任。</w:t>
      </w:r>
    </w:p>
    <w:p w14:paraId="64D1001B">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2</w:t>
      </w:r>
      <w:r>
        <w:rPr>
          <w:rFonts w:hint="eastAsia" w:ascii="宋体" w:hAnsi="宋体" w:eastAsia="宋体" w:cs="宋体"/>
          <w:bCs/>
          <w:sz w:val="21"/>
          <w:szCs w:val="21"/>
        </w:rPr>
        <w:t>、本合同服务期满或提前解除后，</w:t>
      </w:r>
      <w:r>
        <w:rPr>
          <w:rFonts w:hint="eastAsia" w:ascii="宋体" w:hAnsi="宋体" w:eastAsia="宋体" w:cs="宋体"/>
          <w:sz w:val="21"/>
          <w:szCs w:val="21"/>
        </w:rPr>
        <w:t>乙方未按本合同约定的时间内拆除本项目服务期间新建的设备设施，恢复本项目场地原状的，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14:paraId="53776BD1">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3</w:t>
      </w:r>
      <w:r>
        <w:rPr>
          <w:rFonts w:hint="eastAsia" w:ascii="宋体" w:hAnsi="宋体" w:eastAsia="宋体" w:cs="宋体"/>
          <w:bCs/>
          <w:sz w:val="21"/>
          <w:szCs w:val="21"/>
        </w:rPr>
        <w:t>、乙方违反本合同约定将合同项下乙方的权利义务全部转让给第三方，或未经甲方书面同意将部分权利义务</w:t>
      </w:r>
      <w:r>
        <w:rPr>
          <w:rFonts w:hint="eastAsia" w:ascii="宋体" w:hAnsi="宋体" w:eastAsia="宋体" w:cs="宋体"/>
          <w:bCs/>
          <w:sz w:val="21"/>
          <w:szCs w:val="21"/>
          <w:highlight w:val="none"/>
          <w:lang w:val="en-US" w:eastAsia="zh-CN"/>
        </w:rPr>
        <w:t>分包</w:t>
      </w:r>
      <w:r>
        <w:rPr>
          <w:rFonts w:hint="eastAsia" w:ascii="宋体" w:hAnsi="宋体" w:eastAsia="宋体" w:cs="宋体"/>
          <w:bCs/>
          <w:sz w:val="21"/>
          <w:szCs w:val="21"/>
        </w:rPr>
        <w:t>给第三方的，甲方有权单方解除合同，若由此给甲方造成损失的，乙方还应当承担全部赔偿责任。如因乙方将乙方本合同项下全部/部分权利义务</w:t>
      </w:r>
      <w:r>
        <w:rPr>
          <w:rFonts w:hint="eastAsia" w:ascii="宋体" w:hAnsi="宋体" w:eastAsia="宋体" w:cs="宋体"/>
          <w:bCs/>
          <w:sz w:val="21"/>
          <w:szCs w:val="21"/>
          <w:lang w:val="en-US" w:eastAsia="zh-CN"/>
        </w:rPr>
        <w:t>分别</w:t>
      </w:r>
      <w:r>
        <w:rPr>
          <w:rFonts w:hint="eastAsia" w:ascii="宋体" w:hAnsi="宋体" w:eastAsia="宋体" w:cs="宋体"/>
          <w:bCs/>
          <w:sz w:val="21"/>
          <w:szCs w:val="21"/>
        </w:rPr>
        <w:t>给第三方导致安全事故或人身损害事故的，造成甲方其他损失或甲方被认定承担赔偿责任，甲方有权向乙方追偿并扣减乙方本月应收服务费的20%作为违约金，前述违约金不足以弥补甲方损失的，乙方还需足额赔偿。</w:t>
      </w:r>
    </w:p>
    <w:p w14:paraId="34449C68">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4</w:t>
      </w:r>
      <w:r>
        <w:rPr>
          <w:rFonts w:hint="eastAsia" w:ascii="宋体" w:hAnsi="宋体" w:eastAsia="宋体" w:cs="宋体"/>
          <w:bCs/>
          <w:sz w:val="21"/>
          <w:szCs w:val="21"/>
        </w:rPr>
        <w:t>、乙方违反本合同任一约定的，除本合同对违约责任有明确约定以外，甲方有权扣除乙方当月应收取污泥处理服务费的5%作为每次的违约金。造成甲方损失的，乙方还需足额赔偿。</w:t>
      </w:r>
    </w:p>
    <w:p w14:paraId="7D8852CE">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5</w:t>
      </w:r>
      <w:r>
        <w:rPr>
          <w:rFonts w:hint="eastAsia" w:ascii="宋体" w:hAnsi="宋体" w:eastAsia="宋体" w:cs="宋体"/>
          <w:bCs/>
          <w:sz w:val="21"/>
          <w:szCs w:val="21"/>
        </w:rPr>
        <w:t>、若乙方发生本合同规定之外的任何违法行为，不得解除其在本合同下的任何责任或义务。</w:t>
      </w:r>
    </w:p>
    <w:p w14:paraId="39A324F4">
      <w:pPr>
        <w:snapToGrid w:val="0"/>
        <w:spacing w:line="360" w:lineRule="auto"/>
        <w:ind w:firstLine="424" w:firstLineChars="202"/>
        <w:outlineLvl w:val="9"/>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bCs/>
          <w:sz w:val="21"/>
          <w:szCs w:val="21"/>
          <w:lang w:val="en-US" w:eastAsia="zh-CN"/>
        </w:rPr>
        <w:t>6</w:t>
      </w:r>
      <w:r>
        <w:rPr>
          <w:rFonts w:hint="eastAsia" w:ascii="宋体" w:hAnsi="宋体" w:eastAsia="宋体" w:cs="宋体"/>
          <w:bCs/>
          <w:sz w:val="21"/>
          <w:szCs w:val="21"/>
        </w:rPr>
        <w:t>、在合同履行期间，乙方违约产生的违约金、赔偿或其他应付费用等款项，甲方有权直接从未付款项中直接扣除。若乙方违反《生产安全管理协议》相关约定的，甲方有权从履约</w:t>
      </w:r>
      <w:r>
        <w:rPr>
          <w:rFonts w:hint="eastAsia" w:ascii="宋体" w:hAnsi="宋体" w:eastAsia="宋体" w:cs="宋体"/>
          <w:bCs/>
          <w:sz w:val="21"/>
          <w:szCs w:val="21"/>
          <w:lang w:val="en-US" w:eastAsia="zh-CN"/>
        </w:rPr>
        <w:t>担保</w:t>
      </w:r>
      <w:r>
        <w:rPr>
          <w:rFonts w:hint="eastAsia" w:ascii="宋体" w:hAnsi="宋体" w:eastAsia="宋体" w:cs="宋体"/>
          <w:bCs/>
          <w:sz w:val="21"/>
          <w:szCs w:val="21"/>
        </w:rPr>
        <w:t>中扣除甲方的损失及违约金。</w:t>
      </w:r>
    </w:p>
    <w:p w14:paraId="31E794BD">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、因乙方未能根据本合同约定履约，甲方单方解除合同的，在甲方单方解除合同后，乙方必须在甲方解除合同之日起30日内，自行拆除新建的设备设施，并恢复项目场地的原状，产生的相应费用由乙方承担。</w:t>
      </w:r>
      <w:r>
        <w:rPr>
          <w:rFonts w:hint="eastAsia" w:ascii="宋体" w:hAnsi="宋体" w:eastAsia="宋体" w:cs="宋体"/>
          <w:bCs/>
          <w:sz w:val="21"/>
          <w:szCs w:val="21"/>
        </w:rPr>
        <w:t>若由此给甲方造成损失的</w:t>
      </w:r>
      <w:r>
        <w:rPr>
          <w:rFonts w:hint="eastAsia" w:ascii="宋体" w:hAnsi="宋体" w:eastAsia="宋体" w:cs="宋体"/>
          <w:sz w:val="21"/>
          <w:szCs w:val="21"/>
        </w:rPr>
        <w:t>，乙方还应当承担全部赔偿责任。</w:t>
      </w:r>
    </w:p>
    <w:p w14:paraId="2185E80C">
      <w:pPr>
        <w:snapToGrid w:val="0"/>
        <w:spacing w:line="360" w:lineRule="auto"/>
        <w:ind w:firstLine="424" w:firstLineChars="202"/>
        <w:outlineLvl w:val="9"/>
        <w:rPr>
          <w:rFonts w:hint="eastAsia" w:ascii="宋体" w:hAnsi="宋体" w:eastAsia="宋体" w:cs="宋体"/>
          <w:sz w:val="21"/>
          <w:szCs w:val="21"/>
          <w:lang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乙方应保证其在中华人民共和国进行污泥减量化处理的所有过程（包括使用的设备、技术等），甲方免受第三方提出侵犯其专利权、商标权或其它知识产权的起诉。如有违反，甲方有权要求乙方支付5万元违约金，造成甲方任何经济损失或其他损失的，由乙方承担全部赔偿责任。</w:t>
      </w:r>
    </w:p>
    <w:p w14:paraId="7F09FB0C">
      <w:pPr>
        <w:snapToGrid w:val="0"/>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19</w:t>
      </w:r>
      <w:r>
        <w:rPr>
          <w:rFonts w:hint="eastAsia" w:ascii="宋体" w:hAnsi="宋体" w:eastAsia="宋体" w:cs="宋体"/>
          <w:sz w:val="21"/>
          <w:szCs w:val="21"/>
        </w:rPr>
        <w:t>、乙方保证本合同第2条约定的合同价款已包含污泥减量化处理相关知识产权版税等使用费，如乙方未依法向第三方支付应缴版税的，造成甲方任何经济损失的，由乙方承担全部赔偿责任。</w:t>
      </w:r>
    </w:p>
    <w:p w14:paraId="5A73D70D">
      <w:pPr>
        <w:snapToGrid w:val="0"/>
        <w:spacing w:line="360" w:lineRule="auto"/>
        <w:ind w:firstLine="411" w:firstLineChars="195"/>
        <w:outlineLvl w:val="9"/>
        <w:rPr>
          <w:rFonts w:hint="eastAsia" w:ascii="宋体" w:hAnsi="宋体" w:eastAsia="宋体" w:cs="宋体"/>
          <w:b/>
          <w:sz w:val="21"/>
          <w:szCs w:val="21"/>
        </w:rPr>
      </w:pPr>
      <w:r>
        <w:rPr>
          <w:rFonts w:hint="eastAsia" w:ascii="宋体" w:hAnsi="宋体" w:eastAsia="宋体" w:cs="宋体"/>
          <w:b/>
          <w:sz w:val="21"/>
          <w:szCs w:val="21"/>
        </w:rPr>
        <w:t>第九条 廉政保证</w:t>
      </w:r>
    </w:p>
    <w:p w14:paraId="26575D6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1、乙方以及其指定的第三方及其所有雇员在本合同履行期间，应遵守甲方的各项政策和制度。甲方应当控制乙方代表和雇员在甲方办公区域进出，甲方对于现场的人员进出及员工管理方面的要求也应始终被遵守。 </w:t>
      </w:r>
    </w:p>
    <w:p w14:paraId="2555992A">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2、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14:paraId="7EFBE8E5">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3、为规范甲乙双方在订立、履行合同及经济业务往来过程中的行为，保持廉洁自律的工作作风,防止各种违法及不正当行为的发生,确保甲乙双方及其工作人员自觉遵守国家法律、法规及廉洁从业各项规定，甲乙双方自愿按附件格式签订《廉洁协议书》。 </w:t>
      </w:r>
    </w:p>
    <w:p w14:paraId="22911B27">
      <w:pPr>
        <w:snapToGrid w:val="0"/>
        <w:spacing w:line="360" w:lineRule="auto"/>
        <w:ind w:firstLine="413" w:firstLineChars="196"/>
        <w:outlineLvl w:val="9"/>
        <w:rPr>
          <w:rFonts w:hint="eastAsia" w:ascii="宋体" w:hAnsi="宋体" w:eastAsia="宋体" w:cs="宋体"/>
          <w:b/>
          <w:sz w:val="21"/>
          <w:szCs w:val="21"/>
        </w:rPr>
      </w:pPr>
      <w:r>
        <w:rPr>
          <w:rFonts w:hint="eastAsia" w:ascii="宋体" w:hAnsi="宋体" w:eastAsia="宋体" w:cs="宋体"/>
          <w:b/>
          <w:sz w:val="21"/>
          <w:szCs w:val="21"/>
        </w:rPr>
        <w:t>第十条 争议解决</w:t>
      </w:r>
    </w:p>
    <w:p w14:paraId="008382C1">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本合同在履行过程中若发生争议，甲、乙双方应首先通过友好协商的方式解决，协商不成的，双方同意将争议提交到甲方所在地有管辖权的人民法院通过诉讼的方式解决。 </w:t>
      </w:r>
    </w:p>
    <w:p w14:paraId="18B762AD">
      <w:pPr>
        <w:snapToGrid w:val="0"/>
        <w:spacing w:line="360" w:lineRule="auto"/>
        <w:ind w:firstLine="517" w:firstLineChars="245"/>
        <w:outlineLvl w:val="9"/>
        <w:rPr>
          <w:rFonts w:hint="eastAsia" w:ascii="宋体" w:hAnsi="宋体" w:eastAsia="宋体" w:cs="宋体"/>
          <w:b/>
          <w:sz w:val="21"/>
          <w:szCs w:val="21"/>
        </w:rPr>
      </w:pPr>
      <w:r>
        <w:rPr>
          <w:rFonts w:hint="eastAsia" w:ascii="宋体" w:hAnsi="宋体" w:eastAsia="宋体" w:cs="宋体"/>
          <w:b/>
          <w:sz w:val="21"/>
          <w:szCs w:val="21"/>
        </w:rPr>
        <w:t>第十一条 其他</w:t>
      </w:r>
    </w:p>
    <w:p w14:paraId="4A04E809">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1、 本合同未尽事宜，由甲、乙双方协商解决并签订书面补充协议，补充协议与本合同同具法律效力，补充协议与本合同内容不一致时，以补充协议为准。</w:t>
      </w:r>
    </w:p>
    <w:p w14:paraId="6040E6C3">
      <w:pPr>
        <w:widowControl/>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sz w:val="21"/>
          <w:szCs w:val="21"/>
        </w:rPr>
        <w:t xml:space="preserve">2、本合同原件一式【  】份，甲方执【伍】份、乙方执【   】份，各份具有同等的法律效力。合同自甲乙双方法定代表人/负责人签字并加盖公章之日起生效。 </w:t>
      </w:r>
    </w:p>
    <w:p w14:paraId="250BCF99">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附件1：廉洁协议书</w:t>
      </w:r>
    </w:p>
    <w:p w14:paraId="79950E07">
      <w:pPr>
        <w:widowControl/>
        <w:snapToGrid w:val="0"/>
        <w:spacing w:line="360" w:lineRule="auto"/>
        <w:ind w:firstLine="840" w:firstLineChars="400"/>
        <w:outlineLvl w:val="9"/>
        <w:rPr>
          <w:rFonts w:hint="eastAsia" w:ascii="宋体" w:hAnsi="宋体" w:eastAsia="宋体" w:cs="宋体"/>
          <w:sz w:val="21"/>
          <w:szCs w:val="21"/>
        </w:rPr>
      </w:pPr>
      <w:r>
        <w:rPr>
          <w:rFonts w:hint="eastAsia" w:ascii="宋体" w:hAnsi="宋体" w:eastAsia="宋体" w:cs="宋体"/>
          <w:sz w:val="21"/>
          <w:szCs w:val="21"/>
        </w:rPr>
        <w:t>附件2：安全生产管理协议</w:t>
      </w:r>
    </w:p>
    <w:p w14:paraId="3BE8ACBA">
      <w:pPr>
        <w:widowControl/>
        <w:snapToGrid w:val="0"/>
        <w:spacing w:line="360" w:lineRule="auto"/>
        <w:ind w:firstLine="840" w:firstLineChars="400"/>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附件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用户需求书</w:t>
      </w:r>
    </w:p>
    <w:p w14:paraId="3C5C8745">
      <w:pPr>
        <w:ind w:firstLine="840" w:firstLineChars="400"/>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以下无正文，转合同签署页</w:t>
      </w:r>
      <w:r>
        <w:rPr>
          <w:rFonts w:hint="eastAsia" w:ascii="宋体" w:hAnsi="宋体" w:eastAsia="宋体" w:cs="宋体"/>
          <w:sz w:val="21"/>
          <w:szCs w:val="21"/>
          <w:lang w:eastAsia="zh-CN"/>
        </w:rPr>
        <w:t>）</w:t>
      </w:r>
      <w:r>
        <w:rPr>
          <w:rFonts w:hint="eastAsia" w:ascii="宋体" w:hAnsi="宋体" w:eastAsia="宋体" w:cs="宋体"/>
          <w:sz w:val="21"/>
          <w:szCs w:val="21"/>
        </w:rPr>
        <w:br w:type="page"/>
      </w:r>
    </w:p>
    <w:p w14:paraId="59114374">
      <w:pPr>
        <w:widowControl/>
        <w:snapToGrid w:val="0"/>
        <w:spacing w:line="360" w:lineRule="auto"/>
        <w:outlineLvl w:val="9"/>
        <w:rPr>
          <w:rFonts w:hint="eastAsia" w:ascii="宋体" w:hAnsi="宋体" w:eastAsia="宋体" w:cs="宋体"/>
          <w:sz w:val="21"/>
          <w:szCs w:val="21"/>
        </w:rPr>
      </w:pPr>
      <w:r>
        <w:rPr>
          <w:rFonts w:hint="eastAsia" w:ascii="宋体" w:hAnsi="宋体" w:eastAsia="宋体" w:cs="宋体"/>
          <w:b/>
          <w:bCs/>
          <w:sz w:val="21"/>
          <w:szCs w:val="21"/>
        </w:rPr>
        <w:t>（以下无正文，为</w:t>
      </w:r>
      <w:r>
        <w:rPr>
          <w:rFonts w:hint="eastAsia" w:ascii="宋体" w:hAnsi="宋体" w:cs="宋体"/>
          <w:b/>
          <w:bCs/>
          <w:sz w:val="21"/>
          <w:szCs w:val="21"/>
          <w:lang w:eastAsia="zh-CN"/>
        </w:rPr>
        <w:t>东莞市众源环境投资有限公司污水处理厂污泥脱水减量处理服务（BOT权属东江下游片区）采购项目（麻涌一期重新采购）</w:t>
      </w:r>
      <w:r>
        <w:rPr>
          <w:rFonts w:hint="eastAsia" w:ascii="宋体" w:hAnsi="宋体" w:eastAsia="宋体" w:cs="宋体"/>
          <w:b/>
          <w:bCs/>
          <w:sz w:val="21"/>
          <w:szCs w:val="21"/>
        </w:rPr>
        <w:t>合同签字栏）</w:t>
      </w:r>
    </w:p>
    <w:p w14:paraId="01BA87B8">
      <w:pPr>
        <w:widowControl/>
        <w:snapToGrid w:val="0"/>
        <w:spacing w:line="360" w:lineRule="auto"/>
        <w:outlineLvl w:val="9"/>
        <w:rPr>
          <w:rFonts w:hint="eastAsia" w:ascii="宋体" w:hAnsi="宋体" w:eastAsia="宋体" w:cs="宋体"/>
          <w:szCs w:val="21"/>
        </w:rPr>
      </w:pPr>
    </w:p>
    <w:tbl>
      <w:tblPr>
        <w:tblStyle w:val="55"/>
        <w:tblW w:w="0" w:type="auto"/>
        <w:jc w:val="center"/>
        <w:tblLayout w:type="fixed"/>
        <w:tblCellMar>
          <w:top w:w="0" w:type="dxa"/>
          <w:left w:w="108" w:type="dxa"/>
          <w:bottom w:w="0" w:type="dxa"/>
          <w:right w:w="108" w:type="dxa"/>
        </w:tblCellMar>
      </w:tblPr>
      <w:tblGrid>
        <w:gridCol w:w="4253"/>
        <w:gridCol w:w="454"/>
        <w:gridCol w:w="4253"/>
      </w:tblGrid>
      <w:tr w14:paraId="72371DD8">
        <w:tblPrEx>
          <w:tblCellMar>
            <w:top w:w="0" w:type="dxa"/>
            <w:left w:w="108" w:type="dxa"/>
            <w:bottom w:w="0" w:type="dxa"/>
            <w:right w:w="108" w:type="dxa"/>
          </w:tblCellMar>
        </w:tblPrEx>
        <w:trPr>
          <w:jc w:val="center"/>
        </w:trPr>
        <w:tc>
          <w:tcPr>
            <w:tcW w:w="4253" w:type="dxa"/>
            <w:vAlign w:val="top"/>
          </w:tcPr>
          <w:p w14:paraId="6EE862A4">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甲方（盖章）：</w:t>
            </w:r>
            <w:r>
              <w:rPr>
                <w:rFonts w:hint="eastAsia" w:ascii="宋体" w:hAnsi="宋体" w:eastAsia="宋体" w:cs="宋体"/>
                <w:sz w:val="21"/>
                <w:szCs w:val="21"/>
                <w:lang w:val="en-US" w:eastAsia="zh-CN"/>
              </w:rPr>
              <w:t>东莞市众源环境投资有限公司</w:t>
            </w:r>
          </w:p>
          <w:p w14:paraId="4E8D39AA">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c>
          <w:tcPr>
            <w:tcW w:w="454" w:type="dxa"/>
            <w:vAlign w:val="top"/>
          </w:tcPr>
          <w:p w14:paraId="333C02D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2D6DD54F">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lang w:eastAsia="zh-CN"/>
              </w:rPr>
            </w:pP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529CFDE4">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法定代表人（或负责人）：</w:t>
            </w:r>
          </w:p>
        </w:tc>
      </w:tr>
      <w:tr w14:paraId="30BED872">
        <w:tblPrEx>
          <w:tblCellMar>
            <w:top w:w="0" w:type="dxa"/>
            <w:left w:w="108" w:type="dxa"/>
            <w:bottom w:w="0" w:type="dxa"/>
            <w:right w:w="108" w:type="dxa"/>
          </w:tblCellMar>
        </w:tblPrEx>
        <w:trPr>
          <w:jc w:val="center"/>
        </w:trPr>
        <w:tc>
          <w:tcPr>
            <w:tcW w:w="4253" w:type="dxa"/>
            <w:vAlign w:val="top"/>
          </w:tcPr>
          <w:p w14:paraId="686B745B">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c>
          <w:tcPr>
            <w:tcW w:w="454" w:type="dxa"/>
            <w:vAlign w:val="top"/>
          </w:tcPr>
          <w:p w14:paraId="5AA772BB">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54C9C9A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电话：</w:t>
            </w:r>
          </w:p>
        </w:tc>
      </w:tr>
      <w:tr w14:paraId="445993BA">
        <w:tblPrEx>
          <w:tblCellMar>
            <w:top w:w="0" w:type="dxa"/>
            <w:left w:w="108" w:type="dxa"/>
            <w:bottom w:w="0" w:type="dxa"/>
            <w:right w:w="108" w:type="dxa"/>
          </w:tblCellMar>
        </w:tblPrEx>
        <w:trPr>
          <w:jc w:val="center"/>
        </w:trPr>
        <w:tc>
          <w:tcPr>
            <w:tcW w:w="4253" w:type="dxa"/>
            <w:vAlign w:val="top"/>
          </w:tcPr>
          <w:p w14:paraId="3708E38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广东省东莞市东城街道火炼树红棉路40号302室</w:t>
            </w:r>
          </w:p>
          <w:p w14:paraId="5A5388F2">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开户名称：</w:t>
            </w:r>
            <w:r>
              <w:rPr>
                <w:rFonts w:hint="eastAsia" w:ascii="宋体" w:hAnsi="宋体" w:eastAsia="宋体" w:cs="宋体"/>
                <w:sz w:val="21"/>
                <w:szCs w:val="21"/>
                <w:lang w:val="en-US" w:eastAsia="zh-CN"/>
              </w:rPr>
              <w:t>东莞市众源环境投资有限公司</w:t>
            </w:r>
          </w:p>
        </w:tc>
        <w:tc>
          <w:tcPr>
            <w:tcW w:w="454" w:type="dxa"/>
            <w:vAlign w:val="top"/>
          </w:tcPr>
          <w:p w14:paraId="2B7ED5B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3D2CC6FA">
            <w:pPr>
              <w:keepNext w:val="0"/>
              <w:keepLines w:val="0"/>
              <w:suppressLineNumbers w:val="0"/>
              <w:spacing w:before="0" w:beforeAutospacing="0" w:after="0" w:afterAutospacing="0" w:line="360" w:lineRule="auto"/>
              <w:ind w:left="0" w:right="0"/>
              <w:outlineLvl w:val="9"/>
              <w:rPr>
                <w:rFonts w:hint="eastAsia" w:ascii="宋体" w:hAnsi="宋体" w:eastAsia="宋体" w:cs="宋体"/>
              </w:rPr>
            </w:pPr>
            <w:r>
              <w:rPr>
                <w:rFonts w:hint="eastAsia" w:ascii="宋体" w:hAnsi="宋体" w:eastAsia="宋体" w:cs="宋体"/>
                <w:sz w:val="21"/>
                <w:szCs w:val="21"/>
              </w:rPr>
              <w:t>地址：</w:t>
            </w:r>
          </w:p>
          <w:p w14:paraId="017D43F0">
            <w:pPr>
              <w:keepNext w:val="0"/>
              <w:keepLines w:val="0"/>
              <w:suppressLineNumbers w:val="0"/>
              <w:spacing w:before="0" w:beforeAutospacing="0" w:after="0" w:afterAutospacing="0" w:line="360" w:lineRule="auto"/>
              <w:ind w:left="0" w:right="0"/>
              <w:jc w:val="both"/>
              <w:outlineLvl w:val="9"/>
              <w:rPr>
                <w:rFonts w:hint="eastAsia" w:ascii="宋体" w:hAnsi="宋体" w:eastAsia="宋体" w:cs="宋体"/>
                <w:sz w:val="21"/>
                <w:szCs w:val="21"/>
              </w:rPr>
            </w:pPr>
            <w:r>
              <w:rPr>
                <w:rFonts w:hint="eastAsia" w:ascii="宋体" w:hAnsi="宋体" w:eastAsia="宋体" w:cs="宋体"/>
                <w:sz w:val="21"/>
                <w:szCs w:val="21"/>
              </w:rPr>
              <w:t>开户名称：</w:t>
            </w:r>
          </w:p>
        </w:tc>
      </w:tr>
      <w:tr w14:paraId="051A5B4B">
        <w:tblPrEx>
          <w:tblCellMar>
            <w:top w:w="0" w:type="dxa"/>
            <w:left w:w="108" w:type="dxa"/>
            <w:bottom w:w="0" w:type="dxa"/>
            <w:right w:w="108" w:type="dxa"/>
          </w:tblCellMar>
        </w:tblPrEx>
        <w:trPr>
          <w:jc w:val="center"/>
        </w:trPr>
        <w:tc>
          <w:tcPr>
            <w:tcW w:w="4253" w:type="dxa"/>
            <w:vAlign w:val="top"/>
          </w:tcPr>
          <w:p w14:paraId="191542A0">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r>
              <w:rPr>
                <w:rFonts w:hint="eastAsia" w:ascii="宋体" w:hAnsi="宋体" w:eastAsia="宋体" w:cs="宋体"/>
                <w:bCs/>
                <w:kern w:val="2"/>
                <w:sz w:val="21"/>
                <w:szCs w:val="21"/>
                <w:highlight w:val="none"/>
                <w:lang w:val="zh-CN"/>
              </w:rPr>
              <w:t>招商银行股份有限公司东莞分行</w:t>
            </w:r>
          </w:p>
        </w:tc>
        <w:tc>
          <w:tcPr>
            <w:tcW w:w="454" w:type="dxa"/>
            <w:vAlign w:val="top"/>
          </w:tcPr>
          <w:p w14:paraId="39EAF03D">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0A707784">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开户银行：</w:t>
            </w:r>
          </w:p>
        </w:tc>
      </w:tr>
      <w:tr w14:paraId="6EDA79BE">
        <w:tblPrEx>
          <w:tblCellMar>
            <w:top w:w="0" w:type="dxa"/>
            <w:left w:w="108" w:type="dxa"/>
            <w:bottom w:w="0" w:type="dxa"/>
            <w:right w:w="108" w:type="dxa"/>
          </w:tblCellMar>
        </w:tblPrEx>
        <w:trPr>
          <w:jc w:val="center"/>
        </w:trPr>
        <w:tc>
          <w:tcPr>
            <w:tcW w:w="4253" w:type="dxa"/>
            <w:vAlign w:val="top"/>
          </w:tcPr>
          <w:p w14:paraId="01EF6463">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r>
              <w:rPr>
                <w:rFonts w:hint="eastAsia" w:ascii="宋体" w:hAnsi="宋体" w:eastAsia="宋体" w:cs="宋体"/>
                <w:bCs/>
                <w:kern w:val="2"/>
                <w:sz w:val="21"/>
                <w:szCs w:val="21"/>
                <w:highlight w:val="none"/>
                <w:lang w:val="zh-CN"/>
              </w:rPr>
              <w:t>769908269610828</w:t>
            </w:r>
          </w:p>
        </w:tc>
        <w:tc>
          <w:tcPr>
            <w:tcW w:w="454" w:type="dxa"/>
            <w:vAlign w:val="top"/>
          </w:tcPr>
          <w:p w14:paraId="7F5CF1A6">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p>
        </w:tc>
        <w:tc>
          <w:tcPr>
            <w:tcW w:w="4253" w:type="dxa"/>
            <w:vAlign w:val="top"/>
          </w:tcPr>
          <w:p w14:paraId="5D1E3731">
            <w:pPr>
              <w:keepNext w:val="0"/>
              <w:keepLines w:val="0"/>
              <w:suppressLineNumbers w:val="0"/>
              <w:spacing w:before="0" w:beforeAutospacing="0" w:after="0" w:afterAutospacing="0" w:line="36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账号：</w:t>
            </w:r>
          </w:p>
        </w:tc>
      </w:tr>
    </w:tbl>
    <w:p w14:paraId="5FECCAD9">
      <w:pPr>
        <w:widowControl/>
        <w:snapToGrid w:val="0"/>
        <w:spacing w:line="360" w:lineRule="auto"/>
        <w:outlineLvl w:val="9"/>
        <w:rPr>
          <w:rFonts w:hint="eastAsia" w:ascii="宋体" w:hAnsi="宋体" w:eastAsia="宋体" w:cs="宋体"/>
          <w:szCs w:val="21"/>
        </w:rPr>
      </w:pPr>
    </w:p>
    <w:p w14:paraId="747AA3D0">
      <w:pPr>
        <w:widowControl/>
        <w:snapToGrid w:val="0"/>
        <w:spacing w:line="360" w:lineRule="auto"/>
        <w:outlineLvl w:val="9"/>
        <w:rPr>
          <w:rFonts w:hint="eastAsia" w:ascii="宋体" w:hAnsi="宋体" w:eastAsia="宋体" w:cs="宋体"/>
          <w:szCs w:val="21"/>
        </w:rPr>
      </w:pPr>
    </w:p>
    <w:p w14:paraId="748B5427">
      <w:pPr>
        <w:widowControl/>
        <w:snapToGrid w:val="0"/>
        <w:spacing w:line="360" w:lineRule="auto"/>
        <w:outlineLvl w:val="9"/>
        <w:rPr>
          <w:rFonts w:hint="eastAsia" w:ascii="宋体" w:hAnsi="宋体" w:eastAsia="宋体" w:cs="宋体"/>
          <w:szCs w:val="21"/>
        </w:rPr>
      </w:pPr>
    </w:p>
    <w:p w14:paraId="69FEBB8B">
      <w:pPr>
        <w:widowControl/>
        <w:snapToGrid w:val="0"/>
        <w:spacing w:line="360" w:lineRule="auto"/>
        <w:jc w:val="left"/>
        <w:outlineLvl w:val="9"/>
        <w:rPr>
          <w:rFonts w:hint="eastAsia" w:ascii="宋体" w:hAnsi="宋体" w:eastAsia="宋体" w:cs="宋体"/>
          <w:b/>
          <w:bCs/>
          <w:sz w:val="21"/>
          <w:szCs w:val="21"/>
        </w:rPr>
      </w:pPr>
      <w:r>
        <w:rPr>
          <w:rFonts w:hint="eastAsia" w:ascii="宋体" w:hAnsi="宋体" w:eastAsia="宋体" w:cs="宋体"/>
          <w:sz w:val="21"/>
          <w:szCs w:val="21"/>
        </w:rPr>
        <w:t>签订日期：     年  月  日</w:t>
      </w:r>
    </w:p>
    <w:p w14:paraId="4794788A">
      <w:pPr>
        <w:widowControl/>
        <w:snapToGrid w:val="0"/>
        <w:spacing w:line="360" w:lineRule="auto"/>
        <w:outlineLvl w:val="9"/>
        <w:rPr>
          <w:rFonts w:hint="eastAsia" w:ascii="宋体" w:hAnsi="宋体" w:eastAsia="宋体" w:cs="宋体"/>
          <w:szCs w:val="21"/>
        </w:rPr>
      </w:pPr>
    </w:p>
    <w:bookmarkEnd w:id="209"/>
    <w:p w14:paraId="119BAA7E">
      <w:pPr>
        <w:pageBreakBefore/>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t>附件1：廉洁协议书</w:t>
      </w:r>
    </w:p>
    <w:p w14:paraId="2AC33D12">
      <w:pPr>
        <w:spacing w:line="360" w:lineRule="auto"/>
        <w:ind w:firstLine="646" w:firstLineChars="201"/>
        <w:jc w:val="center"/>
        <w:outlineLvl w:val="9"/>
        <w:rPr>
          <w:rFonts w:hint="eastAsia" w:ascii="宋体" w:hAnsi="宋体" w:eastAsia="宋体" w:cs="宋体"/>
          <w:sz w:val="32"/>
          <w:szCs w:val="32"/>
        </w:rPr>
      </w:pPr>
      <w:r>
        <w:rPr>
          <w:rFonts w:hint="eastAsia" w:ascii="宋体" w:hAnsi="宋体" w:eastAsia="宋体" w:cs="宋体"/>
          <w:b/>
          <w:sz w:val="32"/>
          <w:szCs w:val="32"/>
        </w:rPr>
        <w:t>廉洁协议书</w:t>
      </w:r>
    </w:p>
    <w:p w14:paraId="5AB43C8F">
      <w:pPr>
        <w:snapToGrid w:val="0"/>
        <w:spacing w:line="360" w:lineRule="auto"/>
        <w:ind w:firstLine="484" w:firstLineChars="201"/>
        <w:outlineLvl w:val="9"/>
        <w:rPr>
          <w:rFonts w:hint="eastAsia" w:ascii="宋体" w:hAnsi="宋体" w:eastAsia="宋体" w:cs="宋体"/>
          <w:b/>
          <w:bCs/>
          <w:szCs w:val="21"/>
        </w:rPr>
      </w:pPr>
    </w:p>
    <w:p w14:paraId="09BD0E84">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cs="宋体"/>
          <w:sz w:val="21"/>
          <w:szCs w:val="21"/>
          <w:lang w:eastAsia="zh-CN"/>
        </w:rPr>
        <w:t>东莞市众源环境投资有限公司污水处理厂污泥脱水减量处理服务（BOT权属东江下游片区）采购项目（麻涌一期重新采购）</w:t>
      </w:r>
      <w:r>
        <w:rPr>
          <w:rFonts w:hint="eastAsia" w:ascii="宋体" w:hAnsi="宋体" w:eastAsia="宋体" w:cs="宋体"/>
          <w:sz w:val="21"/>
          <w:szCs w:val="21"/>
        </w:rPr>
        <w:t>（</w:t>
      </w:r>
      <w:r>
        <w:rPr>
          <w:rFonts w:hint="eastAsia" w:ascii="宋体" w:hAnsi="宋体" w:eastAsia="宋体" w:cs="宋体"/>
          <w:sz w:val="21"/>
          <w:szCs w:val="21"/>
          <w:lang w:val="en-US" w:eastAsia="zh-CN"/>
        </w:rPr>
        <w:t>采购</w:t>
      </w:r>
      <w:r>
        <w:rPr>
          <w:rFonts w:hint="eastAsia" w:ascii="宋体" w:hAnsi="宋体" w:eastAsia="宋体" w:cs="宋体"/>
          <w:sz w:val="21"/>
          <w:szCs w:val="21"/>
        </w:rPr>
        <w:t>编号：</w:t>
      </w:r>
      <w:r>
        <w:rPr>
          <w:rFonts w:hint="eastAsia" w:ascii="宋体" w:hAnsi="宋体" w:cs="宋体"/>
          <w:sz w:val="21"/>
          <w:szCs w:val="21"/>
          <w:lang w:val="en-US" w:eastAsia="zh-CN"/>
        </w:rPr>
        <w:t xml:space="preserve">YDZB24DGQY0031-1 </w:t>
      </w:r>
      <w:r>
        <w:rPr>
          <w:rFonts w:hint="eastAsia" w:ascii="宋体" w:hAnsi="宋体" w:eastAsia="宋体" w:cs="宋体"/>
          <w:sz w:val="21"/>
          <w:szCs w:val="21"/>
        </w:rPr>
        <w:t>）</w:t>
      </w:r>
    </w:p>
    <w:p w14:paraId="70511F2E">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甲方（业主单位）：</w:t>
      </w:r>
    </w:p>
    <w:p w14:paraId="7F7DAD5F">
      <w:pPr>
        <w:snapToGrid w:val="0"/>
        <w:spacing w:line="360" w:lineRule="auto"/>
        <w:outlineLvl w:val="9"/>
        <w:rPr>
          <w:rFonts w:hint="eastAsia" w:ascii="宋体" w:hAnsi="宋体" w:eastAsia="宋体" w:cs="宋体"/>
          <w:sz w:val="21"/>
          <w:szCs w:val="21"/>
        </w:rPr>
      </w:pPr>
      <w:r>
        <w:rPr>
          <w:rFonts w:hint="eastAsia" w:ascii="宋体" w:hAnsi="宋体" w:eastAsia="宋体" w:cs="宋体"/>
          <w:sz w:val="21"/>
          <w:szCs w:val="21"/>
        </w:rPr>
        <w:t>乙方：</w:t>
      </w:r>
    </w:p>
    <w:p w14:paraId="4FFC7F3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8DACB21">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第一条  甲乙双方的权利和义务</w:t>
      </w:r>
    </w:p>
    <w:p w14:paraId="0704460C">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（一）严格遵守党和国家有关法律法规等有关廉洁从业规定。</w:t>
      </w:r>
    </w:p>
    <w:p w14:paraId="67E93114">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（二）严格执行本项目的合同文件，自觉按合同办事。</w:t>
      </w:r>
    </w:p>
    <w:p w14:paraId="0159BCB2">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（三）双方的业务活动坚持公开、公正、诚信、透明的原则（除法律认定的商业秘密和合同文件另有规定之外）不得损害国家和集体利益，违反电力交易管理及其他法律法规规章制度。</w:t>
      </w:r>
    </w:p>
    <w:p w14:paraId="0BF959D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（四）建立健全廉洁制度，开展廉洁教育，设立廉洁监督公示牌，公布举报电话，监督并认真查处违法违纪行为。</w:t>
      </w:r>
    </w:p>
    <w:p w14:paraId="74B8D69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（五）发现对方在业务活动中有违反廉洁规定的行为，有及时提醒对方纠正的权利和义务。</w:t>
      </w:r>
    </w:p>
    <w:p w14:paraId="18EAB811">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（六）发现对方严重违反本协议义务条款的行为，有向其上级有关部门举报、建议给予处理并要求告知处理结果的权利。</w:t>
      </w:r>
    </w:p>
    <w:p w14:paraId="16857A8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第二条  甲方的义务</w:t>
      </w:r>
    </w:p>
    <w:p w14:paraId="439CC645">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（一）甲方及其工作人员不得索要或接受乙方的礼金、有价证券和贵重物品，不得在乙方报销任何应由甲方或个人支付的费用。</w:t>
      </w:r>
    </w:p>
    <w:p w14:paraId="2025830E">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（二）甲方工作人员不得参加乙方安排的高消费宴请和娱乐活动；不得接受乙方提供的通讯工具、交通工具和高档办公用品。</w:t>
      </w:r>
    </w:p>
    <w:p w14:paraId="00E11A0E">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（三）甲方及其工作人员不得要求或者接受乙方为其住房装修、婚丧嫁娶活动、家属或亲友的工作安排以及出国出境、旅游等提供方便。</w:t>
      </w:r>
    </w:p>
    <w:p w14:paraId="08B3F64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（四）甲方工作人员不得向乙方介绍其家属或者亲友（包括家属或亲友开办的公司企业）从事于本项目涉及的经济业务活动。</w:t>
      </w:r>
    </w:p>
    <w:p w14:paraId="518E8309">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（五）甲方及其工作人员不得以任何理由向乙方推荐分包单位，不得要求乙方购买合同规定外的材料和设备。</w:t>
      </w:r>
    </w:p>
    <w:p w14:paraId="0A1AB19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（六）甲方及其工作人员不得进行违反廉洁规定的其他活动。</w:t>
      </w:r>
    </w:p>
    <w:p w14:paraId="6E92D318">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0EF320D0">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第三条  乙方义务</w:t>
      </w:r>
    </w:p>
    <w:p w14:paraId="17DCAEC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（一）乙方不得以任何理由向甲方及其工作人员馈赠礼金、有价证券、贵重礼品，或报销应由甲方单位或个人支付的任何费用。</w:t>
      </w:r>
    </w:p>
    <w:p w14:paraId="52C2368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（二）乙方及其工作人员不得以考察、参观、洽谈业务、签订合同等的借口邀请甲方及其工作人员参加高消费的宴请、娱乐和健身等活动。</w:t>
      </w:r>
    </w:p>
    <w:p w14:paraId="4BC77F8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（三）乙方不得为甲方单位和个人购置或提供通讯工具、交通工具和高档办公用品等。</w:t>
      </w:r>
    </w:p>
    <w:p w14:paraId="5DB778F1">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（四）乙方及其工作人员不得为甲方工作人员购买、装修、维修私人住房、汽车等。</w:t>
      </w:r>
    </w:p>
    <w:p w14:paraId="5BEDE1ED">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（五）乙方及其工作人员不得为甲方工作人员的婚丧嫁娶、家属或亲友的工作安排，及出国出境提供方便以及报销任何私人消费的费用。</w:t>
      </w:r>
    </w:p>
    <w:p w14:paraId="27C220CF">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（六）乙方及其工作人员不得进行影响甲方及其工作人员公正执行合同和履行职务的其他活动。</w:t>
      </w:r>
    </w:p>
    <w:p w14:paraId="0C388D56">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3749D12">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第四条  违约责任</w:t>
      </w:r>
    </w:p>
    <w:p w14:paraId="46FA5867">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（一）甲方违反本协议第一、第二条给乙方单位造成经济损失的，应予以赔偿。</w:t>
      </w:r>
    </w:p>
    <w:p w14:paraId="522EBB4D">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（二）乙方违反本协议第一、第三条给甲方单位造成经济损失的，应予以赔偿。</w:t>
      </w:r>
    </w:p>
    <w:p w14:paraId="70D896A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第五条  监督检查</w:t>
      </w:r>
    </w:p>
    <w:p w14:paraId="44F1734A">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甲乙双方的廉洁从业行为由双方或双方上级单位的纪检、监察负责监督，对本协议履行情况进行检查。</w:t>
      </w:r>
    </w:p>
    <w:p w14:paraId="471BD6FD">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第六条 举报信访受理</w:t>
      </w:r>
    </w:p>
    <w:p w14:paraId="4A4F9469">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（一）举报受理部门：东莞市水务集团有限公司纪检监察部。</w:t>
      </w:r>
    </w:p>
    <w:p w14:paraId="4B986DE4">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（二）举报电话：（0769）23076092。</w:t>
      </w:r>
    </w:p>
    <w:p w14:paraId="7F8650C1">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（三）举报邮箱：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"mailto:jcsj@dgswjt.cn。" </w:instrText>
      </w:r>
      <w:r>
        <w:rPr>
          <w:rFonts w:hint="eastAsia" w:ascii="宋体" w:hAnsi="宋体" w:eastAsia="宋体" w:cs="宋体"/>
          <w:sz w:val="21"/>
          <w:szCs w:val="21"/>
        </w:rPr>
        <w:fldChar w:fldCharType="separate"/>
      </w:r>
      <w:r>
        <w:rPr>
          <w:rFonts w:hint="eastAsia" w:ascii="宋体" w:hAnsi="宋体" w:eastAsia="宋体" w:cs="宋体"/>
          <w:color w:val="000000" w:themeColor="text1"/>
          <w:sz w:val="21"/>
          <w:szCs w:val="21"/>
          <w14:textFill>
            <w14:solidFill>
              <w14:schemeClr w14:val="tx1"/>
            </w14:solidFill>
          </w14:textFill>
        </w:rPr>
        <w:t>jcsj@dgswjt.cn。</w:t>
      </w:r>
      <w:r>
        <w:rPr>
          <w:rFonts w:hint="eastAsia" w:ascii="宋体" w:hAnsi="宋体" w:eastAsia="宋体" w:cs="宋体"/>
          <w:color w:val="000000" w:themeColor="text1"/>
          <w:sz w:val="21"/>
          <w:szCs w:val="21"/>
          <w14:textFill>
            <w14:solidFill>
              <w14:schemeClr w14:val="tx1"/>
            </w14:solidFill>
          </w14:textFill>
        </w:rPr>
        <w:fldChar w:fldCharType="end"/>
      </w:r>
    </w:p>
    <w:p w14:paraId="20CF3124">
      <w:pPr>
        <w:snapToGrid w:val="0"/>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（四）信访地址：广东省东莞市东城街道育华路1号。</w:t>
      </w:r>
    </w:p>
    <w:p w14:paraId="2CCE3F30">
      <w:pPr>
        <w:snapToGrid w:val="0"/>
        <w:spacing w:line="360" w:lineRule="auto"/>
        <w:ind w:firstLine="420" w:firstLineChars="200"/>
        <w:outlineLvl w:val="9"/>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第七条  其他</w:t>
      </w:r>
    </w:p>
    <w:p w14:paraId="2CA59D6B">
      <w:pPr>
        <w:snapToGrid w:val="0"/>
        <w:spacing w:line="360" w:lineRule="auto"/>
        <w:ind w:firstLine="422" w:firstLineChars="201"/>
        <w:outlineLvl w:val="9"/>
        <w:rPr>
          <w:rFonts w:hint="eastAsia" w:ascii="宋体" w:hAnsi="宋体" w:eastAsia="宋体" w:cs="宋体"/>
          <w:sz w:val="21"/>
          <w:szCs w:val="21"/>
        </w:rPr>
      </w:pPr>
      <w:r>
        <w:rPr>
          <w:rFonts w:hint="eastAsia" w:ascii="宋体" w:hAnsi="宋体" w:eastAsia="宋体" w:cs="宋体"/>
          <w:sz w:val="21"/>
          <w:szCs w:val="21"/>
        </w:rPr>
        <w:t>本协议有效期为甲乙双方签字并盖章之日起至采购项目服务期满后止。</w:t>
      </w:r>
    </w:p>
    <w:p w14:paraId="6F774560">
      <w:pPr>
        <w:snapToGrid w:val="0"/>
        <w:spacing w:line="360" w:lineRule="auto"/>
        <w:ind w:firstLine="422" w:firstLineChars="201"/>
        <w:outlineLvl w:val="9"/>
        <w:rPr>
          <w:rFonts w:hint="eastAsia" w:ascii="宋体" w:hAnsi="宋体" w:eastAsia="宋体" w:cs="宋体"/>
          <w:szCs w:val="21"/>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份，甲方执</w:t>
      </w:r>
      <w:r>
        <w:rPr>
          <w:rFonts w:hint="eastAsia" w:ascii="宋体" w:hAnsi="宋体" w:eastAsia="宋体" w:cs="宋体"/>
          <w:sz w:val="21"/>
          <w:szCs w:val="21"/>
          <w:u w:val="single"/>
        </w:rPr>
        <w:t>伍</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份，甲、乙双方上级主管部门各执</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14:paraId="174F33BE">
      <w:pPr>
        <w:outlineLvl w:val="9"/>
        <w:rPr>
          <w:rFonts w:hint="eastAsia" w:ascii="宋体" w:hAnsi="宋体" w:eastAsia="宋体" w:cs="宋体"/>
          <w:b/>
          <w:bCs/>
          <w:szCs w:val="21"/>
        </w:rPr>
      </w:pPr>
      <w:r>
        <w:rPr>
          <w:rFonts w:hint="eastAsia" w:ascii="宋体" w:hAnsi="宋体" w:eastAsia="宋体" w:cs="宋体"/>
          <w:b/>
          <w:bCs/>
          <w:szCs w:val="21"/>
        </w:rPr>
        <w:br w:type="page"/>
      </w:r>
    </w:p>
    <w:p w14:paraId="3F69A7CB">
      <w:pPr>
        <w:snapToGrid w:val="0"/>
        <w:spacing w:line="360" w:lineRule="auto"/>
        <w:ind w:firstLine="424" w:firstLineChars="201"/>
        <w:outlineLvl w:val="9"/>
        <w:rPr>
          <w:rFonts w:hint="eastAsia" w:ascii="宋体" w:hAnsi="宋体" w:eastAsia="宋体" w:cs="宋体"/>
          <w:b/>
          <w:bCs/>
          <w:sz w:val="21"/>
          <w:szCs w:val="21"/>
        </w:rPr>
      </w:pPr>
      <w:r>
        <w:rPr>
          <w:rFonts w:hint="eastAsia" w:ascii="宋体" w:hAnsi="宋体" w:eastAsia="宋体" w:cs="宋体"/>
          <w:b/>
          <w:bCs/>
          <w:sz w:val="21"/>
          <w:szCs w:val="21"/>
        </w:rPr>
        <w:t>（本页为《廉洁协议书》的签署页）</w:t>
      </w:r>
    </w:p>
    <w:p w14:paraId="7B619755">
      <w:pPr>
        <w:snapToGrid w:val="0"/>
        <w:spacing w:line="360" w:lineRule="auto"/>
        <w:ind w:firstLine="422" w:firstLineChars="201"/>
        <w:outlineLvl w:val="9"/>
        <w:rPr>
          <w:rFonts w:hint="eastAsia" w:ascii="宋体" w:hAnsi="宋体" w:eastAsia="宋体" w:cs="宋体"/>
          <w:sz w:val="21"/>
          <w:szCs w:val="21"/>
        </w:rPr>
      </w:pPr>
    </w:p>
    <w:p w14:paraId="791B1796">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甲方（盖章）：东莞市众源环境投资有限公司</w:t>
      </w:r>
    </w:p>
    <w:p w14:paraId="06A76C99">
      <w:pPr>
        <w:snapToGrid w:val="0"/>
        <w:spacing w:line="360" w:lineRule="auto"/>
        <w:ind w:firstLine="422" w:firstLineChars="201"/>
        <w:outlineLvl w:val="9"/>
        <w:rPr>
          <w:rFonts w:hint="eastAsia" w:ascii="宋体" w:hAnsi="宋体" w:eastAsia="宋体" w:cs="宋体"/>
          <w:sz w:val="21"/>
          <w:szCs w:val="21"/>
        </w:rPr>
      </w:pPr>
    </w:p>
    <w:p w14:paraId="631F4ADD">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法定代表（或负责人）：                     </w:t>
      </w:r>
    </w:p>
    <w:p w14:paraId="2E382C17">
      <w:pPr>
        <w:snapToGrid w:val="0"/>
        <w:spacing w:line="360" w:lineRule="auto"/>
        <w:ind w:firstLine="422" w:firstLineChars="201"/>
        <w:outlineLvl w:val="9"/>
        <w:rPr>
          <w:rFonts w:hint="eastAsia" w:ascii="宋体" w:hAnsi="宋体" w:eastAsia="宋体" w:cs="宋体"/>
          <w:sz w:val="21"/>
          <w:szCs w:val="21"/>
        </w:rPr>
      </w:pPr>
    </w:p>
    <w:p w14:paraId="5610CF50">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签订日期：   年  月  日</w:t>
      </w:r>
    </w:p>
    <w:p w14:paraId="5BAF6C4A">
      <w:pPr>
        <w:snapToGrid w:val="0"/>
        <w:spacing w:line="360" w:lineRule="auto"/>
        <w:ind w:firstLine="422" w:firstLineChars="201"/>
        <w:outlineLvl w:val="9"/>
        <w:rPr>
          <w:rFonts w:hint="eastAsia" w:ascii="宋体" w:hAnsi="宋体" w:eastAsia="宋体" w:cs="宋体"/>
          <w:sz w:val="21"/>
          <w:szCs w:val="21"/>
        </w:rPr>
      </w:pPr>
    </w:p>
    <w:p w14:paraId="080AF16A">
      <w:pPr>
        <w:pStyle w:val="22"/>
        <w:snapToGrid w:val="0"/>
        <w:spacing w:line="360" w:lineRule="auto"/>
        <w:ind w:firstLine="424" w:firstLineChars="201"/>
        <w:outlineLvl w:val="9"/>
        <w:rPr>
          <w:rFonts w:hint="eastAsia" w:ascii="宋体" w:hAnsi="宋体" w:eastAsia="宋体" w:cs="宋体"/>
          <w:sz w:val="21"/>
          <w:szCs w:val="21"/>
        </w:rPr>
      </w:pPr>
    </w:p>
    <w:p w14:paraId="19E0F30C">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乙方（盖章）：</w:t>
      </w:r>
    </w:p>
    <w:p w14:paraId="2E39F609">
      <w:pPr>
        <w:snapToGrid w:val="0"/>
        <w:spacing w:line="360" w:lineRule="auto"/>
        <w:ind w:firstLine="422" w:firstLineChars="201"/>
        <w:outlineLvl w:val="9"/>
        <w:rPr>
          <w:rFonts w:hint="eastAsia" w:ascii="宋体" w:hAnsi="宋体" w:eastAsia="宋体" w:cs="宋体"/>
          <w:sz w:val="21"/>
          <w:szCs w:val="21"/>
        </w:rPr>
      </w:pPr>
    </w:p>
    <w:p w14:paraId="0221970A">
      <w:pPr>
        <w:snapToGrid w:val="0"/>
        <w:spacing w:line="360" w:lineRule="auto"/>
        <w:ind w:firstLine="422" w:firstLineChars="201"/>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法定代表（或负责人）：</w:t>
      </w:r>
    </w:p>
    <w:p w14:paraId="29DBA43C">
      <w:pPr>
        <w:snapToGrid w:val="0"/>
        <w:spacing w:line="360" w:lineRule="auto"/>
        <w:ind w:firstLine="422" w:firstLineChars="201"/>
        <w:outlineLvl w:val="9"/>
        <w:rPr>
          <w:rFonts w:hint="eastAsia" w:ascii="宋体" w:hAnsi="宋体" w:eastAsia="宋体" w:cs="宋体"/>
          <w:sz w:val="21"/>
          <w:szCs w:val="21"/>
        </w:rPr>
      </w:pPr>
    </w:p>
    <w:p w14:paraId="298752CF">
      <w:pPr>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eastAsia="宋体" w:cs="宋体"/>
          <w:color w:val="000000"/>
          <w:sz w:val="21"/>
          <w:szCs w:val="21"/>
        </w:rPr>
        <w:t>签订日期：    年  月  日</w:t>
      </w:r>
    </w:p>
    <w:p w14:paraId="49A9BF11">
      <w:pPr>
        <w:snapToGrid w:val="0"/>
        <w:spacing w:line="360" w:lineRule="auto"/>
        <w:outlineLvl w:val="9"/>
        <w:rPr>
          <w:rFonts w:hint="eastAsia" w:ascii="宋体" w:hAnsi="宋体" w:eastAsia="宋体" w:cs="宋体"/>
          <w:b/>
          <w:sz w:val="21"/>
          <w:szCs w:val="21"/>
        </w:rPr>
      </w:pPr>
      <w:r>
        <w:rPr>
          <w:rFonts w:hint="eastAsia" w:ascii="宋体" w:hAnsi="宋体" w:eastAsia="宋体" w:cs="宋体"/>
          <w:b/>
          <w:sz w:val="21"/>
          <w:szCs w:val="21"/>
        </w:rPr>
        <w:br w:type="page"/>
      </w:r>
      <w:bookmarkStart w:id="214" w:name="_Toc62826974"/>
      <w:r>
        <w:rPr>
          <w:rFonts w:hint="eastAsia" w:ascii="宋体" w:hAnsi="宋体" w:eastAsia="宋体" w:cs="宋体"/>
          <w:b/>
          <w:sz w:val="21"/>
          <w:szCs w:val="21"/>
        </w:rPr>
        <w:t>附件2：安全生产管理协议</w:t>
      </w:r>
      <w:bookmarkEnd w:id="214"/>
    </w:p>
    <w:p w14:paraId="6874D116">
      <w:pPr>
        <w:snapToGrid w:val="0"/>
        <w:spacing w:line="360" w:lineRule="auto"/>
        <w:ind w:left="648" w:right="-26"/>
        <w:jc w:val="center"/>
        <w:outlineLvl w:val="9"/>
        <w:rPr>
          <w:rFonts w:hint="eastAsia" w:ascii="宋体" w:hAnsi="宋体" w:eastAsia="宋体" w:cs="宋体"/>
          <w:b/>
          <w:bCs/>
          <w:szCs w:val="21"/>
          <w:lang w:val="zh-CN"/>
        </w:rPr>
      </w:pPr>
    </w:p>
    <w:p w14:paraId="235E12BA">
      <w:pPr>
        <w:jc w:val="center"/>
        <w:outlineLvl w:val="9"/>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《安全生产管理协议（施工、安装、服务类）》</w:t>
      </w:r>
    </w:p>
    <w:p w14:paraId="00707B84">
      <w:pPr>
        <w:jc w:val="center"/>
        <w:outlineLvl w:val="9"/>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 xml:space="preserve">                                         </w:t>
      </w:r>
    </w:p>
    <w:p w14:paraId="274625CF">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4055D78E">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地址: </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FBE94D0">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05A3F6AD">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p>
    <w:p w14:paraId="52399FA4">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192C7CD1">
      <w:pPr>
        <w:spacing w:line="360" w:lineRule="auto"/>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5EC15A3">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203B19BF">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79498919">
      <w:pPr>
        <w:pStyle w:val="24"/>
        <w:spacing w:line="360" w:lineRule="auto"/>
        <w:ind w:left="0" w:leftChars="0"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根据《中华人民共和国安全生产法》和《建设工程安全生产管理条例》等法规要求，为加强作业现场的安全管理，落实各自</w:t>
      </w:r>
      <w:r>
        <w:rPr>
          <w:rFonts w:hint="eastAsia" w:ascii="宋体" w:hAnsi="宋体" w:eastAsia="宋体" w:cs="宋体"/>
          <w:color w:val="000000" w:themeColor="text1"/>
          <w:sz w:val="21"/>
          <w:szCs w:val="21"/>
          <w14:textFill>
            <w14:solidFill>
              <w14:schemeClr w14:val="tx1"/>
            </w14:solidFill>
          </w14:textFill>
        </w:rPr>
        <w:t>的安全生产职责，进一步加强作业的安全管理，杜绝作业人员因安全管理不善而引发的各类安全事故，保证甲、乙双方的财产和员工的人身安全不受侵害，经甲乙双方协商一致，签订协议如下：</w:t>
      </w:r>
    </w:p>
    <w:p w14:paraId="4CF4E64F">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eastAsia="宋体" w:cs="宋体"/>
          <w:color w:val="000000" w:themeColor="text1"/>
          <w:sz w:val="21"/>
          <w:szCs w:val="21"/>
          <w:u w:val="single"/>
          <w14:textFill>
            <w14:solidFill>
              <w14:schemeClr w14:val="tx1"/>
            </w14:solidFill>
          </w14:textFill>
        </w:rPr>
        <w:t xml:space="preserve">                                   </w:t>
      </w:r>
    </w:p>
    <w:p w14:paraId="317B3A61">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                                                   </w:t>
      </w:r>
    </w:p>
    <w:p w14:paraId="2506C1F8">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项目时间：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 xml:space="preserve">日  至 </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u w:val="single"/>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日</w:t>
      </w:r>
    </w:p>
    <w:p w14:paraId="7A0DE604">
      <w:pPr>
        <w:spacing w:before="44" w:line="360" w:lineRule="auto"/>
        <w:outlineLvl w:val="9"/>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第一条、污水处理厂风险辨识</w:t>
      </w:r>
    </w:p>
    <w:p w14:paraId="03AF1293">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20CDDA17">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2、其他有限空间辨识，如:建筑施工未完工的地下暗室、管道及管道井等封闭、半封闭的设施及场所（地下隐蔽工程、密闭容器、长期不用的设施或通风不畅的场所等）等。</w:t>
      </w:r>
    </w:p>
    <w:p w14:paraId="3AEB4F4F">
      <w:pPr>
        <w:spacing w:before="44" w:line="360" w:lineRule="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第二条</w:t>
      </w:r>
      <w:r>
        <w:rPr>
          <w:rFonts w:hint="eastAsia" w:ascii="宋体" w:hAnsi="宋体" w:eastAsia="宋体" w:cs="宋体"/>
          <w:b/>
          <w:bCs/>
          <w:color w:val="000000" w:themeColor="text1"/>
          <w:sz w:val="21"/>
          <w:szCs w:val="21"/>
          <w14:textFill>
            <w14:solidFill>
              <w14:schemeClr w14:val="tx1"/>
            </w14:solidFill>
          </w14:textFill>
        </w:rPr>
        <w:t>、危害因素分析</w:t>
      </w:r>
    </w:p>
    <w:p w14:paraId="4C0D2B29">
      <w:pPr>
        <w:autoSpaceDE/>
        <w:autoSpaceDN/>
        <w:adjustRightInd/>
        <w:spacing w:line="360" w:lineRule="auto"/>
        <w:ind w:firstLine="420" w:firstLineChars="200"/>
        <w:jc w:val="both"/>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p>
    <w:p w14:paraId="627DC955">
      <w:pPr>
        <w:numPr>
          <w:ilvl w:val="255"/>
          <w:numId w:val="0"/>
        </w:numPr>
        <w:autoSpaceDE/>
        <w:autoSpaceDN/>
        <w:adjustRightInd/>
        <w:spacing w:line="360" w:lineRule="auto"/>
        <w:jc w:val="both"/>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第三条</w:t>
      </w:r>
      <w:r>
        <w:rPr>
          <w:rFonts w:hint="eastAsia" w:ascii="宋体" w:hAnsi="宋体" w:eastAsia="宋体" w:cs="宋体"/>
          <w:b/>
          <w:bCs/>
          <w:color w:val="000000" w:themeColor="text1"/>
          <w:sz w:val="21"/>
          <w:szCs w:val="21"/>
          <w14:textFill>
            <w14:solidFill>
              <w14:schemeClr w14:val="tx1"/>
            </w14:solidFill>
          </w14:textFill>
        </w:rPr>
        <w:t>、协议实施条款</w:t>
      </w:r>
    </w:p>
    <w:p w14:paraId="3A9EDBF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“相关方”是指：</w:t>
      </w:r>
      <w:r>
        <w:rPr>
          <w:rFonts w:hint="eastAsia" w:ascii="宋体" w:hAnsi="宋体" w:eastAsia="宋体" w:cs="宋体"/>
          <w:color w:val="000000" w:themeColor="text1"/>
          <w:sz w:val="21"/>
          <w:szCs w:val="21"/>
          <w:lang w:val="en-US" w:eastAsia="zh-CN"/>
          <w14:textFill>
            <w14:solidFill>
              <w14:schemeClr w14:val="tx1"/>
            </w14:solidFill>
          </w14:textFill>
        </w:rPr>
        <w:t>乙方在甲方场所内或指定场所</w:t>
      </w:r>
      <w:r>
        <w:rPr>
          <w:rFonts w:hint="eastAsia" w:ascii="宋体" w:hAnsi="宋体" w:eastAsia="宋体" w:cs="宋体"/>
          <w:color w:val="000000" w:themeColor="text1"/>
          <w:sz w:val="21"/>
          <w:szCs w:val="21"/>
          <w14:textFill>
            <w14:solidFill>
              <w14:schemeClr w14:val="tx1"/>
            </w14:solidFill>
          </w14:textFill>
        </w:rPr>
        <w:t>从事与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生产经营活动有关的、在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内从事各种公务活动和进行业务往来的外部单位和个人（以下简称“相关方”）。主要包括： </w:t>
      </w:r>
    </w:p>
    <w:p w14:paraId="1E31C4AC">
      <w:pPr>
        <w:numPr>
          <w:ilvl w:val="255"/>
          <w:numId w:val="0"/>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（1）依照与</w:t>
      </w:r>
      <w:r>
        <w:rPr>
          <w:rFonts w:hint="eastAsia" w:ascii="宋体" w:hAnsi="宋体" w:eastAsia="宋体" w:cs="宋体"/>
          <w:color w:val="000000" w:themeColor="text1"/>
          <w:sz w:val="21"/>
          <w:szCs w:val="21"/>
          <w:lang w:val="en-US" w:eastAsia="zh-CN"/>
          <w14:textFill>
            <w14:solidFill>
              <w14:schemeClr w14:val="tx1"/>
            </w14:solidFill>
          </w14:textFill>
        </w:rPr>
        <w:t>甲方</w:t>
      </w:r>
      <w:r>
        <w:rPr>
          <w:rFonts w:hint="eastAsia" w:ascii="宋体" w:hAnsi="宋体" w:eastAsia="宋体" w:cs="宋体"/>
          <w:color w:val="000000" w:themeColor="text1"/>
          <w:sz w:val="21"/>
          <w:szCs w:val="21"/>
          <w14:textFill>
            <w14:solidFill>
              <w14:schemeClr w14:val="tx1"/>
            </w14:solidFill>
          </w14:textFill>
        </w:rPr>
        <w:t>订立的有关合同，在</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 xml:space="preserve">内从事基建、设备安装、维修保养、运输、后勤服务、劳务输出以及其他承包各种项目的外来单位或个人。 </w:t>
      </w:r>
    </w:p>
    <w:p w14:paraId="6A4B8CA4">
      <w:pPr>
        <w:numPr>
          <w:ilvl w:val="0"/>
          <w:numId w:val="13"/>
        </w:numPr>
        <w:autoSpaceDE/>
        <w:autoSpaceDN/>
        <w:adjustRightInd/>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进入</w:t>
      </w:r>
      <w:r>
        <w:rPr>
          <w:rFonts w:hint="eastAsia" w:ascii="宋体" w:hAnsi="宋体" w:eastAsia="宋体" w:cs="宋体"/>
          <w:color w:val="000000" w:themeColor="text1"/>
          <w:sz w:val="21"/>
          <w:szCs w:val="21"/>
          <w:lang w:val="en-US" w:eastAsia="zh-CN"/>
          <w14:textFill>
            <w14:solidFill>
              <w14:schemeClr w14:val="tx1"/>
            </w14:solidFill>
          </w14:textFill>
        </w:rPr>
        <w:t>甲方场所内或指定场所</w:t>
      </w:r>
      <w:r>
        <w:rPr>
          <w:rFonts w:hint="eastAsia" w:ascii="宋体" w:hAnsi="宋体" w:eastAsia="宋体" w:cs="宋体"/>
          <w:color w:val="000000" w:themeColor="text1"/>
          <w:sz w:val="21"/>
          <w:szCs w:val="21"/>
          <w14:textFill>
            <w14:solidFill>
              <w14:schemeClr w14:val="tx1"/>
            </w14:solidFill>
          </w14:textFill>
        </w:rPr>
        <w:t>内进行商务洽谈、参观访问、工作检查、学习交流及其他各类公务活动的外来单位或个人。</w:t>
      </w:r>
    </w:p>
    <w:p w14:paraId="2FCF2F7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危险作业包括但不限于以下内容：临水作业、进入受限空间作业、临时用电作业、高处作业、断路作业、破土作业、吊装作业、盲板抽堵作业。（以下简称：危险作业）</w:t>
      </w:r>
    </w:p>
    <w:p w14:paraId="4D40FEDF">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进场前乙方应将本企业的营业执照、企业资质等级证书、安全生产许可证</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如有</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、进场人员花名册、携带进场的机具一览表、特种作业人员及特种作业操作证的复印件报甲方。进场职工必须办好作业所在地所需办理的各种证件，不得使用未成年工、童工、超龄工和安排女工从事禁忌劳动。</w:t>
      </w:r>
    </w:p>
    <w:p w14:paraId="3F123D92">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安全交底。每次进行危险作业等其他可能存在危险的作业前需由乙方的带班人员对作业人员进行安全交底。</w:t>
      </w:r>
    </w:p>
    <w:p w14:paraId="069245F7">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乙方需完善并加强对相关方的的日常考勤管理，严格遵守厂区对进出人员的管理要求。</w:t>
      </w:r>
    </w:p>
    <w:p w14:paraId="4945EDA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在作业场所配备专职或兼职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进行维修作业等其他可能存在危险的作业前需由乙方的带班人员对作业人员进行安全交底。</w:t>
      </w:r>
    </w:p>
    <w:p w14:paraId="135D7D0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乙方使用被派遣劳动者的，应当将被派遣劳动者纳入本单位从业人员统一管理，对被派遣劳动者进行岗位安全操作规程和安全操作技能的教育和培训。</w:t>
      </w:r>
    </w:p>
    <w:p w14:paraId="3459218E">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乙方应制定与作业范围相适应的应急处置预案，并定期组织演练或者参加甲方组织的演练。</w:t>
      </w:r>
    </w:p>
    <w:p w14:paraId="511BDA32">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D6B5703">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乙方应当教育和督促从业人员严格执行本单位的安全生产规章制度和安全操作规程；并向从业人员如实告知作业场所和工作岗位存在的危险因素、防范措施以及事故应急措施。</w:t>
      </w:r>
    </w:p>
    <w:p w14:paraId="79AD6C8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乙方依法参加工伤保险，为从业人员缴纳保险费，并应当为从事危险作业的人员办理意外伤害保险。</w:t>
      </w:r>
    </w:p>
    <w:p w14:paraId="65F3511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乙方应严格遵守国家、地方政府有关安全生产及劳动保护的法律法规、标准、规定，贯彻执行甲方的各项安全管理规章制度，严格按照生产场所操作规程制度。</w:t>
      </w:r>
    </w:p>
    <w:p w14:paraId="701839CC">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079633B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46E8A3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4A2E4F5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单方解除合同，并要求乙方清退出场。</w:t>
      </w:r>
    </w:p>
    <w:p w14:paraId="676F7A8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1D966BBA">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乙方作业人员未经许可不得随意到厂区区域以内的其它工作场所活动，活动内容包括不限于采摘水果、前往其他池体活动、攀爬构筑物等危险行为，出现人身损伤或伤亡的，由乙方自行负责一切责任。</w:t>
      </w:r>
    </w:p>
    <w:p w14:paraId="2A782260">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在作业过程中，需要进行动土、动火、登高、吊装、断路、进入限制性空间等危险性较高的作业时，乙方的作业负责人、专职或兼职安全员必须现场确认，作业前报甲方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并</w:t>
      </w:r>
      <w:r>
        <w:rPr>
          <w:rFonts w:hint="eastAsia" w:ascii="宋体" w:hAnsi="宋体" w:eastAsia="宋体" w:cs="宋体"/>
          <w:color w:val="000000" w:themeColor="text1"/>
          <w:sz w:val="21"/>
          <w:szCs w:val="21"/>
          <w14:textFill>
            <w14:solidFill>
              <w14:schemeClr w14:val="tx1"/>
            </w14:solidFill>
          </w14:textFill>
        </w:rPr>
        <w:t>根据甲方的关于危险作业安全要求执行。</w:t>
      </w:r>
    </w:p>
    <w:p w14:paraId="23AD5D07">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因乙方原因，造成乙方损失，由乙方自负，给甲方造成财产损失和人员伤害，乙方要负全部责任，并全额赔偿甲方。</w:t>
      </w:r>
    </w:p>
    <w:p w14:paraId="0F8B8066">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非因甲方原因，造成乙方损失的，甲方不承担任何责任，由乙方自行承担全部责任。</w:t>
      </w:r>
    </w:p>
    <w:p w14:paraId="0E32913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乙方应严格遵守法律法规以及甲方的安全管理要求，并接受甲方的安全生产工作协调和监督，积极消除安全隐患。安全管理的基本要求包括但不限于以下条款：</w:t>
      </w:r>
    </w:p>
    <w:p w14:paraId="771F0F5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①禁火区内严禁吸烟、动火。有火灾危险的作业区域，乙方必须配置足够的灭火设施。</w:t>
      </w:r>
    </w:p>
    <w:p w14:paraId="4A2AEA7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②焊接、气割作业时两瓶距离必须达到5M及以上，</w:t>
      </w:r>
      <w:r>
        <w:rPr>
          <w:rFonts w:hint="eastAsia" w:ascii="宋体" w:hAnsi="宋体" w:eastAsia="宋体" w:cs="宋体"/>
          <w:color w:val="000000" w:themeColor="text1"/>
          <w:sz w:val="21"/>
          <w:szCs w:val="21"/>
          <w:lang w:val="en-US" w:eastAsia="zh-CN"/>
          <w14:textFill>
            <w14:solidFill>
              <w14:schemeClr w14:val="tx1"/>
            </w14:solidFill>
          </w14:textFill>
        </w:rPr>
        <w:t>且有防倾倒措施及安装阻火器，</w:t>
      </w:r>
      <w:r>
        <w:rPr>
          <w:rFonts w:hint="eastAsia" w:ascii="宋体" w:hAnsi="宋体" w:eastAsia="宋体" w:cs="宋体"/>
          <w:color w:val="000000" w:themeColor="text1"/>
          <w:sz w:val="21"/>
          <w:szCs w:val="21"/>
          <w14:textFill>
            <w14:solidFill>
              <w14:schemeClr w14:val="tx1"/>
            </w14:solidFill>
          </w14:textFill>
        </w:rPr>
        <w:t>气瓶距可能产生火花的电器、设备和其它火源的间距必须达到10M及以上</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气瓶严禁烈日暴晒及卧倒使用</w:t>
      </w:r>
      <w:r>
        <w:rPr>
          <w:rFonts w:hint="eastAsia" w:ascii="宋体" w:hAnsi="宋体" w:eastAsia="宋体" w:cs="宋体"/>
          <w:color w:val="000000" w:themeColor="text1"/>
          <w:sz w:val="21"/>
          <w:szCs w:val="21"/>
          <w14:textFill>
            <w14:solidFill>
              <w14:schemeClr w14:val="tx1"/>
            </w14:solidFill>
          </w14:textFill>
        </w:rPr>
        <w:t>。</w:t>
      </w:r>
    </w:p>
    <w:p w14:paraId="657E81CD">
      <w:pPr>
        <w:spacing w:line="360" w:lineRule="auto"/>
        <w:ind w:left="600" w:leftChars="25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③严禁在厂内道路、消防通道内搭建临时建筑或堆放物资；</w:t>
      </w:r>
    </w:p>
    <w:p w14:paraId="66D747F9">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严禁占用、堵塞、遮掩、挪用、损毁、破坏或因装修作业等工作或其他原因导致消防设施设备损坏。</w:t>
      </w:r>
    </w:p>
    <w:p w14:paraId="034DC296">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④作业场所的电动工具、电焊机等须有漏电保护器和相应的安全防护装置</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接线方式符合</w:t>
      </w:r>
      <w:r>
        <w:rPr>
          <w:rFonts w:hint="eastAsia" w:ascii="宋体" w:hAnsi="宋体" w:eastAsia="宋体" w:cs="宋体"/>
          <w:color w:val="000000" w:themeColor="text1"/>
          <w:sz w:val="21"/>
          <w:szCs w:val="21"/>
          <w14:textFill>
            <w14:solidFill>
              <w14:schemeClr w14:val="tx1"/>
            </w14:solidFill>
          </w14:textFill>
        </w:rPr>
        <w:t>“一机一闸</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有关</w:t>
      </w:r>
      <w:r>
        <w:rPr>
          <w:rFonts w:hint="eastAsia" w:ascii="宋体" w:hAnsi="宋体" w:eastAsia="宋体" w:cs="宋体"/>
          <w:color w:val="000000" w:themeColor="text1"/>
          <w:sz w:val="21"/>
          <w:szCs w:val="21"/>
          <w14:textFill>
            <w14:solidFill>
              <w14:schemeClr w14:val="tx1"/>
            </w14:solidFill>
          </w14:textFill>
        </w:rPr>
        <w:t>规定。</w:t>
      </w:r>
    </w:p>
    <w:p w14:paraId="2948CA33">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w:t>
      </w:r>
      <w:r>
        <w:rPr>
          <w:rFonts w:hint="eastAsia" w:ascii="宋体" w:hAnsi="宋体" w:eastAsia="宋体" w:cs="宋体"/>
          <w:color w:val="000000" w:themeColor="text1"/>
          <w:sz w:val="21"/>
          <w:szCs w:val="21"/>
          <w:lang w:val="en-US" w:eastAsia="zh-CN"/>
          <w14:textFill>
            <w14:solidFill>
              <w14:schemeClr w14:val="tx1"/>
            </w14:solidFill>
          </w14:textFill>
        </w:rPr>
        <w:t>生产、</w:t>
      </w:r>
      <w:r>
        <w:rPr>
          <w:rFonts w:hint="eastAsia" w:ascii="宋体" w:hAnsi="宋体" w:eastAsia="宋体" w:cs="宋体"/>
          <w:color w:val="000000" w:themeColor="text1"/>
          <w:sz w:val="21"/>
          <w:szCs w:val="21"/>
          <w14:textFill>
            <w14:solidFill>
              <w14:schemeClr w14:val="tx1"/>
            </w14:solidFill>
          </w14:textFill>
        </w:rPr>
        <w:t>作业现场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居住室、办公室内的用电设施必须符合要求，严禁电线乱接、乱拉，刀闸和开关无盖，在电器设施上堆放物品。</w:t>
      </w:r>
    </w:p>
    <w:p w14:paraId="0BE6F9A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⑥防雷、防静电设施及用电设施要有良好接地。</w:t>
      </w:r>
    </w:p>
    <w:p w14:paraId="7C30F483">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⑦作业现场的危险区域，如临边、深坑、土方堆填区等，必须设置围栏和危险标志，夜间要设信号灯。</w:t>
      </w:r>
    </w:p>
    <w:p w14:paraId="2E805B98">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4B56A32">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367FD77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28D50DAB">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⑪</w:t>
      </w:r>
      <w:r>
        <w:rPr>
          <w:rFonts w:hint="eastAsia" w:ascii="宋体" w:hAnsi="宋体" w:eastAsia="宋体" w:cs="宋体"/>
          <w:color w:val="000000" w:themeColor="text1"/>
          <w:sz w:val="21"/>
          <w:szCs w:val="21"/>
          <w:lang w:val="en-US" w:eastAsia="zh-CN"/>
          <w14:textFill>
            <w14:solidFill>
              <w14:schemeClr w14:val="tx1"/>
            </w14:solidFill>
          </w14:textFill>
        </w:rPr>
        <w:t>乙方落实好化学品及危险化学品管理，禁止</w:t>
      </w:r>
      <w:r>
        <w:rPr>
          <w:rFonts w:hint="eastAsia" w:ascii="宋体" w:hAnsi="宋体" w:eastAsia="宋体" w:cs="宋体"/>
          <w:color w:val="000000" w:themeColor="text1"/>
          <w:sz w:val="21"/>
          <w:szCs w:val="21"/>
          <w:lang w:val="en-US"/>
          <w14:textFill>
            <w14:solidFill>
              <w14:schemeClr w14:val="tx1"/>
            </w14:solidFill>
          </w14:textFill>
        </w:rPr>
        <w:t>危化品废弃物随意丢弃、倒掉</w:t>
      </w:r>
      <w:r>
        <w:rPr>
          <w:rFonts w:hint="eastAsia" w:ascii="宋体" w:hAnsi="宋体" w:eastAsia="宋体" w:cs="宋体"/>
          <w:color w:val="000000" w:themeColor="text1"/>
          <w:sz w:val="21"/>
          <w:szCs w:val="21"/>
          <w:lang w:val="en-US" w:eastAsia="zh-CN"/>
          <w14:textFill>
            <w14:solidFill>
              <w14:schemeClr w14:val="tx1"/>
            </w14:solidFill>
          </w14:textFill>
        </w:rPr>
        <w:t>，危险化学品泄漏应采取正确防护措施。</w:t>
      </w:r>
    </w:p>
    <w:p w14:paraId="35ACA2F9">
      <w:pPr>
        <w:spacing w:line="360" w:lineRule="auto"/>
        <w:ind w:firstLine="420" w:firstLineChars="200"/>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14:textFill>
            <w14:solidFill>
              <w14:schemeClr w14:val="tx1"/>
            </w14:solidFill>
          </w14:textFill>
        </w:rPr>
        <w:t>⑫</w:t>
      </w:r>
      <w:r>
        <w:rPr>
          <w:rFonts w:hint="eastAsia" w:ascii="宋体" w:hAnsi="宋体" w:eastAsia="宋体" w:cs="宋体"/>
          <w:color w:val="000000" w:themeColor="text1"/>
          <w:sz w:val="21"/>
          <w:szCs w:val="21"/>
          <w:lang w:val="en-US" w:eastAsia="zh-CN"/>
          <w14:textFill>
            <w14:solidFill>
              <w14:schemeClr w14:val="tx1"/>
            </w14:solidFill>
          </w14:textFill>
        </w:rPr>
        <w:t>吊装作业前应检查吊具、吊绳安全性能，禁止超载吊装作业，吊运半径下方严禁站人。</w:t>
      </w:r>
    </w:p>
    <w:p w14:paraId="0EBD5169">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54E54BB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必须接受甲方的检查与监督，并应主动配合，做好安全工作。乙方若有出现违反本协议“第三条，协议实施条款”任一情形的，甲方有权要求乙方立即整改，且甲方有权视情况从工程结算款/服务价款中扣除1000元/</w:t>
      </w:r>
      <w:r>
        <w:rPr>
          <w:rFonts w:hint="eastAsia" w:ascii="宋体" w:hAnsi="宋体" w:eastAsia="宋体" w:cs="宋体"/>
          <w:color w:val="000000" w:themeColor="text1"/>
          <w:sz w:val="21"/>
          <w:szCs w:val="21"/>
          <w:lang w:val="en-US" w:eastAsia="zh-CN"/>
          <w14:textFill>
            <w14:solidFill>
              <w14:schemeClr w14:val="tx1"/>
            </w14:solidFill>
          </w14:textFill>
        </w:rPr>
        <w:t>条/款</w:t>
      </w:r>
      <w:r>
        <w:rPr>
          <w:rFonts w:hint="eastAsia" w:ascii="宋体" w:hAnsi="宋体" w:eastAsia="宋体" w:cs="宋体"/>
          <w:color w:val="000000" w:themeColor="text1"/>
          <w:sz w:val="21"/>
          <w:szCs w:val="21"/>
          <w14:textFill>
            <w14:solidFill>
              <w14:schemeClr w14:val="tx1"/>
            </w14:solidFill>
          </w14:textFill>
        </w:rPr>
        <w:t>作为违约金。</w:t>
      </w:r>
    </w:p>
    <w:p w14:paraId="430DF4E1">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若乙方有下列情形之一的或在整改后仍违反协议的，甲方有权</w:t>
      </w:r>
      <w:r>
        <w:rPr>
          <w:rFonts w:hint="eastAsia" w:ascii="宋体" w:hAnsi="宋体" w:eastAsia="宋体" w:cs="宋体"/>
          <w:color w:val="000000" w:themeColor="text1"/>
          <w:sz w:val="21"/>
          <w:szCs w:val="21"/>
          <w:lang w:val="en-US" w:eastAsia="zh-CN"/>
          <w14:textFill>
            <w14:solidFill>
              <w14:schemeClr w14:val="tx1"/>
            </w14:solidFill>
          </w14:textFill>
        </w:rPr>
        <w:t>按合同第九条违约责任相关条款执行</w:t>
      </w:r>
      <w:r>
        <w:rPr>
          <w:rFonts w:hint="eastAsia" w:ascii="宋体" w:hAnsi="宋体" w:eastAsia="宋体" w:cs="宋体"/>
          <w:color w:val="000000" w:themeColor="text1"/>
          <w:sz w:val="21"/>
          <w:szCs w:val="21"/>
          <w14:textFill>
            <w14:solidFill>
              <w14:schemeClr w14:val="tx1"/>
            </w14:solidFill>
          </w14:textFill>
        </w:rPr>
        <w:t>，同时甲方有权要求乙方承担第24条的违约金。造成甲方损失的，乙方需另行赔偿：</w:t>
      </w:r>
    </w:p>
    <w:p w14:paraId="0F36A019">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①乙方不能提供与项目相匹配的营业执照、施工资质、安全生产许可证、技术人员、特种作业人员、安全员和设备设施的；</w:t>
      </w:r>
    </w:p>
    <w:p w14:paraId="384A753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②乙方未对作业人员进行岗位安全操作规程和安全操作技能的教育和培训的；没有向作业人员提供劳动防护用品的；</w:t>
      </w:r>
    </w:p>
    <w:p w14:paraId="497B01BC">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③乙方未对所属员工定期开展安全教育培训的；</w:t>
      </w:r>
    </w:p>
    <w:p w14:paraId="44904721">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④在开展涉及危险性较高的作业时，乙方未在作业前报甲方的；</w:t>
      </w:r>
    </w:p>
    <w:p w14:paraId="10AAC56A">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⑤乙方违章作业或违章指挥作业的；</w:t>
      </w:r>
    </w:p>
    <w:p w14:paraId="75F6946D">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⑥乙方现场安全管理不到位或不服从甲方安全管理的；</w:t>
      </w:r>
    </w:p>
    <w:p w14:paraId="45A8395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⑦发生事故后，乙方未及时开展应急救援工作的；</w:t>
      </w:r>
    </w:p>
    <w:p w14:paraId="296E247F">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⑨未制定与作业范围相适应的应急处置预案；</w:t>
      </w:r>
    </w:p>
    <w:p w14:paraId="0ADAB150">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⑩乙方不履行协议义务或者未按协议约定履行义务的其他情况。</w:t>
      </w:r>
    </w:p>
    <w:p w14:paraId="2AB81311">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需做好临水作业安全保障工作，临水作业的范围包括但不限于：构筑物水面垃圾的打捞（含粗格栅、细格栅、生化池、沉淀池/二沉池；生化池、二沉池、滤布滤池、出水明渠、硝化池、反硝化池等构筑物）的池内清洗等。具体要求如下：</w:t>
      </w:r>
    </w:p>
    <w:p w14:paraId="2CA93077">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乙方在实施临水作业时，需设一名或以上监护人员；作业存在多种危险作业情况下，需严格落实2人或2人以上为一组协同作业或交替作业，不能单独作业。</w:t>
      </w:r>
    </w:p>
    <w:p w14:paraId="69849C92">
      <w:pPr>
        <w:numPr>
          <w:ilvl w:val="0"/>
          <w:numId w:val="14"/>
        </w:num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危险作业前，必须检查作业工具是否完好，做好交底工作。</w:t>
      </w:r>
    </w:p>
    <w:p w14:paraId="7BDB9590">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（3）危险作业时，必须做好安全防护措施（穿戴救生衣、安全绳（带）、水鞋、手套、不得穿拖鞋或凉鞋等），严格落实2人或2人以上为一组进行协同作业，不得单独作业。</w:t>
      </w:r>
    </w:p>
    <w:p w14:paraId="68C9FBB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（4）如遇阴雨及大雾、雷暴雨、台风等恶劣天气，禁止危险作业。</w:t>
      </w:r>
    </w:p>
    <w:p w14:paraId="5CC5217D">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乙方对作业过程中潜在的安全风险不明确的，不可盲目作业，否则，造成的后果由乙方独自承担。</w:t>
      </w:r>
    </w:p>
    <w:p w14:paraId="1EE10588">
      <w:pPr>
        <w:numPr>
          <w:ilvl w:val="0"/>
          <w:numId w:val="12"/>
        </w:num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本协议一式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份，其中甲方执</w:t>
      </w:r>
      <w:r>
        <w:rPr>
          <w:rFonts w:hint="eastAsia" w:ascii="宋体" w:hAnsi="宋体" w:eastAsia="宋体" w:cs="宋体"/>
          <w:sz w:val="21"/>
          <w:szCs w:val="21"/>
          <w:u w:val="single"/>
        </w:rPr>
        <w:t xml:space="preserve">    </w:t>
      </w:r>
      <w:r>
        <w:rPr>
          <w:rFonts w:hint="eastAsia" w:ascii="宋体" w:hAnsi="宋体" w:eastAsia="宋体" w:cs="宋体"/>
          <w:sz w:val="21"/>
          <w:szCs w:val="21"/>
        </w:rPr>
        <w:t>份，乙方执</w:t>
      </w:r>
      <w:r>
        <w:rPr>
          <w:rFonts w:hint="eastAsia" w:ascii="宋体" w:hAnsi="宋体" w:eastAsia="宋体" w:cs="宋体"/>
          <w:sz w:val="21"/>
          <w:szCs w:val="21"/>
          <w:u w:val="single"/>
        </w:rPr>
        <w:t xml:space="preserve">    </w:t>
      </w:r>
      <w:r>
        <w:rPr>
          <w:rFonts w:hint="eastAsia" w:ascii="宋体" w:hAnsi="宋体" w:eastAsia="宋体" w:cs="宋体"/>
          <w:sz w:val="21"/>
          <w:szCs w:val="21"/>
        </w:rPr>
        <w:t>份，自甲、乙双方法定代表人或负责人签字并盖章之日起生效。</w:t>
      </w:r>
    </w:p>
    <w:p w14:paraId="2783BAD7">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4293D596">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乙方声明：</w:t>
      </w:r>
    </w:p>
    <w:p w14:paraId="4C655CEF">
      <w:pPr>
        <w:spacing w:line="360" w:lineRule="auto"/>
        <w:ind w:firstLine="426" w:firstLineChars="202"/>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乙方已认真阅读协议内容，对协议条款、现场的安全管理要求、安全风险充分理解，并自愿承担因违约造成的一切后果。</w:t>
      </w:r>
    </w:p>
    <w:p w14:paraId="064B6584">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（以下无正文）</w:t>
      </w:r>
    </w:p>
    <w:p w14:paraId="7B276453">
      <w:pPr>
        <w:spacing w:line="360" w:lineRule="auto"/>
        <w:ind w:firstLine="420" w:firstLineChars="200"/>
        <w:outlineLvl w:val="9"/>
        <w:rPr>
          <w:rFonts w:hint="eastAsia" w:ascii="宋体" w:hAnsi="宋体" w:eastAsia="宋体" w:cs="宋体"/>
          <w:color w:val="000000" w:themeColor="text1"/>
          <w:sz w:val="21"/>
          <w:szCs w:val="21"/>
          <w14:textFill>
            <w14:solidFill>
              <w14:schemeClr w14:val="tx1"/>
            </w14:solidFill>
          </w14:textFill>
        </w:rPr>
      </w:pPr>
    </w:p>
    <w:p w14:paraId="4B7BF2F0">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甲方（盖章）：                      乙方（盖章）： </w:t>
      </w:r>
    </w:p>
    <w:p w14:paraId="4ED5F179">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5C612A9F">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2F7D4E44">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法定代表人或负责人：                法定代表人或负责人：</w:t>
      </w:r>
    </w:p>
    <w:p w14:paraId="54011523">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1B139F96">
      <w:pPr>
        <w:spacing w:line="360" w:lineRule="auto"/>
        <w:outlineLvl w:val="9"/>
        <w:rPr>
          <w:rFonts w:hint="eastAsia" w:ascii="宋体" w:hAnsi="宋体" w:eastAsia="宋体" w:cs="宋体"/>
          <w:color w:val="000000" w:themeColor="text1"/>
          <w:sz w:val="21"/>
          <w:szCs w:val="21"/>
          <w14:textFill>
            <w14:solidFill>
              <w14:schemeClr w14:val="tx1"/>
            </w14:solidFill>
          </w14:textFill>
        </w:rPr>
      </w:pPr>
    </w:p>
    <w:p w14:paraId="5E3FA5A1">
      <w:pPr>
        <w:spacing w:line="360" w:lineRule="auto"/>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                              日期：</w:t>
      </w:r>
    </w:p>
    <w:p w14:paraId="1A028E4F">
      <w:pPr>
        <w:autoSpaceDE w:val="0"/>
        <w:autoSpaceDN w:val="0"/>
        <w:adjustRightInd w:val="0"/>
        <w:snapToGrid w:val="0"/>
        <w:spacing w:line="360" w:lineRule="auto"/>
        <w:jc w:val="left"/>
        <w:outlineLvl w:val="9"/>
        <w:rPr>
          <w:rFonts w:hint="eastAsia" w:ascii="宋体" w:hAnsi="宋体" w:eastAsia="宋体" w:cs="宋体"/>
          <w:kern w:val="0"/>
          <w:szCs w:val="21"/>
        </w:rPr>
      </w:pPr>
    </w:p>
    <w:p w14:paraId="44E4B17A">
      <w:pPr>
        <w:pageBreakBefore/>
        <w:spacing w:before="120" w:beforeLines="50" w:after="120" w:afterLines="50" w:line="360" w:lineRule="auto"/>
        <w:ind w:firstLine="640"/>
        <w:jc w:val="center"/>
        <w:outlineLvl w:val="0"/>
        <w:rPr>
          <w:rFonts w:hint="eastAsia" w:ascii="宋体" w:hAnsi="宋体" w:eastAsia="宋体" w:cs="宋体"/>
          <w:b/>
          <w:bCs/>
          <w:sz w:val="32"/>
          <w:szCs w:val="32"/>
          <w:lang w:val="zh-CN"/>
        </w:rPr>
      </w:pPr>
      <w:bookmarkStart w:id="215" w:name="_Toc17044"/>
      <w:bookmarkStart w:id="216" w:name="_Toc512353083"/>
      <w:bookmarkStart w:id="217" w:name="_Toc142508360"/>
      <w:bookmarkStart w:id="218" w:name="_Toc24427_WPSOffice_Level1"/>
      <w:bookmarkStart w:id="219" w:name="_Toc25564"/>
      <w:bookmarkStart w:id="220" w:name="_Toc13867"/>
      <w:bookmarkStart w:id="221" w:name="_Toc9981"/>
      <w:bookmarkStart w:id="222" w:name="_Toc30025"/>
      <w:r>
        <w:rPr>
          <w:rFonts w:hint="eastAsia" w:ascii="宋体" w:hAnsi="宋体" w:eastAsia="宋体" w:cs="宋体"/>
          <w:b/>
          <w:bCs/>
          <w:sz w:val="32"/>
          <w:szCs w:val="32"/>
          <w:lang w:val="zh-CN"/>
        </w:rPr>
        <w:t>第五篇 相关保函格式</w:t>
      </w:r>
      <w:bookmarkEnd w:id="215"/>
      <w:bookmarkEnd w:id="216"/>
      <w:bookmarkEnd w:id="217"/>
      <w:bookmarkEnd w:id="218"/>
      <w:bookmarkEnd w:id="219"/>
      <w:bookmarkEnd w:id="220"/>
      <w:bookmarkEnd w:id="221"/>
      <w:bookmarkEnd w:id="222"/>
      <w:bookmarkStart w:id="223" w:name="_Toc447045091"/>
      <w:bookmarkStart w:id="224" w:name="_Toc447044480"/>
      <w:bookmarkStart w:id="225" w:name="_Toc447044604"/>
    </w:p>
    <w:p w14:paraId="03B0A884">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bookmarkStart w:id="226" w:name="_Toc26521_WPSOffice_Level2"/>
      <w:r>
        <w:rPr>
          <w:rFonts w:hint="eastAsia" w:ascii="宋体" w:hAnsi="宋体" w:eastAsia="宋体" w:cs="宋体"/>
          <w:b/>
          <w:kern w:val="0"/>
          <w:sz w:val="28"/>
          <w:szCs w:val="28"/>
        </w:rPr>
        <w:t>一、不可撤销银行履约保函格式</w:t>
      </w:r>
      <w:bookmarkEnd w:id="223"/>
      <w:bookmarkEnd w:id="224"/>
      <w:bookmarkEnd w:id="225"/>
      <w:bookmarkEnd w:id="226"/>
    </w:p>
    <w:p w14:paraId="13E3B3AA">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不可撤销银行履约保函</w:t>
      </w:r>
    </w:p>
    <w:p w14:paraId="6516AB58">
      <w:pPr>
        <w:widowControl/>
        <w:autoSpaceDE w:val="0"/>
        <w:autoSpaceDN w:val="0"/>
        <w:adjustRightInd w:val="0"/>
        <w:spacing w:line="360" w:lineRule="auto"/>
        <w:jc w:val="left"/>
        <w:outlineLvl w:val="9"/>
        <w:rPr>
          <w:rFonts w:hint="eastAsia" w:ascii="宋体" w:hAnsi="宋体" w:eastAsia="宋体" w:cs="宋体"/>
          <w:kern w:val="0"/>
          <w:szCs w:val="21"/>
        </w:rPr>
      </w:pPr>
    </w:p>
    <w:p w14:paraId="3E33AD49">
      <w:pPr>
        <w:autoSpaceDE w:val="0"/>
        <w:autoSpaceDN w:val="0"/>
        <w:adjustRightInd w:val="0"/>
        <w:spacing w:line="360" w:lineRule="auto"/>
        <w:ind w:firstLine="63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银行编号：</w:t>
      </w:r>
    </w:p>
    <w:p w14:paraId="48F146DC">
      <w:pPr>
        <w:widowControl/>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3E75201E">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项目名称       （</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74103E84">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的无条件、不可撤销银行履约保函，作为申请人履行上述合同的担保。</w:t>
      </w:r>
    </w:p>
    <w:p w14:paraId="4B3E3CA8">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（银行名称）</w:t>
      </w:r>
      <w:r>
        <w:rPr>
          <w:rFonts w:hint="eastAsia" w:ascii="宋体" w:hAnsi="宋体" w:eastAsia="宋体" w:cs="宋体"/>
          <w:kern w:val="0"/>
          <w:sz w:val="21"/>
          <w:szCs w:val="21"/>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09F6EBD4">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在向我行提出要求前，我行将不坚持要求受益人首先向申请人提出上述款项的索赔。</w:t>
      </w:r>
    </w:p>
    <w:p w14:paraId="39170A1E">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78839C9D">
      <w:pPr>
        <w:widowControl/>
        <w:autoSpaceDE w:val="0"/>
        <w:autoSpaceDN w:val="0"/>
        <w:adjustRightInd w:val="0"/>
        <w:spacing w:line="360" w:lineRule="auto"/>
        <w:ind w:firstLine="437"/>
        <w:jc w:val="left"/>
        <w:outlineLvl w:val="9"/>
        <w:rPr>
          <w:rFonts w:hint="eastAsia" w:ascii="宋体" w:hAnsi="宋体" w:eastAsia="宋体" w:cs="宋体"/>
          <w:color w:val="FF0000"/>
          <w:kern w:val="0"/>
          <w:sz w:val="21"/>
          <w:szCs w:val="21"/>
        </w:rPr>
      </w:pPr>
      <w:r>
        <w:rPr>
          <w:rFonts w:hint="eastAsia" w:ascii="宋体" w:hAnsi="宋体" w:eastAsia="宋体" w:cs="宋体"/>
          <w:kern w:val="0"/>
          <w:sz w:val="21"/>
          <w:szCs w:val="21"/>
        </w:rPr>
        <w:t>本保函</w:t>
      </w:r>
      <w:r>
        <w:rPr>
          <w:rFonts w:hint="eastAsia" w:ascii="宋体" w:hAnsi="宋体" w:eastAsia="宋体" w:cs="宋体"/>
          <w:color w:val="auto"/>
          <w:kern w:val="0"/>
          <w:sz w:val="21"/>
          <w:szCs w:val="21"/>
        </w:rPr>
        <w:t>应自合同签订之日起至合同期限届满并完成合同全部服务义务后二十八（28）日内保持有效。</w:t>
      </w:r>
    </w:p>
    <w:p w14:paraId="45EDED55">
      <w:pPr>
        <w:widowControl/>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42D21DAE">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rPr>
        <w:t>担 保 银 行：</w:t>
      </w:r>
      <w:r>
        <w:rPr>
          <w:rFonts w:hint="eastAsia" w:ascii="宋体" w:hAnsi="宋体" w:eastAsia="宋体" w:cs="宋体"/>
          <w:kern w:val="0"/>
          <w:sz w:val="21"/>
          <w:szCs w:val="21"/>
          <w:u w:val="single"/>
        </w:rPr>
        <w:t xml:space="preserve">          银行全称          (盖章)   </w:t>
      </w:r>
    </w:p>
    <w:p w14:paraId="71DAE9A5">
      <w:pPr>
        <w:widowControl/>
        <w:autoSpaceDE w:val="0"/>
        <w:autoSpaceDN w:val="0"/>
        <w:adjustRightInd w:val="0"/>
        <w:spacing w:line="360" w:lineRule="auto"/>
        <w:ind w:firstLine="2520" w:firstLineChars="1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法定代表人或其授权的代表人：</w:t>
      </w:r>
      <w:r>
        <w:rPr>
          <w:rFonts w:hint="eastAsia" w:ascii="宋体" w:hAnsi="宋体" w:eastAsia="宋体" w:cs="宋体"/>
          <w:kern w:val="0"/>
          <w:sz w:val="21"/>
          <w:szCs w:val="21"/>
          <w:u w:val="single"/>
        </w:rPr>
        <w:t xml:space="preserve">       (职务)         </w:t>
      </w:r>
    </w:p>
    <w:p w14:paraId="44C487A2">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(姓名)         </w:t>
      </w:r>
    </w:p>
    <w:p w14:paraId="0EF00AB8">
      <w:pPr>
        <w:widowControl/>
        <w:autoSpaceDE w:val="0"/>
        <w:autoSpaceDN w:val="0"/>
        <w:adjustRightInd w:val="0"/>
        <w:spacing w:line="360" w:lineRule="auto"/>
        <w:ind w:firstLine="5502" w:firstLineChars="2620"/>
        <w:jc w:val="left"/>
        <w:outlineLvl w:val="9"/>
        <w:rPr>
          <w:rFonts w:hint="eastAsia" w:ascii="宋体" w:hAnsi="宋体" w:eastAsia="宋体" w:cs="宋体"/>
          <w:kern w:val="0"/>
          <w:sz w:val="21"/>
          <w:szCs w:val="21"/>
          <w:u w:val="single"/>
        </w:rPr>
      </w:pPr>
      <w:r>
        <w:rPr>
          <w:rFonts w:hint="eastAsia" w:ascii="宋体" w:hAnsi="宋体" w:eastAsia="宋体" w:cs="宋体"/>
          <w:kern w:val="0"/>
          <w:sz w:val="21"/>
          <w:szCs w:val="21"/>
          <w:u w:val="single"/>
        </w:rPr>
        <w:t xml:space="preserve">       (签章)         </w:t>
      </w:r>
    </w:p>
    <w:p w14:paraId="2769D805">
      <w:pPr>
        <w:autoSpaceDE w:val="0"/>
        <w:autoSpaceDN w:val="0"/>
        <w:adjustRightInd w:val="0"/>
        <w:spacing w:line="360" w:lineRule="auto"/>
        <w:ind w:left="840" w:firstLine="420" w:firstLineChars="200"/>
        <w:jc w:val="left"/>
        <w:outlineLvl w:val="9"/>
        <w:rPr>
          <w:rFonts w:hint="eastAsia" w:ascii="宋体" w:hAnsi="宋体" w:eastAsia="宋体" w:cs="宋体"/>
          <w:kern w:val="0"/>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年</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日</w:t>
      </w:r>
    </w:p>
    <w:p w14:paraId="3E79989B">
      <w:pPr>
        <w:widowControl/>
        <w:autoSpaceDE w:val="0"/>
        <w:autoSpaceDN w:val="0"/>
        <w:adjustRightInd w:val="0"/>
        <w:spacing w:line="360" w:lineRule="auto"/>
        <w:ind w:firstLine="2520" w:firstLineChars="1200"/>
        <w:jc w:val="left"/>
        <w:outlineLvl w:val="9"/>
        <w:rPr>
          <w:rFonts w:hint="eastAsia" w:ascii="宋体" w:hAnsi="宋体" w:eastAsia="宋体" w:cs="宋体"/>
          <w:kern w:val="0"/>
          <w:szCs w:val="21"/>
        </w:rPr>
        <w:sectPr>
          <w:footerReference r:id="rId9" w:type="first"/>
          <w:footerReference r:id="rId8"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履约保函真实性核对联系人及办公电话</w:t>
      </w:r>
      <w:r>
        <w:rPr>
          <w:rFonts w:hint="eastAsia" w:ascii="宋体" w:hAnsi="宋体" w:eastAsia="宋体" w:cs="宋体"/>
          <w:kern w:val="0"/>
          <w:sz w:val="21"/>
          <w:szCs w:val="21"/>
        </w:rPr>
        <w:t>：</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p w14:paraId="22305F6C">
      <w:pPr>
        <w:outlineLvl w:val="9"/>
        <w:rPr>
          <w:rFonts w:hint="eastAsia" w:ascii="宋体" w:hAnsi="宋体" w:eastAsia="宋体" w:cs="宋体"/>
          <w:b/>
          <w:kern w:val="0"/>
          <w:sz w:val="28"/>
          <w:szCs w:val="28"/>
        </w:rPr>
      </w:pPr>
      <w:r>
        <w:rPr>
          <w:rFonts w:hint="eastAsia" w:ascii="宋体" w:hAnsi="宋体" w:eastAsia="宋体" w:cs="宋体"/>
          <w:b/>
          <w:kern w:val="0"/>
          <w:sz w:val="28"/>
          <w:szCs w:val="28"/>
        </w:rPr>
        <w:t>二、履约保证保险凭证格式</w:t>
      </w:r>
    </w:p>
    <w:p w14:paraId="63CB7A95">
      <w:pPr>
        <w:autoSpaceDE w:val="0"/>
        <w:autoSpaceDN w:val="0"/>
        <w:adjustRightInd w:val="0"/>
        <w:jc w:val="center"/>
        <w:outlineLvl w:val="9"/>
        <w:rPr>
          <w:rFonts w:hint="eastAsia" w:ascii="宋体" w:hAnsi="宋体" w:eastAsia="宋体" w:cs="宋体"/>
          <w:b/>
          <w:kern w:val="0"/>
          <w:sz w:val="30"/>
          <w:szCs w:val="30"/>
        </w:rPr>
      </w:pPr>
    </w:p>
    <w:p w14:paraId="32118E18">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履约保证保险凭证</w:t>
      </w:r>
    </w:p>
    <w:p w14:paraId="06CD70EC">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Cs w:val="21"/>
        </w:rPr>
        <w:t xml:space="preserve">          </w:t>
      </w:r>
      <w:r>
        <w:rPr>
          <w:rFonts w:hint="eastAsia" w:ascii="宋体" w:hAnsi="宋体" w:eastAsia="宋体" w:cs="宋体"/>
          <w:kern w:val="0"/>
          <w:sz w:val="21"/>
          <w:szCs w:val="21"/>
        </w:rPr>
        <w:t xml:space="preserve">                            </w:t>
      </w:r>
    </w:p>
    <w:p w14:paraId="0E9B7F80">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编号：</w:t>
      </w:r>
    </w:p>
    <w:p w14:paraId="75F5BD29">
      <w:pPr>
        <w:autoSpaceDE w:val="0"/>
        <w:autoSpaceDN w:val="0"/>
        <w:adjustRightInd w:val="0"/>
        <w:spacing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（下称“受益人”）： </w:t>
      </w:r>
    </w:p>
    <w:p w14:paraId="1BE63ECC">
      <w:pPr>
        <w:autoSpaceDE w:val="0"/>
        <w:autoSpaceDN w:val="0"/>
        <w:adjustRightInd w:val="0"/>
        <w:spacing w:line="360" w:lineRule="auto"/>
        <w:ind w:firstLine="437"/>
        <w:jc w:val="left"/>
        <w:outlineLvl w:val="9"/>
        <w:rPr>
          <w:rFonts w:hint="eastAsia" w:ascii="宋体" w:hAnsi="宋体" w:eastAsia="宋体" w:cs="宋体"/>
          <w:kern w:val="0"/>
          <w:sz w:val="21"/>
          <w:szCs w:val="21"/>
        </w:rPr>
      </w:pPr>
    </w:p>
    <w:p w14:paraId="0F11C15A">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（下称“申请人”）已与贵方签订了</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合同。我方已接受申请人的请求，并出具《履约保证保险》保险单。 </w:t>
      </w:r>
    </w:p>
    <w:p w14:paraId="14C07CEF">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一、保证保险金额 </w:t>
      </w:r>
    </w:p>
    <w:p w14:paraId="46B9FD30">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我方承担的履约保证保险的保险金额（最高限额）为人民币（大写）</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元 （¥</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 xml:space="preserve"> ）。 </w:t>
      </w:r>
    </w:p>
    <w:p w14:paraId="623A0A3E">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二、保证保险的责任范围 </w:t>
      </w:r>
    </w:p>
    <w:p w14:paraId="1D58363C">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在保险期间内，申请人因自身原因未按照与贵方签订的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 xml:space="preserve">合同履行相关义务，给贵方造成损失的，贵方可向我方提出索赔，我方按照保险合同的约定承担损失赔偿责任。 </w:t>
      </w:r>
    </w:p>
    <w:p w14:paraId="3427A394">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三、代偿的安排 </w:t>
      </w:r>
    </w:p>
    <w:p w14:paraId="4B1D2C11">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E19FC5B">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四、生效时间 </w:t>
      </w:r>
    </w:p>
    <w:p w14:paraId="1393F93D">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本保险凭证自我方法定代表人（或其授权代理人）签字并加盖保险承保章之日起生效。 </w:t>
      </w:r>
    </w:p>
    <w:p w14:paraId="2B3DF3BF">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五、其他</w:t>
      </w:r>
    </w:p>
    <w:p w14:paraId="6BA7358B">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本履约保证保险应自合同签订之日起至合同期限届满并完成合同全部服务义务后二十八（28）日内保持有效。</w:t>
      </w:r>
    </w:p>
    <w:p w14:paraId="1F57E564">
      <w:pPr>
        <w:outlineLvl w:val="9"/>
        <w:rPr>
          <w:rFonts w:hint="eastAsia" w:ascii="宋体" w:hAnsi="宋体" w:eastAsia="宋体" w:cs="宋体"/>
          <w:sz w:val="21"/>
          <w:szCs w:val="21"/>
        </w:rPr>
      </w:pPr>
    </w:p>
    <w:p w14:paraId="51A2CDBC">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附：《XXX 保险有限公司履约保证保险（X 款）条款》及保单 </w:t>
      </w:r>
    </w:p>
    <w:p w14:paraId="69794DD4">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4D269569">
      <w:pPr>
        <w:autoSpaceDE w:val="0"/>
        <w:autoSpaceDN w:val="0"/>
        <w:adjustRightInd w:val="0"/>
        <w:spacing w:line="360" w:lineRule="auto"/>
        <w:ind w:firstLine="437"/>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保险人：（盖章）</w:t>
      </w:r>
    </w:p>
    <w:p w14:paraId="2D88319E">
      <w:pPr>
        <w:autoSpaceDE w:val="0"/>
        <w:autoSpaceDN w:val="0"/>
        <w:adjustRightInd w:val="0"/>
        <w:spacing w:line="360" w:lineRule="auto"/>
        <w:ind w:firstLine="437"/>
        <w:jc w:val="righ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法定代表人或授权代理人：________ </w:t>
      </w:r>
    </w:p>
    <w:p w14:paraId="75552558">
      <w:pPr>
        <w:autoSpaceDE w:val="0"/>
        <w:autoSpaceDN w:val="0"/>
        <w:adjustRightInd w:val="0"/>
        <w:spacing w:line="360" w:lineRule="auto"/>
        <w:ind w:firstLine="437"/>
        <w:jc w:val="right"/>
        <w:outlineLvl w:val="9"/>
        <w:rPr>
          <w:rFonts w:hint="eastAsia" w:ascii="宋体" w:hAnsi="宋体" w:cs="宋体"/>
          <w:kern w:val="0"/>
          <w:sz w:val="21"/>
          <w:szCs w:val="21"/>
          <w:lang w:val="en-US" w:eastAsia="zh-CN"/>
        </w:rPr>
      </w:pPr>
      <w:r>
        <w:rPr>
          <w:rFonts w:hint="eastAsia" w:ascii="宋体" w:hAnsi="宋体" w:eastAsia="宋体" w:cs="宋体"/>
          <w:kern w:val="0"/>
          <w:sz w:val="21"/>
          <w:szCs w:val="21"/>
        </w:rPr>
        <w:t xml:space="preserve">年 月 </w:t>
      </w:r>
      <w:r>
        <w:rPr>
          <w:rFonts w:hint="eastAsia" w:ascii="宋体" w:hAnsi="宋体" w:cs="宋体"/>
          <w:kern w:val="0"/>
          <w:sz w:val="21"/>
          <w:szCs w:val="21"/>
          <w:lang w:val="en-US" w:eastAsia="zh-CN"/>
        </w:rPr>
        <w:t>日</w:t>
      </w:r>
    </w:p>
    <w:p w14:paraId="7864B58C">
      <w:pPr>
        <w:autoSpaceDE w:val="0"/>
        <w:autoSpaceDN w:val="0"/>
        <w:adjustRightInd w:val="0"/>
        <w:spacing w:line="360" w:lineRule="auto"/>
        <w:ind w:firstLine="437"/>
        <w:jc w:val="center"/>
        <w:outlineLvl w:val="9"/>
        <w:rPr>
          <w:rFonts w:hint="eastAsia" w:ascii="宋体" w:hAnsi="宋体" w:eastAsia="宋体" w:cs="宋体"/>
          <w:kern w:val="0"/>
          <w:szCs w:val="21"/>
        </w:rPr>
        <w:sectPr>
          <w:footerReference r:id="rId11" w:type="first"/>
          <w:footerReference r:id="rId10"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 xml:space="preserve">                 履约保证保险真实性核对联系人及办公电话</w:t>
      </w:r>
      <w:r>
        <w:rPr>
          <w:rFonts w:hint="eastAsia" w:ascii="宋体" w:hAnsi="宋体" w:eastAsia="宋体" w:cs="宋体"/>
          <w:kern w:val="0"/>
          <w:sz w:val="21"/>
          <w:szCs w:val="21"/>
        </w:rPr>
        <w:t>：</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hint="eastAsia" w:ascii="宋体" w:hAnsi="宋体" w:eastAsia="宋体" w:cs="宋体"/>
          <w:kern w:val="0"/>
          <w:sz w:val="21"/>
          <w:szCs w:val="21"/>
          <w:u w:val="single"/>
        </w:rPr>
        <w:t xml:space="preserve">       </w:t>
      </w:r>
    </w:p>
    <w:bookmarkEnd w:id="210"/>
    <w:bookmarkEnd w:id="211"/>
    <w:p w14:paraId="49A7F258">
      <w:pPr>
        <w:autoSpaceDE w:val="0"/>
        <w:autoSpaceDN w:val="0"/>
        <w:adjustRightInd w:val="0"/>
        <w:spacing w:after="120" w:afterLines="50" w:line="360" w:lineRule="auto"/>
        <w:jc w:val="left"/>
        <w:outlineLvl w:val="9"/>
        <w:rPr>
          <w:rFonts w:hint="eastAsia" w:ascii="宋体" w:hAnsi="宋体" w:eastAsia="宋体" w:cs="宋体"/>
          <w:b/>
          <w:kern w:val="0"/>
          <w:sz w:val="28"/>
          <w:szCs w:val="28"/>
        </w:rPr>
      </w:pPr>
      <w:bookmarkStart w:id="227" w:name="_Toc31983"/>
      <w:r>
        <w:rPr>
          <w:rFonts w:hint="eastAsia" w:ascii="宋体" w:hAnsi="宋体" w:eastAsia="宋体" w:cs="宋体"/>
          <w:b/>
          <w:kern w:val="0"/>
          <w:sz w:val="28"/>
          <w:szCs w:val="28"/>
        </w:rPr>
        <w:t>三、担保公司履约担保书格式</w:t>
      </w:r>
    </w:p>
    <w:p w14:paraId="55C1C1C0">
      <w:pPr>
        <w:autoSpaceDE w:val="0"/>
        <w:autoSpaceDN w:val="0"/>
        <w:adjustRightInd w:val="0"/>
        <w:jc w:val="center"/>
        <w:outlineLvl w:val="9"/>
        <w:rPr>
          <w:rFonts w:hint="eastAsia" w:ascii="宋体" w:hAnsi="宋体" w:eastAsia="宋体" w:cs="宋体"/>
          <w:b/>
          <w:kern w:val="0"/>
          <w:sz w:val="30"/>
          <w:szCs w:val="30"/>
        </w:rPr>
      </w:pPr>
      <w:r>
        <w:rPr>
          <w:rFonts w:hint="eastAsia" w:ascii="宋体" w:hAnsi="宋体" w:eastAsia="宋体" w:cs="宋体"/>
          <w:b/>
          <w:kern w:val="0"/>
          <w:sz w:val="30"/>
          <w:szCs w:val="30"/>
        </w:rPr>
        <w:t>担保公司履约担保书</w:t>
      </w:r>
    </w:p>
    <w:p w14:paraId="419A62BE">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致：</w:t>
      </w:r>
      <w:r>
        <w:rPr>
          <w:rFonts w:hint="eastAsia" w:ascii="宋体" w:hAnsi="宋体" w:eastAsia="宋体" w:cs="宋体"/>
          <w:b/>
          <w:kern w:val="0"/>
          <w:sz w:val="21"/>
          <w:szCs w:val="21"/>
          <w:u w:val="single"/>
        </w:rPr>
        <w:t xml:space="preserve">                    </w:t>
      </w:r>
      <w:r>
        <w:rPr>
          <w:rFonts w:hint="eastAsia" w:ascii="宋体" w:hAnsi="宋体" w:eastAsia="宋体" w:cs="宋体"/>
          <w:kern w:val="0"/>
          <w:sz w:val="21"/>
          <w:szCs w:val="21"/>
        </w:rPr>
        <w:t>（下称“受益人”）</w:t>
      </w:r>
    </w:p>
    <w:p w14:paraId="2E16A0D5">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鉴于</w:t>
      </w:r>
      <w:r>
        <w:rPr>
          <w:rFonts w:hint="eastAsia" w:ascii="宋体" w:hAnsi="宋体" w:eastAsia="宋体" w:cs="宋体"/>
          <w:kern w:val="0"/>
          <w:sz w:val="21"/>
          <w:szCs w:val="21"/>
          <w:u w:val="single"/>
        </w:rPr>
        <w:t xml:space="preserve">  （申请人的名称与地址）  </w:t>
      </w:r>
      <w:r>
        <w:rPr>
          <w:rFonts w:hint="eastAsia" w:ascii="宋体" w:hAnsi="宋体" w:eastAsia="宋体" w:cs="宋体"/>
          <w:kern w:val="0"/>
          <w:sz w:val="21"/>
          <w:szCs w:val="21"/>
        </w:rPr>
        <w:t>（下称“申请人”），已保证按拟签订的</w:t>
      </w:r>
      <w:r>
        <w:rPr>
          <w:rFonts w:hint="eastAsia" w:ascii="宋体" w:hAnsi="宋体" w:eastAsia="宋体" w:cs="宋体"/>
          <w:kern w:val="0"/>
          <w:sz w:val="21"/>
          <w:szCs w:val="21"/>
          <w:u w:val="single"/>
        </w:rPr>
        <w:t xml:space="preserve">          项目（</w:t>
      </w:r>
      <w:r>
        <w:rPr>
          <w:rFonts w:hint="eastAsia" w:ascii="宋体" w:hAnsi="宋体" w:eastAsia="宋体" w:cs="宋体"/>
          <w:kern w:val="0"/>
          <w:sz w:val="21"/>
          <w:szCs w:val="21"/>
          <w:u w:val="single"/>
          <w:lang w:val="en-US" w:eastAsia="zh-CN"/>
        </w:rPr>
        <w:t>采购</w:t>
      </w:r>
      <w:r>
        <w:rPr>
          <w:rFonts w:hint="eastAsia" w:ascii="宋体" w:hAnsi="宋体" w:eastAsia="宋体" w:cs="宋体"/>
          <w:kern w:val="0"/>
          <w:sz w:val="21"/>
          <w:szCs w:val="21"/>
          <w:u w:val="single"/>
        </w:rPr>
        <w:t>编号：        ）</w:t>
      </w:r>
      <w:r>
        <w:rPr>
          <w:rFonts w:hint="eastAsia" w:ascii="宋体" w:hAnsi="宋体" w:eastAsia="宋体" w:cs="宋体"/>
          <w:kern w:val="0"/>
          <w:sz w:val="21"/>
          <w:szCs w:val="21"/>
        </w:rPr>
        <w:t>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文件）中规定的义务履行合同。</w:t>
      </w:r>
    </w:p>
    <w:p w14:paraId="4DB1FE7D">
      <w:pPr>
        <w:widowControl/>
        <w:autoSpaceDE w:val="0"/>
        <w:autoSpaceDN w:val="0"/>
        <w:adjustRightInd w:val="0"/>
        <w:spacing w:line="360" w:lineRule="auto"/>
        <w:ind w:firstLine="567" w:firstLine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根据上述合同（</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文件）规定，申请人应向受益人提供一份金额为人民币（大写）</w:t>
      </w:r>
      <w:r>
        <w:rPr>
          <w:rFonts w:hint="eastAsia" w:ascii="宋体" w:hAnsi="宋体" w:eastAsia="宋体" w:cs="宋体"/>
          <w:kern w:val="0"/>
          <w:sz w:val="21"/>
          <w:szCs w:val="21"/>
          <w:u w:val="single"/>
        </w:rPr>
        <w:t xml:space="preserve">     （RMB元）</w:t>
      </w:r>
      <w:r>
        <w:rPr>
          <w:rFonts w:hint="eastAsia" w:ascii="宋体" w:hAnsi="宋体" w:eastAsia="宋体" w:cs="宋体"/>
          <w:kern w:val="0"/>
          <w:sz w:val="21"/>
          <w:szCs w:val="21"/>
        </w:rPr>
        <w:t>的无条件、</w:t>
      </w:r>
      <w:r>
        <w:rPr>
          <w:rFonts w:hint="eastAsia" w:ascii="宋体" w:hAnsi="宋体" w:eastAsia="宋体" w:cs="宋体"/>
          <w:bCs/>
          <w:kern w:val="0"/>
          <w:sz w:val="21"/>
          <w:szCs w:val="21"/>
        </w:rPr>
        <w:t>不可撤销</w:t>
      </w:r>
      <w:r>
        <w:rPr>
          <w:rFonts w:hint="eastAsia" w:ascii="宋体" w:hAnsi="宋体" w:eastAsia="宋体" w:cs="宋体"/>
          <w:kern w:val="0"/>
          <w:sz w:val="21"/>
          <w:szCs w:val="21"/>
        </w:rPr>
        <w:t>履约担保，作为申请人履行上述合同的担保，</w:t>
      </w:r>
      <w:r>
        <w:rPr>
          <w:rFonts w:hint="eastAsia" w:ascii="宋体" w:hAnsi="宋体" w:eastAsia="宋体" w:cs="宋体"/>
          <w:kern w:val="0"/>
          <w:sz w:val="21"/>
          <w:szCs w:val="21"/>
          <w:lang w:eastAsia="zh-Hans"/>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在</w:t>
      </w:r>
      <w:r>
        <w:rPr>
          <w:rFonts w:hint="eastAsia" w:ascii="宋体" w:hAnsi="宋体" w:eastAsia="宋体" w:cs="宋体"/>
          <w:kern w:val="0"/>
          <w:sz w:val="21"/>
          <w:szCs w:val="21"/>
          <w:lang w:eastAsia="zh-Hans"/>
        </w:rPr>
        <w:t>本合同项下的保证责任为连带责任保证</w:t>
      </w:r>
      <w:r>
        <w:rPr>
          <w:rFonts w:hint="eastAsia" w:ascii="宋体" w:hAnsi="宋体" w:eastAsia="宋体" w:cs="宋体"/>
          <w:kern w:val="0"/>
          <w:sz w:val="21"/>
          <w:szCs w:val="21"/>
        </w:rPr>
        <w:t>。</w:t>
      </w:r>
    </w:p>
    <w:p w14:paraId="5946585B">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w:t>
      </w:r>
      <w:r>
        <w:rPr>
          <w:rFonts w:hint="eastAsia" w:ascii="宋体" w:hAnsi="宋体" w:eastAsia="宋体" w:cs="宋体"/>
          <w:kern w:val="0"/>
          <w:sz w:val="21"/>
          <w:szCs w:val="21"/>
          <w:u w:val="single"/>
        </w:rPr>
        <w:t xml:space="preserve">  （担保公司名称）  </w:t>
      </w:r>
      <w:r>
        <w:rPr>
          <w:rFonts w:hint="eastAsia" w:ascii="宋体" w:hAnsi="宋体" w:eastAsia="宋体" w:cs="宋体"/>
          <w:kern w:val="0"/>
          <w:sz w:val="21"/>
          <w:szCs w:val="21"/>
        </w:rPr>
        <w:t>，受申请人的委托，无条件和不可撤销地在受益人出具本担保书原件且提出因申请人没有履行上述合同规定，在担保书限额内向受益人支付不超过人民币（大写）_________（¥_______元）的款项。</w:t>
      </w:r>
    </w:p>
    <w:p w14:paraId="4D4EDD49">
      <w:pPr>
        <w:autoSpaceDE w:val="0"/>
        <w:autoSpaceDN w:val="0"/>
        <w:adjustRightInd w:val="0"/>
        <w:spacing w:line="360" w:lineRule="auto"/>
        <w:ind w:firstLine="437"/>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我方还同意，任何受益人与申请人之间可能对合同条款的修改、规范或其他合同文件的变动补充，都不能免除我方按本担保函所承担的责任。因此，有关上述变动、补充和修改无须通知或征得我方同意。</w:t>
      </w:r>
    </w:p>
    <w:p w14:paraId="68E4544C">
      <w:pPr>
        <w:autoSpaceDE w:val="0"/>
        <w:autoSpaceDN w:val="0"/>
        <w:adjustRightInd w:val="0"/>
        <w:spacing w:line="360" w:lineRule="auto"/>
        <w:ind w:firstLine="437"/>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本保函应自合同签订之日起至合同期限届满并完成合同全部服务义务后二十八（28）日内保持有效。</w:t>
      </w:r>
    </w:p>
    <w:p w14:paraId="6B52CD6A">
      <w:pPr>
        <w:autoSpaceDE w:val="0"/>
        <w:autoSpaceDN w:val="0"/>
        <w:adjustRightInd w:val="0"/>
        <w:spacing w:line="360" w:lineRule="auto"/>
        <w:jc w:val="left"/>
        <w:outlineLvl w:val="9"/>
        <w:rPr>
          <w:rFonts w:hint="eastAsia" w:ascii="宋体" w:hAnsi="宋体" w:eastAsia="宋体" w:cs="宋体"/>
          <w:kern w:val="0"/>
          <w:sz w:val="21"/>
          <w:szCs w:val="21"/>
        </w:rPr>
      </w:pPr>
    </w:p>
    <w:p w14:paraId="4961D273">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法定代表人或其授权的代理人：（签字或盖私章）</w:t>
      </w:r>
    </w:p>
    <w:p w14:paraId="2FB5129A">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担保公司盖章：</w:t>
      </w:r>
    </w:p>
    <w:p w14:paraId="35F5CDEA">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联系电话：</w:t>
      </w:r>
    </w:p>
    <w:p w14:paraId="6EB3263A">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地址：</w:t>
      </w:r>
    </w:p>
    <w:p w14:paraId="3385D940">
      <w:pPr>
        <w:autoSpaceDE w:val="0"/>
        <w:autoSpaceDN w:val="0"/>
        <w:adjustRightInd w:val="0"/>
        <w:spacing w:line="360" w:lineRule="auto"/>
        <w:ind w:firstLine="3990" w:firstLineChars="19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日期：    年   月   日</w:t>
      </w:r>
    </w:p>
    <w:p w14:paraId="6141CBE0">
      <w:pPr>
        <w:widowControl/>
        <w:autoSpaceDE w:val="0"/>
        <w:autoSpaceDN w:val="0"/>
        <w:adjustRightInd w:val="0"/>
        <w:spacing w:line="360" w:lineRule="auto"/>
        <w:ind w:firstLine="3990" w:firstLineChars="1900"/>
        <w:jc w:val="left"/>
        <w:outlineLvl w:val="9"/>
        <w:rPr>
          <w:rFonts w:hint="default" w:ascii="宋体" w:hAnsi="宋体" w:eastAsia="宋体" w:cs="宋体"/>
          <w:kern w:val="0"/>
          <w:szCs w:val="21"/>
          <w:lang w:val="en-US"/>
        </w:rPr>
        <w:sectPr>
          <w:footerReference r:id="rId13" w:type="first"/>
          <w:footerReference r:id="rId12" w:type="default"/>
          <w:pgSz w:w="12240" w:h="15840"/>
          <w:pgMar w:top="1191" w:right="1043" w:bottom="1191" w:left="1043" w:header="720" w:footer="720" w:gutter="0"/>
          <w:cols w:space="720" w:num="1"/>
          <w:titlePg/>
          <w:docGrid w:linePitch="326" w:charSpace="0"/>
        </w:sectPr>
      </w:pPr>
      <w:r>
        <w:rPr>
          <w:rFonts w:hint="eastAsia" w:ascii="宋体" w:hAnsi="宋体" w:cs="宋体"/>
          <w:kern w:val="0"/>
          <w:sz w:val="21"/>
          <w:szCs w:val="21"/>
          <w:lang w:val="en-US" w:eastAsia="zh-CN"/>
        </w:rPr>
        <w:t>履约担保书真实性核对联系人及办公电话：</w:t>
      </w:r>
    </w:p>
    <w:p w14:paraId="30B6DF52">
      <w:pPr>
        <w:pageBreakBefore/>
        <w:spacing w:line="360" w:lineRule="auto"/>
        <w:jc w:val="center"/>
        <w:outlineLvl w:val="0"/>
        <w:rPr>
          <w:rFonts w:hint="eastAsia" w:ascii="宋体" w:hAnsi="宋体" w:eastAsia="宋体"/>
          <w:b/>
          <w:bCs/>
          <w:kern w:val="44"/>
          <w:sz w:val="32"/>
          <w:szCs w:val="32"/>
          <w:lang w:val="zh-CN"/>
        </w:rPr>
      </w:pPr>
      <w:r>
        <w:rPr>
          <w:rFonts w:hint="eastAsia" w:ascii="宋体" w:hAnsi="宋体" w:eastAsia="宋体"/>
          <w:b/>
          <w:bCs/>
          <w:kern w:val="44"/>
          <w:sz w:val="32"/>
          <w:szCs w:val="32"/>
          <w:lang w:val="zh-CN"/>
        </w:rPr>
        <w:t>第</w:t>
      </w:r>
      <w:r>
        <w:rPr>
          <w:rFonts w:hint="eastAsia" w:ascii="宋体" w:hAnsi="宋体" w:eastAsia="宋体"/>
          <w:b/>
          <w:bCs/>
          <w:kern w:val="44"/>
          <w:sz w:val="32"/>
          <w:szCs w:val="32"/>
          <w:lang w:val="en-US" w:eastAsia="zh-CN"/>
        </w:rPr>
        <w:t>六</w:t>
      </w:r>
      <w:r>
        <w:rPr>
          <w:rFonts w:hint="eastAsia" w:ascii="宋体" w:hAnsi="宋体" w:eastAsia="宋体"/>
          <w:b/>
          <w:bCs/>
          <w:kern w:val="44"/>
          <w:sz w:val="32"/>
          <w:szCs w:val="32"/>
          <w:lang w:val="zh-CN"/>
        </w:rPr>
        <w:t>篇</w:t>
      </w:r>
      <w:r>
        <w:rPr>
          <w:rFonts w:hint="eastAsia" w:ascii="宋体" w:hAnsi="宋体" w:eastAsia="宋体"/>
          <w:b/>
          <w:bCs/>
          <w:kern w:val="44"/>
          <w:sz w:val="32"/>
          <w:szCs w:val="32"/>
          <w:lang w:val="en-US" w:eastAsia="zh-CN"/>
        </w:rPr>
        <w:t xml:space="preserve"> </w:t>
      </w:r>
      <w:r>
        <w:rPr>
          <w:rFonts w:hint="eastAsia" w:ascii="宋体" w:hAnsi="宋体" w:eastAsia="宋体"/>
          <w:b/>
          <w:bCs/>
          <w:kern w:val="44"/>
          <w:sz w:val="32"/>
          <w:szCs w:val="32"/>
          <w:lang w:val="zh-CN"/>
        </w:rPr>
        <w:t>响应文件格式</w:t>
      </w:r>
      <w:bookmarkEnd w:id="212"/>
      <w:bookmarkEnd w:id="213"/>
      <w:bookmarkEnd w:id="227"/>
    </w:p>
    <w:p w14:paraId="7FA328AA">
      <w:pPr>
        <w:pStyle w:val="24"/>
        <w:spacing w:line="360" w:lineRule="auto"/>
        <w:jc w:val="center"/>
        <w:rPr>
          <w:rFonts w:hint="eastAsia" w:ascii="宋体" w:hAnsi="宋体" w:eastAsia="宋体" w:cs="宋体"/>
          <w:color w:val="auto"/>
          <w:sz w:val="84"/>
          <w:highlight w:val="none"/>
        </w:rPr>
      </w:pPr>
      <w:bookmarkStart w:id="228" w:name="_Toc490169461"/>
      <w:bookmarkStart w:id="229" w:name="_Toc54334003"/>
      <w:bookmarkStart w:id="230" w:name="_Toc19008822"/>
      <w:bookmarkStart w:id="231" w:name="_Toc1123949"/>
      <w:bookmarkStart w:id="232" w:name="_Toc79146596"/>
      <w:bookmarkStart w:id="233" w:name="_Toc22486"/>
      <w:bookmarkStart w:id="234" w:name="_Toc56076622"/>
      <w:bookmarkStart w:id="235" w:name="_Toc521918114"/>
      <w:bookmarkStart w:id="236" w:name="_Toc9074"/>
      <w:bookmarkStart w:id="237" w:name="_Toc495907130"/>
      <w:bookmarkStart w:id="238" w:name="_Toc27736"/>
      <w:bookmarkStart w:id="239" w:name="_Toc497746558"/>
      <w:bookmarkStart w:id="240" w:name="_Toc5098067"/>
    </w:p>
    <w:p w14:paraId="6B3687AE">
      <w:pPr>
        <w:pStyle w:val="24"/>
        <w:spacing w:line="360" w:lineRule="auto"/>
        <w:jc w:val="center"/>
        <w:rPr>
          <w:rFonts w:hint="eastAsia" w:ascii="宋体" w:hAnsi="宋体" w:eastAsia="宋体" w:cs="宋体"/>
          <w:color w:val="auto"/>
          <w:sz w:val="44"/>
          <w:szCs w:val="44"/>
          <w:highlight w:val="none"/>
          <w:lang w:val="en-US" w:eastAsia="zh-CN"/>
        </w:rPr>
      </w:pPr>
    </w:p>
    <w:p w14:paraId="685A5BD8">
      <w:pPr>
        <w:pStyle w:val="24"/>
        <w:spacing w:line="360" w:lineRule="auto"/>
        <w:jc w:val="center"/>
        <w:rPr>
          <w:rFonts w:hint="eastAsia" w:ascii="宋体" w:hAnsi="宋体" w:eastAsia="宋体" w:cs="宋体"/>
          <w:color w:val="auto"/>
          <w:sz w:val="44"/>
          <w:szCs w:val="44"/>
          <w:highlight w:val="none"/>
          <w:lang w:val="en-US" w:eastAsia="zh-CN"/>
        </w:rPr>
      </w:pPr>
    </w:p>
    <w:p w14:paraId="099F2798">
      <w:pPr>
        <w:pStyle w:val="24"/>
        <w:spacing w:line="360" w:lineRule="auto"/>
        <w:jc w:val="center"/>
        <w:rPr>
          <w:rFonts w:hint="eastAsia" w:ascii="宋体" w:hAnsi="宋体" w:eastAsia="宋体" w:cs="宋体"/>
          <w:color w:val="auto"/>
          <w:sz w:val="44"/>
          <w:szCs w:val="44"/>
          <w:highlight w:val="none"/>
          <w:lang w:val="en-US" w:eastAsia="zh-CN"/>
        </w:rPr>
      </w:pPr>
    </w:p>
    <w:p w14:paraId="663DB5EA">
      <w:pPr>
        <w:pStyle w:val="24"/>
        <w:spacing w:line="360" w:lineRule="auto"/>
        <w:jc w:val="center"/>
        <w:rPr>
          <w:rFonts w:hint="eastAsia" w:ascii="宋体" w:hAnsi="宋体" w:eastAsia="宋体" w:cs="宋体"/>
          <w:color w:val="auto"/>
          <w:sz w:val="44"/>
          <w:szCs w:val="44"/>
          <w:highlight w:val="none"/>
          <w:lang w:val="en-US" w:eastAsia="zh-CN"/>
        </w:rPr>
      </w:pPr>
    </w:p>
    <w:p w14:paraId="537489E5">
      <w:pPr>
        <w:pStyle w:val="24"/>
        <w:spacing w:line="360" w:lineRule="auto"/>
        <w:jc w:val="center"/>
        <w:rPr>
          <w:rFonts w:hint="eastAsia" w:ascii="宋体" w:hAnsi="宋体" w:eastAsia="宋体" w:cs="宋体"/>
          <w:color w:val="auto"/>
          <w:sz w:val="44"/>
          <w:szCs w:val="44"/>
          <w:highlight w:val="none"/>
          <w:lang w:val="en-US" w:eastAsia="zh-CN"/>
        </w:rPr>
      </w:pPr>
    </w:p>
    <w:p w14:paraId="7F18412A">
      <w:pPr>
        <w:pStyle w:val="24"/>
        <w:spacing w:line="360" w:lineRule="auto"/>
        <w:jc w:val="center"/>
        <w:rPr>
          <w:rFonts w:hint="eastAsia" w:ascii="宋体" w:hAnsi="宋体" w:eastAsia="宋体" w:cs="宋体"/>
          <w:color w:val="auto"/>
          <w:sz w:val="44"/>
          <w:szCs w:val="44"/>
          <w:highlight w:val="none"/>
          <w:lang w:val="en-US" w:eastAsia="zh-CN"/>
        </w:rPr>
      </w:pPr>
    </w:p>
    <w:p w14:paraId="1EB4BA51">
      <w:pPr>
        <w:pStyle w:val="24"/>
        <w:spacing w:line="360" w:lineRule="auto"/>
        <w:jc w:val="center"/>
        <w:rPr>
          <w:rFonts w:hint="eastAsia" w:ascii="宋体" w:hAnsi="宋体" w:eastAsia="宋体" w:cs="宋体"/>
          <w:color w:val="auto"/>
          <w:sz w:val="44"/>
          <w:szCs w:val="44"/>
          <w:highlight w:val="none"/>
          <w:lang w:val="en-US" w:eastAsia="zh-CN"/>
        </w:rPr>
      </w:pPr>
    </w:p>
    <w:p w14:paraId="6FCFB459">
      <w:pPr>
        <w:pStyle w:val="24"/>
        <w:spacing w:line="360" w:lineRule="auto"/>
        <w:jc w:val="center"/>
        <w:rPr>
          <w:rFonts w:hint="eastAsia" w:ascii="宋体" w:hAnsi="宋体" w:eastAsia="宋体" w:cs="宋体"/>
          <w:color w:val="auto"/>
          <w:sz w:val="44"/>
          <w:szCs w:val="44"/>
          <w:highlight w:val="none"/>
          <w:lang w:val="en-US" w:eastAsia="zh-CN"/>
        </w:rPr>
      </w:pPr>
    </w:p>
    <w:p w14:paraId="005771C2">
      <w:pPr>
        <w:pStyle w:val="24"/>
        <w:spacing w:line="360" w:lineRule="auto"/>
        <w:jc w:val="center"/>
        <w:rPr>
          <w:rFonts w:hint="eastAsia" w:ascii="宋体" w:hAnsi="宋体" w:eastAsia="宋体" w:cs="宋体"/>
          <w:color w:val="auto"/>
          <w:sz w:val="44"/>
          <w:szCs w:val="44"/>
          <w:highlight w:val="none"/>
          <w:lang w:val="en-US" w:eastAsia="zh-CN"/>
        </w:rPr>
      </w:pPr>
    </w:p>
    <w:p w14:paraId="5D4EA4BD">
      <w:pPr>
        <w:pStyle w:val="24"/>
        <w:spacing w:line="360" w:lineRule="auto"/>
        <w:jc w:val="center"/>
        <w:rPr>
          <w:rFonts w:hint="eastAsia" w:ascii="宋体" w:hAnsi="宋体" w:eastAsia="宋体" w:cs="宋体"/>
          <w:color w:val="auto"/>
          <w:sz w:val="44"/>
          <w:szCs w:val="44"/>
          <w:highlight w:val="none"/>
          <w:lang w:val="en-US" w:eastAsia="zh-CN"/>
        </w:rPr>
      </w:pPr>
    </w:p>
    <w:p w14:paraId="13296EFB">
      <w:pPr>
        <w:pStyle w:val="24"/>
        <w:spacing w:line="360" w:lineRule="auto"/>
        <w:jc w:val="center"/>
        <w:rPr>
          <w:rFonts w:hint="eastAsia" w:ascii="宋体" w:hAnsi="宋体" w:eastAsia="宋体" w:cs="宋体"/>
          <w:color w:val="auto"/>
          <w:sz w:val="44"/>
          <w:szCs w:val="44"/>
          <w:highlight w:val="none"/>
          <w:lang w:val="en-US" w:eastAsia="zh-CN"/>
        </w:rPr>
      </w:pPr>
    </w:p>
    <w:p w14:paraId="2E94EA05">
      <w:pPr>
        <w:pStyle w:val="24"/>
        <w:spacing w:line="360" w:lineRule="auto"/>
        <w:jc w:val="center"/>
        <w:rPr>
          <w:rFonts w:hint="eastAsia" w:ascii="宋体" w:hAnsi="宋体" w:eastAsia="宋体" w:cs="宋体"/>
          <w:color w:val="auto"/>
          <w:sz w:val="44"/>
          <w:szCs w:val="44"/>
          <w:highlight w:val="none"/>
          <w:lang w:val="en-US" w:eastAsia="zh-CN"/>
        </w:rPr>
      </w:pPr>
    </w:p>
    <w:p w14:paraId="0B02CC73">
      <w:pPr>
        <w:pStyle w:val="24"/>
        <w:spacing w:line="360" w:lineRule="auto"/>
        <w:jc w:val="center"/>
        <w:rPr>
          <w:rFonts w:hint="eastAsia" w:ascii="宋体" w:hAnsi="宋体" w:eastAsia="宋体" w:cs="宋体"/>
          <w:color w:val="auto"/>
          <w:sz w:val="44"/>
          <w:szCs w:val="44"/>
          <w:highlight w:val="none"/>
          <w:lang w:val="en-US" w:eastAsia="zh-CN"/>
        </w:rPr>
      </w:pPr>
    </w:p>
    <w:p w14:paraId="1B80593A">
      <w:pPr>
        <w:pStyle w:val="22"/>
        <w:jc w:val="both"/>
        <w:rPr>
          <w:rFonts w:hint="eastAsia"/>
          <w:lang w:val="en-US" w:eastAsia="zh-CN"/>
        </w:rPr>
      </w:pPr>
    </w:p>
    <w:p w14:paraId="61D6A736">
      <w:pPr>
        <w:pStyle w:val="23"/>
        <w:rPr>
          <w:rFonts w:hint="eastAsia"/>
          <w:lang w:val="en-US" w:eastAsia="zh-CN"/>
        </w:rPr>
      </w:pPr>
    </w:p>
    <w:p w14:paraId="03B090C9">
      <w:pPr>
        <w:pStyle w:val="24"/>
        <w:spacing w:line="360" w:lineRule="auto"/>
        <w:jc w:val="center"/>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lang w:val="en-US" w:eastAsia="zh-CN"/>
        </w:rPr>
        <w:t xml:space="preserve">响 应 </w:t>
      </w:r>
      <w:r>
        <w:rPr>
          <w:rFonts w:hint="eastAsia" w:ascii="宋体" w:hAnsi="宋体" w:eastAsia="宋体" w:cs="宋体"/>
          <w:color w:val="auto"/>
          <w:sz w:val="84"/>
          <w:szCs w:val="84"/>
          <w:highlight w:val="none"/>
        </w:rPr>
        <w:t>文</w:t>
      </w:r>
      <w:r>
        <w:rPr>
          <w:rFonts w:hint="eastAsia" w:ascii="宋体" w:hAnsi="宋体" w:eastAsia="宋体" w:cs="宋体"/>
          <w:color w:val="auto"/>
          <w:sz w:val="84"/>
          <w:szCs w:val="84"/>
          <w:highlight w:val="none"/>
          <w:lang w:val="en-US" w:eastAsia="zh-CN"/>
        </w:rPr>
        <w:t xml:space="preserve"> </w:t>
      </w:r>
      <w:r>
        <w:rPr>
          <w:rFonts w:hint="eastAsia" w:ascii="宋体" w:hAnsi="宋体" w:eastAsia="宋体" w:cs="宋体"/>
          <w:color w:val="auto"/>
          <w:sz w:val="84"/>
          <w:szCs w:val="84"/>
          <w:highlight w:val="none"/>
        </w:rPr>
        <w:t>件</w:t>
      </w:r>
    </w:p>
    <w:p w14:paraId="4675C000">
      <w:pPr>
        <w:pStyle w:val="24"/>
        <w:spacing w:line="360" w:lineRule="auto"/>
        <w:rPr>
          <w:rFonts w:hint="eastAsia" w:ascii="宋体" w:hAnsi="宋体" w:eastAsia="宋体" w:cs="宋体"/>
          <w:color w:val="auto"/>
          <w:highlight w:val="none"/>
        </w:rPr>
      </w:pPr>
    </w:p>
    <w:p w14:paraId="01BD1F32">
      <w:pPr>
        <w:pStyle w:val="24"/>
        <w:spacing w:line="360" w:lineRule="auto"/>
        <w:rPr>
          <w:rFonts w:hint="eastAsia" w:ascii="宋体" w:hAnsi="宋体" w:eastAsia="宋体" w:cs="宋体"/>
          <w:color w:val="auto"/>
          <w:highlight w:val="none"/>
        </w:rPr>
      </w:pPr>
    </w:p>
    <w:p w14:paraId="77957F7F">
      <w:pPr>
        <w:pStyle w:val="24"/>
        <w:spacing w:line="360" w:lineRule="auto"/>
        <w:rPr>
          <w:rFonts w:hint="eastAsia" w:ascii="宋体" w:hAnsi="宋体" w:eastAsia="宋体" w:cs="宋体"/>
          <w:color w:val="auto"/>
          <w:highlight w:val="none"/>
        </w:rPr>
      </w:pPr>
    </w:p>
    <w:p w14:paraId="5AA57624">
      <w:pPr>
        <w:pStyle w:val="24"/>
        <w:spacing w:line="360" w:lineRule="auto"/>
        <w:rPr>
          <w:rFonts w:hint="eastAsia" w:ascii="宋体" w:hAnsi="宋体" w:eastAsia="宋体" w:cs="宋体"/>
          <w:color w:val="auto"/>
          <w:highlight w:val="none"/>
        </w:rPr>
      </w:pPr>
    </w:p>
    <w:p w14:paraId="732AD7D3">
      <w:pPr>
        <w:pStyle w:val="24"/>
        <w:spacing w:line="360" w:lineRule="auto"/>
        <w:rPr>
          <w:rFonts w:hint="eastAsia" w:ascii="宋体" w:hAnsi="宋体" w:eastAsia="宋体" w:cs="宋体"/>
          <w:color w:val="auto"/>
          <w:highlight w:val="none"/>
        </w:rPr>
      </w:pPr>
    </w:p>
    <w:p w14:paraId="43AA73D8">
      <w:pPr>
        <w:pStyle w:val="24"/>
        <w:spacing w:line="360" w:lineRule="auto"/>
        <w:rPr>
          <w:rFonts w:hint="eastAsia" w:ascii="宋体" w:hAnsi="宋体" w:eastAsia="宋体" w:cs="宋体"/>
          <w:color w:val="auto"/>
          <w:highlight w:val="none"/>
        </w:rPr>
      </w:pPr>
    </w:p>
    <w:p w14:paraId="4588A872">
      <w:pPr>
        <w:pStyle w:val="24"/>
        <w:spacing w:line="360" w:lineRule="auto"/>
        <w:rPr>
          <w:rFonts w:hint="eastAsia" w:ascii="宋体" w:hAnsi="宋体" w:eastAsia="宋体" w:cs="宋体"/>
          <w:color w:val="auto"/>
          <w:highlight w:val="none"/>
        </w:rPr>
      </w:pPr>
    </w:p>
    <w:p w14:paraId="4EA8940E">
      <w:pPr>
        <w:pStyle w:val="24"/>
        <w:spacing w:line="360" w:lineRule="auto"/>
        <w:rPr>
          <w:rFonts w:hint="eastAsia" w:ascii="宋体" w:hAnsi="宋体" w:eastAsia="宋体" w:cs="宋体"/>
          <w:color w:val="auto"/>
          <w:highlight w:val="none"/>
        </w:rPr>
      </w:pPr>
    </w:p>
    <w:p w14:paraId="4DC2DB50">
      <w:pPr>
        <w:pStyle w:val="24"/>
        <w:spacing w:line="360" w:lineRule="auto"/>
        <w:rPr>
          <w:rFonts w:hint="eastAsia" w:ascii="宋体" w:hAnsi="宋体" w:eastAsia="宋体" w:cs="宋体"/>
          <w:color w:val="auto"/>
          <w:highlight w:val="none"/>
          <w:u w:val="none"/>
        </w:rPr>
      </w:pPr>
    </w:p>
    <w:p w14:paraId="12235F34">
      <w:pPr>
        <w:pStyle w:val="24"/>
        <w:spacing w:line="360" w:lineRule="auto"/>
        <w:outlineLvl w:val="9"/>
        <w:rPr>
          <w:rFonts w:hint="eastAsia" w:ascii="宋体" w:hAnsi="宋体" w:eastAsia="宋体" w:cs="宋体"/>
          <w:color w:val="auto"/>
          <w:sz w:val="30"/>
          <w:lang w:val="en-US" w:eastAsia="zh-CN"/>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YDZB24DGQY0031-1 </w:t>
      </w:r>
      <w:r>
        <w:rPr>
          <w:rFonts w:hint="eastAsia" w:ascii="宋体" w:hAnsi="宋体" w:eastAsia="宋体" w:cs="宋体"/>
          <w:color w:val="auto"/>
          <w:sz w:val="30"/>
          <w:u w:val="single"/>
          <w:lang w:val="en-US" w:eastAsia="zh-CN"/>
        </w:rPr>
        <w:t xml:space="preserve"> </w:t>
      </w:r>
    </w:p>
    <w:p w14:paraId="78F0B41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东莞市众源环境投资有限公司污水处理厂污泥脱水减量处理服务（BOT权属东江下游片区）采购项目（麻涌一期重新采购）</w:t>
      </w:r>
    </w:p>
    <w:p w14:paraId="1D04BFEF">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文件商务部分 </w:t>
      </w:r>
    </w:p>
    <w:p w14:paraId="5CDBD3F3">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59AE0DE6">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7DA0FC68">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6D16AF3B">
      <w:pPr>
        <w:bidi w:val="0"/>
        <w:rPr>
          <w:rFonts w:hint="eastAsia"/>
          <w:color w:val="auto"/>
          <w:highlight w:val="none"/>
        </w:rPr>
      </w:pPr>
    </w:p>
    <w:p w14:paraId="7087ED35">
      <w:pPr>
        <w:bidi w:val="0"/>
        <w:rPr>
          <w:rFonts w:hint="eastAsia"/>
          <w:color w:val="auto"/>
          <w:highlight w:val="none"/>
        </w:rPr>
      </w:pPr>
    </w:p>
    <w:p w14:paraId="76FB224B">
      <w:pPr>
        <w:bidi w:val="0"/>
        <w:rPr>
          <w:rFonts w:hint="eastAsia"/>
          <w:color w:val="auto"/>
          <w:highlight w:val="none"/>
        </w:rPr>
      </w:pPr>
    </w:p>
    <w:p w14:paraId="6EDF05F3">
      <w:pPr>
        <w:bidi w:val="0"/>
        <w:rPr>
          <w:rFonts w:hint="eastAsia"/>
          <w:color w:val="auto"/>
          <w:highlight w:val="none"/>
        </w:rPr>
      </w:pPr>
    </w:p>
    <w:p w14:paraId="038797BA">
      <w:pPr>
        <w:bidi w:val="0"/>
        <w:rPr>
          <w:rFonts w:hint="eastAsia"/>
          <w:color w:val="auto"/>
          <w:highlight w:val="none"/>
        </w:rPr>
      </w:pPr>
    </w:p>
    <w:p w14:paraId="4DF979EB">
      <w:pPr>
        <w:bidi w:val="0"/>
        <w:rPr>
          <w:rFonts w:hint="eastAsia"/>
          <w:color w:val="auto"/>
          <w:highlight w:val="none"/>
        </w:rPr>
      </w:pPr>
    </w:p>
    <w:p w14:paraId="3F59B504">
      <w:pPr>
        <w:bidi w:val="0"/>
        <w:jc w:val="both"/>
        <w:rPr>
          <w:rFonts w:hint="eastAsia"/>
          <w:b/>
          <w:bCs/>
          <w:color w:val="auto"/>
          <w:sz w:val="21"/>
          <w:szCs w:val="21"/>
          <w:highlight w:val="none"/>
          <w:lang w:val="en-US" w:eastAsia="zh-CN"/>
        </w:rPr>
      </w:pPr>
    </w:p>
    <w:p w14:paraId="3AC3E8D8">
      <w:pPr>
        <w:bidi w:val="0"/>
        <w:jc w:val="center"/>
        <w:rPr>
          <w:rFonts w:hint="eastAsia"/>
          <w:b/>
          <w:bCs/>
          <w:color w:val="auto"/>
          <w:sz w:val="21"/>
          <w:szCs w:val="21"/>
          <w:highlight w:val="none"/>
        </w:rPr>
      </w:pPr>
      <w:r>
        <w:rPr>
          <w:rFonts w:hint="eastAsia"/>
          <w:b/>
          <w:bCs/>
          <w:color w:val="auto"/>
          <w:sz w:val="21"/>
          <w:szCs w:val="21"/>
          <w:highlight w:val="none"/>
          <w:lang w:val="en-US" w:eastAsia="zh-CN"/>
        </w:rPr>
        <w:t>响应</w:t>
      </w:r>
      <w:r>
        <w:rPr>
          <w:rFonts w:hint="eastAsia"/>
          <w:b/>
          <w:bCs/>
          <w:color w:val="auto"/>
          <w:sz w:val="21"/>
          <w:szCs w:val="21"/>
          <w:highlight w:val="none"/>
        </w:rPr>
        <w:t>文件商务评审部分索引表</w:t>
      </w:r>
    </w:p>
    <w:p w14:paraId="42199964">
      <w:pPr>
        <w:pStyle w:val="73"/>
        <w:rPr>
          <w:rFonts w:hint="eastAsia"/>
          <w:color w:val="auto"/>
          <w:highlight w:val="none"/>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76520D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2AAE0BD3">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序号</w:t>
            </w:r>
          </w:p>
        </w:tc>
        <w:tc>
          <w:tcPr>
            <w:tcW w:w="1318" w:type="pct"/>
            <w:vAlign w:val="center"/>
          </w:tcPr>
          <w:p w14:paraId="2654C019">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评审</w:t>
            </w:r>
            <w:r>
              <w:rPr>
                <w:rFonts w:hint="eastAsia"/>
                <w:color w:val="auto"/>
                <w:sz w:val="21"/>
                <w:szCs w:val="21"/>
                <w:highlight w:val="none"/>
              </w:rPr>
              <w:t>项目</w:t>
            </w:r>
          </w:p>
        </w:tc>
        <w:tc>
          <w:tcPr>
            <w:tcW w:w="1785" w:type="pct"/>
            <w:vAlign w:val="center"/>
          </w:tcPr>
          <w:p w14:paraId="6E585E4E">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lang w:val="en-US" w:eastAsia="zh-CN"/>
              </w:rPr>
              <w:t>竞争性磋商</w:t>
            </w:r>
            <w:r>
              <w:rPr>
                <w:rFonts w:hint="eastAsia"/>
                <w:color w:val="auto"/>
                <w:sz w:val="21"/>
                <w:szCs w:val="21"/>
                <w:highlight w:val="none"/>
              </w:rPr>
              <w:t>文件上的满分值</w:t>
            </w:r>
          </w:p>
        </w:tc>
        <w:tc>
          <w:tcPr>
            <w:tcW w:w="1414" w:type="pct"/>
            <w:tcBorders>
              <w:left w:val="single" w:color="auto" w:sz="4" w:space="0"/>
            </w:tcBorders>
            <w:vAlign w:val="center"/>
          </w:tcPr>
          <w:p w14:paraId="41E2D3D8">
            <w:pPr>
              <w:keepNext w:val="0"/>
              <w:keepLines w:val="0"/>
              <w:suppressLineNumbers w:val="0"/>
              <w:bidi w:val="0"/>
              <w:spacing w:before="0" w:beforeAutospacing="0" w:after="0" w:afterAutospacing="0"/>
              <w:ind w:left="0" w:right="0"/>
              <w:jc w:val="center"/>
              <w:rPr>
                <w:rFonts w:hint="eastAsia"/>
                <w:color w:val="auto"/>
                <w:sz w:val="21"/>
                <w:szCs w:val="21"/>
                <w:highlight w:val="none"/>
              </w:rPr>
            </w:pPr>
            <w:r>
              <w:rPr>
                <w:rFonts w:hint="eastAsia"/>
                <w:color w:val="auto"/>
                <w:sz w:val="21"/>
                <w:szCs w:val="21"/>
                <w:highlight w:val="none"/>
              </w:rPr>
              <w:t>页码索引</w:t>
            </w:r>
          </w:p>
        </w:tc>
      </w:tr>
      <w:tr w14:paraId="3CE4A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7797AD2C">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0CC2B25D">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56812410">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0546E239">
            <w:pPr>
              <w:keepNext w:val="0"/>
              <w:keepLines w:val="0"/>
              <w:suppressLineNumbers w:val="0"/>
              <w:bidi w:val="0"/>
              <w:spacing w:before="0" w:beforeAutospacing="0" w:after="0" w:afterAutospacing="0"/>
              <w:ind w:left="0" w:right="0"/>
              <w:rPr>
                <w:rFonts w:hint="eastAsia"/>
                <w:color w:val="auto"/>
                <w:highlight w:val="none"/>
              </w:rPr>
            </w:pPr>
          </w:p>
        </w:tc>
      </w:tr>
      <w:tr w14:paraId="22B3AB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6BB43881">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00948A46">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33E113E4">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1FCA623B">
            <w:pPr>
              <w:keepNext w:val="0"/>
              <w:keepLines w:val="0"/>
              <w:suppressLineNumbers w:val="0"/>
              <w:bidi w:val="0"/>
              <w:spacing w:before="0" w:beforeAutospacing="0" w:after="0" w:afterAutospacing="0"/>
              <w:ind w:left="0" w:right="0"/>
              <w:rPr>
                <w:rFonts w:hint="eastAsia"/>
                <w:color w:val="auto"/>
                <w:highlight w:val="none"/>
              </w:rPr>
            </w:pPr>
          </w:p>
        </w:tc>
      </w:tr>
      <w:tr w14:paraId="43888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2AAFE208">
            <w:pPr>
              <w:keepNext w:val="0"/>
              <w:keepLines w:val="0"/>
              <w:suppressLineNumbers w:val="0"/>
              <w:bidi w:val="0"/>
              <w:spacing w:before="0" w:beforeAutospacing="0" w:after="0" w:afterAutospacing="0"/>
              <w:ind w:left="0" w:right="0"/>
              <w:rPr>
                <w:rFonts w:hint="eastAsia"/>
                <w:color w:val="auto"/>
                <w:highlight w:val="none"/>
              </w:rPr>
            </w:pPr>
          </w:p>
        </w:tc>
        <w:tc>
          <w:tcPr>
            <w:tcW w:w="1318" w:type="pct"/>
            <w:vAlign w:val="center"/>
          </w:tcPr>
          <w:p w14:paraId="4D396E17">
            <w:pPr>
              <w:keepNext w:val="0"/>
              <w:keepLines w:val="0"/>
              <w:suppressLineNumbers w:val="0"/>
              <w:bidi w:val="0"/>
              <w:spacing w:before="0" w:beforeAutospacing="0" w:after="0" w:afterAutospacing="0"/>
              <w:ind w:left="0" w:right="0"/>
              <w:rPr>
                <w:rFonts w:hint="eastAsia"/>
                <w:color w:val="auto"/>
                <w:highlight w:val="none"/>
              </w:rPr>
            </w:pPr>
          </w:p>
        </w:tc>
        <w:tc>
          <w:tcPr>
            <w:tcW w:w="1785" w:type="pct"/>
            <w:vAlign w:val="center"/>
          </w:tcPr>
          <w:p w14:paraId="6A16DDE8">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tcBorders>
            <w:vAlign w:val="center"/>
          </w:tcPr>
          <w:p w14:paraId="51E686C1">
            <w:pPr>
              <w:keepNext w:val="0"/>
              <w:keepLines w:val="0"/>
              <w:suppressLineNumbers w:val="0"/>
              <w:bidi w:val="0"/>
              <w:spacing w:before="0" w:beforeAutospacing="0" w:after="0" w:afterAutospacing="0"/>
              <w:ind w:left="0" w:right="0"/>
              <w:rPr>
                <w:rFonts w:hint="eastAsia"/>
                <w:color w:val="auto"/>
                <w:highlight w:val="none"/>
              </w:rPr>
            </w:pPr>
          </w:p>
        </w:tc>
      </w:tr>
      <w:tr w14:paraId="1D0FDF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15CE9826">
            <w:pPr>
              <w:keepNext w:val="0"/>
              <w:keepLines w:val="0"/>
              <w:suppressLineNumbers w:val="0"/>
              <w:bidi w:val="0"/>
              <w:spacing w:before="0" w:beforeAutospacing="0" w:after="0" w:afterAutospacing="0"/>
              <w:ind w:left="0" w:right="0"/>
              <w:rPr>
                <w:rFonts w:hint="eastAsia"/>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1515F152">
            <w:pPr>
              <w:keepNext w:val="0"/>
              <w:keepLines w:val="0"/>
              <w:suppressLineNumbers w:val="0"/>
              <w:bidi w:val="0"/>
              <w:spacing w:before="0" w:beforeAutospacing="0" w:after="0" w:afterAutospacing="0"/>
              <w:ind w:left="0" w:right="0"/>
              <w:rPr>
                <w:rFonts w:hint="eastAsia"/>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617432AF">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4959BC72">
            <w:pPr>
              <w:keepNext w:val="0"/>
              <w:keepLines w:val="0"/>
              <w:suppressLineNumbers w:val="0"/>
              <w:bidi w:val="0"/>
              <w:spacing w:before="0" w:beforeAutospacing="0" w:after="0" w:afterAutospacing="0"/>
              <w:ind w:left="0" w:right="0"/>
              <w:rPr>
                <w:rFonts w:hint="eastAsia"/>
                <w:color w:val="auto"/>
                <w:highlight w:val="none"/>
              </w:rPr>
            </w:pPr>
          </w:p>
        </w:tc>
      </w:tr>
      <w:tr w14:paraId="416C18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1EFDC3DC">
            <w:pPr>
              <w:keepNext w:val="0"/>
              <w:keepLines w:val="0"/>
              <w:suppressLineNumbers w:val="0"/>
              <w:bidi w:val="0"/>
              <w:spacing w:before="0" w:beforeAutospacing="0" w:after="0" w:afterAutospacing="0"/>
              <w:ind w:left="0" w:right="0"/>
              <w:jc w:val="center"/>
              <w:rPr>
                <w:rFonts w:hint="eastAsia"/>
                <w:color w:val="auto"/>
                <w:highlight w:val="none"/>
              </w:rPr>
            </w:pPr>
            <w:r>
              <w:rPr>
                <w:rFonts w:hint="eastAsia"/>
                <w:color w:val="auto"/>
                <w:sz w:val="21"/>
                <w:szCs w:val="21"/>
                <w:highlight w:val="none"/>
              </w:rPr>
              <w:t>合计</w:t>
            </w:r>
          </w:p>
        </w:tc>
        <w:tc>
          <w:tcPr>
            <w:tcW w:w="1785" w:type="pct"/>
            <w:tcBorders>
              <w:bottom w:val="single" w:color="auto" w:sz="4" w:space="0"/>
            </w:tcBorders>
            <w:vAlign w:val="center"/>
          </w:tcPr>
          <w:p w14:paraId="4C8811A6">
            <w:pPr>
              <w:keepNext w:val="0"/>
              <w:keepLines w:val="0"/>
              <w:suppressLineNumbers w:val="0"/>
              <w:bidi w:val="0"/>
              <w:spacing w:before="0" w:beforeAutospacing="0" w:after="0" w:afterAutospacing="0"/>
              <w:ind w:left="0" w:right="0"/>
              <w:rPr>
                <w:rFonts w:hint="eastAsia"/>
                <w:color w:val="auto"/>
                <w:highlight w:val="none"/>
              </w:rPr>
            </w:pPr>
          </w:p>
        </w:tc>
        <w:tc>
          <w:tcPr>
            <w:tcW w:w="1414" w:type="pct"/>
            <w:tcBorders>
              <w:left w:val="single" w:color="auto" w:sz="4" w:space="0"/>
              <w:bottom w:val="single" w:color="auto" w:sz="4" w:space="0"/>
            </w:tcBorders>
            <w:vAlign w:val="center"/>
          </w:tcPr>
          <w:p w14:paraId="2902BA97">
            <w:pPr>
              <w:keepNext w:val="0"/>
              <w:keepLines w:val="0"/>
              <w:suppressLineNumbers w:val="0"/>
              <w:bidi w:val="0"/>
              <w:spacing w:before="0" w:beforeAutospacing="0" w:after="0" w:afterAutospacing="0"/>
              <w:ind w:left="0" w:right="0"/>
              <w:rPr>
                <w:rFonts w:hint="eastAsia"/>
                <w:color w:val="auto"/>
                <w:highlight w:val="none"/>
              </w:rPr>
            </w:pPr>
          </w:p>
        </w:tc>
      </w:tr>
    </w:tbl>
    <w:p w14:paraId="1A2D60D7">
      <w:pPr>
        <w:bidi w:val="0"/>
        <w:outlineLvl w:val="9"/>
        <w:rPr>
          <w:rFonts w:hint="eastAsia"/>
          <w:color w:val="auto"/>
          <w:highlight w:val="none"/>
        </w:rPr>
      </w:pPr>
    </w:p>
    <w:p w14:paraId="27CE2BF2">
      <w:pPr>
        <w:keepNext w:val="0"/>
        <w:keepLines w:val="0"/>
        <w:pageBreakBefore/>
        <w:widowControl w:val="0"/>
        <w:kinsoku/>
        <w:wordWrap/>
        <w:overflowPunct/>
        <w:topLinePunct w:val="0"/>
        <w:autoSpaceDE w:val="0"/>
        <w:autoSpaceDN w:val="0"/>
        <w:bidi w:val="0"/>
        <w:adjustRightInd w:val="0"/>
        <w:snapToGrid/>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w:t>
      </w:r>
      <w:r>
        <w:rPr>
          <w:rFonts w:hint="eastAsia" w:ascii="宋体" w:hAnsi="宋体" w:eastAsia="宋体" w:cs="宋体"/>
          <w:b/>
          <w:color w:val="auto"/>
          <w:sz w:val="32"/>
          <w:szCs w:val="32"/>
          <w:highlight w:val="none"/>
          <w:lang w:val="en-US" w:eastAsia="zh-CN"/>
        </w:rPr>
        <w:t>磋商</w:t>
      </w:r>
      <w:r>
        <w:rPr>
          <w:rFonts w:hint="eastAsia" w:ascii="宋体" w:hAnsi="宋体" w:eastAsia="宋体" w:cs="宋体"/>
          <w:b/>
          <w:color w:val="auto"/>
          <w:sz w:val="32"/>
          <w:szCs w:val="32"/>
          <w:highlight w:val="none"/>
        </w:rPr>
        <w:t>函格式</w:t>
      </w:r>
      <w:bookmarkEnd w:id="228"/>
      <w:bookmarkEnd w:id="229"/>
      <w:bookmarkEnd w:id="230"/>
      <w:bookmarkEnd w:id="231"/>
      <w:bookmarkEnd w:id="232"/>
      <w:bookmarkEnd w:id="233"/>
      <w:bookmarkEnd w:id="234"/>
      <w:bookmarkEnd w:id="235"/>
      <w:bookmarkEnd w:id="236"/>
      <w:bookmarkEnd w:id="237"/>
      <w:bookmarkEnd w:id="238"/>
      <w:bookmarkEnd w:id="239"/>
      <w:bookmarkEnd w:id="240"/>
    </w:p>
    <w:p w14:paraId="55DD6CBD">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rPr>
        <w:t>磋 商</w:t>
      </w:r>
      <w:r>
        <w:rPr>
          <w:rFonts w:hint="eastAsia" w:ascii="宋体" w:hAnsi="宋体" w:eastAsia="宋体" w:cs="宋体"/>
          <w:b/>
          <w:bCs/>
          <w:color w:val="auto"/>
          <w:kern w:val="2"/>
          <w:sz w:val="30"/>
          <w:szCs w:val="30"/>
          <w:highlight w:val="none"/>
          <w:lang w:val="zh-CN"/>
        </w:rPr>
        <w:t xml:space="preserve"> 函</w:t>
      </w:r>
    </w:p>
    <w:p w14:paraId="5FB48A8C">
      <w:pPr>
        <w:spacing w:line="360" w:lineRule="auto"/>
        <w:jc w:val="both"/>
        <w:rPr>
          <w:rFonts w:hint="eastAsia" w:ascii="宋体" w:hAnsi="宋体" w:eastAsia="宋体" w:cs="宋体"/>
          <w:color w:val="auto"/>
          <w:kern w:val="2"/>
          <w:sz w:val="21"/>
          <w:szCs w:val="21"/>
          <w:highlight w:val="none"/>
          <w:lang w:val="zh-CN"/>
        </w:rPr>
      </w:pPr>
    </w:p>
    <w:p w14:paraId="732AA689">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致：东莞市众源环境投资有限公司</w:t>
      </w:r>
    </w:p>
    <w:p w14:paraId="17B5BB43">
      <w:pPr>
        <w:spacing w:line="360" w:lineRule="auto"/>
        <w:jc w:val="both"/>
        <w:rPr>
          <w:rFonts w:hint="eastAsia" w:ascii="宋体" w:hAnsi="宋体" w:eastAsia="宋体" w:cs="宋体"/>
          <w:color w:val="auto"/>
          <w:kern w:val="2"/>
          <w:sz w:val="21"/>
          <w:szCs w:val="21"/>
          <w:highlight w:val="none"/>
        </w:rPr>
      </w:pPr>
    </w:p>
    <w:p w14:paraId="0317F7B7">
      <w:pPr>
        <w:wordWrap w:val="0"/>
        <w:autoSpaceDE w:val="0"/>
        <w:autoSpaceDN w:val="0"/>
        <w:adjustRightInd w:val="0"/>
        <w:spacing w:line="360" w:lineRule="auto"/>
        <w:ind w:firstLine="420"/>
        <w:outlineLvl w:val="9"/>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highlight w:val="none"/>
          <w:lang w:val="zh-CN"/>
        </w:rPr>
        <w:t>根据贵方为</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东莞市众源环境投资有限公司污水处理厂污泥脱水减量处理服务（BOT权属东江下游片区）采购项目（麻涌一期重新采购）</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en-US" w:eastAsia="zh-CN"/>
        </w:rPr>
        <w:t xml:space="preserve">YDZB24DGQY0031-1 </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邀请，我方</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val="zh-CN"/>
        </w:rPr>
        <w:t>（</w:t>
      </w:r>
      <w:r>
        <w:rPr>
          <w:rFonts w:hint="eastAsia" w:ascii="宋体" w:hAnsi="宋体" w:eastAsia="宋体" w:cs="宋体"/>
          <w:color w:val="auto"/>
          <w:sz w:val="21"/>
          <w:szCs w:val="21"/>
          <w:u w:val="single"/>
          <w:lang w:val="en-US" w:eastAsia="zh-CN"/>
        </w:rPr>
        <w:t>供应商</w:t>
      </w:r>
      <w:r>
        <w:rPr>
          <w:rFonts w:hint="eastAsia" w:ascii="宋体" w:hAnsi="宋体" w:eastAsia="宋体" w:cs="宋体"/>
          <w:color w:val="auto"/>
          <w:sz w:val="21"/>
          <w:szCs w:val="21"/>
          <w:u w:val="single"/>
          <w:lang w:val="zh-CN"/>
        </w:rPr>
        <w:t>名称）</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作为</w:t>
      </w:r>
      <w:r>
        <w:rPr>
          <w:rFonts w:hint="eastAsia" w:ascii="宋体" w:hAnsi="宋体" w:cs="宋体"/>
          <w:color w:val="auto"/>
          <w:sz w:val="21"/>
          <w:szCs w:val="21"/>
          <w:lang w:val="zh-CN"/>
        </w:rPr>
        <w:t>供应商</w:t>
      </w:r>
      <w:r>
        <w:rPr>
          <w:rFonts w:hint="eastAsia" w:ascii="宋体" w:hAnsi="宋体" w:eastAsia="宋体" w:cs="宋体"/>
          <w:color w:val="auto"/>
          <w:sz w:val="21"/>
          <w:szCs w:val="21"/>
          <w:lang w:val="zh-CN"/>
        </w:rPr>
        <w:t>正式授权</w:t>
      </w:r>
      <w:r>
        <w:rPr>
          <w:rFonts w:hint="eastAsia" w:ascii="宋体" w:hAnsi="宋体" w:eastAsia="宋体" w:cs="宋体"/>
          <w:color w:val="auto"/>
          <w:sz w:val="21"/>
          <w:szCs w:val="21"/>
          <w:u w:val="single"/>
          <w:lang w:val="zh-CN"/>
        </w:rPr>
        <w:t>　 （授权代表全名，职务）</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zh-CN"/>
        </w:rPr>
        <w:t>代表我方进行有关本次</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lang w:val="zh-CN"/>
        </w:rPr>
        <w:t>的一切事宜。</w:t>
      </w:r>
    </w:p>
    <w:p w14:paraId="683B1237">
      <w:pPr>
        <w:spacing w:line="360" w:lineRule="auto"/>
        <w:ind w:firstLine="4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在此提交的响应文件，包括如下等内容，并已单独密封封装：</w:t>
      </w:r>
    </w:p>
    <w:p w14:paraId="61D3E19F">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响应文件电子文件</w:t>
      </w:r>
      <w:r>
        <w:rPr>
          <w:rFonts w:hint="eastAsia" w:ascii="宋体" w:hAnsi="宋体" w:eastAsia="宋体" w:cs="宋体"/>
          <w:color w:val="auto"/>
          <w:kern w:val="2"/>
          <w:sz w:val="21"/>
          <w:szCs w:val="21"/>
          <w:highlight w:val="none"/>
          <w:lang w:val="zh-CN"/>
        </w:rPr>
        <w:t>【        份】；</w:t>
      </w:r>
    </w:p>
    <w:p w14:paraId="43647EA9">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（二）响应文件（正本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份，副本</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份）；</w:t>
      </w:r>
    </w:p>
    <w:p w14:paraId="5C2B5C1E">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我方已完全明白竞争性磋商文件的所有条款要求，并重申以下几点：</w:t>
      </w:r>
    </w:p>
    <w:p w14:paraId="10E354F2">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（—）我方决定参加采购编号</w:t>
      </w:r>
      <w:r>
        <w:rPr>
          <w:rFonts w:hint="eastAsia" w:ascii="宋体" w:hAnsi="宋体" w:eastAsia="宋体" w:cs="宋体"/>
          <w:color w:val="auto"/>
          <w:szCs w:val="21"/>
          <w:lang w:val="zh-CN"/>
        </w:rPr>
        <w:t>为</w:t>
      </w:r>
      <w:r>
        <w:rPr>
          <w:rFonts w:hint="eastAsia" w:ascii="宋体" w:hAnsi="宋体" w:cs="宋体"/>
          <w:color w:val="auto"/>
          <w:sz w:val="21"/>
          <w:szCs w:val="21"/>
          <w:u w:val="single"/>
          <w:lang w:val="en-US" w:eastAsia="zh-CN"/>
        </w:rPr>
        <w:t xml:space="preserve">YDZB24DGQY0031-1 </w:t>
      </w:r>
      <w:r>
        <w:rPr>
          <w:rFonts w:hint="eastAsia" w:ascii="宋体" w:hAnsi="宋体" w:eastAsia="宋体" w:cs="宋体"/>
          <w:color w:val="auto"/>
          <w:sz w:val="21"/>
          <w:szCs w:val="21"/>
          <w:lang w:val="zh-CN"/>
        </w:rPr>
        <w:t>的</w:t>
      </w:r>
      <w:r>
        <w:rPr>
          <w:rFonts w:hint="eastAsia" w:ascii="宋体" w:hAnsi="宋体" w:eastAsia="宋体" w:cs="宋体"/>
          <w:color w:val="auto"/>
          <w:kern w:val="2"/>
          <w:sz w:val="21"/>
          <w:szCs w:val="21"/>
          <w:highlight w:val="none"/>
          <w:lang w:val="en-US" w:eastAsia="zh-CN"/>
        </w:rPr>
        <w:t>磋商</w:t>
      </w:r>
      <w:r>
        <w:rPr>
          <w:rFonts w:hint="eastAsia" w:ascii="宋体" w:hAnsi="宋体" w:eastAsia="宋体" w:cs="宋体"/>
          <w:color w:val="auto"/>
          <w:kern w:val="2"/>
          <w:sz w:val="21"/>
          <w:szCs w:val="21"/>
          <w:highlight w:val="none"/>
          <w:lang w:val="zh-CN"/>
        </w:rPr>
        <w:t>；</w:t>
      </w:r>
    </w:p>
    <w:p w14:paraId="238C1DE2">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（二）本响应文件的有效期自递交响应文件截止</w:t>
      </w:r>
      <w:r>
        <w:rPr>
          <w:rFonts w:hint="eastAsia" w:ascii="宋体" w:hAnsi="宋体" w:cs="宋体"/>
          <w:color w:val="auto"/>
          <w:kern w:val="2"/>
          <w:sz w:val="21"/>
          <w:szCs w:val="21"/>
          <w:highlight w:val="none"/>
          <w:lang w:val="en-US" w:eastAsia="zh-CN"/>
        </w:rPr>
        <w:t>时间届满</w:t>
      </w:r>
      <w:r>
        <w:rPr>
          <w:rFonts w:hint="eastAsia" w:ascii="宋体" w:hAnsi="宋体" w:eastAsia="宋体" w:cs="宋体"/>
          <w:color w:val="auto"/>
          <w:kern w:val="2"/>
          <w:sz w:val="21"/>
          <w:szCs w:val="21"/>
          <w:highlight w:val="none"/>
          <w:lang w:val="zh-CN"/>
        </w:rPr>
        <w:t>后90日有效，如</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，有效期将延至合同终止日为止；</w:t>
      </w:r>
    </w:p>
    <w:p w14:paraId="6B879B57">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（三）我方已详细研究了竞争性磋商文件的所有内容包括修正文（如有）和所有已提供的参考资料以及有关附件并完全明白，我方放弃在此方面提出含糊意见或误解的一切权力；</w:t>
      </w:r>
    </w:p>
    <w:p w14:paraId="3F927F3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（四）我方明白并愿意在规定的递交响应文件截止时间和日期之后，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有效期之内撤回</w:t>
      </w:r>
      <w:r>
        <w:rPr>
          <w:rFonts w:hint="eastAsia" w:ascii="宋体" w:hAnsi="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则按无效响应处理或取消成交资格</w:t>
      </w:r>
      <w:r>
        <w:rPr>
          <w:rFonts w:hint="eastAsia" w:ascii="宋体" w:hAnsi="宋体" w:eastAsia="宋体" w:cs="宋体"/>
          <w:color w:val="auto"/>
          <w:kern w:val="2"/>
          <w:sz w:val="21"/>
          <w:szCs w:val="21"/>
          <w:highlight w:val="none"/>
          <w:lang w:val="zh-CN"/>
        </w:rPr>
        <w:t>；</w:t>
      </w:r>
    </w:p>
    <w:p w14:paraId="07BFA766">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（五）我方同意按照贵方可能提出的要求而提供与</w:t>
      </w:r>
      <w:r>
        <w:rPr>
          <w:rFonts w:hint="eastAsia" w:ascii="宋体" w:hAnsi="宋体" w:eastAsia="宋体" w:cs="宋体"/>
          <w:color w:val="auto"/>
          <w:kern w:val="2"/>
          <w:sz w:val="21"/>
          <w:szCs w:val="21"/>
          <w:highlight w:val="none"/>
          <w:lang w:val="en-US" w:eastAsia="zh-CN"/>
        </w:rPr>
        <w:t>响应文件</w:t>
      </w:r>
      <w:r>
        <w:rPr>
          <w:rFonts w:hint="eastAsia" w:ascii="宋体" w:hAnsi="宋体" w:eastAsia="宋体" w:cs="宋体"/>
          <w:color w:val="auto"/>
          <w:kern w:val="2"/>
          <w:sz w:val="21"/>
          <w:szCs w:val="21"/>
          <w:highlight w:val="none"/>
          <w:lang w:val="zh-CN"/>
        </w:rPr>
        <w:t>有关的任何其它数据或信息；</w:t>
      </w:r>
    </w:p>
    <w:p w14:paraId="71BA64E6">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（六）我方理解贵方不一定接受最低报价或任何贵方可能收到的报价；</w:t>
      </w:r>
    </w:p>
    <w:p w14:paraId="791C7DCC">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（七）我方如果成交，将保证履行竞争性磋商文件以及竞争性磋商文件修改书（如有）中的全部责任和义务，按质、按量、按期完成《合同书》中的全部任务；</w:t>
      </w:r>
    </w:p>
    <w:p w14:paraId="207409F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（八）保证响应文件中所有资料均真实有效，否则按无效</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lang w:val="zh-CN"/>
        </w:rPr>
        <w:t>处理或可取消成交资格，并愿意接受按弄虚作假骗取成交的有关规定进行处理</w:t>
      </w:r>
      <w:r>
        <w:rPr>
          <w:rFonts w:hint="eastAsia" w:ascii="宋体" w:hAnsi="宋体" w:cs="宋体"/>
          <w:color w:val="auto"/>
          <w:kern w:val="2"/>
          <w:sz w:val="21"/>
          <w:szCs w:val="21"/>
          <w:highlight w:val="none"/>
          <w:lang w:val="zh-CN"/>
        </w:rPr>
        <w:t>，</w:t>
      </w:r>
      <w:r>
        <w:rPr>
          <w:rFonts w:hint="eastAsia" w:ascii="宋体" w:hAnsi="宋体" w:cs="宋体"/>
          <w:color w:val="auto"/>
          <w:kern w:val="2"/>
          <w:sz w:val="21"/>
          <w:szCs w:val="21"/>
          <w:highlight w:val="none"/>
          <w:lang w:val="en-US" w:eastAsia="zh-CN"/>
        </w:rPr>
        <w:t>并不予退还我方磋商保证金</w:t>
      </w:r>
      <w:r>
        <w:rPr>
          <w:rFonts w:hint="eastAsia" w:ascii="宋体" w:hAnsi="宋体" w:eastAsia="宋体" w:cs="宋体"/>
          <w:color w:val="auto"/>
          <w:kern w:val="2"/>
          <w:sz w:val="21"/>
          <w:szCs w:val="21"/>
          <w:highlight w:val="none"/>
          <w:lang w:val="zh-CN"/>
        </w:rPr>
        <w:t>；</w:t>
      </w:r>
    </w:p>
    <w:p w14:paraId="7D313C8A">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（九）若我方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后，我方一定按照竞争性磋商文件的要求和响应文件的承诺签订和履行合同，否则贵方可取消我方</w:t>
      </w:r>
      <w:r>
        <w:rPr>
          <w:rFonts w:hint="eastAsia" w:ascii="宋体" w:hAnsi="宋体" w:eastAsia="宋体" w:cs="宋体"/>
          <w:color w:val="auto"/>
          <w:kern w:val="2"/>
          <w:sz w:val="21"/>
          <w:szCs w:val="21"/>
          <w:highlight w:val="none"/>
          <w:lang w:val="en-US" w:eastAsia="zh-CN"/>
        </w:rPr>
        <w:t>成交</w:t>
      </w:r>
      <w:r>
        <w:rPr>
          <w:rFonts w:hint="eastAsia" w:ascii="宋体" w:hAnsi="宋体" w:eastAsia="宋体" w:cs="宋体"/>
          <w:color w:val="auto"/>
          <w:kern w:val="2"/>
          <w:sz w:val="21"/>
          <w:szCs w:val="21"/>
          <w:highlight w:val="none"/>
          <w:lang w:val="zh-CN"/>
        </w:rPr>
        <w:t>资格，</w:t>
      </w:r>
      <w:r>
        <w:rPr>
          <w:rFonts w:hint="eastAsia" w:ascii="宋体" w:hAnsi="宋体" w:cs="宋体"/>
          <w:color w:val="auto"/>
          <w:kern w:val="2"/>
          <w:sz w:val="21"/>
          <w:szCs w:val="21"/>
          <w:highlight w:val="none"/>
          <w:lang w:val="en-US" w:eastAsia="zh-CN"/>
        </w:rPr>
        <w:t>并依法不予退还我方磋商保证金或履约担保，</w:t>
      </w:r>
      <w:r>
        <w:rPr>
          <w:rFonts w:hint="eastAsia" w:ascii="宋体" w:hAnsi="宋体" w:eastAsia="宋体" w:cs="宋体"/>
          <w:color w:val="auto"/>
          <w:kern w:val="2"/>
          <w:sz w:val="21"/>
          <w:szCs w:val="21"/>
          <w:highlight w:val="none"/>
          <w:lang w:val="zh-CN"/>
        </w:rPr>
        <w:t>我方愿意接受违约</w:t>
      </w:r>
      <w:r>
        <w:rPr>
          <w:rFonts w:hint="eastAsia" w:ascii="宋体" w:hAnsi="宋体" w:cs="宋体"/>
          <w:color w:val="auto"/>
          <w:kern w:val="2"/>
          <w:sz w:val="21"/>
          <w:szCs w:val="21"/>
          <w:highlight w:val="none"/>
          <w:lang w:val="en-US" w:eastAsia="zh-CN"/>
        </w:rPr>
        <w:t>处罚</w:t>
      </w:r>
      <w:r>
        <w:rPr>
          <w:rFonts w:hint="eastAsia" w:ascii="宋体" w:hAnsi="宋体" w:eastAsia="宋体" w:cs="宋体"/>
          <w:color w:val="auto"/>
          <w:kern w:val="2"/>
          <w:sz w:val="21"/>
          <w:szCs w:val="21"/>
          <w:highlight w:val="none"/>
          <w:lang w:val="zh-CN"/>
        </w:rPr>
        <w:t>；</w:t>
      </w:r>
    </w:p>
    <w:p w14:paraId="2237A37D">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（十）若我方获得成交后，核查出响应文件内容前后不一致，我方愿按最高标准的承诺履约义务；</w:t>
      </w:r>
    </w:p>
    <w:p w14:paraId="6597C6BF">
      <w:pPr>
        <w:spacing w:line="360" w:lineRule="auto"/>
        <w:ind w:firstLine="420" w:firstLineChars="2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（十一）所有与本</w:t>
      </w:r>
      <w:r>
        <w:rPr>
          <w:rFonts w:hint="eastAsia" w:ascii="宋体" w:hAnsi="宋体" w:eastAsia="宋体" w:cs="宋体"/>
          <w:color w:val="auto"/>
          <w:kern w:val="2"/>
          <w:sz w:val="21"/>
          <w:szCs w:val="21"/>
          <w:highlight w:val="none"/>
          <w:lang w:val="en-US" w:eastAsia="zh-CN"/>
        </w:rPr>
        <w:t>次竞争性磋商</w:t>
      </w:r>
      <w:r>
        <w:rPr>
          <w:rFonts w:hint="eastAsia" w:ascii="宋体" w:hAnsi="宋体" w:eastAsia="宋体" w:cs="宋体"/>
          <w:color w:val="auto"/>
          <w:kern w:val="2"/>
          <w:sz w:val="21"/>
          <w:szCs w:val="21"/>
          <w:highlight w:val="none"/>
          <w:lang w:val="zh-CN"/>
        </w:rPr>
        <w:t>有关的函件请发往下列地址：</w:t>
      </w:r>
    </w:p>
    <w:p w14:paraId="2673F13B">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地  　址：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邮政编码：</w:t>
      </w:r>
      <w:r>
        <w:rPr>
          <w:rFonts w:hint="eastAsia" w:ascii="宋体" w:hAnsi="宋体" w:eastAsia="宋体" w:cs="宋体"/>
          <w:color w:val="auto"/>
          <w:kern w:val="2"/>
          <w:sz w:val="21"/>
          <w:szCs w:val="21"/>
          <w:highlight w:val="none"/>
          <w:u w:val="single"/>
          <w:lang w:val="zh-CN"/>
        </w:rPr>
        <w:t xml:space="preserve">　　　　　　　　　 　 </w:t>
      </w:r>
    </w:p>
    <w:p w14:paraId="0918007E">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电　　话：　　　　　　　　　　　</w:t>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传　　真：</w:t>
      </w:r>
      <w:r>
        <w:rPr>
          <w:rFonts w:hint="eastAsia" w:ascii="宋体" w:hAnsi="宋体" w:eastAsia="宋体" w:cs="宋体"/>
          <w:color w:val="auto"/>
          <w:kern w:val="2"/>
          <w:sz w:val="21"/>
          <w:szCs w:val="21"/>
          <w:highlight w:val="none"/>
          <w:u w:val="single"/>
          <w:lang w:val="zh-CN"/>
        </w:rPr>
        <w:t>　　　　　　　　　　　</w:t>
      </w:r>
    </w:p>
    <w:p w14:paraId="7FD29BC5">
      <w:pPr>
        <w:spacing w:line="360" w:lineRule="auto"/>
        <w:ind w:firstLine="840" w:firstLineChars="40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网    站：                      电子邮箱：</w:t>
      </w:r>
      <w:r>
        <w:rPr>
          <w:rFonts w:hint="eastAsia" w:ascii="宋体" w:hAnsi="宋体" w:eastAsia="宋体" w:cs="宋体"/>
          <w:color w:val="auto"/>
          <w:kern w:val="2"/>
          <w:sz w:val="21"/>
          <w:szCs w:val="21"/>
          <w:highlight w:val="none"/>
          <w:u w:val="single"/>
          <w:lang w:val="zh-CN"/>
        </w:rPr>
        <w:t xml:space="preserve">                      </w:t>
      </w:r>
    </w:p>
    <w:p w14:paraId="03BE33D7">
      <w:pPr>
        <w:spacing w:line="360" w:lineRule="auto"/>
        <w:ind w:firstLine="840" w:firstLineChars="400"/>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代表姓名：　　　　　　　　　　　职　　务：</w:t>
      </w:r>
      <w:r>
        <w:rPr>
          <w:rFonts w:hint="eastAsia" w:ascii="宋体" w:hAnsi="宋体" w:eastAsia="宋体" w:cs="宋体"/>
          <w:color w:val="auto"/>
          <w:kern w:val="2"/>
          <w:sz w:val="21"/>
          <w:szCs w:val="21"/>
          <w:highlight w:val="none"/>
          <w:u w:val="single"/>
          <w:lang w:val="zh-CN"/>
        </w:rPr>
        <w:t xml:space="preserve">　　　　　　　　　　 </w:t>
      </w:r>
    </w:p>
    <w:p w14:paraId="5DB82D26">
      <w:pPr>
        <w:spacing w:line="360" w:lineRule="auto"/>
        <w:ind w:left="631" w:leftChars="88" w:hanging="420" w:hangingChars="200"/>
        <w:jc w:val="both"/>
        <w:rPr>
          <w:rFonts w:hint="eastAsia" w:ascii="宋体" w:hAnsi="宋体" w:eastAsia="宋体" w:cs="宋体"/>
          <w:color w:val="auto"/>
          <w:kern w:val="2"/>
          <w:sz w:val="21"/>
          <w:szCs w:val="21"/>
          <w:highlight w:val="none"/>
          <w:u w:val="single"/>
          <w:lang w:val="zh-CN"/>
        </w:rPr>
      </w:pPr>
    </w:p>
    <w:p w14:paraId="5F0227B9">
      <w:pPr>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ab/>
      </w:r>
      <w:r>
        <w:rPr>
          <w:rFonts w:hint="eastAsia" w:ascii="宋体" w:hAnsi="宋体" w:eastAsia="宋体" w:cs="宋体"/>
          <w:color w:val="auto"/>
          <w:kern w:val="2"/>
          <w:sz w:val="21"/>
          <w:szCs w:val="21"/>
          <w:highlight w:val="none"/>
          <w:lang w:val="zh-CN"/>
        </w:rPr>
        <w:t xml:space="preserve">                       </w:t>
      </w:r>
    </w:p>
    <w:p w14:paraId="5419FE95">
      <w:pPr>
        <w:spacing w:line="360" w:lineRule="auto"/>
        <w:ind w:right="17" w:firstLine="4935" w:firstLineChars="235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 </w:t>
      </w:r>
    </w:p>
    <w:p w14:paraId="50D324E4">
      <w:pPr>
        <w:spacing w:line="360" w:lineRule="auto"/>
        <w:ind w:firstLine="5040" w:firstLineChars="2400"/>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1EC3AD0B">
      <w:pPr>
        <w:spacing w:line="360" w:lineRule="auto"/>
        <w:ind w:firstLine="5040" w:firstLineChars="2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法定代表人或其授权代表签名（或盖私章）：    </w:t>
      </w:r>
    </w:p>
    <w:p w14:paraId="05721039">
      <w:pPr>
        <w:spacing w:line="360" w:lineRule="auto"/>
        <w:ind w:firstLine="5040" w:firstLineChars="240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0F74E8F6">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0A457114">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4963A55C">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270C820B">
      <w:pPr>
        <w:spacing w:line="360" w:lineRule="auto"/>
        <w:ind w:right="17" w:firstLine="4935" w:firstLineChars="2350"/>
        <w:jc w:val="both"/>
        <w:rPr>
          <w:rFonts w:hint="eastAsia" w:ascii="宋体" w:hAnsi="宋体" w:eastAsia="宋体" w:cs="宋体"/>
          <w:color w:val="auto"/>
          <w:kern w:val="2"/>
          <w:sz w:val="21"/>
          <w:szCs w:val="21"/>
          <w:highlight w:val="none"/>
          <w:lang w:val="zh-CN"/>
        </w:rPr>
      </w:pPr>
    </w:p>
    <w:p w14:paraId="3B20425F">
      <w:pPr>
        <w:outlineLvl w:val="9"/>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bookmarkStart w:id="241" w:name="_Toc15830"/>
      <w:bookmarkStart w:id="242" w:name="_Toc56076623"/>
      <w:bookmarkStart w:id="243" w:name="_Toc490169462"/>
      <w:bookmarkStart w:id="244" w:name="_Toc12121"/>
      <w:bookmarkStart w:id="245" w:name="_Toc14924"/>
      <w:bookmarkStart w:id="246" w:name="_Toc54334004"/>
      <w:bookmarkStart w:id="247" w:name="_Toc1123950"/>
      <w:bookmarkStart w:id="248" w:name="_Toc521918115"/>
      <w:bookmarkStart w:id="249" w:name="_Toc19008823"/>
      <w:bookmarkStart w:id="250" w:name="_Toc495907131"/>
      <w:bookmarkStart w:id="251" w:name="_Toc5098068"/>
      <w:bookmarkStart w:id="252" w:name="_Toc497746559"/>
      <w:bookmarkStart w:id="253" w:name="_Toc79146597"/>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eastAsia="zh-CN"/>
        </w:rPr>
        <w:t>磋商承诺书</w:t>
      </w:r>
      <w:r>
        <w:rPr>
          <w:rFonts w:hint="eastAsia" w:ascii="宋体" w:hAnsi="宋体" w:eastAsia="宋体" w:cs="宋体"/>
          <w:b/>
          <w:color w:val="auto"/>
          <w:sz w:val="32"/>
          <w:szCs w:val="32"/>
          <w:highlight w:val="none"/>
        </w:rPr>
        <w:t>格式</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1DDE10D4">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21"/>
          <w:szCs w:val="21"/>
          <w:highlight w:val="none"/>
        </w:rPr>
        <w:cr/>
      </w:r>
      <w:r>
        <w:rPr>
          <w:rFonts w:hint="eastAsia" w:ascii="宋体" w:hAnsi="宋体" w:eastAsia="宋体" w:cs="宋体"/>
          <w:b/>
          <w:color w:val="auto"/>
          <w:sz w:val="30"/>
          <w:szCs w:val="30"/>
          <w:highlight w:val="none"/>
          <w:lang w:eastAsia="zh-CN"/>
        </w:rPr>
        <w:t>磋商承诺书</w:t>
      </w:r>
    </w:p>
    <w:p w14:paraId="641B01D6">
      <w:pPr>
        <w:jc w:val="center"/>
        <w:rPr>
          <w:rFonts w:hint="eastAsia" w:ascii="宋体" w:hAnsi="宋体" w:eastAsia="宋体" w:cs="宋体"/>
          <w:b/>
          <w:color w:val="auto"/>
          <w:sz w:val="32"/>
          <w:szCs w:val="32"/>
          <w:highlight w:val="none"/>
        </w:rPr>
      </w:pPr>
    </w:p>
    <w:p w14:paraId="2214FD93">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名称）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已完整阅读了</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东莞市众源环境投资有限公司污水处理厂污泥脱水减量处理服务（BOT权属东江下游片区）采购项目（麻涌一期重新采购）</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kern w:val="0"/>
          <w:sz w:val="21"/>
          <w:szCs w:val="21"/>
          <w:u w:val="single"/>
          <w:lang w:val="zh-CN"/>
        </w:rPr>
        <w:t xml:space="preserve">YDZB24DGQY0031-1 </w:t>
      </w:r>
      <w:r>
        <w:rPr>
          <w:rFonts w:hint="eastAsia" w:ascii="宋体" w:hAnsi="宋体" w:eastAsia="宋体" w:cs="宋体"/>
          <w:color w:val="auto"/>
          <w:kern w:val="0"/>
          <w:sz w:val="21"/>
          <w:szCs w:val="21"/>
        </w:rPr>
        <w:t>）</w:t>
      </w:r>
      <w:r>
        <w:rPr>
          <w:rFonts w:hint="eastAsia" w:ascii="宋体" w:hAnsi="宋体" w:eastAsia="宋体" w:cs="宋体"/>
          <w:color w:val="auto"/>
          <w:sz w:val="21"/>
          <w:szCs w:val="21"/>
          <w:highlight w:val="none"/>
        </w:rPr>
        <w:t>竞争性磋商文件的所有内容（包括澄清，以及所有已提供的参考资料和有关附件），并完全理解上述文件所表达的意思，该项目递交响应文件时间截止后，我方承诺不再对上述文件内容进行询问或</w:t>
      </w:r>
      <w:r>
        <w:rPr>
          <w:rFonts w:hint="eastAsia" w:ascii="宋体" w:hAnsi="宋体" w:cs="宋体"/>
          <w:color w:val="auto"/>
          <w:sz w:val="21"/>
          <w:szCs w:val="21"/>
          <w:highlight w:val="none"/>
          <w:lang w:val="en-US" w:eastAsia="zh-CN"/>
        </w:rPr>
        <w:t>异议</w:t>
      </w:r>
      <w:r>
        <w:rPr>
          <w:rFonts w:hint="eastAsia" w:ascii="宋体" w:hAnsi="宋体" w:eastAsia="宋体" w:cs="宋体"/>
          <w:color w:val="auto"/>
          <w:sz w:val="21"/>
          <w:szCs w:val="21"/>
          <w:highlight w:val="none"/>
        </w:rPr>
        <w:t>。</w:t>
      </w:r>
    </w:p>
    <w:p w14:paraId="237CE2A5">
      <w:pPr>
        <w:widowControl/>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sz w:val="21"/>
          <w:szCs w:val="21"/>
          <w:highlight w:val="none"/>
        </w:rPr>
        <w:t xml:space="preserve"> </w:t>
      </w:r>
      <w:r>
        <w:rPr>
          <w:rFonts w:hint="eastAsia" w:ascii="宋体" w:hAnsi="宋体" w:eastAsia="宋体" w:cs="宋体"/>
          <w:kern w:val="0"/>
          <w:sz w:val="21"/>
          <w:szCs w:val="21"/>
        </w:rPr>
        <w:t xml:space="preserve"> 我方承诺，若我方存在通过弄虚作假、虚假响应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文件要求等手段骗取</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人有权或协助主管部门认定我方严重失信的不良行为，纳入相关企业信用“黑名单”，限制我方参与依法必须招标项目的投标，并向行政主管部门报送结果。同时，</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人有权根据《关于对环境保护领域失信生产经营单位及其有关人员开展联合惩戒的合作备忘录》等规定，通过“信用中国”网站向社会公示我方的失信行为，实现“一处失信、处处受限”。</w:t>
      </w:r>
    </w:p>
    <w:p w14:paraId="5A3DD9ED">
      <w:pPr>
        <w:widowControl/>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若我方在</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或履行本合同过程中存在提供虚假材料、虚假响应</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文件要求等弄虚作假行为，或未能根据</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w:t>
      </w:r>
      <w:r>
        <w:rPr>
          <w:rFonts w:hint="eastAsia" w:ascii="宋体" w:hAnsi="宋体" w:eastAsia="宋体" w:cs="宋体"/>
          <w:kern w:val="0"/>
          <w:sz w:val="21"/>
          <w:szCs w:val="21"/>
          <w:lang w:val="en-US" w:eastAsia="zh-CN"/>
        </w:rPr>
        <w:t>磋商</w:t>
      </w:r>
      <w:r>
        <w:rPr>
          <w:rFonts w:hint="eastAsia" w:ascii="宋体" w:hAnsi="宋体" w:eastAsia="宋体" w:cs="宋体"/>
          <w:kern w:val="0"/>
          <w:sz w:val="21"/>
          <w:szCs w:val="21"/>
        </w:rPr>
        <w:t>须知第29.2款约定按时提供原件核查的，因此导致我方无法参与东莞市水务集团有限公司相关采购活动的，由我方自行承担全部后果。</w:t>
      </w:r>
    </w:p>
    <w:p w14:paraId="63F5845D">
      <w:pPr>
        <w:spacing w:line="360" w:lineRule="auto"/>
        <w:ind w:firstLine="420" w:firstLineChars="200"/>
        <w:rPr>
          <w:rFonts w:hint="eastAsia" w:ascii="宋体" w:hAnsi="宋体" w:eastAsia="宋体" w:cs="宋体"/>
          <w:color w:val="auto"/>
          <w:sz w:val="21"/>
          <w:szCs w:val="21"/>
          <w:highlight w:val="none"/>
        </w:rPr>
      </w:pPr>
    </w:p>
    <w:p w14:paraId="7EBA4AC2">
      <w:pPr>
        <w:spacing w:line="360" w:lineRule="auto"/>
        <w:ind w:firstLine="480" w:firstLineChars="200"/>
        <w:rPr>
          <w:rFonts w:hint="eastAsia" w:ascii="宋体" w:hAnsi="宋体" w:eastAsia="宋体" w:cs="宋体"/>
          <w:color w:val="auto"/>
          <w:highlight w:val="none"/>
        </w:rPr>
      </w:pPr>
    </w:p>
    <w:p w14:paraId="6C0F0A7A">
      <w:pPr>
        <w:spacing w:line="360" w:lineRule="auto"/>
        <w:rPr>
          <w:rFonts w:hint="eastAsia" w:ascii="宋体" w:hAnsi="宋体" w:eastAsia="宋体" w:cs="宋体"/>
          <w:color w:val="auto"/>
          <w:highlight w:val="none"/>
        </w:rPr>
      </w:pPr>
    </w:p>
    <w:p w14:paraId="7416A984">
      <w:pPr>
        <w:spacing w:line="360" w:lineRule="auto"/>
        <w:rPr>
          <w:rFonts w:hint="eastAsia" w:ascii="宋体" w:hAnsi="宋体" w:eastAsia="宋体" w:cs="宋体"/>
          <w:color w:val="auto"/>
          <w:highlight w:val="none"/>
        </w:rPr>
      </w:pPr>
    </w:p>
    <w:p w14:paraId="7F0CD202">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61511143">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6BB7FE80">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3DADF851">
      <w:pPr>
        <w:spacing w:line="360" w:lineRule="auto"/>
        <w:rPr>
          <w:rFonts w:hint="eastAsia" w:ascii="宋体" w:hAnsi="宋体" w:eastAsia="宋体" w:cs="宋体"/>
          <w:color w:val="auto"/>
          <w:highlight w:val="none"/>
        </w:rPr>
      </w:pPr>
      <w:bookmarkStart w:id="254" w:name="_Toc316896755"/>
      <w:bookmarkStart w:id="255" w:name="_Toc311032584"/>
      <w:bookmarkStart w:id="256" w:name="_Toc326768876"/>
    </w:p>
    <w:p w14:paraId="1543DF8D">
      <w:pPr>
        <w:spacing w:line="360" w:lineRule="auto"/>
        <w:rPr>
          <w:rFonts w:hint="eastAsia" w:ascii="宋体" w:hAnsi="宋体" w:eastAsia="宋体" w:cs="宋体"/>
          <w:color w:val="auto"/>
          <w:highlight w:val="none"/>
        </w:rPr>
      </w:pPr>
    </w:p>
    <w:p w14:paraId="785544F6">
      <w:pPr>
        <w:spacing w:line="360" w:lineRule="auto"/>
        <w:rPr>
          <w:rFonts w:hint="eastAsia" w:ascii="宋体" w:hAnsi="宋体" w:eastAsia="宋体" w:cs="宋体"/>
          <w:color w:val="auto"/>
          <w:highlight w:val="none"/>
        </w:rPr>
      </w:pPr>
    </w:p>
    <w:p w14:paraId="378F74DD">
      <w:pPr>
        <w:spacing w:line="360" w:lineRule="auto"/>
        <w:rPr>
          <w:rFonts w:hint="eastAsia" w:ascii="宋体" w:hAnsi="宋体" w:eastAsia="宋体" w:cs="宋体"/>
          <w:color w:val="auto"/>
          <w:highlight w:val="none"/>
        </w:rPr>
      </w:pPr>
    </w:p>
    <w:p w14:paraId="19008E15">
      <w:pPr>
        <w:pageBreakBefore/>
        <w:autoSpaceDE w:val="0"/>
        <w:autoSpaceDN w:val="0"/>
        <w:adjustRightInd w:val="0"/>
        <w:spacing w:line="360" w:lineRule="auto"/>
        <w:jc w:val="left"/>
        <w:outlineLvl w:val="9"/>
        <w:rPr>
          <w:rFonts w:hint="eastAsia" w:ascii="宋体" w:hAnsi="宋体" w:eastAsia="宋体" w:cs="宋体"/>
          <w:b/>
          <w:kern w:val="44"/>
          <w:sz w:val="32"/>
          <w:szCs w:val="32"/>
        </w:rPr>
      </w:pPr>
      <w:bookmarkStart w:id="257" w:name="_Toc94107204"/>
      <w:bookmarkStart w:id="258" w:name="_Toc102860413"/>
      <w:bookmarkStart w:id="259" w:name="_Toc142508364"/>
      <w:bookmarkStart w:id="260" w:name="_Toc5075"/>
      <w:bookmarkStart w:id="261" w:name="_Toc24336"/>
      <w:bookmarkStart w:id="262" w:name="_Toc104991870"/>
      <w:bookmarkStart w:id="263" w:name="_Toc102860069"/>
      <w:bookmarkStart w:id="264" w:name="_Toc86764083"/>
      <w:bookmarkStart w:id="265" w:name="_Toc82182546"/>
      <w:bookmarkStart w:id="266" w:name="_Toc29910"/>
      <w:bookmarkStart w:id="267" w:name="_Toc140596923"/>
      <w:bookmarkStart w:id="268" w:name="_Toc490169463"/>
      <w:bookmarkStart w:id="269" w:name="_Toc5098069"/>
      <w:bookmarkStart w:id="270" w:name="_Toc19153"/>
      <w:bookmarkStart w:id="271" w:name="_Toc19008824"/>
      <w:bookmarkStart w:id="272" w:name="_Toc521918116"/>
      <w:bookmarkStart w:id="273" w:name="_Toc8924"/>
      <w:bookmarkStart w:id="274" w:name="_Toc54334005"/>
      <w:bookmarkStart w:id="275" w:name="_Toc1123951"/>
      <w:bookmarkStart w:id="276" w:name="_Toc16943"/>
      <w:bookmarkStart w:id="277" w:name="_Toc79146598"/>
      <w:bookmarkStart w:id="278" w:name="_Toc495907132"/>
      <w:bookmarkStart w:id="279" w:name="_Toc56076624"/>
      <w:bookmarkStart w:id="280" w:name="_Toc497746560"/>
      <w:r>
        <w:rPr>
          <w:rFonts w:hint="eastAsia" w:ascii="宋体" w:hAnsi="宋体" w:eastAsia="宋体" w:cs="宋体"/>
          <w:b/>
          <w:kern w:val="44"/>
          <w:sz w:val="32"/>
          <w:szCs w:val="32"/>
        </w:rPr>
        <w:t>三、供货及/或提供服务过程承诺函格式</w:t>
      </w:r>
      <w:bookmarkEnd w:id="257"/>
      <w:bookmarkEnd w:id="258"/>
      <w:bookmarkEnd w:id="259"/>
      <w:bookmarkEnd w:id="260"/>
      <w:bookmarkEnd w:id="261"/>
      <w:bookmarkEnd w:id="262"/>
      <w:bookmarkEnd w:id="263"/>
      <w:bookmarkEnd w:id="264"/>
      <w:bookmarkEnd w:id="265"/>
      <w:bookmarkEnd w:id="266"/>
      <w:bookmarkEnd w:id="267"/>
    </w:p>
    <w:p w14:paraId="117A5835">
      <w:pPr>
        <w:autoSpaceDE w:val="0"/>
        <w:autoSpaceDN w:val="0"/>
        <w:adjustRightInd w:val="0"/>
        <w:spacing w:line="360" w:lineRule="auto"/>
        <w:jc w:val="center"/>
        <w:outlineLvl w:val="9"/>
        <w:rPr>
          <w:rFonts w:hint="eastAsia" w:ascii="宋体" w:hAnsi="宋体" w:eastAsia="宋体" w:cs="宋体"/>
          <w:b/>
          <w:kern w:val="44"/>
          <w:sz w:val="30"/>
          <w:szCs w:val="30"/>
        </w:rPr>
      </w:pPr>
      <w:r>
        <w:rPr>
          <w:rFonts w:hint="eastAsia" w:ascii="宋体" w:hAnsi="宋体" w:eastAsia="宋体" w:cs="宋体"/>
          <w:b/>
          <w:kern w:val="44"/>
          <w:sz w:val="30"/>
          <w:szCs w:val="30"/>
        </w:rPr>
        <w:t>供货及/或提供服务过程承诺函</w:t>
      </w:r>
    </w:p>
    <w:p w14:paraId="56380360">
      <w:pPr>
        <w:autoSpaceDE w:val="0"/>
        <w:autoSpaceDN w:val="0"/>
        <w:adjustRightInd w:val="0"/>
        <w:spacing w:line="360" w:lineRule="auto"/>
        <w:jc w:val="left"/>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致东莞市众源环境投资有限公司：</w:t>
      </w:r>
    </w:p>
    <w:p w14:paraId="7B5E01D4">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我方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供应商</w:t>
      </w:r>
      <w:r>
        <w:rPr>
          <w:rFonts w:hint="eastAsia" w:ascii="宋体" w:hAnsi="宋体" w:eastAsia="宋体" w:cs="宋体"/>
          <w:color w:val="auto"/>
          <w:kern w:val="0"/>
          <w:sz w:val="21"/>
          <w:szCs w:val="21"/>
          <w:u w:val="single"/>
        </w:rPr>
        <w:t>名称）</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为</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人</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的</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东莞市众源环境投资有限公司污水处理厂污泥脱水减量处理服务（BOT权属东江下游片区）采购项目（麻涌一期重新采购）</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采购</w:t>
      </w:r>
      <w:r>
        <w:rPr>
          <w:rFonts w:hint="eastAsia" w:ascii="宋体" w:hAnsi="宋体" w:eastAsia="宋体" w:cs="宋体"/>
          <w:color w:val="auto"/>
          <w:kern w:val="0"/>
          <w:sz w:val="21"/>
          <w:szCs w:val="21"/>
        </w:rPr>
        <w:t>编号：</w:t>
      </w:r>
      <w:r>
        <w:rPr>
          <w:rFonts w:hint="eastAsia" w:ascii="宋体" w:hAnsi="宋体" w:cs="宋体"/>
          <w:color w:val="auto"/>
          <w:sz w:val="21"/>
          <w:szCs w:val="21"/>
          <w:u w:val="single"/>
          <w:lang w:val="zh-CN"/>
        </w:rPr>
        <w:t xml:space="preserve">YDZB24DGQY0031-1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单位，为确保供货及/或提供服务过程中的人身、财产安</w:t>
      </w:r>
      <w:r>
        <w:rPr>
          <w:rFonts w:hint="eastAsia" w:ascii="宋体" w:hAnsi="宋体" w:eastAsia="宋体" w:cs="宋体"/>
          <w:kern w:val="0"/>
          <w:sz w:val="21"/>
          <w:szCs w:val="21"/>
        </w:rPr>
        <w:t>全，我方承诺，如我方获得</w:t>
      </w:r>
      <w:r>
        <w:rPr>
          <w:rFonts w:hint="eastAsia" w:ascii="宋体" w:hAnsi="宋体" w:eastAsia="宋体" w:cs="宋体"/>
          <w:kern w:val="0"/>
          <w:sz w:val="21"/>
          <w:szCs w:val="21"/>
          <w:lang w:val="en-US" w:eastAsia="zh-CN"/>
        </w:rPr>
        <w:t>成交</w:t>
      </w:r>
      <w:r>
        <w:rPr>
          <w:rFonts w:hint="eastAsia" w:ascii="宋体" w:hAnsi="宋体" w:eastAsia="宋体" w:cs="宋体"/>
          <w:kern w:val="0"/>
          <w:sz w:val="21"/>
          <w:szCs w:val="21"/>
        </w:rPr>
        <w:t>资格，将严格按照下列要求开展工作。</w:t>
      </w:r>
    </w:p>
    <w:p w14:paraId="346D3748">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1、我方承诺将严格遵守国家、地方政府有关安全生产及劳动保护的法律法规、标准、规定，贯彻执行</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人的各项安全管理规章制度。</w:t>
      </w:r>
    </w:p>
    <w:p w14:paraId="5A7F895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2、我方承诺将依法参加工伤保险，为安排至</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人从事本项目的工作人员缴纳保险费，并为从事危险作业的人员办理意外伤害保险。</w:t>
      </w:r>
    </w:p>
    <w:p w14:paraId="3447A76C">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3、我方承诺服从</w:t>
      </w:r>
      <w:r>
        <w:rPr>
          <w:rFonts w:hint="eastAsia" w:ascii="宋体" w:hAnsi="宋体" w:eastAsia="宋体" w:cs="宋体"/>
          <w:kern w:val="0"/>
          <w:sz w:val="21"/>
          <w:szCs w:val="21"/>
          <w:lang w:val="en-US" w:eastAsia="zh-CN"/>
        </w:rPr>
        <w:t>采购</w:t>
      </w:r>
      <w:r>
        <w:rPr>
          <w:rFonts w:hint="eastAsia" w:ascii="宋体" w:hAnsi="宋体" w:eastAsia="宋体" w:cs="宋体"/>
          <w:kern w:val="0"/>
          <w:sz w:val="21"/>
          <w:szCs w:val="21"/>
        </w:rPr>
        <w:t>人的安全管理，保证作业区域的现场文明安全管理达标，现场临时用电、机器设备、安全防护齐全、完好，并接受和配合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的安全监督检查，我方提供到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现场作业的所有安全装置、防护设施必须依据经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审批后的安全技术方案进行搭设、安装，同时我方无条件保证安全防护设施使用的搭设材料的质量安全，在用于安全防护的物资进场前将有关物资的材质证明报</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，经</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确认后方可使用。</w:t>
      </w:r>
    </w:p>
    <w:p w14:paraId="6A6E23A9">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4、我方承诺携带进场的机器设备、机具必须是合格产品，并对携带进场的机器设备、机具安全负责管理、维护及检查，对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和自查发现的安全隐患落实整改措施。如我方使用不合格机器设备、机具造成事故的，由我方自行承担责任。</w:t>
      </w:r>
    </w:p>
    <w:p w14:paraId="26B50EB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所属设备、电器、管线及其他设施等，承诺事先征得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代表的同意，并采取安全防护措施。</w:t>
      </w:r>
    </w:p>
    <w:p w14:paraId="0FEFB9AB">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场所遵守</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的一切规章制度和安全条例，服从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的监督。我方在提供服务过程中，如因违反</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相关规章制度、安全条例，或因不服从</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监督而发生安全事故的，其结果与责任均由我方负责，</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无须承担任何结果与责任。</w:t>
      </w:r>
    </w:p>
    <w:p w14:paraId="77DE25EF">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7、我方承诺协助和指导</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进行货物的储存，对</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的储存方式、方法、储存数量、仓库的安全设施设备、安全生产规章制度等是否符合国家标准或者国家有关规定提出合理的建议，并进行技术指导。</w:t>
      </w:r>
    </w:p>
    <w:p w14:paraId="0D14E953">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8、我方车辆在</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场所行驶时，将严格遵守厂区道路限行，限速和限重要求，如因我方未遵守前述要求，对厂区/</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（含其人员）、我方人员、第三方造成损失的，由我方承担赔偿责任。</w:t>
      </w:r>
    </w:p>
    <w:p w14:paraId="2701736C">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3BE8AB9B">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10、因我方原因，造成我方损失，由我方自负，给</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造成财产损失和人员伤害，我方承担全部责任，并全额赔偿</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w:t>
      </w:r>
    </w:p>
    <w:p w14:paraId="40EBEC9A">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11、非因</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原因，造成我方损失的，</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无需承担任何责任，由我方自行承担全部责任。</w:t>
      </w:r>
    </w:p>
    <w:p w14:paraId="6A642386">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12、我方承诺严格遵守法律法规以及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的安全管理要求，并接受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的安全生产工作协调和监督，积极消除安全隐患。安全管理的基本要求包括但不限于以下条款：</w:t>
      </w:r>
    </w:p>
    <w:p w14:paraId="64AEA218">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①禁火区内严禁吸烟、动火。有火灾危险的作业区域，我方承诺配置足够的灭火设施。</w:t>
      </w:r>
    </w:p>
    <w:p w14:paraId="0FEFF23C">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②我方承诺焊接、气割作业时两瓶距离必须达到5M及以上，气瓶距可能产生火花的电器、设备和其它火源的间距必须达到10M及以上。</w:t>
      </w:r>
    </w:p>
    <w:p w14:paraId="56BF83D4">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③我方承诺不在厂内道路、消防通道内搭建临时建筑或堆放物资。</w:t>
      </w:r>
    </w:p>
    <w:p w14:paraId="0D20F871">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④我方承诺电动工具、电焊机等均具有漏电保护器和相应的安全防护装置。</w:t>
      </w:r>
    </w:p>
    <w:p w14:paraId="6912CCFB">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⑤我方承诺用电设施符合要求，杜绝电线乱接、乱拉，刀闸和开关无盖，在电器设施上堆放物品等行为。</w:t>
      </w:r>
    </w:p>
    <w:p w14:paraId="4D991905">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⑥我方承诺防雷、防静电设施及用电设施有良好接地。</w:t>
      </w:r>
    </w:p>
    <w:p w14:paraId="1BDAF3F3">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主管领导。</w:t>
      </w:r>
    </w:p>
    <w:p w14:paraId="5CABCD53">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13、我方承诺接受</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的检查与监督，并主动配合，做好安全工作，凡有违反上述条款的即视为我方违约，</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有权视情况从服务价款中扣除1000元/次作为违约金。</w:t>
      </w:r>
    </w:p>
    <w:p w14:paraId="55CAC499">
      <w:pPr>
        <w:autoSpaceDE w:val="0"/>
        <w:autoSpaceDN w:val="0"/>
        <w:adjustRightInd w:val="0"/>
        <w:spacing w:line="360" w:lineRule="auto"/>
        <w:ind w:firstLine="420" w:firstLineChars="20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如因我方违反上述条款造成安全生产事故的，我方将承担由此引发的一切责任与后果，如造成</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损失的，我方将予以足额赔偿，同时，</w:t>
      </w:r>
      <w:r>
        <w:rPr>
          <w:rFonts w:hint="eastAsia" w:ascii="宋体" w:hAnsi="宋体" w:eastAsia="宋体" w:cs="宋体"/>
          <w:kern w:val="0"/>
          <w:sz w:val="21"/>
          <w:szCs w:val="21"/>
          <w:lang w:eastAsia="zh-CN"/>
        </w:rPr>
        <w:t>采购人</w:t>
      </w:r>
      <w:r>
        <w:rPr>
          <w:rFonts w:hint="eastAsia" w:ascii="宋体" w:hAnsi="宋体" w:eastAsia="宋体" w:cs="宋体"/>
          <w:kern w:val="0"/>
          <w:sz w:val="21"/>
          <w:szCs w:val="21"/>
        </w:rPr>
        <w:t>有权没收我方提交的履约担保。</w:t>
      </w:r>
    </w:p>
    <w:p w14:paraId="54C47F5E">
      <w:pPr>
        <w:autoSpaceDE w:val="0"/>
        <w:autoSpaceDN w:val="0"/>
        <w:adjustRightInd w:val="0"/>
        <w:spacing w:line="360" w:lineRule="auto"/>
        <w:ind w:firstLine="5040"/>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14:paraId="61E5C410">
      <w:pPr>
        <w:spacing w:line="360" w:lineRule="auto"/>
        <w:ind w:firstLine="4252" w:firstLineChars="2025"/>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0072FD74">
      <w:pPr>
        <w:spacing w:line="360" w:lineRule="auto"/>
        <w:ind w:firstLine="4252" w:firstLineChars="2025"/>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法定代表人或其授权代表签名（或盖私章）：</w:t>
      </w:r>
    </w:p>
    <w:p w14:paraId="5B21C569">
      <w:pPr>
        <w:spacing w:line="360" w:lineRule="auto"/>
        <w:ind w:firstLine="4252" w:firstLineChars="2025"/>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 xml:space="preserve">日 </w:t>
      </w:r>
    </w:p>
    <w:p w14:paraId="26A0DF65">
      <w:pPr>
        <w:pageBreakBefore/>
        <w:spacing w:line="360" w:lineRule="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、首次报价表格式</w:t>
      </w:r>
      <w:bookmarkEnd w:id="268"/>
      <w:bookmarkEnd w:id="269"/>
      <w:bookmarkEnd w:id="270"/>
      <w:bookmarkEnd w:id="271"/>
      <w:bookmarkEnd w:id="272"/>
      <w:bookmarkEnd w:id="273"/>
      <w:bookmarkEnd w:id="274"/>
      <w:bookmarkEnd w:id="275"/>
      <w:bookmarkEnd w:id="276"/>
      <w:bookmarkEnd w:id="277"/>
      <w:bookmarkEnd w:id="278"/>
      <w:bookmarkEnd w:id="279"/>
      <w:bookmarkEnd w:id="280"/>
    </w:p>
    <w:p w14:paraId="066C98BA">
      <w:pPr>
        <w:spacing w:line="360" w:lineRule="auto"/>
        <w:jc w:val="left"/>
        <w:rPr>
          <w:rFonts w:hint="eastAsia" w:ascii="宋体" w:hAnsi="宋体" w:eastAsia="宋体" w:cs="宋体"/>
          <w:b/>
          <w:bCs/>
          <w:color w:val="auto"/>
          <w:kern w:val="2"/>
          <w:sz w:val="30"/>
          <w:szCs w:val="30"/>
          <w:highlight w:val="none"/>
          <w:lang w:val="zh-CN"/>
        </w:rPr>
      </w:pPr>
      <w:bookmarkStart w:id="281" w:name="_Toc1294"/>
      <w:bookmarkStart w:id="282" w:name="_Toc142508367"/>
      <w:bookmarkStart w:id="283" w:name="_Toc15425"/>
      <w:bookmarkStart w:id="284" w:name="_Toc24175"/>
      <w:bookmarkStart w:id="285" w:name="_Toc102860072"/>
      <w:bookmarkStart w:id="286" w:name="_Toc102860416"/>
      <w:bookmarkStart w:id="287" w:name="_Toc2395_WPSOffice_Level3"/>
      <w:bookmarkStart w:id="288" w:name="_Toc94107207"/>
      <w:bookmarkStart w:id="289" w:name="_Toc104991873"/>
      <w:bookmarkStart w:id="290" w:name="_Toc140596926"/>
      <w:bookmarkStart w:id="291" w:name="_Toc521918314"/>
      <w:bookmarkStart w:id="292" w:name="_Toc521918117"/>
      <w:bookmarkStart w:id="293" w:name="_Toc519153435"/>
      <w:bookmarkStart w:id="294" w:name="_Toc522047376"/>
      <w:bookmarkStart w:id="295" w:name="_Toc532576763"/>
      <w:bookmarkStart w:id="296" w:name="_Toc521576296"/>
      <w:r>
        <w:rPr>
          <w:rFonts w:hint="eastAsia" w:ascii="宋体" w:hAnsi="宋体" w:eastAsia="宋体" w:cs="宋体"/>
          <w:b/>
          <w:bCs/>
          <w:color w:val="auto"/>
          <w:kern w:val="2"/>
          <w:sz w:val="30"/>
          <w:szCs w:val="30"/>
          <w:highlight w:val="none"/>
          <w:lang w:val="zh-CN"/>
        </w:rPr>
        <w:t xml:space="preserve">4.1 </w:t>
      </w:r>
      <w:r>
        <w:rPr>
          <w:rFonts w:hint="eastAsia" w:ascii="宋体" w:hAnsi="宋体" w:cs="宋体"/>
          <w:b/>
          <w:bCs/>
          <w:color w:val="auto"/>
          <w:kern w:val="2"/>
          <w:sz w:val="30"/>
          <w:szCs w:val="30"/>
          <w:highlight w:val="none"/>
          <w:lang w:val="en-US" w:eastAsia="zh-CN"/>
        </w:rPr>
        <w:t>首次</w:t>
      </w:r>
      <w:r>
        <w:rPr>
          <w:rFonts w:hint="eastAsia" w:ascii="宋体" w:hAnsi="宋体" w:eastAsia="宋体" w:cs="宋体"/>
          <w:b/>
          <w:bCs/>
          <w:color w:val="auto"/>
          <w:kern w:val="2"/>
          <w:sz w:val="30"/>
          <w:szCs w:val="30"/>
          <w:highlight w:val="none"/>
          <w:lang w:val="zh-CN"/>
        </w:rPr>
        <w:t>报价表</w:t>
      </w:r>
      <w:bookmarkEnd w:id="281"/>
      <w:bookmarkEnd w:id="282"/>
      <w:bookmarkEnd w:id="283"/>
      <w:bookmarkEnd w:id="284"/>
      <w:bookmarkEnd w:id="285"/>
      <w:bookmarkEnd w:id="286"/>
      <w:bookmarkEnd w:id="287"/>
      <w:bookmarkEnd w:id="288"/>
      <w:bookmarkEnd w:id="289"/>
      <w:bookmarkEnd w:id="290"/>
    </w:p>
    <w:p w14:paraId="057A0C04">
      <w:pPr>
        <w:spacing w:line="360" w:lineRule="auto"/>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首次报价</w:t>
      </w:r>
      <w:bookmarkEnd w:id="291"/>
      <w:bookmarkEnd w:id="292"/>
      <w:bookmarkEnd w:id="293"/>
      <w:bookmarkEnd w:id="294"/>
      <w:bookmarkEnd w:id="295"/>
      <w:bookmarkEnd w:id="296"/>
      <w:r>
        <w:rPr>
          <w:rFonts w:hint="eastAsia" w:ascii="宋体" w:hAnsi="宋体" w:eastAsia="宋体" w:cs="宋体"/>
          <w:b/>
          <w:bCs/>
          <w:color w:val="auto"/>
          <w:kern w:val="2"/>
          <w:sz w:val="30"/>
          <w:szCs w:val="30"/>
          <w:highlight w:val="none"/>
          <w:lang w:val="zh-CN"/>
        </w:rPr>
        <w:t>表</w:t>
      </w:r>
    </w:p>
    <w:p w14:paraId="1884555E">
      <w:pPr>
        <w:pStyle w:val="32"/>
        <w:spacing w:line="360" w:lineRule="auto"/>
        <w:ind w:left="1054" w:hanging="1054" w:hangingChars="5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0"/>
          <w:sz w:val="21"/>
          <w:szCs w:val="21"/>
          <w:u w:val="single"/>
          <w:lang w:eastAsia="zh-CN"/>
        </w:rPr>
        <w:t>东莞市众源环境投资有限公司污水处理厂污泥脱水减量处理服务（BOT权属东江下游片区）采购项目（麻涌一期重新采购）</w:t>
      </w:r>
    </w:p>
    <w:p w14:paraId="19904CD0">
      <w:pPr>
        <w:pStyle w:val="32"/>
        <w:spacing w:line="360" w:lineRule="auto"/>
        <w:rPr>
          <w:rFonts w:hint="eastAsia" w:ascii="宋体" w:hAnsi="宋体" w:eastAsia="宋体" w:cs="宋体"/>
          <w:b w:val="0"/>
          <w:color w:val="auto"/>
          <w:sz w:val="21"/>
          <w:szCs w:val="21"/>
          <w:highlight w:val="none"/>
          <w:u w:val="single"/>
          <w:lang w:eastAsia="zh-CN"/>
        </w:rPr>
      </w:pPr>
      <w:r>
        <w:rPr>
          <w:rFonts w:hint="eastAsia" w:ascii="宋体" w:hAnsi="宋体" w:eastAsia="宋体" w:cs="宋体"/>
          <w:b/>
          <w:color w:val="auto"/>
          <w:sz w:val="21"/>
          <w:szCs w:val="21"/>
          <w:highlight w:val="none"/>
        </w:rPr>
        <w:t>采购编号：</w:t>
      </w:r>
      <w:r>
        <w:rPr>
          <w:rFonts w:hint="eastAsia" w:ascii="宋体" w:hAnsi="宋体" w:eastAsia="宋体" w:cs="宋体"/>
          <w:color w:val="auto"/>
          <w:kern w:val="0"/>
          <w:sz w:val="21"/>
          <w:szCs w:val="21"/>
          <w:u w:val="single"/>
          <w:lang w:eastAsia="zh-CN"/>
        </w:rPr>
        <w:t xml:space="preserve">YDZB24DGQY0031-1 </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3566"/>
        <w:gridCol w:w="3833"/>
        <w:gridCol w:w="1193"/>
      </w:tblGrid>
      <w:tr w14:paraId="0F246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2" w:hRule="atLeast"/>
        </w:trPr>
        <w:tc>
          <w:tcPr>
            <w:tcW w:w="374" w:type="pct"/>
            <w:tcBorders>
              <w:top w:val="single" w:color="auto" w:sz="4" w:space="0"/>
              <w:left w:val="single" w:color="auto" w:sz="4" w:space="0"/>
              <w:bottom w:val="single" w:color="auto" w:sz="4" w:space="0"/>
              <w:right w:val="single" w:color="auto" w:sz="4" w:space="0"/>
            </w:tcBorders>
            <w:vAlign w:val="center"/>
          </w:tcPr>
          <w:p w14:paraId="41C195D5">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1919" w:type="pct"/>
            <w:tcBorders>
              <w:top w:val="single" w:color="auto" w:sz="4" w:space="0"/>
              <w:left w:val="single" w:color="auto" w:sz="4" w:space="0"/>
              <w:bottom w:val="single" w:color="auto" w:sz="4" w:space="0"/>
              <w:right w:val="single" w:color="auto" w:sz="4" w:space="0"/>
            </w:tcBorders>
            <w:vAlign w:val="center"/>
          </w:tcPr>
          <w:p w14:paraId="54BA9A4F">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名称</w:t>
            </w:r>
          </w:p>
        </w:tc>
        <w:tc>
          <w:tcPr>
            <w:tcW w:w="2063" w:type="pct"/>
            <w:tcBorders>
              <w:top w:val="single" w:color="auto" w:sz="4" w:space="0"/>
              <w:left w:val="single" w:color="auto" w:sz="4" w:space="0"/>
              <w:bottom w:val="single" w:color="auto" w:sz="4" w:space="0"/>
              <w:right w:val="single" w:color="auto" w:sz="4" w:space="0"/>
            </w:tcBorders>
            <w:vAlign w:val="center"/>
          </w:tcPr>
          <w:p w14:paraId="07204458">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响应</w:t>
            </w:r>
            <w:r>
              <w:rPr>
                <w:rFonts w:hint="eastAsia" w:ascii="宋体" w:hAnsi="宋体" w:eastAsia="宋体" w:cs="宋体"/>
                <w:b/>
                <w:color w:val="auto"/>
                <w:kern w:val="0"/>
                <w:sz w:val="21"/>
                <w:szCs w:val="21"/>
              </w:rPr>
              <w:t>报价</w:t>
            </w:r>
            <w:r>
              <w:rPr>
                <w:rFonts w:hint="eastAsia" w:ascii="宋体" w:hAnsi="宋体" w:eastAsia="宋体" w:cs="宋体"/>
                <w:b/>
                <w:color w:val="auto"/>
                <w:kern w:val="0"/>
                <w:sz w:val="21"/>
                <w:szCs w:val="21"/>
                <w:lang w:eastAsia="zh-CN"/>
              </w:rPr>
              <w:t>（</w:t>
            </w:r>
            <w:r>
              <w:rPr>
                <w:rFonts w:hint="eastAsia" w:ascii="宋体" w:hAnsi="宋体" w:eastAsia="宋体" w:cs="宋体"/>
                <w:b/>
                <w:color w:val="auto"/>
                <w:kern w:val="0"/>
                <w:sz w:val="21"/>
                <w:szCs w:val="21"/>
                <w:lang w:val="en-US" w:eastAsia="zh-CN"/>
              </w:rPr>
              <w:t>不含销项税</w:t>
            </w:r>
            <w:r>
              <w:rPr>
                <w:rFonts w:hint="eastAsia" w:ascii="宋体" w:hAnsi="宋体" w:eastAsia="宋体" w:cs="宋体"/>
                <w:b/>
                <w:color w:val="auto"/>
                <w:kern w:val="0"/>
                <w:sz w:val="21"/>
                <w:szCs w:val="21"/>
                <w:lang w:eastAsia="zh-CN"/>
              </w:rPr>
              <w:t>）</w:t>
            </w:r>
          </w:p>
        </w:tc>
        <w:tc>
          <w:tcPr>
            <w:tcW w:w="642" w:type="pct"/>
            <w:tcBorders>
              <w:top w:val="single" w:color="auto" w:sz="4" w:space="0"/>
              <w:left w:val="single" w:color="auto" w:sz="4" w:space="0"/>
              <w:bottom w:val="single" w:color="auto" w:sz="4" w:space="0"/>
              <w:right w:val="single" w:color="auto" w:sz="4" w:space="0"/>
            </w:tcBorders>
            <w:vAlign w:val="center"/>
          </w:tcPr>
          <w:p w14:paraId="06F903EA">
            <w:pPr>
              <w:keepNext w:val="0"/>
              <w:keepLines w:val="0"/>
              <w:suppressLineNumbers w:val="0"/>
              <w:autoSpaceDE w:val="0"/>
              <w:autoSpaceDN w:val="0"/>
              <w:spacing w:before="0" w:beforeAutospacing="0" w:after="0" w:afterAutospacing="0" w:line="240" w:lineRule="auto"/>
              <w:ind w:left="0" w:right="0"/>
              <w:jc w:val="center"/>
              <w:outlineLvl w:val="9"/>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60E78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74" w:type="pct"/>
            <w:tcBorders>
              <w:top w:val="single" w:color="auto" w:sz="4" w:space="0"/>
              <w:left w:val="single" w:color="auto" w:sz="4" w:space="0"/>
              <w:right w:val="single" w:color="auto" w:sz="4" w:space="0"/>
            </w:tcBorders>
            <w:vAlign w:val="center"/>
          </w:tcPr>
          <w:p w14:paraId="544F6699">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919" w:type="pct"/>
            <w:tcBorders>
              <w:top w:val="single" w:color="auto" w:sz="4" w:space="0"/>
              <w:left w:val="single" w:color="auto" w:sz="4" w:space="0"/>
              <w:right w:val="single" w:color="auto" w:sz="4" w:space="0"/>
            </w:tcBorders>
            <w:vAlign w:val="center"/>
          </w:tcPr>
          <w:p w14:paraId="070F76EA">
            <w:pPr>
              <w:keepNext w:val="0"/>
              <w:keepLines w:val="0"/>
              <w:suppressLineNumbers w:val="0"/>
              <w:autoSpaceDE w:val="0"/>
              <w:autoSpaceDN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r>
              <w:rPr>
                <w:rFonts w:hint="eastAsia" w:ascii="宋体" w:hAnsi="宋体" w:cs="宋体"/>
                <w:color w:val="auto"/>
                <w:sz w:val="21"/>
                <w:szCs w:val="21"/>
                <w:lang w:val="zh-CN"/>
              </w:rPr>
              <w:t>东莞市众源环境投资有限公司污水处理厂污泥脱水减量处理服务（BOT权属东江下游片区）采购项目（麻涌一期重新采购）</w:t>
            </w:r>
          </w:p>
        </w:tc>
        <w:tc>
          <w:tcPr>
            <w:tcW w:w="2063" w:type="pct"/>
            <w:tcBorders>
              <w:top w:val="single" w:color="auto" w:sz="4" w:space="0"/>
              <w:left w:val="single" w:color="auto" w:sz="4" w:space="0"/>
              <w:right w:val="single" w:color="auto" w:sz="4" w:space="0"/>
            </w:tcBorders>
            <w:vAlign w:val="center"/>
          </w:tcPr>
          <w:p w14:paraId="4EDB49AC">
            <w:pPr>
              <w:keepNext w:val="0"/>
              <w:keepLines w:val="0"/>
              <w:suppressLineNumbers w:val="0"/>
              <w:tabs>
                <w:tab w:val="left" w:pos="8610"/>
              </w:tabs>
              <w:spacing w:before="0" w:beforeAutospacing="0" w:after="0" w:afterAutospacing="0" w:line="360" w:lineRule="auto"/>
              <w:ind w:left="0" w:right="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不含税处理服务费单价（将从污水厂储泥池或沉淀池抽取的污泥脱水减量至含水率不高于55%的半干化污泥的不含税处理服务费单价，</w:t>
            </w:r>
            <w:r>
              <w:rPr>
                <w:rFonts w:hint="eastAsia" w:ascii="宋体" w:hAnsi="宋体" w:eastAsia="宋体" w:cs="宋体"/>
                <w:color w:val="auto"/>
                <w:kern w:val="0"/>
                <w:sz w:val="21"/>
                <w:szCs w:val="21"/>
                <w:lang w:val="zh-CN"/>
              </w:rPr>
              <w:t>按含水率80%湿泥计量</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元/吨</w:t>
            </w:r>
          </w:p>
        </w:tc>
        <w:tc>
          <w:tcPr>
            <w:tcW w:w="642" w:type="pct"/>
            <w:tcBorders>
              <w:top w:val="single" w:color="auto" w:sz="4" w:space="0"/>
              <w:left w:val="single" w:color="auto" w:sz="4" w:space="0"/>
              <w:right w:val="single" w:color="auto" w:sz="4" w:space="0"/>
            </w:tcBorders>
            <w:vAlign w:val="center"/>
          </w:tcPr>
          <w:p w14:paraId="4531AA01">
            <w:pPr>
              <w:keepNext w:val="0"/>
              <w:keepLines w:val="0"/>
              <w:suppressLineNumbers w:val="0"/>
              <w:tabs>
                <w:tab w:val="left" w:pos="8610"/>
              </w:tabs>
              <w:spacing w:before="0" w:beforeAutospacing="0" w:after="0" w:afterAutospacing="0" w:line="360" w:lineRule="auto"/>
              <w:ind w:left="0" w:right="0"/>
              <w:jc w:val="center"/>
              <w:outlineLvl w:val="9"/>
              <w:rPr>
                <w:rFonts w:hint="eastAsia" w:ascii="宋体" w:hAnsi="宋体" w:eastAsia="宋体" w:cs="宋体"/>
                <w:color w:val="auto"/>
                <w:kern w:val="0"/>
                <w:sz w:val="21"/>
                <w:szCs w:val="21"/>
              </w:rPr>
            </w:pPr>
          </w:p>
        </w:tc>
      </w:tr>
    </w:tbl>
    <w:p w14:paraId="7588479A">
      <w:pPr>
        <w:autoSpaceDE w:val="0"/>
        <w:autoSpaceDN w:val="0"/>
        <w:adjustRightInd w:val="0"/>
        <w:spacing w:line="360" w:lineRule="auto"/>
        <w:outlineLvl w:val="9"/>
        <w:rPr>
          <w:rFonts w:hint="eastAsia" w:ascii="宋体" w:hAnsi="宋体" w:eastAsia="宋体" w:cs="宋体"/>
          <w:kern w:val="0"/>
          <w:sz w:val="21"/>
          <w:szCs w:val="21"/>
        </w:rPr>
      </w:pPr>
    </w:p>
    <w:p w14:paraId="1DA10AD9">
      <w:pPr>
        <w:autoSpaceDE w:val="0"/>
        <w:autoSpaceDN w:val="0"/>
        <w:adjustRightInd w:val="0"/>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p w14:paraId="7E5FEBEA">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b/>
          <w:kern w:val="0"/>
          <w:sz w:val="21"/>
          <w:szCs w:val="21"/>
          <w:u w:val="single"/>
        </w:rPr>
        <w:t>本项目</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报价为不含税价，即为《中华人民共和国增值税暂行条例》（国务院令第691号修订版）规定的销售额</w:t>
      </w:r>
      <w:r>
        <w:rPr>
          <w:rFonts w:hint="eastAsia" w:ascii="宋体" w:hAnsi="宋体" w:eastAsia="宋体" w:cs="宋体"/>
          <w:kern w:val="0"/>
          <w:sz w:val="21"/>
          <w:szCs w:val="21"/>
        </w:rPr>
        <w:t>。本</w:t>
      </w: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文件所称的不含税价是指不含本采购项目的</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销项税额，包含了</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完成合同义务（含</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代缴代扣、分包及委外服务、施工、采购货物等所产生的价税）的其他全部费用。</w:t>
      </w:r>
      <w:r>
        <w:rPr>
          <w:rFonts w:hint="eastAsia" w:ascii="宋体" w:hAnsi="宋体" w:eastAsia="宋体" w:cs="宋体"/>
          <w:sz w:val="21"/>
          <w:szCs w:val="21"/>
          <w:lang w:val="zh-CN"/>
        </w:rPr>
        <w:t>本采购项目的销项税额由</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人承担</w:t>
      </w:r>
      <w:r>
        <w:rPr>
          <w:rFonts w:hint="eastAsia" w:ascii="宋体" w:hAnsi="宋体" w:eastAsia="宋体" w:cs="宋体"/>
          <w:kern w:val="0"/>
          <w:sz w:val="21"/>
          <w:szCs w:val="21"/>
        </w:rPr>
        <w:t>，不计入</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w:t>
      </w:r>
    </w:p>
    <w:p w14:paraId="1BC4C0FE">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rPr>
      </w:pPr>
      <w:r>
        <w:rPr>
          <w:rFonts w:hint="eastAsia" w:ascii="宋体" w:hAnsi="宋体" w:eastAsia="宋体" w:cs="宋体"/>
          <w:b w:val="0"/>
          <w:bCs w:val="0"/>
          <w:kern w:val="0"/>
          <w:sz w:val="21"/>
          <w:szCs w:val="21"/>
        </w:rPr>
        <w:t>（2）</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报价高于最高限价的，该</w:t>
      </w:r>
      <w:r>
        <w:rPr>
          <w:rFonts w:hint="eastAsia" w:ascii="宋体" w:hAnsi="宋体" w:eastAsia="宋体" w:cs="宋体"/>
          <w:b/>
          <w:bCs/>
          <w:kern w:val="0"/>
          <w:sz w:val="21"/>
          <w:szCs w:val="21"/>
          <w:u w:val="single"/>
          <w:lang w:val="en-US" w:eastAsia="zh-CN"/>
        </w:rPr>
        <w:t>供应商</w:t>
      </w:r>
      <w:r>
        <w:rPr>
          <w:rFonts w:hint="eastAsia" w:ascii="宋体" w:hAnsi="宋体" w:eastAsia="宋体" w:cs="宋体"/>
          <w:b/>
          <w:bCs/>
          <w:kern w:val="0"/>
          <w:sz w:val="21"/>
          <w:szCs w:val="21"/>
          <w:u w:val="single"/>
        </w:rPr>
        <w:t>的</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文件将被视为无效</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rPr>
        <w:t>。</w:t>
      </w:r>
    </w:p>
    <w:p w14:paraId="4B60BBA4">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报价大写金额和小写金额不一致的，以大写金额为准。对不同文字文本</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文件的解释发生异议的，以中文文本为准。</w:t>
      </w:r>
    </w:p>
    <w:p w14:paraId="63845675">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
          <w:bCs/>
          <w:kern w:val="0"/>
          <w:sz w:val="21"/>
          <w:szCs w:val="21"/>
          <w:lang w:val="zh-CN"/>
        </w:rPr>
      </w:pPr>
      <w:r>
        <w:rPr>
          <w:rFonts w:hint="eastAsia" w:ascii="宋体" w:hAnsi="宋体" w:eastAsia="宋体" w:cs="宋体"/>
          <w:kern w:val="0"/>
          <w:sz w:val="21"/>
          <w:szCs w:val="21"/>
        </w:rPr>
        <w:t>（4）</w:t>
      </w:r>
      <w:r>
        <w:rPr>
          <w:rFonts w:hint="eastAsia" w:ascii="宋体" w:hAnsi="宋体" w:eastAsia="宋体" w:cs="宋体"/>
          <w:b/>
          <w:bCs/>
          <w:kern w:val="0"/>
          <w:sz w:val="21"/>
          <w:szCs w:val="21"/>
          <w:u w:val="single"/>
          <w:lang w:val="zh-CN"/>
        </w:rPr>
        <w:t>本表编入</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lang w:val="zh-CN"/>
        </w:rPr>
        <w:t>文件商务文件</w:t>
      </w:r>
      <w:r>
        <w:rPr>
          <w:rFonts w:hint="eastAsia" w:ascii="宋体" w:hAnsi="宋体" w:eastAsia="宋体" w:cs="宋体"/>
          <w:b/>
          <w:bCs/>
          <w:kern w:val="0"/>
          <w:sz w:val="21"/>
          <w:szCs w:val="21"/>
          <w:lang w:val="zh-CN"/>
        </w:rPr>
        <w:t>。</w:t>
      </w:r>
    </w:p>
    <w:p w14:paraId="3F4410D3">
      <w:pPr>
        <w:autoSpaceDE w:val="0"/>
        <w:autoSpaceDN w:val="0"/>
        <w:adjustRightInd w:val="0"/>
        <w:snapToGrid w:val="0"/>
        <w:spacing w:line="360" w:lineRule="auto"/>
        <w:ind w:left="610" w:leftChars="18" w:hanging="567" w:hangingChars="270"/>
        <w:jc w:val="left"/>
        <w:outlineLvl w:val="9"/>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（5）</w:t>
      </w:r>
      <w:r>
        <w:rPr>
          <w:rFonts w:hint="eastAsia" w:ascii="宋体" w:hAnsi="宋体" w:eastAsia="宋体" w:cs="宋体"/>
          <w:bCs/>
          <w:kern w:val="0"/>
          <w:sz w:val="21"/>
          <w:szCs w:val="21"/>
          <w:lang w:val="en-US" w:eastAsia="zh-CN"/>
        </w:rPr>
        <w:t>响应</w:t>
      </w:r>
      <w:r>
        <w:rPr>
          <w:rFonts w:hint="eastAsia" w:ascii="宋体" w:hAnsi="宋体" w:eastAsia="宋体" w:cs="宋体"/>
          <w:kern w:val="0"/>
          <w:sz w:val="21"/>
          <w:szCs w:val="21"/>
        </w:rPr>
        <w:t>报价保留小数点后两位。</w:t>
      </w:r>
    </w:p>
    <w:p w14:paraId="6A5C519F">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：（加盖</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法人公章）</w:t>
      </w:r>
    </w:p>
    <w:p w14:paraId="7C289186">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法定代表人或其授权代表签名（或盖私章）：</w:t>
      </w:r>
    </w:p>
    <w:p w14:paraId="2E8D7EBF">
      <w:pPr>
        <w:autoSpaceDE w:val="0"/>
        <w:autoSpaceDN w:val="0"/>
        <w:adjustRightInd w:val="0"/>
        <w:spacing w:line="360" w:lineRule="auto"/>
        <w:ind w:firstLine="4960" w:firstLineChars="2362"/>
        <w:outlineLvl w:val="9"/>
        <w:rPr>
          <w:rFonts w:hint="eastAsia" w:ascii="宋体" w:hAnsi="宋体" w:eastAsia="宋体" w:cs="宋体"/>
          <w:sz w:val="21"/>
          <w:szCs w:val="21"/>
          <w:lang w:val="zh-CN"/>
        </w:rPr>
      </w:pPr>
      <w:r>
        <w:rPr>
          <w:rFonts w:hint="eastAsia" w:ascii="宋体" w:hAnsi="宋体" w:eastAsia="宋体" w:cs="宋体"/>
          <w:sz w:val="21"/>
          <w:szCs w:val="21"/>
          <w:lang w:val="zh-CN"/>
        </w:rPr>
        <w:t>日期：   年   月   日</w:t>
      </w:r>
    </w:p>
    <w:p w14:paraId="7D01FC57">
      <w:pPr>
        <w:pStyle w:val="32"/>
        <w:spacing w:line="360" w:lineRule="auto"/>
        <w:rPr>
          <w:rFonts w:hint="eastAsia" w:ascii="宋体" w:hAnsi="宋体" w:eastAsia="宋体" w:cs="宋体"/>
          <w:b w:val="0"/>
          <w:color w:val="auto"/>
          <w:sz w:val="21"/>
          <w:szCs w:val="21"/>
          <w:highlight w:val="none"/>
          <w:u w:val="single"/>
          <w:lang w:eastAsia="zh-CN"/>
        </w:rPr>
      </w:pPr>
    </w:p>
    <w:p w14:paraId="0636A95E">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ind w:left="0" w:hanging="711" w:hangingChars="236"/>
        <w:jc w:val="left"/>
        <w:textAlignment w:val="auto"/>
        <w:outlineLvl w:val="9"/>
        <w:rPr>
          <w:rFonts w:hint="eastAsia" w:ascii="宋体" w:hAnsi="宋体" w:eastAsia="宋体" w:cs="宋体"/>
          <w:b/>
          <w:color w:val="auto"/>
          <w:kern w:val="0"/>
          <w:sz w:val="30"/>
          <w:szCs w:val="30"/>
        </w:rPr>
      </w:pPr>
      <w:bookmarkStart w:id="297" w:name="_Toc79146599"/>
      <w:bookmarkStart w:id="298" w:name="_Toc56076625"/>
      <w:bookmarkStart w:id="299" w:name="_Toc8153"/>
      <w:bookmarkStart w:id="300" w:name="_Toc12569"/>
      <w:bookmarkStart w:id="301" w:name="_Toc54334008"/>
      <w:bookmarkStart w:id="302" w:name="_Toc18720"/>
      <w:bookmarkStart w:id="303" w:name="_Toc497746561"/>
      <w:bookmarkStart w:id="304" w:name="_Toc495907133"/>
      <w:r>
        <w:rPr>
          <w:rFonts w:hint="eastAsia" w:ascii="宋体" w:hAnsi="宋体" w:eastAsia="宋体" w:cs="宋体"/>
          <w:b/>
          <w:color w:val="auto"/>
          <w:kern w:val="0"/>
          <w:sz w:val="30"/>
          <w:szCs w:val="30"/>
        </w:rPr>
        <w:t>4.</w:t>
      </w:r>
      <w:r>
        <w:rPr>
          <w:rFonts w:hint="eastAsia" w:ascii="宋体" w:hAnsi="宋体" w:eastAsia="宋体" w:cs="宋体"/>
          <w:b/>
          <w:color w:val="auto"/>
          <w:kern w:val="0"/>
          <w:sz w:val="30"/>
          <w:szCs w:val="30"/>
          <w:lang w:val="en-US" w:eastAsia="zh-CN"/>
        </w:rPr>
        <w:t>2</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分项报价</w:t>
      </w:r>
      <w:r>
        <w:rPr>
          <w:rFonts w:hint="eastAsia" w:ascii="宋体" w:hAnsi="宋体" w:eastAsia="宋体" w:cs="宋体"/>
          <w:b/>
          <w:color w:val="auto"/>
          <w:kern w:val="0"/>
          <w:sz w:val="30"/>
          <w:szCs w:val="30"/>
        </w:rPr>
        <w:t>表</w:t>
      </w:r>
    </w:p>
    <w:p w14:paraId="02BC392E">
      <w:pPr>
        <w:spacing w:line="360" w:lineRule="auto"/>
        <w:jc w:val="center"/>
        <w:outlineLvl w:val="9"/>
        <w:rPr>
          <w:rFonts w:hint="eastAsia" w:ascii="宋体" w:hAnsi="宋体" w:eastAsia="宋体" w:cs="宋体"/>
          <w:b/>
          <w:bCs/>
          <w:color w:val="auto"/>
          <w:kern w:val="0"/>
          <w:szCs w:val="21"/>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317C345E">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BC0AF6E">
      <w:pPr>
        <w:spacing w:line="360" w:lineRule="auto"/>
        <w:ind w:left="1054" w:hanging="1054" w:hangingChars="500"/>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东莞市众源环境投资有限公司污水处理厂污泥脱水减量处理服务（BOT权属东江下游片区）采购项目（麻涌一期重新采购）</w:t>
      </w:r>
    </w:p>
    <w:p w14:paraId="70B38D9F">
      <w:pPr>
        <w:spacing w:line="360" w:lineRule="auto"/>
        <w:rPr>
          <w:rFonts w:ascii="宋体" w:hAnsi="宋体" w:eastAsia="宋体" w:cs="宋体"/>
          <w:color w:val="auto"/>
          <w:kern w:val="0"/>
          <w:sz w:val="21"/>
          <w:szCs w:val="21"/>
          <w:highlight w:val="none"/>
          <w:u w:val="single"/>
        </w:rPr>
      </w:pPr>
      <w:r>
        <w:rPr>
          <w:rFonts w:hint="eastAsia" w:ascii="宋体" w:hAnsi="宋体" w:eastAsia="宋体" w:cs="宋体"/>
          <w:b/>
          <w:color w:val="auto"/>
          <w:kern w:val="0"/>
          <w:sz w:val="21"/>
          <w:szCs w:val="21"/>
          <w:highlight w:val="none"/>
          <w:lang w:val="en-US" w:eastAsia="zh-CN"/>
        </w:rPr>
        <w:t>采购</w:t>
      </w:r>
      <w:r>
        <w:rPr>
          <w:rFonts w:hint="eastAsia" w:ascii="宋体" w:hAnsi="宋体" w:eastAsia="宋体" w:cs="宋体"/>
          <w:b/>
          <w:color w:val="auto"/>
          <w:kern w:val="0"/>
          <w:sz w:val="21"/>
          <w:szCs w:val="21"/>
          <w:highlight w:val="none"/>
        </w:rPr>
        <w:t>编号：</w:t>
      </w:r>
      <w:r>
        <w:rPr>
          <w:rFonts w:hint="eastAsia" w:ascii="宋体" w:hAnsi="宋体" w:cs="宋体"/>
          <w:color w:val="auto"/>
          <w:kern w:val="0"/>
          <w:sz w:val="21"/>
          <w:szCs w:val="21"/>
          <w:u w:val="single"/>
          <w:lang w:eastAsia="zh-CN"/>
        </w:rPr>
        <w:t xml:space="preserve">YDZB24DGQY0031-1 </w:t>
      </w:r>
    </w:p>
    <w:tbl>
      <w:tblPr>
        <w:tblStyle w:val="55"/>
        <w:tblW w:w="495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25"/>
        <w:gridCol w:w="3094"/>
        <w:gridCol w:w="1890"/>
      </w:tblGrid>
      <w:tr w14:paraId="20ED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430" w:type="pct"/>
            <w:tcBorders>
              <w:top w:val="single" w:color="auto" w:sz="4" w:space="0"/>
              <w:left w:val="single" w:color="auto" w:sz="4" w:space="0"/>
              <w:bottom w:val="single" w:color="auto" w:sz="4" w:space="0"/>
              <w:right w:val="single" w:color="auto" w:sz="4" w:space="0"/>
            </w:tcBorders>
            <w:vAlign w:val="center"/>
          </w:tcPr>
          <w:p w14:paraId="265F723D">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861" w:type="pct"/>
            <w:tcBorders>
              <w:top w:val="single" w:color="auto" w:sz="4" w:space="0"/>
              <w:left w:val="single" w:color="auto" w:sz="4" w:space="0"/>
              <w:bottom w:val="single" w:color="auto" w:sz="4" w:space="0"/>
              <w:right w:val="single" w:color="auto" w:sz="4" w:space="0"/>
            </w:tcBorders>
            <w:vAlign w:val="center"/>
          </w:tcPr>
          <w:p w14:paraId="51767555">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服务内容</w:t>
            </w:r>
          </w:p>
        </w:tc>
        <w:tc>
          <w:tcPr>
            <w:tcW w:w="1681" w:type="pct"/>
            <w:tcBorders>
              <w:top w:val="single" w:color="auto" w:sz="4" w:space="0"/>
              <w:left w:val="single" w:color="auto" w:sz="4" w:space="0"/>
              <w:bottom w:val="single" w:color="auto" w:sz="4" w:space="0"/>
              <w:right w:val="single" w:color="auto" w:sz="4" w:space="0"/>
            </w:tcBorders>
            <w:vAlign w:val="center"/>
          </w:tcPr>
          <w:p w14:paraId="6408C7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不含税</w:t>
            </w:r>
            <w:r>
              <w:rPr>
                <w:rFonts w:hint="eastAsia" w:ascii="宋体" w:hAnsi="宋体" w:eastAsia="宋体" w:cs="Times New Roman"/>
                <w:b/>
                <w:color w:val="auto"/>
                <w:kern w:val="0"/>
                <w:sz w:val="21"/>
                <w:szCs w:val="21"/>
                <w:highlight w:val="none"/>
                <w:lang w:val="en-US" w:eastAsia="zh-CN"/>
              </w:rPr>
              <w:t>服务费用</w:t>
            </w:r>
            <w:r>
              <w:rPr>
                <w:rFonts w:hint="default" w:ascii="宋体" w:hAnsi="宋体" w:eastAsia="宋体" w:cs="Times New Roman"/>
                <w:b/>
                <w:color w:val="auto"/>
                <w:kern w:val="0"/>
                <w:sz w:val="21"/>
                <w:szCs w:val="21"/>
                <w:highlight w:val="none"/>
              </w:rPr>
              <w:t>单价</w:t>
            </w:r>
            <w:r>
              <w:rPr>
                <w:rFonts w:hint="eastAsia" w:ascii="宋体" w:hAnsi="宋体" w:eastAsia="宋体" w:cs="Times New Roman"/>
                <w:b/>
                <w:color w:val="auto"/>
                <w:kern w:val="0"/>
                <w:sz w:val="21"/>
                <w:szCs w:val="21"/>
                <w:highlight w:val="none"/>
                <w:lang w:val="en-US" w:eastAsia="zh-CN"/>
              </w:rPr>
              <w:t xml:space="preserve"> </w:t>
            </w:r>
            <w:r>
              <w:rPr>
                <w:rFonts w:hint="default" w:ascii="宋体" w:hAnsi="宋体" w:eastAsia="宋体" w:cs="Times New Roman"/>
                <w:b/>
                <w:color w:val="auto"/>
                <w:kern w:val="0"/>
                <w:sz w:val="21"/>
                <w:szCs w:val="21"/>
                <w:highlight w:val="none"/>
              </w:rPr>
              <w:t>（元</w:t>
            </w:r>
            <w:r>
              <w:rPr>
                <w:rFonts w:hint="eastAsia" w:ascii="宋体" w:hAnsi="宋体" w:eastAsia="宋体" w:cs="Times New Roman"/>
                <w:b/>
                <w:color w:val="auto"/>
                <w:kern w:val="0"/>
                <w:sz w:val="21"/>
                <w:szCs w:val="21"/>
                <w:highlight w:val="none"/>
                <w:lang w:val="en-US" w:eastAsia="zh-CN"/>
              </w:rPr>
              <w:t>/吨</w:t>
            </w:r>
            <w:r>
              <w:rPr>
                <w:rFonts w:hint="default" w:ascii="宋体" w:hAnsi="宋体" w:eastAsia="宋体" w:cs="Times New Roman"/>
                <w:b/>
                <w:color w:val="auto"/>
                <w:kern w:val="0"/>
                <w:sz w:val="21"/>
                <w:szCs w:val="21"/>
                <w:highlight w:val="none"/>
              </w:rPr>
              <w:t>）</w:t>
            </w:r>
          </w:p>
        </w:tc>
        <w:tc>
          <w:tcPr>
            <w:tcW w:w="1026" w:type="pct"/>
            <w:tcBorders>
              <w:top w:val="single" w:color="auto" w:sz="4" w:space="0"/>
              <w:left w:val="single" w:color="auto" w:sz="4" w:space="0"/>
              <w:bottom w:val="single" w:color="auto" w:sz="4" w:space="0"/>
              <w:right w:val="single" w:color="auto" w:sz="4" w:space="0"/>
            </w:tcBorders>
            <w:vAlign w:val="center"/>
          </w:tcPr>
          <w:p w14:paraId="4334D1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备注</w:t>
            </w:r>
          </w:p>
        </w:tc>
      </w:tr>
      <w:tr w14:paraId="0844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0" w:type="pct"/>
            <w:tcBorders>
              <w:top w:val="single" w:color="auto" w:sz="4" w:space="0"/>
              <w:left w:val="single" w:color="auto" w:sz="4" w:space="0"/>
              <w:bottom w:val="single" w:color="auto" w:sz="4" w:space="0"/>
              <w:right w:val="single" w:color="auto" w:sz="4" w:space="0"/>
            </w:tcBorders>
            <w:vAlign w:val="center"/>
          </w:tcPr>
          <w:p w14:paraId="43095D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1</w:t>
            </w:r>
          </w:p>
        </w:tc>
        <w:tc>
          <w:tcPr>
            <w:tcW w:w="1861" w:type="pct"/>
            <w:tcBorders>
              <w:top w:val="single" w:color="auto" w:sz="4" w:space="0"/>
              <w:left w:val="single" w:color="auto" w:sz="4" w:space="0"/>
              <w:bottom w:val="single" w:color="auto" w:sz="4" w:space="0"/>
              <w:right w:val="single" w:color="auto" w:sz="4" w:space="0"/>
            </w:tcBorders>
          </w:tcPr>
          <w:p w14:paraId="71F1C3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设备设施费用</w:t>
            </w:r>
          </w:p>
        </w:tc>
        <w:tc>
          <w:tcPr>
            <w:tcW w:w="1681" w:type="pct"/>
            <w:tcBorders>
              <w:top w:val="single" w:color="auto" w:sz="4" w:space="0"/>
              <w:left w:val="single" w:color="auto" w:sz="4" w:space="0"/>
              <w:bottom w:val="single" w:color="auto" w:sz="4" w:space="0"/>
              <w:right w:val="single" w:color="auto" w:sz="4" w:space="0"/>
            </w:tcBorders>
            <w:vAlign w:val="center"/>
          </w:tcPr>
          <w:p w14:paraId="23D25C7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716097B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41CC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430" w:type="pct"/>
            <w:tcBorders>
              <w:top w:val="single" w:color="auto" w:sz="4" w:space="0"/>
              <w:left w:val="single" w:color="auto" w:sz="4" w:space="0"/>
              <w:bottom w:val="single" w:color="auto" w:sz="4" w:space="0"/>
              <w:right w:val="single" w:color="auto" w:sz="4" w:space="0"/>
            </w:tcBorders>
            <w:vAlign w:val="center"/>
          </w:tcPr>
          <w:p w14:paraId="5247A2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2</w:t>
            </w:r>
          </w:p>
        </w:tc>
        <w:tc>
          <w:tcPr>
            <w:tcW w:w="1861" w:type="pct"/>
            <w:tcBorders>
              <w:top w:val="single" w:color="auto" w:sz="4" w:space="0"/>
              <w:left w:val="single" w:color="auto" w:sz="4" w:space="0"/>
              <w:bottom w:val="single" w:color="auto" w:sz="4" w:space="0"/>
              <w:right w:val="single" w:color="auto" w:sz="4" w:space="0"/>
            </w:tcBorders>
          </w:tcPr>
          <w:p w14:paraId="77AE205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人工费用</w:t>
            </w:r>
          </w:p>
        </w:tc>
        <w:tc>
          <w:tcPr>
            <w:tcW w:w="1681" w:type="pct"/>
            <w:tcBorders>
              <w:top w:val="single" w:color="auto" w:sz="4" w:space="0"/>
              <w:left w:val="single" w:color="auto" w:sz="4" w:space="0"/>
              <w:bottom w:val="single" w:color="auto" w:sz="4" w:space="0"/>
              <w:right w:val="single" w:color="auto" w:sz="4" w:space="0"/>
            </w:tcBorders>
            <w:vAlign w:val="center"/>
          </w:tcPr>
          <w:p w14:paraId="2628A0B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14F2C9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5E9C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07098D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1861" w:type="pct"/>
            <w:tcBorders>
              <w:top w:val="single" w:color="auto" w:sz="4" w:space="0"/>
              <w:left w:val="single" w:color="auto" w:sz="4" w:space="0"/>
              <w:bottom w:val="single" w:color="auto" w:sz="4" w:space="0"/>
              <w:right w:val="single" w:color="auto" w:sz="4" w:space="0"/>
            </w:tcBorders>
          </w:tcPr>
          <w:p w14:paraId="50175E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药剂费用</w:t>
            </w:r>
          </w:p>
        </w:tc>
        <w:tc>
          <w:tcPr>
            <w:tcW w:w="1681" w:type="pct"/>
            <w:tcBorders>
              <w:top w:val="single" w:color="auto" w:sz="4" w:space="0"/>
              <w:left w:val="single" w:color="auto" w:sz="4" w:space="0"/>
              <w:bottom w:val="single" w:color="auto" w:sz="4" w:space="0"/>
              <w:right w:val="single" w:color="auto" w:sz="4" w:space="0"/>
            </w:tcBorders>
            <w:vAlign w:val="center"/>
          </w:tcPr>
          <w:p w14:paraId="1B7EE2B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677F11AC">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EBE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6471A7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1861" w:type="pct"/>
            <w:tcBorders>
              <w:top w:val="single" w:color="auto" w:sz="4" w:space="0"/>
              <w:left w:val="single" w:color="auto" w:sz="4" w:space="0"/>
              <w:bottom w:val="single" w:color="auto" w:sz="4" w:space="0"/>
              <w:right w:val="single" w:color="auto" w:sz="4" w:space="0"/>
            </w:tcBorders>
          </w:tcPr>
          <w:p w14:paraId="5F09F4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运维费用</w:t>
            </w:r>
          </w:p>
        </w:tc>
        <w:tc>
          <w:tcPr>
            <w:tcW w:w="1681" w:type="pct"/>
            <w:tcBorders>
              <w:top w:val="single" w:color="auto" w:sz="4" w:space="0"/>
              <w:left w:val="single" w:color="auto" w:sz="4" w:space="0"/>
              <w:bottom w:val="single" w:color="auto" w:sz="4" w:space="0"/>
              <w:right w:val="single" w:color="auto" w:sz="4" w:space="0"/>
            </w:tcBorders>
            <w:vAlign w:val="center"/>
          </w:tcPr>
          <w:p w14:paraId="2EBBDEEE">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73A0551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11DC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03A4DB5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5</w:t>
            </w:r>
          </w:p>
        </w:tc>
        <w:tc>
          <w:tcPr>
            <w:tcW w:w="1861" w:type="pct"/>
            <w:tcBorders>
              <w:top w:val="single" w:color="auto" w:sz="4" w:space="0"/>
              <w:left w:val="single" w:color="auto" w:sz="4" w:space="0"/>
              <w:bottom w:val="single" w:color="auto" w:sz="4" w:space="0"/>
              <w:right w:val="single" w:color="auto" w:sz="4" w:space="0"/>
            </w:tcBorders>
          </w:tcPr>
          <w:p w14:paraId="2808BB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维护维修费用</w:t>
            </w:r>
          </w:p>
        </w:tc>
        <w:tc>
          <w:tcPr>
            <w:tcW w:w="1681" w:type="pct"/>
            <w:tcBorders>
              <w:top w:val="single" w:color="auto" w:sz="4" w:space="0"/>
              <w:left w:val="single" w:color="auto" w:sz="4" w:space="0"/>
              <w:bottom w:val="single" w:color="auto" w:sz="4" w:space="0"/>
              <w:right w:val="single" w:color="auto" w:sz="4" w:space="0"/>
            </w:tcBorders>
            <w:vAlign w:val="center"/>
          </w:tcPr>
          <w:p w14:paraId="1C5F4B31">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1A0AEE1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120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30" w:type="pct"/>
            <w:tcBorders>
              <w:top w:val="single" w:color="auto" w:sz="4" w:space="0"/>
              <w:left w:val="single" w:color="auto" w:sz="4" w:space="0"/>
              <w:bottom w:val="single" w:color="auto" w:sz="4" w:space="0"/>
              <w:right w:val="single" w:color="auto" w:sz="4" w:space="0"/>
            </w:tcBorders>
            <w:vAlign w:val="center"/>
          </w:tcPr>
          <w:p w14:paraId="111FBAA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6</w:t>
            </w:r>
          </w:p>
        </w:tc>
        <w:tc>
          <w:tcPr>
            <w:tcW w:w="1861" w:type="pct"/>
            <w:tcBorders>
              <w:top w:val="single" w:color="auto" w:sz="4" w:space="0"/>
              <w:left w:val="single" w:color="auto" w:sz="4" w:space="0"/>
              <w:bottom w:val="single" w:color="auto" w:sz="4" w:space="0"/>
              <w:right w:val="single" w:color="auto" w:sz="4" w:space="0"/>
            </w:tcBorders>
          </w:tcPr>
          <w:p w14:paraId="322CD2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水电费用</w:t>
            </w:r>
          </w:p>
        </w:tc>
        <w:tc>
          <w:tcPr>
            <w:tcW w:w="1681" w:type="pct"/>
            <w:tcBorders>
              <w:top w:val="single" w:color="auto" w:sz="4" w:space="0"/>
              <w:left w:val="single" w:color="auto" w:sz="4" w:space="0"/>
              <w:bottom w:val="single" w:color="auto" w:sz="4" w:space="0"/>
              <w:right w:val="single" w:color="auto" w:sz="4" w:space="0"/>
            </w:tcBorders>
            <w:vAlign w:val="center"/>
          </w:tcPr>
          <w:p w14:paraId="3D49798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7EABC853">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2B7D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0" w:type="pct"/>
            <w:tcBorders>
              <w:top w:val="single" w:color="auto" w:sz="4" w:space="0"/>
              <w:left w:val="single" w:color="auto" w:sz="4" w:space="0"/>
              <w:bottom w:val="single" w:color="auto" w:sz="4" w:space="0"/>
              <w:right w:val="single" w:color="auto" w:sz="4" w:space="0"/>
            </w:tcBorders>
            <w:vAlign w:val="center"/>
          </w:tcPr>
          <w:p w14:paraId="11B737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w:t>
            </w:r>
          </w:p>
        </w:tc>
        <w:tc>
          <w:tcPr>
            <w:tcW w:w="1861" w:type="pct"/>
            <w:tcBorders>
              <w:top w:val="single" w:color="auto" w:sz="4" w:space="0"/>
              <w:left w:val="single" w:color="auto" w:sz="4" w:space="0"/>
              <w:bottom w:val="single" w:color="auto" w:sz="4" w:space="0"/>
              <w:right w:val="single" w:color="auto" w:sz="4" w:space="0"/>
            </w:tcBorders>
            <w:vAlign w:val="center"/>
          </w:tcPr>
          <w:p w14:paraId="52AC8A6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olor w:val="auto"/>
                <w:sz w:val="21"/>
                <w:szCs w:val="21"/>
                <w:highlight w:val="none"/>
              </w:rPr>
            </w:pPr>
          </w:p>
        </w:tc>
        <w:tc>
          <w:tcPr>
            <w:tcW w:w="1681" w:type="pct"/>
            <w:tcBorders>
              <w:top w:val="single" w:color="auto" w:sz="4" w:space="0"/>
              <w:left w:val="single" w:color="auto" w:sz="4" w:space="0"/>
              <w:bottom w:val="single" w:color="auto" w:sz="4" w:space="0"/>
              <w:right w:val="single" w:color="auto" w:sz="4" w:space="0"/>
            </w:tcBorders>
            <w:vAlign w:val="center"/>
          </w:tcPr>
          <w:p w14:paraId="1E5BDE1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1026" w:type="pct"/>
            <w:tcBorders>
              <w:top w:val="single" w:color="auto" w:sz="4" w:space="0"/>
              <w:left w:val="single" w:color="auto" w:sz="4" w:space="0"/>
              <w:bottom w:val="single" w:color="auto" w:sz="4" w:space="0"/>
              <w:right w:val="single" w:color="auto" w:sz="4" w:space="0"/>
            </w:tcBorders>
            <w:vAlign w:val="center"/>
          </w:tcPr>
          <w:p w14:paraId="26AE3C3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19B8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291" w:type="pct"/>
            <w:gridSpan w:val="2"/>
            <w:tcBorders>
              <w:top w:val="single" w:color="auto" w:sz="4" w:space="0"/>
              <w:left w:val="single" w:color="auto" w:sz="4" w:space="0"/>
              <w:bottom w:val="single" w:color="auto" w:sz="4" w:space="0"/>
              <w:right w:val="single" w:color="auto" w:sz="4" w:space="0"/>
            </w:tcBorders>
            <w:vAlign w:val="center"/>
          </w:tcPr>
          <w:p w14:paraId="761AA1C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olor w:val="auto"/>
                <w:sz w:val="21"/>
                <w:szCs w:val="21"/>
                <w:highlight w:val="none"/>
                <w:lang w:val="en-US" w:eastAsia="zh-CN"/>
              </w:rPr>
            </w:pPr>
            <w:r>
              <w:rPr>
                <w:rFonts w:hint="eastAsia" w:ascii="宋体" w:hAnsi="宋体" w:eastAsia="宋体"/>
                <w:b/>
                <w:bCs/>
                <w:color w:val="auto"/>
                <w:sz w:val="21"/>
                <w:szCs w:val="21"/>
                <w:highlight w:val="none"/>
                <w:lang w:val="en-US" w:eastAsia="zh-CN"/>
              </w:rPr>
              <w:t>合计（不含税，元/吨）</w:t>
            </w:r>
          </w:p>
        </w:tc>
        <w:tc>
          <w:tcPr>
            <w:tcW w:w="2708" w:type="pct"/>
            <w:gridSpan w:val="2"/>
            <w:tcBorders>
              <w:top w:val="single" w:color="auto" w:sz="4" w:space="0"/>
              <w:left w:val="single" w:color="auto" w:sz="4" w:space="0"/>
              <w:bottom w:val="single" w:color="auto" w:sz="4" w:space="0"/>
              <w:right w:val="single" w:color="auto" w:sz="4" w:space="0"/>
            </w:tcBorders>
            <w:vAlign w:val="center"/>
          </w:tcPr>
          <w:p w14:paraId="302CDB2C">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bl>
    <w:p w14:paraId="3F76AE3C">
      <w:pPr>
        <w:autoSpaceDE w:val="0"/>
        <w:autoSpaceDN w:val="0"/>
        <w:adjustRightInd w:val="0"/>
        <w:spacing w:line="360" w:lineRule="auto"/>
        <w:jc w:val="left"/>
        <w:rPr>
          <w:rFonts w:ascii="宋体" w:hAnsi="宋体" w:eastAsia="宋体" w:cs="宋体"/>
          <w:b/>
          <w:kern w:val="0"/>
          <w:szCs w:val="21"/>
          <w:highlight w:val="none"/>
        </w:rPr>
      </w:pPr>
    </w:p>
    <w:p w14:paraId="2CC0A47D">
      <w:pPr>
        <w:autoSpaceDE w:val="0"/>
        <w:autoSpaceDN w:val="0"/>
        <w:adjustRightInd w:val="0"/>
        <w:spacing w:line="36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p w14:paraId="21392E2E">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val="en-US" w:eastAsia="zh-CN"/>
        </w:rPr>
        <w:t>首次</w:t>
      </w:r>
      <w:r>
        <w:rPr>
          <w:rFonts w:hint="eastAsia" w:ascii="宋体" w:hAnsi="宋体" w:eastAsia="宋体" w:cs="宋体"/>
          <w:color w:val="auto"/>
          <w:kern w:val="0"/>
          <w:sz w:val="21"/>
          <w:szCs w:val="21"/>
          <w:highlight w:val="none"/>
        </w:rPr>
        <w:t>报价表的分项报价表，</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应根据项目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范围内分项实际内容的数量填写和扩展本报价表。</w:t>
      </w:r>
    </w:p>
    <w:p w14:paraId="736995A8">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应列明按《用户需求书》所要求的该项目</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范围内全部服务的价格明细。</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未填单价或合价或漏量或漏项的项目，在实施后，</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人将不予以支付，并视为该费用已包括在其他有价款的单价或合价内。</w:t>
      </w:r>
    </w:p>
    <w:p w14:paraId="198181FA">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本分项报价表内的“合计”金额应与首次报价表内的响应报价金额一致，若两者不一致时，以首次报价表内的响应报价为准，并参照第二章磋商须知第34.2款修正分项目报价</w:t>
      </w:r>
      <w:r>
        <w:rPr>
          <w:rFonts w:hint="eastAsia" w:ascii="宋体" w:hAnsi="宋体" w:eastAsia="宋体" w:cs="宋体"/>
          <w:color w:val="auto"/>
          <w:kern w:val="0"/>
          <w:sz w:val="21"/>
          <w:szCs w:val="21"/>
          <w:highlight w:val="none"/>
        </w:rPr>
        <w:t>。</w:t>
      </w:r>
    </w:p>
    <w:p w14:paraId="489712BD">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（3）报价保留小数点后两位。</w:t>
      </w:r>
    </w:p>
    <w:p w14:paraId="4EDB5DFA">
      <w:pPr>
        <w:autoSpaceDE w:val="0"/>
        <w:autoSpaceDN w:val="0"/>
        <w:adjustRightInd w:val="0"/>
        <w:spacing w:line="360" w:lineRule="auto"/>
        <w:ind w:firstLine="315" w:firstLineChars="150"/>
        <w:jc w:val="righ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：（加盖</w:t>
      </w:r>
      <w:r>
        <w:rPr>
          <w:rFonts w:hint="eastAsia" w:ascii="宋体" w:hAnsi="宋体" w:eastAsia="宋体" w:cs="宋体"/>
          <w:kern w:val="0"/>
          <w:sz w:val="21"/>
          <w:szCs w:val="21"/>
          <w:highlight w:val="none"/>
          <w:lang w:val="en-US" w:eastAsia="zh-CN"/>
        </w:rPr>
        <w:t>供应商</w:t>
      </w:r>
      <w:r>
        <w:rPr>
          <w:rFonts w:hint="eastAsia" w:ascii="宋体" w:hAnsi="宋体" w:eastAsia="宋体" w:cs="宋体"/>
          <w:kern w:val="0"/>
          <w:sz w:val="21"/>
          <w:szCs w:val="21"/>
          <w:highlight w:val="none"/>
        </w:rPr>
        <w:t>法人公章）</w:t>
      </w:r>
    </w:p>
    <w:p w14:paraId="06846031">
      <w:pPr>
        <w:keepNext w:val="0"/>
        <w:keepLines w:val="0"/>
        <w:pageBreakBefore w:val="0"/>
        <w:widowControl w:val="0"/>
        <w:kinsoku/>
        <w:wordWrap/>
        <w:overflowPunct/>
        <w:topLinePunct w:val="0"/>
        <w:autoSpaceDE w:val="0"/>
        <w:autoSpaceDN w:val="0"/>
        <w:bidi w:val="0"/>
        <w:adjustRightInd w:val="0"/>
        <w:snapToGrid/>
        <w:spacing w:line="360" w:lineRule="auto"/>
        <w:ind w:left="6000" w:leftChars="2500"/>
        <w:jc w:val="both"/>
        <w:textAlignment w:val="auto"/>
        <w:rPr>
          <w:rFonts w:ascii="宋体" w:hAnsi="宋体" w:eastAsia="宋体" w:cs="宋体"/>
          <w:kern w:val="0"/>
          <w:sz w:val="21"/>
          <w:szCs w:val="21"/>
          <w:highlight w:val="none"/>
        </w:rPr>
      </w:pPr>
      <w:r>
        <w:rPr>
          <w:rFonts w:hint="eastAsia" w:ascii="宋体" w:hAnsi="宋体" w:eastAsia="宋体" w:cs="宋体"/>
          <w:kern w:val="0"/>
          <w:sz w:val="21"/>
          <w:szCs w:val="21"/>
          <w:highlight w:val="none"/>
        </w:rPr>
        <w:t>日</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rPr>
        <w:t>期：   年   月   日</w:t>
      </w:r>
    </w:p>
    <w:p w14:paraId="607E4DA6">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资格证明文件</w:t>
      </w:r>
      <w:bookmarkEnd w:id="297"/>
      <w:bookmarkEnd w:id="298"/>
      <w:bookmarkEnd w:id="299"/>
      <w:bookmarkEnd w:id="300"/>
      <w:bookmarkEnd w:id="301"/>
      <w:bookmarkEnd w:id="302"/>
    </w:p>
    <w:p w14:paraId="3CD8E726">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bookmarkStart w:id="305" w:name="_Toc5098071"/>
      <w:bookmarkStart w:id="306" w:name="_Toc521918123"/>
      <w:bookmarkStart w:id="307" w:name="_Toc522047382"/>
      <w:bookmarkStart w:id="308" w:name="_Toc79146600"/>
      <w:bookmarkStart w:id="309" w:name="_Toc521576302"/>
      <w:bookmarkStart w:id="310" w:name="_Toc519153441"/>
      <w:bookmarkStart w:id="311" w:name="_Toc1123953"/>
      <w:bookmarkStart w:id="312" w:name="_Toc40288701"/>
      <w:bookmarkStart w:id="313" w:name="_Toc54334009"/>
      <w:bookmarkStart w:id="314" w:name="_Toc56076626"/>
      <w:bookmarkStart w:id="315" w:name="_Toc532576766"/>
      <w:bookmarkStart w:id="316" w:name="_Toc38982592"/>
      <w:bookmarkStart w:id="317" w:name="_Toc521918320"/>
      <w:bookmarkStart w:id="318" w:name="_Toc19008826"/>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.1</w:t>
      </w:r>
      <w:r>
        <w:rPr>
          <w:rFonts w:hint="eastAsia" w:ascii="宋体" w:hAnsi="宋体" w:eastAsia="宋体" w:cs="宋体"/>
          <w:b/>
          <w:color w:val="auto"/>
          <w:kern w:val="2"/>
          <w:sz w:val="30"/>
          <w:szCs w:val="30"/>
          <w:highlight w:val="none"/>
          <w:lang w:val="en-US" w:eastAsia="zh-CN"/>
        </w:rPr>
        <w:t xml:space="preserve"> 多证合一营业执照（或事业单位法人证书）复印件</w:t>
      </w:r>
    </w:p>
    <w:p w14:paraId="1F19B925">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en-US" w:eastAsia="zh-CN"/>
        </w:rPr>
      </w:pPr>
    </w:p>
    <w:p w14:paraId="787E8F06">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lang w:val="en-US" w:eastAsia="zh-CN"/>
        </w:rPr>
      </w:pPr>
      <w:bookmarkStart w:id="319" w:name="_Toc532576769"/>
      <w:bookmarkStart w:id="320" w:name="_Toc521918126"/>
      <w:bookmarkStart w:id="321" w:name="_Toc521918323"/>
      <w:bookmarkStart w:id="322" w:name="_Toc522047385"/>
      <w:bookmarkStart w:id="323" w:name="_Toc519153444"/>
      <w:bookmarkStart w:id="324" w:name="_Toc521576305"/>
      <w:bookmarkStart w:id="325" w:name="_Toc1123955"/>
      <w:bookmarkStart w:id="326" w:name="_Toc5098073"/>
      <w:bookmarkStart w:id="327" w:name="_Toc19008829"/>
      <w:bookmarkStart w:id="328" w:name="_Toc79146602"/>
      <w:bookmarkStart w:id="329" w:name="_Toc54334011"/>
      <w:bookmarkStart w:id="330" w:name="_Toc38982594"/>
      <w:bookmarkStart w:id="331" w:name="_Toc40288703"/>
      <w:bookmarkStart w:id="332" w:name="_Toc56076628"/>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.2</w:t>
      </w:r>
      <w:r>
        <w:rPr>
          <w:rFonts w:hint="eastAsia" w:ascii="宋体" w:hAnsi="宋体" w:eastAsia="宋体" w:cs="宋体"/>
          <w:b/>
          <w:color w:val="auto"/>
          <w:kern w:val="2"/>
          <w:sz w:val="30"/>
          <w:szCs w:val="30"/>
          <w:highlight w:val="none"/>
          <w:lang w:val="en-US" w:eastAsia="zh-CN"/>
        </w:rPr>
        <w:t xml:space="preserve"> 开户许可证复印件（基本存款账户）</w:t>
      </w:r>
      <w:bookmarkEnd w:id="319"/>
      <w:bookmarkEnd w:id="320"/>
      <w:bookmarkEnd w:id="321"/>
      <w:bookmarkEnd w:id="322"/>
      <w:bookmarkEnd w:id="323"/>
      <w:bookmarkEnd w:id="324"/>
      <w:bookmarkEnd w:id="325"/>
      <w:bookmarkEnd w:id="326"/>
      <w:r>
        <w:rPr>
          <w:rFonts w:hint="eastAsia" w:ascii="宋体" w:hAnsi="宋体" w:eastAsia="宋体" w:cs="宋体"/>
          <w:b/>
          <w:color w:val="auto"/>
          <w:kern w:val="2"/>
          <w:sz w:val="30"/>
          <w:szCs w:val="30"/>
          <w:highlight w:val="none"/>
          <w:lang w:val="en-US" w:eastAsia="zh-CN"/>
        </w:rPr>
        <w:t>复印件</w:t>
      </w:r>
      <w:bookmarkEnd w:id="327"/>
      <w:r>
        <w:rPr>
          <w:rFonts w:hint="eastAsia" w:ascii="宋体" w:hAnsi="宋体" w:eastAsia="宋体" w:cs="宋体"/>
          <w:b/>
          <w:color w:val="auto"/>
          <w:kern w:val="2"/>
          <w:sz w:val="30"/>
          <w:szCs w:val="30"/>
          <w:highlight w:val="none"/>
          <w:lang w:val="en-US" w:eastAsia="zh-CN"/>
        </w:rPr>
        <w:t>，如供应商企业银行账户开户所在地区已取消企业银行账户许可，供应商应提供基本存款账户开户名称、开户银行、账号、编号等信息及相关备案证明（如有）或其他能证明其为基本存款账户的资料复印件</w:t>
      </w:r>
      <w:bookmarkEnd w:id="328"/>
      <w:bookmarkEnd w:id="329"/>
      <w:bookmarkEnd w:id="330"/>
      <w:bookmarkEnd w:id="331"/>
      <w:bookmarkEnd w:id="332"/>
    </w:p>
    <w:p w14:paraId="1A8E4A06">
      <w:pPr>
        <w:keepNext w:val="0"/>
        <w:keepLines w:val="0"/>
        <w:pageBreakBefore/>
        <w:widowControl w:val="0"/>
        <w:kinsoku/>
        <w:wordWrap/>
        <w:overflowPunct/>
        <w:topLinePunct w:val="0"/>
        <w:autoSpaceDE/>
        <w:autoSpaceDN/>
        <w:bidi w:val="0"/>
        <w:adjustRightInd/>
        <w:snapToGrid/>
        <w:spacing w:before="120" w:after="120" w:line="360" w:lineRule="auto"/>
        <w:ind w:left="0" w:firstLine="0" w:firstLineChars="0"/>
        <w:textAlignment w:val="auto"/>
        <w:outlineLvl w:val="9"/>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val="en-US" w:eastAsia="zh-CN"/>
        </w:rPr>
        <w:t>5</w:t>
      </w:r>
      <w:r>
        <w:rPr>
          <w:rFonts w:hint="eastAsia" w:ascii="宋体" w:hAnsi="宋体" w:cs="宋体"/>
          <w:b/>
          <w:color w:val="auto"/>
          <w:kern w:val="2"/>
          <w:sz w:val="30"/>
          <w:szCs w:val="30"/>
          <w:highlight w:val="none"/>
          <w:lang w:val="en-US" w:eastAsia="zh-CN"/>
        </w:rPr>
        <w:t>.3</w:t>
      </w:r>
      <w:r>
        <w:rPr>
          <w:rFonts w:hint="eastAsia" w:ascii="宋体" w:hAnsi="宋体" w:eastAsia="宋体" w:cs="宋体"/>
          <w:b/>
          <w:color w:val="auto"/>
          <w:kern w:val="2"/>
          <w:sz w:val="30"/>
          <w:szCs w:val="30"/>
          <w:highlight w:val="none"/>
        </w:rPr>
        <w:t xml:space="preserve"> </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rFonts w:hint="eastAsia" w:ascii="宋体" w:hAnsi="宋体" w:eastAsia="宋体" w:cs="宋体"/>
          <w:b/>
          <w:color w:val="auto"/>
          <w:kern w:val="2"/>
          <w:sz w:val="30"/>
          <w:szCs w:val="30"/>
          <w:highlight w:val="none"/>
        </w:rPr>
        <w:t>法定代表人身份证明书原件、法定代表人授权书原件格式（法定代表人</w:t>
      </w:r>
      <w:r>
        <w:rPr>
          <w:rFonts w:hint="eastAsia" w:ascii="宋体" w:hAnsi="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时只需提供法定代表人身份证明书，委托他人为</w:t>
      </w:r>
      <w:r>
        <w:rPr>
          <w:rFonts w:hint="eastAsia" w:ascii="宋体" w:hAnsi="宋体" w:eastAsia="宋体" w:cs="宋体"/>
          <w:b/>
          <w:color w:val="auto"/>
          <w:kern w:val="2"/>
          <w:sz w:val="30"/>
          <w:szCs w:val="30"/>
          <w:highlight w:val="none"/>
          <w:lang w:val="en-US" w:eastAsia="zh-CN"/>
        </w:rPr>
        <w:t>磋商</w:t>
      </w:r>
      <w:r>
        <w:rPr>
          <w:rFonts w:hint="eastAsia" w:ascii="宋体" w:hAnsi="宋体" w:eastAsia="宋体" w:cs="宋体"/>
          <w:b/>
          <w:color w:val="auto"/>
          <w:kern w:val="2"/>
          <w:sz w:val="30"/>
          <w:szCs w:val="30"/>
          <w:highlight w:val="none"/>
        </w:rPr>
        <w:t>代表或签署</w:t>
      </w:r>
      <w:r>
        <w:rPr>
          <w:rFonts w:hint="eastAsia" w:ascii="宋体" w:hAnsi="宋体" w:cs="宋体"/>
          <w:b/>
          <w:color w:val="auto"/>
          <w:kern w:val="2"/>
          <w:sz w:val="30"/>
          <w:szCs w:val="30"/>
          <w:highlight w:val="none"/>
          <w:lang w:val="en-US" w:eastAsia="zh-CN"/>
        </w:rPr>
        <w:t>响应</w:t>
      </w:r>
      <w:r>
        <w:rPr>
          <w:rFonts w:hint="eastAsia" w:ascii="宋体" w:hAnsi="宋体" w:eastAsia="宋体" w:cs="宋体"/>
          <w:b/>
          <w:color w:val="auto"/>
          <w:kern w:val="2"/>
          <w:sz w:val="30"/>
          <w:szCs w:val="30"/>
          <w:highlight w:val="none"/>
        </w:rPr>
        <w:t>文件时需同时提供法定代表人授权书）</w:t>
      </w:r>
    </w:p>
    <w:p w14:paraId="45F6BC44">
      <w:pPr>
        <w:autoSpaceDE/>
        <w:autoSpaceDN/>
        <w:adjustRightInd/>
        <w:spacing w:before="120" w:after="120" w:line="360" w:lineRule="auto"/>
        <w:ind w:firstLine="426" w:firstLineChars="202"/>
        <w:jc w:val="both"/>
        <w:outlineLvl w:val="9"/>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（1）法定代表人身份</w:t>
      </w:r>
      <w:r>
        <w:rPr>
          <w:rFonts w:hint="eastAsia" w:ascii="宋体" w:hAnsi="宋体" w:eastAsia="宋体" w:cs="宋体"/>
          <w:b/>
          <w:color w:val="auto"/>
          <w:kern w:val="2"/>
          <w:sz w:val="21"/>
          <w:szCs w:val="24"/>
          <w:highlight w:val="none"/>
        </w:rPr>
        <w:t>证明书</w:t>
      </w:r>
      <w:r>
        <w:rPr>
          <w:rFonts w:hint="eastAsia" w:ascii="宋体" w:hAnsi="宋体" w:eastAsia="宋体" w:cs="宋体"/>
          <w:b/>
          <w:color w:val="auto"/>
          <w:kern w:val="2"/>
          <w:sz w:val="21"/>
          <w:szCs w:val="21"/>
          <w:highlight w:val="none"/>
        </w:rPr>
        <w:t>格式</w:t>
      </w:r>
    </w:p>
    <w:p w14:paraId="3B3CE887">
      <w:pPr>
        <w:autoSpaceDE/>
        <w:autoSpaceDN/>
        <w:adjustRightInd/>
        <w:spacing w:before="120" w:after="120" w:line="360" w:lineRule="auto"/>
        <w:ind w:firstLine="608" w:firstLineChars="202"/>
        <w:jc w:val="center"/>
        <w:rPr>
          <w:rFonts w:hint="eastAsia" w:ascii="宋体" w:hAnsi="宋体" w:eastAsia="宋体" w:cs="宋体"/>
          <w:b/>
          <w:color w:val="auto"/>
          <w:kern w:val="2"/>
          <w:sz w:val="30"/>
          <w:szCs w:val="30"/>
          <w:highlight w:val="none"/>
        </w:rPr>
      </w:pPr>
    </w:p>
    <w:p w14:paraId="0ED629AD">
      <w:pPr>
        <w:autoSpaceDE/>
        <w:autoSpaceDN/>
        <w:adjustRightInd/>
        <w:spacing w:before="120" w:after="120" w:line="360" w:lineRule="auto"/>
        <w:ind w:firstLine="608" w:firstLineChars="202"/>
        <w:jc w:val="center"/>
        <w:rPr>
          <w:rFonts w:hint="eastAsia" w:ascii="宋体" w:hAnsi="宋体" w:eastAsia="宋体" w:cs="宋体"/>
          <w:b/>
          <w:bCs/>
          <w:color w:val="auto"/>
          <w:kern w:val="2"/>
          <w:sz w:val="30"/>
          <w:szCs w:val="30"/>
          <w:highlight w:val="none"/>
        </w:rPr>
      </w:pPr>
      <w:r>
        <w:rPr>
          <w:rFonts w:hint="eastAsia" w:ascii="宋体" w:hAnsi="宋体" w:eastAsia="宋体" w:cs="宋体"/>
          <w:b/>
          <w:color w:val="auto"/>
          <w:kern w:val="2"/>
          <w:sz w:val="30"/>
          <w:szCs w:val="30"/>
          <w:highlight w:val="none"/>
        </w:rPr>
        <w:t>法定代</w:t>
      </w:r>
      <w:bookmarkStart w:id="333" w:name="_Toc36971359"/>
      <w:bookmarkStart w:id="334" w:name="_Toc45995270"/>
      <w:r>
        <w:rPr>
          <w:rFonts w:hint="eastAsia" w:ascii="宋体" w:hAnsi="宋体" w:eastAsia="宋体" w:cs="宋体"/>
          <w:b/>
          <w:color w:val="auto"/>
          <w:kern w:val="2"/>
          <w:sz w:val="30"/>
          <w:szCs w:val="30"/>
          <w:highlight w:val="none"/>
        </w:rPr>
        <w:t>表人身份证明书</w:t>
      </w:r>
    </w:p>
    <w:p w14:paraId="3A8173B8">
      <w:pPr>
        <w:autoSpaceDE/>
        <w:autoSpaceDN/>
        <w:adjustRightInd/>
        <w:spacing w:before="120" w:after="120" w:line="360" w:lineRule="auto"/>
        <w:ind w:firstLine="420" w:firstLineChars="20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先生</w:t>
      </w:r>
      <w:bookmarkEnd w:id="333"/>
      <w:bookmarkEnd w:id="334"/>
      <w:r>
        <w:rPr>
          <w:rFonts w:hint="eastAsia" w:ascii="宋体" w:hAnsi="宋体" w:eastAsia="宋体" w:cs="宋体"/>
          <w:color w:val="auto"/>
          <w:kern w:val="2"/>
          <w:sz w:val="21"/>
          <w:highlight w:val="none"/>
        </w:rPr>
        <w:t>／女士：现任我单位</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职务，为法定代表人，特此证明。</w:t>
      </w:r>
    </w:p>
    <w:p w14:paraId="644BB9DB">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有效日期：</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签发日期：</w:t>
      </w:r>
      <w:r>
        <w:rPr>
          <w:rFonts w:hint="eastAsia" w:ascii="宋体" w:hAnsi="宋体" w:eastAsia="宋体" w:cs="宋体"/>
          <w:color w:val="auto"/>
          <w:kern w:val="2"/>
          <w:sz w:val="21"/>
          <w:highlight w:val="none"/>
          <w:u w:val="single"/>
        </w:rPr>
        <w:t xml:space="preserve">           </w:t>
      </w:r>
    </w:p>
    <w:p w14:paraId="10DDEFF2">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附：代表人性别：</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 年龄：</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身份证号码：</w:t>
      </w:r>
      <w:r>
        <w:rPr>
          <w:rFonts w:hint="eastAsia" w:ascii="宋体" w:hAnsi="宋体" w:eastAsia="宋体" w:cs="宋体"/>
          <w:color w:val="auto"/>
          <w:kern w:val="2"/>
          <w:sz w:val="21"/>
          <w:highlight w:val="none"/>
          <w:u w:val="single"/>
        </w:rPr>
        <w:t xml:space="preserve">            </w:t>
      </w:r>
    </w:p>
    <w:p w14:paraId="4C79433B">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营业执照号码：</w:t>
      </w:r>
      <w:r>
        <w:rPr>
          <w:rFonts w:hint="eastAsia" w:ascii="宋体" w:hAnsi="宋体" w:eastAsia="宋体" w:cs="宋体"/>
          <w:color w:val="auto"/>
          <w:kern w:val="2"/>
          <w:sz w:val="21"/>
          <w:highlight w:val="none"/>
          <w:u w:val="single"/>
        </w:rPr>
        <w:t xml:space="preserve">           </w:t>
      </w:r>
      <w:r>
        <w:rPr>
          <w:rFonts w:hint="eastAsia" w:ascii="宋体" w:hAnsi="宋体" w:eastAsia="宋体" w:cs="宋体"/>
          <w:color w:val="auto"/>
          <w:kern w:val="2"/>
          <w:sz w:val="21"/>
          <w:highlight w:val="none"/>
        </w:rPr>
        <w:t xml:space="preserve">经济性质： </w:t>
      </w:r>
    </w:p>
    <w:p w14:paraId="029197A6">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主营（产）：</w:t>
      </w:r>
    </w:p>
    <w:p w14:paraId="7CC29EC3">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rPr>
        <w:t>兼营（产）：</w:t>
      </w:r>
    </w:p>
    <w:p w14:paraId="2D438C7F">
      <w:pPr>
        <w:autoSpaceDE/>
        <w:autoSpaceDN/>
        <w:adjustRightInd/>
        <w:spacing w:before="120" w:after="120" w:line="360" w:lineRule="auto"/>
        <w:ind w:firstLine="424" w:firstLine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 xml:space="preserve">附 法定代表人身份证复印件 </w:t>
      </w:r>
    </w:p>
    <w:p w14:paraId="719FBEDA">
      <w:pPr>
        <w:autoSpaceDE/>
        <w:autoSpaceDN/>
        <w:adjustRightInd/>
        <w:spacing w:before="120" w:after="120" w:line="360" w:lineRule="auto"/>
        <w:ind w:left="629" w:firstLine="474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14:paraId="636A8BFD">
      <w:pPr>
        <w:tabs>
          <w:tab w:val="left" w:pos="525"/>
        </w:tabs>
        <w:autoSpaceDE/>
        <w:autoSpaceDN/>
        <w:adjustRightInd/>
        <w:spacing w:before="120" w:after="120" w:line="360" w:lineRule="auto"/>
        <w:ind w:left="528" w:leftChars="220" w:firstLine="4857" w:firstLineChars="2313"/>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zh-CN"/>
        </w:rPr>
        <w:t>期：</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月</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zh-CN"/>
        </w:rPr>
        <w:t>日</w:t>
      </w:r>
      <w:r>
        <w:rPr>
          <w:rFonts w:hint="eastAsia" w:ascii="宋体" w:hAnsi="宋体" w:eastAsia="宋体" w:cs="宋体"/>
          <w:b/>
          <w:bCs/>
          <w:color w:val="auto"/>
          <w:kern w:val="2"/>
          <w:sz w:val="21"/>
          <w:szCs w:val="21"/>
          <w:highlight w:val="none"/>
          <w:lang w:val="zh-CN"/>
        </w:rPr>
        <w:t xml:space="preserve"> </w:t>
      </w:r>
    </w:p>
    <w:p w14:paraId="2B304474">
      <w:pPr>
        <w:rPr>
          <w:rFonts w:hint="eastAsia" w:ascii="宋体" w:hAnsi="宋体" w:eastAsia="宋体" w:cs="宋体"/>
          <w:color w:val="auto"/>
          <w:kern w:val="2"/>
          <w:highlight w:val="none"/>
          <w:lang w:val="zh-CN"/>
        </w:rPr>
      </w:pPr>
      <w:r>
        <w:rPr>
          <w:rFonts w:hint="eastAsia" w:ascii="宋体" w:hAnsi="宋体" w:eastAsia="宋体" w:cs="宋体"/>
          <w:color w:val="auto"/>
          <w:kern w:val="2"/>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4445" t="5080" r="5080" b="13970"/>
                <wp:wrapNone/>
                <wp:docPr id="2" name="文本框 3"/>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007027">
                            <w:pPr>
                              <w:rPr>
                                <w:rFonts w:hint="eastAsia"/>
                              </w:rPr>
                            </w:pPr>
                          </w:p>
                          <w:p w14:paraId="22251A29">
                            <w:pPr>
                              <w:rPr>
                                <w:rFonts w:hint="eastAsia"/>
                              </w:rPr>
                            </w:pPr>
                          </w:p>
                          <w:p w14:paraId="028312A1">
                            <w:pPr>
                              <w:rPr>
                                <w:rFonts w:hint="eastAsia"/>
                              </w:rPr>
                            </w:pPr>
                          </w:p>
                          <w:p w14:paraId="48C829FF">
                            <w:pPr>
                              <w:rPr>
                                <w:rFonts w:hint="eastAsia"/>
                              </w:rPr>
                            </w:pPr>
                          </w:p>
                          <w:p w14:paraId="51893ADC">
                            <w:pPr>
                              <w:jc w:val="center"/>
                              <w:rPr>
                                <w:rFonts w:ascii="宋体" w:hAnsi="宋体"/>
                                <w:sz w:val="21"/>
                                <w:szCs w:val="21"/>
                              </w:rPr>
                            </w:pPr>
                            <w:r>
                              <w:rPr>
                                <w:rFonts w:hint="eastAsia" w:ascii="宋体" w:hAnsi="宋体"/>
                                <w:sz w:val="21"/>
                                <w:szCs w:val="21"/>
                              </w:rPr>
                              <w:t>法定代表人身份证反面</w:t>
                            </w:r>
                          </w:p>
                          <w:p w14:paraId="67FA76C9">
                            <w:pPr>
                              <w:jc w:val="center"/>
                              <w:rPr>
                                <w:sz w:val="21"/>
                                <w:szCs w:val="21"/>
                              </w:rPr>
                            </w:pPr>
                          </w:p>
                        </w:txbxContent>
                      </wps:txbx>
                      <wps:bodyPr upright="1"/>
                    </wps:wsp>
                  </a:graphicData>
                </a:graphic>
              </wp:anchor>
            </w:drawing>
          </mc:Choice>
          <mc:Fallback>
            <w:pict>
              <v:shape id="文本框 3"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LXrEnZAAAACgEAAA8AAAAAAAAAAQAg&#10;AAAAIgAAAGRycy9kb3ducmV2LnhtbFBLAQIUABQAAAAIAIdO4kDCMoWeDQIAADcEAAAOAAAAAAAA&#10;AAEAIAAAACgBAABkcnMvZTJvRG9jLnhtbFBLBQYAAAAABgAGAFkBAACnBQAAAAA=&#10;">
                <v:fill on="t" focussize="0,0"/>
                <v:stroke color="#000000" joinstyle="miter"/>
                <v:imagedata o:title=""/>
                <o:lock v:ext="edit" aspectratio="f"/>
                <v:textbox>
                  <w:txbxContent>
                    <w:p w14:paraId="21007027">
                      <w:pPr>
                        <w:rPr>
                          <w:rFonts w:hint="eastAsia"/>
                        </w:rPr>
                      </w:pPr>
                    </w:p>
                    <w:p w14:paraId="22251A29">
                      <w:pPr>
                        <w:rPr>
                          <w:rFonts w:hint="eastAsia"/>
                        </w:rPr>
                      </w:pPr>
                    </w:p>
                    <w:p w14:paraId="028312A1">
                      <w:pPr>
                        <w:rPr>
                          <w:rFonts w:hint="eastAsia"/>
                        </w:rPr>
                      </w:pPr>
                    </w:p>
                    <w:p w14:paraId="48C829FF">
                      <w:pPr>
                        <w:rPr>
                          <w:rFonts w:hint="eastAsia"/>
                        </w:rPr>
                      </w:pPr>
                    </w:p>
                    <w:p w14:paraId="51893ADC">
                      <w:pPr>
                        <w:jc w:val="center"/>
                        <w:rPr>
                          <w:rFonts w:ascii="宋体" w:hAnsi="宋体"/>
                          <w:sz w:val="21"/>
                          <w:szCs w:val="21"/>
                        </w:rPr>
                      </w:pPr>
                      <w:r>
                        <w:rPr>
                          <w:rFonts w:hint="eastAsia" w:ascii="宋体" w:hAnsi="宋体"/>
                          <w:sz w:val="21"/>
                          <w:szCs w:val="21"/>
                        </w:rPr>
                        <w:t>法定代表人身份证反面</w:t>
                      </w:r>
                    </w:p>
                    <w:p w14:paraId="67FA76C9">
                      <w:pPr>
                        <w:jc w:val="center"/>
                        <w:rPr>
                          <w:sz w:val="21"/>
                          <w:szCs w:val="21"/>
                        </w:rPr>
                      </w:pPr>
                    </w:p>
                  </w:txbxContent>
                </v:textbox>
              </v:shape>
            </w:pict>
          </mc:Fallback>
        </mc:AlternateContent>
      </w:r>
      <w:r>
        <w:rPr>
          <w:rFonts w:hint="eastAsia" w:ascii="宋体" w:hAnsi="宋体" w:eastAsia="宋体" w:cs="宋体"/>
          <w:color w:val="auto"/>
          <w:kern w:val="2"/>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4445" t="5080" r="5080" b="13970"/>
                <wp:wrapNone/>
                <wp:docPr id="1" name="文本框 2"/>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A03294">
                            <w:pPr>
                              <w:rPr>
                                <w:rFonts w:hint="eastAsia"/>
                              </w:rPr>
                            </w:pPr>
                          </w:p>
                          <w:p w14:paraId="1034D2BD">
                            <w:pPr>
                              <w:rPr>
                                <w:rFonts w:hint="eastAsia"/>
                              </w:rPr>
                            </w:pPr>
                          </w:p>
                          <w:p w14:paraId="1F4F88F8">
                            <w:pPr>
                              <w:rPr>
                                <w:rFonts w:hint="eastAsia"/>
                              </w:rPr>
                            </w:pPr>
                          </w:p>
                          <w:p w14:paraId="3EC16A4E">
                            <w:pPr>
                              <w:rPr>
                                <w:rFonts w:hint="eastAsia"/>
                              </w:rPr>
                            </w:pPr>
                          </w:p>
                          <w:p w14:paraId="64D80770">
                            <w:pPr>
                              <w:jc w:val="center"/>
                              <w:rPr>
                                <w:rFonts w:ascii="宋体" w:hAnsi="宋体"/>
                                <w:sz w:val="21"/>
                                <w:szCs w:val="21"/>
                              </w:rPr>
                            </w:pPr>
                            <w:r>
                              <w:rPr>
                                <w:rFonts w:hint="eastAsia" w:ascii="宋体" w:hAnsi="宋体"/>
                                <w:sz w:val="21"/>
                                <w:szCs w:val="21"/>
                              </w:rPr>
                              <w:t>法定代表人身份证正面</w:t>
                            </w:r>
                          </w:p>
                        </w:txbxContent>
                      </wps:txbx>
                      <wps:bodyPr upright="1"/>
                    </wps:wsp>
                  </a:graphicData>
                </a:graphic>
              </wp:anchor>
            </w:drawing>
          </mc:Choice>
          <mc:Fallback>
            <w:pict>
              <v:shape id="文本框 2"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M6n92AAAAAgBAAAPAAAAAAAAAAEAIAAA&#10;ACIAAABkcnMvZG93bnJldi54bWxQSwECFAAUAAAACACHTuJA71OXCwwCAAA3BAAADgAAAAAAAAAB&#10;ACAAAAAnAQAAZHJzL2Uyb0RvYy54bWxQSwUGAAAAAAYABgBZAQAApQUAAAAA&#10;">
                <v:fill on="t" focussize="0,0"/>
                <v:stroke color="#000000" joinstyle="miter"/>
                <v:imagedata o:title=""/>
                <o:lock v:ext="edit" aspectratio="f"/>
                <v:textbox>
                  <w:txbxContent>
                    <w:p w14:paraId="67A03294">
                      <w:pPr>
                        <w:rPr>
                          <w:rFonts w:hint="eastAsia"/>
                        </w:rPr>
                      </w:pPr>
                    </w:p>
                    <w:p w14:paraId="1034D2BD">
                      <w:pPr>
                        <w:rPr>
                          <w:rFonts w:hint="eastAsia"/>
                        </w:rPr>
                      </w:pPr>
                    </w:p>
                    <w:p w14:paraId="1F4F88F8">
                      <w:pPr>
                        <w:rPr>
                          <w:rFonts w:hint="eastAsia"/>
                        </w:rPr>
                      </w:pPr>
                    </w:p>
                    <w:p w14:paraId="3EC16A4E">
                      <w:pPr>
                        <w:rPr>
                          <w:rFonts w:hint="eastAsia"/>
                        </w:rPr>
                      </w:pPr>
                    </w:p>
                    <w:p w14:paraId="64D80770">
                      <w:pPr>
                        <w:jc w:val="center"/>
                        <w:rPr>
                          <w:rFonts w:ascii="宋体" w:hAnsi="宋体"/>
                          <w:sz w:val="21"/>
                          <w:szCs w:val="21"/>
                        </w:rPr>
                      </w:pPr>
                      <w:r>
                        <w:rPr>
                          <w:rFonts w:hint="eastAsia" w:ascii="宋体" w:hAnsi="宋体"/>
                          <w:sz w:val="21"/>
                          <w:szCs w:val="21"/>
                        </w:rPr>
                        <w:t>法定代表人身份证正面</w:t>
                      </w:r>
                    </w:p>
                  </w:txbxContent>
                </v:textbox>
              </v:shape>
            </w:pict>
          </mc:Fallback>
        </mc:AlternateContent>
      </w:r>
    </w:p>
    <w:p w14:paraId="0C52CB56">
      <w:pPr>
        <w:rPr>
          <w:rFonts w:hint="eastAsia" w:ascii="宋体" w:hAnsi="宋体" w:eastAsia="宋体" w:cs="宋体"/>
          <w:color w:val="auto"/>
          <w:highlight w:val="none"/>
        </w:rPr>
      </w:pPr>
    </w:p>
    <w:p w14:paraId="44F8BC73">
      <w:pPr>
        <w:rPr>
          <w:rFonts w:hint="eastAsia" w:ascii="宋体" w:hAnsi="宋体" w:eastAsia="宋体" w:cs="宋体"/>
          <w:color w:val="auto"/>
          <w:sz w:val="21"/>
          <w:highlight w:val="none"/>
          <w:lang w:val="zh-CN"/>
        </w:rPr>
      </w:pPr>
    </w:p>
    <w:p w14:paraId="68A32265">
      <w:pPr>
        <w:rPr>
          <w:rFonts w:hint="eastAsia" w:ascii="宋体" w:hAnsi="宋体" w:eastAsia="宋体" w:cs="宋体"/>
          <w:color w:val="auto"/>
          <w:sz w:val="21"/>
          <w:highlight w:val="none"/>
          <w:lang w:val="zh-CN"/>
        </w:rPr>
      </w:pPr>
    </w:p>
    <w:p w14:paraId="49453DA8">
      <w:pPr>
        <w:rPr>
          <w:rFonts w:hint="eastAsia" w:ascii="宋体" w:hAnsi="宋体" w:eastAsia="宋体" w:cs="宋体"/>
          <w:color w:val="auto"/>
          <w:sz w:val="21"/>
          <w:highlight w:val="none"/>
          <w:lang w:val="zh-CN"/>
        </w:rPr>
      </w:pPr>
    </w:p>
    <w:p w14:paraId="01B88145">
      <w:pPr>
        <w:rPr>
          <w:rFonts w:hint="eastAsia" w:ascii="宋体" w:hAnsi="宋体" w:eastAsia="宋体" w:cs="宋体"/>
          <w:color w:val="auto"/>
          <w:sz w:val="21"/>
          <w:highlight w:val="none"/>
          <w:lang w:val="zh-CN"/>
        </w:rPr>
      </w:pPr>
    </w:p>
    <w:p w14:paraId="0FDD7F7A">
      <w:pPr>
        <w:rPr>
          <w:rFonts w:hint="eastAsia" w:ascii="宋体" w:hAnsi="宋体" w:eastAsia="宋体" w:cs="宋体"/>
          <w:color w:val="auto"/>
          <w:sz w:val="21"/>
          <w:highlight w:val="none"/>
          <w:lang w:val="zh-CN"/>
        </w:rPr>
      </w:pPr>
    </w:p>
    <w:p w14:paraId="73C1CE17">
      <w:pPr>
        <w:rPr>
          <w:rFonts w:hint="eastAsia" w:ascii="宋体" w:hAnsi="宋体" w:eastAsia="宋体" w:cs="宋体"/>
          <w:color w:val="auto"/>
          <w:sz w:val="21"/>
          <w:highlight w:val="none"/>
          <w:lang w:val="zh-CN"/>
        </w:rPr>
      </w:pPr>
    </w:p>
    <w:p w14:paraId="12E4CE3D">
      <w:pPr>
        <w:rPr>
          <w:rFonts w:hint="eastAsia" w:ascii="宋体" w:hAnsi="宋体" w:eastAsia="宋体" w:cs="宋体"/>
          <w:color w:val="auto"/>
          <w:sz w:val="21"/>
          <w:highlight w:val="none"/>
          <w:lang w:val="zh-CN"/>
        </w:rPr>
      </w:pPr>
    </w:p>
    <w:p w14:paraId="7B0F17F7">
      <w:pPr>
        <w:rPr>
          <w:rFonts w:hint="eastAsia" w:ascii="宋体" w:hAnsi="宋体" w:eastAsia="宋体" w:cs="宋体"/>
          <w:color w:val="auto"/>
          <w:sz w:val="21"/>
          <w:highlight w:val="none"/>
          <w:lang w:val="zh-CN"/>
        </w:rPr>
      </w:pPr>
    </w:p>
    <w:p w14:paraId="748EAC9C">
      <w:pPr>
        <w:rPr>
          <w:rFonts w:hint="eastAsia" w:ascii="宋体" w:hAnsi="宋体" w:eastAsia="宋体" w:cs="宋体"/>
          <w:color w:val="auto"/>
          <w:sz w:val="21"/>
          <w:highlight w:val="none"/>
          <w:lang w:val="zh-CN"/>
        </w:rPr>
      </w:pPr>
    </w:p>
    <w:p w14:paraId="533354FA">
      <w:pPr>
        <w:rPr>
          <w:rFonts w:hint="eastAsia" w:ascii="宋体" w:hAnsi="宋体" w:eastAsia="宋体" w:cs="宋体"/>
          <w:b/>
          <w:color w:val="auto"/>
          <w:sz w:val="21"/>
          <w:szCs w:val="21"/>
          <w:highlight w:val="none"/>
        </w:rPr>
      </w:pPr>
    </w:p>
    <w:p w14:paraId="4F62CE0C">
      <w:pPr>
        <w:keepNext w:val="0"/>
        <w:keepLines w:val="0"/>
        <w:pageBreakBefore w:val="0"/>
        <w:widowControl w:val="0"/>
        <w:kinsoku/>
        <w:wordWrap/>
        <w:overflowPunct/>
        <w:topLinePunct w:val="0"/>
        <w:autoSpaceDE w:val="0"/>
        <w:autoSpaceDN w:val="0"/>
        <w:bidi w:val="0"/>
        <w:adjustRightInd w:val="0"/>
        <w:snapToGrid/>
        <w:ind w:firstLine="105" w:firstLineChars="5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注：法定代表人身份证须在有效期限内。</w:t>
      </w:r>
      <w:r>
        <w:rPr>
          <w:rFonts w:hint="eastAsia" w:ascii="宋体" w:hAnsi="宋体" w:eastAsia="宋体" w:cs="宋体"/>
          <w:color w:val="auto"/>
          <w:sz w:val="21"/>
          <w:highlight w:val="none"/>
          <w:lang w:val="zh-CN"/>
        </w:rPr>
        <w:br w:type="page"/>
      </w:r>
      <w:bookmarkEnd w:id="254"/>
      <w:bookmarkEnd w:id="255"/>
      <w:bookmarkEnd w:id="256"/>
      <w:bookmarkStart w:id="335" w:name="_Toc521576303"/>
      <w:bookmarkStart w:id="336" w:name="_Toc521918321"/>
      <w:bookmarkStart w:id="337" w:name="_Toc495907134"/>
      <w:bookmarkStart w:id="338" w:name="_Toc490169464"/>
      <w:bookmarkStart w:id="339" w:name="_Toc497746562"/>
      <w:bookmarkStart w:id="340" w:name="_Toc521918124"/>
      <w:bookmarkStart w:id="341" w:name="_Toc519153442"/>
      <w:bookmarkStart w:id="342" w:name="_Toc522047383"/>
      <w:bookmarkStart w:id="343" w:name="_Toc532576767"/>
      <w:r>
        <w:rPr>
          <w:rFonts w:hint="eastAsia" w:ascii="宋体" w:hAnsi="宋体" w:eastAsia="宋体" w:cs="宋体"/>
          <w:color w:val="auto"/>
          <w:sz w:val="32"/>
          <w:szCs w:val="32"/>
          <w:highlight w:val="none"/>
          <w:lang w:val="zh-CN"/>
        </w:rPr>
        <w:t xml:space="preserve"> </w:t>
      </w:r>
      <w:bookmarkEnd w:id="335"/>
      <w:bookmarkEnd w:id="336"/>
      <w:bookmarkEnd w:id="337"/>
      <w:bookmarkEnd w:id="338"/>
      <w:bookmarkEnd w:id="339"/>
      <w:bookmarkEnd w:id="340"/>
      <w:bookmarkEnd w:id="341"/>
      <w:bookmarkEnd w:id="342"/>
      <w:bookmarkEnd w:id="343"/>
      <w:r>
        <w:rPr>
          <w:rFonts w:hint="eastAsia" w:ascii="宋体" w:hAnsi="宋体" w:eastAsia="宋体" w:cs="宋体"/>
          <w:b/>
          <w:color w:val="auto"/>
          <w:kern w:val="2"/>
          <w:sz w:val="21"/>
          <w:szCs w:val="21"/>
          <w:highlight w:val="none"/>
          <w:lang w:val="zh-CN"/>
        </w:rPr>
        <w:t>（2）</w:t>
      </w:r>
      <w:r>
        <w:rPr>
          <w:rFonts w:hint="eastAsia" w:ascii="宋体" w:hAnsi="宋体" w:eastAsia="宋体" w:cs="宋体"/>
          <w:b/>
          <w:bCs/>
          <w:color w:val="auto"/>
          <w:kern w:val="2"/>
          <w:sz w:val="21"/>
          <w:szCs w:val="21"/>
          <w:highlight w:val="none"/>
          <w:lang w:val="zh-CN"/>
        </w:rPr>
        <w:t>法定代表人授权书格式</w:t>
      </w:r>
    </w:p>
    <w:p w14:paraId="7FA8D191">
      <w:pPr>
        <w:rPr>
          <w:rFonts w:hint="eastAsia" w:ascii="宋体" w:hAnsi="宋体" w:eastAsia="宋体" w:cs="宋体"/>
          <w:b/>
          <w:bCs/>
          <w:color w:val="auto"/>
          <w:kern w:val="2"/>
          <w:sz w:val="30"/>
          <w:szCs w:val="30"/>
          <w:highlight w:val="none"/>
          <w:lang w:val="zh-CN"/>
        </w:rPr>
      </w:pPr>
    </w:p>
    <w:p w14:paraId="2145922D">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法定代表人授权书</w:t>
      </w:r>
    </w:p>
    <w:p w14:paraId="798FD602">
      <w:pPr>
        <w:spacing w:line="360" w:lineRule="auto"/>
        <w:jc w:val="center"/>
        <w:rPr>
          <w:rFonts w:hint="eastAsia" w:ascii="宋体" w:hAnsi="宋体" w:eastAsia="宋体" w:cs="宋体"/>
          <w:color w:val="auto"/>
          <w:kern w:val="2"/>
          <w:sz w:val="21"/>
          <w:szCs w:val="28"/>
          <w:highlight w:val="none"/>
          <w:lang w:val="zh-CN"/>
        </w:rPr>
      </w:pPr>
    </w:p>
    <w:p w14:paraId="295611DE">
      <w:pPr>
        <w:autoSpaceDE/>
        <w:autoSpaceDN/>
        <w:adjustRightInd/>
        <w:spacing w:before="120" w:after="120" w:line="360" w:lineRule="auto"/>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致：东莞市众源环境投资有限公司</w:t>
      </w:r>
    </w:p>
    <w:p w14:paraId="18EEDB8A">
      <w:pPr>
        <w:widowControl/>
        <w:spacing w:line="360" w:lineRule="auto"/>
        <w:ind w:firstLine="424" w:firstLineChars="20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本授权书声明：注册于</w:t>
      </w:r>
      <w:r>
        <w:rPr>
          <w:rFonts w:hint="eastAsia" w:ascii="宋体" w:hAnsi="宋体" w:eastAsia="宋体" w:cs="宋体"/>
          <w:color w:val="auto"/>
          <w:kern w:val="2"/>
          <w:sz w:val="21"/>
          <w:highlight w:val="none"/>
          <w:u w:val="single"/>
          <w:lang w:val="zh-CN"/>
        </w:rPr>
        <w:t xml:space="preserve">   （供应商地址）</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none"/>
          <w:lang w:val="zh-CN"/>
        </w:rPr>
        <w:t>的</w:t>
      </w:r>
      <w:r>
        <w:rPr>
          <w:rFonts w:hint="eastAsia" w:ascii="宋体" w:hAnsi="宋体" w:eastAsia="宋体" w:cs="宋体"/>
          <w:color w:val="auto"/>
          <w:kern w:val="2"/>
          <w:sz w:val="21"/>
          <w:highlight w:val="none"/>
          <w:u w:val="single"/>
          <w:lang w:val="zh-CN"/>
        </w:rPr>
        <w:t xml:space="preserve">  </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u w:val="single"/>
          <w:lang w:val="zh-CN"/>
        </w:rPr>
        <w:t>（供应商名称）</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在下面签字的</w:t>
      </w:r>
      <w:r>
        <w:rPr>
          <w:rFonts w:hint="eastAsia" w:ascii="宋体" w:hAnsi="宋体" w:eastAsia="宋体" w:cs="宋体"/>
          <w:color w:val="auto"/>
          <w:kern w:val="2"/>
          <w:sz w:val="21"/>
          <w:highlight w:val="none"/>
          <w:u w:val="single"/>
          <w:lang w:val="zh-CN"/>
        </w:rPr>
        <w:t xml:space="preserve">   （法定代表人姓名、职务、身份证号码）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代表本公司授权在下面签字或盖私章的</w:t>
      </w:r>
      <w:r>
        <w:rPr>
          <w:rFonts w:hint="eastAsia" w:ascii="宋体" w:hAnsi="宋体" w:eastAsia="宋体" w:cs="宋体"/>
          <w:color w:val="auto"/>
          <w:kern w:val="2"/>
          <w:sz w:val="21"/>
          <w:highlight w:val="none"/>
          <w:u w:val="single"/>
          <w:lang w:val="zh-CN"/>
        </w:rPr>
        <w:t xml:space="preserve">  （被授权人的姓名、职务、身份证号码）</w:t>
      </w:r>
      <w:r>
        <w:rPr>
          <w:rFonts w:hint="eastAsia" w:ascii="宋体" w:hAnsi="宋体" w:cs="宋体"/>
          <w:color w:val="auto"/>
          <w:kern w:val="2"/>
          <w:sz w:val="21"/>
          <w:highlight w:val="none"/>
          <w:u w:val="single"/>
          <w:lang w:val="en-US" w:eastAsia="zh-CN"/>
        </w:rPr>
        <w:t xml:space="preserve">   </w:t>
      </w:r>
      <w:r>
        <w:rPr>
          <w:rFonts w:hint="eastAsia" w:ascii="宋体" w:hAnsi="宋体" w:eastAsia="宋体" w:cs="宋体"/>
          <w:color w:val="auto"/>
          <w:kern w:val="2"/>
          <w:sz w:val="21"/>
          <w:highlight w:val="none"/>
          <w:lang w:val="zh-CN"/>
        </w:rPr>
        <w:t>为本公司的合法代表人，签署</w:t>
      </w:r>
      <w:r>
        <w:rPr>
          <w:rFonts w:hint="eastAsia" w:ascii="宋体" w:hAnsi="宋体" w:eastAsia="宋体" w:cs="宋体"/>
          <w:color w:val="auto"/>
          <w:sz w:val="21"/>
          <w:szCs w:val="21"/>
          <w:lang w:val="zh-CN"/>
        </w:rPr>
        <w:t>签署</w:t>
      </w:r>
      <w:r>
        <w:rPr>
          <w:rFonts w:hint="eastAsia" w:ascii="宋体" w:hAnsi="宋体" w:cs="宋体"/>
          <w:color w:val="auto"/>
          <w:sz w:val="21"/>
          <w:szCs w:val="21"/>
          <w:u w:val="single"/>
          <w:lang w:eastAsia="zh-CN"/>
        </w:rPr>
        <w:t>东莞市众源环境投资有限公司污水处理厂污泥脱水减量处理服务（BOT权属东江下游片区）采购项目（麻涌一期重新采购）</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u w:val="single"/>
          <w:lang w:val="zh-CN"/>
        </w:rPr>
        <w:t xml:space="preserve">YDZB24DGQY0031-1 </w:t>
      </w:r>
      <w:r>
        <w:rPr>
          <w:rFonts w:hint="eastAsia" w:ascii="宋体" w:hAnsi="宋体" w:eastAsia="宋体" w:cs="宋体"/>
          <w:color w:val="auto"/>
          <w:sz w:val="21"/>
          <w:szCs w:val="21"/>
          <w:lang w:val="zh-CN"/>
        </w:rPr>
        <w:t>）</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highlight w:val="none"/>
          <w:lang w:val="zh-CN"/>
        </w:rPr>
        <w:t>递交响应文件、参与</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、代表我公司应磋商小组的要求对响应文件进行澄清、进行合同谈判、</w:t>
      </w:r>
      <w:r>
        <w:rPr>
          <w:rFonts w:hint="eastAsia" w:ascii="宋体" w:hAnsi="宋体" w:eastAsia="宋体" w:cs="宋体"/>
          <w:color w:val="auto"/>
          <w:kern w:val="2"/>
          <w:sz w:val="21"/>
          <w:highlight w:val="none"/>
          <w:lang w:val="en-US" w:eastAsia="zh-CN"/>
        </w:rPr>
        <w:t>填报最终报价</w:t>
      </w:r>
      <w:r>
        <w:rPr>
          <w:rFonts w:hint="eastAsia" w:ascii="宋体" w:hAnsi="宋体" w:eastAsia="宋体" w:cs="宋体"/>
          <w:color w:val="auto"/>
          <w:kern w:val="2"/>
          <w:sz w:val="21"/>
          <w:highlight w:val="none"/>
          <w:lang w:val="zh-CN"/>
        </w:rPr>
        <w:t>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我承认代理人全权代表我所签署的本项目响应文件的内容及</w:t>
      </w:r>
      <w:r>
        <w:rPr>
          <w:rFonts w:hint="eastAsia" w:ascii="宋体" w:hAnsi="宋体" w:eastAsia="宋体" w:cs="宋体"/>
          <w:color w:val="auto"/>
          <w:kern w:val="2"/>
          <w:sz w:val="21"/>
          <w:highlight w:val="none"/>
          <w:lang w:val="zh-CN"/>
        </w:rPr>
        <w:t>所进行的上述活动。</w:t>
      </w:r>
    </w:p>
    <w:p w14:paraId="60F061D3">
      <w:pPr>
        <w:autoSpaceDE/>
        <w:autoSpaceDN/>
        <w:adjustRightInd/>
        <w:spacing w:before="120" w:after="12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highlight w:val="none"/>
          <w:lang w:val="zh-CN"/>
        </w:rPr>
        <w:t>本授权书于</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年</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月</w:t>
      </w:r>
      <w:r>
        <w:rPr>
          <w:rFonts w:hint="eastAsia" w:ascii="宋体" w:hAnsi="宋体" w:eastAsia="宋体" w:cs="宋体"/>
          <w:color w:val="auto"/>
          <w:kern w:val="2"/>
          <w:sz w:val="21"/>
          <w:highlight w:val="none"/>
          <w:u w:val="single"/>
          <w:lang w:val="zh-CN"/>
        </w:rPr>
        <w:t xml:space="preserve">     </w:t>
      </w:r>
      <w:r>
        <w:rPr>
          <w:rFonts w:hint="eastAsia" w:ascii="宋体" w:hAnsi="宋体" w:eastAsia="宋体" w:cs="宋体"/>
          <w:color w:val="auto"/>
          <w:kern w:val="2"/>
          <w:sz w:val="21"/>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highlight w:val="none"/>
          <w:lang w:val="zh-CN"/>
        </w:rPr>
        <w:t>特此声明。</w:t>
      </w:r>
    </w:p>
    <w:p w14:paraId="1A3CA897">
      <w:pPr>
        <w:autoSpaceDE/>
        <w:autoSpaceDN/>
        <w:adjustRightInd/>
        <w:spacing w:before="120" w:after="120" w:line="360" w:lineRule="auto"/>
        <w:ind w:firstLine="277" w:firstLineChars="132"/>
        <w:rPr>
          <w:rFonts w:hint="eastAsia" w:ascii="宋体" w:hAnsi="宋体" w:eastAsia="宋体" w:cs="宋体"/>
          <w:color w:val="auto"/>
          <w:kern w:val="2"/>
          <w:sz w:val="21"/>
          <w:highlight w:val="none"/>
          <w:lang w:val="zh-CN"/>
        </w:rPr>
      </w:pPr>
    </w:p>
    <w:p w14:paraId="5C4D3E27">
      <w:pPr>
        <w:keepNext w:val="0"/>
        <w:keepLines w:val="0"/>
        <w:pageBreakBefore w:val="0"/>
        <w:widowControl w:val="0"/>
        <w:kinsoku/>
        <w:wordWrap/>
        <w:overflowPunct/>
        <w:topLinePunct w:val="0"/>
        <w:autoSpaceDE/>
        <w:autoSpaceDN/>
        <w:bidi w:val="0"/>
        <w:adjustRightInd/>
        <w:snapToGrid/>
        <w:spacing w:before="120" w:after="120" w:line="360" w:lineRule="auto"/>
        <w:ind w:left="629" w:firstLine="425"/>
        <w:jc w:val="both"/>
        <w:textAlignment w:val="auto"/>
        <w:rPr>
          <w:rFonts w:hint="eastAsia" w:ascii="宋体" w:hAnsi="宋体" w:eastAsia="宋体" w:cs="宋体"/>
          <w:color w:val="auto"/>
          <w:kern w:val="2"/>
          <w:sz w:val="21"/>
          <w:highlight w:val="none"/>
        </w:rPr>
      </w:pPr>
    </w:p>
    <w:p w14:paraId="449A3F89">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72C2672A">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供应商地址：</w:t>
      </w:r>
    </w:p>
    <w:p w14:paraId="5FF24CD0">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法定代表人（签名或盖私章）：</w:t>
      </w:r>
    </w:p>
    <w:p w14:paraId="3E0D0E47">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32CC47A7">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被授权人（签名或盖私章）：</w:t>
      </w:r>
    </w:p>
    <w:p w14:paraId="04E67A3A">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职　　　务：</w:t>
      </w:r>
    </w:p>
    <w:p w14:paraId="4480C8C6">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被授权人联系手机：</w:t>
      </w:r>
    </w:p>
    <w:p w14:paraId="7F36AA7D">
      <w:pPr>
        <w:keepNext w:val="0"/>
        <w:keepLines w:val="0"/>
        <w:pageBreakBefore w:val="0"/>
        <w:widowControl w:val="0"/>
        <w:kinsoku/>
        <w:wordWrap/>
        <w:overflowPunct/>
        <w:topLinePunct w:val="0"/>
        <w:autoSpaceDE/>
        <w:autoSpaceDN/>
        <w:bidi w:val="0"/>
        <w:adjustRightInd/>
        <w:snapToGrid/>
        <w:spacing w:before="120" w:after="120" w:line="360" w:lineRule="auto"/>
        <w:ind w:left="0" w:firstLine="5103" w:firstLineChars="243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 子 邮 箱：</w:t>
      </w:r>
    </w:p>
    <w:p w14:paraId="12FE68D6">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5931D11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240129AF">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558F0FEC">
      <w:pPr>
        <w:widowControl/>
        <w:adjustRightInd/>
        <w:spacing w:before="120" w:after="120" w:line="360" w:lineRule="auto"/>
        <w:ind w:right="893"/>
        <w:jc w:val="center"/>
        <w:textAlignment w:val="bottom"/>
        <w:rPr>
          <w:rFonts w:hint="eastAsia" w:ascii="宋体" w:hAnsi="宋体" w:eastAsia="宋体" w:cs="宋体"/>
          <w:color w:val="auto"/>
          <w:kern w:val="2"/>
          <w:sz w:val="21"/>
          <w:highlight w:val="none"/>
          <w:lang w:val="zh-CN"/>
        </w:rPr>
      </w:pPr>
    </w:p>
    <w:p w14:paraId="5E2ED967">
      <w:pPr>
        <w:widowControl/>
        <w:adjustRightInd/>
        <w:spacing w:before="120" w:after="120" w:line="360" w:lineRule="auto"/>
        <w:ind w:right="893"/>
        <w:jc w:val="left"/>
        <w:textAlignment w:val="bottom"/>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附 法定代表人、被授权人身份证复印件</w:t>
      </w:r>
    </w:p>
    <w:p w14:paraId="6223513D">
      <w:pPr>
        <w:widowControl/>
        <w:adjustRightInd/>
        <w:spacing w:before="120" w:after="120" w:line="360" w:lineRule="auto"/>
        <w:ind w:right="893"/>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3004820</wp:posOffset>
                </wp:positionH>
                <wp:positionV relativeFrom="paragraph">
                  <wp:posOffset>34290</wp:posOffset>
                </wp:positionV>
                <wp:extent cx="2743200" cy="1771015"/>
                <wp:effectExtent l="4445" t="4445" r="14605" b="15240"/>
                <wp:wrapNone/>
                <wp:docPr id="4" name="文本框 5"/>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578C393">
                            <w:pPr>
                              <w:rPr>
                                <w:rFonts w:hint="eastAsia"/>
                              </w:rPr>
                            </w:pPr>
                          </w:p>
                          <w:p w14:paraId="397B84DF">
                            <w:pPr>
                              <w:rPr>
                                <w:rFonts w:hint="eastAsia"/>
                              </w:rPr>
                            </w:pPr>
                          </w:p>
                          <w:p w14:paraId="5A75CF6D">
                            <w:pPr>
                              <w:rPr>
                                <w:rFonts w:hint="eastAsia"/>
                              </w:rPr>
                            </w:pPr>
                          </w:p>
                          <w:p w14:paraId="3F90556B">
                            <w:pPr>
                              <w:rPr>
                                <w:rFonts w:hint="eastAsia"/>
                              </w:rPr>
                            </w:pPr>
                          </w:p>
                          <w:p w14:paraId="58700355">
                            <w:pPr>
                              <w:jc w:val="center"/>
                              <w:rPr>
                                <w:rFonts w:ascii="宋体" w:hAnsi="宋体"/>
                                <w:kern w:val="2"/>
                                <w:sz w:val="21"/>
                              </w:rPr>
                            </w:pPr>
                            <w:r>
                              <w:rPr>
                                <w:rFonts w:hint="eastAsia" w:ascii="宋体" w:hAnsi="宋体"/>
                                <w:kern w:val="2"/>
                                <w:sz w:val="21"/>
                              </w:rPr>
                              <w:t>法定代表人身份证反面</w:t>
                            </w:r>
                          </w:p>
                        </w:txbxContent>
                      </wps:txbx>
                      <wps:bodyPr upright="1"/>
                    </wps:wsp>
                  </a:graphicData>
                </a:graphic>
              </wp:anchor>
            </w:drawing>
          </mc:Choice>
          <mc:Fallback>
            <w:pict>
              <v:shape id="文本框 5" o:spid="_x0000_s1026" o:spt="202" type="#_x0000_t202" style="position:absolute;left:0pt;margin-left:236.6pt;margin-top:2.7pt;height:139.45pt;width:216pt;z-index:251662336;mso-width-relative:page;mso-height-relative:page;" fillcolor="#FFFFFF" filled="t" stroked="t" coordsize="21600,21600" o:gfxdata="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2jzWtgAAAAJAQAADwAAAAAAAAABACAA&#10;AAAiAAAAZHJzL2Rvd25yZXYueG1sUEsBAhQAFAAAAAgAh07iQFEHt8ENAgAANwQAAA4AAAAAAAAA&#10;AQAgAAAAJwEAAGRycy9lMm9Eb2MueG1sUEsFBgAAAAAGAAYAWQEAAKYFAAAAAA==&#10;">
                <v:fill on="t" focussize="0,0"/>
                <v:stroke color="#000000" joinstyle="miter"/>
                <v:imagedata o:title=""/>
                <o:lock v:ext="edit" aspectratio="f"/>
                <v:textbox>
                  <w:txbxContent>
                    <w:p w14:paraId="4578C393">
                      <w:pPr>
                        <w:rPr>
                          <w:rFonts w:hint="eastAsia"/>
                        </w:rPr>
                      </w:pPr>
                    </w:p>
                    <w:p w14:paraId="397B84DF">
                      <w:pPr>
                        <w:rPr>
                          <w:rFonts w:hint="eastAsia"/>
                        </w:rPr>
                      </w:pPr>
                    </w:p>
                    <w:p w14:paraId="5A75CF6D">
                      <w:pPr>
                        <w:rPr>
                          <w:rFonts w:hint="eastAsia"/>
                        </w:rPr>
                      </w:pPr>
                    </w:p>
                    <w:p w14:paraId="3F90556B">
                      <w:pPr>
                        <w:rPr>
                          <w:rFonts w:hint="eastAsia"/>
                        </w:rPr>
                      </w:pPr>
                    </w:p>
                    <w:p w14:paraId="58700355">
                      <w:pPr>
                        <w:jc w:val="center"/>
                        <w:rPr>
                          <w:rFonts w:ascii="宋体" w:hAnsi="宋体"/>
                          <w:kern w:val="2"/>
                          <w:sz w:val="21"/>
                        </w:rPr>
                      </w:pPr>
                      <w:r>
                        <w:rPr>
                          <w:rFonts w:hint="eastAsia" w:ascii="宋体" w:hAnsi="宋体"/>
                          <w:kern w:val="2"/>
                          <w:sz w:val="21"/>
                        </w:rPr>
                        <w:t>法定代表人身份证反面</w:t>
                      </w:r>
                    </w:p>
                  </w:txbxContent>
                </v:textbox>
              </v:shape>
            </w:pict>
          </mc:Fallback>
        </mc:AlternateContent>
      </w: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34290</wp:posOffset>
                </wp:positionV>
                <wp:extent cx="2743200" cy="1771015"/>
                <wp:effectExtent l="4445" t="4445" r="14605" b="15240"/>
                <wp:wrapNone/>
                <wp:docPr id="3" name="文本框 4"/>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AF3BE5">
                            <w:pPr>
                              <w:rPr>
                                <w:rFonts w:hint="eastAsia"/>
                              </w:rPr>
                            </w:pPr>
                          </w:p>
                          <w:p w14:paraId="027CBDC2">
                            <w:pPr>
                              <w:rPr>
                                <w:rFonts w:hint="eastAsia"/>
                              </w:rPr>
                            </w:pPr>
                          </w:p>
                          <w:p w14:paraId="61F2E669">
                            <w:pPr>
                              <w:rPr>
                                <w:rFonts w:hint="eastAsia"/>
                              </w:rPr>
                            </w:pPr>
                          </w:p>
                          <w:p w14:paraId="06E27F1D">
                            <w:pPr>
                              <w:rPr>
                                <w:rFonts w:hint="eastAsia"/>
                              </w:rPr>
                            </w:pPr>
                          </w:p>
                          <w:p w14:paraId="0D28347F">
                            <w:pPr>
                              <w:jc w:val="center"/>
                              <w:rPr>
                                <w:rFonts w:ascii="宋体" w:hAnsi="宋体"/>
                                <w:kern w:val="2"/>
                                <w:sz w:val="21"/>
                              </w:rPr>
                            </w:pPr>
                            <w:r>
                              <w:rPr>
                                <w:rFonts w:hint="eastAsia" w:ascii="宋体" w:hAnsi="宋体"/>
                                <w:kern w:val="2"/>
                                <w:sz w:val="21"/>
                              </w:rPr>
                              <w:t>法定代表人身份证正面</w:t>
                            </w:r>
                          </w:p>
                        </w:txbxContent>
                      </wps:txbx>
                      <wps:bodyPr upright="1"/>
                    </wps:wsp>
                  </a:graphicData>
                </a:graphic>
              </wp:anchor>
            </w:drawing>
          </mc:Choice>
          <mc:Fallback>
            <w:pict>
              <v:shape id="文本框 4" o:spid="_x0000_s1026" o:spt="202" type="#_x0000_t202" style="position:absolute;left:0pt;margin-left:1.85pt;margin-top:2.7pt;height:139.45pt;width:216pt;z-index:251661312;mso-width-relative:page;mso-height-relative:page;" fillcolor="#FFFFFF" filled="t" stroked="t" coordsize="21600,21600" o:gfxdata="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Vxgb9YAAAAHAQAADwAAAAAAAAABACAAAAAi&#10;AAAAZHJzL2Rvd25yZXYueG1sUEsBAhQAFAAAAAgAh07iQF7hwqkMAgAANwQAAA4AAAAAAAAAAQAg&#10;AAAAJQEAAGRycy9lMm9Eb2MueG1sUEsFBgAAAAAGAAYAWQEAAKMFAAAAAA==&#10;">
                <v:fill on="t" focussize="0,0"/>
                <v:stroke color="#000000" joinstyle="miter"/>
                <v:imagedata o:title=""/>
                <o:lock v:ext="edit" aspectratio="f"/>
                <v:textbox>
                  <w:txbxContent>
                    <w:p w14:paraId="7AAF3BE5">
                      <w:pPr>
                        <w:rPr>
                          <w:rFonts w:hint="eastAsia"/>
                        </w:rPr>
                      </w:pPr>
                    </w:p>
                    <w:p w14:paraId="027CBDC2">
                      <w:pPr>
                        <w:rPr>
                          <w:rFonts w:hint="eastAsia"/>
                        </w:rPr>
                      </w:pPr>
                    </w:p>
                    <w:p w14:paraId="61F2E669">
                      <w:pPr>
                        <w:rPr>
                          <w:rFonts w:hint="eastAsia"/>
                        </w:rPr>
                      </w:pPr>
                    </w:p>
                    <w:p w14:paraId="06E27F1D">
                      <w:pPr>
                        <w:rPr>
                          <w:rFonts w:hint="eastAsia"/>
                        </w:rPr>
                      </w:pPr>
                    </w:p>
                    <w:p w14:paraId="0D28347F">
                      <w:pPr>
                        <w:jc w:val="center"/>
                        <w:rPr>
                          <w:rFonts w:ascii="宋体" w:hAnsi="宋体"/>
                          <w:kern w:val="2"/>
                          <w:sz w:val="21"/>
                        </w:rPr>
                      </w:pPr>
                      <w:r>
                        <w:rPr>
                          <w:rFonts w:hint="eastAsia" w:ascii="宋体" w:hAnsi="宋体"/>
                          <w:kern w:val="2"/>
                          <w:sz w:val="21"/>
                        </w:rPr>
                        <w:t>法定代表人身份证正面</w:t>
                      </w:r>
                    </w:p>
                  </w:txbxContent>
                </v:textbox>
              </v:shape>
            </w:pict>
          </mc:Fallback>
        </mc:AlternateContent>
      </w:r>
    </w:p>
    <w:p w14:paraId="4842D55B">
      <w:pPr>
        <w:rPr>
          <w:rFonts w:hint="eastAsia" w:ascii="宋体" w:hAnsi="宋体" w:eastAsia="宋体" w:cs="宋体"/>
          <w:color w:val="auto"/>
          <w:sz w:val="21"/>
          <w:szCs w:val="21"/>
          <w:highlight w:val="none"/>
        </w:rPr>
      </w:pPr>
    </w:p>
    <w:p w14:paraId="2B363554">
      <w:pPr>
        <w:rPr>
          <w:rFonts w:hint="eastAsia" w:ascii="宋体" w:hAnsi="宋体" w:eastAsia="宋体" w:cs="宋体"/>
          <w:color w:val="auto"/>
          <w:sz w:val="21"/>
          <w:szCs w:val="21"/>
          <w:highlight w:val="none"/>
        </w:rPr>
      </w:pPr>
    </w:p>
    <w:p w14:paraId="3A86FCD7">
      <w:pPr>
        <w:rPr>
          <w:rFonts w:hint="eastAsia" w:ascii="宋体" w:hAnsi="宋体" w:eastAsia="宋体" w:cs="宋体"/>
          <w:color w:val="auto"/>
          <w:sz w:val="21"/>
          <w:szCs w:val="21"/>
          <w:highlight w:val="none"/>
        </w:rPr>
      </w:pPr>
    </w:p>
    <w:p w14:paraId="421BA5AF">
      <w:pPr>
        <w:rPr>
          <w:rFonts w:hint="eastAsia" w:ascii="宋体" w:hAnsi="宋体" w:eastAsia="宋体" w:cs="宋体"/>
          <w:color w:val="auto"/>
          <w:sz w:val="21"/>
          <w:szCs w:val="21"/>
          <w:highlight w:val="none"/>
        </w:rPr>
      </w:pPr>
    </w:p>
    <w:p w14:paraId="683DACB4">
      <w:pPr>
        <w:rPr>
          <w:rFonts w:hint="eastAsia" w:ascii="宋体" w:hAnsi="宋体" w:eastAsia="宋体" w:cs="宋体"/>
          <w:color w:val="auto"/>
          <w:sz w:val="21"/>
          <w:szCs w:val="21"/>
          <w:highlight w:val="none"/>
        </w:rPr>
      </w:pPr>
    </w:p>
    <w:p w14:paraId="32D0D273">
      <w:pPr>
        <w:rPr>
          <w:rFonts w:hint="eastAsia" w:ascii="宋体" w:hAnsi="宋体" w:eastAsia="宋体" w:cs="宋体"/>
          <w:color w:val="auto"/>
          <w:sz w:val="21"/>
          <w:szCs w:val="21"/>
          <w:highlight w:val="none"/>
        </w:rPr>
      </w:pPr>
    </w:p>
    <w:p w14:paraId="543BF524">
      <w:pPr>
        <w:rPr>
          <w:rFonts w:hint="eastAsia" w:ascii="宋体" w:hAnsi="宋体" w:eastAsia="宋体" w:cs="宋体"/>
          <w:color w:val="auto"/>
          <w:sz w:val="21"/>
          <w:szCs w:val="21"/>
          <w:highlight w:val="none"/>
        </w:rPr>
      </w:pPr>
    </w:p>
    <w:p w14:paraId="559BA429">
      <w:pPr>
        <w:rPr>
          <w:rFonts w:hint="eastAsia" w:ascii="宋体" w:hAnsi="宋体" w:eastAsia="宋体" w:cs="宋体"/>
          <w:color w:val="auto"/>
          <w:sz w:val="21"/>
          <w:szCs w:val="21"/>
          <w:highlight w:val="none"/>
        </w:rPr>
      </w:pPr>
    </w:p>
    <w:p w14:paraId="61F097EF">
      <w:pPr>
        <w:rPr>
          <w:rFonts w:hint="eastAsia" w:ascii="宋体" w:hAnsi="宋体" w:eastAsia="宋体" w:cs="宋体"/>
          <w:color w:val="auto"/>
          <w:sz w:val="21"/>
          <w:szCs w:val="21"/>
          <w:highlight w:val="none"/>
        </w:rPr>
      </w:pPr>
    </w:p>
    <w:p w14:paraId="413B7A44">
      <w:pPr>
        <w:rPr>
          <w:rFonts w:hint="eastAsia" w:ascii="宋体" w:hAnsi="宋体" w:eastAsia="宋体" w:cs="宋体"/>
          <w:color w:val="auto"/>
          <w:sz w:val="21"/>
          <w:szCs w:val="21"/>
          <w:highlight w:val="none"/>
        </w:rPr>
      </w:pPr>
    </w:p>
    <w:p w14:paraId="03785F7D">
      <w:pPr>
        <w:rPr>
          <w:rFonts w:hint="eastAsia" w:ascii="宋体" w:hAnsi="宋体" w:eastAsia="宋体" w:cs="宋体"/>
          <w:color w:val="auto"/>
          <w:sz w:val="21"/>
          <w:szCs w:val="21"/>
          <w:highlight w:val="none"/>
        </w:rPr>
      </w:pPr>
    </w:p>
    <w:p w14:paraId="628AAA7E">
      <w:pPr>
        <w:rPr>
          <w:rFonts w:hint="eastAsia" w:ascii="宋体" w:hAnsi="宋体" w:eastAsia="宋体" w:cs="宋体"/>
          <w:color w:val="auto"/>
          <w:sz w:val="21"/>
          <w:szCs w:val="21"/>
          <w:highlight w:val="none"/>
        </w:rPr>
      </w:pPr>
    </w:p>
    <w:p w14:paraId="671EC77D">
      <w:pP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2985770</wp:posOffset>
                </wp:positionH>
                <wp:positionV relativeFrom="paragraph">
                  <wp:posOffset>163195</wp:posOffset>
                </wp:positionV>
                <wp:extent cx="2743200" cy="1771015"/>
                <wp:effectExtent l="4445" t="4445" r="14605" b="15240"/>
                <wp:wrapNone/>
                <wp:docPr id="6" name="文本框 7"/>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43EFD1">
                            <w:pPr>
                              <w:rPr>
                                <w:rFonts w:hint="eastAsia"/>
                              </w:rPr>
                            </w:pPr>
                          </w:p>
                          <w:p w14:paraId="6F97DEA8">
                            <w:pPr>
                              <w:jc w:val="center"/>
                              <w:rPr>
                                <w:rFonts w:hint="eastAsia" w:hAnsi="等线 Light"/>
                                <w:color w:val="FF0000"/>
                                <w:kern w:val="2"/>
                                <w:sz w:val="21"/>
                              </w:rPr>
                            </w:pPr>
                          </w:p>
                          <w:p w14:paraId="4A3F40C5">
                            <w:pPr>
                              <w:jc w:val="center"/>
                              <w:rPr>
                                <w:rFonts w:hint="eastAsia" w:hAnsi="等线 Light"/>
                                <w:color w:val="FF0000"/>
                                <w:kern w:val="2"/>
                                <w:sz w:val="21"/>
                              </w:rPr>
                            </w:pPr>
                          </w:p>
                          <w:p w14:paraId="4850896D">
                            <w:pPr>
                              <w:jc w:val="center"/>
                              <w:rPr>
                                <w:rFonts w:hint="eastAsia" w:hAnsi="等线 Light"/>
                                <w:color w:val="FF0000"/>
                                <w:kern w:val="2"/>
                                <w:sz w:val="21"/>
                              </w:rPr>
                            </w:pPr>
                          </w:p>
                          <w:p w14:paraId="7254184B">
                            <w:pPr>
                              <w:jc w:val="center"/>
                              <w:rPr>
                                <w:rFonts w:ascii="宋体" w:hAnsi="宋体"/>
                              </w:rPr>
                            </w:pPr>
                            <w:r>
                              <w:rPr>
                                <w:rFonts w:hint="eastAsia" w:ascii="宋体" w:hAnsi="宋体"/>
                                <w:kern w:val="2"/>
                                <w:sz w:val="21"/>
                              </w:rPr>
                              <w:t>被授权人身份证反面</w:t>
                            </w:r>
                          </w:p>
                          <w:p w14:paraId="116B520F">
                            <w:pPr>
                              <w:rPr>
                                <w:rFonts w:hint="eastAsia"/>
                              </w:rPr>
                            </w:pPr>
                          </w:p>
                          <w:p w14:paraId="306B7B71">
                            <w:pPr>
                              <w:rPr>
                                <w:rFonts w:hint="eastAsia"/>
                              </w:rPr>
                            </w:pPr>
                          </w:p>
                        </w:txbxContent>
                      </wps:txbx>
                      <wps:bodyPr upright="1"/>
                    </wps:wsp>
                  </a:graphicData>
                </a:graphic>
              </wp:anchor>
            </w:drawing>
          </mc:Choice>
          <mc:Fallback>
            <w:pict>
              <v:shape id="文本框 7" o:spid="_x0000_s1026" o:spt="202" type="#_x0000_t202" style="position:absolute;left:0pt;margin-left:235.1pt;margin-top:12.85pt;height:139.45pt;width:216pt;z-index:251664384;mso-width-relative:page;mso-height-relative:page;" fillcolor="#FFFFFF" filled="t" stroked="t" coordsize="21600,21600" o:gfxdata="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TB8QdoAAAAKAQAADwAAAAAAAAABACAA&#10;AAAiAAAAZHJzL2Rvd25yZXYueG1sUEsBAhQAFAAAAAgAh07iQGhEhc0LAgAANwQAAA4AAAAAAAAA&#10;AQAgAAAAKQEAAGRycy9lMm9Eb2MueG1sUEsFBgAAAAAGAAYAWQEAAKYFAAAAAA==&#10;">
                <v:fill on="t" focussize="0,0"/>
                <v:stroke color="#000000" joinstyle="miter"/>
                <v:imagedata o:title=""/>
                <o:lock v:ext="edit" aspectratio="f"/>
                <v:textbox>
                  <w:txbxContent>
                    <w:p w14:paraId="6D43EFD1">
                      <w:pPr>
                        <w:rPr>
                          <w:rFonts w:hint="eastAsia"/>
                        </w:rPr>
                      </w:pPr>
                    </w:p>
                    <w:p w14:paraId="6F97DEA8">
                      <w:pPr>
                        <w:jc w:val="center"/>
                        <w:rPr>
                          <w:rFonts w:hint="eastAsia" w:hAnsi="等线 Light"/>
                          <w:color w:val="FF0000"/>
                          <w:kern w:val="2"/>
                          <w:sz w:val="21"/>
                        </w:rPr>
                      </w:pPr>
                    </w:p>
                    <w:p w14:paraId="4A3F40C5">
                      <w:pPr>
                        <w:jc w:val="center"/>
                        <w:rPr>
                          <w:rFonts w:hint="eastAsia" w:hAnsi="等线 Light"/>
                          <w:color w:val="FF0000"/>
                          <w:kern w:val="2"/>
                          <w:sz w:val="21"/>
                        </w:rPr>
                      </w:pPr>
                    </w:p>
                    <w:p w14:paraId="4850896D">
                      <w:pPr>
                        <w:jc w:val="center"/>
                        <w:rPr>
                          <w:rFonts w:hint="eastAsia" w:hAnsi="等线 Light"/>
                          <w:color w:val="FF0000"/>
                          <w:kern w:val="2"/>
                          <w:sz w:val="21"/>
                        </w:rPr>
                      </w:pPr>
                    </w:p>
                    <w:p w14:paraId="7254184B">
                      <w:pPr>
                        <w:jc w:val="center"/>
                        <w:rPr>
                          <w:rFonts w:ascii="宋体" w:hAnsi="宋体"/>
                        </w:rPr>
                      </w:pPr>
                      <w:r>
                        <w:rPr>
                          <w:rFonts w:hint="eastAsia" w:ascii="宋体" w:hAnsi="宋体"/>
                          <w:kern w:val="2"/>
                          <w:sz w:val="21"/>
                        </w:rPr>
                        <w:t>被授权人身份证反面</w:t>
                      </w:r>
                    </w:p>
                    <w:p w14:paraId="116B520F">
                      <w:pPr>
                        <w:rPr>
                          <w:rFonts w:hint="eastAsia"/>
                        </w:rPr>
                      </w:pPr>
                    </w:p>
                    <w:p w14:paraId="306B7B71">
                      <w:pPr>
                        <w:rPr>
                          <w:rFonts w:hint="eastAsia"/>
                        </w:rPr>
                      </w:pPr>
                    </w:p>
                  </w:txbxContent>
                </v:textbox>
              </v:shape>
            </w:pict>
          </mc:Fallback>
        </mc:AlternateContent>
      </w: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13970</wp:posOffset>
                </wp:positionH>
                <wp:positionV relativeFrom="paragraph">
                  <wp:posOffset>163195</wp:posOffset>
                </wp:positionV>
                <wp:extent cx="2743200" cy="1771015"/>
                <wp:effectExtent l="4445" t="4445" r="14605" b="15240"/>
                <wp:wrapNone/>
                <wp:docPr id="5" name="文本框 6"/>
                <wp:cNvGraphicFramePr/>
                <a:graphic xmlns:a="http://schemas.openxmlformats.org/drawingml/2006/main">
                  <a:graphicData uri="http://schemas.microsoft.com/office/word/2010/wordprocessingShape">
                    <wps:wsp>
                      <wps:cNvSpPr txBox="1"/>
                      <wps:spPr>
                        <a:xfrm>
                          <a:off x="0" y="0"/>
                          <a:ext cx="2743200" cy="17710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D1FB84">
                            <w:pPr>
                              <w:rPr>
                                <w:rFonts w:hint="eastAsia"/>
                              </w:rPr>
                            </w:pPr>
                          </w:p>
                          <w:p w14:paraId="3F27222F">
                            <w:pPr>
                              <w:jc w:val="center"/>
                              <w:rPr>
                                <w:rFonts w:hint="eastAsia" w:hAnsi="等线 Light"/>
                                <w:color w:val="FF0000"/>
                                <w:kern w:val="2"/>
                                <w:sz w:val="21"/>
                              </w:rPr>
                            </w:pPr>
                          </w:p>
                          <w:p w14:paraId="71FB0AE4">
                            <w:pPr>
                              <w:jc w:val="center"/>
                              <w:rPr>
                                <w:rFonts w:hint="eastAsia" w:hAnsi="等线 Light"/>
                                <w:color w:val="FF0000"/>
                                <w:kern w:val="2"/>
                                <w:sz w:val="21"/>
                              </w:rPr>
                            </w:pPr>
                          </w:p>
                          <w:p w14:paraId="5705120A">
                            <w:pPr>
                              <w:jc w:val="center"/>
                              <w:rPr>
                                <w:rFonts w:hint="eastAsia" w:hAnsi="等线 Light"/>
                                <w:color w:val="FF0000"/>
                                <w:kern w:val="2"/>
                                <w:sz w:val="21"/>
                              </w:rPr>
                            </w:pPr>
                          </w:p>
                          <w:p w14:paraId="2093EDA5">
                            <w:pPr>
                              <w:jc w:val="center"/>
                              <w:rPr>
                                <w:rFonts w:ascii="宋体" w:hAnsi="宋体"/>
                              </w:rPr>
                            </w:pPr>
                            <w:r>
                              <w:rPr>
                                <w:rFonts w:hint="eastAsia" w:ascii="宋体" w:hAnsi="宋体"/>
                                <w:kern w:val="2"/>
                                <w:sz w:val="21"/>
                              </w:rPr>
                              <w:t>被授权人身份证正面</w:t>
                            </w:r>
                          </w:p>
                          <w:p w14:paraId="27B90E09">
                            <w:pPr>
                              <w:rPr>
                                <w:rFonts w:hint="eastAsia"/>
                              </w:rPr>
                            </w:pPr>
                          </w:p>
                          <w:p w14:paraId="5DA1EA50">
                            <w:pPr>
                              <w:rPr>
                                <w:rFonts w:hint="eastAsia"/>
                              </w:rPr>
                            </w:pPr>
                          </w:p>
                        </w:txbxContent>
                      </wps:txbx>
                      <wps:bodyPr upright="1"/>
                    </wps:wsp>
                  </a:graphicData>
                </a:graphic>
              </wp:anchor>
            </w:drawing>
          </mc:Choice>
          <mc:Fallback>
            <w:pict>
              <v:shape id="文本框 6" o:spid="_x0000_s1026" o:spt="202" type="#_x0000_t202" style="position:absolute;left:0pt;margin-left:1.1pt;margin-top:12.85pt;height:139.45pt;width:216pt;z-index:251665408;mso-width-relative:page;mso-height-relative:page;" fillcolor="#FFFFFF" filled="t" stroked="t" coordsize="21600,21600" o:gfxdata="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oHZfjYAAAACAEAAA8AAAAAAAAAAQAgAAAA&#10;IgAAAGRycy9kb3ducmV2LnhtbFBLAQIUABQAAAAIAIdO4kBFJZdYCwIAADcEAAAOAAAAAAAAAAEA&#10;IAAAACcBAABkcnMvZTJvRG9jLnhtbFBLBQYAAAAABgAGAFkBAACkBQAAAAA=&#10;">
                <v:fill on="t" focussize="0,0"/>
                <v:stroke color="#000000" joinstyle="miter"/>
                <v:imagedata o:title=""/>
                <o:lock v:ext="edit" aspectratio="f"/>
                <v:textbox>
                  <w:txbxContent>
                    <w:p w14:paraId="5ED1FB84">
                      <w:pPr>
                        <w:rPr>
                          <w:rFonts w:hint="eastAsia"/>
                        </w:rPr>
                      </w:pPr>
                    </w:p>
                    <w:p w14:paraId="3F27222F">
                      <w:pPr>
                        <w:jc w:val="center"/>
                        <w:rPr>
                          <w:rFonts w:hint="eastAsia" w:hAnsi="等线 Light"/>
                          <w:color w:val="FF0000"/>
                          <w:kern w:val="2"/>
                          <w:sz w:val="21"/>
                        </w:rPr>
                      </w:pPr>
                    </w:p>
                    <w:p w14:paraId="71FB0AE4">
                      <w:pPr>
                        <w:jc w:val="center"/>
                        <w:rPr>
                          <w:rFonts w:hint="eastAsia" w:hAnsi="等线 Light"/>
                          <w:color w:val="FF0000"/>
                          <w:kern w:val="2"/>
                          <w:sz w:val="21"/>
                        </w:rPr>
                      </w:pPr>
                    </w:p>
                    <w:p w14:paraId="5705120A">
                      <w:pPr>
                        <w:jc w:val="center"/>
                        <w:rPr>
                          <w:rFonts w:hint="eastAsia" w:hAnsi="等线 Light"/>
                          <w:color w:val="FF0000"/>
                          <w:kern w:val="2"/>
                          <w:sz w:val="21"/>
                        </w:rPr>
                      </w:pPr>
                    </w:p>
                    <w:p w14:paraId="2093EDA5">
                      <w:pPr>
                        <w:jc w:val="center"/>
                        <w:rPr>
                          <w:rFonts w:ascii="宋体" w:hAnsi="宋体"/>
                        </w:rPr>
                      </w:pPr>
                      <w:r>
                        <w:rPr>
                          <w:rFonts w:hint="eastAsia" w:ascii="宋体" w:hAnsi="宋体"/>
                          <w:kern w:val="2"/>
                          <w:sz w:val="21"/>
                        </w:rPr>
                        <w:t>被授权人身份证正面</w:t>
                      </w:r>
                    </w:p>
                    <w:p w14:paraId="27B90E09">
                      <w:pPr>
                        <w:rPr>
                          <w:rFonts w:hint="eastAsia"/>
                        </w:rPr>
                      </w:pPr>
                    </w:p>
                    <w:p w14:paraId="5DA1EA50">
                      <w:pPr>
                        <w:rPr>
                          <w:rFonts w:hint="eastAsia"/>
                        </w:rPr>
                      </w:pPr>
                    </w:p>
                  </w:txbxContent>
                </v:textbox>
              </v:shape>
            </w:pict>
          </mc:Fallback>
        </mc:AlternateContent>
      </w:r>
    </w:p>
    <w:p w14:paraId="60B13698">
      <w:pPr>
        <w:pStyle w:val="73"/>
        <w:rPr>
          <w:rFonts w:hint="eastAsia" w:ascii="宋体" w:hAnsi="宋体" w:eastAsia="宋体" w:cs="宋体"/>
          <w:color w:val="auto"/>
          <w:sz w:val="21"/>
          <w:szCs w:val="21"/>
          <w:highlight w:val="none"/>
        </w:rPr>
      </w:pPr>
    </w:p>
    <w:p w14:paraId="2982A75F">
      <w:pPr>
        <w:pStyle w:val="73"/>
        <w:rPr>
          <w:rFonts w:hint="eastAsia" w:ascii="宋体" w:hAnsi="宋体" w:eastAsia="宋体" w:cs="宋体"/>
          <w:color w:val="auto"/>
          <w:sz w:val="21"/>
          <w:szCs w:val="21"/>
          <w:highlight w:val="none"/>
        </w:rPr>
      </w:pPr>
    </w:p>
    <w:p w14:paraId="0844457B">
      <w:pPr>
        <w:pStyle w:val="73"/>
        <w:rPr>
          <w:rFonts w:hint="eastAsia" w:ascii="宋体" w:hAnsi="宋体" w:eastAsia="宋体" w:cs="宋体"/>
          <w:color w:val="auto"/>
          <w:sz w:val="21"/>
          <w:szCs w:val="21"/>
          <w:highlight w:val="none"/>
        </w:rPr>
      </w:pPr>
    </w:p>
    <w:p w14:paraId="37DA73B9">
      <w:pPr>
        <w:pStyle w:val="73"/>
        <w:rPr>
          <w:rFonts w:hint="eastAsia" w:ascii="宋体" w:hAnsi="宋体" w:eastAsia="宋体" w:cs="宋体"/>
          <w:color w:val="auto"/>
          <w:sz w:val="21"/>
          <w:szCs w:val="21"/>
          <w:highlight w:val="none"/>
        </w:rPr>
      </w:pPr>
    </w:p>
    <w:p w14:paraId="7622C851">
      <w:pPr>
        <w:pStyle w:val="73"/>
        <w:rPr>
          <w:rFonts w:hint="eastAsia" w:ascii="宋体" w:hAnsi="宋体" w:eastAsia="宋体" w:cs="宋体"/>
          <w:color w:val="auto"/>
          <w:sz w:val="21"/>
          <w:szCs w:val="21"/>
          <w:highlight w:val="none"/>
        </w:rPr>
      </w:pPr>
    </w:p>
    <w:p w14:paraId="36BE8D33">
      <w:pPr>
        <w:pStyle w:val="73"/>
        <w:rPr>
          <w:rFonts w:hint="eastAsia" w:ascii="宋体" w:hAnsi="宋体" w:eastAsia="宋体" w:cs="宋体"/>
          <w:color w:val="auto"/>
          <w:sz w:val="21"/>
          <w:szCs w:val="21"/>
          <w:highlight w:val="none"/>
        </w:rPr>
      </w:pPr>
    </w:p>
    <w:p w14:paraId="12E79D27">
      <w:pPr>
        <w:pStyle w:val="73"/>
        <w:rPr>
          <w:rFonts w:hint="eastAsia" w:ascii="宋体" w:hAnsi="宋体" w:eastAsia="宋体" w:cs="宋体"/>
          <w:color w:val="auto"/>
          <w:sz w:val="21"/>
          <w:szCs w:val="21"/>
          <w:highlight w:val="none"/>
        </w:rPr>
      </w:pPr>
    </w:p>
    <w:p w14:paraId="539248ED">
      <w:pPr>
        <w:pStyle w:val="73"/>
        <w:rPr>
          <w:rFonts w:hint="eastAsia" w:ascii="宋体" w:hAnsi="宋体" w:eastAsia="宋体" w:cs="宋体"/>
          <w:color w:val="auto"/>
          <w:sz w:val="21"/>
          <w:szCs w:val="21"/>
          <w:highlight w:val="none"/>
        </w:rPr>
      </w:pPr>
    </w:p>
    <w:p w14:paraId="5810B79E">
      <w:pPr>
        <w:pStyle w:val="73"/>
        <w:rPr>
          <w:rFonts w:hint="eastAsia" w:ascii="宋体" w:hAnsi="宋体" w:eastAsia="宋体" w:cs="宋体"/>
          <w:color w:val="auto"/>
          <w:sz w:val="21"/>
          <w:szCs w:val="21"/>
          <w:highlight w:val="none"/>
        </w:rPr>
      </w:pPr>
    </w:p>
    <w:p w14:paraId="5B3F38E7">
      <w:pPr>
        <w:pStyle w:val="73"/>
        <w:rPr>
          <w:rFonts w:hint="eastAsia" w:ascii="宋体" w:hAnsi="宋体" w:eastAsia="宋体" w:cs="宋体"/>
          <w:color w:val="auto"/>
          <w:sz w:val="21"/>
          <w:szCs w:val="21"/>
          <w:highlight w:val="none"/>
        </w:rPr>
      </w:pPr>
    </w:p>
    <w:p w14:paraId="2ED0A03E">
      <w:pPr>
        <w:pStyle w:val="73"/>
        <w:rPr>
          <w:rFonts w:hint="eastAsia" w:ascii="宋体" w:hAnsi="宋体" w:eastAsia="宋体" w:cs="宋体"/>
          <w:color w:val="auto"/>
          <w:sz w:val="21"/>
          <w:szCs w:val="21"/>
          <w:highlight w:val="none"/>
        </w:rPr>
      </w:pPr>
    </w:p>
    <w:p w14:paraId="008387B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firstLine="0"/>
        <w:textAlignment w:val="auto"/>
        <w:outlineLvl w:val="9"/>
        <w:rPr>
          <w:rFonts w:hint="eastAsia" w:ascii="宋体" w:hAnsi="宋体" w:eastAsia="宋体" w:cs="宋体"/>
          <w:b/>
          <w:color w:val="auto"/>
          <w:sz w:val="21"/>
          <w:szCs w:val="21"/>
          <w:highlight w:val="none"/>
        </w:rPr>
      </w:pPr>
      <w:bookmarkStart w:id="344" w:name="_Toc522047384"/>
      <w:bookmarkStart w:id="345" w:name="_Toc519153443"/>
      <w:bookmarkStart w:id="346" w:name="_Toc521918125"/>
      <w:bookmarkStart w:id="347" w:name="_Toc521576304"/>
      <w:bookmarkStart w:id="348" w:name="_Toc521918322"/>
      <w:bookmarkStart w:id="349" w:name="_Toc490169465"/>
      <w:bookmarkStart w:id="350" w:name="_Toc495907135"/>
      <w:r>
        <w:rPr>
          <w:rFonts w:hint="eastAsia" w:ascii="宋体" w:hAnsi="宋体" w:eastAsia="宋体" w:cs="宋体"/>
          <w:b/>
          <w:color w:val="auto"/>
          <w:sz w:val="21"/>
          <w:szCs w:val="21"/>
          <w:highlight w:val="none"/>
        </w:rPr>
        <w:t>注：上述身份证须在有效期限内。</w:t>
      </w:r>
    </w:p>
    <w:p w14:paraId="499799EA">
      <w:pPr>
        <w:tabs>
          <w:tab w:val="left" w:pos="567"/>
        </w:tabs>
        <w:spacing w:line="360" w:lineRule="auto"/>
        <w:ind w:left="567" w:hanging="567"/>
        <w:outlineLvl w:val="2"/>
        <w:rPr>
          <w:rFonts w:hint="eastAsia" w:ascii="宋体" w:hAnsi="宋体" w:eastAsia="宋体" w:cs="宋体"/>
          <w:b/>
          <w:color w:val="auto"/>
          <w:sz w:val="21"/>
          <w:szCs w:val="21"/>
          <w:highlight w:val="none"/>
        </w:rPr>
        <w:sectPr>
          <w:headerReference r:id="rId14" w:type="first"/>
          <w:footerReference r:id="rId16" w:type="first"/>
          <w:footerReference r:id="rId15" w:type="default"/>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4"/>
    <w:bookmarkEnd w:id="345"/>
    <w:bookmarkEnd w:id="346"/>
    <w:bookmarkEnd w:id="347"/>
    <w:bookmarkEnd w:id="348"/>
    <w:p w14:paraId="71212799">
      <w:pPr>
        <w:pageBreakBefore/>
        <w:spacing w:line="360" w:lineRule="auto"/>
        <w:outlineLvl w:val="9"/>
        <w:rPr>
          <w:rFonts w:hint="eastAsia" w:ascii="宋体" w:hAnsi="宋体" w:eastAsia="宋体" w:cs="宋体"/>
          <w:b/>
          <w:color w:val="auto"/>
          <w:sz w:val="30"/>
          <w:szCs w:val="30"/>
          <w:lang w:val="en-US" w:eastAsia="zh-CN"/>
        </w:rPr>
      </w:pPr>
      <w:bookmarkStart w:id="351" w:name="_Toc12400"/>
      <w:bookmarkStart w:id="352" w:name="_Toc15716"/>
      <w:bookmarkStart w:id="353" w:name="_Toc32328"/>
      <w:r>
        <w:rPr>
          <w:rFonts w:hint="eastAsia" w:ascii="宋体" w:hAnsi="宋体" w:eastAsia="宋体" w:cs="宋体"/>
          <w:b/>
          <w:color w:val="auto"/>
          <w:sz w:val="30"/>
          <w:szCs w:val="30"/>
        </w:rPr>
        <w:t xml:space="preserve">5.4 </w:t>
      </w:r>
      <w:r>
        <w:rPr>
          <w:rFonts w:hint="eastAsia" w:ascii="宋体" w:hAnsi="宋体" w:eastAsia="宋体" w:cs="宋体"/>
          <w:b/>
          <w:bCs/>
          <w:color w:val="auto"/>
          <w:kern w:val="2"/>
          <w:sz w:val="32"/>
          <w:szCs w:val="32"/>
        </w:rPr>
        <w:t>资格业绩</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供应商</w:t>
      </w:r>
      <w:r>
        <w:rPr>
          <w:rFonts w:hint="eastAsia" w:ascii="宋体" w:hAnsi="宋体" w:eastAsia="宋体" w:cs="宋体"/>
          <w:b/>
          <w:bCs/>
          <w:color w:val="auto"/>
          <w:sz w:val="32"/>
          <w:szCs w:val="32"/>
        </w:rPr>
        <w:t>提供</w:t>
      </w:r>
      <w:r>
        <w:rPr>
          <w:rFonts w:hint="eastAsia" w:ascii="宋体" w:hAnsi="宋体" w:eastAsia="宋体" w:cs="宋体"/>
          <w:b/>
          <w:bCs/>
          <w:color w:val="auto"/>
          <w:sz w:val="32"/>
          <w:szCs w:val="32"/>
          <w:lang w:val="en-US" w:eastAsia="zh-CN"/>
        </w:rPr>
        <w:t>一项</w:t>
      </w: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年1月1日以来具有生活污水处理厂污泥脱水减量化处理服务业绩（合同签订日期为20</w:t>
      </w:r>
      <w:r>
        <w:rPr>
          <w:rFonts w:hint="eastAsia" w:ascii="宋体" w:hAnsi="宋体" w:eastAsia="宋体" w:cs="宋体"/>
          <w:b/>
          <w:bCs/>
          <w:color w:val="auto"/>
          <w:sz w:val="32"/>
          <w:szCs w:val="32"/>
          <w:lang w:val="en-US" w:eastAsia="zh-CN"/>
        </w:rPr>
        <w:t>19</w:t>
      </w:r>
      <w:r>
        <w:rPr>
          <w:rFonts w:hint="eastAsia" w:ascii="宋体" w:hAnsi="宋体" w:eastAsia="宋体" w:cs="宋体"/>
          <w:b/>
          <w:bCs/>
          <w:color w:val="auto"/>
          <w:sz w:val="32"/>
          <w:szCs w:val="32"/>
        </w:rPr>
        <w:t>年1月1日或以后）</w:t>
      </w:r>
      <w:bookmarkEnd w:id="351"/>
      <w:bookmarkEnd w:id="352"/>
      <w:bookmarkEnd w:id="353"/>
      <w:r>
        <w:rPr>
          <w:rFonts w:hint="eastAsia" w:ascii="宋体" w:hAnsi="宋体" w:eastAsia="宋体" w:cs="宋体"/>
          <w:b/>
          <w:bCs/>
          <w:color w:val="auto"/>
          <w:sz w:val="32"/>
          <w:szCs w:val="32"/>
          <w:lang w:eastAsia="zh-CN"/>
        </w:rPr>
        <w:t>】</w:t>
      </w:r>
    </w:p>
    <w:p w14:paraId="447EE553">
      <w:pPr>
        <w:spacing w:line="360" w:lineRule="auto"/>
        <w:outlineLvl w:val="9"/>
        <w:rPr>
          <w:rFonts w:hint="eastAsia" w:ascii="宋体" w:hAnsi="宋体" w:eastAsia="宋体" w:cs="宋体"/>
          <w:b/>
          <w:color w:val="FF0000"/>
          <w:szCs w:val="21"/>
          <w:lang w:val="zh-CN"/>
        </w:rPr>
      </w:pPr>
    </w:p>
    <w:tbl>
      <w:tblPr>
        <w:tblStyle w:val="55"/>
        <w:tblW w:w="503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42"/>
        <w:gridCol w:w="1114"/>
        <w:gridCol w:w="2924"/>
        <w:gridCol w:w="1195"/>
        <w:gridCol w:w="1294"/>
        <w:gridCol w:w="2089"/>
      </w:tblGrid>
      <w:tr w14:paraId="44180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62089ACD">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587" w:type="pct"/>
            <w:tcBorders>
              <w:top w:val="single" w:color="auto" w:sz="4" w:space="0"/>
              <w:left w:val="single" w:color="auto" w:sz="4" w:space="0"/>
              <w:bottom w:val="single" w:color="auto" w:sz="4" w:space="0"/>
              <w:right w:val="single" w:color="auto" w:sz="4" w:space="0"/>
            </w:tcBorders>
            <w:vAlign w:val="center"/>
          </w:tcPr>
          <w:p w14:paraId="38E9A70B">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1541" w:type="pct"/>
            <w:tcBorders>
              <w:top w:val="single" w:color="auto" w:sz="4" w:space="0"/>
              <w:left w:val="single" w:color="auto" w:sz="4" w:space="0"/>
              <w:bottom w:val="single" w:color="auto" w:sz="4" w:space="0"/>
              <w:right w:val="single" w:color="auto" w:sz="4" w:space="0"/>
            </w:tcBorders>
            <w:vAlign w:val="center"/>
          </w:tcPr>
          <w:p w14:paraId="5BBE22FA">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630" w:type="pct"/>
            <w:tcBorders>
              <w:top w:val="single" w:color="auto" w:sz="4" w:space="0"/>
              <w:left w:val="single" w:color="auto" w:sz="4" w:space="0"/>
              <w:bottom w:val="single" w:color="auto" w:sz="4" w:space="0"/>
              <w:right w:val="single" w:color="auto" w:sz="4" w:space="0"/>
            </w:tcBorders>
            <w:vAlign w:val="center"/>
          </w:tcPr>
          <w:p w14:paraId="386D64F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682" w:type="pct"/>
            <w:tcBorders>
              <w:top w:val="single" w:color="auto" w:sz="4" w:space="0"/>
              <w:left w:val="single" w:color="auto" w:sz="4" w:space="0"/>
              <w:bottom w:val="single" w:color="auto" w:sz="4" w:space="0"/>
              <w:right w:val="single" w:color="auto" w:sz="4" w:space="0"/>
            </w:tcBorders>
            <w:vAlign w:val="center"/>
          </w:tcPr>
          <w:p w14:paraId="290E7ACA">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1101" w:type="pct"/>
            <w:tcBorders>
              <w:top w:val="single" w:color="auto" w:sz="4" w:space="0"/>
              <w:left w:val="single" w:color="auto" w:sz="4" w:space="0"/>
              <w:bottom w:val="single" w:color="auto" w:sz="4" w:space="0"/>
              <w:right w:val="single" w:color="auto" w:sz="4" w:space="0"/>
            </w:tcBorders>
            <w:vAlign w:val="center"/>
          </w:tcPr>
          <w:p w14:paraId="0D5CCE9F">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0E928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70E62B1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587" w:type="pct"/>
            <w:tcBorders>
              <w:top w:val="single" w:color="auto" w:sz="4" w:space="0"/>
              <w:left w:val="single" w:color="auto" w:sz="4" w:space="0"/>
              <w:bottom w:val="single" w:color="auto" w:sz="4" w:space="0"/>
              <w:right w:val="single" w:color="auto" w:sz="4" w:space="0"/>
            </w:tcBorders>
            <w:vAlign w:val="center"/>
          </w:tcPr>
          <w:p w14:paraId="44A40050">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7BA2040A">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383BAB3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505FA7B1">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60CB070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75128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517B839E">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587" w:type="pct"/>
            <w:tcBorders>
              <w:top w:val="single" w:color="auto" w:sz="4" w:space="0"/>
              <w:left w:val="single" w:color="auto" w:sz="4" w:space="0"/>
              <w:bottom w:val="single" w:color="auto" w:sz="4" w:space="0"/>
              <w:right w:val="single" w:color="auto" w:sz="4" w:space="0"/>
            </w:tcBorders>
            <w:vAlign w:val="center"/>
          </w:tcPr>
          <w:p w14:paraId="7C23E69C">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541" w:type="pct"/>
            <w:tcBorders>
              <w:top w:val="single" w:color="auto" w:sz="4" w:space="0"/>
              <w:left w:val="single" w:color="auto" w:sz="4" w:space="0"/>
              <w:bottom w:val="single" w:color="auto" w:sz="4" w:space="0"/>
              <w:right w:val="single" w:color="auto" w:sz="4" w:space="0"/>
            </w:tcBorders>
            <w:vAlign w:val="center"/>
          </w:tcPr>
          <w:p w14:paraId="072B25CA">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30" w:type="pct"/>
            <w:tcBorders>
              <w:top w:val="single" w:color="auto" w:sz="4" w:space="0"/>
              <w:left w:val="single" w:color="auto" w:sz="4" w:space="0"/>
              <w:bottom w:val="single" w:color="auto" w:sz="4" w:space="0"/>
              <w:right w:val="single" w:color="auto" w:sz="4" w:space="0"/>
            </w:tcBorders>
            <w:vAlign w:val="center"/>
          </w:tcPr>
          <w:p w14:paraId="4F0441F6">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82" w:type="pct"/>
            <w:tcBorders>
              <w:top w:val="single" w:color="auto" w:sz="4" w:space="0"/>
              <w:left w:val="single" w:color="auto" w:sz="4" w:space="0"/>
              <w:bottom w:val="single" w:color="auto" w:sz="4" w:space="0"/>
              <w:right w:val="single" w:color="auto" w:sz="4" w:space="0"/>
            </w:tcBorders>
            <w:vAlign w:val="center"/>
          </w:tcPr>
          <w:p w14:paraId="047F7ACB">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1101" w:type="pct"/>
            <w:tcBorders>
              <w:top w:val="single" w:color="auto" w:sz="4" w:space="0"/>
              <w:left w:val="single" w:color="auto" w:sz="4" w:space="0"/>
              <w:bottom w:val="single" w:color="auto" w:sz="4" w:space="0"/>
              <w:right w:val="single" w:color="auto" w:sz="4" w:space="0"/>
            </w:tcBorders>
            <w:vAlign w:val="center"/>
          </w:tcPr>
          <w:p w14:paraId="08552E17">
            <w:pPr>
              <w:keepNext w:val="0"/>
              <w:keepLines w:val="0"/>
              <w:suppressLineNumbers w:val="0"/>
              <w:spacing w:before="0" w:beforeAutospacing="0" w:after="0" w:afterAutospacing="0"/>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2FDA2616">
      <w:pPr>
        <w:spacing w:line="360" w:lineRule="auto"/>
        <w:ind w:left="424" w:hanging="484" w:hangingChars="201"/>
        <w:outlineLvl w:val="9"/>
        <w:rPr>
          <w:rFonts w:hint="eastAsia" w:ascii="宋体" w:hAnsi="宋体" w:eastAsia="宋体" w:cs="宋体"/>
          <w:b/>
          <w:color w:val="FF0000"/>
          <w:szCs w:val="21"/>
          <w:lang w:val="zh-CN"/>
        </w:rPr>
      </w:pPr>
    </w:p>
    <w:p w14:paraId="6D5B96C4">
      <w:pPr>
        <w:spacing w:line="360" w:lineRule="auto"/>
        <w:ind w:left="424" w:hanging="424" w:hangingChars="201"/>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资格业绩证明材料提交要求：</w:t>
      </w:r>
    </w:p>
    <w:p w14:paraId="37CEBC4C">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（1）作为</w:t>
      </w: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val="zh-CN"/>
        </w:rPr>
        <w:t>资格条件证明的业绩放置在此处。</w:t>
      </w:r>
    </w:p>
    <w:p w14:paraId="5036CD7C">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（2）业绩必须附合同复印件。若合同无法反映合同签订时间、合同服务内容的，还需提供服务购买方出具的书面补充情况说明文件复印件作为辅助证明。</w:t>
      </w:r>
    </w:p>
    <w:p w14:paraId="73E1BE02">
      <w:pPr>
        <w:tabs>
          <w:tab w:val="left" w:pos="567"/>
        </w:tabs>
        <w:autoSpaceDE w:val="0"/>
        <w:autoSpaceDN w:val="0"/>
        <w:adjustRightInd w:val="0"/>
        <w:spacing w:line="360" w:lineRule="auto"/>
        <w:jc w:val="left"/>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（3）合同业绩证明材料必须满足下列条件：①合同签订日期为20</w:t>
      </w:r>
      <w:r>
        <w:rPr>
          <w:rFonts w:hint="eastAsia" w:ascii="宋体" w:hAnsi="宋体" w:eastAsia="宋体" w:cs="宋体"/>
          <w:b/>
          <w:color w:val="auto"/>
          <w:sz w:val="21"/>
          <w:szCs w:val="21"/>
          <w:lang w:val="en-US" w:eastAsia="zh-CN"/>
        </w:rPr>
        <w:t>19</w:t>
      </w:r>
      <w:r>
        <w:rPr>
          <w:rFonts w:hint="eastAsia" w:ascii="宋体" w:hAnsi="宋体" w:eastAsia="宋体" w:cs="宋体"/>
          <w:b/>
          <w:color w:val="auto"/>
          <w:sz w:val="21"/>
          <w:szCs w:val="21"/>
          <w:lang w:val="zh-CN"/>
        </w:rPr>
        <w:t>年1月1日或以后；②合同服务内容为生活污水处理厂污泥脱水减量化处理服务。</w:t>
      </w:r>
    </w:p>
    <w:p w14:paraId="1C3A2444">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4</w:t>
      </w:r>
      <w:r>
        <w:rPr>
          <w:rFonts w:hint="eastAsia" w:ascii="宋体" w:hAnsi="宋体" w:eastAsia="宋体" w:cs="宋体"/>
          <w:b/>
          <w:color w:val="auto"/>
          <w:sz w:val="21"/>
          <w:szCs w:val="21"/>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lang w:val="en-US" w:eastAsia="zh-CN"/>
        </w:rPr>
        <w:t>响应</w:t>
      </w:r>
      <w:r>
        <w:rPr>
          <w:rFonts w:hint="eastAsia" w:ascii="宋体" w:hAnsi="宋体" w:eastAsia="宋体" w:cs="宋体"/>
          <w:b/>
          <w:color w:val="auto"/>
          <w:sz w:val="21"/>
          <w:szCs w:val="21"/>
          <w:lang w:val="zh-CN"/>
        </w:rPr>
        <w:t>文件处理。</w:t>
      </w:r>
    </w:p>
    <w:p w14:paraId="16847BEE">
      <w:pPr>
        <w:tabs>
          <w:tab w:val="left" w:pos="567"/>
        </w:tabs>
        <w:rPr>
          <w:rFonts w:hint="eastAsia" w:ascii="宋体" w:hAnsi="宋体" w:eastAsia="宋体" w:cs="宋体"/>
          <w:color w:val="auto"/>
          <w:highlight w:val="none"/>
        </w:rPr>
      </w:pPr>
    </w:p>
    <w:p w14:paraId="784285E0">
      <w:pPr>
        <w:pStyle w:val="73"/>
        <w:rPr>
          <w:rFonts w:hint="eastAsia"/>
          <w:color w:val="auto"/>
          <w:highlight w:val="none"/>
        </w:rPr>
      </w:pPr>
    </w:p>
    <w:p w14:paraId="43D23085">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sz w:val="32"/>
          <w:szCs w:val="32"/>
          <w:lang w:val="zh-CN"/>
        </w:rPr>
      </w:pPr>
      <w:bookmarkStart w:id="354" w:name="_Toc521918324"/>
      <w:bookmarkStart w:id="355" w:name="_Toc7508"/>
      <w:bookmarkStart w:id="356" w:name="_Toc19008830"/>
      <w:bookmarkStart w:id="357" w:name="_Toc5098074"/>
      <w:bookmarkStart w:id="358" w:name="_Toc54334012"/>
      <w:bookmarkStart w:id="359" w:name="_Toc38982595"/>
      <w:bookmarkStart w:id="360" w:name="_Toc21843"/>
      <w:bookmarkStart w:id="361" w:name="_Toc1123957"/>
      <w:bookmarkStart w:id="362" w:name="_Toc521576306"/>
      <w:bookmarkStart w:id="363" w:name="_Toc8121"/>
      <w:bookmarkStart w:id="364" w:name="_Toc56076629"/>
      <w:bookmarkStart w:id="365" w:name="_Toc521918127"/>
      <w:bookmarkStart w:id="366" w:name="_Toc79146603"/>
      <w:bookmarkStart w:id="367" w:name="_Toc40288704"/>
      <w:bookmarkStart w:id="368" w:name="_Toc532576770"/>
      <w:bookmarkStart w:id="369" w:name="_Toc522047386"/>
      <w:r>
        <w:rPr>
          <w:rFonts w:hint="eastAsia" w:ascii="宋体" w:hAnsi="宋体" w:eastAsia="宋体" w:cs="宋体"/>
          <w:b/>
          <w:kern w:val="0"/>
          <w:sz w:val="30"/>
          <w:szCs w:val="30"/>
        </w:rPr>
        <w:t>5.5 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牵涉的其他（失信和违法）处罚说明格式</w:t>
      </w:r>
    </w:p>
    <w:p w14:paraId="74F9F01B">
      <w:pPr>
        <w:autoSpaceDE w:val="0"/>
        <w:autoSpaceDN w:val="0"/>
        <w:adjustRightInd w:val="0"/>
        <w:spacing w:line="360" w:lineRule="auto"/>
        <w:jc w:val="center"/>
        <w:outlineLvl w:val="9"/>
        <w:rPr>
          <w:rFonts w:hint="eastAsia" w:ascii="宋体" w:hAnsi="宋体" w:eastAsia="宋体" w:cs="宋体"/>
          <w:kern w:val="0"/>
          <w:sz w:val="24"/>
          <w:szCs w:val="24"/>
        </w:rPr>
      </w:pPr>
      <w:r>
        <w:rPr>
          <w:rFonts w:hint="eastAsia" w:ascii="宋体" w:hAnsi="宋体" w:eastAsia="宋体" w:cs="宋体"/>
          <w:b/>
          <w:kern w:val="0"/>
          <w:sz w:val="30"/>
          <w:szCs w:val="30"/>
        </w:rPr>
        <w:t>最近3年</w:t>
      </w:r>
      <w:r>
        <w:rPr>
          <w:rFonts w:hint="eastAsia" w:ascii="宋体" w:hAnsi="宋体" w:eastAsia="宋体" w:cs="宋体"/>
          <w:b/>
          <w:kern w:val="0"/>
          <w:sz w:val="30"/>
          <w:szCs w:val="30"/>
          <w:lang w:val="en-US" w:eastAsia="zh-CN"/>
        </w:rPr>
        <w:t>供应商</w:t>
      </w:r>
      <w:r>
        <w:rPr>
          <w:rFonts w:hint="eastAsia" w:ascii="宋体" w:hAnsi="宋体" w:eastAsia="宋体" w:cs="宋体"/>
          <w:b/>
          <w:kern w:val="0"/>
          <w:sz w:val="30"/>
          <w:szCs w:val="30"/>
        </w:rPr>
        <w:t>牵涉的其他（失信和违法）</w:t>
      </w:r>
      <w:r>
        <w:rPr>
          <w:rFonts w:hint="eastAsia" w:ascii="宋体" w:hAnsi="宋体" w:eastAsia="宋体" w:cs="宋体"/>
          <w:b/>
          <w:bCs/>
          <w:sz w:val="32"/>
          <w:szCs w:val="32"/>
          <w:lang w:val="zh-CN"/>
        </w:rPr>
        <w:t>处罚说明</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1AF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97E70B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 xml:space="preserve">         事项名称</w:t>
            </w:r>
          </w:p>
        </w:tc>
        <w:tc>
          <w:tcPr>
            <w:tcW w:w="1417" w:type="dxa"/>
            <w:vAlign w:val="center"/>
          </w:tcPr>
          <w:p w14:paraId="4F59527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认定时间</w:t>
            </w:r>
          </w:p>
        </w:tc>
        <w:tc>
          <w:tcPr>
            <w:tcW w:w="2268" w:type="dxa"/>
          </w:tcPr>
          <w:p w14:paraId="27DBAF0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处罚期届满异常名录信息失效时间</w:t>
            </w:r>
          </w:p>
        </w:tc>
        <w:tc>
          <w:tcPr>
            <w:tcW w:w="1276" w:type="dxa"/>
            <w:vAlign w:val="center"/>
          </w:tcPr>
          <w:p w14:paraId="43A67A5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备注</w:t>
            </w:r>
          </w:p>
        </w:tc>
      </w:tr>
      <w:tr w14:paraId="0C69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51315283">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是否被认定为失信被执行人</w:t>
            </w:r>
          </w:p>
        </w:tc>
        <w:tc>
          <w:tcPr>
            <w:tcW w:w="1417" w:type="dxa"/>
            <w:vAlign w:val="center"/>
          </w:tcPr>
          <w:p w14:paraId="1228CB8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512EA97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293427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543B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CCD01FF">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是否被认定为重大税收违法失信主体</w:t>
            </w:r>
          </w:p>
        </w:tc>
        <w:tc>
          <w:tcPr>
            <w:tcW w:w="1417" w:type="dxa"/>
            <w:vAlign w:val="center"/>
          </w:tcPr>
          <w:p w14:paraId="0608848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52FA206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0C2EC4F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r w14:paraId="14A8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6DED83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kern w:val="0"/>
                <w:sz w:val="21"/>
                <w:szCs w:val="21"/>
              </w:rPr>
            </w:pPr>
            <w:r>
              <w:rPr>
                <w:rFonts w:hint="eastAsia" w:ascii="宋体" w:hAnsi="宋体" w:eastAsia="宋体" w:cs="宋体"/>
                <w:kern w:val="0"/>
                <w:sz w:val="21"/>
                <w:szCs w:val="21"/>
              </w:rPr>
              <w:t>是否被认定为政府采购严重违法失信行为记录名单</w:t>
            </w:r>
          </w:p>
        </w:tc>
        <w:tc>
          <w:tcPr>
            <w:tcW w:w="1417" w:type="dxa"/>
            <w:vAlign w:val="center"/>
          </w:tcPr>
          <w:p w14:paraId="7B5CB17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2268" w:type="dxa"/>
            <w:vAlign w:val="center"/>
          </w:tcPr>
          <w:p w14:paraId="21E35F1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c>
          <w:tcPr>
            <w:tcW w:w="1276" w:type="dxa"/>
            <w:vAlign w:val="center"/>
          </w:tcPr>
          <w:p w14:paraId="74BE7F4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kern w:val="0"/>
                <w:sz w:val="21"/>
                <w:szCs w:val="21"/>
              </w:rPr>
            </w:pPr>
          </w:p>
        </w:tc>
      </w:tr>
    </w:tbl>
    <w:p w14:paraId="05858C95">
      <w:pPr>
        <w:autoSpaceDE w:val="0"/>
        <w:autoSpaceDN w:val="0"/>
        <w:adjustRightInd w:val="0"/>
        <w:spacing w:line="360" w:lineRule="auto"/>
        <w:jc w:val="left"/>
        <w:outlineLvl w:val="9"/>
        <w:rPr>
          <w:rFonts w:hint="eastAsia" w:ascii="宋体" w:hAnsi="宋体" w:eastAsia="宋体" w:cs="宋体"/>
          <w:kern w:val="0"/>
          <w:szCs w:val="21"/>
        </w:rPr>
      </w:pPr>
    </w:p>
    <w:p w14:paraId="154150C3">
      <w:pPr>
        <w:autoSpaceDE w:val="0"/>
        <w:autoSpaceDN w:val="0"/>
        <w:adjustRightInd w:val="0"/>
        <w:spacing w:line="360" w:lineRule="auto"/>
        <w:jc w:val="left"/>
        <w:outlineLvl w:val="9"/>
        <w:rPr>
          <w:rFonts w:hint="eastAsia" w:ascii="宋体" w:hAnsi="宋体" w:eastAsia="宋体" w:cs="宋体"/>
          <w:sz w:val="21"/>
          <w:szCs w:val="21"/>
          <w:lang w:val="zh-CN"/>
        </w:rPr>
      </w:pPr>
      <w:r>
        <w:rPr>
          <w:rFonts w:hint="eastAsia" w:ascii="宋体" w:hAnsi="宋体" w:eastAsia="宋体" w:cs="宋体"/>
          <w:kern w:val="0"/>
          <w:sz w:val="21"/>
          <w:szCs w:val="21"/>
        </w:rPr>
        <w:t>备注：根据</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须提供相关材料(复印件)佐证，需原件备查</w:t>
      </w:r>
      <w:r>
        <w:rPr>
          <w:rFonts w:hint="eastAsia" w:ascii="宋体" w:hAnsi="宋体" w:eastAsia="宋体" w:cs="宋体"/>
          <w:sz w:val="21"/>
          <w:szCs w:val="21"/>
          <w:lang w:val="zh-CN"/>
        </w:rPr>
        <w:t>。</w:t>
      </w:r>
    </w:p>
    <w:p w14:paraId="353B13CE">
      <w:pPr>
        <w:autoSpaceDE w:val="0"/>
        <w:autoSpaceDN w:val="0"/>
        <w:adjustRightInd w:val="0"/>
        <w:ind w:right="-26" w:rightChars="-11"/>
        <w:jc w:val="left"/>
        <w:outlineLvl w:val="9"/>
        <w:rPr>
          <w:rFonts w:hint="eastAsia" w:ascii="宋体" w:hAnsi="宋体" w:eastAsia="宋体" w:cs="宋体"/>
          <w:b/>
          <w:bCs/>
          <w:kern w:val="0"/>
          <w:sz w:val="21"/>
          <w:szCs w:val="21"/>
          <w:lang w:val="zh-CN"/>
        </w:rPr>
      </w:pPr>
    </w:p>
    <w:p w14:paraId="7C999D2E">
      <w:pPr>
        <w:autoSpaceDE w:val="0"/>
        <w:autoSpaceDN w:val="0"/>
        <w:adjustRightInd w:val="0"/>
        <w:spacing w:line="360" w:lineRule="auto"/>
        <w:jc w:val="center"/>
        <w:outlineLvl w:val="9"/>
        <w:rPr>
          <w:rFonts w:hint="eastAsia" w:ascii="宋体" w:hAnsi="宋体" w:eastAsia="宋体" w:cs="宋体"/>
          <w:kern w:val="0"/>
          <w:sz w:val="21"/>
          <w:szCs w:val="21"/>
        </w:rPr>
      </w:pP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14:paraId="612F5169">
      <w:pPr>
        <w:spacing w:line="360" w:lineRule="auto"/>
        <w:rPr>
          <w:rFonts w:hint="eastAsia" w:ascii="宋体" w:hAnsi="宋体" w:eastAsia="宋体" w:cs="宋体"/>
          <w:color w:val="auto"/>
          <w:sz w:val="21"/>
          <w:szCs w:val="21"/>
          <w:highlight w:val="none"/>
          <w:shd w:val="clear" w:color="auto" w:fill="FFFFFF"/>
        </w:rPr>
      </w:pPr>
    </w:p>
    <w:p w14:paraId="56222596">
      <w:pPr>
        <w:spacing w:line="360" w:lineRule="auto"/>
        <w:jc w:val="center"/>
        <w:rPr>
          <w:rFonts w:hint="eastAsia" w:ascii="宋体" w:hAnsi="宋体" w:eastAsia="宋体" w:cs="宋体"/>
          <w:color w:val="auto"/>
          <w:highlight w:val="none"/>
        </w:rPr>
      </w:pPr>
    </w:p>
    <w:p w14:paraId="09283B7C">
      <w:pPr>
        <w:autoSpaceDE/>
        <w:autoSpaceDN/>
        <w:adjustRightInd/>
        <w:spacing w:line="360" w:lineRule="auto"/>
        <w:ind w:right="420" w:firstLine="4410" w:firstLineChars="210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sz w:val="21"/>
          <w:szCs w:val="21"/>
          <w:highlight w:val="none"/>
          <w:lang w:val="zh-CN"/>
        </w:rPr>
        <w:t>（加盖供应商法人公章）</w:t>
      </w:r>
    </w:p>
    <w:p w14:paraId="7F176900">
      <w:pPr>
        <w:keepNext w:val="0"/>
        <w:keepLines w:val="0"/>
        <w:pageBreakBefore w:val="0"/>
        <w:widowControl w:val="0"/>
        <w:kinsoku/>
        <w:wordWrap/>
        <w:overflowPunct/>
        <w:topLinePunct w:val="0"/>
        <w:autoSpaceDE w:val="0"/>
        <w:autoSpaceDN w:val="0"/>
        <w:bidi w:val="0"/>
        <w:adjustRightInd w:val="0"/>
        <w:snapToGrid/>
        <w:spacing w:line="360" w:lineRule="auto"/>
        <w:ind w:right="896" w:firstLine="2835" w:firstLineChars="135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               日  期：   年  月  日</w:t>
      </w:r>
    </w:p>
    <w:p w14:paraId="566EADA1">
      <w:pPr>
        <w:spacing w:line="360" w:lineRule="auto"/>
        <w:rPr>
          <w:rFonts w:hint="eastAsia" w:ascii="宋体" w:hAnsi="宋体" w:eastAsia="宋体" w:cs="宋体"/>
          <w:color w:val="auto"/>
          <w:kern w:val="2"/>
          <w:sz w:val="21"/>
          <w:szCs w:val="21"/>
          <w:highlight w:val="none"/>
          <w:lang w:val="zh-CN"/>
        </w:rPr>
      </w:pPr>
    </w:p>
    <w:p w14:paraId="6AC017ED">
      <w:pPr>
        <w:spacing w:line="360" w:lineRule="auto"/>
        <w:rPr>
          <w:rFonts w:hint="eastAsia" w:ascii="宋体" w:hAnsi="宋体" w:eastAsia="宋体" w:cs="宋体"/>
          <w:color w:val="auto"/>
          <w:kern w:val="2"/>
          <w:sz w:val="21"/>
          <w:szCs w:val="21"/>
          <w:highlight w:val="none"/>
          <w:lang w:val="zh-CN"/>
        </w:rPr>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pPr>
    </w:p>
    <w:bookmarkEnd w:id="349"/>
    <w:bookmarkEnd w:id="350"/>
    <w:p w14:paraId="5CF495DD">
      <w:pPr>
        <w:outlineLvl w:val="9"/>
        <w:rPr>
          <w:rFonts w:hint="eastAsia" w:ascii="宋体" w:hAnsi="宋体" w:eastAsia="宋体" w:cs="宋体"/>
          <w:b/>
          <w:color w:val="auto"/>
          <w:sz w:val="32"/>
          <w:szCs w:val="32"/>
          <w:highlight w:val="none"/>
        </w:rPr>
      </w:pPr>
      <w:bookmarkStart w:id="370" w:name="_Toc1835"/>
      <w:bookmarkStart w:id="371" w:name="_Toc193"/>
      <w:bookmarkStart w:id="372" w:name="_Toc23120"/>
      <w:bookmarkStart w:id="373" w:name="_Toc79146605"/>
      <w:bookmarkStart w:id="374" w:name="_Toc54342745"/>
      <w:bookmarkStart w:id="375" w:name="_Toc56076633"/>
      <w:bookmarkStart w:id="376" w:name="_Toc1123959"/>
      <w:bookmarkStart w:id="377" w:name="_Toc19008832"/>
      <w:bookmarkStart w:id="378" w:name="_Toc54334014"/>
      <w:bookmarkStart w:id="379" w:name="_Toc495907136"/>
      <w:bookmarkStart w:id="380" w:name="_Toc497746566"/>
      <w:bookmarkStart w:id="381" w:name="_Toc521918129"/>
      <w:bookmarkStart w:id="382" w:name="_Toc490169466"/>
      <w:bookmarkStart w:id="383" w:name="_Toc5098076"/>
      <w:r>
        <w:rPr>
          <w:rFonts w:hint="eastAsia" w:ascii="宋体" w:hAnsi="宋体" w:eastAsia="宋体" w:cs="宋体"/>
          <w:b/>
          <w:color w:val="auto"/>
          <w:kern w:val="2"/>
          <w:sz w:val="32"/>
          <w:szCs w:val="32"/>
          <w:highlight w:val="none"/>
          <w:lang w:val="en-US" w:eastAsia="zh-CN"/>
        </w:rPr>
        <w:t>六</w:t>
      </w:r>
      <w:r>
        <w:rPr>
          <w:rFonts w:hint="eastAsia" w:ascii="宋体" w:hAnsi="宋体" w:eastAsia="宋体" w:cs="宋体"/>
          <w:b/>
          <w:color w:val="auto"/>
          <w:sz w:val="32"/>
          <w:szCs w:val="32"/>
          <w:highlight w:val="none"/>
        </w:rPr>
        <w:t>、供应商基本情况一览表</w:t>
      </w:r>
      <w:bookmarkEnd w:id="370"/>
      <w:bookmarkEnd w:id="371"/>
      <w:bookmarkEnd w:id="372"/>
      <w:bookmarkEnd w:id="373"/>
      <w:bookmarkEnd w:id="374"/>
    </w:p>
    <w:p w14:paraId="46314A50">
      <w:pPr>
        <w:keepNext w:val="0"/>
        <w:keepLines w:val="0"/>
        <w:pageBreakBefore w:val="0"/>
        <w:widowControl w:val="0"/>
        <w:kinsoku/>
        <w:wordWrap/>
        <w:overflowPunct/>
        <w:topLinePunct w:val="0"/>
        <w:autoSpaceDE w:val="0"/>
        <w:autoSpaceDN w:val="0"/>
        <w:bidi w:val="0"/>
        <w:adjustRightInd w:val="0"/>
        <w:snapToGrid/>
        <w:spacing w:before="327" w:beforeLines="100" w:line="360" w:lineRule="auto"/>
        <w:jc w:val="center"/>
        <w:textAlignment w:val="auto"/>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val="zh-CN"/>
        </w:rPr>
        <w:t>供应商基本情况一览表</w:t>
      </w:r>
    </w:p>
    <w:p w14:paraId="06D86E6B">
      <w:pPr>
        <w:snapToGrid w:val="0"/>
        <w:spacing w:line="360" w:lineRule="auto"/>
        <w:ind w:firstLine="315" w:firstLineChars="1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1、名称及概况：</w:t>
      </w:r>
    </w:p>
    <w:p w14:paraId="48E174E2">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（1）供应商名称：</w:t>
      </w:r>
      <w:r>
        <w:rPr>
          <w:rFonts w:hint="eastAsia" w:ascii="宋体" w:hAnsi="宋体" w:cs="宋体"/>
          <w:color w:val="auto"/>
          <w:kern w:val="2"/>
          <w:sz w:val="21"/>
          <w:highlight w:val="none"/>
          <w:u w:val="single"/>
          <w:lang w:val="en-US" w:eastAsia="zh-CN"/>
        </w:rPr>
        <w:t xml:space="preserve">                                       </w:t>
      </w:r>
    </w:p>
    <w:p w14:paraId="7406DC22">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（2）总部地址：</w:t>
      </w:r>
      <w:r>
        <w:rPr>
          <w:rFonts w:hint="eastAsia" w:ascii="宋体" w:hAnsi="宋体" w:cs="宋体"/>
          <w:color w:val="auto"/>
          <w:kern w:val="2"/>
          <w:sz w:val="21"/>
          <w:highlight w:val="none"/>
          <w:u w:val="single"/>
          <w:lang w:val="en-US" w:eastAsia="zh-CN"/>
        </w:rPr>
        <w:t xml:space="preserve">                                         </w:t>
      </w:r>
    </w:p>
    <w:p w14:paraId="06721A29">
      <w:pPr>
        <w:spacing w:line="360" w:lineRule="auto"/>
        <w:ind w:firstLine="735" w:firstLineChars="350"/>
        <w:jc w:val="both"/>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邮政编码：</w:t>
      </w:r>
      <w:r>
        <w:rPr>
          <w:rFonts w:hint="eastAsia" w:ascii="宋体" w:hAnsi="宋体" w:cs="宋体"/>
          <w:color w:val="auto"/>
          <w:kern w:val="2"/>
          <w:sz w:val="21"/>
          <w:highlight w:val="none"/>
          <w:u w:val="single"/>
          <w:lang w:val="en-US" w:eastAsia="zh-CN"/>
        </w:rPr>
        <w:t xml:space="preserve">                                         </w:t>
      </w:r>
    </w:p>
    <w:p w14:paraId="6869590F">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电话号码：_________________________________________</w:t>
      </w:r>
    </w:p>
    <w:p w14:paraId="155EE429">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传真号码：_________________________________________</w:t>
      </w:r>
    </w:p>
    <w:p w14:paraId="76475B6B">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（3）成立</w:t>
      </w:r>
      <w:r>
        <w:rPr>
          <w:rFonts w:hint="eastAsia" w:ascii="宋体" w:hAnsi="宋体" w:cs="宋体"/>
          <w:color w:val="auto"/>
          <w:kern w:val="2"/>
          <w:sz w:val="21"/>
          <w:highlight w:val="none"/>
          <w:lang w:val="en-US" w:eastAsia="zh-CN"/>
        </w:rPr>
        <w:t>和/</w:t>
      </w:r>
      <w:r>
        <w:rPr>
          <w:rFonts w:hint="eastAsia" w:ascii="宋体" w:hAnsi="宋体" w:eastAsia="宋体" w:cs="宋体"/>
          <w:color w:val="auto"/>
          <w:kern w:val="2"/>
          <w:sz w:val="21"/>
          <w:highlight w:val="none"/>
          <w:lang w:val="zh-CN"/>
        </w:rPr>
        <w:t>或注册日期：</w:t>
      </w:r>
      <w:r>
        <w:rPr>
          <w:rFonts w:hint="eastAsia" w:ascii="宋体" w:hAnsi="宋体" w:cs="宋体"/>
          <w:color w:val="auto"/>
          <w:kern w:val="2"/>
          <w:sz w:val="21"/>
          <w:highlight w:val="none"/>
          <w:u w:val="single"/>
          <w:lang w:val="en-US" w:eastAsia="zh-CN"/>
        </w:rPr>
        <w:t xml:space="preserve">                                </w:t>
      </w:r>
    </w:p>
    <w:p w14:paraId="4C5E381E">
      <w:pPr>
        <w:autoSpaceDE/>
        <w:autoSpaceDN/>
        <w:snapToGrid w:val="0"/>
        <w:spacing w:line="360" w:lineRule="auto"/>
        <w:ind w:firstLine="210" w:firstLineChars="100"/>
        <w:rPr>
          <w:rFonts w:hint="default" w:ascii="宋体" w:hAnsi="宋体" w:eastAsia="宋体" w:cs="宋体"/>
          <w:color w:val="auto"/>
          <w:kern w:val="2"/>
          <w:sz w:val="21"/>
          <w:highlight w:val="none"/>
          <w:u w:val="single"/>
          <w:lang w:val="en-US" w:eastAsia="zh-CN"/>
        </w:rPr>
      </w:pPr>
      <w:r>
        <w:rPr>
          <w:rFonts w:hint="eastAsia" w:ascii="宋体" w:hAnsi="宋体" w:eastAsia="宋体" w:cs="宋体"/>
          <w:color w:val="auto"/>
          <w:kern w:val="2"/>
          <w:sz w:val="21"/>
          <w:highlight w:val="none"/>
          <w:lang w:val="zh-CN"/>
        </w:rPr>
        <w:t>（4）法定代表人：</w:t>
      </w:r>
      <w:r>
        <w:rPr>
          <w:rFonts w:hint="eastAsia" w:ascii="宋体" w:hAnsi="宋体" w:cs="宋体"/>
          <w:color w:val="auto"/>
          <w:kern w:val="2"/>
          <w:sz w:val="21"/>
          <w:highlight w:val="none"/>
          <w:u w:val="single"/>
          <w:lang w:val="en-US" w:eastAsia="zh-CN"/>
        </w:rPr>
        <w:t xml:space="preserve">                                       </w:t>
      </w:r>
    </w:p>
    <w:p w14:paraId="57F8ADD7">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（5）开户银行：_________________________________________ </w:t>
      </w:r>
    </w:p>
    <w:p w14:paraId="253BEC1A">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 xml:space="preserve">（6）开户账号：_________________________________________ </w:t>
      </w:r>
    </w:p>
    <w:p w14:paraId="0C86938D">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（7）注册资</w:t>
      </w:r>
      <w:r>
        <w:rPr>
          <w:rFonts w:hint="eastAsia" w:ascii="宋体" w:hAnsi="宋体" w:cs="宋体"/>
          <w:color w:val="auto"/>
          <w:kern w:val="2"/>
          <w:sz w:val="21"/>
          <w:highlight w:val="none"/>
          <w:lang w:val="en-US" w:eastAsia="zh-CN"/>
        </w:rPr>
        <w:t>金</w:t>
      </w:r>
      <w:r>
        <w:rPr>
          <w:rFonts w:hint="eastAsia" w:ascii="宋体" w:hAnsi="宋体" w:eastAsia="宋体" w:cs="宋体"/>
          <w:color w:val="auto"/>
          <w:kern w:val="2"/>
          <w:sz w:val="21"/>
          <w:highlight w:val="none"/>
          <w:lang w:val="zh-CN"/>
        </w:rPr>
        <w:t xml:space="preserve">：_________________________________________ </w:t>
      </w:r>
    </w:p>
    <w:p w14:paraId="6E33B67A">
      <w:pPr>
        <w:autoSpaceDE/>
        <w:autoSpaceDN/>
        <w:snapToGrid w:val="0"/>
        <w:spacing w:line="360" w:lineRule="auto"/>
        <w:ind w:firstLine="210" w:firstLineChars="100"/>
        <w:rPr>
          <w:rFonts w:hint="eastAsia" w:ascii="宋体" w:hAnsi="宋体" w:eastAsia="宋体" w:cs="宋体"/>
          <w:color w:val="auto"/>
          <w:kern w:val="2"/>
          <w:sz w:val="21"/>
          <w:highlight w:val="none"/>
          <w:u w:val="single"/>
          <w:lang w:val="zh-CN"/>
        </w:rPr>
      </w:pPr>
      <w:r>
        <w:rPr>
          <w:rFonts w:hint="eastAsia" w:ascii="宋体" w:hAnsi="宋体" w:eastAsia="宋体" w:cs="宋体"/>
          <w:color w:val="auto"/>
          <w:kern w:val="2"/>
          <w:sz w:val="21"/>
          <w:highlight w:val="none"/>
          <w:lang w:val="zh-CN"/>
        </w:rPr>
        <w:t>（8）主要负责人姓名：___________________________________</w:t>
      </w:r>
    </w:p>
    <w:p w14:paraId="5D4FAC93">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（9）项目主要联系人（姓名、职务、</w:t>
      </w:r>
      <w:r>
        <w:rPr>
          <w:rFonts w:hint="eastAsia" w:ascii="宋体" w:hAnsi="宋体" w:cs="宋体"/>
          <w:color w:val="auto"/>
          <w:kern w:val="2"/>
          <w:sz w:val="21"/>
          <w:highlight w:val="none"/>
          <w:lang w:val="en-US" w:eastAsia="zh-CN"/>
        </w:rPr>
        <w:t>通讯</w:t>
      </w:r>
      <w:r>
        <w:rPr>
          <w:rFonts w:hint="eastAsia" w:ascii="宋体" w:hAnsi="宋体" w:eastAsia="宋体" w:cs="宋体"/>
          <w:color w:val="auto"/>
          <w:kern w:val="2"/>
          <w:sz w:val="21"/>
          <w:highlight w:val="none"/>
          <w:lang w:val="zh-CN"/>
        </w:rPr>
        <w:t>）：_______________</w:t>
      </w:r>
    </w:p>
    <w:p w14:paraId="7D53C9E0">
      <w:pPr>
        <w:autoSpaceDE/>
        <w:autoSpaceDN/>
        <w:snapToGrid w:val="0"/>
        <w:spacing w:line="360" w:lineRule="auto"/>
        <w:ind w:firstLine="210" w:firstLineChars="1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（10）在中国的代表的姓名和地址（如有）：________________</w:t>
      </w:r>
    </w:p>
    <w:p w14:paraId="342528FE">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2、供征询之银行的名称和地址：__________________________</w:t>
      </w:r>
    </w:p>
    <w:p w14:paraId="3F387432">
      <w:pPr>
        <w:snapToGrid w:val="0"/>
        <w:spacing w:line="360" w:lineRule="auto"/>
        <w:ind w:firstLine="315" w:firstLineChars="15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3、公司所隶属之国际集团名称（如果是）__________________</w:t>
      </w:r>
    </w:p>
    <w:p w14:paraId="2A2D9B55">
      <w:pPr>
        <w:snapToGrid w:val="0"/>
        <w:spacing w:line="360" w:lineRule="auto"/>
        <w:ind w:firstLine="315" w:firstLineChars="15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4、提交资料（包括但不限于组织架构、公司简介等）：</w:t>
      </w:r>
    </w:p>
    <w:p w14:paraId="62A2C28D">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（1）公司简介；</w:t>
      </w:r>
    </w:p>
    <w:p w14:paraId="7473674B">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5E2C30DC">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（2）公司组织架构；</w:t>
      </w:r>
    </w:p>
    <w:p w14:paraId="3C1D1321">
      <w:pPr>
        <w:spacing w:line="360" w:lineRule="auto"/>
        <w:ind w:firstLine="735" w:firstLineChars="3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____________________________________________________</w:t>
      </w:r>
    </w:p>
    <w:p w14:paraId="3A087354">
      <w:pPr>
        <w:keepNext w:val="0"/>
        <w:keepLines w:val="0"/>
        <w:pageBreakBefore w:val="0"/>
        <w:widowControl w:val="0"/>
        <w:kinsoku/>
        <w:wordWrap/>
        <w:overflowPunct/>
        <w:topLinePunct w:val="0"/>
        <w:autoSpaceDE/>
        <w:autoSpaceDN/>
        <w:bidi w:val="0"/>
        <w:adjustRightInd w:val="0"/>
        <w:snapToGrid w:val="0"/>
        <w:spacing w:line="360" w:lineRule="auto"/>
        <w:ind w:firstLine="504" w:firstLineChars="240"/>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（3）东莞市内设有分支机构情况介绍[应提供该分支机构的多证合一营业执照复印件等证明材料]（若无前述分支机构的无需介绍）。</w:t>
      </w:r>
    </w:p>
    <w:p w14:paraId="54185BF2">
      <w:pPr>
        <w:spacing w:line="360" w:lineRule="auto"/>
        <w:ind w:firstLine="42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兹证明上述说明是真实、正确的，并提供了全部能提供的资料和数据，我们同意遵照贵方要求出示有关证明文件。</w:t>
      </w:r>
    </w:p>
    <w:p w14:paraId="784C1806">
      <w:pPr>
        <w:spacing w:line="360" w:lineRule="auto"/>
        <w:ind w:firstLine="504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5EC5DB0F">
      <w:pPr>
        <w:spacing w:line="360" w:lineRule="auto"/>
        <w:ind w:firstLine="5040"/>
        <w:jc w:val="both"/>
        <w:rPr>
          <w:rFonts w:hint="eastAsia" w:ascii="宋体" w:hAnsi="宋体" w:eastAsia="宋体" w:cs="宋体"/>
          <w:color w:val="auto"/>
          <w:kern w:val="2"/>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4D758BBB">
      <w:pP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384" w:name="_Toc79146606"/>
      <w:bookmarkStart w:id="385" w:name="_Toc17562"/>
      <w:bookmarkStart w:id="386" w:name="_Toc20214"/>
      <w:bookmarkStart w:id="387" w:name="_Toc7954"/>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财务状况表格式</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22A8B94A">
      <w:pPr>
        <w:spacing w:line="360" w:lineRule="auto"/>
        <w:jc w:val="center"/>
        <w:rPr>
          <w:rFonts w:hint="eastAsia" w:ascii="宋体" w:hAnsi="宋体" w:eastAsia="宋体" w:cs="宋体"/>
          <w:b/>
          <w:color w:val="auto"/>
          <w:sz w:val="30"/>
          <w:szCs w:val="30"/>
          <w:highlight w:val="none"/>
        </w:rPr>
      </w:pPr>
    </w:p>
    <w:p w14:paraId="0594E717">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eastAsia="zh-CN"/>
        </w:rPr>
        <w:t>供应商</w:t>
      </w:r>
      <w:r>
        <w:rPr>
          <w:rFonts w:hint="eastAsia" w:ascii="宋体" w:hAnsi="宋体" w:eastAsia="宋体" w:cs="宋体"/>
          <w:b/>
          <w:color w:val="auto"/>
          <w:sz w:val="30"/>
          <w:szCs w:val="30"/>
          <w:highlight w:val="none"/>
        </w:rPr>
        <w:t xml:space="preserve">财务状况表 </w:t>
      </w:r>
    </w:p>
    <w:p w14:paraId="42C54ECA">
      <w:pPr>
        <w:spacing w:line="360" w:lineRule="auto"/>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[价格单位：（人民币）元]</w:t>
      </w:r>
    </w:p>
    <w:tbl>
      <w:tblPr>
        <w:tblStyle w:val="5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F23B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02B4AF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53F283D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235E782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1D37BAE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062288A0">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70EDD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1177B9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1</w:t>
            </w:r>
          </w:p>
        </w:tc>
        <w:tc>
          <w:tcPr>
            <w:tcW w:w="1944" w:type="dxa"/>
            <w:vAlign w:val="center"/>
          </w:tcPr>
          <w:p w14:paraId="3635C7F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432A145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vAlign w:val="center"/>
          </w:tcPr>
          <w:p w14:paraId="467F8FA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1AB237B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28AF8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6F1687C">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2</w:t>
            </w:r>
          </w:p>
        </w:tc>
        <w:tc>
          <w:tcPr>
            <w:tcW w:w="1944" w:type="dxa"/>
            <w:vAlign w:val="center"/>
          </w:tcPr>
          <w:p w14:paraId="4E7BECE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499916AB">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2A3D072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481A0EB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314C0D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AF78A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3</w:t>
            </w:r>
          </w:p>
        </w:tc>
        <w:tc>
          <w:tcPr>
            <w:tcW w:w="1944" w:type="dxa"/>
            <w:vAlign w:val="center"/>
          </w:tcPr>
          <w:p w14:paraId="38EFEF8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1946" w:type="dxa"/>
            <w:vAlign w:val="center"/>
          </w:tcPr>
          <w:p w14:paraId="6BC788F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713" w:type="dxa"/>
          </w:tcPr>
          <w:p w14:paraId="650F7FA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01C0033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r w14:paraId="767AD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B70031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6E7F521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c>
          <w:tcPr>
            <w:tcW w:w="2060" w:type="dxa"/>
            <w:vAlign w:val="center"/>
          </w:tcPr>
          <w:p w14:paraId="1399F7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color w:val="auto"/>
                <w:kern w:val="0"/>
                <w:sz w:val="21"/>
                <w:szCs w:val="21"/>
                <w:highlight w:val="none"/>
              </w:rPr>
            </w:pPr>
          </w:p>
        </w:tc>
      </w:tr>
    </w:tbl>
    <w:p w14:paraId="56F7B0EA">
      <w:pPr>
        <w:spacing w:line="360" w:lineRule="auto"/>
        <w:outlineLvl w:val="9"/>
        <w:rPr>
          <w:rFonts w:hint="eastAsia" w:ascii="宋体" w:hAnsi="宋体" w:eastAsia="宋体" w:cs="宋体"/>
          <w:kern w:val="0"/>
          <w:sz w:val="21"/>
          <w:szCs w:val="21"/>
        </w:rPr>
      </w:pPr>
      <w:r>
        <w:rPr>
          <w:rFonts w:hint="eastAsia" w:ascii="宋体" w:hAnsi="宋体" w:eastAsia="宋体" w:cs="宋体"/>
          <w:kern w:val="0"/>
          <w:sz w:val="21"/>
          <w:szCs w:val="21"/>
        </w:rPr>
        <w:t>备注：需提供对应年度经独立会计师事务所审计的审计报告及</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财务状况表；若</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为新成立或未进行独立会计师事务所审计的，本表中对应年度的财务信息应填写“/”，</w:t>
      </w:r>
      <w:r>
        <w:rPr>
          <w:rFonts w:hint="eastAsia" w:ascii="宋体" w:hAnsi="宋体" w:eastAsia="宋体" w:cs="宋体"/>
          <w:kern w:val="0"/>
          <w:sz w:val="21"/>
          <w:szCs w:val="21"/>
          <w:lang w:val="en-US" w:eastAsia="zh-CN"/>
        </w:rPr>
        <w:t>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文件不作无效</w:t>
      </w: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处理，但存在因不符合</w:t>
      </w:r>
      <w:r>
        <w:rPr>
          <w:rFonts w:hint="eastAsia" w:ascii="宋体" w:hAnsi="宋体" w:eastAsia="宋体" w:cs="宋体"/>
          <w:kern w:val="0"/>
          <w:sz w:val="21"/>
          <w:szCs w:val="21"/>
          <w:lang w:val="en-US" w:eastAsia="zh-CN"/>
        </w:rPr>
        <w:t>评审</w:t>
      </w:r>
      <w:r>
        <w:rPr>
          <w:rFonts w:hint="eastAsia" w:ascii="宋体" w:hAnsi="宋体" w:eastAsia="宋体" w:cs="宋体"/>
          <w:kern w:val="0"/>
          <w:sz w:val="21"/>
          <w:szCs w:val="21"/>
        </w:rPr>
        <w:t>办法中的评分标准而导致对应项不得分。</w:t>
      </w:r>
    </w:p>
    <w:p w14:paraId="098580E1">
      <w:pPr>
        <w:spacing w:line="360" w:lineRule="auto"/>
        <w:rPr>
          <w:rFonts w:hint="eastAsia" w:ascii="宋体" w:hAnsi="宋体" w:eastAsia="宋体" w:cs="宋体"/>
          <w:color w:val="auto"/>
          <w:sz w:val="21"/>
          <w:szCs w:val="21"/>
          <w:highlight w:val="none"/>
        </w:rPr>
      </w:pPr>
    </w:p>
    <w:p w14:paraId="3487C83D">
      <w:pPr>
        <w:pStyle w:val="187"/>
        <w:spacing w:line="360" w:lineRule="auto"/>
        <w:ind w:firstLine="433"/>
        <w:rPr>
          <w:rFonts w:hint="eastAsia" w:ascii="宋体" w:hAnsi="宋体" w:eastAsia="宋体" w:cs="宋体"/>
          <w:color w:val="auto"/>
          <w:sz w:val="21"/>
          <w:szCs w:val="21"/>
          <w:highlight w:val="none"/>
        </w:rPr>
      </w:pPr>
    </w:p>
    <w:p w14:paraId="4F4321B7">
      <w:pPr>
        <w:spacing w:line="360" w:lineRule="auto"/>
        <w:ind w:firstLine="5829" w:firstLineChars="2776"/>
        <w:jc w:val="both"/>
        <w:rPr>
          <w:rFonts w:hint="eastAsia" w:ascii="宋体" w:hAnsi="宋体" w:eastAsia="宋体" w:cs="宋体"/>
          <w:color w:val="auto"/>
          <w:kern w:val="2"/>
          <w:sz w:val="21"/>
          <w:highlight w:val="none"/>
          <w:u w:val="single"/>
        </w:rPr>
      </w:pPr>
      <w:r>
        <w:rPr>
          <w:rFonts w:hint="eastAsia" w:ascii="宋体" w:hAnsi="宋体" w:eastAsia="宋体" w:cs="宋体"/>
          <w:color w:val="auto"/>
          <w:kern w:val="2"/>
          <w:sz w:val="21"/>
          <w:highlight w:val="none"/>
          <w:lang w:val="zh-CN"/>
        </w:rPr>
        <w:t>供应商：（加盖供应商法人公章）</w:t>
      </w:r>
    </w:p>
    <w:p w14:paraId="3F4C5AD9">
      <w:pPr>
        <w:keepNext w:val="0"/>
        <w:keepLines w:val="0"/>
        <w:pageBreakBefore w:val="0"/>
        <w:widowControl w:val="0"/>
        <w:kinsoku/>
        <w:wordWrap/>
        <w:overflowPunct/>
        <w:topLinePunct w:val="0"/>
        <w:autoSpaceDE w:val="0"/>
        <w:autoSpaceDN w:val="0"/>
        <w:bidi w:val="0"/>
        <w:adjustRightInd w:val="0"/>
        <w:snapToGrid/>
        <w:spacing w:line="360" w:lineRule="auto"/>
        <w:ind w:firstLine="5835" w:firstLineChars="27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日期：   年    月   日</w:t>
      </w:r>
    </w:p>
    <w:p w14:paraId="3A312C15">
      <w:pPr>
        <w:numPr>
          <w:ilvl w:val="0"/>
          <w:numId w:val="15"/>
        </w:numPr>
        <w:rPr>
          <w:rFonts w:hint="eastAsia" w:ascii="宋体" w:hAnsi="宋体" w:eastAsia="宋体" w:cs="宋体"/>
          <w:b/>
          <w:bCs w:val="0"/>
          <w:color w:val="auto"/>
          <w:sz w:val="32"/>
          <w:szCs w:val="32"/>
          <w:highlight w:val="none"/>
          <w:lang w:val="en-US" w:eastAsia="zh-CN" w:bidi="ar-SA"/>
        </w:rPr>
      </w:pPr>
      <w:r>
        <w:rPr>
          <w:rFonts w:hint="eastAsia" w:ascii="宋体" w:hAnsi="宋体" w:eastAsia="宋体" w:cs="宋体"/>
          <w:b/>
          <w:bCs w:val="0"/>
          <w:color w:val="auto"/>
          <w:sz w:val="32"/>
          <w:szCs w:val="32"/>
          <w:highlight w:val="none"/>
          <w:lang w:val="en-US" w:eastAsia="zh-CN" w:bidi="ar-SA"/>
        </w:rPr>
        <w:br w:type="page"/>
      </w:r>
    </w:p>
    <w:p w14:paraId="2B89F214">
      <w:pPr>
        <w:numPr>
          <w:ilvl w:val="0"/>
          <w:numId w:val="0"/>
        </w:numPr>
        <w:outlineLvl w:val="9"/>
        <w:rPr>
          <w:rFonts w:hint="default" w:ascii="宋体" w:hAnsi="宋体" w:eastAsia="宋体" w:cs="宋体"/>
          <w:b/>
          <w:bCs w:val="0"/>
          <w:color w:val="auto"/>
          <w:sz w:val="32"/>
          <w:szCs w:val="32"/>
          <w:highlight w:val="none"/>
          <w:lang w:val="en-US" w:eastAsia="zh-CN" w:bidi="ar-SA"/>
        </w:rPr>
      </w:pPr>
      <w:bookmarkStart w:id="388" w:name="_Toc20936"/>
      <w:r>
        <w:rPr>
          <w:rFonts w:hint="eastAsia" w:ascii="宋体" w:hAnsi="宋体" w:eastAsia="宋体" w:cs="宋体"/>
          <w:b/>
          <w:bCs w:val="0"/>
          <w:color w:val="auto"/>
          <w:sz w:val="32"/>
          <w:szCs w:val="32"/>
          <w:highlight w:val="none"/>
          <w:lang w:val="en-US" w:eastAsia="zh-CN" w:bidi="ar-SA"/>
        </w:rPr>
        <w:t>八、</w:t>
      </w:r>
      <w:bookmarkEnd w:id="388"/>
      <w:bookmarkStart w:id="389" w:name="_Toc5098075"/>
      <w:bookmarkStart w:id="390" w:name="_Toc54334013"/>
      <w:bookmarkStart w:id="391" w:name="_Toc19008831"/>
      <w:bookmarkStart w:id="392" w:name="_Toc521918128"/>
      <w:bookmarkStart w:id="393" w:name="_Toc56076630"/>
      <w:bookmarkStart w:id="394" w:name="_Toc1123958"/>
      <w:bookmarkStart w:id="395" w:name="_Toc79146604"/>
      <w:bookmarkStart w:id="396" w:name="_Toc79146607"/>
      <w:bookmarkStart w:id="397" w:name="_Toc56076634"/>
      <w:r>
        <w:rPr>
          <w:rFonts w:hint="eastAsia" w:ascii="宋体" w:hAnsi="宋体" w:eastAsia="宋体" w:cs="宋体"/>
          <w:b/>
          <w:bCs w:val="0"/>
          <w:color w:val="auto"/>
          <w:sz w:val="32"/>
          <w:szCs w:val="32"/>
          <w:highlight w:val="none"/>
          <w:lang w:val="en-US" w:eastAsia="zh-CN" w:bidi="ar-SA"/>
        </w:rPr>
        <w:t>标准化体系认证</w:t>
      </w:r>
    </w:p>
    <w:p w14:paraId="6600337D">
      <w:pPr>
        <w:tabs>
          <w:tab w:val="left" w:pos="567"/>
        </w:tabs>
        <w:autoSpaceDE w:val="0"/>
        <w:autoSpaceDN w:val="0"/>
        <w:adjustRightInd w:val="0"/>
        <w:spacing w:line="360" w:lineRule="auto"/>
        <w:jc w:val="both"/>
        <w:outlineLvl w:val="9"/>
        <w:rPr>
          <w:rFonts w:hint="eastAsia" w:ascii="宋体" w:hAnsi="宋体" w:eastAsia="宋体" w:cs="宋体"/>
          <w:b w:val="0"/>
          <w:bCs/>
          <w:color w:val="auto"/>
          <w:kern w:val="0"/>
          <w:sz w:val="21"/>
          <w:szCs w:val="21"/>
          <w:highlight w:val="none"/>
        </w:rPr>
      </w:pPr>
    </w:p>
    <w:p w14:paraId="2ADC1ADA">
      <w:pPr>
        <w:tabs>
          <w:tab w:val="left" w:pos="567"/>
        </w:tabs>
        <w:autoSpaceDE w:val="0"/>
        <w:autoSpaceDN w:val="0"/>
        <w:adjustRightInd w:val="0"/>
        <w:spacing w:line="360" w:lineRule="auto"/>
        <w:ind w:firstLine="420" w:firstLineChars="200"/>
        <w:jc w:val="both"/>
        <w:outlineLvl w:val="9"/>
        <w:rPr>
          <w:rFonts w:hint="eastAsia" w:ascii="宋体" w:hAnsi="宋体" w:eastAsia="宋体" w:cs="宋体"/>
          <w:b w:val="0"/>
          <w:bCs/>
          <w:color w:val="auto"/>
          <w:kern w:val="0"/>
          <w:sz w:val="21"/>
          <w:szCs w:val="21"/>
          <w:highlight w:val="none"/>
          <w:lang w:val="zh-CN" w:eastAsia="zh-CN"/>
        </w:rPr>
      </w:pPr>
      <w:r>
        <w:rPr>
          <w:rFonts w:hint="eastAsia" w:ascii="宋体" w:hAnsi="宋体" w:eastAsia="宋体" w:cs="宋体"/>
          <w:b w:val="0"/>
          <w:bCs/>
          <w:color w:val="auto"/>
          <w:kern w:val="0"/>
          <w:sz w:val="21"/>
          <w:szCs w:val="21"/>
          <w:highlight w:val="none"/>
        </w:rPr>
        <w:t>备</w:t>
      </w:r>
      <w:r>
        <w:rPr>
          <w:rFonts w:hint="eastAsia" w:ascii="宋体" w:hAnsi="宋体" w:eastAsia="宋体" w:cs="宋体"/>
          <w:b w:val="0"/>
          <w:bCs/>
          <w:color w:val="auto"/>
          <w:kern w:val="0"/>
          <w:sz w:val="21"/>
          <w:szCs w:val="21"/>
          <w:highlight w:val="none"/>
          <w:lang w:val="en-US" w:eastAsia="zh-CN"/>
        </w:rPr>
        <w:t>注：</w:t>
      </w:r>
      <w:r>
        <w:rPr>
          <w:rFonts w:hint="eastAsia" w:ascii="宋体" w:hAnsi="宋体" w:eastAsia="宋体" w:cs="宋体"/>
          <w:b w:val="0"/>
          <w:bCs/>
          <w:color w:val="auto"/>
          <w:kern w:val="0"/>
          <w:sz w:val="21"/>
          <w:szCs w:val="21"/>
          <w:highlight w:val="none"/>
          <w:lang w:val="zh-CN" w:eastAsia="zh-CN"/>
        </w:rPr>
        <w:t>供应商应提供上述证书复印件及能显示证书有效状态的全国认证认可信息公共服务平台(http://cx.cnca.cn/)查询结果凭证{凭证界面显示有“全国认证认可信息公共服务平台”或“认证证书(需显示网址cx.cnca.cn)”}。</w:t>
      </w:r>
    </w:p>
    <w:p w14:paraId="2BFAB32C">
      <w:pPr>
        <w:keepNext w:val="0"/>
        <w:keepLines w:val="0"/>
        <w:pageBreakBefore/>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color w:val="auto"/>
          <w:sz w:val="32"/>
          <w:szCs w:val="32"/>
          <w:highlight w:val="none"/>
        </w:rPr>
      </w:pPr>
      <w:bookmarkStart w:id="398" w:name="_Toc16191"/>
      <w:bookmarkStart w:id="399" w:name="_Toc29911"/>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lang w:val="zh-CN"/>
        </w:rPr>
        <w:t>合同条款偏离表格式</w:t>
      </w:r>
      <w:bookmarkEnd w:id="398"/>
      <w:bookmarkEnd w:id="399"/>
    </w:p>
    <w:p w14:paraId="186E55D0">
      <w:pPr>
        <w:autoSpaceDE w:val="0"/>
        <w:autoSpaceDN w:val="0"/>
        <w:adjustRightInd w:val="0"/>
        <w:spacing w:line="360" w:lineRule="auto"/>
        <w:jc w:val="center"/>
        <w:outlineLvl w:val="9"/>
        <w:rPr>
          <w:rFonts w:hint="eastAsia" w:ascii="宋体" w:hAnsi="宋体" w:eastAsia="宋体" w:cs="宋体"/>
          <w:b/>
          <w:bCs/>
          <w:color w:val="auto"/>
          <w:kern w:val="0"/>
          <w:sz w:val="28"/>
          <w:szCs w:val="30"/>
          <w:lang w:val="zh-CN"/>
        </w:rPr>
      </w:pPr>
      <w:bookmarkStart w:id="400" w:name="_Toc26412_WPSOffice_Level3"/>
      <w:r>
        <w:rPr>
          <w:rFonts w:hint="eastAsia" w:ascii="宋体" w:hAnsi="宋体" w:cs="宋体"/>
          <w:b/>
          <w:bCs/>
          <w:color w:val="auto"/>
          <w:kern w:val="0"/>
          <w:sz w:val="28"/>
          <w:szCs w:val="30"/>
          <w:lang w:val="zh-CN"/>
        </w:rPr>
        <w:t>东莞市众源环境投资有限公司污水处理厂污泥脱水减量处理服务（BOT权属东江下游片区）采购项目（麻涌一期重新采购）</w:t>
      </w:r>
      <w:r>
        <w:rPr>
          <w:rFonts w:hint="eastAsia" w:ascii="宋体" w:hAnsi="宋体" w:eastAsia="宋体" w:cs="宋体"/>
          <w:b/>
          <w:bCs/>
          <w:color w:val="auto"/>
          <w:kern w:val="0"/>
          <w:sz w:val="28"/>
          <w:szCs w:val="30"/>
          <w:lang w:val="zh-CN"/>
        </w:rPr>
        <w:t>合同条款偏离表</w:t>
      </w:r>
      <w:bookmarkEnd w:id="400"/>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77D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ED22C7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480" w:type="dxa"/>
            <w:gridSpan w:val="2"/>
            <w:vAlign w:val="center"/>
          </w:tcPr>
          <w:p w14:paraId="64A4CC1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4870" w:type="dxa"/>
            <w:gridSpan w:val="2"/>
            <w:vAlign w:val="center"/>
          </w:tcPr>
          <w:p w14:paraId="4CD14C6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760D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3F7EAA0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1425" w:type="dxa"/>
            <w:vAlign w:val="center"/>
          </w:tcPr>
          <w:p w14:paraId="7EE9BD0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55" w:type="dxa"/>
            <w:vAlign w:val="center"/>
          </w:tcPr>
          <w:p w14:paraId="3B566A7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1346" w:type="dxa"/>
            <w:vAlign w:val="center"/>
          </w:tcPr>
          <w:p w14:paraId="0A284F5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3524" w:type="dxa"/>
            <w:vAlign w:val="center"/>
          </w:tcPr>
          <w:p w14:paraId="0557173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具体偏离内容</w:t>
            </w:r>
          </w:p>
        </w:tc>
      </w:tr>
      <w:tr w14:paraId="4315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2FDCDE">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25" w:type="dxa"/>
            <w:vAlign w:val="center"/>
          </w:tcPr>
          <w:p w14:paraId="41A14CF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70A0A74C">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合同范围、服务内容及风险的特别约定</w:t>
            </w:r>
          </w:p>
        </w:tc>
        <w:tc>
          <w:tcPr>
            <w:tcW w:w="1346" w:type="dxa"/>
            <w:vAlign w:val="center"/>
          </w:tcPr>
          <w:p w14:paraId="403C183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55296222">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ECA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BDC1F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25" w:type="dxa"/>
            <w:vAlign w:val="center"/>
          </w:tcPr>
          <w:p w14:paraId="07C60EA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6EC0B5D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服务期限、处理服务费用</w:t>
            </w:r>
          </w:p>
        </w:tc>
        <w:tc>
          <w:tcPr>
            <w:tcW w:w="1346" w:type="dxa"/>
            <w:vAlign w:val="center"/>
          </w:tcPr>
          <w:p w14:paraId="6D97BCF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348EE9D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9A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96FD4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25" w:type="dxa"/>
            <w:vAlign w:val="center"/>
          </w:tcPr>
          <w:p w14:paraId="5265204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083EE3E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污泥计量、脱水减量化处理后污泥的含水率检测及计费</w:t>
            </w:r>
          </w:p>
        </w:tc>
        <w:tc>
          <w:tcPr>
            <w:tcW w:w="1346" w:type="dxa"/>
            <w:vAlign w:val="center"/>
          </w:tcPr>
          <w:p w14:paraId="671CB74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650A10E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9F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302BB5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25" w:type="dxa"/>
            <w:vAlign w:val="center"/>
          </w:tcPr>
          <w:p w14:paraId="69D6FEF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3055" w:type="dxa"/>
            <w:vAlign w:val="center"/>
          </w:tcPr>
          <w:p w14:paraId="26150B2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费用核算与支付</w:t>
            </w:r>
          </w:p>
        </w:tc>
        <w:tc>
          <w:tcPr>
            <w:tcW w:w="1346" w:type="dxa"/>
            <w:vAlign w:val="center"/>
          </w:tcPr>
          <w:p w14:paraId="185CEC2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45776F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5D9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732435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425" w:type="dxa"/>
            <w:vAlign w:val="center"/>
          </w:tcPr>
          <w:p w14:paraId="5CDF026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3055" w:type="dxa"/>
            <w:vAlign w:val="center"/>
          </w:tcPr>
          <w:p w14:paraId="5078968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技术服务标准</w:t>
            </w:r>
          </w:p>
        </w:tc>
        <w:tc>
          <w:tcPr>
            <w:tcW w:w="1346" w:type="dxa"/>
            <w:vAlign w:val="center"/>
          </w:tcPr>
          <w:p w14:paraId="2F047F9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6D73EF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6649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C5839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425" w:type="dxa"/>
            <w:vAlign w:val="center"/>
          </w:tcPr>
          <w:p w14:paraId="6419E10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3055" w:type="dxa"/>
            <w:vAlign w:val="center"/>
          </w:tcPr>
          <w:p w14:paraId="2241E31E">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双方的权利与义务</w:t>
            </w:r>
          </w:p>
        </w:tc>
        <w:tc>
          <w:tcPr>
            <w:tcW w:w="1346" w:type="dxa"/>
            <w:vAlign w:val="center"/>
          </w:tcPr>
          <w:p w14:paraId="73C2A22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41AB6EA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287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FE5B2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425" w:type="dxa"/>
            <w:vAlign w:val="center"/>
          </w:tcPr>
          <w:p w14:paraId="2ECFE10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55" w:type="dxa"/>
            <w:vAlign w:val="center"/>
          </w:tcPr>
          <w:p w14:paraId="1F310E11">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1346" w:type="dxa"/>
            <w:vAlign w:val="center"/>
          </w:tcPr>
          <w:p w14:paraId="6D0996C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EADF7B8">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305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7FC87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425" w:type="dxa"/>
            <w:vAlign w:val="center"/>
          </w:tcPr>
          <w:p w14:paraId="48414BD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3055" w:type="dxa"/>
            <w:vAlign w:val="center"/>
          </w:tcPr>
          <w:p w14:paraId="2594156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违约责任</w:t>
            </w:r>
          </w:p>
        </w:tc>
        <w:tc>
          <w:tcPr>
            <w:tcW w:w="1346" w:type="dxa"/>
            <w:vAlign w:val="center"/>
          </w:tcPr>
          <w:p w14:paraId="430A943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18C67B1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539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3410F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425" w:type="dxa"/>
            <w:vAlign w:val="center"/>
          </w:tcPr>
          <w:p w14:paraId="276C330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九</w:t>
            </w:r>
          </w:p>
        </w:tc>
        <w:tc>
          <w:tcPr>
            <w:tcW w:w="3055" w:type="dxa"/>
            <w:vAlign w:val="center"/>
          </w:tcPr>
          <w:p w14:paraId="019FF5D0">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廉政保证</w:t>
            </w:r>
          </w:p>
        </w:tc>
        <w:tc>
          <w:tcPr>
            <w:tcW w:w="1346" w:type="dxa"/>
            <w:vAlign w:val="center"/>
          </w:tcPr>
          <w:p w14:paraId="520CE07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111AF8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26C7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79060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1425" w:type="dxa"/>
            <w:vAlign w:val="center"/>
          </w:tcPr>
          <w:p w14:paraId="07CA428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w:t>
            </w:r>
          </w:p>
        </w:tc>
        <w:tc>
          <w:tcPr>
            <w:tcW w:w="3055" w:type="dxa"/>
            <w:vAlign w:val="center"/>
          </w:tcPr>
          <w:p w14:paraId="45BE219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争议解决</w:t>
            </w:r>
          </w:p>
        </w:tc>
        <w:tc>
          <w:tcPr>
            <w:tcW w:w="1346" w:type="dxa"/>
            <w:vAlign w:val="center"/>
          </w:tcPr>
          <w:p w14:paraId="1057D877">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5E4C75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9D1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209BA9D">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1425" w:type="dxa"/>
            <w:vAlign w:val="center"/>
          </w:tcPr>
          <w:p w14:paraId="2F0616B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十一</w:t>
            </w:r>
          </w:p>
        </w:tc>
        <w:tc>
          <w:tcPr>
            <w:tcW w:w="3055" w:type="dxa"/>
            <w:vAlign w:val="center"/>
          </w:tcPr>
          <w:p w14:paraId="40D8847D">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1346" w:type="dxa"/>
            <w:vAlign w:val="center"/>
          </w:tcPr>
          <w:p w14:paraId="36E577C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38EF4E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A51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B17AFA">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1425" w:type="dxa"/>
            <w:vAlign w:val="center"/>
          </w:tcPr>
          <w:p w14:paraId="38DEBAB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附件1</w:t>
            </w:r>
          </w:p>
        </w:tc>
        <w:tc>
          <w:tcPr>
            <w:tcW w:w="3055" w:type="dxa"/>
            <w:vAlign w:val="center"/>
          </w:tcPr>
          <w:p w14:paraId="0935111F">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廉洁协议书</w:t>
            </w:r>
          </w:p>
        </w:tc>
        <w:tc>
          <w:tcPr>
            <w:tcW w:w="1346" w:type="dxa"/>
            <w:vAlign w:val="center"/>
          </w:tcPr>
          <w:p w14:paraId="534C6C1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5DB3F60">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1E0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634C3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1425" w:type="dxa"/>
            <w:vAlign w:val="center"/>
          </w:tcPr>
          <w:p w14:paraId="4F275228">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附件2</w:t>
            </w:r>
          </w:p>
        </w:tc>
        <w:tc>
          <w:tcPr>
            <w:tcW w:w="3055" w:type="dxa"/>
            <w:vAlign w:val="center"/>
          </w:tcPr>
          <w:p w14:paraId="1F53BA3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安全生产管理协议</w:t>
            </w:r>
          </w:p>
        </w:tc>
        <w:tc>
          <w:tcPr>
            <w:tcW w:w="1346" w:type="dxa"/>
            <w:vAlign w:val="center"/>
          </w:tcPr>
          <w:p w14:paraId="007E41B1">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5ECDAD9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2A1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2B7B4C">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1425" w:type="dxa"/>
            <w:vAlign w:val="center"/>
          </w:tcPr>
          <w:p w14:paraId="0994156A">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3055" w:type="dxa"/>
            <w:vAlign w:val="center"/>
          </w:tcPr>
          <w:p w14:paraId="3D5338F7">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不可撤销银行履约保函</w:t>
            </w:r>
          </w:p>
        </w:tc>
        <w:tc>
          <w:tcPr>
            <w:tcW w:w="1346" w:type="dxa"/>
            <w:vAlign w:val="center"/>
          </w:tcPr>
          <w:p w14:paraId="45287A2B">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2387E926">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A41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6A815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1425" w:type="dxa"/>
            <w:vAlign w:val="center"/>
          </w:tcPr>
          <w:p w14:paraId="357F5169">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3055" w:type="dxa"/>
            <w:vAlign w:val="center"/>
          </w:tcPr>
          <w:p w14:paraId="2AC565D3">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履约保证保险凭证</w:t>
            </w:r>
          </w:p>
        </w:tc>
        <w:tc>
          <w:tcPr>
            <w:tcW w:w="1346" w:type="dxa"/>
            <w:vAlign w:val="center"/>
          </w:tcPr>
          <w:p w14:paraId="70553299">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01F8962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5B3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E583B4">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1425" w:type="dxa"/>
            <w:vAlign w:val="center"/>
          </w:tcPr>
          <w:p w14:paraId="398AFD02">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3055" w:type="dxa"/>
            <w:vAlign w:val="center"/>
          </w:tcPr>
          <w:p w14:paraId="6A9566A4">
            <w:pPr>
              <w:pStyle w:val="187"/>
              <w:keepNext w:val="0"/>
              <w:keepLines w:val="0"/>
              <w:suppressLineNumbers w:val="0"/>
              <w:snapToGrid w:val="0"/>
              <w:spacing w:before="0" w:beforeAutospacing="0" w:after="0" w:afterAutospacing="0" w:line="240" w:lineRule="auto"/>
              <w:ind w:left="0" w:right="0" w:firstLine="0" w:firstLineChars="0"/>
              <w:jc w:val="center"/>
              <w:outlineLvl w:val="9"/>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担保公司履约担保书</w:t>
            </w:r>
          </w:p>
        </w:tc>
        <w:tc>
          <w:tcPr>
            <w:tcW w:w="1346" w:type="dxa"/>
            <w:vAlign w:val="center"/>
          </w:tcPr>
          <w:p w14:paraId="11AE971F">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524" w:type="dxa"/>
            <w:vAlign w:val="center"/>
          </w:tcPr>
          <w:p w14:paraId="61B48EA3">
            <w:pPr>
              <w:keepNext w:val="0"/>
              <w:keepLines w:val="0"/>
              <w:suppressLineNumbers w:val="0"/>
              <w:autoSpaceDE w:val="0"/>
              <w:autoSpaceDN w:val="0"/>
              <w:adjustRightInd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3492AD1E">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4"/>
          <w:lang w:val="zh-CN"/>
        </w:rPr>
      </w:pPr>
    </w:p>
    <w:p w14:paraId="529D7751">
      <w:pPr>
        <w:autoSpaceDE w:val="0"/>
        <w:autoSpaceDN w:val="0"/>
        <w:adjustRightInd w:val="0"/>
        <w:snapToGrid w:val="0"/>
        <w:spacing w:line="360" w:lineRule="auto"/>
        <w:ind w:left="136" w:leftChars="-101" w:hanging="378" w:hangingChars="180"/>
        <w:jc w:val="left"/>
        <w:outlineLvl w:val="9"/>
        <w:rPr>
          <w:rFonts w:hint="eastAsia" w:ascii="宋体" w:hAnsi="宋体" w:eastAsia="宋体" w:cs="宋体"/>
          <w:sz w:val="21"/>
          <w:szCs w:val="21"/>
          <w:lang w:val="zh-CN"/>
        </w:rPr>
      </w:pPr>
      <w:r>
        <w:rPr>
          <w:rFonts w:hint="eastAsia" w:ascii="宋体" w:hAnsi="宋体" w:eastAsia="宋体" w:cs="宋体"/>
          <w:sz w:val="21"/>
          <w:szCs w:val="21"/>
          <w:lang w:val="zh-CN"/>
        </w:rPr>
        <w:t>备注：</w:t>
      </w:r>
    </w:p>
    <w:p w14:paraId="3538F9DE">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应对照</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文件合同格式内合同条款及附件，逐条、如实地填写“偏离情况”项。“偏离情况”项为正偏离（或负偏离）的，必须在“具体偏离内容”项内详细说明与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文件的偏离内容，“偏离情况”项为无偏离的，在“具体偏离内容”项内填“无”。若发现虚假填写本表，或对合同及其附件响应有负偏离的，按无效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文件处理。若发现此表未逐条填写视为完全满足</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w:t>
      </w:r>
      <w:r>
        <w:rPr>
          <w:rFonts w:hint="eastAsia" w:ascii="宋体" w:hAnsi="宋体" w:eastAsia="宋体" w:cs="宋体"/>
          <w:b/>
          <w:kern w:val="0"/>
          <w:sz w:val="21"/>
          <w:szCs w:val="21"/>
        </w:rPr>
        <w:t>。</w:t>
      </w:r>
    </w:p>
    <w:p w14:paraId="71E6B09A">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文件合同条款的响应程度）分为：正偏离、负偏离、无偏离。正偏离是指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提供的相关服务商务条件完全满足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w:t>
      </w:r>
    </w:p>
    <w:p w14:paraId="33A61BD5">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竞争性磋商</w:t>
      </w:r>
      <w:r>
        <w:rPr>
          <w:rFonts w:hint="eastAsia" w:ascii="宋体" w:hAnsi="宋体" w:eastAsia="宋体" w:cs="宋体"/>
          <w:color w:val="000000"/>
          <w:sz w:val="21"/>
          <w:szCs w:val="21"/>
        </w:rPr>
        <w:t>文件“第五篇 相关保函格式”作为重要的商务条款，</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的响应情况列入本合同条款偏离表。</w:t>
      </w:r>
    </w:p>
    <w:p w14:paraId="50EADFA9">
      <w:pPr>
        <w:spacing w:line="360" w:lineRule="auto"/>
        <w:ind w:left="610" w:leftChars="18" w:hanging="567" w:hangingChars="27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（4）如</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差异内容较多可另附页说明，并在本偏离表“具体偏离内容”项注明其在</w:t>
      </w:r>
      <w:r>
        <w:rPr>
          <w:rFonts w:hint="eastAsia" w:ascii="宋体" w:hAnsi="宋体" w:eastAsia="宋体" w:cs="宋体"/>
          <w:color w:val="000000"/>
          <w:sz w:val="21"/>
          <w:szCs w:val="21"/>
          <w:lang w:val="en-US" w:eastAsia="zh-CN"/>
        </w:rPr>
        <w:t>响应</w:t>
      </w:r>
      <w:r>
        <w:rPr>
          <w:rFonts w:hint="eastAsia" w:ascii="宋体" w:hAnsi="宋体" w:eastAsia="宋体" w:cs="宋体"/>
          <w:color w:val="000000"/>
          <w:sz w:val="21"/>
          <w:szCs w:val="21"/>
        </w:rPr>
        <w:t>文件中的具体页码。</w:t>
      </w:r>
    </w:p>
    <w:p w14:paraId="5AEC9352">
      <w:pPr>
        <w:spacing w:line="360" w:lineRule="auto"/>
        <w:ind w:left="327" w:leftChars="-100" w:hanging="567" w:hangingChars="270"/>
        <w:outlineLvl w:val="9"/>
        <w:rPr>
          <w:rFonts w:hint="eastAsia" w:ascii="宋体" w:hAnsi="宋体" w:eastAsia="宋体" w:cs="宋体"/>
          <w:sz w:val="21"/>
          <w:szCs w:val="21"/>
        </w:rPr>
      </w:pPr>
    </w:p>
    <w:p w14:paraId="725374B0">
      <w:pPr>
        <w:spacing w:line="360" w:lineRule="auto"/>
        <w:ind w:left="327" w:leftChars="-100" w:hanging="567" w:hangingChars="270"/>
        <w:outlineLvl w:val="9"/>
        <w:rPr>
          <w:rFonts w:hint="eastAsia" w:ascii="宋体" w:hAnsi="宋体" w:eastAsia="宋体" w:cs="宋体"/>
          <w:sz w:val="21"/>
          <w:szCs w:val="21"/>
        </w:rPr>
      </w:pPr>
    </w:p>
    <w:p w14:paraId="72BD802C">
      <w:pPr>
        <w:spacing w:line="360" w:lineRule="auto"/>
        <w:ind w:left="327" w:leftChars="-100" w:hanging="567" w:hangingChars="270"/>
        <w:outlineLvl w:val="9"/>
        <w:rPr>
          <w:rFonts w:hint="eastAsia" w:ascii="宋体" w:hAnsi="宋体" w:eastAsia="宋体" w:cs="宋体"/>
          <w:sz w:val="21"/>
          <w:szCs w:val="21"/>
        </w:rPr>
      </w:pPr>
    </w:p>
    <w:p w14:paraId="16B89DD4">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供应商：（加盖供应商法人公章）</w:t>
      </w:r>
    </w:p>
    <w:p w14:paraId="46198242">
      <w:pPr>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日</w:t>
      </w:r>
      <w:r>
        <w:rPr>
          <w:rFonts w:hint="eastAsia" w:ascii="宋体" w:hAnsi="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期：   年   月   日</w:t>
      </w:r>
    </w:p>
    <w:p w14:paraId="0A43943A">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2"/>
          <w:szCs w:val="32"/>
        </w:rPr>
      </w:pPr>
      <w:bookmarkStart w:id="401" w:name="_Toc142508377"/>
      <w:bookmarkStart w:id="402" w:name="_Toc140596937"/>
      <w:bookmarkStart w:id="403" w:name="_Toc5473"/>
      <w:bookmarkStart w:id="404" w:name="_Toc94107218"/>
      <w:bookmarkStart w:id="405" w:name="_Toc102860082"/>
      <w:bookmarkStart w:id="406" w:name="_Toc102860426"/>
      <w:bookmarkStart w:id="407" w:name="_Toc104991884"/>
      <w:bookmarkStart w:id="408" w:name="_Toc13179"/>
      <w:bookmarkStart w:id="409" w:name="_Toc29505"/>
      <w:r>
        <w:rPr>
          <w:rFonts w:hint="eastAsia" w:ascii="宋体" w:hAnsi="宋体" w:eastAsia="宋体" w:cs="宋体"/>
          <w:b/>
          <w:kern w:val="0"/>
          <w:sz w:val="32"/>
          <w:szCs w:val="32"/>
        </w:rPr>
        <w:t>十、业绩表格式</w:t>
      </w:r>
      <w:bookmarkEnd w:id="401"/>
      <w:bookmarkEnd w:id="402"/>
      <w:bookmarkEnd w:id="403"/>
      <w:bookmarkEnd w:id="404"/>
      <w:bookmarkEnd w:id="405"/>
      <w:bookmarkEnd w:id="406"/>
      <w:bookmarkEnd w:id="407"/>
      <w:bookmarkEnd w:id="408"/>
      <w:bookmarkEnd w:id="409"/>
    </w:p>
    <w:p w14:paraId="1C32C43A">
      <w:pPr>
        <w:autoSpaceDE w:val="0"/>
        <w:autoSpaceDN w:val="0"/>
        <w:adjustRightInd w:val="0"/>
        <w:spacing w:line="360" w:lineRule="auto"/>
        <w:ind w:firstLine="602"/>
        <w:jc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供应商</w:t>
      </w:r>
      <w:r>
        <w:rPr>
          <w:rFonts w:hint="eastAsia" w:ascii="宋体" w:hAnsi="宋体" w:eastAsia="宋体" w:cs="宋体"/>
          <w:b/>
          <w:bCs/>
          <w:color w:val="auto"/>
          <w:sz w:val="30"/>
          <w:szCs w:val="30"/>
          <w:lang w:val="zh-CN"/>
        </w:rPr>
        <w:t>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年1月1日至今（签订合同的时间为20</w:t>
      </w:r>
      <w:r>
        <w:rPr>
          <w:rFonts w:hint="eastAsia" w:ascii="宋体" w:hAnsi="宋体" w:eastAsia="宋体" w:cs="宋体"/>
          <w:b/>
          <w:bCs/>
          <w:color w:val="auto"/>
          <w:sz w:val="30"/>
          <w:szCs w:val="30"/>
          <w:lang w:val="en-US" w:eastAsia="zh-CN"/>
        </w:rPr>
        <w:t>19</w:t>
      </w:r>
      <w:r>
        <w:rPr>
          <w:rFonts w:hint="eastAsia" w:ascii="宋体" w:hAnsi="宋体" w:eastAsia="宋体" w:cs="宋体"/>
          <w:b/>
          <w:bCs/>
          <w:color w:val="auto"/>
          <w:sz w:val="30"/>
          <w:szCs w:val="30"/>
          <w:lang w:val="zh-CN"/>
        </w:rPr>
        <w:t>年1月1日或以后）承接的生活污水处理厂污泥脱水减量化处理服务业绩表</w:t>
      </w:r>
    </w:p>
    <w:tbl>
      <w:tblPr>
        <w:tblStyle w:val="55"/>
        <w:tblW w:w="54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13"/>
        <w:gridCol w:w="828"/>
        <w:gridCol w:w="986"/>
        <w:gridCol w:w="1654"/>
        <w:gridCol w:w="803"/>
        <w:gridCol w:w="1996"/>
        <w:gridCol w:w="1413"/>
        <w:gridCol w:w="963"/>
        <w:gridCol w:w="866"/>
        <w:gridCol w:w="1019"/>
      </w:tblGrid>
      <w:tr w14:paraId="4E0F5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7B105CD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368" w:type="pct"/>
            <w:tcBorders>
              <w:top w:val="single" w:color="auto" w:sz="4" w:space="0"/>
              <w:left w:val="single" w:color="auto" w:sz="4" w:space="0"/>
              <w:bottom w:val="single" w:color="auto" w:sz="4" w:space="0"/>
              <w:right w:val="single" w:color="auto" w:sz="4" w:space="0"/>
            </w:tcBorders>
            <w:vAlign w:val="center"/>
          </w:tcPr>
          <w:p w14:paraId="1338B29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项目名称</w:t>
            </w:r>
          </w:p>
        </w:tc>
        <w:tc>
          <w:tcPr>
            <w:tcW w:w="438" w:type="pct"/>
            <w:tcBorders>
              <w:top w:val="single" w:color="auto" w:sz="4" w:space="0"/>
              <w:left w:val="single" w:color="auto" w:sz="4" w:space="0"/>
              <w:bottom w:val="single" w:color="auto" w:sz="4" w:space="0"/>
              <w:right w:val="single" w:color="auto" w:sz="4" w:space="0"/>
            </w:tcBorders>
            <w:vAlign w:val="center"/>
          </w:tcPr>
          <w:p w14:paraId="7A8F4E0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生活污水处理厂名称</w:t>
            </w:r>
          </w:p>
        </w:tc>
        <w:tc>
          <w:tcPr>
            <w:tcW w:w="735" w:type="pct"/>
            <w:tcBorders>
              <w:top w:val="single" w:color="auto" w:sz="4" w:space="0"/>
              <w:left w:val="single" w:color="auto" w:sz="4" w:space="0"/>
              <w:bottom w:val="single" w:color="auto" w:sz="4" w:space="0"/>
              <w:right w:val="single" w:color="auto" w:sz="4" w:space="0"/>
            </w:tcBorders>
            <w:vAlign w:val="center"/>
          </w:tcPr>
          <w:p w14:paraId="474ED7E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负责的主要服务内容</w:t>
            </w:r>
          </w:p>
        </w:tc>
        <w:tc>
          <w:tcPr>
            <w:tcW w:w="357" w:type="pct"/>
            <w:tcBorders>
              <w:top w:val="single" w:color="auto" w:sz="4" w:space="0"/>
              <w:left w:val="single" w:color="auto" w:sz="4" w:space="0"/>
              <w:bottom w:val="single" w:color="auto" w:sz="4" w:space="0"/>
              <w:right w:val="single" w:color="auto" w:sz="4" w:space="0"/>
            </w:tcBorders>
            <w:vAlign w:val="center"/>
          </w:tcPr>
          <w:p w14:paraId="0A1FD6A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污泥类别</w:t>
            </w:r>
          </w:p>
        </w:tc>
        <w:tc>
          <w:tcPr>
            <w:tcW w:w="887" w:type="pct"/>
            <w:tcBorders>
              <w:top w:val="single" w:color="auto" w:sz="4" w:space="0"/>
              <w:left w:val="single" w:color="auto" w:sz="4" w:space="0"/>
              <w:bottom w:val="single" w:color="auto" w:sz="4" w:space="0"/>
              <w:right w:val="single" w:color="auto" w:sz="4" w:space="0"/>
            </w:tcBorders>
            <w:vAlign w:val="center"/>
          </w:tcPr>
          <w:p w14:paraId="05BBF8A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污泥处理规模（按含水率80%计）（单位：吨/天）</w:t>
            </w:r>
          </w:p>
        </w:tc>
        <w:tc>
          <w:tcPr>
            <w:tcW w:w="628" w:type="pct"/>
            <w:tcBorders>
              <w:top w:val="single" w:color="auto" w:sz="4" w:space="0"/>
              <w:left w:val="single" w:color="auto" w:sz="4" w:space="0"/>
              <w:bottom w:val="single" w:color="auto" w:sz="4" w:space="0"/>
              <w:right w:val="single" w:color="auto" w:sz="4" w:space="0"/>
            </w:tcBorders>
            <w:vAlign w:val="center"/>
          </w:tcPr>
          <w:p w14:paraId="14D311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脱水后的污泥含水率</w:t>
            </w:r>
          </w:p>
        </w:tc>
        <w:tc>
          <w:tcPr>
            <w:tcW w:w="428" w:type="pct"/>
            <w:tcBorders>
              <w:top w:val="single" w:color="auto" w:sz="4" w:space="0"/>
              <w:left w:val="single" w:color="auto" w:sz="4" w:space="0"/>
              <w:bottom w:val="single" w:color="auto" w:sz="4" w:space="0"/>
              <w:right w:val="single" w:color="auto" w:sz="4" w:space="0"/>
            </w:tcBorders>
            <w:vAlign w:val="center"/>
          </w:tcPr>
          <w:p w14:paraId="3F5D955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合同服务期限</w:t>
            </w:r>
          </w:p>
        </w:tc>
        <w:tc>
          <w:tcPr>
            <w:tcW w:w="385" w:type="pct"/>
            <w:tcBorders>
              <w:top w:val="single" w:color="auto" w:sz="4" w:space="0"/>
              <w:left w:val="single" w:color="auto" w:sz="4" w:space="0"/>
              <w:bottom w:val="single" w:color="auto" w:sz="4" w:space="0"/>
              <w:right w:val="single" w:color="auto" w:sz="4" w:space="0"/>
            </w:tcBorders>
            <w:vAlign w:val="center"/>
          </w:tcPr>
          <w:p w14:paraId="1F5F56D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签约日期</w:t>
            </w:r>
          </w:p>
        </w:tc>
        <w:tc>
          <w:tcPr>
            <w:tcW w:w="453" w:type="pct"/>
            <w:tcBorders>
              <w:top w:val="single" w:color="auto" w:sz="4" w:space="0"/>
              <w:left w:val="single" w:color="auto" w:sz="4" w:space="0"/>
              <w:bottom w:val="single" w:color="auto" w:sz="4" w:space="0"/>
              <w:right w:val="single" w:color="auto" w:sz="4" w:space="0"/>
            </w:tcBorders>
            <w:vAlign w:val="center"/>
          </w:tcPr>
          <w:p w14:paraId="0AE0189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业主联系人及电话</w:t>
            </w:r>
          </w:p>
        </w:tc>
      </w:tr>
      <w:tr w14:paraId="3444C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C5C0C8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1</w:t>
            </w:r>
          </w:p>
        </w:tc>
        <w:tc>
          <w:tcPr>
            <w:tcW w:w="368" w:type="pct"/>
            <w:tcBorders>
              <w:top w:val="single" w:color="auto" w:sz="4" w:space="0"/>
              <w:left w:val="single" w:color="auto" w:sz="4" w:space="0"/>
              <w:bottom w:val="single" w:color="auto" w:sz="4" w:space="0"/>
              <w:right w:val="single" w:color="auto" w:sz="4" w:space="0"/>
            </w:tcBorders>
            <w:vAlign w:val="center"/>
          </w:tcPr>
          <w:p w14:paraId="269A66F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6319B4F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51794A6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0F1C87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09D60E4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7C10D75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444CF91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65A7EB4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63AC970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5A20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1431FA9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p>
        </w:tc>
        <w:tc>
          <w:tcPr>
            <w:tcW w:w="368" w:type="pct"/>
            <w:tcBorders>
              <w:top w:val="single" w:color="auto" w:sz="4" w:space="0"/>
              <w:left w:val="single" w:color="auto" w:sz="4" w:space="0"/>
              <w:bottom w:val="single" w:color="auto" w:sz="4" w:space="0"/>
              <w:right w:val="single" w:color="auto" w:sz="4" w:space="0"/>
            </w:tcBorders>
            <w:vAlign w:val="center"/>
          </w:tcPr>
          <w:p w14:paraId="57CE0BE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5852FC5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46BB127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14718F2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76B7B5B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D35358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3ED71EF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3BB2299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1EF3929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783EE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317A035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w:t>
            </w:r>
          </w:p>
        </w:tc>
        <w:tc>
          <w:tcPr>
            <w:tcW w:w="368" w:type="pct"/>
            <w:tcBorders>
              <w:top w:val="single" w:color="auto" w:sz="4" w:space="0"/>
              <w:left w:val="single" w:color="auto" w:sz="4" w:space="0"/>
              <w:bottom w:val="single" w:color="auto" w:sz="4" w:space="0"/>
              <w:right w:val="single" w:color="auto" w:sz="4" w:space="0"/>
            </w:tcBorders>
            <w:vAlign w:val="center"/>
          </w:tcPr>
          <w:p w14:paraId="48E854C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7816931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10C1068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14961BC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19910D8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6F0A66E5">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2C09201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2A18D0E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1782C22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r w14:paraId="27841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7" w:type="pct"/>
            <w:tcBorders>
              <w:top w:val="single" w:color="auto" w:sz="4" w:space="0"/>
              <w:left w:val="single" w:color="auto" w:sz="4" w:space="0"/>
              <w:bottom w:val="single" w:color="auto" w:sz="4" w:space="0"/>
              <w:right w:val="single" w:color="auto" w:sz="4" w:space="0"/>
            </w:tcBorders>
            <w:vAlign w:val="center"/>
          </w:tcPr>
          <w:p w14:paraId="2CE4F09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368" w:type="pct"/>
            <w:tcBorders>
              <w:top w:val="single" w:color="auto" w:sz="4" w:space="0"/>
              <w:left w:val="single" w:color="auto" w:sz="4" w:space="0"/>
              <w:bottom w:val="single" w:color="auto" w:sz="4" w:space="0"/>
              <w:right w:val="single" w:color="auto" w:sz="4" w:space="0"/>
            </w:tcBorders>
            <w:vAlign w:val="center"/>
          </w:tcPr>
          <w:p w14:paraId="7123AB9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38" w:type="pct"/>
            <w:tcBorders>
              <w:top w:val="single" w:color="auto" w:sz="4" w:space="0"/>
              <w:left w:val="single" w:color="auto" w:sz="4" w:space="0"/>
              <w:bottom w:val="single" w:color="auto" w:sz="4" w:space="0"/>
              <w:right w:val="single" w:color="auto" w:sz="4" w:space="0"/>
            </w:tcBorders>
            <w:vAlign w:val="center"/>
          </w:tcPr>
          <w:p w14:paraId="0B72616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735" w:type="pct"/>
            <w:tcBorders>
              <w:top w:val="single" w:color="auto" w:sz="4" w:space="0"/>
              <w:left w:val="single" w:color="auto" w:sz="4" w:space="0"/>
              <w:bottom w:val="single" w:color="auto" w:sz="4" w:space="0"/>
              <w:right w:val="single" w:color="auto" w:sz="4" w:space="0"/>
            </w:tcBorders>
            <w:vAlign w:val="center"/>
          </w:tcPr>
          <w:p w14:paraId="65A4CA2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57" w:type="pct"/>
            <w:tcBorders>
              <w:top w:val="single" w:color="auto" w:sz="4" w:space="0"/>
              <w:left w:val="single" w:color="auto" w:sz="4" w:space="0"/>
              <w:bottom w:val="single" w:color="auto" w:sz="4" w:space="0"/>
              <w:right w:val="single" w:color="auto" w:sz="4" w:space="0"/>
            </w:tcBorders>
            <w:vAlign w:val="center"/>
          </w:tcPr>
          <w:p w14:paraId="5035839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887" w:type="pct"/>
            <w:tcBorders>
              <w:top w:val="single" w:color="auto" w:sz="4" w:space="0"/>
              <w:left w:val="single" w:color="auto" w:sz="4" w:space="0"/>
              <w:bottom w:val="single" w:color="auto" w:sz="4" w:space="0"/>
              <w:right w:val="single" w:color="auto" w:sz="4" w:space="0"/>
            </w:tcBorders>
            <w:vAlign w:val="center"/>
          </w:tcPr>
          <w:p w14:paraId="2FB1E2F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9E2AC5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28" w:type="pct"/>
            <w:tcBorders>
              <w:top w:val="single" w:color="auto" w:sz="4" w:space="0"/>
              <w:left w:val="single" w:color="auto" w:sz="4" w:space="0"/>
              <w:bottom w:val="single" w:color="auto" w:sz="4" w:space="0"/>
              <w:right w:val="single" w:color="auto" w:sz="4" w:space="0"/>
            </w:tcBorders>
            <w:vAlign w:val="center"/>
          </w:tcPr>
          <w:p w14:paraId="06660F1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385" w:type="pct"/>
            <w:tcBorders>
              <w:top w:val="single" w:color="auto" w:sz="4" w:space="0"/>
              <w:left w:val="single" w:color="auto" w:sz="4" w:space="0"/>
              <w:bottom w:val="single" w:color="auto" w:sz="4" w:space="0"/>
              <w:right w:val="single" w:color="auto" w:sz="4" w:space="0"/>
            </w:tcBorders>
            <w:vAlign w:val="center"/>
          </w:tcPr>
          <w:p w14:paraId="76EFE45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vAlign w:val="center"/>
          </w:tcPr>
          <w:p w14:paraId="6F16748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p>
        </w:tc>
      </w:tr>
    </w:tbl>
    <w:p w14:paraId="07EBE2E8">
      <w:pPr>
        <w:autoSpaceDE w:val="0"/>
        <w:autoSpaceDN w:val="0"/>
        <w:adjustRightInd w:val="0"/>
        <w:snapToGrid w:val="0"/>
        <w:spacing w:line="360" w:lineRule="auto"/>
        <w:ind w:left="213" w:leftChars="-158" w:hanging="592" w:hangingChars="247"/>
        <w:jc w:val="left"/>
        <w:outlineLvl w:val="9"/>
        <w:rPr>
          <w:rFonts w:hint="eastAsia" w:ascii="宋体" w:hAnsi="宋体" w:eastAsia="宋体" w:cs="宋体"/>
          <w:szCs w:val="21"/>
          <w:lang w:val="zh-CN"/>
        </w:rPr>
      </w:pPr>
    </w:p>
    <w:p w14:paraId="5B29990F">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备注：</w:t>
      </w:r>
    </w:p>
    <w:p w14:paraId="40E2DD54">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zh-CN"/>
        </w:rPr>
        <w:t>业绩按污泥处理规模（日处理量）从大到小的</w:t>
      </w:r>
      <w:r>
        <w:rPr>
          <w:rFonts w:hint="eastAsia" w:ascii="宋体" w:hAnsi="宋体" w:eastAsia="宋体" w:cs="宋体"/>
          <w:b/>
          <w:bCs/>
          <w:color w:val="auto"/>
          <w:sz w:val="21"/>
          <w:szCs w:val="21"/>
          <w:u w:val="single"/>
        </w:rPr>
        <w:t>顺序</w:t>
      </w:r>
      <w:r>
        <w:rPr>
          <w:rFonts w:hint="eastAsia" w:ascii="宋体" w:hAnsi="宋体" w:eastAsia="宋体" w:cs="宋体"/>
          <w:b/>
          <w:bCs/>
          <w:color w:val="auto"/>
          <w:sz w:val="21"/>
          <w:szCs w:val="21"/>
          <w:u w:val="single"/>
          <w:lang w:val="zh-CN"/>
        </w:rPr>
        <w:t>排列；同一个生活污水处理厂污泥脱水减量化处理服务的业绩可以同时在资格业绩和评分业绩重复放置，作为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资格条件证明的业绩放置在“</w:t>
      </w:r>
      <w:r>
        <w:rPr>
          <w:rFonts w:hint="eastAsia" w:ascii="宋体" w:hAnsi="宋体" w:eastAsia="宋体" w:cs="宋体"/>
          <w:b/>
          <w:bCs/>
          <w:color w:val="auto"/>
          <w:sz w:val="21"/>
          <w:szCs w:val="21"/>
          <w:u w:val="single"/>
        </w:rPr>
        <w:t>5.4</w:t>
      </w:r>
      <w:r>
        <w:rPr>
          <w:rFonts w:hint="eastAsia" w:ascii="宋体" w:hAnsi="宋体" w:eastAsia="宋体" w:cs="宋体"/>
          <w:b/>
          <w:bCs/>
          <w:color w:val="auto"/>
          <w:sz w:val="21"/>
          <w:szCs w:val="21"/>
          <w:u w:val="single"/>
          <w:lang w:val="zh-CN"/>
        </w:rPr>
        <w:t>资格业绩”处</w:t>
      </w:r>
      <w:r>
        <w:rPr>
          <w:rFonts w:hint="eastAsia" w:ascii="宋体" w:hAnsi="宋体" w:eastAsia="宋体" w:cs="宋体"/>
          <w:color w:val="auto"/>
          <w:sz w:val="21"/>
          <w:szCs w:val="21"/>
          <w:lang w:val="zh-CN"/>
        </w:rPr>
        <w:t>。</w:t>
      </w:r>
    </w:p>
    <w:p w14:paraId="1E165BE0">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lang w:val="zh-CN"/>
        </w:rPr>
        <w:t>业绩必须附合同复印件（合同服务提供方为</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）。合同必须能反映评分条件（合同签订日期、服务内容、污泥类别、污泥处理规模、</w:t>
      </w:r>
      <w:r>
        <w:rPr>
          <w:rFonts w:hint="eastAsia" w:ascii="宋体" w:hAnsi="宋体" w:eastAsia="宋体" w:cs="宋体"/>
          <w:b/>
          <w:bCs/>
          <w:color w:val="auto"/>
          <w:sz w:val="21"/>
          <w:szCs w:val="21"/>
          <w:u w:val="single"/>
          <w:lang w:val="en-US" w:eastAsia="zh-CN"/>
        </w:rPr>
        <w:t>脱水后的污泥含水率、</w:t>
      </w:r>
      <w:r>
        <w:rPr>
          <w:rFonts w:hint="eastAsia" w:ascii="宋体" w:hAnsi="宋体" w:eastAsia="宋体" w:cs="宋体"/>
          <w:b/>
          <w:bCs/>
          <w:color w:val="auto"/>
          <w:sz w:val="21"/>
          <w:szCs w:val="21"/>
          <w:u w:val="single"/>
          <w:lang w:val="zh-CN"/>
        </w:rPr>
        <w:t>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复印件，否则不得分</w:t>
      </w:r>
      <w:r>
        <w:rPr>
          <w:rFonts w:hint="eastAsia" w:ascii="宋体" w:hAnsi="宋体" w:eastAsia="宋体" w:cs="宋体"/>
          <w:color w:val="auto"/>
          <w:sz w:val="21"/>
          <w:szCs w:val="21"/>
          <w:lang w:val="zh-CN"/>
        </w:rPr>
        <w:t>。</w:t>
      </w:r>
    </w:p>
    <w:p w14:paraId="42CF9B0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b/>
          <w:bCs/>
          <w:color w:val="auto"/>
          <w:sz w:val="21"/>
          <w:szCs w:val="21"/>
          <w:u w:val="single"/>
          <w:lang w:val="zh-CN"/>
        </w:rPr>
        <w:t>污泥脱水减量化处理服务业绩的污泥类别须为生活污水处理厂污泥，服务内容须包含生活污水处理厂污泥脱水减量化处理服务，</w:t>
      </w:r>
      <w:r>
        <w:rPr>
          <w:rFonts w:hint="eastAsia" w:ascii="宋体" w:hAnsi="宋体" w:eastAsia="宋体" w:cs="宋体"/>
          <w:b/>
          <w:bCs/>
          <w:color w:val="auto"/>
          <w:sz w:val="21"/>
          <w:szCs w:val="21"/>
          <w:u w:val="single"/>
          <w:lang w:val="en-US" w:eastAsia="zh-CN"/>
        </w:rPr>
        <w:t>需将污泥脱水减量至含水率≤55%，</w:t>
      </w:r>
      <w:r>
        <w:rPr>
          <w:rFonts w:hint="eastAsia" w:ascii="宋体" w:hAnsi="宋体" w:eastAsia="宋体" w:cs="宋体"/>
          <w:b/>
          <w:bCs/>
          <w:color w:val="auto"/>
          <w:sz w:val="21"/>
          <w:szCs w:val="21"/>
          <w:u w:val="single"/>
          <w:lang w:val="zh-CN"/>
        </w:rPr>
        <w:t>如污泥脱水减量化处理服务业绩的服务内容为生活污水处理厂污泥的全流程处理处置，必须</w:t>
      </w:r>
      <w:r>
        <w:rPr>
          <w:rFonts w:hint="eastAsia" w:ascii="宋体" w:hAnsi="宋体" w:eastAsia="宋体" w:cs="宋体"/>
          <w:b/>
          <w:bCs/>
          <w:color w:val="auto"/>
          <w:sz w:val="21"/>
          <w:szCs w:val="21"/>
          <w:u w:val="single"/>
          <w:lang w:val="zh-CN" w:eastAsia="zh-CN"/>
        </w:rPr>
        <w:t>包含</w:t>
      </w:r>
      <w:r>
        <w:rPr>
          <w:rFonts w:hint="eastAsia" w:ascii="宋体" w:hAnsi="宋体" w:eastAsia="宋体" w:cs="宋体"/>
          <w:b/>
          <w:bCs/>
          <w:color w:val="auto"/>
          <w:sz w:val="21"/>
          <w:szCs w:val="21"/>
          <w:u w:val="single"/>
          <w:lang w:val="zh-CN"/>
        </w:rPr>
        <w:t>污泥</w:t>
      </w:r>
      <w:r>
        <w:rPr>
          <w:rFonts w:hint="eastAsia" w:ascii="宋体" w:hAnsi="宋体" w:eastAsia="宋体" w:cs="宋体"/>
          <w:b/>
          <w:bCs/>
          <w:color w:val="auto"/>
          <w:sz w:val="21"/>
          <w:szCs w:val="21"/>
          <w:u w:val="single"/>
          <w:lang w:val="zh-CN" w:eastAsia="zh-CN"/>
        </w:rPr>
        <w:t>脱水</w:t>
      </w:r>
      <w:r>
        <w:rPr>
          <w:rFonts w:hint="eastAsia" w:ascii="宋体" w:hAnsi="宋体" w:eastAsia="宋体" w:cs="宋体"/>
          <w:b/>
          <w:bCs/>
          <w:color w:val="auto"/>
          <w:sz w:val="21"/>
          <w:szCs w:val="21"/>
          <w:u w:val="single"/>
          <w:lang w:val="zh-CN"/>
        </w:rPr>
        <w:t>减量化处理</w:t>
      </w:r>
      <w:r>
        <w:rPr>
          <w:rFonts w:hint="eastAsia" w:ascii="宋体" w:hAnsi="宋体" w:eastAsia="宋体" w:cs="宋体"/>
          <w:b/>
          <w:bCs/>
          <w:color w:val="auto"/>
          <w:sz w:val="21"/>
          <w:szCs w:val="21"/>
          <w:u w:val="single"/>
          <w:lang w:val="en-US" w:eastAsia="zh-CN"/>
        </w:rPr>
        <w:t>至含水率≤55%</w:t>
      </w:r>
      <w:r>
        <w:rPr>
          <w:rFonts w:hint="eastAsia" w:ascii="宋体" w:hAnsi="宋体" w:eastAsia="宋体" w:cs="宋体"/>
          <w:b/>
          <w:bCs/>
          <w:color w:val="auto"/>
          <w:sz w:val="21"/>
          <w:szCs w:val="21"/>
          <w:u w:val="single"/>
          <w:lang w:val="zh-CN" w:eastAsia="zh-CN"/>
        </w:rPr>
        <w:t>的</w:t>
      </w:r>
      <w:r>
        <w:rPr>
          <w:rFonts w:hint="eastAsia" w:ascii="宋体" w:hAnsi="宋体" w:eastAsia="宋体" w:cs="宋体"/>
          <w:b/>
          <w:bCs/>
          <w:color w:val="auto"/>
          <w:sz w:val="21"/>
          <w:szCs w:val="21"/>
          <w:u w:val="single"/>
          <w:lang w:val="zh-CN"/>
        </w:rPr>
        <w:t>服务内容，否则不得分</w:t>
      </w:r>
      <w:r>
        <w:rPr>
          <w:rFonts w:hint="eastAsia" w:ascii="宋体" w:hAnsi="宋体" w:eastAsia="宋体" w:cs="宋体"/>
          <w:color w:val="auto"/>
          <w:sz w:val="21"/>
          <w:szCs w:val="21"/>
          <w:lang w:val="zh-CN"/>
        </w:rPr>
        <w:t>。</w:t>
      </w:r>
    </w:p>
    <w:p w14:paraId="6499C31E">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r>
        <w:rPr>
          <w:rFonts w:hint="eastAsia" w:ascii="宋体" w:hAnsi="宋体" w:eastAsia="宋体" w:cs="宋体"/>
          <w:b/>
          <w:bCs/>
          <w:color w:val="auto"/>
          <w:sz w:val="21"/>
          <w:szCs w:val="21"/>
          <w:u w:val="single"/>
          <w:lang w:val="zh-CN"/>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12E4FC6C">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污泥脱水减量化处理服务业绩合同服务期限要求大于或等于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，小于</w:t>
      </w:r>
      <w:r>
        <w:rPr>
          <w:rFonts w:hint="eastAsia" w:ascii="宋体" w:hAnsi="宋体" w:eastAsia="宋体" w:cs="宋体"/>
          <w:b/>
          <w:bCs/>
          <w:color w:val="auto"/>
          <w:sz w:val="21"/>
          <w:szCs w:val="21"/>
          <w:u w:val="single"/>
          <w:lang w:val="en-US" w:eastAsia="zh-CN"/>
        </w:rPr>
        <w:t>1年</w:t>
      </w:r>
      <w:r>
        <w:rPr>
          <w:rFonts w:hint="eastAsia" w:ascii="宋体" w:hAnsi="宋体" w:eastAsia="宋体" w:cs="宋体"/>
          <w:b/>
          <w:bCs/>
          <w:color w:val="auto"/>
          <w:sz w:val="21"/>
          <w:szCs w:val="21"/>
          <w:u w:val="single"/>
          <w:lang w:val="zh-CN"/>
        </w:rPr>
        <w:t>的业绩合同在</w:t>
      </w:r>
      <w:r>
        <w:rPr>
          <w:rFonts w:hint="eastAsia" w:ascii="宋体" w:hAnsi="宋体" w:eastAsia="宋体" w:cs="宋体"/>
          <w:b/>
          <w:bCs/>
          <w:color w:val="auto"/>
          <w:sz w:val="21"/>
          <w:szCs w:val="21"/>
          <w:u w:val="single"/>
          <w:lang w:val="en-US" w:eastAsia="zh-CN"/>
        </w:rPr>
        <w:t>评审</w:t>
      </w:r>
      <w:r>
        <w:rPr>
          <w:rFonts w:hint="eastAsia" w:ascii="宋体" w:hAnsi="宋体" w:eastAsia="宋体" w:cs="宋体"/>
          <w:b/>
          <w:bCs/>
          <w:color w:val="auto"/>
          <w:sz w:val="21"/>
          <w:szCs w:val="21"/>
          <w:u w:val="single"/>
          <w:lang w:val="zh-CN"/>
        </w:rPr>
        <w:t>时不予考虑</w:t>
      </w:r>
      <w:r>
        <w:rPr>
          <w:rFonts w:hint="eastAsia" w:ascii="宋体" w:hAnsi="宋体" w:eastAsia="宋体" w:cs="宋体"/>
          <w:color w:val="auto"/>
          <w:sz w:val="21"/>
          <w:szCs w:val="21"/>
          <w:lang w:val="zh-CN"/>
        </w:rPr>
        <w:t>。</w:t>
      </w:r>
    </w:p>
    <w:p w14:paraId="728D948B">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若业绩为无明确污泥处理规模，必须同时提供合同期限内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统计表和污泥转运联单复印件（无转运联单的，提供服务发票复印件及折算处理量数据或污泥产生单位盖章的证明文件替代）以证明污泥处理规模，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lang w:val="zh-CN"/>
        </w:rPr>
        <w:t>进行计算，并以此作为污泥处理规模进行评审</w:t>
      </w:r>
      <w:r>
        <w:rPr>
          <w:rFonts w:hint="eastAsia" w:ascii="宋体" w:hAnsi="宋体" w:eastAsia="宋体" w:cs="宋体"/>
          <w:color w:val="auto"/>
          <w:sz w:val="21"/>
          <w:szCs w:val="21"/>
          <w:lang w:val="zh-CN"/>
        </w:rPr>
        <w:t>。</w:t>
      </w:r>
    </w:p>
    <w:p w14:paraId="48CF97D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w:t>
      </w:r>
      <w:r>
        <w:rPr>
          <w:rFonts w:hint="eastAsia" w:ascii="宋体" w:hAnsi="宋体" w:eastAsia="宋体" w:cs="宋体"/>
          <w:b/>
          <w:bCs/>
          <w:color w:val="auto"/>
          <w:sz w:val="21"/>
          <w:szCs w:val="21"/>
          <w:u w:val="single"/>
          <w:lang w:val="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r>
        <w:rPr>
          <w:rFonts w:hint="eastAsia" w:ascii="宋体" w:hAnsi="宋体" w:eastAsia="宋体" w:cs="宋体"/>
          <w:color w:val="auto"/>
          <w:sz w:val="21"/>
          <w:szCs w:val="21"/>
          <w:lang w:val="zh-CN"/>
        </w:rPr>
        <w:t>。</w:t>
      </w:r>
    </w:p>
    <w:p w14:paraId="67D7BF6D">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en-US" w:eastAsia="zh-CN"/>
        </w:rPr>
        <w:t>若业绩所附合同复印件为主合同的补充协议，需同时附主合同，否则，在评审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w:t>
      </w:r>
      <w:r>
        <w:rPr>
          <w:rFonts w:hint="eastAsia" w:ascii="宋体" w:hAnsi="宋体" w:cs="宋体"/>
          <w:b/>
          <w:bCs/>
          <w:color w:val="auto"/>
          <w:sz w:val="21"/>
          <w:szCs w:val="21"/>
          <w:u w:val="single"/>
          <w:lang w:val="en-US" w:eastAsia="zh-CN"/>
        </w:rPr>
        <w:t>或提供加盖委托方公章反映评分条件的招标文件</w:t>
      </w:r>
      <w:r>
        <w:rPr>
          <w:rFonts w:hint="eastAsia" w:ascii="宋体" w:hAnsi="宋体" w:eastAsia="宋体" w:cs="宋体"/>
          <w:b/>
          <w:bCs/>
          <w:color w:val="auto"/>
          <w:sz w:val="21"/>
          <w:szCs w:val="21"/>
          <w:u w:val="single"/>
          <w:lang w:val="zh-CN"/>
        </w:rPr>
        <w:t>复印件</w:t>
      </w:r>
      <w:r>
        <w:rPr>
          <w:rFonts w:hint="eastAsia" w:ascii="宋体" w:hAnsi="宋体" w:eastAsia="宋体" w:cs="宋体"/>
          <w:b/>
          <w:bCs/>
          <w:color w:val="auto"/>
          <w:sz w:val="21"/>
          <w:szCs w:val="21"/>
          <w:u w:val="single"/>
          <w:lang w:val="en-US" w:eastAsia="zh-CN"/>
        </w:rPr>
        <w:t>，否则不得分。合同签订日期按主合同签订日期进行评审，其他评分条件按主合同、主合同补充协议、服务购买方出具的书面补充情况说明文件</w:t>
      </w:r>
      <w:r>
        <w:rPr>
          <w:rFonts w:hint="eastAsia" w:ascii="宋体" w:hAnsi="宋体" w:cs="宋体"/>
          <w:b/>
          <w:bCs/>
          <w:color w:val="auto"/>
          <w:sz w:val="21"/>
          <w:szCs w:val="21"/>
          <w:u w:val="single"/>
          <w:lang w:val="en-US" w:eastAsia="zh-CN"/>
        </w:rPr>
        <w:t>、加盖委托方公章的招标文件</w:t>
      </w:r>
      <w:r>
        <w:rPr>
          <w:rFonts w:hint="eastAsia" w:ascii="宋体" w:hAnsi="宋体" w:eastAsia="宋体" w:cs="宋体"/>
          <w:b/>
          <w:bCs/>
          <w:color w:val="auto"/>
          <w:sz w:val="21"/>
          <w:szCs w:val="21"/>
          <w:u w:val="single"/>
          <w:lang w:val="en-US" w:eastAsia="zh-CN"/>
        </w:rPr>
        <w:t>反映的内容进行评审</w:t>
      </w:r>
      <w:r>
        <w:rPr>
          <w:rFonts w:hint="eastAsia" w:ascii="宋体" w:hAnsi="宋体" w:eastAsia="宋体" w:cs="宋体"/>
          <w:b/>
          <w:bCs/>
          <w:color w:val="auto"/>
          <w:sz w:val="21"/>
          <w:szCs w:val="21"/>
          <w:lang w:val="en-US" w:eastAsia="zh-CN"/>
        </w:rPr>
        <w:t>。</w:t>
      </w:r>
    </w:p>
    <w:p w14:paraId="2CF052B3">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lang w:val="zh-CN"/>
        </w:rPr>
        <w:t>未按上述要求</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提供证明材料的业绩，或</w:t>
      </w:r>
      <w:r>
        <w:rPr>
          <w:rFonts w:hint="eastAsia" w:ascii="宋体" w:hAnsi="宋体" w:eastAsia="宋体" w:cs="宋体"/>
          <w:b/>
          <w:bCs/>
          <w:color w:val="auto"/>
          <w:sz w:val="21"/>
          <w:szCs w:val="21"/>
          <w:u w:val="single"/>
          <w:lang w:val="en-US" w:eastAsia="zh-CN"/>
        </w:rPr>
        <w:t>在此格式下</w:t>
      </w:r>
      <w:r>
        <w:rPr>
          <w:rFonts w:hint="eastAsia" w:ascii="宋体" w:hAnsi="宋体" w:eastAsia="宋体" w:cs="宋体"/>
          <w:b/>
          <w:bCs/>
          <w:color w:val="auto"/>
          <w:sz w:val="21"/>
          <w:szCs w:val="21"/>
          <w:u w:val="single"/>
          <w:lang w:val="zh-CN"/>
        </w:rPr>
        <w:t>所附材料无法证明填报项目属</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完成的或不符合本项评分要求的业绩，在评</w:t>
      </w:r>
      <w:r>
        <w:rPr>
          <w:rFonts w:hint="eastAsia" w:ascii="宋体" w:hAnsi="宋体" w:eastAsia="宋体" w:cs="宋体"/>
          <w:b/>
          <w:bCs/>
          <w:color w:val="auto"/>
          <w:sz w:val="21"/>
          <w:szCs w:val="21"/>
          <w:u w:val="single"/>
          <w:lang w:val="en-US" w:eastAsia="zh-CN"/>
        </w:rPr>
        <w:t>审</w:t>
      </w:r>
      <w:r>
        <w:rPr>
          <w:rFonts w:hint="eastAsia" w:ascii="宋体" w:hAnsi="宋体" w:eastAsia="宋体" w:cs="宋体"/>
          <w:b/>
          <w:bCs/>
          <w:color w:val="auto"/>
          <w:sz w:val="21"/>
          <w:szCs w:val="21"/>
          <w:u w:val="single"/>
          <w:lang w:val="zh-CN"/>
        </w:rPr>
        <w:t>时将不予考虑</w:t>
      </w:r>
      <w:r>
        <w:rPr>
          <w:rFonts w:hint="eastAsia" w:ascii="宋体" w:hAnsi="宋体" w:eastAsia="宋体" w:cs="宋体"/>
          <w:color w:val="auto"/>
          <w:sz w:val="21"/>
          <w:szCs w:val="21"/>
          <w:lang w:val="zh-CN"/>
        </w:rPr>
        <w:t>。</w:t>
      </w:r>
    </w:p>
    <w:p w14:paraId="1C88710D">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人有权对</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提供的业绩进行核查，若发现弄虚作假，有权按照</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lang w:val="zh-CN"/>
        </w:rPr>
        <w:t>推荐的</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候选人名单排序依次确定其他</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候选人为</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val="zh-CN"/>
        </w:rPr>
        <w:t>人或重新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，并不予退还</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保证金；若合同履行过程中发现弄虚作假，将没收履约担保，并将上报监督管理部门，从严处理。</w:t>
      </w:r>
    </w:p>
    <w:p w14:paraId="05366579">
      <w:pPr>
        <w:autoSpaceDE w:val="0"/>
        <w:autoSpaceDN w:val="0"/>
        <w:adjustRightInd w:val="0"/>
        <w:snapToGrid w:val="0"/>
        <w:spacing w:line="360" w:lineRule="auto"/>
        <w:ind w:left="469" w:leftChars="-41" w:hanging="567" w:hangingChars="27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rPr>
        <w:t>）在接到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人通知之日起3个工作日内，</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必须提供上述合同及其证明材料的原件供</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人核对其真实性。</w:t>
      </w:r>
    </w:p>
    <w:p w14:paraId="33082A74">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p>
    <w:p w14:paraId="6ED2B727">
      <w:pPr>
        <w:autoSpaceDE w:val="0"/>
        <w:autoSpaceDN w:val="0"/>
        <w:adjustRightInd w:val="0"/>
        <w:spacing w:line="360" w:lineRule="auto"/>
        <w:ind w:firstLine="5040" w:firstLineChars="2400"/>
        <w:jc w:val="left"/>
        <w:outlineLvl w:val="9"/>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4D9F02F9">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rPr>
        <w:t>期：   年   月   日</w:t>
      </w:r>
    </w:p>
    <w:p w14:paraId="0FF46459">
      <w:pPr>
        <w:spacing w:line="360" w:lineRule="auto"/>
        <w:outlineLvl w:val="9"/>
        <w:rPr>
          <w:rFonts w:hint="eastAsia" w:ascii="宋体" w:hAnsi="宋体" w:eastAsia="宋体" w:cs="宋体"/>
          <w:color w:val="auto"/>
          <w:szCs w:val="21"/>
          <w:lang w:val="zh-CN"/>
        </w:rPr>
      </w:pPr>
      <w:r>
        <w:rPr>
          <w:rFonts w:hint="eastAsia" w:ascii="宋体" w:hAnsi="宋体" w:eastAsia="宋体" w:cs="宋体"/>
          <w:color w:val="auto"/>
          <w:szCs w:val="21"/>
          <w:lang w:val="zh-CN"/>
        </w:rPr>
        <w:br w:type="page"/>
      </w:r>
    </w:p>
    <w:p w14:paraId="35E30CCE">
      <w:pPr>
        <w:pStyle w:val="73"/>
        <w:spacing w:line="360" w:lineRule="auto"/>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附表：</w:t>
      </w:r>
      <w:r>
        <w:rPr>
          <w:rFonts w:hint="eastAsia" w:ascii="宋体" w:hAnsi="宋体" w:eastAsia="宋体" w:cs="宋体"/>
          <w:color w:val="auto"/>
          <w:sz w:val="21"/>
          <w:szCs w:val="21"/>
          <w:lang w:val="en-US" w:eastAsia="zh-CN"/>
        </w:rPr>
        <w:t>服务期内单个月份</w:t>
      </w:r>
      <w:r>
        <w:rPr>
          <w:rFonts w:hint="eastAsia" w:ascii="宋体" w:hAnsi="宋体" w:eastAsia="宋体" w:cs="宋体"/>
          <w:color w:val="auto"/>
          <w:sz w:val="21"/>
          <w:szCs w:val="21"/>
        </w:rPr>
        <w:t>已完成的生活污水处理厂污泥处理量统计表</w:t>
      </w:r>
    </w:p>
    <w:tbl>
      <w:tblPr>
        <w:tblStyle w:val="55"/>
        <w:tblW w:w="487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14"/>
        <w:gridCol w:w="2523"/>
        <w:gridCol w:w="2915"/>
        <w:gridCol w:w="1415"/>
        <w:gridCol w:w="2238"/>
      </w:tblGrid>
      <w:tr w14:paraId="21FE5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17A555E6">
            <w:pPr>
              <w:keepNext w:val="0"/>
              <w:keepLines w:val="0"/>
              <w:suppressLineNumbers w:val="0"/>
              <w:snapToGrid w:val="0"/>
              <w:spacing w:before="0" w:beforeAutospacing="0" w:after="0" w:afterAutospacing="0" w:line="360" w:lineRule="auto"/>
              <w:ind w:left="253" w:leftChars="-58" w:right="0" w:hanging="392" w:hangingChars="187"/>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1248" w:type="pct"/>
            <w:tcBorders>
              <w:top w:val="single" w:color="auto" w:sz="4" w:space="0"/>
              <w:left w:val="single" w:color="auto" w:sz="4" w:space="0"/>
              <w:bottom w:val="single" w:color="auto" w:sz="4" w:space="0"/>
              <w:right w:val="single" w:color="auto" w:sz="4" w:space="0"/>
            </w:tcBorders>
            <w:vAlign w:val="center"/>
          </w:tcPr>
          <w:p w14:paraId="0BF1C43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日期</w:t>
            </w:r>
          </w:p>
        </w:tc>
        <w:tc>
          <w:tcPr>
            <w:tcW w:w="1441" w:type="pct"/>
            <w:tcBorders>
              <w:top w:val="single" w:color="auto" w:sz="4" w:space="0"/>
              <w:left w:val="single" w:color="auto" w:sz="4" w:space="0"/>
              <w:bottom w:val="single" w:color="auto" w:sz="4" w:space="0"/>
              <w:right w:val="single" w:color="auto" w:sz="4" w:space="0"/>
            </w:tcBorders>
            <w:vAlign w:val="center"/>
          </w:tcPr>
          <w:p w14:paraId="1696DB0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污泥量</w:t>
            </w:r>
          </w:p>
        </w:tc>
        <w:tc>
          <w:tcPr>
            <w:tcW w:w="700" w:type="pct"/>
            <w:tcBorders>
              <w:top w:val="single" w:color="auto" w:sz="4" w:space="0"/>
              <w:left w:val="single" w:color="auto" w:sz="4" w:space="0"/>
              <w:bottom w:val="single" w:color="auto" w:sz="4" w:space="0"/>
              <w:right w:val="single" w:color="auto" w:sz="4" w:space="0"/>
            </w:tcBorders>
            <w:vAlign w:val="center"/>
          </w:tcPr>
          <w:p w14:paraId="33D1629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含水率（%）</w:t>
            </w:r>
          </w:p>
        </w:tc>
        <w:tc>
          <w:tcPr>
            <w:tcW w:w="1106" w:type="pct"/>
            <w:tcBorders>
              <w:top w:val="single" w:color="auto" w:sz="4" w:space="0"/>
              <w:left w:val="single" w:color="auto" w:sz="4" w:space="0"/>
              <w:bottom w:val="single" w:color="auto" w:sz="4" w:space="0"/>
              <w:right w:val="single" w:color="auto" w:sz="4" w:space="0"/>
            </w:tcBorders>
            <w:vAlign w:val="center"/>
          </w:tcPr>
          <w:p w14:paraId="31B9444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污泥转运联单编号</w:t>
            </w:r>
          </w:p>
        </w:tc>
      </w:tr>
      <w:tr w14:paraId="4BB34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6F82B9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1248" w:type="pct"/>
            <w:tcBorders>
              <w:top w:val="single" w:color="auto" w:sz="4" w:space="0"/>
              <w:left w:val="single" w:color="auto" w:sz="4" w:space="0"/>
              <w:bottom w:val="single" w:color="auto" w:sz="4" w:space="0"/>
              <w:right w:val="single" w:color="auto" w:sz="4" w:space="0"/>
            </w:tcBorders>
            <w:vAlign w:val="center"/>
          </w:tcPr>
          <w:p w14:paraId="3A3EB29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3EFAED3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1AE3A5E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1C3E92F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20B19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275482B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1248" w:type="pct"/>
            <w:tcBorders>
              <w:top w:val="single" w:color="auto" w:sz="4" w:space="0"/>
              <w:left w:val="single" w:color="auto" w:sz="4" w:space="0"/>
              <w:bottom w:val="single" w:color="auto" w:sz="4" w:space="0"/>
              <w:right w:val="single" w:color="auto" w:sz="4" w:space="0"/>
            </w:tcBorders>
            <w:vAlign w:val="center"/>
          </w:tcPr>
          <w:p w14:paraId="0DE9F51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05AEE2E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74050B4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6B11A6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5C984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17BC7E3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1248" w:type="pct"/>
            <w:tcBorders>
              <w:top w:val="single" w:color="auto" w:sz="4" w:space="0"/>
              <w:left w:val="single" w:color="auto" w:sz="4" w:space="0"/>
              <w:bottom w:val="single" w:color="auto" w:sz="4" w:space="0"/>
              <w:right w:val="single" w:color="auto" w:sz="4" w:space="0"/>
            </w:tcBorders>
            <w:vAlign w:val="center"/>
          </w:tcPr>
          <w:p w14:paraId="1638898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6AA1256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4609A4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62DB7F1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51E6A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02" w:type="pct"/>
            <w:tcBorders>
              <w:top w:val="single" w:color="auto" w:sz="4" w:space="0"/>
              <w:left w:val="single" w:color="auto" w:sz="4" w:space="0"/>
              <w:bottom w:val="single" w:color="auto" w:sz="4" w:space="0"/>
              <w:right w:val="single" w:color="auto" w:sz="4" w:space="0"/>
            </w:tcBorders>
            <w:vAlign w:val="center"/>
          </w:tcPr>
          <w:p w14:paraId="02795DC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248" w:type="pct"/>
            <w:tcBorders>
              <w:top w:val="single" w:color="auto" w:sz="4" w:space="0"/>
              <w:left w:val="single" w:color="auto" w:sz="4" w:space="0"/>
              <w:bottom w:val="single" w:color="auto" w:sz="4" w:space="0"/>
              <w:right w:val="single" w:color="auto" w:sz="4" w:space="0"/>
            </w:tcBorders>
            <w:vAlign w:val="center"/>
          </w:tcPr>
          <w:p w14:paraId="442085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441" w:type="pct"/>
            <w:tcBorders>
              <w:top w:val="single" w:color="auto" w:sz="4" w:space="0"/>
              <w:left w:val="single" w:color="auto" w:sz="4" w:space="0"/>
              <w:bottom w:val="single" w:color="auto" w:sz="4" w:space="0"/>
              <w:right w:val="single" w:color="auto" w:sz="4" w:space="0"/>
            </w:tcBorders>
            <w:vAlign w:val="center"/>
          </w:tcPr>
          <w:p w14:paraId="50E6059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700" w:type="pct"/>
            <w:tcBorders>
              <w:top w:val="single" w:color="auto" w:sz="4" w:space="0"/>
              <w:left w:val="single" w:color="auto" w:sz="4" w:space="0"/>
              <w:bottom w:val="single" w:color="auto" w:sz="4" w:space="0"/>
              <w:right w:val="single" w:color="auto" w:sz="4" w:space="0"/>
            </w:tcBorders>
            <w:vAlign w:val="center"/>
          </w:tcPr>
          <w:p w14:paraId="6CFF6B6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c>
          <w:tcPr>
            <w:tcW w:w="1106" w:type="pct"/>
            <w:tcBorders>
              <w:top w:val="single" w:color="auto" w:sz="4" w:space="0"/>
              <w:left w:val="single" w:color="auto" w:sz="4" w:space="0"/>
              <w:bottom w:val="single" w:color="auto" w:sz="4" w:space="0"/>
              <w:right w:val="single" w:color="auto" w:sz="4" w:space="0"/>
            </w:tcBorders>
            <w:vAlign w:val="center"/>
          </w:tcPr>
          <w:p w14:paraId="58B6B2A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r w14:paraId="33AEF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3192" w:type="pct"/>
            <w:gridSpan w:val="3"/>
            <w:tcBorders>
              <w:top w:val="single" w:color="auto" w:sz="4" w:space="0"/>
              <w:left w:val="single" w:color="auto" w:sz="4" w:space="0"/>
              <w:bottom w:val="single" w:color="auto" w:sz="4" w:space="0"/>
              <w:right w:val="single" w:color="auto" w:sz="4" w:space="0"/>
            </w:tcBorders>
            <w:vAlign w:val="center"/>
          </w:tcPr>
          <w:p w14:paraId="780EAE3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日平均生活污水处理厂污泥处理量（按含水率80%计）（单位：吨/天）</w:t>
            </w:r>
          </w:p>
        </w:tc>
        <w:tc>
          <w:tcPr>
            <w:tcW w:w="1807" w:type="pct"/>
            <w:gridSpan w:val="2"/>
            <w:tcBorders>
              <w:top w:val="single" w:color="auto" w:sz="4" w:space="0"/>
              <w:left w:val="single" w:color="auto" w:sz="4" w:space="0"/>
              <w:bottom w:val="single" w:color="auto" w:sz="4" w:space="0"/>
              <w:right w:val="single" w:color="auto" w:sz="4" w:space="0"/>
            </w:tcBorders>
            <w:vAlign w:val="center"/>
          </w:tcPr>
          <w:p w14:paraId="605B7A7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4DC139E9">
      <w:pPr>
        <w:snapToGrid w:val="0"/>
        <w:spacing w:line="360" w:lineRule="auto"/>
        <w:ind w:left="561" w:leftChars="-57" w:hanging="698" w:hangingChars="291"/>
        <w:outlineLvl w:val="9"/>
        <w:rPr>
          <w:rFonts w:hint="eastAsia" w:ascii="宋体" w:hAnsi="宋体" w:eastAsia="宋体" w:cs="宋体"/>
          <w:color w:val="auto"/>
          <w:szCs w:val="21"/>
        </w:rPr>
      </w:pPr>
    </w:p>
    <w:p w14:paraId="7107DD6E">
      <w:pPr>
        <w:snapToGrid w:val="0"/>
        <w:spacing w:line="360" w:lineRule="auto"/>
        <w:ind w:left="474" w:leftChars="-57" w:hanging="611" w:hangingChars="291"/>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7C72EA43">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b/>
          <w:bCs/>
          <w:color w:val="auto"/>
          <w:sz w:val="21"/>
          <w:szCs w:val="21"/>
          <w:u w:val="single"/>
          <w:lang w:val="en-US" w:eastAsia="zh-CN"/>
        </w:rPr>
        <w:t>供应商</w:t>
      </w:r>
      <w:r>
        <w:rPr>
          <w:rFonts w:hint="eastAsia" w:ascii="宋体" w:hAnsi="宋体" w:eastAsia="宋体" w:cs="宋体"/>
          <w:b/>
          <w:bCs/>
          <w:color w:val="auto"/>
          <w:sz w:val="21"/>
          <w:szCs w:val="21"/>
          <w:u w:val="single"/>
          <w:lang w:val="zh-CN"/>
        </w:rPr>
        <w:t>提供无明确</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的合同时，必须同时提供合同期限内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lang w:val="zh-CN"/>
        </w:rPr>
        <w:t>已</w:t>
      </w:r>
      <w:r>
        <w:rPr>
          <w:rFonts w:hint="eastAsia" w:ascii="宋体" w:hAnsi="宋体" w:eastAsia="宋体" w:cs="宋体"/>
          <w:b/>
          <w:bCs/>
          <w:color w:val="auto"/>
          <w:sz w:val="21"/>
          <w:szCs w:val="21"/>
          <w:u w:val="single"/>
        </w:rPr>
        <w:t>处理</w:t>
      </w:r>
      <w:r>
        <w:rPr>
          <w:rFonts w:hint="eastAsia" w:ascii="宋体" w:hAnsi="宋体" w:eastAsia="宋体" w:cs="宋体"/>
          <w:b/>
          <w:bCs/>
          <w:color w:val="auto"/>
          <w:sz w:val="21"/>
          <w:szCs w:val="21"/>
          <w:u w:val="single"/>
          <w:lang w:val="zh-CN"/>
        </w:rPr>
        <w:t>的</w:t>
      </w:r>
      <w:r>
        <w:rPr>
          <w:rFonts w:hint="eastAsia" w:ascii="宋体" w:hAnsi="宋体" w:eastAsia="宋体" w:cs="宋体"/>
          <w:b/>
          <w:bCs/>
          <w:color w:val="auto"/>
          <w:sz w:val="21"/>
          <w:szCs w:val="21"/>
          <w:u w:val="single"/>
        </w:rPr>
        <w:t>生活污水处理厂污泥处理量</w:t>
      </w:r>
      <w:r>
        <w:rPr>
          <w:rFonts w:hint="eastAsia" w:ascii="宋体" w:hAnsi="宋体" w:eastAsia="宋体" w:cs="宋体"/>
          <w:b/>
          <w:bCs/>
          <w:color w:val="auto"/>
          <w:sz w:val="21"/>
          <w:szCs w:val="21"/>
          <w:u w:val="single"/>
          <w:lang w:val="zh-CN"/>
        </w:rPr>
        <w:t>统计表和</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复印件（无转运联单的，提供服务发票复印件及折算处理量数据或污泥产生单位盖章的证明文件替代）以证明</w:t>
      </w:r>
      <w:r>
        <w:rPr>
          <w:rFonts w:hint="eastAsia" w:ascii="宋体" w:hAnsi="宋体" w:eastAsia="宋体" w:cs="宋体"/>
          <w:b/>
          <w:bCs/>
          <w:color w:val="auto"/>
          <w:sz w:val="21"/>
          <w:szCs w:val="21"/>
          <w:u w:val="single"/>
        </w:rPr>
        <w:t>污泥处理规模</w:t>
      </w:r>
      <w:r>
        <w:rPr>
          <w:rFonts w:hint="eastAsia" w:ascii="宋体" w:hAnsi="宋体" w:eastAsia="宋体" w:cs="宋体"/>
          <w:b/>
          <w:bCs/>
          <w:color w:val="auto"/>
          <w:sz w:val="21"/>
          <w:szCs w:val="21"/>
          <w:u w:val="single"/>
          <w:lang w:val="zh-CN"/>
        </w:rPr>
        <w:t>，本统计表及</w:t>
      </w:r>
      <w:r>
        <w:rPr>
          <w:rFonts w:hint="eastAsia" w:ascii="宋体" w:hAnsi="宋体" w:eastAsia="宋体" w:cs="宋体"/>
          <w:b/>
          <w:bCs/>
          <w:color w:val="auto"/>
          <w:sz w:val="21"/>
          <w:szCs w:val="21"/>
          <w:u w:val="single"/>
        </w:rPr>
        <w:t>污泥转运联单</w:t>
      </w:r>
      <w:r>
        <w:rPr>
          <w:rFonts w:hint="eastAsia" w:ascii="宋体" w:hAnsi="宋体" w:eastAsia="宋体" w:cs="宋体"/>
          <w:b/>
          <w:bCs/>
          <w:color w:val="auto"/>
          <w:sz w:val="21"/>
          <w:szCs w:val="21"/>
          <w:u w:val="single"/>
          <w:lang w:val="zh-CN"/>
        </w:rPr>
        <w:t>复印件（无转运联单的，提供服务发票复印件及折算处理量数据或污泥产生单位盖章的证明文件替代）应后附于合同复印件</w:t>
      </w:r>
      <w:r>
        <w:rPr>
          <w:rFonts w:hint="eastAsia" w:ascii="宋体" w:hAnsi="宋体" w:eastAsia="宋体" w:cs="宋体"/>
          <w:color w:val="auto"/>
          <w:sz w:val="21"/>
          <w:szCs w:val="21"/>
          <w:lang w:val="zh-CN"/>
        </w:rPr>
        <w:t>。</w:t>
      </w:r>
    </w:p>
    <w:p w14:paraId="325EF90A">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b/>
          <w:bCs/>
          <w:color w:val="auto"/>
          <w:sz w:val="21"/>
          <w:szCs w:val="21"/>
          <w:u w:val="single"/>
        </w:rPr>
        <w:t>污泥转运联单的接受单位应为</w:t>
      </w:r>
      <w:r>
        <w:rPr>
          <w:rFonts w:hint="eastAsia" w:ascii="宋体" w:hAnsi="宋体" w:eastAsia="宋体" w:cs="宋体"/>
          <w:b/>
          <w:bCs/>
          <w:color w:val="auto"/>
          <w:sz w:val="21"/>
          <w:szCs w:val="21"/>
          <w:u w:val="single"/>
          <w:lang w:val="en-US" w:eastAsia="zh-CN"/>
        </w:rPr>
        <w:t>响应供应商</w:t>
      </w:r>
      <w:r>
        <w:rPr>
          <w:rFonts w:hint="eastAsia" w:ascii="宋体" w:hAnsi="宋体" w:eastAsia="宋体" w:cs="宋体"/>
          <w:b/>
          <w:bCs/>
          <w:color w:val="auto"/>
          <w:sz w:val="21"/>
          <w:szCs w:val="21"/>
          <w:u w:val="single"/>
          <w:lang w:val="zh-CN"/>
        </w:rPr>
        <w:t>，且</w:t>
      </w:r>
      <w:r>
        <w:rPr>
          <w:rFonts w:hint="eastAsia" w:ascii="宋体" w:hAnsi="宋体" w:eastAsia="宋体" w:cs="宋体"/>
          <w:b/>
          <w:bCs/>
          <w:color w:val="auto"/>
          <w:sz w:val="21"/>
          <w:szCs w:val="21"/>
          <w:u w:val="single"/>
        </w:rPr>
        <w:t>污水处理厂名称、日期</w:t>
      </w:r>
      <w:r>
        <w:rPr>
          <w:rFonts w:hint="eastAsia" w:ascii="宋体" w:hAnsi="宋体" w:eastAsia="宋体" w:cs="宋体"/>
          <w:b/>
          <w:bCs/>
          <w:color w:val="auto"/>
          <w:sz w:val="21"/>
          <w:szCs w:val="21"/>
          <w:u w:val="single"/>
          <w:lang w:val="zh-CN"/>
        </w:rPr>
        <w:t>应与合同约定内容一致，否则不计分</w:t>
      </w:r>
      <w:r>
        <w:rPr>
          <w:rFonts w:hint="eastAsia" w:ascii="宋体" w:hAnsi="宋体" w:eastAsia="宋体" w:cs="宋体"/>
          <w:color w:val="auto"/>
          <w:sz w:val="21"/>
          <w:szCs w:val="21"/>
          <w:lang w:val="zh-CN"/>
        </w:rPr>
        <w:t>。</w:t>
      </w:r>
    </w:p>
    <w:p w14:paraId="658C788B">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（3）</w:t>
      </w:r>
      <w:r>
        <w:rPr>
          <w:rFonts w:hint="eastAsia" w:ascii="宋体" w:hAnsi="宋体" w:eastAsia="宋体" w:cs="宋体"/>
          <w:b/>
          <w:bCs/>
          <w:color w:val="auto"/>
          <w:sz w:val="21"/>
          <w:szCs w:val="21"/>
          <w:u w:val="single"/>
        </w:rPr>
        <w:t>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33CD9C15">
      <w:pPr>
        <w:autoSpaceDE w:val="0"/>
        <w:autoSpaceDN w:val="0"/>
        <w:adjustRightInd w:val="0"/>
        <w:snapToGrid w:val="0"/>
        <w:spacing w:line="360" w:lineRule="auto"/>
        <w:ind w:left="469" w:leftChars="-41" w:hanging="567" w:hangingChars="27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w:t>
      </w:r>
      <w:r>
        <w:rPr>
          <w:rFonts w:hint="eastAsia" w:ascii="宋体" w:hAnsi="宋体" w:eastAsia="宋体" w:cs="宋体"/>
          <w:b/>
          <w:bCs/>
          <w:color w:val="auto"/>
          <w:sz w:val="21"/>
          <w:szCs w:val="21"/>
          <w:u w:val="single"/>
        </w:rPr>
        <w:t>日平均生活污水处理厂污泥处理量按合同期限内</w:t>
      </w:r>
      <w:r>
        <w:rPr>
          <w:rFonts w:hint="eastAsia" w:ascii="宋体" w:hAnsi="宋体" w:eastAsia="宋体" w:cs="宋体"/>
          <w:b/>
          <w:bCs/>
          <w:color w:val="auto"/>
          <w:sz w:val="21"/>
          <w:szCs w:val="21"/>
          <w:u w:val="single"/>
          <w:lang w:val="en-US" w:eastAsia="zh-CN"/>
        </w:rPr>
        <w:t>单个月份</w:t>
      </w:r>
      <w:r>
        <w:rPr>
          <w:rFonts w:hint="eastAsia" w:ascii="宋体" w:hAnsi="宋体" w:eastAsia="宋体" w:cs="宋体"/>
          <w:b/>
          <w:bCs/>
          <w:color w:val="auto"/>
          <w:sz w:val="21"/>
          <w:szCs w:val="21"/>
          <w:u w:val="single"/>
        </w:rPr>
        <w:t>已处理的生活污水处理厂污泥处理量除以</w:t>
      </w:r>
      <w:r>
        <w:rPr>
          <w:rFonts w:hint="eastAsia" w:ascii="宋体" w:hAnsi="宋体" w:eastAsia="宋体" w:cs="宋体"/>
          <w:b/>
          <w:bCs/>
          <w:color w:val="auto"/>
          <w:sz w:val="21"/>
          <w:szCs w:val="21"/>
          <w:u w:val="single"/>
          <w:lang w:val="en-US" w:eastAsia="zh-CN"/>
        </w:rPr>
        <w:t>单个月份自然天数</w:t>
      </w:r>
      <w:r>
        <w:rPr>
          <w:rFonts w:hint="eastAsia" w:ascii="宋体" w:hAnsi="宋体" w:eastAsia="宋体" w:cs="宋体"/>
          <w:b/>
          <w:bCs/>
          <w:color w:val="auto"/>
          <w:sz w:val="21"/>
          <w:szCs w:val="21"/>
          <w:u w:val="single"/>
        </w:rPr>
        <w:t>进行计算，并以此作为污泥处理规模进行评审</w:t>
      </w:r>
      <w:r>
        <w:rPr>
          <w:rFonts w:hint="eastAsia" w:ascii="宋体" w:hAnsi="宋体" w:eastAsia="宋体" w:cs="宋体"/>
          <w:color w:val="auto"/>
          <w:sz w:val="21"/>
          <w:szCs w:val="21"/>
          <w:lang w:val="zh-CN"/>
        </w:rPr>
        <w:t>。</w:t>
      </w:r>
    </w:p>
    <w:bookmarkEnd w:id="389"/>
    <w:bookmarkEnd w:id="390"/>
    <w:bookmarkEnd w:id="391"/>
    <w:bookmarkEnd w:id="392"/>
    <w:bookmarkEnd w:id="393"/>
    <w:bookmarkEnd w:id="394"/>
    <w:bookmarkEnd w:id="395"/>
    <w:p w14:paraId="73866E5D">
      <w:pPr>
        <w:pageBreakBefore/>
        <w:spacing w:before="120" w:after="120" w:line="360" w:lineRule="auto"/>
        <w:jc w:val="left"/>
        <w:outlineLvl w:val="9"/>
        <w:rPr>
          <w:rFonts w:hint="eastAsia" w:ascii="宋体" w:hAnsi="宋体" w:eastAsia="宋体" w:cs="宋体"/>
          <w:b/>
          <w:bCs/>
          <w:kern w:val="0"/>
          <w:sz w:val="32"/>
          <w:szCs w:val="32"/>
          <w:lang w:val="zh-CN"/>
        </w:rPr>
      </w:pPr>
      <w:bookmarkStart w:id="410" w:name="_Toc1977737"/>
      <w:bookmarkStart w:id="411" w:name="_Toc142508378"/>
      <w:bookmarkStart w:id="412" w:name="_Toc140596938"/>
      <w:bookmarkStart w:id="413" w:name="_Toc94107220"/>
      <w:bookmarkStart w:id="414" w:name="_Toc19890"/>
      <w:bookmarkStart w:id="415" w:name="_Toc18413"/>
      <w:bookmarkStart w:id="416" w:name="_Toc104991885"/>
      <w:bookmarkStart w:id="417" w:name="_Toc102860083"/>
      <w:bookmarkStart w:id="418" w:name="_Toc102860427"/>
      <w:bookmarkStart w:id="419" w:name="_Toc18175_WPSOffice_Level2"/>
      <w:bookmarkStart w:id="420" w:name="_Toc533708132"/>
      <w:bookmarkStart w:id="421" w:name="_Toc486167719"/>
      <w:bookmarkStart w:id="422" w:name="_Toc31965"/>
      <w:bookmarkStart w:id="423" w:name="_Toc17514"/>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一</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磋商</w:t>
      </w:r>
      <w:r>
        <w:rPr>
          <w:rFonts w:hint="eastAsia" w:ascii="宋体" w:hAnsi="宋体" w:eastAsia="宋体" w:cs="宋体"/>
          <w:b/>
          <w:bCs/>
          <w:kern w:val="0"/>
          <w:sz w:val="32"/>
          <w:szCs w:val="32"/>
          <w:lang w:val="zh-CN"/>
        </w:rPr>
        <w:t>保证金汇入情况说明</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62FFBBA0">
      <w:pPr>
        <w:autoSpaceDE w:val="0"/>
        <w:autoSpaceDN w:val="0"/>
        <w:adjustRightInd w:val="0"/>
        <w:spacing w:line="360" w:lineRule="auto"/>
        <w:jc w:val="left"/>
        <w:outlineLvl w:val="9"/>
        <w:rPr>
          <w:rFonts w:hint="eastAsia" w:ascii="宋体" w:hAnsi="宋体" w:eastAsia="宋体" w:cs="宋体"/>
          <w:szCs w:val="24"/>
        </w:rPr>
      </w:pPr>
    </w:p>
    <w:p w14:paraId="676A56C9">
      <w:pPr>
        <w:autoSpaceDE w:val="0"/>
        <w:autoSpaceDN w:val="0"/>
        <w:adjustRightInd w:val="0"/>
        <w:spacing w:line="360" w:lineRule="auto"/>
        <w:jc w:val="center"/>
        <w:outlineLvl w:val="9"/>
        <w:rPr>
          <w:rFonts w:hint="eastAsia" w:ascii="宋体" w:hAnsi="宋体" w:eastAsia="宋体" w:cs="宋体"/>
          <w:b/>
          <w:bCs/>
          <w:kern w:val="0"/>
          <w:sz w:val="21"/>
          <w:szCs w:val="21"/>
        </w:rPr>
      </w:pPr>
      <w:bookmarkStart w:id="424" w:name="_Toc31832_WPSOffice_Level3"/>
      <w:r>
        <w:rPr>
          <w:rFonts w:hint="eastAsia" w:ascii="宋体" w:hAnsi="宋体" w:eastAsia="宋体" w:cs="宋体"/>
          <w:b/>
          <w:bCs/>
          <w:kern w:val="0"/>
          <w:sz w:val="21"/>
          <w:szCs w:val="21"/>
          <w:lang w:val="en-US" w:eastAsia="zh-CN"/>
        </w:rPr>
        <w:t>磋</w:t>
      </w:r>
      <w:r>
        <w:rPr>
          <w:rFonts w:hint="eastAsia" w:ascii="宋体" w:hAnsi="宋体" w:eastAsia="宋体" w:cs="宋体"/>
          <w:b/>
          <w:bCs/>
          <w:color w:val="auto"/>
          <w:kern w:val="0"/>
          <w:sz w:val="21"/>
          <w:szCs w:val="21"/>
          <w:lang w:val="en-US" w:eastAsia="zh-CN"/>
        </w:rPr>
        <w:t>商</w:t>
      </w:r>
      <w:r>
        <w:rPr>
          <w:rFonts w:hint="eastAsia" w:ascii="宋体" w:hAnsi="宋体" w:eastAsia="宋体" w:cs="宋体"/>
          <w:b/>
          <w:bCs/>
          <w:color w:val="auto"/>
          <w:kern w:val="0"/>
          <w:sz w:val="21"/>
          <w:szCs w:val="21"/>
        </w:rPr>
        <w:t>保证金汇入情况说明</w:t>
      </w:r>
      <w:bookmarkEnd w:id="424"/>
    </w:p>
    <w:p w14:paraId="6ABF3EF4">
      <w:pPr>
        <w:autoSpaceDE w:val="0"/>
        <w:autoSpaceDN w:val="0"/>
        <w:adjustRightInd w:val="0"/>
        <w:spacing w:line="360" w:lineRule="auto"/>
        <w:jc w:val="center"/>
        <w:outlineLvl w:val="9"/>
        <w:rPr>
          <w:rFonts w:hint="eastAsia" w:ascii="宋体" w:hAnsi="宋体" w:eastAsia="宋体" w:cs="宋体"/>
          <w:b/>
          <w:bCs/>
          <w:kern w:val="0"/>
          <w:sz w:val="21"/>
          <w:szCs w:val="21"/>
        </w:rPr>
      </w:pPr>
    </w:p>
    <w:p w14:paraId="361C2BB3">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东莞市众源环境投资有限公司：</w:t>
      </w:r>
    </w:p>
    <w:p w14:paraId="57256A1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本单位已按</w:t>
      </w:r>
      <w:r>
        <w:rPr>
          <w:rFonts w:hint="eastAsia" w:ascii="宋体" w:hAnsi="宋体" w:cs="宋体"/>
          <w:color w:val="auto"/>
          <w:kern w:val="0"/>
          <w:sz w:val="21"/>
          <w:szCs w:val="21"/>
          <w:u w:val="single"/>
          <w:lang w:eastAsia="zh-CN"/>
        </w:rPr>
        <w:t>东莞市众源环境投资有限公司污水处理厂污泥脱水减量处理服务（BOT权属东江下游片区）采购项目（麻涌一期重新采购）</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编号：</w:t>
      </w:r>
      <w:r>
        <w:rPr>
          <w:rFonts w:hint="eastAsia" w:ascii="宋体" w:hAnsi="宋体" w:cs="宋体"/>
          <w:color w:val="auto"/>
          <w:sz w:val="21"/>
          <w:szCs w:val="21"/>
          <w:u w:val="single"/>
          <w:lang w:eastAsia="zh-CN"/>
        </w:rPr>
        <w:t xml:space="preserve">YDZB24DGQY0031-1 </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竞争性磋商</w:t>
      </w:r>
      <w:r>
        <w:rPr>
          <w:rFonts w:hint="eastAsia" w:ascii="宋体" w:hAnsi="宋体" w:eastAsia="宋体" w:cs="宋体"/>
          <w:color w:val="auto"/>
          <w:sz w:val="21"/>
          <w:szCs w:val="21"/>
        </w:rPr>
        <w:t>文件要求，于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日前以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付款形式）方式汇入指定账户（账户名称：</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lang w:val="zh-CN"/>
        </w:rPr>
        <w:t xml:space="preserve">            </w:t>
      </w:r>
      <w:r>
        <w:rPr>
          <w:rFonts w:hint="eastAsia" w:ascii="宋体" w:hAnsi="宋体" w:eastAsia="宋体" w:cs="宋体"/>
          <w:color w:val="auto"/>
          <w:sz w:val="21"/>
          <w:szCs w:val="21"/>
        </w:rPr>
        <w:t>）。</w:t>
      </w:r>
    </w:p>
    <w:p w14:paraId="0654CF5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保证金的汇款情况：（详见附件－</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保证金进账单）</w:t>
      </w:r>
    </w:p>
    <w:p w14:paraId="1A3BAE2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汇出时间：</w:t>
      </w:r>
      <w:r>
        <w:rPr>
          <w:rFonts w:hint="eastAsia" w:ascii="宋体" w:hAnsi="宋体" w:eastAsia="宋体" w:cs="宋体"/>
          <w:color w:val="auto"/>
          <w:sz w:val="21"/>
          <w:szCs w:val="21"/>
          <w:u w:val="single"/>
        </w:rPr>
        <w:t xml:space="preserve">    年   月    日</w:t>
      </w:r>
    </w:p>
    <w:p w14:paraId="0F7D9463">
      <w:pPr>
        <w:spacing w:line="360" w:lineRule="auto"/>
        <w:ind w:firstLine="424" w:firstLineChars="202"/>
        <w:outlineLvl w:val="9"/>
        <w:rPr>
          <w:rFonts w:hint="eastAsia" w:ascii="宋体" w:hAnsi="宋体" w:eastAsia="宋体" w:cs="宋体"/>
          <w:color w:val="auto"/>
          <w:sz w:val="21"/>
          <w:szCs w:val="21"/>
          <w:u w:val="single"/>
        </w:rPr>
      </w:pPr>
      <w:r>
        <w:rPr>
          <w:rFonts w:hint="eastAsia" w:ascii="宋体" w:hAnsi="宋体" w:eastAsia="宋体" w:cs="宋体"/>
          <w:color w:val="auto"/>
          <w:sz w:val="21"/>
          <w:szCs w:val="21"/>
        </w:rPr>
        <w:t>汇款金额：</w:t>
      </w:r>
      <w:r>
        <w:rPr>
          <w:rFonts w:hint="eastAsia" w:ascii="宋体" w:hAnsi="宋体" w:eastAsia="宋体" w:cs="宋体"/>
          <w:color w:val="auto"/>
          <w:sz w:val="21"/>
          <w:szCs w:val="21"/>
          <w:u w:val="single"/>
        </w:rPr>
        <w:t>（大写）人民币      元（小写：¥      元）</w:t>
      </w:r>
    </w:p>
    <w:p w14:paraId="65276641">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汇款账户名称：</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时使用的账户名）</w:t>
      </w:r>
    </w:p>
    <w:p w14:paraId="2B4571D6">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账号：</w:t>
      </w:r>
      <w:r>
        <w:rPr>
          <w:rFonts w:hint="eastAsia" w:ascii="宋体" w:hAnsi="宋体" w:eastAsia="宋体" w:cs="宋体"/>
          <w:color w:val="auto"/>
          <w:sz w:val="21"/>
          <w:szCs w:val="21"/>
          <w:u w:val="single"/>
        </w:rPr>
        <w:t>（必须是</w:t>
      </w:r>
      <w:r>
        <w:rPr>
          <w:rFonts w:hint="eastAsia" w:ascii="宋体" w:hAnsi="宋体" w:eastAsia="宋体" w:cs="宋体"/>
          <w:color w:val="auto"/>
          <w:sz w:val="21"/>
          <w:szCs w:val="21"/>
          <w:u w:val="single"/>
          <w:lang w:val="en-US" w:eastAsia="zh-CN"/>
        </w:rPr>
        <w:t>磋商</w:t>
      </w:r>
      <w:r>
        <w:rPr>
          <w:rFonts w:hint="eastAsia" w:ascii="宋体" w:hAnsi="宋体" w:eastAsia="宋体" w:cs="宋体"/>
          <w:color w:val="auto"/>
          <w:sz w:val="21"/>
          <w:szCs w:val="21"/>
          <w:u w:val="single"/>
        </w:rPr>
        <w:t>时使用的账号）</w:t>
      </w:r>
    </w:p>
    <w:p w14:paraId="1F931E75">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省         市         </w:t>
      </w:r>
    </w:p>
    <w:p w14:paraId="34B97458">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rPr>
        <w:t>本单位谨承诺上述资料是正确、真实的，如因上述证明与事实不符导致的一切损失，本单位保证承担赔偿等一切法律责任。</w:t>
      </w:r>
    </w:p>
    <w:p w14:paraId="0A568507">
      <w:pPr>
        <w:spacing w:line="360" w:lineRule="auto"/>
        <w:ind w:firstLine="424" w:firstLineChars="202"/>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保证金退回时，请按上述资料退回。</w:t>
      </w:r>
    </w:p>
    <w:p w14:paraId="06C011FC">
      <w:pPr>
        <w:spacing w:line="360" w:lineRule="auto"/>
        <w:ind w:right="965" w:rightChars="402" w:firstLine="424" w:firstLineChars="202"/>
        <w:jc w:val="right"/>
        <w:outlineLvl w:val="9"/>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rPr>
        <w:t>法人公章</w:t>
      </w:r>
      <w:r>
        <w:rPr>
          <w:rFonts w:hint="eastAsia" w:ascii="宋体" w:hAnsi="宋体" w:eastAsia="宋体" w:cs="宋体"/>
          <w:color w:val="auto"/>
          <w:sz w:val="21"/>
          <w:szCs w:val="21"/>
        </w:rPr>
        <w:t>）</w:t>
      </w:r>
    </w:p>
    <w:p w14:paraId="528E49F1">
      <w:pPr>
        <w:spacing w:line="360" w:lineRule="auto"/>
        <w:ind w:right="718" w:rightChars="299" w:firstLine="7774" w:firstLineChars="3702"/>
        <w:jc w:val="left"/>
        <w:outlineLvl w:val="9"/>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p w14:paraId="5D8B9BE9">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单位名称：</w:t>
      </w:r>
    </w:p>
    <w:p w14:paraId="707D6F76">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单位地址：</w:t>
      </w:r>
    </w:p>
    <w:p w14:paraId="5CD325A4">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w:t>
      </w:r>
    </w:p>
    <w:p w14:paraId="7E54F5CA">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 xml:space="preserve">单位电话：                    </w:t>
      </w:r>
    </w:p>
    <w:p w14:paraId="641EB494">
      <w:pPr>
        <w:spacing w:line="360" w:lineRule="auto"/>
        <w:ind w:firstLine="424" w:firstLineChars="202"/>
        <w:outlineLvl w:val="9"/>
        <w:rPr>
          <w:rFonts w:hint="eastAsia" w:ascii="宋体" w:hAnsi="宋体" w:eastAsia="宋体" w:cs="宋体"/>
          <w:sz w:val="21"/>
          <w:szCs w:val="21"/>
        </w:rPr>
      </w:pPr>
      <w:r>
        <w:rPr>
          <w:rFonts w:hint="eastAsia" w:ascii="宋体" w:hAnsi="宋体" w:eastAsia="宋体" w:cs="宋体"/>
          <w:sz w:val="21"/>
          <w:szCs w:val="21"/>
        </w:rPr>
        <w:t>联系人手机：</w:t>
      </w:r>
    </w:p>
    <w:p w14:paraId="123C45A0">
      <w:pPr>
        <w:spacing w:line="360" w:lineRule="auto"/>
        <w:ind w:left="389" w:leftChars="162" w:firstLine="425"/>
        <w:outlineLvl w:val="9"/>
        <w:rPr>
          <w:rFonts w:hint="eastAsia" w:ascii="宋体" w:hAnsi="宋体" w:eastAsia="宋体" w:cs="宋体"/>
          <w:b/>
          <w:bCs/>
          <w:sz w:val="21"/>
          <w:szCs w:val="21"/>
        </w:rPr>
      </w:pPr>
      <w:bookmarkStart w:id="425" w:name="_Toc26208_WPSOffice_Level3"/>
      <w:r>
        <w:rPr>
          <w:rFonts w:hint="eastAsia" w:ascii="宋体" w:hAnsi="宋体" w:eastAsia="宋体" w:cs="宋体"/>
          <w:b/>
          <w:bCs/>
          <w:sz w:val="21"/>
          <w:szCs w:val="21"/>
        </w:rPr>
        <w:t>附：1、我方</w:t>
      </w:r>
      <w:r>
        <w:rPr>
          <w:rFonts w:hint="eastAsia" w:ascii="宋体" w:hAnsi="宋体" w:eastAsia="宋体" w:cs="宋体"/>
          <w:b/>
          <w:bCs/>
          <w:sz w:val="21"/>
          <w:szCs w:val="21"/>
          <w:lang w:val="en-US" w:eastAsia="zh-CN"/>
        </w:rPr>
        <w:t>磋商</w:t>
      </w:r>
      <w:r>
        <w:rPr>
          <w:rFonts w:hint="eastAsia" w:ascii="宋体" w:hAnsi="宋体" w:eastAsia="宋体" w:cs="宋体"/>
          <w:b/>
          <w:bCs/>
          <w:sz w:val="21"/>
          <w:szCs w:val="21"/>
        </w:rPr>
        <w:t>保证金汇款凭证（复印件）</w:t>
      </w:r>
      <w:bookmarkEnd w:id="425"/>
    </w:p>
    <w:p w14:paraId="5890AD6A">
      <w:pPr>
        <w:spacing w:line="360" w:lineRule="auto"/>
        <w:ind w:left="389" w:leftChars="162" w:firstLine="839" w:firstLineChars="398"/>
        <w:outlineLvl w:val="9"/>
        <w:rPr>
          <w:rFonts w:hint="eastAsia" w:ascii="宋体" w:hAnsi="宋体" w:eastAsia="宋体" w:cs="宋体"/>
          <w:b/>
          <w:bCs/>
          <w:sz w:val="21"/>
          <w:szCs w:val="21"/>
        </w:rPr>
      </w:pPr>
      <w:bookmarkStart w:id="426" w:name="_Toc12992_WPSOffice_Level3"/>
      <w:r>
        <w:rPr>
          <w:rFonts w:hint="eastAsia" w:ascii="宋体" w:hAnsi="宋体" w:eastAsia="宋体" w:cs="宋体"/>
          <w:b/>
          <w:bCs/>
          <w:sz w:val="21"/>
          <w:szCs w:val="21"/>
        </w:rPr>
        <w:t>2、我方基本账户开户许可证（复印件）</w:t>
      </w:r>
      <w:bookmarkEnd w:id="426"/>
    </w:p>
    <w:p w14:paraId="16222011">
      <w:pPr>
        <w:spacing w:line="360" w:lineRule="auto"/>
        <w:ind w:left="389" w:leftChars="162" w:firstLine="736" w:firstLineChars="349"/>
        <w:outlineLvl w:val="9"/>
        <w:rPr>
          <w:rFonts w:hint="eastAsia" w:ascii="宋体" w:hAnsi="宋体" w:eastAsia="宋体" w:cs="宋体"/>
          <w:b/>
          <w:bCs/>
          <w:sz w:val="21"/>
          <w:szCs w:val="21"/>
          <w:lang w:val="zh-CN"/>
        </w:rPr>
      </w:pPr>
      <w:r>
        <w:rPr>
          <w:rFonts w:hint="eastAsia" w:ascii="宋体" w:hAnsi="宋体" w:eastAsia="宋体" w:cs="宋体"/>
          <w:b/>
          <w:bCs/>
          <w:sz w:val="21"/>
          <w:szCs w:val="21"/>
          <w:lang w:val="zh-CN"/>
        </w:rPr>
        <w:t>注：本情况说明手写无效。</w:t>
      </w:r>
    </w:p>
    <w:p w14:paraId="761DAFF2">
      <w:pPr>
        <w:autoSpaceDE w:val="0"/>
        <w:autoSpaceDN w:val="0"/>
        <w:adjustRightInd w:val="0"/>
        <w:spacing w:line="360" w:lineRule="auto"/>
        <w:ind w:firstLine="5880" w:firstLineChars="2450"/>
        <w:outlineLvl w:val="9"/>
        <w:rPr>
          <w:rFonts w:hint="eastAsia" w:ascii="宋体" w:hAnsi="宋体" w:eastAsia="宋体" w:cs="宋体"/>
          <w:szCs w:val="24"/>
          <w:lang w:val="zh-CN"/>
        </w:rPr>
      </w:pPr>
    </w:p>
    <w:p w14:paraId="124CCFF6">
      <w:pPr>
        <w:spacing w:line="360" w:lineRule="auto"/>
        <w:outlineLvl w:val="9"/>
        <w:rPr>
          <w:rFonts w:hint="eastAsia" w:ascii="宋体" w:hAnsi="宋体" w:eastAsia="宋体" w:cs="宋体"/>
          <w:b/>
          <w:kern w:val="0"/>
          <w:szCs w:val="21"/>
        </w:rPr>
      </w:pPr>
    </w:p>
    <w:p w14:paraId="6FAF1981">
      <w:pPr>
        <w:tabs>
          <w:tab w:val="left" w:pos="567"/>
        </w:tabs>
        <w:autoSpaceDE w:val="0"/>
        <w:autoSpaceDN w:val="0"/>
        <w:adjustRightInd w:val="0"/>
        <w:spacing w:line="360" w:lineRule="auto"/>
        <w:jc w:val="left"/>
        <w:outlineLvl w:val="9"/>
        <w:rPr>
          <w:rFonts w:hint="eastAsia" w:ascii="宋体" w:hAnsi="宋体" w:eastAsia="宋体" w:cs="宋体"/>
          <w:b/>
          <w:bCs/>
          <w:kern w:val="0"/>
          <w:sz w:val="32"/>
          <w:szCs w:val="32"/>
          <w:lang w:val="zh-CN"/>
        </w:rPr>
      </w:pPr>
      <w:bookmarkStart w:id="427" w:name="_Toc142508379"/>
      <w:bookmarkStart w:id="428" w:name="_Toc140596939"/>
      <w:bookmarkStart w:id="429" w:name="_Toc24616"/>
      <w:bookmarkStart w:id="430" w:name="_Toc1977738"/>
      <w:bookmarkStart w:id="431" w:name="_Toc102860428"/>
      <w:bookmarkStart w:id="432" w:name="_Toc104991886"/>
      <w:bookmarkStart w:id="433" w:name="_Toc102860084"/>
      <w:bookmarkStart w:id="434" w:name="_Toc94107221"/>
    </w:p>
    <w:p w14:paraId="7EF993C3">
      <w:pPr>
        <w:tabs>
          <w:tab w:val="left" w:pos="567"/>
        </w:tabs>
        <w:autoSpaceDE w:val="0"/>
        <w:autoSpaceDN w:val="0"/>
        <w:adjustRightInd w:val="0"/>
        <w:spacing w:line="360" w:lineRule="auto"/>
        <w:ind w:left="327" w:leftChars="-100" w:hanging="567"/>
        <w:outlineLvl w:val="9"/>
        <w:rPr>
          <w:rFonts w:hint="eastAsia" w:ascii="宋体" w:hAnsi="宋体" w:eastAsia="宋体" w:cs="宋体"/>
          <w:b/>
          <w:kern w:val="0"/>
          <w:sz w:val="32"/>
          <w:szCs w:val="32"/>
        </w:rPr>
        <w:sectPr>
          <w:pgSz w:w="12240" w:h="15840"/>
          <w:pgMar w:top="1191" w:right="1043" w:bottom="1191" w:left="1043" w:header="720" w:footer="720" w:gutter="0"/>
          <w:cols w:space="720" w:num="1"/>
          <w:titlePg/>
          <w:docGrid w:linePitch="326" w:charSpace="0"/>
        </w:sectPr>
      </w:pPr>
      <w:bookmarkStart w:id="435" w:name="_Toc2007"/>
      <w:bookmarkStart w:id="436" w:name="_Toc29652"/>
      <w:r>
        <w:rPr>
          <w:rFonts w:hint="eastAsia" w:ascii="宋体" w:hAnsi="宋体" w:eastAsia="宋体" w:cs="宋体"/>
          <w:b/>
          <w:bCs/>
          <w:kern w:val="0"/>
          <w:sz w:val="32"/>
          <w:szCs w:val="32"/>
          <w:lang w:val="zh-CN"/>
        </w:rPr>
        <w:t>十</w:t>
      </w:r>
      <w:r>
        <w:rPr>
          <w:rFonts w:hint="eastAsia" w:ascii="宋体" w:hAnsi="宋体" w:eastAsia="宋体" w:cs="宋体"/>
          <w:b/>
          <w:bCs/>
          <w:kern w:val="0"/>
          <w:sz w:val="32"/>
          <w:szCs w:val="32"/>
        </w:rPr>
        <w:t>二</w:t>
      </w:r>
      <w:r>
        <w:rPr>
          <w:rFonts w:hint="eastAsia" w:ascii="宋体" w:hAnsi="宋体" w:eastAsia="宋体" w:cs="宋体"/>
          <w:b/>
          <w:bCs/>
          <w:kern w:val="0"/>
          <w:sz w:val="32"/>
          <w:szCs w:val="32"/>
          <w:lang w:val="zh-CN"/>
        </w:rPr>
        <w:t>、</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资格证明文件以外的其他资质证书、知识产权证书及获得的相关获奖、认证证书、社会评价资料证明文件复印件等</w:t>
      </w:r>
      <w:r>
        <w:rPr>
          <w:rFonts w:hint="eastAsia" w:ascii="宋体" w:hAnsi="宋体" w:eastAsia="宋体" w:cs="宋体"/>
          <w:b/>
          <w:bCs/>
          <w:kern w:val="0"/>
          <w:sz w:val="32"/>
          <w:szCs w:val="32"/>
          <w:lang w:val="en-US" w:eastAsia="zh-CN"/>
        </w:rPr>
        <w:t>供应商</w:t>
      </w:r>
      <w:r>
        <w:rPr>
          <w:rFonts w:hint="eastAsia" w:ascii="宋体" w:hAnsi="宋体" w:eastAsia="宋体" w:cs="宋体"/>
          <w:b/>
          <w:bCs/>
          <w:kern w:val="0"/>
          <w:sz w:val="32"/>
          <w:szCs w:val="32"/>
          <w:lang w:val="zh-CN"/>
        </w:rPr>
        <w:t>认为有需要证明其具备为本次</w:t>
      </w:r>
      <w:r>
        <w:rPr>
          <w:rFonts w:hint="eastAsia" w:ascii="宋体" w:hAnsi="宋体" w:eastAsia="宋体" w:cs="宋体"/>
          <w:b/>
          <w:bCs/>
          <w:kern w:val="0"/>
          <w:sz w:val="32"/>
          <w:szCs w:val="32"/>
          <w:lang w:val="en-US" w:eastAsia="zh-CN"/>
        </w:rPr>
        <w:t>采购</w:t>
      </w:r>
      <w:r>
        <w:rPr>
          <w:rFonts w:hint="eastAsia" w:ascii="宋体" w:hAnsi="宋体" w:eastAsia="宋体" w:cs="宋体"/>
          <w:b/>
          <w:bCs/>
          <w:kern w:val="0"/>
          <w:sz w:val="32"/>
          <w:szCs w:val="32"/>
          <w:lang w:val="zh-CN"/>
        </w:rPr>
        <w:t>项目提供服务能力的有关其它商务文件（不做强制要求</w:t>
      </w:r>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b/>
          <w:bCs/>
          <w:kern w:val="0"/>
          <w:sz w:val="32"/>
          <w:szCs w:val="32"/>
          <w:lang w:val="zh-CN"/>
        </w:rPr>
        <w:t>）</w:t>
      </w:r>
    </w:p>
    <w:p w14:paraId="5705BEDE">
      <w:pPr>
        <w:tabs>
          <w:tab w:val="left" w:pos="567"/>
        </w:tabs>
        <w:autoSpaceDE w:val="0"/>
        <w:autoSpaceDN w:val="0"/>
        <w:adjustRightInd w:val="0"/>
        <w:spacing w:line="360" w:lineRule="auto"/>
        <w:ind w:left="327" w:leftChars="-100" w:hanging="567"/>
        <w:jc w:val="left"/>
        <w:outlineLvl w:val="9"/>
        <w:rPr>
          <w:rFonts w:hint="eastAsia" w:ascii="宋体" w:hAnsi="宋体" w:eastAsia="宋体" w:cs="宋体"/>
          <w:b/>
          <w:kern w:val="0"/>
          <w:sz w:val="32"/>
          <w:szCs w:val="32"/>
        </w:rPr>
      </w:pPr>
      <w:r>
        <w:rPr>
          <w:rFonts w:hint="eastAsia" w:ascii="宋体" w:hAnsi="宋体" w:eastAsia="宋体" w:cs="宋体"/>
          <w:b/>
          <w:kern w:val="0"/>
          <w:sz w:val="32"/>
          <w:szCs w:val="32"/>
        </w:rPr>
        <w:t>十三、技术响应文件格式</w:t>
      </w:r>
    </w:p>
    <w:p w14:paraId="3E9E7210">
      <w:pPr>
        <w:tabs>
          <w:tab w:val="left" w:pos="8640"/>
        </w:tabs>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应按照</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0"/>
          <w:sz w:val="21"/>
          <w:szCs w:val="21"/>
        </w:rPr>
        <w:t>文件</w:t>
      </w:r>
      <w:r>
        <w:rPr>
          <w:rFonts w:hint="eastAsia" w:ascii="宋体" w:hAnsi="宋体" w:eastAsia="宋体" w:cs="宋体"/>
          <w:color w:val="auto"/>
          <w:kern w:val="0"/>
          <w:sz w:val="21"/>
          <w:szCs w:val="21"/>
          <w:lang w:val="en-US" w:eastAsia="zh-CN"/>
        </w:rPr>
        <w:t>磋商</w:t>
      </w:r>
      <w:r>
        <w:rPr>
          <w:rFonts w:hint="eastAsia" w:ascii="宋体" w:hAnsi="宋体" w:eastAsia="宋体" w:cs="宋体"/>
          <w:color w:val="auto"/>
          <w:kern w:val="0"/>
          <w:sz w:val="21"/>
          <w:szCs w:val="21"/>
        </w:rPr>
        <w:t>须知关于</w:t>
      </w:r>
      <w:r>
        <w:rPr>
          <w:rFonts w:hint="eastAsia" w:ascii="宋体" w:hAnsi="宋体" w:eastAsia="宋体" w:cs="宋体"/>
          <w:color w:val="auto"/>
          <w:kern w:val="0"/>
          <w:sz w:val="21"/>
          <w:szCs w:val="21"/>
          <w:lang w:val="en-US" w:eastAsia="zh-CN"/>
        </w:rPr>
        <w:t>响应</w:t>
      </w:r>
      <w:r>
        <w:rPr>
          <w:rFonts w:hint="eastAsia" w:ascii="宋体" w:hAnsi="宋体" w:eastAsia="宋体" w:cs="宋体"/>
          <w:color w:val="auto"/>
          <w:kern w:val="0"/>
          <w:sz w:val="21"/>
          <w:szCs w:val="21"/>
        </w:rPr>
        <w:t>文件组成部分的要求编制</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文件，主要包括但不限于以下内容：</w:t>
      </w:r>
    </w:p>
    <w:p w14:paraId="24FE71CD">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1、用户需求响应程度（即13.1用户需求偏离表格式）；</w:t>
      </w:r>
    </w:p>
    <w:p w14:paraId="221E50EC">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2、污泥脱水减量化处理服务</w:t>
      </w:r>
      <w:r>
        <w:rPr>
          <w:rFonts w:hint="eastAsia" w:ascii="宋体" w:hAnsi="宋体" w:eastAsia="宋体" w:cs="宋体"/>
          <w:color w:val="auto"/>
          <w:kern w:val="0"/>
          <w:sz w:val="21"/>
          <w:szCs w:val="21"/>
          <w:lang w:val="en-US" w:eastAsia="zh-CN"/>
        </w:rPr>
        <w:t>技术</w:t>
      </w:r>
      <w:r>
        <w:rPr>
          <w:rFonts w:hint="eastAsia" w:ascii="宋体" w:hAnsi="宋体" w:eastAsia="宋体" w:cs="宋体"/>
          <w:color w:val="auto"/>
          <w:kern w:val="0"/>
          <w:sz w:val="21"/>
          <w:szCs w:val="21"/>
        </w:rPr>
        <w:t>方案</w:t>
      </w:r>
      <w:r>
        <w:rPr>
          <w:rFonts w:hint="eastAsia" w:ascii="宋体" w:hAnsi="宋体" w:eastAsia="宋体" w:cs="宋体"/>
          <w:color w:val="auto"/>
          <w:kern w:val="0"/>
          <w:sz w:val="21"/>
          <w:szCs w:val="21"/>
          <w:lang w:val="zh-CN"/>
        </w:rPr>
        <w:t>；</w:t>
      </w:r>
    </w:p>
    <w:p w14:paraId="04CC0A99">
      <w:pPr>
        <w:spacing w:line="360" w:lineRule="auto"/>
        <w:ind w:left="466" w:leftChars="77" w:hanging="281" w:hangingChars="134"/>
        <w:outlineLvl w:val="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rPr>
        <w:t>3、污泥脱水减量化处理服务</w:t>
      </w:r>
      <w:r>
        <w:rPr>
          <w:rFonts w:hint="eastAsia" w:ascii="宋体" w:hAnsi="宋体" w:eastAsia="宋体" w:cs="宋体"/>
          <w:color w:val="auto"/>
          <w:kern w:val="0"/>
          <w:sz w:val="21"/>
          <w:szCs w:val="21"/>
          <w:lang w:val="en-US" w:eastAsia="zh-CN"/>
        </w:rPr>
        <w:t>管理方案</w:t>
      </w:r>
      <w:r>
        <w:rPr>
          <w:rFonts w:hint="eastAsia" w:ascii="宋体" w:hAnsi="宋体" w:eastAsia="宋体" w:cs="宋体"/>
          <w:color w:val="auto"/>
          <w:kern w:val="0"/>
          <w:sz w:val="21"/>
          <w:szCs w:val="21"/>
          <w:lang w:val="zh-CN"/>
        </w:rPr>
        <w:t>；</w:t>
      </w:r>
    </w:p>
    <w:p w14:paraId="027894C1">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kern w:val="0"/>
          <w:sz w:val="21"/>
          <w:szCs w:val="21"/>
          <w:lang w:val="en-US" w:eastAsia="zh-CN"/>
        </w:rPr>
        <w:t>项目正式投产时间承诺表</w:t>
      </w:r>
      <w:r>
        <w:rPr>
          <w:rFonts w:hint="eastAsia" w:ascii="宋体" w:hAnsi="宋体" w:eastAsia="宋体" w:cs="宋体"/>
          <w:color w:val="auto"/>
          <w:kern w:val="0"/>
          <w:sz w:val="21"/>
          <w:szCs w:val="21"/>
        </w:rPr>
        <w:t>；</w:t>
      </w:r>
    </w:p>
    <w:p w14:paraId="59622BA3">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进度计划及保证措施</w:t>
      </w:r>
      <w:r>
        <w:rPr>
          <w:rFonts w:hint="eastAsia" w:ascii="宋体" w:hAnsi="宋体" w:eastAsia="宋体" w:cs="宋体"/>
          <w:color w:val="auto"/>
          <w:kern w:val="0"/>
          <w:sz w:val="21"/>
          <w:szCs w:val="21"/>
        </w:rPr>
        <w:t>；</w:t>
      </w:r>
    </w:p>
    <w:p w14:paraId="010A751F">
      <w:pPr>
        <w:spacing w:line="360" w:lineRule="auto"/>
        <w:ind w:left="466" w:leftChars="77" w:hanging="281" w:hangingChars="134"/>
        <w:outlineLvl w:val="9"/>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、应急预案和保障措施；</w:t>
      </w:r>
    </w:p>
    <w:p w14:paraId="06AA0DB0">
      <w:pPr>
        <w:spacing w:line="360" w:lineRule="auto"/>
        <w:ind w:left="466" w:leftChars="77" w:hanging="281" w:hangingChars="134"/>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认为有必要提供的其它材料（不做强制要求）。</w:t>
      </w:r>
    </w:p>
    <w:p w14:paraId="392E3064">
      <w:pPr>
        <w:pStyle w:val="22"/>
        <w:rPr>
          <w:rFonts w:hint="eastAsia"/>
          <w:color w:val="auto"/>
          <w:highlight w:val="none"/>
        </w:rPr>
      </w:pPr>
    </w:p>
    <w:p w14:paraId="27AF1C9C">
      <w:pPr>
        <w:pStyle w:val="22"/>
        <w:rPr>
          <w:rFonts w:hint="eastAsia" w:ascii="宋体" w:hAnsi="宋体" w:eastAsia="宋体" w:cs="宋体"/>
          <w:color w:val="auto"/>
          <w:sz w:val="84"/>
          <w:highlight w:val="none"/>
        </w:rPr>
      </w:pPr>
    </w:p>
    <w:p w14:paraId="2241CBF9">
      <w:pPr>
        <w:pStyle w:val="23"/>
        <w:rPr>
          <w:rFonts w:hint="eastAsia" w:ascii="宋体" w:hAnsi="宋体" w:eastAsia="宋体" w:cs="宋体"/>
          <w:color w:val="auto"/>
          <w:sz w:val="84"/>
          <w:highlight w:val="none"/>
        </w:rPr>
      </w:pPr>
    </w:p>
    <w:p w14:paraId="5F57F532">
      <w:pPr>
        <w:pStyle w:val="23"/>
        <w:rPr>
          <w:rFonts w:hint="eastAsia" w:ascii="宋体" w:hAnsi="宋体" w:eastAsia="宋体" w:cs="宋体"/>
          <w:color w:val="auto"/>
          <w:sz w:val="84"/>
          <w:highlight w:val="none"/>
        </w:rPr>
      </w:pPr>
    </w:p>
    <w:p w14:paraId="71671A03">
      <w:pPr>
        <w:pStyle w:val="23"/>
        <w:rPr>
          <w:rFonts w:hint="eastAsia" w:ascii="宋体" w:hAnsi="宋体" w:eastAsia="宋体" w:cs="宋体"/>
          <w:color w:val="auto"/>
          <w:sz w:val="84"/>
          <w:highlight w:val="none"/>
        </w:rPr>
      </w:pPr>
    </w:p>
    <w:p w14:paraId="6E174BCE">
      <w:pPr>
        <w:pStyle w:val="23"/>
        <w:rPr>
          <w:rFonts w:hint="eastAsia" w:ascii="宋体" w:hAnsi="宋体" w:eastAsia="宋体" w:cs="宋体"/>
          <w:color w:val="auto"/>
          <w:sz w:val="84"/>
          <w:highlight w:val="none"/>
        </w:rPr>
      </w:pPr>
    </w:p>
    <w:p w14:paraId="727B025B">
      <w:pPr>
        <w:pStyle w:val="23"/>
        <w:rPr>
          <w:rFonts w:hint="eastAsia" w:ascii="宋体" w:hAnsi="宋体" w:eastAsia="宋体" w:cs="宋体"/>
          <w:color w:val="auto"/>
          <w:sz w:val="84"/>
          <w:highlight w:val="none"/>
        </w:rPr>
      </w:pPr>
    </w:p>
    <w:p w14:paraId="7DC9A89A">
      <w:pPr>
        <w:pStyle w:val="23"/>
        <w:rPr>
          <w:rFonts w:hint="eastAsia" w:ascii="宋体" w:hAnsi="宋体" w:eastAsia="宋体" w:cs="宋体"/>
          <w:color w:val="auto"/>
          <w:sz w:val="84"/>
          <w:highlight w:val="none"/>
        </w:rPr>
      </w:pPr>
    </w:p>
    <w:p w14:paraId="65F9389F">
      <w:pPr>
        <w:pStyle w:val="23"/>
        <w:rPr>
          <w:rFonts w:hint="eastAsia" w:ascii="宋体" w:hAnsi="宋体" w:eastAsia="宋体" w:cs="宋体"/>
          <w:color w:val="auto"/>
          <w:sz w:val="84"/>
          <w:highlight w:val="none"/>
        </w:rPr>
      </w:pPr>
    </w:p>
    <w:p w14:paraId="2805C638">
      <w:pPr>
        <w:pStyle w:val="23"/>
        <w:rPr>
          <w:rFonts w:hint="eastAsia" w:ascii="宋体" w:hAnsi="宋体" w:eastAsia="宋体" w:cs="宋体"/>
          <w:color w:val="auto"/>
          <w:sz w:val="84"/>
          <w:highlight w:val="none"/>
        </w:rPr>
      </w:pPr>
    </w:p>
    <w:p w14:paraId="644B4F5D">
      <w:pPr>
        <w:pStyle w:val="23"/>
        <w:rPr>
          <w:rFonts w:hint="eastAsia" w:ascii="宋体" w:hAnsi="宋体" w:eastAsia="宋体" w:cs="宋体"/>
          <w:color w:val="auto"/>
          <w:sz w:val="84"/>
          <w:highlight w:val="none"/>
        </w:rPr>
      </w:pPr>
    </w:p>
    <w:p w14:paraId="22D4158A">
      <w:pPr>
        <w:pStyle w:val="24"/>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lang w:val="en-US" w:eastAsia="zh-CN"/>
        </w:rPr>
        <w:t>响 应</w:t>
      </w:r>
      <w:r>
        <w:rPr>
          <w:rFonts w:hint="eastAsia" w:ascii="宋体" w:hAnsi="宋体" w:eastAsia="宋体" w:cs="宋体"/>
          <w:color w:val="auto"/>
          <w:sz w:val="84"/>
          <w:highlight w:val="none"/>
        </w:rPr>
        <w:t xml:space="preserve"> 文 件</w:t>
      </w:r>
    </w:p>
    <w:p w14:paraId="45C199C1">
      <w:pPr>
        <w:pStyle w:val="24"/>
        <w:spacing w:line="360" w:lineRule="auto"/>
        <w:rPr>
          <w:rFonts w:hint="eastAsia" w:ascii="宋体" w:hAnsi="宋体" w:eastAsia="宋体" w:cs="宋体"/>
          <w:color w:val="auto"/>
          <w:highlight w:val="none"/>
        </w:rPr>
      </w:pPr>
    </w:p>
    <w:p w14:paraId="0DE5DA66">
      <w:pPr>
        <w:pStyle w:val="24"/>
        <w:spacing w:line="360" w:lineRule="auto"/>
        <w:rPr>
          <w:rFonts w:hint="eastAsia" w:ascii="宋体" w:hAnsi="宋体" w:eastAsia="宋体" w:cs="宋体"/>
          <w:color w:val="auto"/>
          <w:highlight w:val="none"/>
        </w:rPr>
      </w:pPr>
    </w:p>
    <w:p w14:paraId="71C14932">
      <w:pPr>
        <w:pStyle w:val="24"/>
        <w:spacing w:line="360" w:lineRule="auto"/>
        <w:rPr>
          <w:rFonts w:hint="eastAsia" w:ascii="宋体" w:hAnsi="宋体" w:eastAsia="宋体" w:cs="宋体"/>
          <w:color w:val="auto"/>
          <w:highlight w:val="none"/>
        </w:rPr>
      </w:pPr>
    </w:p>
    <w:p w14:paraId="4A26449A">
      <w:pPr>
        <w:pStyle w:val="24"/>
        <w:spacing w:line="360" w:lineRule="auto"/>
        <w:rPr>
          <w:rFonts w:hint="eastAsia" w:ascii="宋体" w:hAnsi="宋体" w:eastAsia="宋体" w:cs="宋体"/>
          <w:color w:val="auto"/>
          <w:highlight w:val="none"/>
        </w:rPr>
      </w:pPr>
    </w:p>
    <w:p w14:paraId="14A25B72">
      <w:pPr>
        <w:pStyle w:val="24"/>
        <w:spacing w:line="360" w:lineRule="auto"/>
        <w:rPr>
          <w:rFonts w:hint="eastAsia" w:ascii="宋体" w:hAnsi="宋体" w:eastAsia="宋体" w:cs="宋体"/>
          <w:color w:val="auto"/>
          <w:highlight w:val="none"/>
        </w:rPr>
      </w:pPr>
    </w:p>
    <w:p w14:paraId="10A40C5A">
      <w:pPr>
        <w:pStyle w:val="24"/>
        <w:spacing w:line="360" w:lineRule="auto"/>
        <w:rPr>
          <w:rFonts w:hint="eastAsia" w:ascii="宋体" w:hAnsi="宋体" w:eastAsia="宋体" w:cs="宋体"/>
          <w:color w:val="auto"/>
          <w:highlight w:val="none"/>
        </w:rPr>
      </w:pPr>
    </w:p>
    <w:p w14:paraId="33FCCAC6">
      <w:pPr>
        <w:pStyle w:val="24"/>
        <w:spacing w:line="360" w:lineRule="auto"/>
        <w:rPr>
          <w:rFonts w:hint="eastAsia" w:ascii="宋体" w:hAnsi="宋体" w:eastAsia="宋体" w:cs="宋体"/>
          <w:color w:val="auto"/>
          <w:highlight w:val="none"/>
        </w:rPr>
      </w:pPr>
    </w:p>
    <w:p w14:paraId="1F919C14">
      <w:pPr>
        <w:pStyle w:val="24"/>
        <w:spacing w:line="360" w:lineRule="auto"/>
        <w:rPr>
          <w:rFonts w:hint="eastAsia" w:ascii="宋体" w:hAnsi="宋体" w:eastAsia="宋体" w:cs="宋体"/>
          <w:color w:val="auto"/>
          <w:highlight w:val="none"/>
        </w:rPr>
      </w:pPr>
    </w:p>
    <w:p w14:paraId="5FB9F2B6">
      <w:pPr>
        <w:pStyle w:val="24"/>
        <w:spacing w:line="360" w:lineRule="auto"/>
        <w:rPr>
          <w:rFonts w:hint="eastAsia" w:ascii="宋体" w:hAnsi="宋体" w:eastAsia="宋体" w:cs="宋体"/>
          <w:color w:val="auto"/>
          <w:highlight w:val="none"/>
          <w:u w:val="none"/>
        </w:rPr>
      </w:pPr>
    </w:p>
    <w:p w14:paraId="21E7894A">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编号：</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 xml:space="preserve">YDZB24DGQY0031-1  </w:t>
      </w:r>
    </w:p>
    <w:p w14:paraId="3B1CFA73">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rPr>
        <w:t>项目名称：</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东莞市众源环境投资有限公司污水处理厂污泥脱水减量处理服务（BOT权属东江下游片区）采购项目（麻涌一期重新采购）</w:t>
      </w:r>
      <w:r>
        <w:rPr>
          <w:rFonts w:hint="eastAsia" w:ascii="宋体" w:hAnsi="宋体" w:eastAsia="宋体" w:cs="宋体"/>
          <w:color w:val="auto"/>
          <w:sz w:val="30"/>
          <w:u w:val="single"/>
        </w:rPr>
        <w:t xml:space="preserve"> </w:t>
      </w:r>
    </w:p>
    <w:p w14:paraId="2821A772">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响应</w:t>
      </w:r>
      <w:r>
        <w:rPr>
          <w:rFonts w:hint="eastAsia" w:ascii="宋体" w:hAnsi="宋体" w:eastAsia="宋体" w:cs="宋体"/>
          <w:color w:val="auto"/>
          <w:sz w:val="30"/>
        </w:rPr>
        <w:t>文件内容：</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en-US" w:eastAsia="zh-CN"/>
        </w:rPr>
        <w:t>响应</w:t>
      </w:r>
      <w:r>
        <w:rPr>
          <w:rFonts w:hint="eastAsia" w:ascii="宋体" w:hAnsi="宋体" w:eastAsia="宋体" w:cs="宋体"/>
          <w:color w:val="auto"/>
          <w:sz w:val="30"/>
          <w:u w:val="single"/>
        </w:rPr>
        <w:t xml:space="preserve">文件技术部分 </w:t>
      </w:r>
    </w:p>
    <w:p w14:paraId="57B7837C">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lang w:val="en-US" w:eastAsia="zh-CN"/>
        </w:rPr>
        <w:t>采购</w:t>
      </w:r>
      <w:r>
        <w:rPr>
          <w:rFonts w:hint="eastAsia" w:ascii="宋体" w:hAnsi="宋体" w:eastAsia="宋体" w:cs="宋体"/>
          <w:color w:val="auto"/>
          <w:sz w:val="30"/>
        </w:rPr>
        <w:t>人：</w:t>
      </w:r>
      <w:r>
        <w:rPr>
          <w:rFonts w:hint="eastAsia" w:ascii="宋体" w:hAnsi="宋体" w:eastAsia="宋体" w:cs="宋体"/>
          <w:color w:val="auto"/>
          <w:sz w:val="30"/>
          <w:u w:val="single"/>
        </w:rPr>
        <w:t xml:space="preserve"> </w:t>
      </w:r>
      <w:r>
        <w:rPr>
          <w:rFonts w:hint="eastAsia" w:ascii="宋体" w:hAnsi="宋体" w:eastAsia="宋体" w:cs="宋体"/>
          <w:color w:val="auto"/>
          <w:sz w:val="30"/>
          <w:u w:val="single"/>
          <w:lang w:val="zh-CN"/>
        </w:rPr>
        <w:t>东莞市众源环境投资有限公司</w:t>
      </w:r>
      <w:r>
        <w:rPr>
          <w:rFonts w:hint="eastAsia" w:ascii="宋体" w:hAnsi="宋体" w:eastAsia="宋体" w:cs="宋体"/>
          <w:color w:val="auto"/>
          <w:sz w:val="30"/>
          <w:u w:val="single"/>
        </w:rPr>
        <w:t xml:space="preserve"> </w:t>
      </w:r>
    </w:p>
    <w:p w14:paraId="0E276104">
      <w:pPr>
        <w:pStyle w:val="24"/>
        <w:spacing w:line="360" w:lineRule="auto"/>
        <w:outlineLvl w:val="9"/>
        <w:rPr>
          <w:rFonts w:hint="eastAsia" w:ascii="宋体" w:hAnsi="宋体" w:eastAsia="宋体" w:cs="宋体"/>
          <w:color w:val="auto"/>
          <w:sz w:val="30"/>
          <w:u w:val="single"/>
        </w:rPr>
      </w:pPr>
      <w:r>
        <w:rPr>
          <w:rFonts w:hint="eastAsia" w:ascii="宋体" w:hAnsi="宋体" w:eastAsia="宋体" w:cs="宋体"/>
          <w:color w:val="auto"/>
          <w:sz w:val="30"/>
          <w:lang w:val="en-US" w:eastAsia="zh-CN"/>
        </w:rPr>
        <w:t>供应商</w:t>
      </w:r>
      <w:r>
        <w:rPr>
          <w:rFonts w:hint="eastAsia" w:ascii="宋体" w:hAnsi="宋体" w:eastAsia="宋体" w:cs="宋体"/>
          <w:color w:val="auto"/>
          <w:sz w:val="30"/>
        </w:rPr>
        <w:t>：</w:t>
      </w:r>
      <w:r>
        <w:rPr>
          <w:rFonts w:hint="eastAsia" w:ascii="宋体" w:hAnsi="宋体" w:eastAsia="宋体" w:cs="宋体"/>
          <w:color w:val="auto"/>
          <w:sz w:val="30"/>
          <w:u w:val="single"/>
        </w:rPr>
        <w:t xml:space="preserve">                        </w:t>
      </w:r>
    </w:p>
    <w:p w14:paraId="6136A194">
      <w:pPr>
        <w:pStyle w:val="24"/>
        <w:spacing w:line="360" w:lineRule="auto"/>
        <w:outlineLvl w:val="9"/>
        <w:rPr>
          <w:rFonts w:hint="eastAsia" w:ascii="宋体" w:hAnsi="宋体" w:eastAsia="宋体" w:cs="宋体"/>
          <w:color w:val="auto"/>
          <w:sz w:val="30"/>
        </w:rPr>
      </w:pPr>
      <w:r>
        <w:rPr>
          <w:rFonts w:hint="eastAsia" w:ascii="宋体" w:hAnsi="宋体" w:eastAsia="宋体" w:cs="宋体"/>
          <w:color w:val="auto"/>
          <w:sz w:val="30"/>
        </w:rPr>
        <w:t>日  期：</w:t>
      </w:r>
      <w:r>
        <w:rPr>
          <w:rFonts w:hint="eastAsia" w:ascii="宋体" w:hAnsi="宋体" w:eastAsia="宋体" w:cs="宋体"/>
          <w:color w:val="auto"/>
          <w:sz w:val="30"/>
          <w:u w:val="single"/>
        </w:rPr>
        <w:t xml:space="preserve">     </w:t>
      </w:r>
      <w:r>
        <w:rPr>
          <w:rFonts w:hint="eastAsia" w:ascii="宋体" w:hAnsi="宋体" w:eastAsia="宋体" w:cs="宋体"/>
          <w:color w:val="auto"/>
          <w:sz w:val="30"/>
        </w:rPr>
        <w:t>年</w:t>
      </w:r>
      <w:r>
        <w:rPr>
          <w:rFonts w:hint="eastAsia" w:ascii="宋体" w:hAnsi="宋体" w:eastAsia="宋体" w:cs="宋体"/>
          <w:color w:val="auto"/>
          <w:sz w:val="30"/>
          <w:u w:val="single"/>
        </w:rPr>
        <w:t xml:space="preserve">    </w:t>
      </w:r>
      <w:r>
        <w:rPr>
          <w:rFonts w:hint="eastAsia" w:ascii="宋体" w:hAnsi="宋体" w:eastAsia="宋体" w:cs="宋体"/>
          <w:color w:val="auto"/>
          <w:sz w:val="30"/>
        </w:rPr>
        <w:t>月</w:t>
      </w:r>
      <w:r>
        <w:rPr>
          <w:rFonts w:hint="eastAsia" w:ascii="宋体" w:hAnsi="宋体" w:eastAsia="宋体" w:cs="宋体"/>
          <w:color w:val="auto"/>
          <w:sz w:val="30"/>
          <w:u w:val="single"/>
        </w:rPr>
        <w:t xml:space="preserve">    </w:t>
      </w:r>
      <w:r>
        <w:rPr>
          <w:rFonts w:hint="eastAsia" w:ascii="宋体" w:hAnsi="宋体" w:eastAsia="宋体" w:cs="宋体"/>
          <w:color w:val="auto"/>
          <w:sz w:val="30"/>
        </w:rPr>
        <w:t>日</w:t>
      </w:r>
    </w:p>
    <w:p w14:paraId="31BE98A3">
      <w:pPr>
        <w:bidi w:val="0"/>
        <w:rPr>
          <w:rFonts w:hint="eastAsia" w:eastAsia="宋体"/>
          <w:color w:val="auto"/>
          <w:highlight w:val="none"/>
        </w:rPr>
      </w:pPr>
    </w:p>
    <w:p w14:paraId="39D0BBEE">
      <w:pPr>
        <w:bidi w:val="0"/>
        <w:rPr>
          <w:rFonts w:hint="eastAsia" w:eastAsia="宋体"/>
          <w:color w:val="auto"/>
          <w:highlight w:val="none"/>
        </w:rPr>
      </w:pPr>
    </w:p>
    <w:p w14:paraId="66E9EAA8">
      <w:pPr>
        <w:bidi w:val="0"/>
        <w:rPr>
          <w:rFonts w:hint="eastAsia" w:eastAsia="宋体"/>
          <w:color w:val="auto"/>
          <w:highlight w:val="none"/>
        </w:rPr>
      </w:pPr>
    </w:p>
    <w:p w14:paraId="437B59D3">
      <w:pPr>
        <w:bidi w:val="0"/>
        <w:rPr>
          <w:rFonts w:hint="eastAsia" w:eastAsia="宋体"/>
          <w:color w:val="auto"/>
          <w:highlight w:val="none"/>
        </w:rPr>
      </w:pPr>
    </w:p>
    <w:p w14:paraId="527BAE3A">
      <w:pPr>
        <w:bidi w:val="0"/>
        <w:jc w:val="center"/>
        <w:rPr>
          <w:rFonts w:hint="eastAsia" w:eastAsia="宋体"/>
          <w:b/>
          <w:bCs/>
          <w:color w:val="auto"/>
          <w:sz w:val="21"/>
          <w:szCs w:val="21"/>
          <w:highlight w:val="none"/>
        </w:rPr>
      </w:pPr>
      <w:r>
        <w:rPr>
          <w:rFonts w:hint="eastAsia" w:eastAsia="宋体"/>
          <w:b/>
          <w:bCs/>
          <w:color w:val="auto"/>
          <w:sz w:val="21"/>
          <w:szCs w:val="21"/>
          <w:highlight w:val="none"/>
          <w:lang w:val="en-US" w:eastAsia="zh-CN"/>
        </w:rPr>
        <w:t>响应</w:t>
      </w:r>
      <w:r>
        <w:rPr>
          <w:rFonts w:hint="eastAsia" w:eastAsia="宋体"/>
          <w:b/>
          <w:bCs/>
          <w:color w:val="auto"/>
          <w:sz w:val="21"/>
          <w:szCs w:val="21"/>
          <w:highlight w:val="none"/>
        </w:rPr>
        <w:t>文件</w:t>
      </w:r>
      <w:r>
        <w:rPr>
          <w:rFonts w:hint="eastAsia" w:eastAsia="宋体"/>
          <w:b/>
          <w:bCs/>
          <w:color w:val="auto"/>
          <w:sz w:val="21"/>
          <w:szCs w:val="21"/>
          <w:highlight w:val="none"/>
          <w:lang w:val="en-US" w:eastAsia="zh-CN"/>
        </w:rPr>
        <w:t>技术</w:t>
      </w:r>
      <w:r>
        <w:rPr>
          <w:rFonts w:hint="eastAsia" w:eastAsia="宋体"/>
          <w:b/>
          <w:bCs/>
          <w:color w:val="auto"/>
          <w:sz w:val="21"/>
          <w:szCs w:val="21"/>
          <w:highlight w:val="none"/>
        </w:rPr>
        <w:t>评审部分索引表</w:t>
      </w:r>
    </w:p>
    <w:p w14:paraId="3A40F7D6">
      <w:pPr>
        <w:widowControl w:val="0"/>
        <w:autoSpaceDE w:val="0"/>
        <w:autoSpaceDN w:val="0"/>
        <w:adjustRightInd w:val="0"/>
        <w:jc w:val="center"/>
        <w:rPr>
          <w:rFonts w:hint="eastAsia" w:ascii="Times New Roman" w:hAnsi="Times New Roman" w:eastAsia="宋体" w:cs="Times New Roman"/>
          <w:b/>
          <w:color w:val="auto"/>
          <w:sz w:val="24"/>
          <w:szCs w:val="24"/>
          <w:highlight w:val="none"/>
          <w:lang w:val="en-US" w:eastAsia="zh-CN" w:bidi="ar-SA"/>
        </w:rPr>
      </w:pPr>
    </w:p>
    <w:tbl>
      <w:tblPr>
        <w:tblStyle w:val="55"/>
        <w:tblW w:w="499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92"/>
        <w:gridCol w:w="2449"/>
        <w:gridCol w:w="3314"/>
        <w:gridCol w:w="2625"/>
      </w:tblGrid>
      <w:tr w14:paraId="256354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94" w:hRule="atLeast"/>
          <w:jc w:val="center"/>
        </w:trPr>
        <w:tc>
          <w:tcPr>
            <w:tcW w:w="481" w:type="pct"/>
            <w:vAlign w:val="center"/>
          </w:tcPr>
          <w:p w14:paraId="082BBF34">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序号</w:t>
            </w:r>
          </w:p>
        </w:tc>
        <w:tc>
          <w:tcPr>
            <w:tcW w:w="1318" w:type="pct"/>
            <w:vAlign w:val="center"/>
          </w:tcPr>
          <w:p w14:paraId="5A95C019">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评审</w:t>
            </w:r>
            <w:r>
              <w:rPr>
                <w:rFonts w:hint="eastAsia" w:eastAsia="宋体"/>
                <w:color w:val="auto"/>
                <w:sz w:val="21"/>
                <w:szCs w:val="21"/>
                <w:highlight w:val="none"/>
              </w:rPr>
              <w:t>项目</w:t>
            </w:r>
          </w:p>
        </w:tc>
        <w:tc>
          <w:tcPr>
            <w:tcW w:w="1785" w:type="pct"/>
            <w:vAlign w:val="center"/>
          </w:tcPr>
          <w:p w14:paraId="2C46179E">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lang w:val="en-US" w:eastAsia="zh-CN"/>
              </w:rPr>
              <w:t>竞争性磋商</w:t>
            </w:r>
            <w:r>
              <w:rPr>
                <w:rFonts w:hint="eastAsia" w:eastAsia="宋体"/>
                <w:color w:val="auto"/>
                <w:sz w:val="21"/>
                <w:szCs w:val="21"/>
                <w:highlight w:val="none"/>
              </w:rPr>
              <w:t>文件上的满分值</w:t>
            </w:r>
          </w:p>
        </w:tc>
        <w:tc>
          <w:tcPr>
            <w:tcW w:w="1414" w:type="pct"/>
            <w:tcBorders>
              <w:left w:val="single" w:color="auto" w:sz="4" w:space="0"/>
            </w:tcBorders>
            <w:vAlign w:val="center"/>
          </w:tcPr>
          <w:p w14:paraId="0A2E2EF1">
            <w:pPr>
              <w:keepNext w:val="0"/>
              <w:keepLines w:val="0"/>
              <w:suppressLineNumbers w:val="0"/>
              <w:bidi w:val="0"/>
              <w:spacing w:before="0" w:beforeAutospacing="0" w:after="0" w:afterAutospacing="0"/>
              <w:ind w:left="0" w:right="0"/>
              <w:jc w:val="center"/>
              <w:rPr>
                <w:rFonts w:hint="eastAsia" w:eastAsia="宋体"/>
                <w:color w:val="auto"/>
                <w:sz w:val="21"/>
                <w:szCs w:val="21"/>
                <w:highlight w:val="none"/>
              </w:rPr>
            </w:pPr>
            <w:r>
              <w:rPr>
                <w:rFonts w:hint="eastAsia" w:eastAsia="宋体"/>
                <w:color w:val="auto"/>
                <w:sz w:val="21"/>
                <w:szCs w:val="21"/>
                <w:highlight w:val="none"/>
              </w:rPr>
              <w:t>页码索引</w:t>
            </w:r>
          </w:p>
        </w:tc>
      </w:tr>
      <w:tr w14:paraId="7AC36C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481" w:type="pct"/>
            <w:vAlign w:val="center"/>
          </w:tcPr>
          <w:p w14:paraId="666540B3">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3B3FDF83">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52A7755E">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6CFCC4E4">
            <w:pPr>
              <w:keepNext w:val="0"/>
              <w:keepLines w:val="0"/>
              <w:suppressLineNumbers w:val="0"/>
              <w:bidi w:val="0"/>
              <w:spacing w:before="0" w:beforeAutospacing="0" w:after="0" w:afterAutospacing="0"/>
              <w:ind w:left="0" w:right="0"/>
              <w:rPr>
                <w:rFonts w:hint="eastAsia" w:eastAsia="宋体"/>
                <w:color w:val="auto"/>
                <w:highlight w:val="none"/>
              </w:rPr>
            </w:pPr>
          </w:p>
        </w:tc>
      </w:tr>
      <w:tr w14:paraId="53CC6E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481" w:type="pct"/>
            <w:vAlign w:val="center"/>
          </w:tcPr>
          <w:p w14:paraId="40D2EBF8">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5FE30905">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7FD6D741">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29EF3BAF">
            <w:pPr>
              <w:keepNext w:val="0"/>
              <w:keepLines w:val="0"/>
              <w:suppressLineNumbers w:val="0"/>
              <w:bidi w:val="0"/>
              <w:spacing w:before="0" w:beforeAutospacing="0" w:after="0" w:afterAutospacing="0"/>
              <w:ind w:left="0" w:right="0"/>
              <w:rPr>
                <w:rFonts w:hint="eastAsia" w:eastAsia="宋体"/>
                <w:color w:val="auto"/>
                <w:highlight w:val="none"/>
              </w:rPr>
            </w:pPr>
          </w:p>
        </w:tc>
      </w:tr>
      <w:tr w14:paraId="12BC0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481" w:type="pct"/>
            <w:vAlign w:val="center"/>
          </w:tcPr>
          <w:p w14:paraId="54816CBA">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vAlign w:val="center"/>
          </w:tcPr>
          <w:p w14:paraId="435E8FCD">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vAlign w:val="center"/>
          </w:tcPr>
          <w:p w14:paraId="10648C0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tcBorders>
            <w:vAlign w:val="center"/>
          </w:tcPr>
          <w:p w14:paraId="55C8FE6E">
            <w:pPr>
              <w:keepNext w:val="0"/>
              <w:keepLines w:val="0"/>
              <w:suppressLineNumbers w:val="0"/>
              <w:bidi w:val="0"/>
              <w:spacing w:before="0" w:beforeAutospacing="0" w:after="0" w:afterAutospacing="0"/>
              <w:ind w:left="0" w:right="0"/>
              <w:rPr>
                <w:rFonts w:hint="eastAsia" w:eastAsia="宋体"/>
                <w:color w:val="auto"/>
                <w:highlight w:val="none"/>
              </w:rPr>
            </w:pPr>
          </w:p>
        </w:tc>
      </w:tr>
      <w:tr w14:paraId="20F58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481" w:type="pct"/>
            <w:tcBorders>
              <w:top w:val="single" w:color="auto" w:sz="6" w:space="0"/>
              <w:left w:val="single" w:color="auto" w:sz="4" w:space="0"/>
              <w:bottom w:val="outset" w:color="808080" w:sz="6" w:space="0"/>
              <w:right w:val="single" w:color="auto" w:sz="6" w:space="0"/>
            </w:tcBorders>
            <w:vAlign w:val="center"/>
          </w:tcPr>
          <w:p w14:paraId="31DD8A13">
            <w:pPr>
              <w:keepNext w:val="0"/>
              <w:keepLines w:val="0"/>
              <w:suppressLineNumbers w:val="0"/>
              <w:bidi w:val="0"/>
              <w:spacing w:before="0" w:beforeAutospacing="0" w:after="0" w:afterAutospacing="0"/>
              <w:ind w:left="0" w:right="0"/>
              <w:rPr>
                <w:rFonts w:hint="eastAsia" w:eastAsia="宋体"/>
                <w:color w:val="auto"/>
                <w:highlight w:val="none"/>
              </w:rPr>
            </w:pPr>
          </w:p>
        </w:tc>
        <w:tc>
          <w:tcPr>
            <w:tcW w:w="1318" w:type="pct"/>
            <w:tcBorders>
              <w:top w:val="single" w:color="auto" w:sz="6" w:space="0"/>
              <w:left w:val="single" w:color="auto" w:sz="6" w:space="0"/>
              <w:bottom w:val="outset" w:color="808080" w:sz="6" w:space="0"/>
              <w:right w:val="single" w:color="auto" w:sz="6" w:space="0"/>
            </w:tcBorders>
            <w:vAlign w:val="center"/>
          </w:tcPr>
          <w:p w14:paraId="1A40AAF1">
            <w:pPr>
              <w:keepNext w:val="0"/>
              <w:keepLines w:val="0"/>
              <w:suppressLineNumbers w:val="0"/>
              <w:bidi w:val="0"/>
              <w:spacing w:before="0" w:beforeAutospacing="0" w:after="0" w:afterAutospacing="0"/>
              <w:ind w:left="0" w:right="0"/>
              <w:rPr>
                <w:rFonts w:hint="eastAsia" w:eastAsia="宋体"/>
                <w:color w:val="auto"/>
                <w:highlight w:val="none"/>
              </w:rPr>
            </w:pPr>
          </w:p>
        </w:tc>
        <w:tc>
          <w:tcPr>
            <w:tcW w:w="1785" w:type="pct"/>
            <w:tcBorders>
              <w:top w:val="single" w:color="auto" w:sz="6" w:space="0"/>
              <w:left w:val="single" w:color="auto" w:sz="6" w:space="0"/>
              <w:bottom w:val="outset" w:color="808080" w:sz="6" w:space="0"/>
              <w:right w:val="single" w:color="auto" w:sz="6" w:space="0"/>
            </w:tcBorders>
            <w:vAlign w:val="center"/>
          </w:tcPr>
          <w:p w14:paraId="0A598540">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top w:val="single" w:color="auto" w:sz="6" w:space="0"/>
              <w:left w:val="single" w:color="auto" w:sz="4" w:space="0"/>
              <w:bottom w:val="outset" w:color="808080" w:sz="6" w:space="0"/>
              <w:right w:val="single" w:color="auto" w:sz="6" w:space="0"/>
            </w:tcBorders>
            <w:vAlign w:val="center"/>
          </w:tcPr>
          <w:p w14:paraId="2D2B1305">
            <w:pPr>
              <w:keepNext w:val="0"/>
              <w:keepLines w:val="0"/>
              <w:suppressLineNumbers w:val="0"/>
              <w:bidi w:val="0"/>
              <w:spacing w:before="0" w:beforeAutospacing="0" w:after="0" w:afterAutospacing="0"/>
              <w:ind w:left="0" w:right="0"/>
              <w:rPr>
                <w:rFonts w:hint="eastAsia" w:eastAsia="宋体"/>
                <w:color w:val="auto"/>
                <w:highlight w:val="none"/>
              </w:rPr>
            </w:pPr>
          </w:p>
        </w:tc>
      </w:tr>
      <w:tr w14:paraId="6D12C3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00" w:type="pct"/>
            <w:gridSpan w:val="2"/>
            <w:tcBorders>
              <w:bottom w:val="single" w:color="auto" w:sz="4" w:space="0"/>
            </w:tcBorders>
            <w:vAlign w:val="center"/>
          </w:tcPr>
          <w:p w14:paraId="66412D72">
            <w:pPr>
              <w:keepNext w:val="0"/>
              <w:keepLines w:val="0"/>
              <w:suppressLineNumbers w:val="0"/>
              <w:bidi w:val="0"/>
              <w:spacing w:before="0" w:beforeAutospacing="0" w:after="0" w:afterAutospacing="0"/>
              <w:ind w:left="0" w:right="0"/>
              <w:jc w:val="center"/>
              <w:rPr>
                <w:rFonts w:hint="eastAsia" w:eastAsia="宋体"/>
                <w:color w:val="auto"/>
                <w:highlight w:val="none"/>
              </w:rPr>
            </w:pPr>
            <w:r>
              <w:rPr>
                <w:rFonts w:hint="eastAsia" w:eastAsia="宋体"/>
                <w:color w:val="auto"/>
                <w:sz w:val="21"/>
                <w:szCs w:val="21"/>
                <w:highlight w:val="none"/>
              </w:rPr>
              <w:t>合计</w:t>
            </w:r>
          </w:p>
        </w:tc>
        <w:tc>
          <w:tcPr>
            <w:tcW w:w="1785" w:type="pct"/>
            <w:tcBorders>
              <w:bottom w:val="single" w:color="auto" w:sz="4" w:space="0"/>
            </w:tcBorders>
            <w:vAlign w:val="center"/>
          </w:tcPr>
          <w:p w14:paraId="300BD2FC">
            <w:pPr>
              <w:keepNext w:val="0"/>
              <w:keepLines w:val="0"/>
              <w:suppressLineNumbers w:val="0"/>
              <w:bidi w:val="0"/>
              <w:spacing w:before="0" w:beforeAutospacing="0" w:after="0" w:afterAutospacing="0"/>
              <w:ind w:left="0" w:right="0"/>
              <w:rPr>
                <w:rFonts w:hint="eastAsia" w:eastAsia="宋体"/>
                <w:color w:val="auto"/>
                <w:highlight w:val="none"/>
              </w:rPr>
            </w:pPr>
          </w:p>
        </w:tc>
        <w:tc>
          <w:tcPr>
            <w:tcW w:w="1414" w:type="pct"/>
            <w:tcBorders>
              <w:left w:val="single" w:color="auto" w:sz="4" w:space="0"/>
              <w:bottom w:val="single" w:color="auto" w:sz="4" w:space="0"/>
            </w:tcBorders>
            <w:vAlign w:val="center"/>
          </w:tcPr>
          <w:p w14:paraId="718D75A1">
            <w:pPr>
              <w:keepNext w:val="0"/>
              <w:keepLines w:val="0"/>
              <w:suppressLineNumbers w:val="0"/>
              <w:bidi w:val="0"/>
              <w:spacing w:before="0" w:beforeAutospacing="0" w:after="0" w:afterAutospacing="0"/>
              <w:ind w:left="0" w:right="0"/>
              <w:rPr>
                <w:rFonts w:hint="eastAsia" w:eastAsia="宋体"/>
                <w:color w:val="auto"/>
                <w:highlight w:val="none"/>
              </w:rPr>
            </w:pPr>
          </w:p>
        </w:tc>
      </w:tr>
    </w:tbl>
    <w:p w14:paraId="4D6DEC74">
      <w:pPr>
        <w:bidi w:val="0"/>
        <w:rPr>
          <w:rFonts w:hint="eastAsia" w:eastAsia="宋体"/>
          <w:color w:val="auto"/>
          <w:highlight w:val="none"/>
        </w:rPr>
      </w:pPr>
    </w:p>
    <w:p w14:paraId="13BB2A4B">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color w:val="auto"/>
          <w:highlight w:val="none"/>
        </w:rPr>
      </w:pPr>
    </w:p>
    <w:p w14:paraId="77A5A952">
      <w:pPr>
        <w:bidi w:val="0"/>
        <w:rPr>
          <w:rFonts w:hint="eastAsia"/>
          <w:color w:val="auto"/>
          <w:highlight w:val="none"/>
          <w:lang w:val="en-US" w:eastAsia="zh-CN"/>
        </w:rPr>
      </w:pPr>
      <w:r>
        <w:rPr>
          <w:rFonts w:hint="eastAsia"/>
          <w:color w:val="auto"/>
          <w:highlight w:val="none"/>
          <w:lang w:val="en-US" w:eastAsia="zh-CN"/>
        </w:rPr>
        <w:br w:type="page"/>
      </w:r>
      <w:bookmarkEnd w:id="396"/>
      <w:bookmarkEnd w:id="397"/>
      <w:bookmarkEnd w:id="423"/>
      <w:bookmarkStart w:id="437" w:name="_Toc56076635"/>
      <w:bookmarkStart w:id="438" w:name="_Toc11360"/>
      <w:bookmarkStart w:id="439" w:name="_Toc79146608"/>
      <w:bookmarkStart w:id="440" w:name="_Toc3742"/>
      <w:bookmarkStart w:id="441" w:name="_Toc3277"/>
    </w:p>
    <w:bookmarkEnd w:id="437"/>
    <w:bookmarkEnd w:id="438"/>
    <w:bookmarkEnd w:id="439"/>
    <w:bookmarkEnd w:id="440"/>
    <w:bookmarkEnd w:id="441"/>
    <w:p w14:paraId="6C0C52C8">
      <w:pPr>
        <w:tabs>
          <w:tab w:val="left" w:pos="567"/>
        </w:tabs>
        <w:autoSpaceDE w:val="0"/>
        <w:autoSpaceDN w:val="0"/>
        <w:adjustRightInd w:val="0"/>
        <w:spacing w:line="360" w:lineRule="auto"/>
        <w:jc w:val="left"/>
        <w:outlineLvl w:val="9"/>
        <w:rPr>
          <w:rFonts w:hint="eastAsia" w:ascii="宋体" w:hAnsi="宋体" w:eastAsia="宋体" w:cs="宋体"/>
          <w:b/>
          <w:kern w:val="0"/>
          <w:sz w:val="30"/>
          <w:szCs w:val="30"/>
        </w:rPr>
      </w:pPr>
      <w:bookmarkStart w:id="442" w:name="_Toc27934"/>
      <w:bookmarkStart w:id="443" w:name="_Toc18999"/>
      <w:bookmarkStart w:id="444" w:name="_Toc30448"/>
      <w:bookmarkStart w:id="445" w:name="_Toc56076639"/>
      <w:bookmarkStart w:id="446" w:name="_Toc12153"/>
      <w:bookmarkStart w:id="447" w:name="_Toc79146609"/>
      <w:bookmarkStart w:id="448" w:name="_Toc41571412"/>
      <w:bookmarkStart w:id="449" w:name="_Toc31049"/>
      <w:bookmarkStart w:id="450" w:name="_Toc79146610"/>
      <w:bookmarkStart w:id="451" w:name="_Toc14292"/>
      <w:bookmarkStart w:id="452" w:name="_Toc54334016"/>
      <w:bookmarkStart w:id="453" w:name="_Toc490169467"/>
      <w:bookmarkStart w:id="454" w:name="_Toc1123961"/>
      <w:bookmarkStart w:id="455" w:name="_Toc521918131"/>
      <w:bookmarkStart w:id="456" w:name="_Toc19008834"/>
      <w:bookmarkStart w:id="457" w:name="_Toc5098078"/>
      <w:bookmarkStart w:id="458" w:name="_Toc495907137"/>
      <w:bookmarkStart w:id="459" w:name="_Toc497746567"/>
      <w:r>
        <w:rPr>
          <w:rFonts w:hint="eastAsia" w:ascii="宋体" w:hAnsi="宋体" w:eastAsia="宋体" w:cs="宋体"/>
          <w:b/>
          <w:kern w:val="0"/>
          <w:sz w:val="30"/>
          <w:szCs w:val="30"/>
        </w:rPr>
        <w:t>13.1 用户需求偏离表格式</w:t>
      </w:r>
      <w:bookmarkEnd w:id="442"/>
      <w:bookmarkEnd w:id="443"/>
      <w:bookmarkEnd w:id="444"/>
    </w:p>
    <w:p w14:paraId="7B70B09A">
      <w:pPr>
        <w:spacing w:before="120" w:after="120" w:line="360" w:lineRule="auto"/>
        <w:jc w:val="center"/>
        <w:outlineLvl w:val="9"/>
        <w:rPr>
          <w:rFonts w:hint="eastAsia" w:ascii="宋体" w:hAnsi="宋体" w:eastAsia="宋体" w:cs="宋体"/>
          <w:kern w:val="0"/>
          <w:szCs w:val="21"/>
        </w:rPr>
      </w:pPr>
      <w:bookmarkStart w:id="460" w:name="_Toc17449_WPSOffice_Level3"/>
      <w:r>
        <w:rPr>
          <w:rFonts w:hint="eastAsia" w:ascii="宋体" w:hAnsi="宋体" w:eastAsia="宋体" w:cs="宋体"/>
          <w:b/>
          <w:kern w:val="0"/>
          <w:sz w:val="30"/>
          <w:szCs w:val="30"/>
          <w:lang w:val="zh-CN"/>
        </w:rPr>
        <w:t>用户需求偏离表</w:t>
      </w:r>
      <w:bookmarkEnd w:id="460"/>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853"/>
        <w:gridCol w:w="5743"/>
        <w:gridCol w:w="646"/>
        <w:gridCol w:w="776"/>
        <w:gridCol w:w="734"/>
      </w:tblGrid>
      <w:tr w14:paraId="06BD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restart"/>
            <w:vAlign w:val="center"/>
          </w:tcPr>
          <w:p w14:paraId="126D449F">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3551" w:type="pct"/>
            <w:gridSpan w:val="2"/>
            <w:vAlign w:val="center"/>
          </w:tcPr>
          <w:p w14:paraId="0C68BCF3">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竞争性磋商</w:t>
            </w:r>
            <w:r>
              <w:rPr>
                <w:rFonts w:hint="eastAsia" w:ascii="宋体" w:hAnsi="宋体" w:eastAsia="宋体" w:cs="宋体"/>
                <w:kern w:val="0"/>
                <w:sz w:val="21"/>
                <w:szCs w:val="21"/>
              </w:rPr>
              <w:t>文件要求</w:t>
            </w:r>
          </w:p>
        </w:tc>
        <w:tc>
          <w:tcPr>
            <w:tcW w:w="1160" w:type="pct"/>
            <w:gridSpan w:val="3"/>
            <w:vAlign w:val="center"/>
          </w:tcPr>
          <w:p w14:paraId="3D45647E">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响应</w:t>
            </w:r>
            <w:r>
              <w:rPr>
                <w:rFonts w:hint="eastAsia" w:ascii="宋体" w:hAnsi="宋体" w:eastAsia="宋体" w:cs="宋体"/>
                <w:kern w:val="0"/>
                <w:sz w:val="21"/>
                <w:szCs w:val="21"/>
              </w:rPr>
              <w:t>文件内容</w:t>
            </w:r>
          </w:p>
        </w:tc>
      </w:tr>
      <w:tr w14:paraId="0969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288" w:type="pct"/>
            <w:vMerge w:val="continue"/>
            <w:vAlign w:val="center"/>
          </w:tcPr>
          <w:p w14:paraId="20370F4D">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59" w:type="pct"/>
            <w:vAlign w:val="center"/>
          </w:tcPr>
          <w:p w14:paraId="1CD9F78E">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条款号</w:t>
            </w:r>
          </w:p>
        </w:tc>
        <w:tc>
          <w:tcPr>
            <w:tcW w:w="3092" w:type="pct"/>
            <w:vAlign w:val="center"/>
          </w:tcPr>
          <w:p w14:paraId="7405DDA2">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简要内容</w:t>
            </w:r>
          </w:p>
        </w:tc>
        <w:tc>
          <w:tcPr>
            <w:tcW w:w="348" w:type="pct"/>
            <w:vAlign w:val="center"/>
          </w:tcPr>
          <w:p w14:paraId="180BFBBF">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偏离情况</w:t>
            </w:r>
          </w:p>
        </w:tc>
        <w:tc>
          <w:tcPr>
            <w:tcW w:w="418" w:type="pct"/>
            <w:vAlign w:val="center"/>
          </w:tcPr>
          <w:p w14:paraId="23D219C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实质性响应的具体内容</w:t>
            </w:r>
          </w:p>
        </w:tc>
        <w:tc>
          <w:tcPr>
            <w:tcW w:w="393" w:type="pct"/>
            <w:vAlign w:val="center"/>
          </w:tcPr>
          <w:p w14:paraId="258D1F4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对应证明材料页码</w:t>
            </w:r>
          </w:p>
        </w:tc>
      </w:tr>
      <w:tr w14:paraId="7224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8" w:type="pct"/>
            <w:vAlign w:val="center"/>
          </w:tcPr>
          <w:p w14:paraId="3B0E55F9">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59" w:type="pct"/>
            <w:vAlign w:val="center"/>
          </w:tcPr>
          <w:p w14:paraId="34FB715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一</w:t>
            </w:r>
          </w:p>
        </w:tc>
        <w:tc>
          <w:tcPr>
            <w:tcW w:w="3092" w:type="pct"/>
            <w:vAlign w:val="center"/>
          </w:tcPr>
          <w:p w14:paraId="217F8D08">
            <w:pPr>
              <w:keepNext w:val="0"/>
              <w:keepLines w:val="0"/>
              <w:suppressLineNumbers w:val="0"/>
              <w:autoSpaceDE w:val="0"/>
              <w:autoSpaceDN w:val="0"/>
              <w:adjustRightInd w:val="0"/>
              <w:spacing w:before="0" w:beforeAutospacing="0" w:after="0" w:afterAutospacing="0" w:line="240" w:lineRule="auto"/>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项目概况</w:t>
            </w:r>
          </w:p>
        </w:tc>
        <w:tc>
          <w:tcPr>
            <w:tcW w:w="348" w:type="pct"/>
            <w:vAlign w:val="center"/>
          </w:tcPr>
          <w:p w14:paraId="7A48456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FEC4E5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24C618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9D8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1305A391">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59" w:type="pct"/>
            <w:vAlign w:val="center"/>
          </w:tcPr>
          <w:p w14:paraId="390B1F9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二</w:t>
            </w:r>
          </w:p>
        </w:tc>
        <w:tc>
          <w:tcPr>
            <w:tcW w:w="3092" w:type="pct"/>
            <w:vAlign w:val="center"/>
          </w:tcPr>
          <w:p w14:paraId="038FB60C">
            <w:pPr>
              <w:keepNext w:val="0"/>
              <w:keepLines w:val="0"/>
              <w:suppressLineNumbers w:val="0"/>
              <w:adjustRightInd w:val="0"/>
              <w:snapToGrid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采购范围、服务期限、建设进度</w:t>
            </w:r>
          </w:p>
        </w:tc>
        <w:tc>
          <w:tcPr>
            <w:tcW w:w="348" w:type="pct"/>
            <w:vAlign w:val="center"/>
          </w:tcPr>
          <w:p w14:paraId="72D4804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6C31D1E">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7E08D51A">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8C5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0D80C66">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59" w:type="pct"/>
            <w:vAlign w:val="center"/>
          </w:tcPr>
          <w:p w14:paraId="771E9072">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三</w:t>
            </w:r>
          </w:p>
        </w:tc>
        <w:tc>
          <w:tcPr>
            <w:tcW w:w="3092" w:type="pct"/>
            <w:vAlign w:val="center"/>
          </w:tcPr>
          <w:p w14:paraId="2EA54E42">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污泥计量、脱水减量化处理后污泥的含水率及抽检、计费</w:t>
            </w:r>
          </w:p>
        </w:tc>
        <w:tc>
          <w:tcPr>
            <w:tcW w:w="348" w:type="pct"/>
            <w:vAlign w:val="center"/>
          </w:tcPr>
          <w:p w14:paraId="6ABA5A9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326560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406753A">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20F9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09590BF">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59" w:type="pct"/>
            <w:vAlign w:val="center"/>
          </w:tcPr>
          <w:p w14:paraId="4A7AAE6B">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sz w:val="21"/>
                <w:szCs w:val="21"/>
              </w:rPr>
            </w:pPr>
            <w:r>
              <w:rPr>
                <w:rFonts w:hint="eastAsia" w:ascii="宋体" w:hAnsi="宋体" w:eastAsia="宋体" w:cs="宋体"/>
                <w:sz w:val="21"/>
                <w:szCs w:val="21"/>
              </w:rPr>
              <w:t>四</w:t>
            </w:r>
          </w:p>
        </w:tc>
        <w:tc>
          <w:tcPr>
            <w:tcW w:w="3092" w:type="pct"/>
            <w:vAlign w:val="center"/>
          </w:tcPr>
          <w:p w14:paraId="521FBDA5">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污泥减量化项目技术要求</w:t>
            </w:r>
          </w:p>
        </w:tc>
        <w:tc>
          <w:tcPr>
            <w:tcW w:w="348" w:type="pct"/>
            <w:vAlign w:val="center"/>
          </w:tcPr>
          <w:p w14:paraId="090F090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465CAC1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269809B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8E9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3E3FF2D4">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59" w:type="pct"/>
            <w:vAlign w:val="center"/>
          </w:tcPr>
          <w:p w14:paraId="16F4D775">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五</w:t>
            </w:r>
          </w:p>
        </w:tc>
        <w:tc>
          <w:tcPr>
            <w:tcW w:w="3092" w:type="pct"/>
            <w:vAlign w:val="center"/>
          </w:tcPr>
          <w:p w14:paraId="2143E80F">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服务要求</w:t>
            </w:r>
          </w:p>
        </w:tc>
        <w:tc>
          <w:tcPr>
            <w:tcW w:w="348" w:type="pct"/>
            <w:vAlign w:val="center"/>
          </w:tcPr>
          <w:p w14:paraId="08B46A6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230CD8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E7EA76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6F5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04B1122">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59" w:type="pct"/>
            <w:vAlign w:val="center"/>
          </w:tcPr>
          <w:p w14:paraId="710E3EA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六</w:t>
            </w:r>
          </w:p>
        </w:tc>
        <w:tc>
          <w:tcPr>
            <w:tcW w:w="3092" w:type="pct"/>
            <w:vAlign w:val="center"/>
          </w:tcPr>
          <w:p w14:paraId="416C5818">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付费机制</w:t>
            </w:r>
          </w:p>
        </w:tc>
        <w:tc>
          <w:tcPr>
            <w:tcW w:w="348" w:type="pct"/>
            <w:vAlign w:val="center"/>
          </w:tcPr>
          <w:p w14:paraId="2748E0E7">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EDD6323">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3AD283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5A8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52A0C09C">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459" w:type="pct"/>
            <w:vAlign w:val="center"/>
          </w:tcPr>
          <w:p w14:paraId="33B4C595">
            <w:pPr>
              <w:keepNext w:val="0"/>
              <w:keepLines w:val="0"/>
              <w:suppressLineNumbers w:val="0"/>
              <w:spacing w:before="0" w:beforeAutospacing="0" w:after="0" w:afterAutospacing="0" w:line="240" w:lineRule="auto"/>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七</w:t>
            </w:r>
          </w:p>
        </w:tc>
        <w:tc>
          <w:tcPr>
            <w:tcW w:w="3092" w:type="pct"/>
            <w:vAlign w:val="center"/>
          </w:tcPr>
          <w:p w14:paraId="7E1CD14E">
            <w:pPr>
              <w:keepNext w:val="0"/>
              <w:keepLines w:val="0"/>
              <w:suppressLineNumbers w:val="0"/>
              <w:spacing w:before="0" w:beforeAutospacing="0" w:after="0" w:afterAutospacing="0" w:line="240" w:lineRule="auto"/>
              <w:ind w:left="0" w:right="0"/>
              <w:outlineLvl w:val="9"/>
              <w:rPr>
                <w:rFonts w:hint="eastAsia" w:ascii="宋体" w:hAnsi="宋体" w:eastAsia="宋体" w:cs="宋体"/>
                <w:sz w:val="21"/>
                <w:szCs w:val="21"/>
              </w:rPr>
            </w:pPr>
            <w:r>
              <w:rPr>
                <w:rFonts w:hint="eastAsia" w:ascii="宋体" w:hAnsi="宋体" w:eastAsia="宋体" w:cs="宋体"/>
                <w:sz w:val="21"/>
                <w:szCs w:val="21"/>
              </w:rPr>
              <w:t>服务期满后</w:t>
            </w:r>
          </w:p>
        </w:tc>
        <w:tc>
          <w:tcPr>
            <w:tcW w:w="348" w:type="pct"/>
            <w:vAlign w:val="center"/>
          </w:tcPr>
          <w:p w14:paraId="4268F5A6">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670AC39D">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293A4C3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5842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63573128">
            <w:pPr>
              <w:keepNext/>
              <w:keepLines/>
              <w:suppressLineNumbers w:val="0"/>
              <w:spacing w:before="0" w:beforeAutospacing="0" w:after="0" w:afterAutospacing="0" w:line="400" w:lineRule="exact"/>
              <w:ind w:left="0" w:right="0"/>
              <w:outlineLvl w:val="9"/>
              <w:rPr>
                <w:rFonts w:hint="eastAsia" w:ascii="宋体" w:hAnsi="宋体" w:eastAsia="宋体" w:cs="宋体"/>
                <w:kern w:val="0"/>
                <w:sz w:val="21"/>
                <w:szCs w:val="21"/>
              </w:rPr>
            </w:pPr>
            <w:r>
              <w:rPr>
                <w:rFonts w:hint="eastAsia" w:ascii="宋体" w:hAnsi="宋体" w:eastAsia="宋体" w:cs="宋体"/>
                <w:kern w:val="0"/>
                <w:sz w:val="21"/>
                <w:szCs w:val="21"/>
              </w:rPr>
              <w:t>用户需求书“★”条款汇总：</w:t>
            </w:r>
          </w:p>
        </w:tc>
      </w:tr>
      <w:tr w14:paraId="36B1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0B107C4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459" w:type="pct"/>
            <w:vAlign w:val="center"/>
          </w:tcPr>
          <w:p w14:paraId="61A05C0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二、2</w:t>
            </w:r>
          </w:p>
        </w:tc>
        <w:tc>
          <w:tcPr>
            <w:tcW w:w="3092" w:type="pct"/>
            <w:vAlign w:val="center"/>
          </w:tcPr>
          <w:p w14:paraId="70622F02">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★污泥厂内减量化处理服务期限自</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人发出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w:t>
            </w:r>
            <w:r>
              <w:rPr>
                <w:rFonts w:hint="eastAsia" w:ascii="宋体" w:hAnsi="宋体" w:eastAsia="宋体" w:cs="宋体"/>
                <w:color w:val="000000" w:themeColor="text1"/>
                <w:sz w:val="21"/>
                <w:szCs w:val="21"/>
                <w14:textFill>
                  <w14:solidFill>
                    <w14:schemeClr w14:val="tx1"/>
                  </w14:solidFill>
                </w14:textFill>
              </w:rPr>
              <w:t>通知</w:t>
            </w:r>
            <w:r>
              <w:rPr>
                <w:rFonts w:hint="eastAsia" w:ascii="宋体" w:hAnsi="宋体" w:eastAsia="宋体" w:cs="宋体"/>
                <w:color w:val="000000" w:themeColor="text1"/>
                <w:sz w:val="21"/>
                <w:szCs w:val="21"/>
                <w:lang w:val="en-US" w:eastAsia="zh-CN"/>
                <w14:textFill>
                  <w14:solidFill>
                    <w14:schemeClr w14:val="tx1"/>
                  </w14:solidFill>
                </w14:textFill>
              </w:rPr>
              <w:t>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之日起至</w:t>
            </w:r>
            <w:r>
              <w:rPr>
                <w:rFonts w:hint="eastAsia" w:ascii="宋体" w:hAnsi="宋体" w:eastAsia="宋体" w:cs="宋体"/>
                <w:color w:val="000000" w:themeColor="text1"/>
                <w:sz w:val="21"/>
                <w:szCs w:val="21"/>
                <w:lang w:val="en-US" w:eastAsia="zh-CN"/>
                <w14:textFill>
                  <w14:solidFill>
                    <w14:schemeClr w14:val="tx1"/>
                  </w14:solidFill>
                </w14:textFill>
              </w:rPr>
              <w:t>2026年1月4日</w:t>
            </w:r>
            <w:r>
              <w:rPr>
                <w:rFonts w:hint="eastAsia" w:ascii="宋体" w:hAnsi="宋体" w:eastAsia="宋体" w:cs="宋体"/>
                <w:color w:val="000000" w:themeColor="text1"/>
                <w:sz w:val="21"/>
                <w:szCs w:val="21"/>
                <w14:textFill>
                  <w14:solidFill>
                    <w14:schemeClr w14:val="tx1"/>
                  </w14:solidFill>
                </w14:textFill>
              </w:rPr>
              <w:t>止（具体以</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人通知为准）。服务期内，</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人根据</w:t>
            </w:r>
            <w:r>
              <w:rPr>
                <w:rFonts w:hint="eastAsia" w:ascii="宋体" w:hAnsi="宋体" w:eastAsia="宋体" w:cs="宋体"/>
                <w:color w:val="000000" w:themeColor="text1"/>
                <w:sz w:val="21"/>
                <w:szCs w:val="21"/>
                <w:lang w:val="en-US" w:eastAsia="zh-CN"/>
                <w14:textFill>
                  <w14:solidFill>
                    <w14:schemeClr w14:val="tx1"/>
                  </w14:solidFill>
                </w14:textFill>
              </w:rPr>
              <w:t>污水厂厂区污泥脱水减量设备进行的实施进度或东莞市污泥集中处理处置特许经营项目建设运营情况</w:t>
            </w:r>
            <w:r>
              <w:rPr>
                <w:rFonts w:hint="eastAsia" w:ascii="宋体" w:hAnsi="宋体" w:eastAsia="宋体" w:cs="宋体"/>
                <w:color w:val="000000" w:themeColor="text1"/>
                <w:sz w:val="21"/>
                <w:szCs w:val="21"/>
                <w14:textFill>
                  <w14:solidFill>
                    <w14:schemeClr w14:val="tx1"/>
                  </w14:solidFill>
                </w14:textFill>
              </w:rPr>
              <w:t>有权要求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人无条件提前终止服务并撤场。在服务期满后，如</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人需委托</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人继续开展服务范围内的服务时，</w:t>
            </w:r>
            <w:r>
              <w:rPr>
                <w:rFonts w:hint="eastAsia" w:ascii="宋体" w:hAnsi="宋体" w:eastAsia="宋体" w:cs="宋体"/>
                <w:color w:val="000000" w:themeColor="text1"/>
                <w:sz w:val="21"/>
                <w:szCs w:val="21"/>
                <w:lang w:val="en-US" w:eastAsia="zh-CN"/>
                <w14:textFill>
                  <w14:solidFill>
                    <w14:schemeClr w14:val="tx1"/>
                  </w14:solidFill>
                </w14:textFill>
              </w:rPr>
              <w:t>经双方协商一致，成交</w:t>
            </w:r>
            <w:r>
              <w:rPr>
                <w:rFonts w:hint="eastAsia" w:ascii="宋体" w:hAnsi="宋体" w:eastAsia="宋体" w:cs="宋体"/>
                <w:color w:val="000000" w:themeColor="text1"/>
                <w:sz w:val="21"/>
                <w:szCs w:val="21"/>
                <w14:textFill>
                  <w14:solidFill>
                    <w14:schemeClr w14:val="tx1"/>
                  </w14:solidFill>
                </w14:textFill>
              </w:rPr>
              <w:t>人应按合同约定的计价方式和服务标准向</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人继续提供处理服务</w:t>
            </w:r>
            <w:r>
              <w:rPr>
                <w:rFonts w:hint="eastAsia" w:ascii="宋体" w:hAnsi="宋体" w:eastAsia="宋体" w:cs="宋体"/>
                <w:color w:val="000000" w:themeColor="text1"/>
                <w:sz w:val="21"/>
                <w:szCs w:val="21"/>
                <w:lang w:eastAsia="zh-CN"/>
                <w14:textFill>
                  <w14:solidFill>
                    <w14:schemeClr w14:val="tx1"/>
                  </w14:solidFill>
                </w14:textFill>
              </w:rPr>
              <w:t>。</w:t>
            </w:r>
          </w:p>
        </w:tc>
        <w:tc>
          <w:tcPr>
            <w:tcW w:w="348" w:type="pct"/>
            <w:vAlign w:val="center"/>
          </w:tcPr>
          <w:p w14:paraId="6E13EDB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50DAA30B">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492F027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3C71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4CFD59F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459" w:type="pct"/>
            <w:vAlign w:val="center"/>
          </w:tcPr>
          <w:p w14:paraId="4740C2B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二、3</w:t>
            </w:r>
          </w:p>
        </w:tc>
        <w:tc>
          <w:tcPr>
            <w:tcW w:w="3092" w:type="pct"/>
            <w:vAlign w:val="center"/>
          </w:tcPr>
          <w:p w14:paraId="6A1CCB3F">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★污水处理厂</w:t>
            </w:r>
            <w:r>
              <w:rPr>
                <w:rFonts w:hint="eastAsia" w:ascii="宋体" w:hAnsi="宋体" w:eastAsia="宋体" w:cs="宋体"/>
                <w:color w:val="000000" w:themeColor="text1"/>
                <w:sz w:val="21"/>
                <w:szCs w:val="21"/>
                <w:lang w:val="zh-CN"/>
                <w14:textFill>
                  <w14:solidFill>
                    <w14:schemeClr w14:val="tx1"/>
                  </w14:solidFill>
                </w14:textFill>
              </w:rPr>
              <w:t>脱水减量化处理项目</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成交人</w:t>
            </w:r>
            <w:r>
              <w:rPr>
                <w:rFonts w:hint="eastAsia" w:ascii="宋体" w:hAnsi="宋体" w:eastAsia="宋体" w:cs="宋体"/>
                <w:color w:val="000000" w:themeColor="text1"/>
                <w:sz w:val="21"/>
                <w:szCs w:val="21"/>
                <w:lang w:val="zh-CN"/>
                <w14:textFill>
                  <w14:solidFill>
                    <w14:schemeClr w14:val="tx1"/>
                  </w14:solidFill>
                </w14:textFill>
              </w:rPr>
              <w:t>必须承诺</w:t>
            </w:r>
            <w:r>
              <w:rPr>
                <w:rFonts w:hint="eastAsia" w:ascii="宋体" w:hAnsi="宋体" w:eastAsia="宋体" w:cs="宋体"/>
                <w:color w:val="000000" w:themeColor="text1"/>
                <w:sz w:val="21"/>
                <w:szCs w:val="21"/>
                <w14:textFill>
                  <w14:solidFill>
                    <w14:schemeClr w14:val="tx1"/>
                  </w14:solidFill>
                </w14:textFill>
              </w:rPr>
              <w:t>在收到</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进场通知书</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 xml:space="preserve">之日起30天内完成设备安装并具备正式投产条件。 </w:t>
            </w:r>
          </w:p>
        </w:tc>
        <w:tc>
          <w:tcPr>
            <w:tcW w:w="348" w:type="pct"/>
            <w:vAlign w:val="center"/>
          </w:tcPr>
          <w:p w14:paraId="24ADA13C">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0B3F2347">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60D7E51">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0D46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39DB548">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459" w:type="pct"/>
            <w:vAlign w:val="center"/>
          </w:tcPr>
          <w:p w14:paraId="4162C9E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1FAC4CF9">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★脱水减量化处理后的半干化污泥含水率应≤55%。考虑到脱水减量化的半干化污泥后端送砖厂、纸厂、电厂处置的要求，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人需采取措施将半干化污泥粉进行适当破碎。</w:t>
            </w:r>
          </w:p>
        </w:tc>
        <w:tc>
          <w:tcPr>
            <w:tcW w:w="348" w:type="pct"/>
            <w:vAlign w:val="center"/>
          </w:tcPr>
          <w:p w14:paraId="66B980E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6625545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D920E50">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45BD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2C4891AC">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459" w:type="pct"/>
            <w:vAlign w:val="center"/>
          </w:tcPr>
          <w:p w14:paraId="1F4315E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四、1</w:t>
            </w:r>
          </w:p>
        </w:tc>
        <w:tc>
          <w:tcPr>
            <w:tcW w:w="3092" w:type="pct"/>
            <w:vAlign w:val="center"/>
          </w:tcPr>
          <w:p w14:paraId="11F6F32C">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★为保证污泥减量效果，不允许添加石灰以及含石灰的调理剂。</w:t>
            </w:r>
          </w:p>
        </w:tc>
        <w:tc>
          <w:tcPr>
            <w:tcW w:w="348" w:type="pct"/>
            <w:vAlign w:val="center"/>
          </w:tcPr>
          <w:p w14:paraId="5E6C098F">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2C550143">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563174A4">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r w14:paraId="1353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8" w:type="pct"/>
            <w:vAlign w:val="center"/>
          </w:tcPr>
          <w:p w14:paraId="7A6D0969">
            <w:pPr>
              <w:keepNext w:val="0"/>
              <w:keepLines w:val="0"/>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459" w:type="pct"/>
            <w:vAlign w:val="center"/>
          </w:tcPr>
          <w:p w14:paraId="2A6FAE1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3092" w:type="pct"/>
            <w:vAlign w:val="center"/>
          </w:tcPr>
          <w:p w14:paraId="04079F0F">
            <w:pPr>
              <w:keepNext w:val="0"/>
              <w:keepLines w:val="0"/>
              <w:suppressLineNumbers w:val="0"/>
              <w:spacing w:before="0" w:beforeAutospacing="0" w:after="0" w:afterAutospacing="0" w:line="400" w:lineRule="exact"/>
              <w:ind w:left="0" w:right="0"/>
              <w:outlineLvl w:val="9"/>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★除非双方另有合同约定，</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人在以下情况应自行拆除本项目服务期间新建的设备设施，并恢复本项目场地的原状：（1）服务期内，发生风险特别约定情况，</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人无条件提前终止服务并发出撤场通知之日起30日内；（2）服务期内，</w:t>
            </w:r>
            <w:r>
              <w:rPr>
                <w:rFonts w:hint="eastAsia" w:ascii="宋体" w:hAnsi="宋体" w:eastAsia="宋体" w:cs="宋体"/>
                <w:color w:val="000000" w:themeColor="text1"/>
                <w:sz w:val="21"/>
                <w:szCs w:val="21"/>
                <w:lang w:val="en-US" w:eastAsia="zh-CN"/>
                <w14:textFill>
                  <w14:solidFill>
                    <w14:schemeClr w14:val="tx1"/>
                  </w14:solidFill>
                </w14:textFill>
              </w:rPr>
              <w:t>因成交人存在违约行为等，采购</w:t>
            </w:r>
            <w:r>
              <w:rPr>
                <w:rFonts w:hint="eastAsia" w:ascii="宋体" w:hAnsi="宋体" w:eastAsia="宋体" w:cs="宋体"/>
                <w:color w:val="000000" w:themeColor="text1"/>
                <w:sz w:val="21"/>
                <w:szCs w:val="21"/>
                <w14:textFill>
                  <w14:solidFill>
                    <w14:schemeClr w14:val="tx1"/>
                  </w14:solidFill>
                </w14:textFill>
              </w:rPr>
              <w:t>人</w:t>
            </w:r>
            <w:r>
              <w:rPr>
                <w:rFonts w:hint="eastAsia" w:ascii="宋体" w:hAnsi="宋体" w:eastAsia="宋体" w:cs="宋体"/>
                <w:color w:val="000000" w:themeColor="text1"/>
                <w:sz w:val="21"/>
                <w:szCs w:val="21"/>
                <w:lang w:val="en-US" w:eastAsia="zh-CN"/>
                <w14:textFill>
                  <w14:solidFill>
                    <w14:schemeClr w14:val="tx1"/>
                  </w14:solidFill>
                </w14:textFill>
              </w:rPr>
              <w:t>根据合同约定</w:t>
            </w:r>
            <w:r>
              <w:rPr>
                <w:rFonts w:hint="eastAsia" w:ascii="宋体" w:hAnsi="宋体" w:eastAsia="宋体" w:cs="宋体"/>
                <w:color w:val="000000" w:themeColor="text1"/>
                <w:sz w:val="21"/>
                <w:szCs w:val="21"/>
                <w14:textFill>
                  <w14:solidFill>
                    <w14:schemeClr w14:val="tx1"/>
                  </w14:solidFill>
                </w14:textFill>
              </w:rPr>
              <w:t>要求</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人提前终止服务并发出撤场通知之日起30日内；（3）服务期届满后30日内。以上所导致的因拆除设备设施及场地复原产生的相应费用由</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人承担，在本项目的拆除过程中和拆除之后，</w:t>
            </w:r>
            <w:r>
              <w:rPr>
                <w:rFonts w:hint="eastAsia" w:ascii="宋体" w:hAnsi="宋体" w:eastAsia="宋体" w:cs="宋体"/>
                <w:color w:val="000000" w:themeColor="text1"/>
                <w:sz w:val="21"/>
                <w:szCs w:val="21"/>
                <w:lang w:val="en-US" w:eastAsia="zh-CN"/>
                <w14:textFill>
                  <w14:solidFill>
                    <w14:schemeClr w14:val="tx1"/>
                  </w14:solidFill>
                </w14:textFill>
              </w:rPr>
              <w:t>采购</w:t>
            </w:r>
            <w:r>
              <w:rPr>
                <w:rFonts w:hint="eastAsia" w:ascii="宋体" w:hAnsi="宋体" w:eastAsia="宋体" w:cs="宋体"/>
                <w:color w:val="000000" w:themeColor="text1"/>
                <w:sz w:val="21"/>
                <w:szCs w:val="21"/>
                <w14:textFill>
                  <w14:solidFill>
                    <w14:schemeClr w14:val="tx1"/>
                  </w14:solidFill>
                </w14:textFill>
              </w:rPr>
              <w:t>人无须向</w:t>
            </w:r>
            <w:r>
              <w:rPr>
                <w:rFonts w:hint="eastAsia" w:ascii="宋体" w:hAnsi="宋体" w:eastAsia="宋体" w:cs="宋体"/>
                <w:color w:val="000000" w:themeColor="text1"/>
                <w:sz w:val="21"/>
                <w:szCs w:val="21"/>
                <w:lang w:val="en-US" w:eastAsia="zh-CN"/>
                <w14:textFill>
                  <w14:solidFill>
                    <w14:schemeClr w14:val="tx1"/>
                  </w14:solidFill>
                </w14:textFill>
              </w:rPr>
              <w:t>成交</w:t>
            </w:r>
            <w:r>
              <w:rPr>
                <w:rFonts w:hint="eastAsia" w:ascii="宋体" w:hAnsi="宋体" w:eastAsia="宋体" w:cs="宋体"/>
                <w:color w:val="000000" w:themeColor="text1"/>
                <w:sz w:val="21"/>
                <w:szCs w:val="21"/>
                <w14:textFill>
                  <w14:solidFill>
                    <w14:schemeClr w14:val="tx1"/>
                  </w14:solidFill>
                </w14:textFill>
              </w:rPr>
              <w:t>人支付任何补偿或移交费用。</w:t>
            </w:r>
          </w:p>
        </w:tc>
        <w:tc>
          <w:tcPr>
            <w:tcW w:w="348" w:type="pct"/>
            <w:vAlign w:val="center"/>
          </w:tcPr>
          <w:p w14:paraId="44C37C5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418" w:type="pct"/>
            <w:vAlign w:val="center"/>
          </w:tcPr>
          <w:p w14:paraId="1AD16302">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c>
          <w:tcPr>
            <w:tcW w:w="393" w:type="pct"/>
            <w:vAlign w:val="center"/>
          </w:tcPr>
          <w:p w14:paraId="1039D69E">
            <w:pPr>
              <w:keepNext/>
              <w:keepLines/>
              <w:suppressLineNumbers w:val="0"/>
              <w:spacing w:before="0" w:beforeAutospacing="0" w:after="0" w:afterAutospacing="0" w:line="400" w:lineRule="exact"/>
              <w:ind w:left="0" w:right="0"/>
              <w:jc w:val="center"/>
              <w:outlineLvl w:val="9"/>
              <w:rPr>
                <w:rFonts w:hint="eastAsia" w:ascii="宋体" w:hAnsi="宋体" w:eastAsia="宋体" w:cs="宋体"/>
                <w:kern w:val="0"/>
                <w:sz w:val="21"/>
                <w:szCs w:val="21"/>
              </w:rPr>
            </w:pPr>
          </w:p>
        </w:tc>
      </w:tr>
    </w:tbl>
    <w:p w14:paraId="05D621FC">
      <w:pPr>
        <w:spacing w:line="360" w:lineRule="auto"/>
        <w:outlineLvl w:val="9"/>
        <w:rPr>
          <w:rFonts w:hint="eastAsia" w:ascii="宋体" w:hAnsi="宋体" w:eastAsia="宋体" w:cs="宋体"/>
          <w:szCs w:val="21"/>
        </w:rPr>
      </w:pPr>
    </w:p>
    <w:p w14:paraId="64E33212">
      <w:pPr>
        <w:spacing w:line="360" w:lineRule="auto"/>
        <w:outlineLvl w:val="9"/>
        <w:rPr>
          <w:rFonts w:hint="eastAsia" w:ascii="宋体" w:hAnsi="宋体" w:eastAsia="宋体" w:cs="宋体"/>
          <w:sz w:val="21"/>
          <w:szCs w:val="21"/>
        </w:rPr>
      </w:pPr>
      <w:r>
        <w:rPr>
          <w:rFonts w:hint="eastAsia" w:ascii="宋体" w:hAnsi="宋体" w:eastAsia="宋体" w:cs="宋体"/>
          <w:sz w:val="21"/>
          <w:szCs w:val="21"/>
        </w:rPr>
        <w:t>备注：</w:t>
      </w:r>
    </w:p>
    <w:p w14:paraId="478DC0DA">
      <w:pPr>
        <w:spacing w:line="360" w:lineRule="auto"/>
        <w:ind w:left="610" w:leftChars="18" w:hanging="567" w:hangingChars="270"/>
        <w:outlineLvl w:val="9"/>
        <w:rPr>
          <w:rFonts w:hint="eastAsia" w:ascii="宋体" w:hAnsi="宋体" w:eastAsia="宋体" w:cs="宋体"/>
          <w:b/>
          <w:sz w:val="21"/>
          <w:szCs w:val="21"/>
          <w:u w:val="single"/>
        </w:rPr>
      </w:pPr>
      <w:r>
        <w:rPr>
          <w:rFonts w:hint="eastAsia" w:ascii="宋体" w:hAnsi="宋体" w:eastAsia="宋体" w:cs="宋体"/>
          <w:sz w:val="21"/>
          <w:szCs w:val="21"/>
        </w:rPr>
        <w:t>（1）</w:t>
      </w:r>
      <w:r>
        <w:rPr>
          <w:rFonts w:hint="eastAsia" w:ascii="宋体" w:hAnsi="宋体" w:eastAsia="宋体" w:cs="宋体"/>
          <w:b/>
          <w:sz w:val="21"/>
          <w:szCs w:val="21"/>
          <w:u w:val="single"/>
          <w:lang w:val="en-US" w:eastAsia="zh-CN"/>
        </w:rPr>
        <w:t>供应商</w:t>
      </w:r>
      <w:r>
        <w:rPr>
          <w:rFonts w:hint="eastAsia" w:ascii="宋体" w:hAnsi="宋体" w:eastAsia="宋体" w:cs="宋体"/>
          <w:b/>
          <w:sz w:val="21"/>
          <w:szCs w:val="21"/>
          <w:u w:val="single"/>
        </w:rPr>
        <w:t>应对照</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文件用户需求书的响应，逐条逐项、如实地填写“偏离情况”，</w:t>
      </w:r>
      <w:r>
        <w:rPr>
          <w:rFonts w:hint="eastAsia" w:ascii="宋体" w:hAnsi="宋体" w:eastAsia="宋体" w:cs="宋体"/>
          <w:b/>
          <w:kern w:val="0"/>
          <w:sz w:val="21"/>
          <w:szCs w:val="21"/>
          <w:u w:val="single"/>
        </w:rPr>
        <w:t>若发现未填写本表，或虚假填写本表，或伪造、变造证明材料的，按无效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文件处理</w:t>
      </w:r>
      <w:r>
        <w:rPr>
          <w:rFonts w:hint="eastAsia" w:ascii="宋体" w:hAnsi="宋体" w:eastAsia="宋体" w:cs="宋体"/>
          <w:b/>
          <w:sz w:val="21"/>
          <w:szCs w:val="21"/>
          <w:u w:val="single"/>
        </w:rPr>
        <w:t>。若</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文件用户需求书中有“★”条款须逐条逐项、如实地填写“偏离情况”，未填写“★”条款以外的条款的，视为完全满足</w:t>
      </w:r>
      <w:r>
        <w:rPr>
          <w:rFonts w:hint="eastAsia" w:ascii="宋体" w:hAnsi="宋体" w:eastAsia="宋体" w:cs="宋体"/>
          <w:b/>
          <w:sz w:val="21"/>
          <w:szCs w:val="21"/>
          <w:u w:val="single"/>
          <w:lang w:val="en-US" w:eastAsia="zh-CN"/>
        </w:rPr>
        <w:t>竞争性磋商</w:t>
      </w:r>
      <w:r>
        <w:rPr>
          <w:rFonts w:hint="eastAsia" w:ascii="宋体" w:hAnsi="宋体" w:eastAsia="宋体" w:cs="宋体"/>
          <w:b/>
          <w:sz w:val="21"/>
          <w:szCs w:val="21"/>
          <w:u w:val="single"/>
        </w:rPr>
        <w:t>文件要求。</w:t>
      </w:r>
    </w:p>
    <w:p w14:paraId="3C62C6DA">
      <w:pPr>
        <w:spacing w:line="360" w:lineRule="auto"/>
        <w:ind w:left="610" w:leftChars="18" w:hanging="567" w:hangingChars="270"/>
        <w:outlineLvl w:val="9"/>
        <w:rPr>
          <w:rFonts w:hint="eastAsia" w:ascii="宋体" w:hAnsi="宋体" w:eastAsia="宋体" w:cs="宋体"/>
          <w:sz w:val="21"/>
          <w:szCs w:val="21"/>
        </w:rPr>
      </w:pPr>
      <w:r>
        <w:rPr>
          <w:rFonts w:hint="eastAsia" w:ascii="宋体" w:hAnsi="宋体" w:eastAsia="宋体" w:cs="宋体"/>
          <w:sz w:val="21"/>
          <w:szCs w:val="21"/>
        </w:rPr>
        <w:t>（2）偏离情况（</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文件对</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文件用户需求的响应程度）分为：正偏离、负偏离、无偏离。正偏离是指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对用户需求响应优于</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文件的要求；负偏离是指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对用户需求响应不满足或不完全满足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文件的要求；无偏离是指</w:t>
      </w:r>
      <w:r>
        <w:rPr>
          <w:rFonts w:hint="eastAsia" w:ascii="宋体" w:hAnsi="宋体" w:eastAsia="宋体" w:cs="宋体"/>
          <w:sz w:val="21"/>
          <w:szCs w:val="21"/>
          <w:lang w:val="en-US" w:eastAsia="zh-CN"/>
        </w:rPr>
        <w:t>供应商</w:t>
      </w:r>
      <w:r>
        <w:rPr>
          <w:rFonts w:hint="eastAsia" w:ascii="宋体" w:hAnsi="宋体" w:eastAsia="宋体" w:cs="宋体"/>
          <w:sz w:val="21"/>
          <w:szCs w:val="21"/>
        </w:rPr>
        <w:t>对用户需求响应完全满足</w:t>
      </w:r>
      <w:r>
        <w:rPr>
          <w:rFonts w:hint="eastAsia" w:ascii="宋体" w:hAnsi="宋体" w:eastAsia="宋体" w:cs="宋体"/>
          <w:sz w:val="21"/>
          <w:szCs w:val="21"/>
          <w:lang w:val="en-US" w:eastAsia="zh-CN"/>
        </w:rPr>
        <w:t>竞争性磋商</w:t>
      </w:r>
      <w:r>
        <w:rPr>
          <w:rFonts w:hint="eastAsia" w:ascii="宋体" w:hAnsi="宋体" w:eastAsia="宋体" w:cs="宋体"/>
          <w:sz w:val="21"/>
          <w:szCs w:val="21"/>
        </w:rPr>
        <w:t xml:space="preserve">文件的要求。 </w:t>
      </w:r>
    </w:p>
    <w:p w14:paraId="03350E59">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（3）</w:t>
      </w:r>
      <w:r>
        <w:rPr>
          <w:rFonts w:hint="eastAsia" w:ascii="宋体" w:hAnsi="宋体" w:eastAsia="宋体" w:cs="宋体"/>
          <w:b/>
          <w:kern w:val="0"/>
          <w:sz w:val="21"/>
          <w:szCs w:val="21"/>
          <w:u w:val="single"/>
        </w:rPr>
        <w:t>应逐条</w:t>
      </w:r>
      <w:r>
        <w:rPr>
          <w:rFonts w:hint="eastAsia" w:ascii="宋体" w:hAnsi="宋体" w:eastAsia="宋体" w:cs="宋体"/>
          <w:b/>
          <w:sz w:val="21"/>
          <w:szCs w:val="21"/>
          <w:u w:val="single"/>
        </w:rPr>
        <w:t>逐项</w:t>
      </w:r>
      <w:r>
        <w:rPr>
          <w:rFonts w:hint="eastAsia" w:ascii="宋体" w:hAnsi="宋体" w:eastAsia="宋体" w:cs="宋体"/>
          <w:b/>
          <w:kern w:val="0"/>
          <w:sz w:val="21"/>
          <w:szCs w:val="21"/>
          <w:u w:val="single"/>
        </w:rPr>
        <w:t>、如实地填写“偏离情况”。“偏离情况”项为正偏离（或负偏离）的，必须在“实质性响应的具体内容”项内详细说明与</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文件的偏离内容，“偏离情况”项为无偏离的，在“实质性响应的具体内容”项内填“完全响应</w:t>
      </w:r>
      <w:r>
        <w:rPr>
          <w:rFonts w:hint="eastAsia" w:ascii="宋体" w:hAnsi="宋体" w:eastAsia="宋体" w:cs="宋体"/>
          <w:b/>
          <w:kern w:val="0"/>
          <w:sz w:val="21"/>
          <w:szCs w:val="21"/>
          <w:u w:val="single"/>
          <w:lang w:val="en-US" w:eastAsia="zh-CN"/>
        </w:rPr>
        <w:t>竞争性磋商</w:t>
      </w:r>
      <w:r>
        <w:rPr>
          <w:rFonts w:hint="eastAsia" w:ascii="宋体" w:hAnsi="宋体" w:eastAsia="宋体" w:cs="宋体"/>
          <w:b/>
          <w:kern w:val="0"/>
          <w:sz w:val="21"/>
          <w:szCs w:val="21"/>
          <w:u w:val="single"/>
        </w:rPr>
        <w:t>文件要求”即可，也可进一步说明响应的具体内容。</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可将反映服务能力的技术支持资料作为本表的附件，并在本偏离表“对应证明材料页码”项内注明其在</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文件中的具体页码。</w:t>
      </w:r>
    </w:p>
    <w:p w14:paraId="4D03461D">
      <w:pPr>
        <w:spacing w:line="360" w:lineRule="auto"/>
        <w:ind w:left="612" w:leftChars="18" w:hanging="569" w:hangingChars="270"/>
        <w:outlineLvl w:val="9"/>
        <w:rPr>
          <w:rFonts w:hint="eastAsia" w:ascii="宋体" w:hAnsi="宋体" w:eastAsia="宋体" w:cs="宋体"/>
          <w:b/>
          <w:kern w:val="0"/>
          <w:sz w:val="21"/>
          <w:szCs w:val="21"/>
          <w:u w:val="single"/>
        </w:rPr>
      </w:pPr>
      <w:r>
        <w:rPr>
          <w:rFonts w:hint="eastAsia" w:ascii="宋体" w:hAnsi="宋体" w:eastAsia="宋体" w:cs="宋体"/>
          <w:b/>
          <w:sz w:val="21"/>
          <w:szCs w:val="21"/>
        </w:rPr>
        <w:t>（4）</w:t>
      </w:r>
      <w:r>
        <w:rPr>
          <w:rFonts w:hint="eastAsia" w:ascii="宋体" w:hAnsi="宋体" w:eastAsia="宋体" w:cs="宋体"/>
          <w:b/>
          <w:kern w:val="0"/>
          <w:sz w:val="21"/>
          <w:szCs w:val="21"/>
          <w:u w:val="single"/>
        </w:rPr>
        <w:t>凡标有“★”的地方均被视为重要的技术指标要求或性能要求。</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要特别加以注意，必须对此回答并完全满足这些要求，否则若有一项带“★”的指标未响应或不满足，将按无效</w:t>
      </w:r>
      <w:r>
        <w:rPr>
          <w:rFonts w:hint="eastAsia" w:ascii="宋体" w:hAnsi="宋体" w:eastAsia="宋体" w:cs="宋体"/>
          <w:b/>
          <w:kern w:val="0"/>
          <w:sz w:val="21"/>
          <w:szCs w:val="21"/>
          <w:u w:val="single"/>
          <w:lang w:val="en-US" w:eastAsia="zh-CN"/>
        </w:rPr>
        <w:t>响应</w:t>
      </w:r>
      <w:r>
        <w:rPr>
          <w:rFonts w:hint="eastAsia" w:ascii="宋体" w:hAnsi="宋体" w:eastAsia="宋体" w:cs="宋体"/>
          <w:b/>
          <w:kern w:val="0"/>
          <w:sz w:val="21"/>
          <w:szCs w:val="21"/>
          <w:u w:val="single"/>
        </w:rPr>
        <w:t>处理</w:t>
      </w:r>
      <w:r>
        <w:rPr>
          <w:rFonts w:hint="eastAsia" w:ascii="宋体" w:hAnsi="宋体" w:eastAsia="宋体" w:cs="宋体"/>
          <w:b/>
          <w:kern w:val="0"/>
          <w:sz w:val="21"/>
          <w:szCs w:val="21"/>
          <w:u w:val="single"/>
          <w:lang w:val="zh-CN"/>
        </w:rPr>
        <w:t>。</w:t>
      </w:r>
    </w:p>
    <w:p w14:paraId="1F8A9FD7">
      <w:pPr>
        <w:spacing w:line="360" w:lineRule="auto"/>
        <w:outlineLvl w:val="9"/>
        <w:rPr>
          <w:rFonts w:hint="eastAsia" w:ascii="宋体" w:hAnsi="宋体" w:eastAsia="宋体" w:cs="宋体"/>
          <w:sz w:val="21"/>
          <w:szCs w:val="21"/>
        </w:rPr>
      </w:pPr>
    </w:p>
    <w:p w14:paraId="343FFD01">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：（加盖</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法人公章）</w:t>
      </w:r>
    </w:p>
    <w:p w14:paraId="2CCE8329">
      <w:pPr>
        <w:autoSpaceDE w:val="0"/>
        <w:autoSpaceDN w:val="0"/>
        <w:adjustRightInd w:val="0"/>
        <w:spacing w:line="360" w:lineRule="auto"/>
        <w:ind w:firstLine="5250" w:firstLineChars="2500"/>
        <w:jc w:val="left"/>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 xml:space="preserve">日  </w:t>
      </w:r>
      <w:r>
        <w:rPr>
          <w:rFonts w:hint="eastAsia" w:ascii="宋体" w:hAnsi="宋体" w:eastAsia="宋体" w:cs="宋体"/>
          <w:color w:val="auto"/>
          <w:sz w:val="21"/>
          <w:szCs w:val="21"/>
          <w:lang w:val="zh-CN"/>
        </w:rPr>
        <w:t>期：   年   月   日</w:t>
      </w:r>
    </w:p>
    <w:p w14:paraId="476940FE">
      <w:pPr>
        <w:autoSpaceDE w:val="0"/>
        <w:autoSpaceDN w:val="0"/>
        <w:adjustRightInd w:val="0"/>
        <w:spacing w:line="360" w:lineRule="auto"/>
        <w:ind w:firstLine="5040" w:firstLineChars="2400"/>
        <w:jc w:val="left"/>
        <w:outlineLvl w:val="9"/>
        <w:rPr>
          <w:rFonts w:hint="eastAsia" w:ascii="宋体" w:hAnsi="宋体" w:eastAsia="宋体" w:cs="宋体"/>
          <w:color w:val="auto"/>
          <w:sz w:val="21"/>
          <w:szCs w:val="21"/>
          <w:lang w:val="zh-CN"/>
        </w:rPr>
      </w:pPr>
      <w:r>
        <w:rPr>
          <w:rFonts w:hint="eastAsia" w:ascii="宋体" w:hAnsi="宋体" w:eastAsia="宋体" w:cs="宋体"/>
          <w:kern w:val="0"/>
          <w:sz w:val="21"/>
          <w:szCs w:val="21"/>
        </w:rPr>
        <w:t xml:space="preserve">                                                  </w:t>
      </w:r>
    </w:p>
    <w:p w14:paraId="6988BB58">
      <w:pPr>
        <w:autoSpaceDE w:val="0"/>
        <w:autoSpaceDN w:val="0"/>
        <w:adjustRightInd w:val="0"/>
        <w:ind w:left="0" w:leftChars="-50" w:hanging="120"/>
        <w:jc w:val="left"/>
        <w:outlineLvl w:val="9"/>
        <w:rPr>
          <w:rFonts w:hint="eastAsia" w:ascii="宋体" w:hAnsi="宋体" w:eastAsia="宋体" w:cs="宋体"/>
          <w:kern w:val="0"/>
          <w:sz w:val="21"/>
          <w:szCs w:val="21"/>
        </w:rPr>
      </w:pPr>
    </w:p>
    <w:bookmarkEnd w:id="445"/>
    <w:bookmarkEnd w:id="446"/>
    <w:bookmarkEnd w:id="447"/>
    <w:bookmarkEnd w:id="448"/>
    <w:bookmarkEnd w:id="449"/>
    <w:bookmarkEnd w:id="450"/>
    <w:bookmarkEnd w:id="451"/>
    <w:p w14:paraId="6834D067">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61" w:name="_Toc104991889"/>
      <w:bookmarkStart w:id="462" w:name="_Toc3593"/>
      <w:bookmarkStart w:id="463" w:name="_Toc23150"/>
      <w:bookmarkStart w:id="464" w:name="_Toc102860087"/>
      <w:bookmarkStart w:id="465" w:name="_Toc94107224"/>
      <w:bookmarkStart w:id="466" w:name="_Toc102860431"/>
      <w:bookmarkStart w:id="467" w:name="_Toc142508382"/>
      <w:bookmarkStart w:id="468" w:name="_Toc140596942"/>
      <w:bookmarkStart w:id="469" w:name="_Toc6859"/>
      <w:bookmarkStart w:id="470" w:name="_Toc23831"/>
      <w:bookmarkStart w:id="471" w:name="_Toc79146611"/>
      <w:bookmarkStart w:id="472" w:name="_Toc25931"/>
      <w:r>
        <w:rPr>
          <w:rFonts w:hint="eastAsia" w:ascii="宋体" w:hAnsi="宋体" w:eastAsia="宋体" w:cs="宋体"/>
          <w:b/>
          <w:color w:val="auto"/>
          <w:kern w:val="0"/>
          <w:sz w:val="30"/>
          <w:szCs w:val="30"/>
        </w:rPr>
        <w:t>13.2 污泥脱水减量化处理服务</w:t>
      </w:r>
      <w:r>
        <w:rPr>
          <w:rFonts w:hint="eastAsia" w:ascii="宋体" w:hAnsi="宋体" w:eastAsia="宋体" w:cs="宋体"/>
          <w:b/>
          <w:color w:val="auto"/>
          <w:kern w:val="0"/>
          <w:sz w:val="30"/>
          <w:szCs w:val="30"/>
          <w:lang w:val="en-US" w:eastAsia="zh-CN"/>
        </w:rPr>
        <w:t>技术</w:t>
      </w:r>
      <w:r>
        <w:rPr>
          <w:rFonts w:hint="eastAsia" w:ascii="宋体" w:hAnsi="宋体" w:eastAsia="宋体" w:cs="宋体"/>
          <w:b/>
          <w:color w:val="auto"/>
          <w:kern w:val="0"/>
          <w:sz w:val="30"/>
          <w:szCs w:val="30"/>
        </w:rPr>
        <w:t>方案</w:t>
      </w:r>
    </w:p>
    <w:p w14:paraId="1010992E">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自行编制，包括但不限于：</w:t>
      </w:r>
    </w:p>
    <w:p w14:paraId="3B85C04C">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（1）污泥脱水减量化处理工艺方案</w:t>
      </w:r>
    </w:p>
    <w:p w14:paraId="5A14732A">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（包括但不限于对污水处理厂产泥情况的认识，污泥脱水减量化处理工艺方案、含水率稳定达标方案等）</w:t>
      </w:r>
    </w:p>
    <w:p w14:paraId="17F72A1F">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）污泥脱水减量化处理设备、设施及处理能力</w:t>
      </w:r>
    </w:p>
    <w:p w14:paraId="60692743">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（包括但不限于核心设备品牌、型号、性能说明及证明材料</w:t>
      </w:r>
      <w:r>
        <w:rPr>
          <w:rFonts w:hint="eastAsia" w:ascii="宋体" w:hAnsi="宋体" w:cs="宋体"/>
          <w:color w:val="auto"/>
          <w:sz w:val="21"/>
          <w:szCs w:val="21"/>
          <w:lang w:eastAsia="zh-CN"/>
        </w:rPr>
        <w:t>，</w:t>
      </w:r>
      <w:r>
        <w:rPr>
          <w:rFonts w:hint="eastAsia" w:ascii="宋体" w:hAnsi="宋体" w:eastAsia="宋体" w:cs="宋体"/>
          <w:color w:val="auto"/>
          <w:sz w:val="21"/>
          <w:szCs w:val="21"/>
          <w:lang w:val="en-US" w:eastAsia="zh-CN"/>
        </w:rPr>
        <w:t>处理能力证明材料</w:t>
      </w:r>
      <w:r>
        <w:rPr>
          <w:rFonts w:hint="eastAsia" w:ascii="宋体" w:hAnsi="宋体" w:cs="宋体"/>
          <w:color w:val="auto"/>
          <w:sz w:val="21"/>
          <w:szCs w:val="21"/>
          <w:lang w:val="en-US" w:eastAsia="zh-CN"/>
        </w:rPr>
        <w:t>，包括</w:t>
      </w:r>
      <w:r>
        <w:rPr>
          <w:rFonts w:hint="eastAsia" w:ascii="宋体" w:hAnsi="宋体" w:eastAsia="宋体" w:cs="宋体"/>
          <w:color w:val="auto"/>
          <w:sz w:val="21"/>
          <w:szCs w:val="21"/>
          <w:lang w:val="en-US" w:eastAsia="zh-CN"/>
        </w:rPr>
        <w:t>设备数量、滤布面积、压滤时间、调理时间等参数及处理能力详细计算过程说明。</w:t>
      </w:r>
      <w:r>
        <w:rPr>
          <w:rFonts w:hint="eastAsia" w:ascii="宋体" w:hAnsi="宋体" w:eastAsia="宋体" w:cs="宋体"/>
          <w:color w:val="auto"/>
          <w:sz w:val="21"/>
          <w:szCs w:val="21"/>
        </w:rPr>
        <w:t>）</w:t>
      </w:r>
    </w:p>
    <w:p w14:paraId="008235DF">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）调理剂</w:t>
      </w:r>
    </w:p>
    <w:p w14:paraId="1A60CC54">
      <w:pPr>
        <w:spacing w:before="120" w:beforeLines="50" w:line="360" w:lineRule="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（包括调理剂成份、性质、投加量、调理剂占减量化后绝干污泥含量百分比等）</w:t>
      </w:r>
    </w:p>
    <w:p w14:paraId="45D78475">
      <w:pPr>
        <w:spacing w:before="120" w:beforeLines="50" w:line="360" w:lineRule="auto"/>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）其他</w:t>
      </w:r>
    </w:p>
    <w:p w14:paraId="294BEB71">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rPr>
      </w:pPr>
      <w:r>
        <w:rPr>
          <w:rFonts w:hint="eastAsia" w:ascii="宋体" w:hAnsi="宋体" w:eastAsia="宋体" w:cs="宋体"/>
          <w:color w:val="auto"/>
          <w:sz w:val="21"/>
          <w:szCs w:val="21"/>
        </w:rPr>
        <w:t>（申请人自行编制，</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认为有必要的</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方案内容）</w:t>
      </w:r>
      <w:bookmarkEnd w:id="461"/>
      <w:bookmarkEnd w:id="462"/>
      <w:bookmarkEnd w:id="463"/>
      <w:bookmarkEnd w:id="464"/>
      <w:bookmarkEnd w:id="465"/>
      <w:bookmarkEnd w:id="466"/>
      <w:bookmarkEnd w:id="467"/>
      <w:bookmarkEnd w:id="468"/>
    </w:p>
    <w:bookmarkEnd w:id="469"/>
    <w:bookmarkEnd w:id="470"/>
    <w:bookmarkEnd w:id="471"/>
    <w:bookmarkEnd w:id="472"/>
    <w:p w14:paraId="35A3E138">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13.3 污泥脱水减量化处理服务</w:t>
      </w:r>
      <w:r>
        <w:rPr>
          <w:rFonts w:hint="eastAsia" w:ascii="宋体" w:hAnsi="宋体" w:eastAsia="宋体" w:cs="宋体"/>
          <w:b/>
          <w:color w:val="auto"/>
          <w:kern w:val="0"/>
          <w:sz w:val="30"/>
          <w:szCs w:val="30"/>
          <w:lang w:val="en-US" w:eastAsia="zh-CN"/>
        </w:rPr>
        <w:t>管理</w:t>
      </w:r>
      <w:r>
        <w:rPr>
          <w:rFonts w:hint="eastAsia" w:ascii="宋体" w:hAnsi="宋体" w:eastAsia="宋体" w:cs="宋体"/>
          <w:b/>
          <w:color w:val="auto"/>
          <w:kern w:val="0"/>
          <w:sz w:val="30"/>
          <w:szCs w:val="30"/>
        </w:rPr>
        <w:t>方案</w:t>
      </w:r>
    </w:p>
    <w:p w14:paraId="613D435F">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说明：</w:t>
      </w:r>
    </w:p>
    <w:p w14:paraId="05F5805F">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w:t>
      </w:r>
      <w:r>
        <w:rPr>
          <w:rFonts w:hint="eastAsia" w:ascii="宋体" w:hAnsi="宋体" w:eastAsia="宋体" w:cs="宋体"/>
          <w:b w:val="0"/>
          <w:bCs/>
          <w:color w:val="auto"/>
          <w:kern w:val="0"/>
          <w:sz w:val="21"/>
          <w:szCs w:val="21"/>
          <w:lang w:val="en-US" w:eastAsia="zh-CN"/>
        </w:rPr>
        <w:t>格式不限。</w:t>
      </w:r>
      <w:r>
        <w:rPr>
          <w:rFonts w:hint="eastAsia" w:ascii="宋体" w:hAnsi="宋体" w:eastAsia="宋体" w:cs="宋体"/>
          <w:b w:val="0"/>
          <w:bCs/>
          <w:color w:val="auto"/>
          <w:kern w:val="0"/>
          <w:sz w:val="21"/>
          <w:szCs w:val="21"/>
        </w:rPr>
        <w:t>包括但不限于</w:t>
      </w:r>
      <w:r>
        <w:rPr>
          <w:rFonts w:hint="eastAsia" w:ascii="宋体" w:hAnsi="宋体" w:eastAsia="宋体" w:cs="宋体"/>
          <w:b w:val="0"/>
          <w:bCs/>
          <w:color w:val="auto"/>
          <w:kern w:val="0"/>
          <w:sz w:val="21"/>
          <w:szCs w:val="21"/>
          <w:lang w:val="en-US" w:eastAsia="zh-CN"/>
        </w:rPr>
        <w:t>污泥脱水减量化处理服务</w:t>
      </w:r>
      <w:r>
        <w:rPr>
          <w:rFonts w:hint="eastAsia" w:ascii="宋体" w:hAnsi="宋体" w:eastAsia="宋体" w:cs="宋体"/>
          <w:b w:val="0"/>
          <w:bCs/>
          <w:color w:val="auto"/>
          <w:kern w:val="0"/>
          <w:sz w:val="21"/>
          <w:szCs w:val="21"/>
        </w:rPr>
        <w:t>项目组织构架、</w:t>
      </w:r>
      <w:r>
        <w:rPr>
          <w:rFonts w:hint="eastAsia" w:ascii="宋体" w:hAnsi="宋体" w:cs="宋体"/>
          <w:b w:val="0"/>
          <w:bCs/>
          <w:color w:val="auto"/>
          <w:kern w:val="0"/>
          <w:sz w:val="21"/>
          <w:szCs w:val="21"/>
          <w:lang w:val="en-US" w:eastAsia="zh-CN"/>
        </w:rPr>
        <w:t>对应工艺技术的</w:t>
      </w:r>
      <w:r>
        <w:rPr>
          <w:rFonts w:hint="eastAsia" w:ascii="宋体" w:hAnsi="宋体" w:eastAsia="宋体" w:cs="宋体"/>
          <w:b w:val="0"/>
          <w:bCs/>
          <w:color w:val="auto"/>
          <w:kern w:val="0"/>
          <w:sz w:val="21"/>
          <w:szCs w:val="21"/>
        </w:rPr>
        <w:t>人员配置、制度建设、工艺运行管理、设备维护管理等</w:t>
      </w:r>
      <w:r>
        <w:rPr>
          <w:rFonts w:hint="eastAsia" w:ascii="宋体" w:hAnsi="宋体" w:eastAsia="宋体" w:cs="宋体"/>
          <w:b w:val="0"/>
          <w:bCs/>
          <w:color w:val="auto"/>
          <w:kern w:val="0"/>
          <w:sz w:val="21"/>
          <w:szCs w:val="21"/>
          <w:lang w:val="en-US" w:eastAsia="zh-CN"/>
        </w:rPr>
        <w:t>内容。</w:t>
      </w:r>
    </w:p>
    <w:p w14:paraId="438D9366">
      <w:pPr>
        <w:autoSpaceDE w:val="0"/>
        <w:autoSpaceDN w:val="0"/>
        <w:adjustRightInd w:val="0"/>
        <w:spacing w:line="360" w:lineRule="auto"/>
        <w:jc w:val="left"/>
        <w:outlineLvl w:val="9"/>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w:t>
      </w:r>
      <w:r>
        <w:rPr>
          <w:rFonts w:hint="eastAsia" w:ascii="宋体" w:hAnsi="宋体" w:cs="宋体"/>
          <w:b w:val="0"/>
          <w:bCs/>
          <w:color w:val="auto"/>
          <w:kern w:val="0"/>
          <w:sz w:val="21"/>
          <w:szCs w:val="21"/>
          <w:lang w:val="en-US" w:eastAsia="zh-CN"/>
        </w:rPr>
        <w:t>竞争性磋商</w:t>
      </w:r>
      <w:r>
        <w:rPr>
          <w:rFonts w:hint="eastAsia" w:ascii="宋体" w:hAnsi="宋体" w:eastAsia="宋体" w:cs="宋体"/>
          <w:b w:val="0"/>
          <w:bCs/>
          <w:color w:val="auto"/>
          <w:kern w:val="0"/>
          <w:sz w:val="21"/>
          <w:szCs w:val="21"/>
          <w:lang w:val="en-US" w:eastAsia="zh-CN"/>
        </w:rPr>
        <w:t>文件“管理方案”评分标准中第（2）项评审项的人员</w:t>
      </w:r>
      <w:r>
        <w:rPr>
          <w:rFonts w:hint="eastAsia" w:ascii="宋体" w:hAnsi="宋体" w:eastAsia="宋体" w:cs="宋体"/>
          <w:b w:val="0"/>
          <w:bCs/>
          <w:color w:val="auto"/>
          <w:kern w:val="0"/>
          <w:sz w:val="21"/>
          <w:szCs w:val="21"/>
        </w:rPr>
        <w:t>须附有</w:t>
      </w:r>
      <w:r>
        <w:rPr>
          <w:rFonts w:hint="eastAsia" w:ascii="宋体" w:hAnsi="宋体" w:eastAsia="宋体" w:cs="宋体"/>
          <w:b w:val="0"/>
          <w:bCs/>
          <w:color w:val="auto"/>
          <w:kern w:val="0"/>
          <w:sz w:val="21"/>
          <w:szCs w:val="21"/>
          <w:lang w:val="zh-CN"/>
        </w:rPr>
        <w:t>身份证、劳动合同的复印件、资格证书[学历证书/职称证/执业/职业资格证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]以及人力资源和社会保障部门（或税务部门）出具的近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en-US" w:eastAsia="zh-CN"/>
        </w:rPr>
        <w:t>年</w:t>
      </w: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w:t>
      </w:r>
      <w:r>
        <w:rPr>
          <w:rFonts w:hint="eastAsia" w:ascii="宋体" w:hAnsi="宋体" w:cs="宋体"/>
          <w:b w:val="0"/>
          <w:bCs/>
          <w:color w:val="auto"/>
          <w:kern w:val="0"/>
          <w:sz w:val="21"/>
          <w:szCs w:val="21"/>
          <w:lang w:val="en-US" w:eastAsia="zh-CN"/>
        </w:rPr>
        <w:t>6</w:t>
      </w:r>
      <w:r>
        <w:rPr>
          <w:rFonts w:hint="eastAsia" w:ascii="宋体" w:hAnsi="宋体" w:eastAsia="宋体" w:cs="宋体"/>
          <w:b w:val="0"/>
          <w:bCs/>
          <w:color w:val="auto"/>
          <w:kern w:val="0"/>
          <w:sz w:val="21"/>
          <w:szCs w:val="21"/>
          <w:lang w:val="en-US" w:eastAsia="zh-CN"/>
        </w:rPr>
        <w:t>月、2024年</w:t>
      </w:r>
      <w:r>
        <w:rPr>
          <w:rFonts w:hint="eastAsia" w:ascii="宋体" w:hAnsi="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en-US" w:eastAsia="zh-CN"/>
        </w:rPr>
        <w:t>月</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lang w:val="zh-CN"/>
        </w:rPr>
        <w:t>为其缴纳的社保证明复印件，身份证、劳动合同、资格证书[学历证书/职称证/执业/职业资格证</w:t>
      </w:r>
      <w:r>
        <w:rPr>
          <w:rFonts w:hint="eastAsia" w:ascii="宋体" w:hAnsi="宋体" w:eastAsia="宋体" w:cs="宋体"/>
          <w:b w:val="0"/>
          <w:bCs/>
          <w:color w:val="auto"/>
          <w:kern w:val="0"/>
          <w:sz w:val="21"/>
          <w:szCs w:val="21"/>
        </w:rPr>
        <w:t>/岗位证书</w:t>
      </w:r>
      <w:r>
        <w:rPr>
          <w:rFonts w:hint="eastAsia" w:ascii="宋体" w:hAnsi="宋体" w:eastAsia="宋体" w:cs="宋体"/>
          <w:b w:val="0"/>
          <w:bCs/>
          <w:color w:val="auto"/>
          <w:kern w:val="0"/>
          <w:sz w:val="21"/>
          <w:szCs w:val="21"/>
          <w:lang w:val="zh-CN"/>
        </w:rPr>
        <w:t>]、社保证明的人员名称需一致时才统计得分，不提供或人员名称不一致不得分。</w:t>
      </w:r>
    </w:p>
    <w:p w14:paraId="44338977">
      <w:pPr>
        <w:autoSpaceDE/>
        <w:autoSpaceDN/>
        <w:adjustRightInd/>
        <w:spacing w:before="120" w:after="120" w:line="360" w:lineRule="auto"/>
        <w:ind w:left="0" w:firstLine="0" w:firstLineChars="0"/>
        <w:outlineLvl w:val="9"/>
        <w:rPr>
          <w:rFonts w:hint="eastAsia" w:ascii="宋体" w:hAnsi="宋体" w:eastAsia="宋体" w:cs="宋体"/>
          <w:b/>
          <w:color w:val="auto"/>
          <w:kern w:val="2"/>
          <w:sz w:val="30"/>
          <w:szCs w:val="30"/>
          <w:highlight w:val="none"/>
          <w:lang w:val="zh-CN" w:eastAsia="zh-CN"/>
        </w:rPr>
      </w:pPr>
    </w:p>
    <w:p w14:paraId="5A276A9A">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b/>
          <w:color w:val="auto"/>
          <w:sz w:val="30"/>
          <w:szCs w:val="30"/>
        </w:rPr>
      </w:pPr>
      <w:bookmarkStart w:id="473" w:name="_Toc15112"/>
      <w:bookmarkStart w:id="474" w:name="_Toc12831"/>
      <w:bookmarkStart w:id="475" w:name="_Toc30333"/>
      <w:r>
        <w:rPr>
          <w:rFonts w:hint="eastAsia" w:ascii="宋体" w:hAnsi="宋体" w:eastAsia="宋体" w:cs="宋体"/>
          <w:b/>
          <w:color w:val="auto"/>
          <w:kern w:val="0"/>
          <w:sz w:val="30"/>
          <w:szCs w:val="30"/>
        </w:rPr>
        <w:t xml:space="preserve">13.4 </w:t>
      </w:r>
      <w:r>
        <w:rPr>
          <w:rFonts w:hint="eastAsia" w:ascii="宋体" w:hAnsi="宋体" w:eastAsia="宋体" w:cs="宋体"/>
          <w:b/>
          <w:color w:val="auto"/>
          <w:kern w:val="0"/>
          <w:sz w:val="30"/>
          <w:szCs w:val="30"/>
          <w:lang w:val="en-US" w:eastAsia="zh-CN"/>
        </w:rPr>
        <w:t>项目正式投产时间承诺表</w:t>
      </w:r>
    </w:p>
    <w:p w14:paraId="422898FE">
      <w:pPr>
        <w:spacing w:line="360" w:lineRule="auto"/>
        <w:jc w:val="center"/>
        <w:outlineLvl w:val="9"/>
        <w:rPr>
          <w:rFonts w:hint="eastAsia" w:ascii="宋体" w:hAnsi="宋体" w:eastAsia="宋体" w:cs="宋体"/>
          <w:b/>
          <w:color w:val="auto"/>
          <w:sz w:val="30"/>
          <w:szCs w:val="30"/>
        </w:rPr>
      </w:pPr>
      <w:r>
        <w:rPr>
          <w:rFonts w:hint="eastAsia" w:ascii="宋体" w:hAnsi="宋体" w:eastAsia="宋体" w:cs="宋体"/>
          <w:b/>
          <w:color w:val="auto"/>
          <w:sz w:val="30"/>
          <w:szCs w:val="30"/>
          <w:lang w:val="en-US" w:eastAsia="zh-CN"/>
        </w:rPr>
        <w:t>项目正式</w:t>
      </w:r>
      <w:r>
        <w:rPr>
          <w:rFonts w:hint="eastAsia" w:ascii="宋体" w:hAnsi="宋体" w:eastAsia="宋体" w:cs="宋体"/>
          <w:b/>
          <w:color w:val="auto"/>
          <w:sz w:val="30"/>
          <w:szCs w:val="30"/>
        </w:rPr>
        <w:t>投产时间承诺表</w:t>
      </w:r>
    </w:p>
    <w:tbl>
      <w:tblPr>
        <w:tblStyle w:val="55"/>
        <w:tblW w:w="9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2389"/>
        <w:gridCol w:w="1796"/>
      </w:tblGrid>
      <w:tr w14:paraId="7E4C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4D777A0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承诺事项</w:t>
            </w:r>
          </w:p>
        </w:tc>
        <w:tc>
          <w:tcPr>
            <w:tcW w:w="2389" w:type="dxa"/>
            <w:tcBorders>
              <w:top w:val="single" w:color="auto" w:sz="4" w:space="0"/>
              <w:left w:val="single" w:color="auto" w:sz="4" w:space="0"/>
              <w:bottom w:val="single" w:color="auto" w:sz="4" w:space="0"/>
              <w:right w:val="single" w:color="auto" w:sz="4" w:space="0"/>
            </w:tcBorders>
            <w:vAlign w:val="center"/>
          </w:tcPr>
          <w:p w14:paraId="632F193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投产时间</w:t>
            </w:r>
          </w:p>
        </w:tc>
        <w:tc>
          <w:tcPr>
            <w:tcW w:w="1796" w:type="dxa"/>
            <w:tcBorders>
              <w:top w:val="single" w:color="auto" w:sz="4" w:space="0"/>
              <w:left w:val="single" w:color="auto" w:sz="4" w:space="0"/>
              <w:bottom w:val="single" w:color="auto" w:sz="4" w:space="0"/>
              <w:right w:val="single" w:color="auto" w:sz="4" w:space="0"/>
            </w:tcBorders>
            <w:vAlign w:val="center"/>
          </w:tcPr>
          <w:p w14:paraId="45FA747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036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050" w:type="dxa"/>
            <w:tcBorders>
              <w:top w:val="single" w:color="auto" w:sz="4" w:space="0"/>
              <w:left w:val="single" w:color="auto" w:sz="4" w:space="0"/>
              <w:bottom w:val="single" w:color="auto" w:sz="4" w:space="0"/>
              <w:right w:val="single" w:color="auto" w:sz="4" w:space="0"/>
            </w:tcBorders>
            <w:vAlign w:val="center"/>
          </w:tcPr>
          <w:p w14:paraId="184EABF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我方承诺，本项目自收到</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进场</w:t>
            </w:r>
            <w:r>
              <w:rPr>
                <w:rFonts w:hint="eastAsia" w:ascii="宋体" w:hAnsi="宋体" w:eastAsia="宋体" w:cs="宋体"/>
                <w:color w:val="auto"/>
                <w:sz w:val="21"/>
                <w:szCs w:val="21"/>
              </w:rPr>
              <w:t>通知</w:t>
            </w:r>
            <w:r>
              <w:rPr>
                <w:rFonts w:hint="eastAsia" w:ascii="宋体" w:hAnsi="宋体" w:eastAsia="宋体" w:cs="宋体"/>
                <w:color w:val="auto"/>
                <w:sz w:val="21"/>
                <w:szCs w:val="21"/>
                <w:lang w:val="en-US" w:eastAsia="zh-CN"/>
              </w:rPr>
              <w:t>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之日起至完成设备安装并具备正式投产条件的时间为</w:t>
            </w:r>
          </w:p>
        </w:tc>
        <w:tc>
          <w:tcPr>
            <w:tcW w:w="2389" w:type="dxa"/>
            <w:tcBorders>
              <w:top w:val="single" w:color="auto" w:sz="4" w:space="0"/>
              <w:left w:val="single" w:color="auto" w:sz="4" w:space="0"/>
              <w:bottom w:val="single" w:color="auto" w:sz="4" w:space="0"/>
              <w:right w:val="single" w:color="auto" w:sz="4" w:space="0"/>
            </w:tcBorders>
            <w:vAlign w:val="center"/>
          </w:tcPr>
          <w:p w14:paraId="52E094A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w:t>
            </w:r>
          </w:p>
        </w:tc>
        <w:tc>
          <w:tcPr>
            <w:tcW w:w="1796" w:type="dxa"/>
            <w:tcBorders>
              <w:top w:val="single" w:color="auto" w:sz="4" w:space="0"/>
              <w:left w:val="single" w:color="auto" w:sz="4" w:space="0"/>
              <w:bottom w:val="single" w:color="auto" w:sz="4" w:space="0"/>
              <w:right w:val="single" w:color="auto" w:sz="4" w:space="0"/>
            </w:tcBorders>
            <w:vAlign w:val="center"/>
          </w:tcPr>
          <w:p w14:paraId="673C187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p>
        </w:tc>
      </w:tr>
    </w:tbl>
    <w:p w14:paraId="38E0317E">
      <w:pPr>
        <w:spacing w:line="360" w:lineRule="auto"/>
        <w:outlineLvl w:val="9"/>
        <w:rPr>
          <w:rFonts w:hint="eastAsia" w:ascii="宋体" w:hAnsi="宋体" w:eastAsia="宋体" w:cs="宋体"/>
          <w:color w:val="auto"/>
          <w:szCs w:val="21"/>
        </w:rPr>
      </w:pPr>
    </w:p>
    <w:p w14:paraId="7E98690D">
      <w:pPr>
        <w:spacing w:line="360" w:lineRule="auto"/>
        <w:rPr>
          <w:rFonts w:ascii="宋体" w:hAnsi="宋体" w:eastAsia="宋体" w:cs="宋体"/>
          <w:color w:val="auto"/>
          <w:sz w:val="21"/>
          <w:szCs w:val="21"/>
        </w:rPr>
      </w:pPr>
      <w:r>
        <w:rPr>
          <w:rFonts w:hint="eastAsia" w:ascii="宋体" w:hAnsi="宋体" w:eastAsia="宋体" w:cs="宋体"/>
          <w:color w:val="auto"/>
          <w:sz w:val="21"/>
          <w:szCs w:val="21"/>
        </w:rPr>
        <w:t>说明：</w:t>
      </w:r>
    </w:p>
    <w:p w14:paraId="1D0E0E39">
      <w:pPr>
        <w:spacing w:line="360" w:lineRule="auto"/>
        <w:ind w:left="850" w:leftChars="118" w:hanging="567" w:hangingChars="270"/>
        <w:rPr>
          <w:rFonts w:hint="eastAsia" w:ascii="宋体" w:hAnsi="宋体" w:eastAsia="宋体" w:cs="宋体"/>
          <w:color w:val="auto"/>
          <w:sz w:val="21"/>
          <w:szCs w:val="21"/>
        </w:rPr>
      </w:pPr>
      <w:r>
        <w:rPr>
          <w:rFonts w:hint="eastAsia" w:ascii="宋体" w:hAnsi="宋体" w:eastAsia="宋体" w:cs="宋体"/>
          <w:color w:val="auto"/>
          <w:sz w:val="21"/>
          <w:szCs w:val="21"/>
        </w:rPr>
        <w:t>（1）“正式投产”是指污泥脱水减量化产能连续三天稳定达到该处理点设计规模产能的70%或以上，减量化后的半干化污泥含水率不高于55%。</w:t>
      </w:r>
    </w:p>
    <w:p w14:paraId="3713267C">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应真实填写承诺正式投产时间，如项目后续未按照承诺时间正式投产，除根据合同约定承担违约责任及违约金外，给</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人造成损失的，由</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承担赔偿。</w:t>
      </w:r>
    </w:p>
    <w:p w14:paraId="2BB28899">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承诺正式投产时间不得超过30天，否则将视为</w:t>
      </w:r>
      <w:r>
        <w:rPr>
          <w:rFonts w:hint="eastAsia" w:ascii="宋体" w:hAnsi="宋体" w:cs="宋体"/>
          <w:b/>
          <w:bCs/>
          <w:color w:val="auto"/>
          <w:sz w:val="21"/>
          <w:szCs w:val="21"/>
          <w:u w:val="single"/>
          <w:lang w:val="en-US" w:eastAsia="zh-CN"/>
        </w:rPr>
        <w:t>供应商</w:t>
      </w:r>
      <w:r>
        <w:rPr>
          <w:rFonts w:hint="eastAsia" w:ascii="宋体" w:hAnsi="宋体" w:eastAsia="宋体" w:cs="宋体"/>
          <w:b/>
          <w:bCs/>
          <w:color w:val="auto"/>
          <w:sz w:val="21"/>
          <w:szCs w:val="21"/>
          <w:u w:val="single"/>
        </w:rPr>
        <w:t>未响应</w:t>
      </w:r>
      <w:r>
        <w:rPr>
          <w:rFonts w:hint="eastAsia" w:ascii="宋体" w:hAnsi="宋体" w:cs="宋体"/>
          <w:b/>
          <w:bCs/>
          <w:color w:val="auto"/>
          <w:sz w:val="21"/>
          <w:szCs w:val="21"/>
          <w:u w:val="single"/>
          <w:lang w:val="en-US" w:eastAsia="zh-CN"/>
        </w:rPr>
        <w:t>竞争性磋商</w:t>
      </w:r>
      <w:r>
        <w:rPr>
          <w:rFonts w:hint="eastAsia" w:ascii="宋体" w:hAnsi="宋体" w:eastAsia="宋体" w:cs="宋体"/>
          <w:b/>
          <w:bCs/>
          <w:color w:val="auto"/>
          <w:sz w:val="21"/>
          <w:szCs w:val="21"/>
          <w:u w:val="single"/>
        </w:rPr>
        <w:t>文件提出的实质性要求和条件（标注★的条款），将按无效</w:t>
      </w:r>
      <w:r>
        <w:rPr>
          <w:rFonts w:hint="eastAsia" w:ascii="宋体" w:hAnsi="宋体" w:cs="宋体"/>
          <w:b/>
          <w:bCs/>
          <w:color w:val="auto"/>
          <w:sz w:val="21"/>
          <w:szCs w:val="21"/>
          <w:u w:val="single"/>
          <w:lang w:val="en-US" w:eastAsia="zh-CN"/>
        </w:rPr>
        <w:t>响应</w:t>
      </w:r>
      <w:r>
        <w:rPr>
          <w:rFonts w:hint="eastAsia" w:ascii="宋体" w:hAnsi="宋体" w:eastAsia="宋体" w:cs="宋体"/>
          <w:b/>
          <w:bCs/>
          <w:color w:val="auto"/>
          <w:sz w:val="21"/>
          <w:szCs w:val="21"/>
          <w:u w:val="single"/>
        </w:rPr>
        <w:t>处理</w:t>
      </w:r>
      <w:r>
        <w:rPr>
          <w:rFonts w:hint="eastAsia" w:ascii="宋体" w:hAnsi="宋体" w:eastAsia="宋体" w:cs="宋体"/>
          <w:color w:val="auto"/>
          <w:sz w:val="21"/>
          <w:szCs w:val="21"/>
        </w:rPr>
        <w:t>。</w:t>
      </w:r>
    </w:p>
    <w:p w14:paraId="39EE6C94">
      <w:pPr>
        <w:spacing w:line="360" w:lineRule="auto"/>
        <w:ind w:left="850" w:leftChars="118" w:hanging="567" w:hangingChars="270"/>
        <w:rPr>
          <w:rFonts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b/>
          <w:bCs/>
          <w:color w:val="auto"/>
          <w:sz w:val="21"/>
          <w:szCs w:val="21"/>
          <w:u w:val="single"/>
        </w:rPr>
        <w:t>本表项目正式投产时间若未填或漏填或未按要求提供《项目正式投产时间承诺表》的，评</w:t>
      </w:r>
      <w:r>
        <w:rPr>
          <w:rFonts w:hint="eastAsia" w:ascii="宋体" w:hAnsi="宋体" w:cs="宋体"/>
          <w:b/>
          <w:bCs/>
          <w:color w:val="auto"/>
          <w:sz w:val="21"/>
          <w:szCs w:val="21"/>
          <w:u w:val="single"/>
          <w:lang w:val="en-US" w:eastAsia="zh-CN"/>
        </w:rPr>
        <w:t>审</w:t>
      </w:r>
      <w:r>
        <w:rPr>
          <w:rFonts w:hint="eastAsia" w:ascii="宋体" w:hAnsi="宋体" w:eastAsia="宋体" w:cs="宋体"/>
          <w:b/>
          <w:bCs/>
          <w:color w:val="auto"/>
          <w:sz w:val="21"/>
          <w:szCs w:val="21"/>
          <w:u w:val="single"/>
        </w:rPr>
        <w:t>时将不予考虑</w:t>
      </w:r>
      <w:r>
        <w:rPr>
          <w:rFonts w:hint="eastAsia" w:ascii="宋体" w:hAnsi="宋体" w:eastAsia="宋体" w:cs="宋体"/>
          <w:color w:val="auto"/>
          <w:sz w:val="21"/>
          <w:szCs w:val="21"/>
        </w:rPr>
        <w:t>。</w:t>
      </w:r>
    </w:p>
    <w:p w14:paraId="2D1F3135">
      <w:pPr>
        <w:pStyle w:val="23"/>
        <w:spacing w:after="0" w:line="360" w:lineRule="auto"/>
        <w:ind w:firstLine="210"/>
        <w:outlineLvl w:val="9"/>
        <w:rPr>
          <w:rFonts w:hint="eastAsia" w:ascii="宋体" w:hAnsi="宋体" w:eastAsia="宋体" w:cs="宋体"/>
          <w:szCs w:val="21"/>
        </w:rPr>
      </w:pPr>
    </w:p>
    <w:p w14:paraId="7562EF25">
      <w:pPr>
        <w:spacing w:line="360" w:lineRule="auto"/>
        <w:ind w:firstLine="5355" w:firstLineChars="2550"/>
        <w:outlineLvl w:val="9"/>
        <w:rPr>
          <w:rFonts w:hint="eastAsia" w:ascii="宋体" w:hAnsi="宋体" w:eastAsia="宋体" w:cs="宋体"/>
          <w:color w:val="000000"/>
          <w:sz w:val="21"/>
          <w:szCs w:val="21"/>
          <w:lang w:val="zh-CN"/>
        </w:rPr>
      </w:pP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：（加盖</w:t>
      </w: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zh-CN"/>
        </w:rPr>
        <w:t>法人公章）</w:t>
      </w:r>
    </w:p>
    <w:p w14:paraId="0DBA7174">
      <w:pPr>
        <w:spacing w:line="360" w:lineRule="auto"/>
        <w:ind w:firstLine="5355" w:firstLineChars="2550"/>
        <w:outlineLvl w:val="9"/>
        <w:rPr>
          <w:rFonts w:hint="eastAsia" w:ascii="宋体" w:hAnsi="宋体" w:eastAsia="宋体" w:cs="宋体"/>
          <w:b/>
          <w:kern w:val="0"/>
          <w:sz w:val="21"/>
          <w:szCs w:val="21"/>
        </w:rPr>
      </w:pPr>
      <w:r>
        <w:rPr>
          <w:rFonts w:hint="eastAsia" w:ascii="宋体" w:hAnsi="宋体" w:eastAsia="宋体" w:cs="宋体"/>
          <w:color w:val="000000"/>
          <w:sz w:val="21"/>
          <w:szCs w:val="21"/>
          <w:lang w:val="zh-CN"/>
        </w:rPr>
        <w:t>日</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zh-CN"/>
        </w:rPr>
        <w:t>期：   年   月   日</w:t>
      </w:r>
    </w:p>
    <w:bookmarkEnd w:id="473"/>
    <w:bookmarkEnd w:id="474"/>
    <w:bookmarkEnd w:id="475"/>
    <w:p w14:paraId="3184DD21">
      <w:pPr>
        <w:keepNext w:val="0"/>
        <w:keepLines w:val="0"/>
        <w:pageBreakBefore/>
        <w:widowControl w:val="0"/>
        <w:kinsoku/>
        <w:wordWrap/>
        <w:overflowPunct/>
        <w:topLinePunct w:val="0"/>
        <w:autoSpaceDE w:val="0"/>
        <w:autoSpaceDN w:val="0"/>
        <w:bidi w:val="0"/>
        <w:adjustRightInd w:val="0"/>
        <w:snapToGrid/>
        <w:spacing w:after="120" w:afterLines="50" w:line="360" w:lineRule="auto"/>
        <w:textAlignment w:val="auto"/>
        <w:outlineLvl w:val="9"/>
        <w:rPr>
          <w:rFonts w:hint="eastAsia" w:ascii="宋体" w:hAnsi="宋体" w:eastAsia="宋体" w:cs="宋体"/>
          <w:color w:val="auto"/>
          <w:szCs w:val="21"/>
        </w:rPr>
      </w:pPr>
      <w:bookmarkStart w:id="476" w:name="_Toc29717"/>
      <w:bookmarkStart w:id="477" w:name="_Toc23797"/>
      <w:bookmarkStart w:id="478" w:name="_Toc18876"/>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5</w:t>
      </w:r>
      <w:r>
        <w:rPr>
          <w:rFonts w:hint="eastAsia" w:ascii="宋体" w:hAnsi="宋体" w:eastAsia="宋体" w:cs="宋体"/>
          <w:b/>
          <w:color w:val="auto"/>
          <w:kern w:val="0"/>
          <w:sz w:val="30"/>
          <w:szCs w:val="30"/>
        </w:rPr>
        <w:t xml:space="preserve"> </w:t>
      </w:r>
      <w:r>
        <w:rPr>
          <w:rFonts w:hint="eastAsia" w:ascii="宋体" w:hAnsi="宋体" w:eastAsia="宋体" w:cs="宋体"/>
          <w:b/>
          <w:color w:val="auto"/>
          <w:kern w:val="0"/>
          <w:sz w:val="30"/>
          <w:szCs w:val="30"/>
          <w:lang w:val="en-US" w:eastAsia="zh-CN"/>
        </w:rPr>
        <w:t>进度计划及保障措施</w:t>
      </w:r>
    </w:p>
    <w:p w14:paraId="305E42BE">
      <w:pPr>
        <w:spacing w:before="120" w:beforeLines="50" w:line="360" w:lineRule="auto"/>
        <w:ind w:left="630" w:hanging="630" w:hangingChars="300"/>
        <w:outlineLvl w:val="9"/>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lang w:val="en-US" w:eastAsia="zh-CN"/>
        </w:rPr>
        <w:t>说明：</w:t>
      </w:r>
      <w:r>
        <w:rPr>
          <w:rFonts w:hint="eastAsia" w:ascii="宋体" w:hAnsi="宋体" w:cs="宋体"/>
          <w:color w:val="auto"/>
          <w:sz w:val="21"/>
          <w:szCs w:val="21"/>
          <w:lang w:val="en-US" w:eastAsia="zh-CN"/>
        </w:rPr>
        <w:t>供应商</w:t>
      </w:r>
      <w:r>
        <w:rPr>
          <w:rFonts w:hint="eastAsia" w:ascii="宋体" w:hAnsi="宋体" w:eastAsia="宋体" w:cs="宋体"/>
          <w:color w:val="auto"/>
          <w:sz w:val="21"/>
          <w:szCs w:val="21"/>
        </w:rPr>
        <w:t>自行编制，</w:t>
      </w:r>
      <w:r>
        <w:rPr>
          <w:rFonts w:hint="eastAsia" w:ascii="宋体" w:hAnsi="宋体" w:eastAsia="宋体" w:cs="宋体"/>
          <w:color w:val="auto"/>
          <w:sz w:val="21"/>
          <w:szCs w:val="21"/>
          <w:lang w:val="en-US" w:eastAsia="zh-CN"/>
        </w:rPr>
        <w:t>格式不限。</w:t>
      </w:r>
      <w:r>
        <w:rPr>
          <w:rFonts w:hint="eastAsia" w:ascii="宋体" w:hAnsi="宋体" w:eastAsia="宋体" w:cs="宋体"/>
          <w:color w:val="auto"/>
          <w:sz w:val="21"/>
          <w:szCs w:val="21"/>
        </w:rPr>
        <w:t>包括但不限于</w:t>
      </w:r>
      <w:r>
        <w:rPr>
          <w:rFonts w:hint="eastAsia" w:ascii="宋体" w:hAnsi="宋体" w:eastAsia="宋体" w:cs="宋体"/>
          <w:color w:val="auto"/>
          <w:sz w:val="21"/>
          <w:szCs w:val="21"/>
          <w:lang w:val="en-US" w:eastAsia="zh-CN"/>
        </w:rPr>
        <w:t>投产时间承诺、进度计划及保障措施等内容</w:t>
      </w:r>
      <w:r>
        <w:rPr>
          <w:rFonts w:hint="eastAsia" w:ascii="宋体" w:hAnsi="宋体" w:eastAsia="宋体" w:cs="宋体"/>
          <w:color w:val="auto"/>
          <w:kern w:val="0"/>
          <w:sz w:val="21"/>
          <w:szCs w:val="21"/>
          <w:lang w:val="zh-CN"/>
        </w:rPr>
        <w:t>。</w:t>
      </w:r>
    </w:p>
    <w:bookmarkEnd w:id="452"/>
    <w:bookmarkEnd w:id="453"/>
    <w:bookmarkEnd w:id="454"/>
    <w:bookmarkEnd w:id="455"/>
    <w:bookmarkEnd w:id="456"/>
    <w:bookmarkEnd w:id="457"/>
    <w:bookmarkEnd w:id="458"/>
    <w:bookmarkEnd w:id="459"/>
    <w:bookmarkEnd w:id="476"/>
    <w:bookmarkEnd w:id="477"/>
    <w:bookmarkEnd w:id="478"/>
    <w:p w14:paraId="0A4666C4">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color w:val="auto"/>
          <w:kern w:val="0"/>
          <w:sz w:val="30"/>
          <w:szCs w:val="30"/>
        </w:rPr>
      </w:pPr>
      <w:bookmarkStart w:id="479" w:name="_Toc51642408"/>
      <w:bookmarkStart w:id="480" w:name="_Toc521918141"/>
      <w:r>
        <w:rPr>
          <w:rFonts w:hint="eastAsia" w:ascii="宋体" w:hAnsi="宋体" w:eastAsia="宋体" w:cs="宋体"/>
          <w:b/>
          <w:color w:val="auto"/>
          <w:kern w:val="0"/>
          <w:sz w:val="30"/>
          <w:szCs w:val="30"/>
        </w:rPr>
        <w:t>13.</w:t>
      </w:r>
      <w:r>
        <w:rPr>
          <w:rFonts w:hint="eastAsia" w:ascii="宋体" w:hAnsi="宋体" w:eastAsia="宋体" w:cs="宋体"/>
          <w:b/>
          <w:color w:val="auto"/>
          <w:kern w:val="0"/>
          <w:sz w:val="30"/>
          <w:szCs w:val="30"/>
          <w:lang w:val="en-US" w:eastAsia="zh-CN"/>
        </w:rPr>
        <w:t>6</w:t>
      </w:r>
      <w:r>
        <w:rPr>
          <w:rFonts w:hint="eastAsia" w:ascii="宋体" w:hAnsi="宋体" w:eastAsia="宋体" w:cs="宋体"/>
          <w:b/>
          <w:color w:val="auto"/>
          <w:kern w:val="0"/>
          <w:sz w:val="30"/>
          <w:szCs w:val="30"/>
        </w:rPr>
        <w:t xml:space="preserve"> 应急预案和保障措施</w:t>
      </w:r>
    </w:p>
    <w:p w14:paraId="5D6C6622">
      <w:pPr>
        <w:autoSpaceDE w:val="0"/>
        <w:autoSpaceDN w:val="0"/>
        <w:adjustRightInd w:val="0"/>
        <w:spacing w:line="360" w:lineRule="auto"/>
        <w:ind w:firstLine="420" w:firstLineChars="200"/>
        <w:jc w:val="left"/>
        <w:outlineLvl w:val="9"/>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说明：</w:t>
      </w:r>
      <w:r>
        <w:rPr>
          <w:rFonts w:hint="eastAsia" w:ascii="宋体" w:hAnsi="宋体" w:cs="宋体"/>
          <w:b w:val="0"/>
          <w:bCs/>
          <w:color w:val="auto"/>
          <w:kern w:val="0"/>
          <w:sz w:val="21"/>
          <w:szCs w:val="21"/>
          <w:lang w:val="en-US" w:eastAsia="zh-CN"/>
        </w:rPr>
        <w:t>供应商</w:t>
      </w:r>
      <w:r>
        <w:rPr>
          <w:rFonts w:hint="eastAsia" w:ascii="宋体" w:hAnsi="宋体" w:eastAsia="宋体" w:cs="宋体"/>
          <w:b w:val="0"/>
          <w:bCs/>
          <w:color w:val="auto"/>
          <w:kern w:val="0"/>
          <w:sz w:val="21"/>
          <w:szCs w:val="21"/>
        </w:rPr>
        <w:t>自行编制，格式不限。内容包括但不限于针对污泥处理量突然增加、污泥处理设施意外停产和减产、生产事故应急处理、环境污染事故等的应急方案和保障措施。</w:t>
      </w:r>
    </w:p>
    <w:p w14:paraId="2F8CA92F">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kern w:val="0"/>
          <w:sz w:val="30"/>
          <w:szCs w:val="30"/>
        </w:rPr>
      </w:pPr>
      <w:r>
        <w:rPr>
          <w:rFonts w:hint="eastAsia" w:ascii="宋体" w:hAnsi="宋体" w:eastAsia="宋体" w:cs="宋体"/>
          <w:b/>
          <w:kern w:val="0"/>
          <w:sz w:val="30"/>
          <w:szCs w:val="30"/>
        </w:rPr>
        <w:t>13.</w:t>
      </w:r>
      <w:r>
        <w:rPr>
          <w:rFonts w:hint="eastAsia" w:ascii="宋体" w:hAnsi="宋体" w:eastAsia="宋体" w:cs="宋体"/>
          <w:b/>
          <w:kern w:val="0"/>
          <w:sz w:val="30"/>
          <w:szCs w:val="30"/>
          <w:lang w:val="en-US" w:eastAsia="zh-CN"/>
        </w:rPr>
        <w:t>7</w:t>
      </w:r>
      <w:r>
        <w:rPr>
          <w:rFonts w:hint="eastAsia" w:ascii="宋体" w:hAnsi="宋体" w:eastAsia="宋体" w:cs="宋体"/>
          <w:b/>
          <w:kern w:val="0"/>
          <w:sz w:val="30"/>
          <w:szCs w:val="30"/>
        </w:rPr>
        <w:t xml:space="preserve"> </w:t>
      </w:r>
      <w:r>
        <w:rPr>
          <w:rFonts w:hint="eastAsia" w:ascii="宋体" w:hAnsi="宋体" w:cs="宋体"/>
          <w:b/>
          <w:kern w:val="0"/>
          <w:sz w:val="30"/>
          <w:szCs w:val="30"/>
          <w:lang w:val="en-US" w:eastAsia="zh-CN"/>
        </w:rPr>
        <w:t>供应商</w:t>
      </w:r>
      <w:r>
        <w:rPr>
          <w:rFonts w:hint="eastAsia" w:ascii="宋体" w:hAnsi="宋体" w:eastAsia="宋体" w:cs="宋体"/>
          <w:b/>
          <w:kern w:val="0"/>
          <w:sz w:val="30"/>
          <w:szCs w:val="30"/>
        </w:rPr>
        <w:t>认为有必要提供的其它材料（不做强制要求）</w:t>
      </w:r>
    </w:p>
    <w:p w14:paraId="42840023">
      <w:pPr>
        <w:pStyle w:val="3"/>
        <w:keepNext w:val="0"/>
        <w:keepLines w:val="0"/>
        <w:pageBreakBefore/>
        <w:widowControl w:val="0"/>
        <w:tabs>
          <w:tab w:val="left" w:pos="1080"/>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kern w:val="44"/>
          <w:sz w:val="32"/>
          <w:szCs w:val="32"/>
          <w:highlight w:val="none"/>
          <w:lang w:val="zh-CN"/>
        </w:rPr>
      </w:pPr>
      <w:bookmarkStart w:id="481" w:name="_Toc31218"/>
      <w:r>
        <w:rPr>
          <w:rFonts w:hint="eastAsia" w:ascii="宋体" w:hAnsi="宋体" w:eastAsia="宋体" w:cs="宋体"/>
          <w:b/>
          <w:bCs/>
          <w:color w:val="auto"/>
          <w:kern w:val="44"/>
          <w:sz w:val="32"/>
          <w:szCs w:val="32"/>
          <w:highlight w:val="none"/>
          <w:lang w:val="zh-CN"/>
        </w:rPr>
        <w:t>附件一：</w:t>
      </w:r>
      <w:bookmarkEnd w:id="479"/>
      <w:bookmarkEnd w:id="480"/>
      <w:r>
        <w:rPr>
          <w:rFonts w:hint="eastAsia" w:ascii="宋体" w:hAnsi="宋体" w:eastAsia="宋体" w:cs="宋体"/>
          <w:b/>
          <w:bCs/>
          <w:color w:val="auto"/>
          <w:kern w:val="44"/>
          <w:sz w:val="32"/>
          <w:szCs w:val="32"/>
          <w:highlight w:val="none"/>
          <w:lang w:val="zh-CN"/>
        </w:rPr>
        <w:t>评审工作大纲</w:t>
      </w:r>
      <w:bookmarkEnd w:id="481"/>
    </w:p>
    <w:p w14:paraId="71246622">
      <w:pPr>
        <w:spacing w:line="400" w:lineRule="atLeast"/>
        <w:jc w:val="center"/>
        <w:rPr>
          <w:rFonts w:hint="eastAsia" w:ascii="宋体" w:hAnsi="宋体" w:eastAsia="宋体" w:cs="宋体"/>
          <w:b/>
          <w:bCs/>
          <w:color w:val="auto"/>
          <w:kern w:val="2"/>
          <w:sz w:val="21"/>
          <w:szCs w:val="21"/>
          <w:highlight w:val="none"/>
        </w:rPr>
      </w:pPr>
    </w:p>
    <w:p w14:paraId="65072275">
      <w:pPr>
        <w:spacing w:line="400" w:lineRule="atLeast"/>
        <w:jc w:val="center"/>
        <w:rPr>
          <w:rFonts w:hint="eastAsia" w:ascii="宋体" w:hAnsi="宋体" w:eastAsia="宋体" w:cs="宋体"/>
          <w:b/>
          <w:bCs/>
          <w:color w:val="auto"/>
          <w:kern w:val="2"/>
          <w:sz w:val="21"/>
          <w:szCs w:val="21"/>
          <w:highlight w:val="none"/>
        </w:rPr>
      </w:pPr>
    </w:p>
    <w:p w14:paraId="22FD64D3">
      <w:pPr>
        <w:spacing w:line="400" w:lineRule="atLeast"/>
        <w:jc w:val="center"/>
        <w:rPr>
          <w:rFonts w:hint="eastAsia" w:ascii="宋体" w:hAnsi="宋体" w:eastAsia="宋体" w:cs="宋体"/>
          <w:b/>
          <w:bCs/>
          <w:color w:val="auto"/>
          <w:kern w:val="2"/>
          <w:sz w:val="21"/>
          <w:szCs w:val="21"/>
          <w:highlight w:val="none"/>
        </w:rPr>
      </w:pPr>
    </w:p>
    <w:p w14:paraId="00132FF6">
      <w:pPr>
        <w:spacing w:line="400" w:lineRule="atLeast"/>
        <w:jc w:val="center"/>
        <w:rPr>
          <w:rFonts w:hint="eastAsia" w:ascii="宋体" w:hAnsi="宋体" w:eastAsia="宋体" w:cs="宋体"/>
          <w:b/>
          <w:bCs/>
          <w:color w:val="auto"/>
          <w:kern w:val="2"/>
          <w:sz w:val="21"/>
          <w:szCs w:val="21"/>
          <w:highlight w:val="none"/>
        </w:rPr>
      </w:pPr>
    </w:p>
    <w:p w14:paraId="3EBDE73F">
      <w:pPr>
        <w:spacing w:line="400" w:lineRule="atLeast"/>
        <w:jc w:val="center"/>
        <w:rPr>
          <w:rFonts w:hint="eastAsia" w:ascii="宋体" w:hAnsi="宋体" w:eastAsia="宋体" w:cs="宋体"/>
          <w:b/>
          <w:bCs/>
          <w:color w:val="auto"/>
          <w:kern w:val="2"/>
          <w:sz w:val="21"/>
          <w:szCs w:val="21"/>
          <w:highlight w:val="none"/>
        </w:rPr>
      </w:pPr>
    </w:p>
    <w:p w14:paraId="3D6522D7">
      <w:pPr>
        <w:spacing w:line="400" w:lineRule="atLeast"/>
        <w:jc w:val="center"/>
        <w:rPr>
          <w:rFonts w:hint="eastAsia" w:ascii="宋体" w:hAnsi="宋体" w:eastAsia="宋体" w:cs="宋体"/>
          <w:b/>
          <w:bCs/>
          <w:color w:val="auto"/>
          <w:kern w:val="2"/>
          <w:sz w:val="21"/>
          <w:szCs w:val="21"/>
          <w:highlight w:val="none"/>
        </w:rPr>
      </w:pPr>
    </w:p>
    <w:p w14:paraId="4BA93A0F">
      <w:pPr>
        <w:autoSpaceDE w:val="0"/>
        <w:autoSpaceDN w:val="0"/>
        <w:adjustRightInd w:val="0"/>
        <w:spacing w:line="360" w:lineRule="auto"/>
        <w:jc w:val="center"/>
        <w:outlineLvl w:val="9"/>
        <w:rPr>
          <w:rFonts w:hint="eastAsia" w:ascii="宋体" w:hAnsi="宋体" w:eastAsia="宋体" w:cs="宋体"/>
          <w:b/>
          <w:bCs/>
          <w:color w:val="auto"/>
          <w:sz w:val="36"/>
          <w:szCs w:val="44"/>
          <w:lang w:eastAsia="zh-CN"/>
        </w:rPr>
      </w:pPr>
      <w:r>
        <w:rPr>
          <w:rFonts w:hint="eastAsia" w:ascii="宋体" w:hAnsi="宋体" w:cs="宋体"/>
          <w:b/>
          <w:bCs/>
          <w:color w:val="auto"/>
          <w:sz w:val="40"/>
          <w:szCs w:val="36"/>
          <w:lang w:eastAsia="zh-CN"/>
        </w:rPr>
        <w:t>东莞市众源环境投资有限公司污水处理厂污泥脱水减量处理服务（BOT权属东江下游片区）采购项目（麻涌一期重新采购）</w:t>
      </w:r>
    </w:p>
    <w:p w14:paraId="1A42C15A">
      <w:pPr>
        <w:spacing w:line="360" w:lineRule="auto"/>
        <w:jc w:val="center"/>
        <w:rPr>
          <w:rFonts w:hint="eastAsia" w:ascii="宋体" w:hAnsi="宋体" w:eastAsia="宋体" w:cs="宋体"/>
          <w:b/>
          <w:bCs/>
          <w:color w:val="auto"/>
          <w:kern w:val="2"/>
          <w:sz w:val="36"/>
          <w:szCs w:val="36"/>
          <w:highlight w:val="none"/>
          <w:lang w:val="en-US" w:eastAsia="zh-CN"/>
        </w:rPr>
      </w:pPr>
      <w:bookmarkStart w:id="482" w:name="_Toc14752_WPSOffice_Level1"/>
      <w:r>
        <w:rPr>
          <w:rFonts w:hint="eastAsia" w:ascii="宋体" w:hAnsi="宋体" w:eastAsia="宋体" w:cs="宋体"/>
          <w:b/>
          <w:bCs/>
          <w:color w:val="auto"/>
          <w:sz w:val="36"/>
          <w:szCs w:val="36"/>
          <w:lang w:val="zh-CN"/>
        </w:rPr>
        <w:t>（</w:t>
      </w:r>
      <w:r>
        <w:rPr>
          <w:rFonts w:hint="eastAsia" w:ascii="宋体" w:hAnsi="宋体" w:eastAsia="宋体" w:cs="宋体"/>
          <w:b/>
          <w:bCs/>
          <w:color w:val="auto"/>
          <w:sz w:val="36"/>
          <w:szCs w:val="36"/>
          <w:lang w:val="en-US" w:eastAsia="zh-CN"/>
        </w:rPr>
        <w:t>采购</w:t>
      </w:r>
      <w:r>
        <w:rPr>
          <w:rFonts w:hint="eastAsia" w:ascii="宋体" w:hAnsi="宋体" w:eastAsia="宋体" w:cs="宋体"/>
          <w:b/>
          <w:bCs/>
          <w:color w:val="auto"/>
          <w:sz w:val="36"/>
          <w:szCs w:val="36"/>
          <w:lang w:val="zh-CN"/>
        </w:rPr>
        <w:t>编号：</w:t>
      </w:r>
      <w:r>
        <w:rPr>
          <w:rFonts w:hint="eastAsia" w:ascii="宋体" w:hAnsi="宋体" w:cs="宋体"/>
          <w:b/>
          <w:bCs/>
          <w:color w:val="auto"/>
          <w:sz w:val="36"/>
          <w:szCs w:val="36"/>
          <w:lang w:val="zh-CN"/>
        </w:rPr>
        <w:t xml:space="preserve">YDZB24DGQY0031-1 </w:t>
      </w:r>
      <w:r>
        <w:rPr>
          <w:rFonts w:hint="eastAsia" w:ascii="宋体" w:hAnsi="宋体" w:eastAsia="宋体" w:cs="宋体"/>
          <w:b/>
          <w:bCs/>
          <w:color w:val="auto"/>
          <w:sz w:val="36"/>
          <w:szCs w:val="36"/>
          <w:lang w:val="zh-CN"/>
        </w:rPr>
        <w:t>）</w:t>
      </w:r>
      <w:bookmarkEnd w:id="482"/>
      <w:r>
        <w:rPr>
          <w:rFonts w:hint="eastAsia" w:ascii="宋体" w:hAnsi="宋体" w:eastAsia="宋体" w:cs="宋体"/>
          <w:b/>
          <w:bCs/>
          <w:color w:val="auto"/>
          <w:kern w:val="2"/>
          <w:sz w:val="36"/>
          <w:szCs w:val="36"/>
          <w:highlight w:val="none"/>
          <w:lang w:val="en-US" w:eastAsia="zh-CN"/>
        </w:rPr>
        <w:t xml:space="preserve"> </w:t>
      </w:r>
    </w:p>
    <w:p w14:paraId="3179E59B">
      <w:pPr>
        <w:spacing w:line="400" w:lineRule="atLeast"/>
        <w:jc w:val="center"/>
        <w:rPr>
          <w:rFonts w:hint="eastAsia" w:ascii="宋体" w:hAnsi="宋体" w:eastAsia="宋体" w:cs="宋体"/>
          <w:b/>
          <w:bCs/>
          <w:color w:val="auto"/>
          <w:kern w:val="2"/>
          <w:sz w:val="36"/>
          <w:szCs w:val="36"/>
          <w:highlight w:val="none"/>
        </w:rPr>
      </w:pPr>
    </w:p>
    <w:p w14:paraId="76BA55DC">
      <w:pPr>
        <w:spacing w:line="400" w:lineRule="atLeast"/>
        <w:jc w:val="center"/>
        <w:rPr>
          <w:rFonts w:hint="eastAsia" w:ascii="宋体" w:hAnsi="宋体" w:eastAsia="宋体" w:cs="宋体"/>
          <w:b/>
          <w:bCs/>
          <w:color w:val="auto"/>
          <w:kern w:val="2"/>
          <w:sz w:val="36"/>
          <w:szCs w:val="36"/>
          <w:highlight w:val="none"/>
        </w:rPr>
      </w:pPr>
    </w:p>
    <w:p w14:paraId="269DFE85">
      <w:pPr>
        <w:spacing w:line="400" w:lineRule="atLeast"/>
        <w:jc w:val="center"/>
        <w:rPr>
          <w:rFonts w:hint="eastAsia" w:ascii="宋体" w:hAnsi="宋体" w:eastAsia="宋体" w:cs="宋体"/>
          <w:b/>
          <w:bCs/>
          <w:color w:val="auto"/>
          <w:kern w:val="2"/>
          <w:sz w:val="36"/>
          <w:szCs w:val="36"/>
          <w:highlight w:val="none"/>
        </w:rPr>
      </w:pPr>
    </w:p>
    <w:p w14:paraId="139B8138">
      <w:pPr>
        <w:spacing w:line="400" w:lineRule="atLeast"/>
        <w:jc w:val="center"/>
        <w:rPr>
          <w:rFonts w:hint="eastAsia" w:ascii="宋体" w:hAnsi="宋体" w:eastAsia="宋体" w:cs="宋体"/>
          <w:b/>
          <w:bCs/>
          <w:color w:val="auto"/>
          <w:kern w:val="2"/>
          <w:sz w:val="36"/>
          <w:szCs w:val="36"/>
          <w:highlight w:val="none"/>
        </w:rPr>
      </w:pPr>
    </w:p>
    <w:p w14:paraId="04C84A33">
      <w:pPr>
        <w:spacing w:line="400" w:lineRule="atLeast"/>
        <w:jc w:val="center"/>
        <w:rPr>
          <w:rFonts w:hint="eastAsia" w:ascii="宋体" w:hAnsi="宋体" w:eastAsia="宋体" w:cs="宋体"/>
          <w:b/>
          <w:bCs/>
          <w:color w:val="auto"/>
          <w:kern w:val="2"/>
          <w:sz w:val="36"/>
          <w:szCs w:val="36"/>
          <w:highlight w:val="none"/>
        </w:rPr>
      </w:pPr>
    </w:p>
    <w:p w14:paraId="58014943">
      <w:pPr>
        <w:spacing w:line="400" w:lineRule="atLeast"/>
        <w:jc w:val="center"/>
        <w:rPr>
          <w:rFonts w:hint="eastAsia" w:ascii="宋体" w:hAnsi="宋体" w:eastAsia="宋体" w:cs="宋体"/>
          <w:b/>
          <w:bCs/>
          <w:color w:val="auto"/>
          <w:kern w:val="2"/>
          <w:sz w:val="72"/>
          <w:szCs w:val="72"/>
          <w:highlight w:val="none"/>
          <w:lang w:val="zh-CN"/>
        </w:rPr>
      </w:pPr>
      <w:r>
        <w:rPr>
          <w:rFonts w:hint="eastAsia" w:ascii="宋体" w:hAnsi="宋体" w:eastAsia="宋体" w:cs="宋体"/>
          <w:b/>
          <w:bCs/>
          <w:color w:val="auto"/>
          <w:kern w:val="2"/>
          <w:sz w:val="72"/>
          <w:szCs w:val="72"/>
          <w:highlight w:val="none"/>
          <w:lang w:val="zh-CN"/>
        </w:rPr>
        <w:t>评审工作大纲</w:t>
      </w:r>
    </w:p>
    <w:p w14:paraId="64C22868">
      <w:pPr>
        <w:spacing w:line="400" w:lineRule="atLeast"/>
        <w:jc w:val="center"/>
        <w:rPr>
          <w:rFonts w:hint="eastAsia" w:ascii="宋体" w:hAnsi="宋体" w:eastAsia="宋体" w:cs="宋体"/>
          <w:b/>
          <w:bCs/>
          <w:color w:val="auto"/>
          <w:kern w:val="2"/>
          <w:sz w:val="36"/>
          <w:szCs w:val="36"/>
          <w:highlight w:val="none"/>
        </w:rPr>
      </w:pPr>
    </w:p>
    <w:p w14:paraId="75EADE87">
      <w:pPr>
        <w:spacing w:line="400" w:lineRule="atLeast"/>
        <w:jc w:val="both"/>
        <w:rPr>
          <w:rFonts w:hint="eastAsia" w:ascii="宋体" w:hAnsi="宋体" w:eastAsia="宋体" w:cs="宋体"/>
          <w:b/>
          <w:bCs/>
          <w:color w:val="auto"/>
          <w:kern w:val="2"/>
          <w:sz w:val="36"/>
          <w:szCs w:val="36"/>
          <w:highlight w:val="none"/>
        </w:rPr>
      </w:pPr>
    </w:p>
    <w:p w14:paraId="3D3DE940">
      <w:pPr>
        <w:spacing w:line="400" w:lineRule="atLeast"/>
        <w:jc w:val="center"/>
        <w:rPr>
          <w:rFonts w:hint="eastAsia" w:ascii="宋体" w:hAnsi="宋体" w:eastAsia="宋体" w:cs="宋体"/>
          <w:b/>
          <w:bCs/>
          <w:color w:val="auto"/>
          <w:kern w:val="2"/>
          <w:sz w:val="36"/>
          <w:szCs w:val="36"/>
          <w:highlight w:val="none"/>
        </w:rPr>
      </w:pPr>
    </w:p>
    <w:p w14:paraId="1F93EF9E">
      <w:pPr>
        <w:spacing w:line="400" w:lineRule="atLeast"/>
        <w:jc w:val="both"/>
        <w:rPr>
          <w:rFonts w:hint="eastAsia" w:ascii="宋体" w:hAnsi="宋体" w:eastAsia="宋体" w:cs="宋体"/>
          <w:b/>
          <w:bCs/>
          <w:color w:val="auto"/>
          <w:kern w:val="2"/>
          <w:sz w:val="36"/>
          <w:szCs w:val="36"/>
          <w:highlight w:val="none"/>
        </w:rPr>
      </w:pPr>
    </w:p>
    <w:p w14:paraId="6E96A516">
      <w:pPr>
        <w:spacing w:line="400" w:lineRule="atLeast"/>
        <w:jc w:val="center"/>
        <w:rPr>
          <w:rFonts w:hint="eastAsia" w:ascii="宋体" w:hAnsi="宋体" w:eastAsia="宋体" w:cs="宋体"/>
          <w:b/>
          <w:bCs/>
          <w:color w:val="auto"/>
          <w:kern w:val="2"/>
          <w:sz w:val="36"/>
          <w:szCs w:val="36"/>
          <w:highlight w:val="none"/>
        </w:rPr>
      </w:pPr>
    </w:p>
    <w:p w14:paraId="7AB6C3AE">
      <w:pPr>
        <w:autoSpaceDE w:val="0"/>
        <w:autoSpaceDN w:val="0"/>
        <w:adjustRightInd w:val="0"/>
        <w:spacing w:line="400" w:lineRule="atLeast"/>
        <w:jc w:val="center"/>
        <w:outlineLvl w:val="9"/>
        <w:rPr>
          <w:rFonts w:hint="eastAsia" w:ascii="宋体" w:hAnsi="宋体" w:eastAsia="宋体" w:cs="宋体"/>
          <w:b/>
          <w:bCs/>
          <w:color w:val="auto"/>
          <w:sz w:val="36"/>
          <w:szCs w:val="36"/>
        </w:rPr>
      </w:pPr>
      <w:r>
        <w:rPr>
          <w:rFonts w:hint="eastAsia" w:ascii="宋体" w:hAnsi="宋体" w:cs="宋体"/>
          <w:b/>
          <w:bCs/>
          <w:color w:val="auto"/>
          <w:sz w:val="36"/>
          <w:szCs w:val="36"/>
          <w:lang w:val="zh-CN"/>
        </w:rPr>
        <w:t>广东有德招标采购有限公司</w:t>
      </w:r>
      <w:r>
        <w:rPr>
          <w:rFonts w:hint="eastAsia" w:ascii="宋体" w:hAnsi="宋体" w:eastAsia="宋体" w:cs="宋体"/>
          <w:b/>
          <w:bCs/>
          <w:color w:val="auto"/>
          <w:sz w:val="36"/>
          <w:szCs w:val="36"/>
          <w:lang w:val="zh-CN"/>
        </w:rPr>
        <w:t xml:space="preserve"> </w:t>
      </w:r>
    </w:p>
    <w:p w14:paraId="3119E403">
      <w:pPr>
        <w:spacing w:line="400" w:lineRule="atLeast"/>
        <w:rPr>
          <w:rFonts w:hint="eastAsia" w:ascii="宋体" w:hAnsi="宋体" w:eastAsia="宋体" w:cs="宋体"/>
          <w:b/>
          <w:bCs/>
          <w:color w:val="auto"/>
          <w:kern w:val="2"/>
          <w:sz w:val="36"/>
          <w:szCs w:val="36"/>
          <w:highlight w:val="none"/>
        </w:rPr>
      </w:pPr>
    </w:p>
    <w:p w14:paraId="314E0F7A">
      <w:pPr>
        <w:spacing w:line="400" w:lineRule="atLeast"/>
        <w:jc w:val="center"/>
        <w:rPr>
          <w:rFonts w:hint="eastAsia" w:ascii="宋体" w:hAnsi="宋体" w:eastAsia="宋体" w:cs="宋体"/>
          <w:b/>
          <w:bCs/>
          <w:color w:val="auto"/>
          <w:kern w:val="2"/>
          <w:sz w:val="36"/>
          <w:szCs w:val="36"/>
          <w:highlight w:val="none"/>
        </w:rPr>
      </w:pPr>
    </w:p>
    <w:p w14:paraId="5183C98C">
      <w:pPr>
        <w:pStyle w:val="22"/>
        <w:rPr>
          <w:rFonts w:hint="eastAsia" w:ascii="宋体" w:hAnsi="宋体" w:eastAsia="宋体" w:cs="宋体"/>
          <w:color w:val="auto"/>
          <w:highlight w:val="none"/>
          <w:lang w:val="en-US"/>
        </w:rPr>
      </w:pPr>
    </w:p>
    <w:p w14:paraId="7F88E76C">
      <w:pPr>
        <w:pStyle w:val="22"/>
        <w:jc w:val="both"/>
        <w:rPr>
          <w:rFonts w:hint="eastAsia" w:ascii="宋体" w:hAnsi="宋体" w:eastAsia="宋体" w:cs="宋体"/>
          <w:color w:val="auto"/>
          <w:sz w:val="21"/>
          <w:szCs w:val="21"/>
          <w:highlight w:val="none"/>
        </w:rPr>
      </w:pPr>
    </w:p>
    <w:p w14:paraId="1948389C">
      <w:pPr>
        <w:autoSpaceDE w:val="0"/>
        <w:autoSpaceDN w:val="0"/>
        <w:adjustRightInd w:val="0"/>
        <w:spacing w:line="400" w:lineRule="atLeast"/>
        <w:jc w:val="center"/>
        <w:outlineLvl w:val="9"/>
        <w:rPr>
          <w:rFonts w:hint="eastAsia" w:ascii="宋体" w:hAnsi="宋体" w:eastAsia="宋体" w:cs="宋体"/>
          <w:b/>
          <w:bCs/>
          <w:sz w:val="36"/>
          <w:szCs w:val="36"/>
        </w:rPr>
      </w:pPr>
      <w:bookmarkStart w:id="483" w:name="_Toc32395_WPSOffice_Level1"/>
      <w:r>
        <w:rPr>
          <w:rFonts w:hint="eastAsia" w:ascii="宋体" w:hAnsi="宋体" w:eastAsia="宋体" w:cs="宋体"/>
          <w:b/>
          <w:bCs/>
          <w:sz w:val="36"/>
          <w:szCs w:val="36"/>
          <w:lang w:val="zh-CN"/>
        </w:rPr>
        <w:t>目录</w:t>
      </w:r>
      <w:bookmarkEnd w:id="483"/>
    </w:p>
    <w:p w14:paraId="5927FD73">
      <w:pPr>
        <w:autoSpaceDE w:val="0"/>
        <w:autoSpaceDN w:val="0"/>
        <w:adjustRightInd w:val="0"/>
        <w:spacing w:line="400" w:lineRule="atLeast"/>
        <w:jc w:val="center"/>
        <w:outlineLvl w:val="9"/>
        <w:rPr>
          <w:rFonts w:hint="eastAsia" w:ascii="宋体" w:hAnsi="宋体" w:eastAsia="宋体" w:cs="宋体"/>
          <w:sz w:val="44"/>
          <w:szCs w:val="44"/>
        </w:rPr>
      </w:pPr>
    </w:p>
    <w:p w14:paraId="7DF5ED88">
      <w:pPr>
        <w:autoSpaceDE w:val="0"/>
        <w:autoSpaceDN w:val="0"/>
        <w:adjustRightInd w:val="0"/>
        <w:spacing w:line="360" w:lineRule="auto"/>
        <w:ind w:left="567" w:hanging="567"/>
        <w:outlineLvl w:val="9"/>
        <w:rPr>
          <w:rFonts w:hint="eastAsia" w:ascii="宋体" w:hAnsi="宋体" w:eastAsia="宋体" w:cs="宋体"/>
          <w:sz w:val="21"/>
          <w:szCs w:val="21"/>
        </w:rPr>
      </w:pPr>
      <w:bookmarkStart w:id="484" w:name="_Toc21604_WPSOffice_Level1"/>
      <w:r>
        <w:rPr>
          <w:rFonts w:hint="eastAsia" w:ascii="宋体" w:hAnsi="宋体" w:eastAsia="宋体" w:cs="宋体"/>
          <w:sz w:val="21"/>
          <w:szCs w:val="21"/>
          <w:lang w:val="zh-CN"/>
        </w:rPr>
        <w:t>一、总则</w:t>
      </w:r>
      <w:bookmarkEnd w:id="484"/>
    </w:p>
    <w:p w14:paraId="2BEE521A">
      <w:pPr>
        <w:autoSpaceDE w:val="0"/>
        <w:autoSpaceDN w:val="0"/>
        <w:adjustRightInd w:val="0"/>
        <w:spacing w:line="360" w:lineRule="auto"/>
        <w:ind w:left="567" w:hanging="567"/>
        <w:outlineLvl w:val="9"/>
        <w:rPr>
          <w:rFonts w:hint="eastAsia" w:ascii="宋体" w:hAnsi="宋体" w:eastAsia="宋体" w:cs="宋体"/>
          <w:sz w:val="21"/>
          <w:szCs w:val="21"/>
        </w:rPr>
      </w:pPr>
      <w:bookmarkStart w:id="485" w:name="_Toc1387_WPSOffice_Level1"/>
      <w:r>
        <w:rPr>
          <w:rFonts w:hint="eastAsia" w:ascii="宋体" w:hAnsi="宋体" w:eastAsia="宋体" w:cs="宋体"/>
          <w:sz w:val="21"/>
          <w:szCs w:val="21"/>
          <w:lang w:val="zh-CN"/>
        </w:rPr>
        <w:t>二、</w:t>
      </w:r>
      <w:r>
        <w:rPr>
          <w:rFonts w:hint="eastAsia" w:ascii="宋体" w:hAnsi="宋体" w:cs="宋体"/>
          <w:sz w:val="21"/>
          <w:szCs w:val="21"/>
          <w:lang w:val="en-US" w:eastAsia="zh-CN"/>
        </w:rPr>
        <w:t>响应文件</w:t>
      </w:r>
      <w:r>
        <w:rPr>
          <w:rFonts w:hint="eastAsia" w:ascii="宋体" w:hAnsi="宋体" w:eastAsia="宋体" w:cs="宋体"/>
          <w:sz w:val="21"/>
          <w:szCs w:val="21"/>
          <w:lang w:val="zh-CN"/>
        </w:rPr>
        <w:t>的初审</w:t>
      </w:r>
      <w:bookmarkEnd w:id="485"/>
    </w:p>
    <w:p w14:paraId="4887B93B">
      <w:pPr>
        <w:autoSpaceDE w:val="0"/>
        <w:autoSpaceDN w:val="0"/>
        <w:adjustRightInd w:val="0"/>
        <w:spacing w:line="360" w:lineRule="auto"/>
        <w:ind w:left="567" w:hanging="567"/>
        <w:outlineLvl w:val="9"/>
        <w:rPr>
          <w:rFonts w:hint="eastAsia" w:ascii="宋体" w:hAnsi="宋体" w:eastAsia="宋体" w:cs="宋体"/>
          <w:sz w:val="21"/>
          <w:szCs w:val="21"/>
        </w:rPr>
      </w:pPr>
      <w:bookmarkStart w:id="486" w:name="_Toc30284_WPSOffice_Level1"/>
      <w:r>
        <w:rPr>
          <w:rFonts w:hint="eastAsia" w:ascii="宋体" w:hAnsi="宋体" w:eastAsia="宋体" w:cs="宋体"/>
          <w:sz w:val="21"/>
          <w:szCs w:val="21"/>
          <w:lang w:val="zh-CN"/>
        </w:rPr>
        <w:t>三、澄清有关问题</w:t>
      </w:r>
      <w:bookmarkEnd w:id="486"/>
    </w:p>
    <w:p w14:paraId="5718C477">
      <w:pPr>
        <w:autoSpaceDE w:val="0"/>
        <w:autoSpaceDN w:val="0"/>
        <w:adjustRightInd w:val="0"/>
        <w:spacing w:line="360" w:lineRule="auto"/>
        <w:ind w:left="567" w:hanging="567"/>
        <w:outlineLvl w:val="9"/>
        <w:rPr>
          <w:rFonts w:hint="eastAsia" w:ascii="宋体" w:hAnsi="宋体" w:eastAsia="宋体" w:cs="宋体"/>
          <w:sz w:val="21"/>
          <w:szCs w:val="21"/>
        </w:rPr>
      </w:pPr>
      <w:bookmarkStart w:id="487" w:name="_Toc1206_WPSOffice_Level1"/>
      <w:r>
        <w:rPr>
          <w:rFonts w:hint="eastAsia" w:ascii="宋体" w:hAnsi="宋体" w:eastAsia="宋体" w:cs="宋体"/>
          <w:sz w:val="21"/>
          <w:szCs w:val="21"/>
        </w:rPr>
        <w:t>四、比较和评价</w:t>
      </w:r>
      <w:bookmarkEnd w:id="487"/>
    </w:p>
    <w:p w14:paraId="3DEFD3C5">
      <w:pPr>
        <w:autoSpaceDE w:val="0"/>
        <w:autoSpaceDN w:val="0"/>
        <w:adjustRightInd w:val="0"/>
        <w:spacing w:line="360" w:lineRule="auto"/>
        <w:ind w:left="567" w:hanging="567"/>
        <w:outlineLvl w:val="9"/>
        <w:rPr>
          <w:rFonts w:hint="default" w:ascii="宋体" w:hAnsi="宋体" w:eastAsia="宋体" w:cs="宋体"/>
          <w:sz w:val="21"/>
          <w:szCs w:val="21"/>
          <w:lang w:val="en-US" w:eastAsia="zh-CN"/>
        </w:rPr>
      </w:pPr>
      <w:bookmarkStart w:id="488" w:name="_Toc12163_WPSOffice_Level1"/>
      <w:r>
        <w:rPr>
          <w:rFonts w:hint="eastAsia" w:ascii="宋体" w:hAnsi="宋体" w:eastAsia="宋体" w:cs="宋体"/>
          <w:sz w:val="21"/>
          <w:szCs w:val="21"/>
          <w:lang w:val="zh-CN"/>
        </w:rPr>
        <w:t>五、推荐</w:t>
      </w:r>
      <w:bookmarkEnd w:id="488"/>
      <w:r>
        <w:rPr>
          <w:rFonts w:hint="eastAsia" w:ascii="宋体" w:hAnsi="宋体" w:cs="宋体"/>
          <w:sz w:val="21"/>
          <w:szCs w:val="21"/>
          <w:lang w:val="en-US" w:eastAsia="zh-CN"/>
        </w:rPr>
        <w:t>成交人</w:t>
      </w:r>
    </w:p>
    <w:p w14:paraId="6AF8868C">
      <w:pPr>
        <w:autoSpaceDE w:val="0"/>
        <w:autoSpaceDN w:val="0"/>
        <w:adjustRightInd w:val="0"/>
        <w:spacing w:line="360" w:lineRule="auto"/>
        <w:ind w:left="567" w:hanging="567"/>
        <w:outlineLvl w:val="9"/>
        <w:rPr>
          <w:rFonts w:hint="eastAsia" w:ascii="宋体" w:hAnsi="宋体" w:eastAsia="宋体" w:cs="宋体"/>
          <w:sz w:val="21"/>
          <w:szCs w:val="21"/>
        </w:rPr>
      </w:pPr>
      <w:bookmarkStart w:id="489" w:name="_Toc366_WPSOffice_Level1"/>
      <w:r>
        <w:rPr>
          <w:rFonts w:hint="eastAsia" w:ascii="宋体" w:hAnsi="宋体" w:eastAsia="宋体" w:cs="宋体"/>
          <w:sz w:val="21"/>
          <w:szCs w:val="21"/>
          <w:lang w:val="zh-CN"/>
        </w:rPr>
        <w:t>六、编写</w:t>
      </w:r>
      <w:r>
        <w:rPr>
          <w:rFonts w:hint="eastAsia" w:ascii="宋体" w:hAnsi="宋体" w:cs="宋体"/>
          <w:sz w:val="21"/>
          <w:szCs w:val="21"/>
          <w:lang w:val="en-US" w:eastAsia="zh-CN"/>
        </w:rPr>
        <w:t>评审</w:t>
      </w:r>
      <w:r>
        <w:rPr>
          <w:rFonts w:hint="eastAsia" w:ascii="宋体" w:hAnsi="宋体" w:eastAsia="宋体" w:cs="宋体"/>
          <w:sz w:val="21"/>
          <w:szCs w:val="21"/>
          <w:lang w:val="zh-CN"/>
        </w:rPr>
        <w:t>报告</w:t>
      </w:r>
      <w:bookmarkEnd w:id="489"/>
    </w:p>
    <w:p w14:paraId="017053D9">
      <w:pPr>
        <w:autoSpaceDE w:val="0"/>
        <w:autoSpaceDN w:val="0"/>
        <w:adjustRightInd w:val="0"/>
        <w:spacing w:line="360" w:lineRule="auto"/>
        <w:ind w:left="567" w:hanging="567"/>
        <w:outlineLvl w:val="9"/>
        <w:rPr>
          <w:rFonts w:hint="eastAsia" w:ascii="宋体" w:hAnsi="宋体" w:eastAsia="宋体" w:cs="宋体"/>
          <w:sz w:val="21"/>
          <w:szCs w:val="21"/>
        </w:rPr>
      </w:pPr>
      <w:bookmarkStart w:id="490" w:name="_Toc22378_WPSOffice_Level1"/>
      <w:r>
        <w:rPr>
          <w:rFonts w:hint="eastAsia" w:ascii="宋体" w:hAnsi="宋体" w:eastAsia="宋体" w:cs="宋体"/>
          <w:sz w:val="21"/>
          <w:szCs w:val="21"/>
          <w:lang w:val="zh-CN"/>
        </w:rPr>
        <w:t>七、注意事项</w:t>
      </w:r>
      <w:bookmarkEnd w:id="490"/>
    </w:p>
    <w:p w14:paraId="4B2C8ADC">
      <w:pPr>
        <w:pageBreakBefore/>
        <w:tabs>
          <w:tab w:val="left" w:pos="1140"/>
        </w:tabs>
        <w:spacing w:line="360" w:lineRule="auto"/>
        <w:jc w:val="center"/>
        <w:rPr>
          <w:rFonts w:hint="eastAsia" w:ascii="宋体" w:hAnsi="宋体" w:eastAsia="宋体" w:cs="宋体"/>
          <w:b/>
          <w:bCs/>
          <w:color w:val="auto"/>
          <w:kern w:val="2"/>
          <w:sz w:val="28"/>
          <w:szCs w:val="28"/>
          <w:highlight w:val="none"/>
        </w:rPr>
      </w:pPr>
      <w:r>
        <w:rPr>
          <w:rFonts w:hint="eastAsia" w:ascii="宋体" w:hAnsi="宋体" w:eastAsia="宋体" w:cs="宋体"/>
          <w:color w:val="auto"/>
          <w:kern w:val="2"/>
          <w:sz w:val="28"/>
          <w:szCs w:val="28"/>
          <w:highlight w:val="none"/>
          <w:lang w:val="zh-CN"/>
        </w:rPr>
        <w:t>一、</w:t>
      </w:r>
      <w:r>
        <w:rPr>
          <w:rFonts w:hint="eastAsia" w:ascii="宋体" w:hAnsi="宋体" w:eastAsia="宋体" w:cs="宋体"/>
          <w:b/>
          <w:bCs/>
          <w:color w:val="auto"/>
          <w:kern w:val="2"/>
          <w:sz w:val="28"/>
          <w:szCs w:val="28"/>
          <w:highlight w:val="none"/>
          <w:lang w:val="zh-CN"/>
        </w:rPr>
        <w:t>总</w:t>
      </w:r>
      <w:r>
        <w:rPr>
          <w:rFonts w:hint="eastAsia" w:ascii="宋体" w:hAnsi="宋体" w:eastAsia="宋体" w:cs="宋体"/>
          <w:b/>
          <w:bCs/>
          <w:color w:val="auto"/>
          <w:kern w:val="2"/>
          <w:sz w:val="28"/>
          <w:szCs w:val="28"/>
          <w:highlight w:val="none"/>
        </w:rPr>
        <w:t xml:space="preserve">  </w:t>
      </w:r>
      <w:r>
        <w:rPr>
          <w:rFonts w:hint="eastAsia" w:ascii="宋体" w:hAnsi="宋体" w:eastAsia="宋体" w:cs="宋体"/>
          <w:b/>
          <w:bCs/>
          <w:color w:val="auto"/>
          <w:kern w:val="2"/>
          <w:sz w:val="28"/>
          <w:szCs w:val="28"/>
          <w:highlight w:val="none"/>
          <w:lang w:val="zh-CN"/>
        </w:rPr>
        <w:t>则</w:t>
      </w:r>
    </w:p>
    <w:p w14:paraId="28A1B48B">
      <w:pPr>
        <w:tabs>
          <w:tab w:val="left" w:pos="567"/>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1、一般规定</w:t>
      </w:r>
    </w:p>
    <w:p w14:paraId="597A92DC">
      <w:pPr>
        <w:autoSpaceDE w:val="0"/>
        <w:autoSpaceDN w:val="0"/>
        <w:adjustRightInd w:val="0"/>
        <w:spacing w:line="360" w:lineRule="auto"/>
        <w:ind w:left="567" w:hanging="567"/>
        <w:outlineLvl w:val="9"/>
        <w:rPr>
          <w:rFonts w:hint="eastAsia" w:ascii="宋体" w:hAnsi="宋体" w:cs="宋体"/>
          <w:color w:val="auto"/>
          <w:kern w:val="0"/>
          <w:sz w:val="21"/>
          <w:szCs w:val="21"/>
          <w:lang w:eastAsia="zh-CN"/>
        </w:rPr>
      </w:pPr>
      <w:r>
        <w:rPr>
          <w:rFonts w:hint="eastAsia" w:ascii="宋体" w:hAnsi="宋体" w:eastAsia="宋体" w:cs="宋体"/>
          <w:color w:val="auto"/>
          <w:sz w:val="21"/>
          <w:szCs w:val="21"/>
          <w:lang w:val="zh-CN"/>
        </w:rPr>
        <w:t>1.1</w:t>
      </w:r>
      <w:r>
        <w:rPr>
          <w:rFonts w:hint="eastAsia" w:ascii="宋体" w:hAnsi="宋体" w:eastAsia="宋体" w:cs="宋体"/>
          <w:color w:val="auto"/>
          <w:sz w:val="21"/>
          <w:szCs w:val="21"/>
          <w:lang w:val="en-US" w:eastAsia="zh-CN"/>
        </w:rPr>
        <w:t xml:space="preserve"> </w:t>
      </w:r>
      <w:r>
        <w:rPr>
          <w:rFonts w:hint="eastAsia" w:ascii="宋体" w:hAnsi="宋体" w:cs="宋体"/>
          <w:color w:val="auto"/>
          <w:kern w:val="0"/>
          <w:sz w:val="21"/>
          <w:szCs w:val="21"/>
          <w:lang w:eastAsia="zh-CN"/>
        </w:rPr>
        <w:t>东莞市众源环境投资有限公司污水处理厂污泥脱水减量处理服务（BOT权属东江下游片区）采购</w:t>
      </w:r>
    </w:p>
    <w:p w14:paraId="088B587A">
      <w:pPr>
        <w:autoSpaceDE w:val="0"/>
        <w:autoSpaceDN w:val="0"/>
        <w:adjustRightInd w:val="0"/>
        <w:spacing w:line="360" w:lineRule="auto"/>
        <w:ind w:firstLine="420" w:firstLineChars="200"/>
        <w:outlineLvl w:val="9"/>
        <w:rPr>
          <w:rFonts w:hint="eastAsia" w:ascii="宋体" w:hAnsi="宋体" w:eastAsia="宋体" w:cs="宋体"/>
          <w:color w:val="auto"/>
          <w:kern w:val="2"/>
          <w:sz w:val="21"/>
          <w:highlight w:val="none"/>
          <w:lang w:val="zh-CN"/>
        </w:rPr>
      </w:pPr>
      <w:r>
        <w:rPr>
          <w:rFonts w:hint="eastAsia" w:ascii="宋体" w:hAnsi="宋体" w:cs="宋体"/>
          <w:color w:val="auto"/>
          <w:kern w:val="0"/>
          <w:sz w:val="21"/>
          <w:szCs w:val="21"/>
          <w:lang w:eastAsia="zh-CN"/>
        </w:rPr>
        <w:t>项目</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lang w:val="zh-CN"/>
        </w:rPr>
        <w:t>编号：</w:t>
      </w:r>
      <w:r>
        <w:rPr>
          <w:rFonts w:hint="eastAsia" w:ascii="宋体" w:hAnsi="宋体" w:cs="宋体"/>
          <w:color w:val="auto"/>
          <w:sz w:val="21"/>
          <w:szCs w:val="21"/>
          <w:lang w:val="zh-CN"/>
        </w:rPr>
        <w:t xml:space="preserve">YDZB24DGQY0031-1 </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lang w:val="en-US" w:eastAsia="zh-CN"/>
        </w:rPr>
        <w:t>竞争性磋商</w:t>
      </w:r>
      <w:r>
        <w:rPr>
          <w:rFonts w:hint="eastAsia" w:ascii="宋体" w:hAnsi="宋体" w:eastAsia="宋体" w:cs="宋体"/>
          <w:color w:val="auto"/>
          <w:kern w:val="2"/>
          <w:sz w:val="21"/>
          <w:highlight w:val="none"/>
          <w:lang w:val="zh-CN"/>
        </w:rPr>
        <w:t>采购按照采购人及上级单位的相关制度等有关</w:t>
      </w:r>
    </w:p>
    <w:p w14:paraId="3435FD74">
      <w:pPr>
        <w:autoSpaceDE w:val="0"/>
        <w:autoSpaceDN w:val="0"/>
        <w:adjustRightInd w:val="0"/>
        <w:spacing w:line="360" w:lineRule="auto"/>
        <w:ind w:firstLine="420" w:firstLineChars="200"/>
        <w:outlineLvl w:val="9"/>
        <w:rPr>
          <w:rFonts w:hint="eastAsia" w:ascii="宋体" w:hAnsi="宋体" w:eastAsia="宋体" w:cs="宋体"/>
          <w:color w:val="auto"/>
          <w:kern w:val="0"/>
          <w:sz w:val="21"/>
          <w:szCs w:val="21"/>
        </w:rPr>
      </w:pPr>
      <w:r>
        <w:rPr>
          <w:rFonts w:hint="eastAsia" w:ascii="宋体" w:hAnsi="宋体" w:eastAsia="宋体" w:cs="宋体"/>
          <w:color w:val="auto"/>
          <w:kern w:val="2"/>
          <w:sz w:val="21"/>
          <w:highlight w:val="none"/>
          <w:lang w:val="zh-CN"/>
        </w:rPr>
        <w:t>规定进行。</w:t>
      </w:r>
    </w:p>
    <w:p w14:paraId="4C897F1D">
      <w:pPr>
        <w:autoSpaceDE w:val="0"/>
        <w:autoSpaceDN w:val="0"/>
        <w:adjustRightInd w:val="0"/>
        <w:spacing w:line="360" w:lineRule="auto"/>
        <w:ind w:left="567" w:hanging="567"/>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1.2</w:t>
      </w:r>
      <w:r>
        <w:rPr>
          <w:rFonts w:hint="eastAsia" w:ascii="宋体" w:hAnsi="宋体" w:eastAsia="宋体" w:cs="宋体"/>
          <w:color w:val="auto"/>
          <w:sz w:val="21"/>
          <w:szCs w:val="21"/>
          <w:lang w:val="en-US" w:eastAsia="zh-CN"/>
        </w:rPr>
        <w:t xml:space="preserve"> 磋商</w:t>
      </w:r>
      <w:r>
        <w:rPr>
          <w:rFonts w:hint="eastAsia" w:ascii="宋体" w:hAnsi="宋体" w:eastAsia="宋体" w:cs="宋体"/>
          <w:color w:val="auto"/>
          <w:sz w:val="21"/>
          <w:szCs w:val="21"/>
          <w:lang w:val="zh-CN"/>
        </w:rPr>
        <w:t>必须遵循公平、公正、诚实信用的原则。</w:t>
      </w:r>
    </w:p>
    <w:p w14:paraId="74C26FE1">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color w:val="auto"/>
          <w:sz w:val="21"/>
          <w:szCs w:val="21"/>
          <w:lang w:val="zh-CN"/>
        </w:rPr>
        <w:t>1.3</w:t>
      </w:r>
      <w:r>
        <w:rPr>
          <w:rFonts w:hint="eastAsia" w:ascii="宋体" w:hAnsi="宋体" w:eastAsia="宋体" w:cs="宋体"/>
          <w:color w:val="auto"/>
          <w:sz w:val="21"/>
          <w:szCs w:val="21"/>
          <w:lang w:val="en-US" w:eastAsia="zh-CN"/>
        </w:rPr>
        <w:t xml:space="preserve"> 采购</w:t>
      </w:r>
      <w:r>
        <w:rPr>
          <w:rFonts w:hint="eastAsia" w:ascii="宋体" w:hAnsi="宋体" w:eastAsia="宋体" w:cs="宋体"/>
          <w:color w:val="auto"/>
          <w:sz w:val="21"/>
          <w:szCs w:val="21"/>
          <w:lang w:val="zh-CN"/>
        </w:rPr>
        <w:t>代理机构</w:t>
      </w:r>
      <w:r>
        <w:rPr>
          <w:rFonts w:hint="eastAsia" w:ascii="宋体" w:hAnsi="宋体" w:eastAsia="宋体" w:cs="宋体"/>
          <w:color w:val="auto"/>
          <w:kern w:val="0"/>
          <w:sz w:val="21"/>
          <w:szCs w:val="21"/>
        </w:rPr>
        <w:t>(</w:t>
      </w:r>
      <w:r>
        <w:rPr>
          <w:rFonts w:hint="eastAsia" w:ascii="宋体" w:hAnsi="宋体" w:cs="宋体"/>
          <w:color w:val="auto"/>
          <w:kern w:val="0"/>
          <w:sz w:val="21"/>
          <w:szCs w:val="21"/>
          <w:lang w:eastAsia="zh-CN"/>
        </w:rPr>
        <w:t>广东有德招标采购有限公司</w:t>
      </w:r>
      <w:r>
        <w:rPr>
          <w:rFonts w:hint="eastAsia" w:ascii="宋体" w:hAnsi="宋体" w:eastAsia="宋体" w:cs="宋体"/>
          <w:color w:val="auto"/>
          <w:kern w:val="0"/>
          <w:sz w:val="21"/>
          <w:szCs w:val="21"/>
        </w:rPr>
        <w:t>）组</w:t>
      </w:r>
      <w:r>
        <w:rPr>
          <w:rFonts w:hint="eastAsia" w:ascii="宋体" w:hAnsi="宋体" w:eastAsia="宋体" w:cs="宋体"/>
          <w:color w:val="auto"/>
          <w:sz w:val="21"/>
          <w:szCs w:val="21"/>
          <w:lang w:val="zh-CN"/>
        </w:rPr>
        <w:t>织</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lang w:val="zh-CN"/>
        </w:rPr>
        <w:t>工作，全过</w:t>
      </w:r>
      <w:r>
        <w:rPr>
          <w:rFonts w:hint="eastAsia" w:ascii="宋体" w:hAnsi="宋体" w:eastAsia="宋体" w:cs="宋体"/>
          <w:sz w:val="21"/>
          <w:szCs w:val="21"/>
          <w:lang w:val="zh-CN"/>
        </w:rPr>
        <w:t>程接受</w:t>
      </w:r>
      <w:r>
        <w:rPr>
          <w:rFonts w:hint="eastAsia" w:ascii="宋体" w:hAnsi="宋体" w:eastAsia="宋体" w:cs="宋体"/>
          <w:sz w:val="21"/>
          <w:szCs w:val="21"/>
          <w:lang w:val="en-US" w:eastAsia="zh-CN"/>
        </w:rPr>
        <w:t>采购</w:t>
      </w:r>
      <w:r>
        <w:rPr>
          <w:rFonts w:hint="eastAsia" w:ascii="宋体" w:hAnsi="宋体" w:eastAsia="宋体" w:cs="宋体"/>
          <w:sz w:val="21"/>
          <w:szCs w:val="21"/>
          <w:lang w:val="zh-CN"/>
        </w:rPr>
        <w:t>人及相关部门的监</w:t>
      </w:r>
    </w:p>
    <w:p w14:paraId="7C54012C">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zh-CN"/>
        </w:rPr>
        <w:t>督、管理和指导。</w:t>
      </w:r>
    </w:p>
    <w:p w14:paraId="5B12DE39">
      <w:pPr>
        <w:autoSpaceDE w:val="0"/>
        <w:autoSpaceDN w:val="0"/>
        <w:adjustRightInd w:val="0"/>
        <w:spacing w:line="360" w:lineRule="auto"/>
        <w:ind w:left="567" w:hanging="567"/>
        <w:outlineLvl w:val="9"/>
        <w:rPr>
          <w:rFonts w:hint="eastAsia" w:ascii="宋体" w:hAnsi="宋体" w:eastAsia="宋体" w:cs="宋体"/>
          <w:sz w:val="21"/>
          <w:szCs w:val="21"/>
          <w:lang w:val="zh-CN"/>
        </w:rPr>
      </w:pPr>
      <w:r>
        <w:rPr>
          <w:rFonts w:hint="eastAsia" w:ascii="宋体" w:hAnsi="宋体" w:eastAsia="宋体" w:cs="宋体"/>
          <w:sz w:val="21"/>
          <w:szCs w:val="21"/>
          <w:lang w:val="zh-CN"/>
        </w:rPr>
        <w:t>1.4</w:t>
      </w:r>
      <w:r>
        <w:rPr>
          <w:rFonts w:hint="eastAsia" w:ascii="宋体" w:hAnsi="宋体" w:eastAsia="宋体" w:cs="宋体"/>
          <w:sz w:val="21"/>
          <w:szCs w:val="21"/>
          <w:lang w:val="en-US" w:eastAsia="zh-CN"/>
        </w:rPr>
        <w:t xml:space="preserve"> 磋商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文件规定的内容进行，采取综合评分</w:t>
      </w:r>
      <w:r>
        <w:rPr>
          <w:rFonts w:hint="eastAsia" w:ascii="宋体" w:hAnsi="宋体" w:eastAsia="宋体" w:cs="宋体"/>
          <w:sz w:val="21"/>
          <w:szCs w:val="21"/>
        </w:rPr>
        <w:t>法进行评审</w:t>
      </w:r>
      <w:r>
        <w:rPr>
          <w:rFonts w:hint="eastAsia" w:ascii="宋体" w:hAnsi="宋体" w:eastAsia="宋体" w:cs="宋体"/>
          <w:sz w:val="21"/>
          <w:szCs w:val="21"/>
          <w:lang w:val="zh-CN"/>
        </w:rPr>
        <w:t>。</w:t>
      </w:r>
    </w:p>
    <w:p w14:paraId="34DF1ACF">
      <w:pPr>
        <w:autoSpaceDE w:val="0"/>
        <w:autoSpaceDN w:val="0"/>
        <w:adjustRightInd w:val="0"/>
        <w:spacing w:line="360" w:lineRule="auto"/>
        <w:ind w:left="567" w:hanging="567"/>
        <w:outlineLvl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1.5 </w:t>
      </w:r>
      <w:r>
        <w:rPr>
          <w:rFonts w:hint="eastAsia" w:ascii="宋体" w:hAnsi="宋体" w:eastAsia="宋体" w:cs="宋体"/>
          <w:sz w:val="21"/>
          <w:szCs w:val="21"/>
          <w:lang w:val="zh-CN"/>
        </w:rPr>
        <w:t>本办法的评审对象是指</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按照</w:t>
      </w:r>
      <w:r>
        <w:rPr>
          <w:rFonts w:hint="eastAsia" w:ascii="宋体" w:hAnsi="宋体" w:eastAsia="宋体" w:cs="宋体"/>
          <w:sz w:val="21"/>
          <w:szCs w:val="21"/>
          <w:lang w:val="en-US" w:eastAsia="zh-CN"/>
        </w:rPr>
        <w:t>竞争性磋商</w:t>
      </w:r>
      <w:r>
        <w:rPr>
          <w:rFonts w:hint="eastAsia" w:ascii="宋体" w:hAnsi="宋体" w:eastAsia="宋体" w:cs="宋体"/>
          <w:sz w:val="21"/>
          <w:szCs w:val="21"/>
          <w:lang w:val="zh-CN"/>
        </w:rPr>
        <w:t>文件要求提供的有效</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文件，包括</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应</w:t>
      </w:r>
      <w:r>
        <w:rPr>
          <w:rFonts w:hint="eastAsia" w:ascii="宋体" w:hAnsi="宋体" w:eastAsia="宋体" w:cs="宋体"/>
          <w:sz w:val="21"/>
          <w:szCs w:val="21"/>
          <w:lang w:val="en-US" w:eastAsia="zh-CN"/>
        </w:rPr>
        <w:t>磋</w:t>
      </w:r>
    </w:p>
    <w:p w14:paraId="555D7A13">
      <w:pPr>
        <w:autoSpaceDE w:val="0"/>
        <w:autoSpaceDN w:val="0"/>
        <w:adjustRightInd w:val="0"/>
        <w:spacing w:line="360" w:lineRule="auto"/>
        <w:ind w:firstLine="420" w:firstLineChars="200"/>
        <w:outlineLvl w:val="9"/>
        <w:rPr>
          <w:rFonts w:hint="eastAsia" w:ascii="宋体" w:hAnsi="宋体" w:eastAsia="宋体" w:cs="宋体"/>
          <w:sz w:val="21"/>
          <w:szCs w:val="21"/>
          <w:lang w:val="zh-CN"/>
        </w:rPr>
      </w:pPr>
      <w:r>
        <w:rPr>
          <w:rFonts w:hint="eastAsia" w:ascii="宋体" w:hAnsi="宋体" w:eastAsia="宋体" w:cs="宋体"/>
          <w:sz w:val="21"/>
          <w:szCs w:val="21"/>
          <w:lang w:val="en-US" w:eastAsia="zh-CN"/>
        </w:rPr>
        <w:t>商小组</w:t>
      </w:r>
      <w:r>
        <w:rPr>
          <w:rFonts w:hint="eastAsia" w:ascii="宋体" w:hAnsi="宋体" w:eastAsia="宋体" w:cs="宋体"/>
          <w:sz w:val="21"/>
          <w:szCs w:val="21"/>
          <w:lang w:val="zh-CN"/>
        </w:rPr>
        <w:t>要求对原</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文件作出的正式书面澄清文件。</w:t>
      </w:r>
    </w:p>
    <w:p w14:paraId="0763360F">
      <w:pPr>
        <w:spacing w:line="360" w:lineRule="auto"/>
        <w:jc w:val="both"/>
        <w:rPr>
          <w:rFonts w:hint="eastAsia" w:ascii="宋体" w:hAnsi="宋体" w:eastAsia="宋体" w:cs="宋体"/>
          <w:color w:val="auto"/>
          <w:kern w:val="2"/>
          <w:highlight w:val="none"/>
          <w:lang w:val="zh-CN"/>
        </w:rPr>
      </w:pPr>
    </w:p>
    <w:p w14:paraId="75E1715D">
      <w:pPr>
        <w:tabs>
          <w:tab w:val="left" w:pos="360"/>
          <w:tab w:val="left" w:pos="600"/>
        </w:tabs>
        <w:spacing w:line="360" w:lineRule="auto"/>
        <w:ind w:left="600" w:hanging="6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2、磋商小组的组成</w:t>
      </w:r>
    </w:p>
    <w:p w14:paraId="7073BA8F">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sz w:val="21"/>
          <w:highlight w:val="none"/>
        </w:rPr>
      </w:pPr>
      <w:r>
        <w:rPr>
          <w:rFonts w:hint="eastAsia" w:ascii="宋体" w:hAnsi="宋体" w:eastAsia="宋体" w:cs="宋体"/>
          <w:color w:val="auto"/>
          <w:kern w:val="2"/>
          <w:sz w:val="21"/>
          <w:highlight w:val="none"/>
          <w:lang w:val="zh-CN"/>
        </w:rPr>
        <w:t>2.1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rPr>
        <w:t>磋商小组</w:t>
      </w:r>
      <w:r>
        <w:rPr>
          <w:rFonts w:hint="eastAsia" w:ascii="宋体" w:hAnsi="宋体" w:eastAsia="宋体" w:cs="宋体"/>
          <w:color w:val="auto"/>
          <w:sz w:val="21"/>
          <w:highlight w:val="none"/>
        </w:rPr>
        <w:t>由采购人</w:t>
      </w:r>
      <w:r>
        <w:rPr>
          <w:rFonts w:hint="eastAsia" w:ascii="宋体" w:hAnsi="宋体" w:cs="宋体"/>
          <w:color w:val="auto"/>
          <w:sz w:val="21"/>
          <w:highlight w:val="none"/>
          <w:lang w:val="en-US" w:eastAsia="zh-CN"/>
        </w:rPr>
        <w:t>组建</w:t>
      </w:r>
      <w:r>
        <w:rPr>
          <w:rFonts w:hint="eastAsia" w:ascii="宋体" w:hAnsi="宋体" w:eastAsia="宋体" w:cs="宋体"/>
          <w:color w:val="auto"/>
          <w:sz w:val="21"/>
          <w:highlight w:val="none"/>
        </w:rPr>
        <w:t>。</w:t>
      </w:r>
    </w:p>
    <w:p w14:paraId="16303E79">
      <w:pPr>
        <w:tabs>
          <w:tab w:val="left" w:pos="567"/>
          <w:tab w:val="left" w:pos="1145"/>
        </w:tabs>
        <w:spacing w:line="360" w:lineRule="auto"/>
        <w:ind w:left="600" w:hanging="6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2.2</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磋商工作组由</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人、</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代理机构组成。</w:t>
      </w:r>
    </w:p>
    <w:p w14:paraId="5F01B46D">
      <w:pPr>
        <w:spacing w:line="360" w:lineRule="auto"/>
        <w:ind w:left="567" w:hanging="567"/>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2.3</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磋商工作组分成磋商小组、</w:t>
      </w:r>
      <w:r>
        <w:rPr>
          <w:rFonts w:hint="eastAsia" w:ascii="宋体" w:hAnsi="宋体" w:eastAsia="宋体" w:cs="宋体"/>
          <w:color w:val="auto"/>
          <w:kern w:val="2"/>
          <w:sz w:val="21"/>
          <w:highlight w:val="none"/>
          <w:lang w:val="en-US" w:eastAsia="zh-CN"/>
        </w:rPr>
        <w:t>采购</w:t>
      </w:r>
      <w:r>
        <w:rPr>
          <w:rFonts w:hint="eastAsia" w:ascii="宋体" w:hAnsi="宋体" w:eastAsia="宋体" w:cs="宋体"/>
          <w:color w:val="auto"/>
          <w:kern w:val="2"/>
          <w:sz w:val="21"/>
          <w:highlight w:val="none"/>
          <w:lang w:val="zh-CN"/>
        </w:rPr>
        <w:t>代理机构秘书组。</w:t>
      </w:r>
    </w:p>
    <w:p w14:paraId="39E8CB59">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w:t>
      </w:r>
      <w:r>
        <w:rPr>
          <w:rFonts w:hint="eastAsia" w:ascii="宋体" w:hAnsi="宋体" w:eastAsia="宋体" w:cs="宋体"/>
          <w:color w:val="auto"/>
          <w:kern w:val="2"/>
          <w:sz w:val="21"/>
          <w:highlight w:val="none"/>
          <w:lang w:val="en-US" w:eastAsia="zh-CN"/>
        </w:rPr>
        <w:t xml:space="preserve">4 </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应相对独立工作，负责评审、</w:t>
      </w:r>
      <w:r>
        <w:rPr>
          <w:rFonts w:hint="eastAsia" w:ascii="宋体" w:hAnsi="宋体" w:eastAsia="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撰写评审报告。采购代理机构秘书组负责评审过程中资料的保管、发放及回收，协调技术和</w:t>
      </w:r>
      <w:r>
        <w:rPr>
          <w:rFonts w:hint="eastAsia" w:ascii="宋体" w:hAnsi="宋体" w:eastAsia="宋体" w:cs="宋体"/>
          <w:color w:val="auto"/>
          <w:kern w:val="2"/>
          <w:sz w:val="21"/>
          <w:highlight w:val="none"/>
        </w:rPr>
        <w:t>磋商小组</w:t>
      </w:r>
      <w:r>
        <w:rPr>
          <w:rFonts w:hint="eastAsia" w:ascii="宋体" w:hAnsi="宋体" w:eastAsia="宋体" w:cs="宋体"/>
          <w:color w:val="auto"/>
          <w:kern w:val="2"/>
          <w:sz w:val="21"/>
          <w:highlight w:val="none"/>
          <w:lang w:val="zh-CN"/>
        </w:rPr>
        <w:t>评审工作的进展和整理、汇总评审资料及复核。</w:t>
      </w:r>
    </w:p>
    <w:p w14:paraId="1C8541AB">
      <w:pPr>
        <w:spacing w:line="360" w:lineRule="auto"/>
        <w:jc w:val="both"/>
        <w:rPr>
          <w:rFonts w:hint="eastAsia" w:ascii="宋体" w:hAnsi="宋体" w:eastAsia="宋体" w:cs="宋体"/>
          <w:color w:val="auto"/>
          <w:kern w:val="2"/>
          <w:highlight w:val="none"/>
          <w:lang w:val="zh-CN"/>
        </w:rPr>
      </w:pPr>
    </w:p>
    <w:p w14:paraId="15F34342">
      <w:pPr>
        <w:spacing w:line="360" w:lineRule="auto"/>
        <w:jc w:val="both"/>
        <w:rPr>
          <w:rFonts w:hint="eastAsia" w:ascii="宋体" w:hAnsi="宋体" w:eastAsia="宋体" w:cs="宋体"/>
          <w:color w:val="auto"/>
          <w:kern w:val="2"/>
          <w:highlight w:val="none"/>
          <w:lang w:val="zh-CN"/>
        </w:rPr>
      </w:pPr>
      <w:r>
        <w:rPr>
          <w:rFonts w:hint="eastAsia" w:ascii="宋体" w:hAnsi="宋体" w:eastAsia="宋体" w:cs="宋体"/>
          <w:b/>
          <w:color w:val="auto"/>
          <w:kern w:val="2"/>
          <w:sz w:val="21"/>
          <w:szCs w:val="21"/>
          <w:highlight w:val="none"/>
          <w:lang w:val="zh-CN"/>
        </w:rPr>
        <w:t>3、</w:t>
      </w:r>
      <w:r>
        <w:rPr>
          <w:rFonts w:hint="eastAsia" w:ascii="宋体" w:hAnsi="宋体" w:eastAsia="宋体" w:cs="宋体"/>
          <w:b/>
          <w:bCs/>
          <w:color w:val="auto"/>
          <w:kern w:val="2"/>
          <w:sz w:val="21"/>
          <w:highlight w:val="none"/>
          <w:lang w:val="zh-CN"/>
        </w:rPr>
        <w:t>磋商小组职责</w:t>
      </w:r>
    </w:p>
    <w:p w14:paraId="03E03D4B">
      <w:pPr>
        <w:spacing w:line="360" w:lineRule="auto"/>
        <w:ind w:left="424" w:leftChars="-1" w:hanging="426" w:hangingChars="203"/>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3.1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磋商小组成员应当按照客观、公正、审慎的原则，根据竞争性磋商文件规定的评审程序、评审</w:t>
      </w:r>
    </w:p>
    <w:p w14:paraId="09EEC9C1">
      <w:pPr>
        <w:spacing w:line="360" w:lineRule="auto"/>
        <w:ind w:firstLine="420" w:firstLineChars="20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方法和评审标准进行独立评审</w:t>
      </w:r>
      <w:r>
        <w:rPr>
          <w:rFonts w:hint="eastAsia" w:ascii="宋体" w:hAnsi="宋体" w:eastAsia="宋体" w:cs="宋体"/>
          <w:b w:val="0"/>
          <w:bCs w:val="0"/>
          <w:color w:val="auto"/>
          <w:sz w:val="21"/>
          <w:szCs w:val="21"/>
          <w:highlight w:val="none"/>
          <w:lang w:val="zh-CN"/>
        </w:rPr>
        <w:t>；</w:t>
      </w:r>
    </w:p>
    <w:p w14:paraId="53AB8983">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3.2 供应商</w:t>
      </w:r>
      <w:r>
        <w:rPr>
          <w:rFonts w:hint="eastAsia" w:ascii="宋体" w:hAnsi="宋体" w:eastAsia="宋体" w:cs="宋体"/>
          <w:b w:val="0"/>
          <w:bCs w:val="0"/>
          <w:color w:val="auto"/>
          <w:sz w:val="21"/>
          <w:szCs w:val="21"/>
          <w:highlight w:val="none"/>
        </w:rPr>
        <w:t>未实质性响应竞争性磋商文件的响应文件按无效响应处理，磋商小组应当告知提交响应文件的供应商</w:t>
      </w:r>
      <w:r>
        <w:rPr>
          <w:rFonts w:hint="eastAsia" w:ascii="宋体" w:hAnsi="宋体" w:eastAsia="宋体" w:cs="宋体"/>
          <w:b w:val="0"/>
          <w:bCs w:val="0"/>
          <w:color w:val="auto"/>
          <w:sz w:val="21"/>
          <w:szCs w:val="21"/>
          <w:highlight w:val="none"/>
          <w:lang w:val="zh-CN"/>
        </w:rPr>
        <w:t>；</w:t>
      </w:r>
    </w:p>
    <w:p w14:paraId="43665678">
      <w:pPr>
        <w:spacing w:line="360" w:lineRule="auto"/>
        <w:ind w:left="424" w:hanging="424" w:hangingChars="202"/>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3.3 竞争性磋商文件内容违反国家有关强制性规定的，磋商小组应当停止评审并</w:t>
      </w:r>
      <w:r>
        <w:rPr>
          <w:rFonts w:hint="eastAsia" w:ascii="宋体" w:hAnsi="宋体" w:eastAsia="宋体" w:cs="宋体"/>
          <w:b w:val="0"/>
          <w:bCs w:val="0"/>
          <w:color w:val="auto"/>
          <w:sz w:val="21"/>
          <w:szCs w:val="21"/>
          <w:highlight w:val="none"/>
          <w:lang w:val="en-US" w:eastAsia="zh-CN"/>
        </w:rPr>
        <w:t>记录</w:t>
      </w:r>
      <w:r>
        <w:rPr>
          <w:rFonts w:hint="eastAsia" w:ascii="宋体" w:hAnsi="宋体" w:eastAsia="宋体" w:cs="宋体"/>
          <w:b w:val="0"/>
          <w:bCs w:val="0"/>
          <w:color w:val="auto"/>
          <w:sz w:val="21"/>
          <w:szCs w:val="21"/>
          <w:highlight w:val="none"/>
          <w:lang w:val="zh-CN"/>
        </w:rPr>
        <w:t>；</w:t>
      </w:r>
    </w:p>
    <w:p w14:paraId="626FE088">
      <w:pPr>
        <w:tabs>
          <w:tab w:val="left" w:pos="675"/>
        </w:tabs>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3.4 推荐成交候选人名单</w:t>
      </w:r>
      <w:r>
        <w:rPr>
          <w:rFonts w:hint="eastAsia" w:ascii="宋体" w:hAnsi="宋体" w:eastAsia="宋体" w:cs="宋体"/>
          <w:color w:val="auto"/>
          <w:sz w:val="21"/>
          <w:szCs w:val="21"/>
          <w:highlight w:val="none"/>
          <w:lang w:val="zh-CN"/>
        </w:rPr>
        <w:t>及排序</w:t>
      </w:r>
      <w:r>
        <w:rPr>
          <w:rFonts w:hint="eastAsia" w:ascii="宋体" w:hAnsi="宋体" w:eastAsia="宋体" w:cs="宋体"/>
          <w:b w:val="0"/>
          <w:bCs w:val="0"/>
          <w:color w:val="auto"/>
          <w:sz w:val="21"/>
          <w:szCs w:val="21"/>
          <w:highlight w:val="none"/>
          <w:lang w:val="zh-CN"/>
        </w:rPr>
        <w:t>；</w:t>
      </w:r>
    </w:p>
    <w:p w14:paraId="70EB6A5A">
      <w:pPr>
        <w:spacing w:line="360" w:lineRule="auto"/>
        <w:ind w:left="567" w:hanging="567"/>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3.</w:t>
      </w:r>
      <w:r>
        <w:rPr>
          <w:rFonts w:hint="eastAsia" w:ascii="宋体" w:hAnsi="宋体" w:eastAsia="宋体" w:cs="宋体"/>
          <w:b w:val="0"/>
          <w:bCs w:val="0"/>
          <w:color w:val="auto"/>
          <w:sz w:val="21"/>
          <w:szCs w:val="21"/>
          <w:highlight w:val="none"/>
        </w:rPr>
        <w:t xml:space="preserve">5 </w:t>
      </w:r>
      <w:r>
        <w:rPr>
          <w:rFonts w:hint="eastAsia" w:ascii="宋体" w:hAnsi="宋体" w:eastAsia="宋体" w:cs="宋体"/>
          <w:b w:val="0"/>
          <w:bCs w:val="0"/>
          <w:color w:val="auto"/>
          <w:sz w:val="21"/>
          <w:szCs w:val="21"/>
          <w:highlight w:val="none"/>
          <w:lang w:val="zh-CN"/>
        </w:rPr>
        <w:t>向</w:t>
      </w:r>
      <w:r>
        <w:rPr>
          <w:rFonts w:hint="eastAsia" w:ascii="宋体" w:hAnsi="宋体" w:eastAsia="宋体" w:cs="宋体"/>
          <w:b w:val="0"/>
          <w:bCs w:val="0"/>
          <w:color w:val="auto"/>
          <w:sz w:val="21"/>
          <w:szCs w:val="21"/>
          <w:highlight w:val="none"/>
        </w:rPr>
        <w:t>采购</w:t>
      </w:r>
      <w:r>
        <w:rPr>
          <w:rFonts w:hint="eastAsia" w:ascii="宋体" w:hAnsi="宋体" w:eastAsia="宋体" w:cs="宋体"/>
          <w:b w:val="0"/>
          <w:bCs w:val="0"/>
          <w:color w:val="auto"/>
          <w:sz w:val="21"/>
          <w:szCs w:val="21"/>
          <w:highlight w:val="none"/>
          <w:lang w:val="zh-CN"/>
        </w:rPr>
        <w:t>人、</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val="zh-CN"/>
        </w:rPr>
        <w:t>代理机构</w:t>
      </w:r>
      <w:r>
        <w:rPr>
          <w:rFonts w:hint="eastAsia" w:ascii="宋体" w:hAnsi="宋体" w:eastAsia="宋体" w:cs="宋体"/>
          <w:b w:val="0"/>
          <w:bCs w:val="0"/>
          <w:color w:val="auto"/>
          <w:sz w:val="21"/>
          <w:szCs w:val="21"/>
          <w:highlight w:val="none"/>
          <w:lang w:val="zh-CN"/>
        </w:rPr>
        <w:t>或者有关部门报告非法干预评审工作的行为。</w:t>
      </w:r>
    </w:p>
    <w:p w14:paraId="0B533382">
      <w:pPr>
        <w:spacing w:line="360" w:lineRule="auto"/>
        <w:rPr>
          <w:rFonts w:hint="eastAsia" w:ascii="宋体" w:hAnsi="宋体" w:eastAsia="宋体" w:cs="宋体"/>
          <w:color w:val="auto"/>
          <w:highlight w:val="none"/>
          <w:lang w:val="zh-CN"/>
        </w:rPr>
      </w:pPr>
    </w:p>
    <w:p w14:paraId="50AD5B09">
      <w:pPr>
        <w:tabs>
          <w:tab w:val="left" w:pos="405"/>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4、</w:t>
      </w:r>
      <w:r>
        <w:rPr>
          <w:rFonts w:hint="eastAsia" w:ascii="宋体" w:hAnsi="宋体" w:eastAsia="宋体" w:cs="宋体"/>
          <w:b/>
          <w:bCs/>
          <w:color w:val="auto"/>
          <w:kern w:val="2"/>
          <w:sz w:val="21"/>
          <w:highlight w:val="none"/>
          <w:lang w:val="zh-CN"/>
        </w:rPr>
        <w:tab/>
      </w:r>
      <w:r>
        <w:rPr>
          <w:rFonts w:hint="eastAsia" w:ascii="宋体" w:hAnsi="宋体" w:eastAsia="宋体" w:cs="宋体"/>
          <w:b/>
          <w:bCs/>
          <w:color w:val="auto"/>
          <w:kern w:val="2"/>
          <w:sz w:val="21"/>
          <w:highlight w:val="none"/>
          <w:lang w:val="zh-CN"/>
        </w:rPr>
        <w:t>磋商小组</w:t>
      </w:r>
      <w:r>
        <w:rPr>
          <w:rFonts w:hint="eastAsia" w:ascii="宋体" w:hAnsi="宋体" w:eastAsia="宋体" w:cs="宋体"/>
          <w:b/>
          <w:bCs/>
          <w:color w:val="auto"/>
          <w:kern w:val="2"/>
          <w:sz w:val="21"/>
          <w:szCs w:val="21"/>
          <w:highlight w:val="none"/>
          <w:lang w:val="zh-CN"/>
        </w:rPr>
        <w:t>义务</w:t>
      </w:r>
    </w:p>
    <w:p w14:paraId="3B9B3524">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4.1 遵纪守法，客观、公正、廉洁地履行职责；</w:t>
      </w:r>
    </w:p>
    <w:p w14:paraId="477E2390">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4.2 按照竞争性磋商文件规定的评审方法和评审标准进行评审，对评审意见承担个人责任；</w:t>
      </w:r>
    </w:p>
    <w:p w14:paraId="0086A368">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4.3 对磋商过程和结果，以及供应商的商业秘密保密；</w:t>
      </w:r>
    </w:p>
    <w:p w14:paraId="1196E7D5">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4.4 参与评审报告的起草；</w:t>
      </w:r>
    </w:p>
    <w:p w14:paraId="5388BDA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4.5 配合有关部门的投诉处理工作；</w:t>
      </w:r>
    </w:p>
    <w:p w14:paraId="71A8B3AE">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4.6 配合</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人、</w:t>
      </w:r>
      <w:r>
        <w:rPr>
          <w:rFonts w:hint="eastAsia" w:ascii="宋体" w:hAnsi="宋体" w:eastAsia="宋体" w:cs="宋体"/>
          <w:color w:val="auto"/>
          <w:sz w:val="21"/>
          <w:highlight w:val="none"/>
          <w:lang w:val="en-US" w:eastAsia="zh-CN"/>
        </w:rPr>
        <w:t>采购</w:t>
      </w:r>
      <w:r>
        <w:rPr>
          <w:rFonts w:hint="eastAsia" w:ascii="宋体" w:hAnsi="宋体" w:eastAsia="宋体" w:cs="宋体"/>
          <w:color w:val="auto"/>
          <w:sz w:val="21"/>
          <w:highlight w:val="none"/>
          <w:lang w:val="zh-CN"/>
        </w:rPr>
        <w:t>代理机构答复供应商提出的</w:t>
      </w:r>
      <w:r>
        <w:rPr>
          <w:rFonts w:hint="eastAsia" w:ascii="宋体" w:hAnsi="宋体" w:eastAsia="宋体" w:cs="宋体"/>
          <w:color w:val="auto"/>
          <w:sz w:val="21"/>
          <w:highlight w:val="none"/>
          <w:lang w:val="en-US" w:eastAsia="zh-CN"/>
        </w:rPr>
        <w:t>异议</w:t>
      </w:r>
      <w:r>
        <w:rPr>
          <w:rFonts w:hint="eastAsia" w:ascii="宋体" w:hAnsi="宋体" w:eastAsia="宋体" w:cs="宋体"/>
          <w:color w:val="auto"/>
          <w:sz w:val="21"/>
          <w:highlight w:val="none"/>
          <w:lang w:val="zh-CN"/>
        </w:rPr>
        <w:t>。</w:t>
      </w:r>
    </w:p>
    <w:p w14:paraId="76B312EC">
      <w:pPr>
        <w:spacing w:line="360" w:lineRule="auto"/>
        <w:rPr>
          <w:rFonts w:hint="eastAsia" w:ascii="宋体" w:hAnsi="宋体" w:eastAsia="宋体" w:cs="宋体"/>
          <w:color w:val="auto"/>
          <w:highlight w:val="none"/>
          <w:lang w:val="zh-CN"/>
        </w:rPr>
      </w:pPr>
    </w:p>
    <w:p w14:paraId="4311D22C">
      <w:pPr>
        <w:tabs>
          <w:tab w:val="left" w:pos="1547"/>
        </w:tabs>
        <w:spacing w:line="360" w:lineRule="auto"/>
        <w:jc w:val="both"/>
        <w:rPr>
          <w:rFonts w:hint="eastAsia" w:ascii="宋体" w:hAnsi="宋体" w:eastAsia="宋体" w:cs="宋体"/>
          <w:b/>
          <w:bCs/>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5、</w:t>
      </w:r>
      <w:r>
        <w:rPr>
          <w:rFonts w:hint="eastAsia" w:ascii="宋体" w:hAnsi="宋体" w:cs="宋体"/>
          <w:b/>
          <w:bCs/>
          <w:color w:val="auto"/>
          <w:kern w:val="2"/>
          <w:sz w:val="21"/>
          <w:szCs w:val="21"/>
          <w:highlight w:val="none"/>
          <w:lang w:val="en-US" w:eastAsia="zh-CN"/>
        </w:rPr>
        <w:t>评审</w:t>
      </w:r>
      <w:r>
        <w:rPr>
          <w:rFonts w:hint="eastAsia" w:ascii="宋体" w:hAnsi="宋体" w:eastAsia="宋体" w:cs="宋体"/>
          <w:b/>
          <w:bCs/>
          <w:color w:val="auto"/>
          <w:kern w:val="2"/>
          <w:sz w:val="21"/>
          <w:szCs w:val="21"/>
          <w:highlight w:val="none"/>
          <w:lang w:val="zh-CN"/>
        </w:rPr>
        <w:t>程序</w:t>
      </w:r>
    </w:p>
    <w:p w14:paraId="07EE245D">
      <w:pPr>
        <w:spacing w:line="360" w:lineRule="auto"/>
        <w:ind w:left="426" w:hanging="426"/>
        <w:jc w:val="both"/>
        <w:rPr>
          <w:rFonts w:hint="default" w:ascii="宋体" w:hAnsi="宋体" w:eastAsia="宋体" w:cs="宋体"/>
          <w:b/>
          <w:bCs w:val="0"/>
          <w:color w:val="auto"/>
          <w:kern w:val="2"/>
          <w:sz w:val="21"/>
          <w:highlight w:val="none"/>
          <w:lang w:val="en-US" w:eastAsia="zh-CN"/>
        </w:rPr>
      </w:pPr>
      <w:r>
        <w:rPr>
          <w:rFonts w:hint="eastAsia" w:ascii="宋体" w:hAnsi="宋体" w:cs="宋体"/>
          <w:b/>
          <w:bCs w:val="0"/>
          <w:color w:val="auto"/>
          <w:kern w:val="2"/>
          <w:sz w:val="21"/>
          <w:highlight w:val="none"/>
          <w:lang w:val="en-US" w:eastAsia="zh-CN"/>
        </w:rPr>
        <w:t>A 竞争性磋商</w:t>
      </w:r>
    </w:p>
    <w:p w14:paraId="2EB6FBB9">
      <w:pPr>
        <w:spacing w:line="360" w:lineRule="auto"/>
        <w:ind w:left="426" w:hanging="426"/>
        <w:jc w:val="both"/>
        <w:rPr>
          <w:rFonts w:hint="eastAsia" w:ascii="宋体" w:hAnsi="宋体" w:eastAsia="宋体" w:cs="宋体"/>
          <w:bCs/>
          <w:color w:val="auto"/>
          <w:kern w:val="2"/>
          <w:sz w:val="21"/>
          <w:highlight w:val="none"/>
          <w:lang w:val="zh-CN"/>
        </w:rPr>
      </w:pPr>
      <w:r>
        <w:rPr>
          <w:rFonts w:hint="eastAsia" w:ascii="宋体" w:hAnsi="宋体" w:eastAsia="宋体" w:cs="宋体"/>
          <w:bCs/>
          <w:color w:val="auto"/>
          <w:kern w:val="2"/>
          <w:sz w:val="21"/>
          <w:highlight w:val="none"/>
          <w:lang w:val="zh-CN"/>
        </w:rPr>
        <w:t>5.1</w:t>
      </w:r>
      <w:r>
        <w:rPr>
          <w:rFonts w:hint="eastAsia" w:ascii="宋体" w:hAnsi="宋体" w:eastAsia="宋体" w:cs="宋体"/>
          <w:bCs/>
          <w:color w:val="auto"/>
          <w:kern w:val="2"/>
          <w:sz w:val="21"/>
          <w:highlight w:val="none"/>
          <w:lang w:val="en-US" w:eastAsia="zh-CN"/>
        </w:rPr>
        <w:t xml:space="preserve"> 评审</w:t>
      </w:r>
      <w:r>
        <w:rPr>
          <w:rFonts w:hint="eastAsia" w:ascii="宋体" w:hAnsi="宋体" w:eastAsia="宋体" w:cs="宋体"/>
          <w:bCs/>
          <w:color w:val="auto"/>
          <w:kern w:val="2"/>
          <w:sz w:val="21"/>
          <w:highlight w:val="none"/>
          <w:lang w:val="zh-CN"/>
        </w:rPr>
        <w:t>首先由磋商小组对供应商的响应文件</w:t>
      </w:r>
      <w:r>
        <w:rPr>
          <w:rFonts w:hint="eastAsia" w:ascii="宋体" w:hAnsi="宋体" w:eastAsia="宋体" w:cs="宋体"/>
          <w:bCs/>
          <w:color w:val="auto"/>
          <w:kern w:val="2"/>
          <w:sz w:val="21"/>
          <w:highlight w:val="none"/>
          <w:lang w:val="en-US" w:eastAsia="zh-CN"/>
        </w:rPr>
        <w:t>做资格性检查</w:t>
      </w:r>
      <w:r>
        <w:rPr>
          <w:rFonts w:hint="eastAsia" w:ascii="宋体" w:hAnsi="宋体" w:eastAsia="宋体" w:cs="宋体"/>
          <w:b w:val="0"/>
          <w:bCs/>
          <w:color w:val="auto"/>
          <w:kern w:val="2"/>
          <w:sz w:val="21"/>
          <w:highlight w:val="none"/>
          <w:lang w:val="en-US" w:eastAsia="zh-CN"/>
        </w:rPr>
        <w:t>，对未能通过初审的响应文件不再进入下一阶段磋商。</w:t>
      </w:r>
    </w:p>
    <w:p w14:paraId="42D021F1">
      <w:pPr>
        <w:spacing w:line="360" w:lineRule="auto"/>
        <w:ind w:left="426" w:hanging="426"/>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 xml:space="preserve">5.2 </w:t>
      </w:r>
      <w:r>
        <w:rPr>
          <w:rFonts w:hint="eastAsia" w:ascii="宋体" w:hAnsi="宋体" w:eastAsia="宋体" w:cs="宋体"/>
          <w:color w:val="auto"/>
          <w:kern w:val="2"/>
          <w:sz w:val="21"/>
          <w:szCs w:val="21"/>
          <w:highlight w:val="none"/>
          <w:lang w:val="zh-CN"/>
        </w:rPr>
        <w:t>磋商小组将集中与单一通过初审的供应商（以响应供应商签到</w:t>
      </w:r>
      <w:r>
        <w:rPr>
          <w:rFonts w:hint="eastAsia" w:ascii="宋体" w:hAnsi="宋体" w:eastAsia="宋体" w:cs="宋体"/>
          <w:color w:val="auto"/>
          <w:kern w:val="2"/>
          <w:sz w:val="21"/>
          <w:szCs w:val="21"/>
          <w:highlight w:val="none"/>
          <w:lang w:val="en-US" w:eastAsia="zh-CN"/>
        </w:rPr>
        <w:t>时间</w:t>
      </w:r>
      <w:r>
        <w:rPr>
          <w:rFonts w:hint="eastAsia" w:ascii="宋体" w:hAnsi="宋体" w:eastAsia="宋体" w:cs="宋体"/>
          <w:color w:val="auto"/>
          <w:kern w:val="2"/>
          <w:sz w:val="21"/>
          <w:szCs w:val="21"/>
          <w:highlight w:val="none"/>
          <w:lang w:val="zh-CN"/>
        </w:rPr>
        <w:t>顺序为准）分别进行</w:t>
      </w:r>
      <w:r>
        <w:rPr>
          <w:rFonts w:hint="eastAsia" w:ascii="宋体" w:hAnsi="宋体" w:eastAsia="宋体" w:cs="宋体"/>
          <w:color w:val="auto"/>
          <w:kern w:val="2"/>
          <w:sz w:val="21"/>
          <w:szCs w:val="21"/>
          <w:highlight w:val="none"/>
          <w:lang w:val="en-US" w:eastAsia="zh-CN"/>
        </w:rPr>
        <w:t>现场</w:t>
      </w:r>
      <w:r>
        <w:rPr>
          <w:rFonts w:hint="eastAsia" w:ascii="宋体" w:hAnsi="宋体" w:eastAsia="宋体" w:cs="宋体"/>
          <w:color w:val="auto"/>
          <w:kern w:val="2"/>
          <w:sz w:val="21"/>
          <w:szCs w:val="21"/>
          <w:highlight w:val="none"/>
          <w:lang w:val="zh-CN"/>
        </w:rPr>
        <w:t>磋商，并给予所有参加磋商的响应供应商平等的磋商机会。</w:t>
      </w:r>
      <w:r>
        <w:rPr>
          <w:rFonts w:hint="eastAsia" w:ascii="宋体" w:hAnsi="宋体" w:eastAsia="宋体" w:cs="宋体"/>
          <w:color w:val="auto"/>
          <w:kern w:val="2"/>
          <w:sz w:val="21"/>
          <w:szCs w:val="21"/>
          <w:highlight w:val="none"/>
          <w:lang w:val="en-US" w:eastAsia="zh-CN"/>
        </w:rPr>
        <w:t>如需要，进行必要的澄清工作。</w:t>
      </w:r>
    </w:p>
    <w:p w14:paraId="37E10E03">
      <w:pPr>
        <w:spacing w:line="360" w:lineRule="auto"/>
        <w:ind w:left="424" w:hanging="424" w:hangingChars="202"/>
        <w:jc w:val="both"/>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3</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磋商小组将逐一对响应文件初审合格的供应商首次报价进行磋商。</w:t>
      </w:r>
    </w:p>
    <w:p w14:paraId="5C553178">
      <w:pPr>
        <w:spacing w:line="360" w:lineRule="auto"/>
        <w:ind w:left="424" w:hanging="424" w:hangingChars="202"/>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rPr>
        <w:t>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eastAsia="宋体" w:cs="宋体"/>
          <w:color w:val="auto"/>
          <w:kern w:val="2"/>
          <w:sz w:val="21"/>
          <w:highlight w:val="none"/>
          <w:lang w:val="en-US" w:eastAsia="zh-CN"/>
        </w:rPr>
        <w:t>须经采购人确认，</w:t>
      </w:r>
      <w:r>
        <w:rPr>
          <w:rFonts w:hint="eastAsia" w:ascii="宋体" w:hAnsi="宋体" w:eastAsia="宋体" w:cs="宋体"/>
          <w:color w:val="auto"/>
          <w:kern w:val="2"/>
          <w:sz w:val="21"/>
          <w:highlight w:val="none"/>
        </w:rPr>
        <w:t>对竞争性磋商文件作出的实质性变动是竞争性磋商文件的有效组成部分，磋商小组应当及时以书面形式同时通知所有参加磋商的供应商。</w:t>
      </w:r>
    </w:p>
    <w:p w14:paraId="524B974D">
      <w:pPr>
        <w:spacing w:line="360" w:lineRule="auto"/>
        <w:ind w:left="424" w:hanging="424" w:hangingChars="202"/>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5</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kern w:val="2"/>
          <w:sz w:val="21"/>
          <w:highlight w:val="none"/>
          <w:lang w:val="en-US" w:eastAsia="zh-CN"/>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7F2F534">
      <w:pPr>
        <w:spacing w:line="360" w:lineRule="auto"/>
        <w:ind w:left="462" w:leftChars="0" w:hanging="462" w:hangingChars="220"/>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5.6</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b w:val="0"/>
          <w:bCs w:val="0"/>
          <w:color w:val="auto"/>
          <w:kern w:val="2"/>
          <w:sz w:val="21"/>
          <w:szCs w:val="21"/>
          <w:highlight w:val="none"/>
          <w:u w:val="none"/>
          <w:lang w:val="zh-CN" w:eastAsia="zh-CN"/>
        </w:rPr>
        <w:t>竞争性磋商文件能够详细列明采购标的的技术、服务要求的，</w:t>
      </w:r>
      <w:r>
        <w:rPr>
          <w:rFonts w:hint="eastAsia" w:ascii="宋体" w:hAnsi="宋体" w:eastAsia="宋体" w:cs="宋体"/>
          <w:b w:val="0"/>
          <w:bCs w:val="0"/>
          <w:color w:val="auto"/>
          <w:kern w:val="2"/>
          <w:sz w:val="21"/>
          <w:szCs w:val="21"/>
          <w:highlight w:val="none"/>
          <w:u w:val="none"/>
          <w:lang w:val="zh-CN"/>
        </w:rPr>
        <w:t>磋商结束后，所有作出实质性响应的有效供应商应在规定的时间内集中密封提交最后报价（</w:t>
      </w:r>
      <w:r>
        <w:rPr>
          <w:rFonts w:hint="eastAsia" w:ascii="宋体" w:hAnsi="宋体" w:eastAsia="宋体" w:cs="宋体"/>
          <w:b w:val="0"/>
          <w:bCs w:val="0"/>
          <w:color w:val="auto"/>
          <w:kern w:val="2"/>
          <w:sz w:val="21"/>
          <w:szCs w:val="21"/>
          <w:highlight w:val="none"/>
          <w:u w:val="none"/>
          <w:lang w:val="en-US" w:eastAsia="zh-CN"/>
        </w:rPr>
        <w:t>最后报价时间视磋商进程由磋商小组决定</w:t>
      </w:r>
      <w:r>
        <w:rPr>
          <w:rFonts w:hint="eastAsia" w:ascii="宋体" w:hAnsi="宋体" w:eastAsia="宋体" w:cs="宋体"/>
          <w:b w:val="0"/>
          <w:bCs w:val="0"/>
          <w:color w:val="auto"/>
          <w:kern w:val="2"/>
          <w:sz w:val="21"/>
          <w:szCs w:val="21"/>
          <w:highlight w:val="none"/>
          <w:u w:val="none"/>
          <w:lang w:val="zh-CN"/>
        </w:rPr>
        <w:t>），最后报价是供应商响应文件的有效组成部分。</w:t>
      </w:r>
      <w:r>
        <w:rPr>
          <w:rFonts w:hint="eastAsia" w:ascii="宋体" w:hAnsi="宋体" w:eastAsia="宋体" w:cs="宋体"/>
          <w:b/>
          <w:bCs/>
          <w:color w:val="auto"/>
          <w:kern w:val="2"/>
          <w:sz w:val="21"/>
          <w:szCs w:val="21"/>
          <w:highlight w:val="none"/>
          <w:u w:val="single"/>
          <w:lang w:val="zh-CN"/>
        </w:rPr>
        <w:t>如在磋商中磋商小组没有对本磋商文件作实质性变动增加新的需求，后一轮报价不得高于前一轮报价</w:t>
      </w:r>
      <w:r>
        <w:rPr>
          <w:rFonts w:hint="eastAsia" w:ascii="宋体" w:hAnsi="宋体" w:eastAsia="宋体" w:cs="宋体"/>
          <w:color w:val="auto"/>
          <w:kern w:val="2"/>
          <w:sz w:val="21"/>
          <w:szCs w:val="21"/>
          <w:highlight w:val="none"/>
          <w:lang w:val="zh-CN"/>
        </w:rPr>
        <w:t>。</w:t>
      </w:r>
    </w:p>
    <w:p w14:paraId="3892FCC2">
      <w:pPr>
        <w:spacing w:line="360" w:lineRule="auto"/>
        <w:ind w:left="424" w:leftChars="-12" w:hanging="453" w:hangingChars="216"/>
        <w:jc w:val="both"/>
        <w:rPr>
          <w:rFonts w:hint="eastAsia" w:ascii="宋体" w:hAnsi="宋体" w:eastAsia="宋体" w:cs="宋体"/>
          <w:bCs/>
          <w:color w:val="auto"/>
          <w:kern w:val="2"/>
          <w:sz w:val="21"/>
          <w:highlight w:val="none"/>
          <w:lang w:val="zh-CN"/>
        </w:rPr>
      </w:pPr>
      <w:r>
        <w:rPr>
          <w:rFonts w:hint="eastAsia" w:ascii="宋体" w:hAnsi="宋体" w:eastAsia="宋体" w:cs="宋体"/>
          <w:color w:val="auto"/>
          <w:kern w:val="2"/>
          <w:sz w:val="21"/>
          <w:highlight w:val="none"/>
          <w:u w:val="none"/>
          <w:lang w:val="zh-CN"/>
        </w:rPr>
        <w:t>5.</w:t>
      </w:r>
      <w:r>
        <w:rPr>
          <w:rFonts w:hint="eastAsia" w:ascii="宋体" w:hAnsi="宋体" w:eastAsia="宋体" w:cs="宋体"/>
          <w:color w:val="auto"/>
          <w:kern w:val="2"/>
          <w:sz w:val="21"/>
          <w:highlight w:val="none"/>
          <w:u w:val="none"/>
          <w:lang w:val="en-US" w:eastAsia="zh-CN"/>
        </w:rPr>
        <w:t>7</w:t>
      </w:r>
      <w:r>
        <w:rPr>
          <w:rFonts w:hint="eastAsia" w:ascii="宋体" w:hAnsi="宋体" w:eastAsia="宋体" w:cs="宋体"/>
          <w:color w:val="auto"/>
          <w:kern w:val="2"/>
          <w:sz w:val="21"/>
          <w:highlight w:val="none"/>
          <w:u w:val="none"/>
          <w:lang w:val="zh-CN"/>
        </w:rPr>
        <w:t xml:space="preserve"> </w:t>
      </w:r>
      <w:r>
        <w:rPr>
          <w:rFonts w:hint="eastAsia" w:ascii="宋体" w:hAnsi="宋体" w:eastAsia="宋体" w:cs="宋体"/>
          <w:color w:val="auto"/>
          <w:kern w:val="2"/>
          <w:sz w:val="21"/>
          <w:highlight w:val="none"/>
          <w:u w:val="none"/>
          <w:lang w:val="en-US" w:eastAsia="zh-CN"/>
        </w:rPr>
        <w:t>根据评分标准以及各项权重，磋商小组各成员单独就每个供应商的商务状况、技术状况进行比较和评价，评出其商务得分和技术得分。</w:t>
      </w:r>
    </w:p>
    <w:p w14:paraId="5A9D50CD">
      <w:pPr>
        <w:spacing w:line="360" w:lineRule="auto"/>
        <w:ind w:left="426" w:hanging="426"/>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5.</w:t>
      </w:r>
      <w:r>
        <w:rPr>
          <w:rFonts w:hint="eastAsia" w:ascii="宋体" w:hAnsi="宋体" w:eastAsia="宋体" w:cs="宋体"/>
          <w:color w:val="auto"/>
          <w:kern w:val="2"/>
          <w:sz w:val="21"/>
          <w:highlight w:val="none"/>
          <w:lang w:val="en-US" w:eastAsia="zh-CN"/>
        </w:rPr>
        <w:t>8</w:t>
      </w:r>
      <w:r>
        <w:rPr>
          <w:rFonts w:hint="eastAsia" w:ascii="宋体" w:hAnsi="宋体" w:eastAsia="宋体" w:cs="宋体"/>
          <w:color w:val="auto"/>
          <w:kern w:val="2"/>
          <w:sz w:val="21"/>
          <w:highlight w:val="none"/>
          <w:lang w:val="zh-CN"/>
        </w:rPr>
        <w:t xml:space="preserve"> 对有效供应商的磋商报价进行审查和价格评分。</w:t>
      </w:r>
    </w:p>
    <w:p w14:paraId="318D562A">
      <w:pPr>
        <w:keepNext w:val="0"/>
        <w:keepLines w:val="0"/>
        <w:pageBreakBefore w:val="0"/>
        <w:widowControl w:val="0"/>
        <w:kinsoku/>
        <w:wordWrap/>
        <w:overflowPunct/>
        <w:topLinePunct w:val="0"/>
        <w:autoSpaceDE w:val="0"/>
        <w:autoSpaceDN w:val="0"/>
        <w:bidi w:val="0"/>
        <w:adjustRightInd w:val="0"/>
        <w:snapToGrid/>
        <w:spacing w:line="360" w:lineRule="auto"/>
        <w:ind w:left="422" w:right="51" w:hanging="424" w:hangingChars="201"/>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lang w:val="zh-CN"/>
        </w:rPr>
        <w:t>5.</w:t>
      </w:r>
      <w:r>
        <w:rPr>
          <w:rFonts w:hint="eastAsia" w:ascii="宋体" w:hAnsi="宋体" w:eastAsia="宋体" w:cs="宋体"/>
          <w:b/>
          <w:bCs/>
          <w:color w:val="auto"/>
          <w:kern w:val="2"/>
          <w:sz w:val="21"/>
          <w:highlight w:val="none"/>
          <w:lang w:val="en-US" w:eastAsia="zh-CN"/>
        </w:rPr>
        <w:t>9</w:t>
      </w:r>
      <w:r>
        <w:rPr>
          <w:rFonts w:hint="eastAsia" w:ascii="宋体" w:hAnsi="宋体" w:eastAsia="宋体" w:cs="宋体"/>
          <w:b/>
          <w:bCs/>
          <w:color w:val="auto"/>
          <w:kern w:val="2"/>
          <w:sz w:val="21"/>
          <w:highlight w:val="none"/>
          <w:lang w:val="zh-CN"/>
        </w:rPr>
        <w:t xml:space="preserve"> </w:t>
      </w:r>
      <w:r>
        <w:rPr>
          <w:rFonts w:hint="eastAsia" w:ascii="宋体" w:hAnsi="宋体" w:eastAsia="宋体" w:cs="宋体"/>
          <w:b/>
          <w:bCs/>
          <w:color w:val="auto"/>
          <w:kern w:val="2"/>
          <w:sz w:val="21"/>
          <w:highlight w:val="none"/>
          <w:u w:val="single"/>
          <w:lang w:val="zh-CN"/>
        </w:rPr>
        <w:t>磋商小组</w:t>
      </w:r>
      <w:r>
        <w:rPr>
          <w:rFonts w:hint="eastAsia" w:ascii="宋体" w:hAnsi="宋体" w:eastAsia="宋体" w:cs="宋体"/>
          <w:b/>
          <w:bCs/>
          <w:color w:val="auto"/>
          <w:sz w:val="21"/>
          <w:szCs w:val="21"/>
          <w:highlight w:val="none"/>
          <w:u w:val="single"/>
        </w:rPr>
        <w:t>将向采购人推荐</w:t>
      </w:r>
      <w:r>
        <w:rPr>
          <w:rFonts w:hint="eastAsia" w:ascii="宋体" w:hAnsi="宋体" w:eastAsia="宋体" w:cs="宋体"/>
          <w:b/>
          <w:bCs/>
          <w:color w:val="auto"/>
          <w:sz w:val="21"/>
          <w:szCs w:val="21"/>
          <w:highlight w:val="none"/>
          <w:u w:val="single"/>
          <w:lang w:eastAsia="zh-CN"/>
        </w:rPr>
        <w:t>评审</w:t>
      </w:r>
      <w:r>
        <w:rPr>
          <w:rFonts w:hint="eastAsia" w:ascii="宋体" w:hAnsi="宋体" w:eastAsia="宋体" w:cs="宋体"/>
          <w:b/>
          <w:bCs/>
          <w:color w:val="auto"/>
          <w:sz w:val="21"/>
          <w:szCs w:val="21"/>
          <w:highlight w:val="none"/>
          <w:u w:val="single"/>
        </w:rPr>
        <w:t>最后综合得分最高</w:t>
      </w:r>
      <w:r>
        <w:rPr>
          <w:rFonts w:hint="eastAsia" w:ascii="宋体" w:hAnsi="宋体" w:cs="宋体"/>
          <w:b/>
          <w:bCs/>
          <w:color w:val="auto"/>
          <w:sz w:val="21"/>
          <w:szCs w:val="21"/>
          <w:highlight w:val="none"/>
          <w:u w:val="single"/>
          <w:lang w:val="en-US" w:eastAsia="zh-CN"/>
        </w:rPr>
        <w:t>的前二名</w:t>
      </w:r>
      <w:r>
        <w:rPr>
          <w:rFonts w:hint="eastAsia" w:ascii="宋体" w:hAnsi="宋体" w:eastAsia="宋体" w:cs="宋体"/>
          <w:b/>
          <w:bCs/>
          <w:color w:val="auto"/>
          <w:kern w:val="2"/>
          <w:sz w:val="21"/>
          <w:highlight w:val="none"/>
          <w:u w:val="single"/>
          <w:lang w:val="en-US" w:eastAsia="zh-CN"/>
        </w:rPr>
        <w:t>供应商</w:t>
      </w:r>
      <w:r>
        <w:rPr>
          <w:rFonts w:hint="eastAsia" w:ascii="宋体" w:hAnsi="宋体" w:eastAsia="宋体" w:cs="宋体"/>
          <w:b/>
          <w:bCs/>
          <w:color w:val="auto"/>
          <w:kern w:val="2"/>
          <w:sz w:val="21"/>
          <w:highlight w:val="none"/>
          <w:u w:val="single"/>
        </w:rPr>
        <w:t>为</w:t>
      </w:r>
      <w:r>
        <w:rPr>
          <w:rFonts w:hint="eastAsia" w:ascii="宋体" w:hAnsi="宋体" w:eastAsia="宋体" w:cs="宋体"/>
          <w:b/>
          <w:bCs/>
          <w:color w:val="auto"/>
          <w:sz w:val="21"/>
          <w:szCs w:val="21"/>
          <w:highlight w:val="none"/>
          <w:u w:val="single"/>
          <w:lang w:val="en-US" w:eastAsia="zh-CN"/>
        </w:rPr>
        <w:t>成交</w:t>
      </w:r>
      <w:r>
        <w:rPr>
          <w:rFonts w:hint="eastAsia" w:ascii="宋体" w:hAnsi="宋体" w:eastAsia="宋体" w:cs="宋体"/>
          <w:b/>
          <w:bCs/>
          <w:color w:val="auto"/>
          <w:sz w:val="21"/>
          <w:szCs w:val="21"/>
          <w:highlight w:val="none"/>
          <w:u w:val="single"/>
        </w:rPr>
        <w:t>候选人</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并标明排列顺序</w:t>
      </w:r>
      <w:r>
        <w:rPr>
          <w:rFonts w:hint="eastAsia" w:ascii="宋体" w:hAnsi="宋体" w:eastAsia="宋体" w:cs="宋体"/>
          <w:b/>
          <w:bCs/>
          <w:color w:val="auto"/>
          <w:kern w:val="2"/>
          <w:sz w:val="21"/>
          <w:highlight w:val="none"/>
          <w:lang w:val="zh-CN"/>
        </w:rPr>
        <w:t>。</w:t>
      </w:r>
    </w:p>
    <w:p w14:paraId="2250B13C">
      <w:pPr>
        <w:tabs>
          <w:tab w:val="left" w:pos="360"/>
        </w:tabs>
        <w:spacing w:line="360" w:lineRule="auto"/>
        <w:ind w:left="645" w:right="51" w:hanging="644" w:hangingChars="307"/>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highlight w:val="none"/>
          <w:lang w:val="zh-CN"/>
        </w:rPr>
        <w:t>5.</w:t>
      </w:r>
      <w:r>
        <w:rPr>
          <w:rFonts w:hint="eastAsia" w:ascii="宋体" w:hAnsi="宋体" w:eastAsia="宋体" w:cs="宋体"/>
          <w:color w:val="auto"/>
          <w:kern w:val="2"/>
          <w:sz w:val="21"/>
          <w:highlight w:val="none"/>
          <w:lang w:val="zh-CN"/>
        </w:rPr>
        <w:t>1</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 xml:space="preserve"> </w:t>
      </w:r>
      <w:r>
        <w:rPr>
          <w:rFonts w:hint="eastAsia" w:ascii="宋体" w:hAnsi="宋体" w:eastAsia="宋体" w:cs="宋体"/>
          <w:color w:val="auto"/>
          <w:sz w:val="21"/>
          <w:highlight w:val="none"/>
          <w:lang w:val="zh-CN"/>
        </w:rPr>
        <w:t>磋商小组</w:t>
      </w:r>
      <w:r>
        <w:rPr>
          <w:rFonts w:hint="eastAsia" w:ascii="宋体" w:hAnsi="宋体" w:eastAsia="宋体" w:cs="宋体"/>
          <w:color w:val="auto"/>
          <w:kern w:val="2"/>
          <w:sz w:val="21"/>
          <w:highlight w:val="none"/>
          <w:lang w:val="zh-CN"/>
        </w:rPr>
        <w:t>根据评审结果编写评审报告。</w:t>
      </w:r>
    </w:p>
    <w:p w14:paraId="3F11ED81">
      <w:pPr>
        <w:spacing w:line="360" w:lineRule="auto"/>
        <w:ind w:left="426" w:hanging="426"/>
        <w:jc w:val="both"/>
        <w:rPr>
          <w:rFonts w:hint="default" w:ascii="宋体" w:hAnsi="宋体" w:eastAsia="宋体" w:cs="宋体"/>
          <w:b/>
          <w:bCs w:val="0"/>
          <w:color w:val="auto"/>
          <w:kern w:val="2"/>
          <w:sz w:val="21"/>
          <w:highlight w:val="none"/>
          <w:lang w:val="en-US" w:eastAsia="zh-CN"/>
        </w:rPr>
      </w:pPr>
      <w:r>
        <w:rPr>
          <w:rFonts w:hint="eastAsia" w:ascii="宋体" w:hAnsi="宋体" w:cs="宋体"/>
          <w:b/>
          <w:bCs w:val="0"/>
          <w:color w:val="auto"/>
          <w:kern w:val="2"/>
          <w:sz w:val="21"/>
          <w:highlight w:val="none"/>
          <w:lang w:val="en-US" w:eastAsia="zh-CN"/>
        </w:rPr>
        <w:t>B 单一来源</w:t>
      </w:r>
    </w:p>
    <w:p w14:paraId="0288CD73">
      <w:pPr>
        <w:autoSpaceDE w:val="0"/>
        <w:autoSpaceDN w:val="0"/>
        <w:adjustRightInd w:val="0"/>
        <w:spacing w:line="360" w:lineRule="auto"/>
        <w:ind w:left="518" w:hanging="518"/>
        <w:jc w:val="both"/>
        <w:rPr>
          <w:rFonts w:ascii="宋体" w:hAnsi="宋体" w:eastAsia="宋体" w:cs="Times New Roman"/>
          <w:kern w:val="2"/>
          <w:sz w:val="21"/>
          <w:szCs w:val="21"/>
        </w:rPr>
      </w:pPr>
      <w:r>
        <w:rPr>
          <w:rFonts w:hint="eastAsia" w:ascii="宋体" w:hAnsi="宋体" w:eastAsia="宋体" w:cs="Times New Roman"/>
          <w:kern w:val="2"/>
          <w:sz w:val="21"/>
          <w:szCs w:val="21"/>
        </w:rPr>
        <w:t>5.1</w:t>
      </w:r>
      <w:r>
        <w:rPr>
          <w:rFonts w:hint="eastAsia" w:ascii="宋体" w:hAnsi="宋体" w:eastAsia="宋体" w:cs="Times New Roman"/>
          <w:kern w:val="2"/>
          <w:sz w:val="21"/>
          <w:szCs w:val="21"/>
          <w:lang w:val="en-US" w:eastAsia="zh-CN"/>
        </w:rPr>
        <w:t>1</w:t>
      </w:r>
      <w:r>
        <w:rPr>
          <w:rFonts w:hint="eastAsia" w:ascii="宋体" w:hAnsi="宋体" w:eastAsia="宋体" w:cs="Times New Roman"/>
          <w:kern w:val="2"/>
          <w:sz w:val="21"/>
          <w:szCs w:val="21"/>
        </w:rPr>
        <w:t xml:space="preserve"> 当</w:t>
      </w:r>
      <w:r>
        <w:rPr>
          <w:rFonts w:hint="eastAsia" w:ascii="宋体" w:hAnsi="宋体" w:eastAsia="宋体" w:cs="Times New Roman"/>
          <w:kern w:val="2"/>
          <w:sz w:val="21"/>
          <w:szCs w:val="21"/>
          <w:lang w:val="zh-CN"/>
        </w:rPr>
        <w:t>有效的</w:t>
      </w:r>
      <w:r>
        <w:rPr>
          <w:rFonts w:hint="eastAsia" w:ascii="宋体" w:hAnsi="宋体" w:eastAsia="宋体" w:cs="Times New Roman"/>
          <w:kern w:val="2"/>
          <w:sz w:val="21"/>
          <w:szCs w:val="21"/>
          <w:lang w:val="en-US" w:eastAsia="zh-CN"/>
        </w:rPr>
        <w:t>供应商</w:t>
      </w:r>
      <w:r>
        <w:rPr>
          <w:rFonts w:hint="eastAsia" w:ascii="宋体" w:hAnsi="宋体" w:eastAsia="宋体" w:cs="Times New Roman"/>
          <w:kern w:val="2"/>
          <w:sz w:val="21"/>
          <w:szCs w:val="21"/>
          <w:lang w:val="zh-CN"/>
        </w:rPr>
        <w:t>只有1个时，终止</w:t>
      </w:r>
      <w:r>
        <w:rPr>
          <w:rFonts w:hint="eastAsia" w:ascii="宋体" w:hAnsi="宋体" w:eastAsia="宋体" w:cs="Times New Roman"/>
          <w:kern w:val="2"/>
          <w:sz w:val="21"/>
          <w:szCs w:val="21"/>
          <w:lang w:val="en-US" w:eastAsia="zh-CN"/>
        </w:rPr>
        <w:t>竞争性</w:t>
      </w:r>
      <w:r>
        <w:rPr>
          <w:rFonts w:hint="eastAsia" w:ascii="宋体" w:hAnsi="宋体" w:eastAsia="宋体" w:cs="Times New Roman"/>
          <w:kern w:val="2"/>
          <w:sz w:val="21"/>
          <w:szCs w:val="21"/>
          <w:lang w:val="zh-CN"/>
        </w:rPr>
        <w:t>采购，经磋商小组论证，竞争性磋商文件没有不合理条款、采购程序符合规定，现场经</w:t>
      </w:r>
      <w:r>
        <w:rPr>
          <w:rFonts w:hint="eastAsia" w:ascii="宋体" w:hAnsi="宋体" w:eastAsia="宋体" w:cs="Times New Roman"/>
          <w:kern w:val="2"/>
          <w:sz w:val="21"/>
          <w:szCs w:val="21"/>
          <w:lang w:val="en-US" w:eastAsia="zh-CN"/>
        </w:rPr>
        <w:t>采购人</w:t>
      </w:r>
      <w:r>
        <w:rPr>
          <w:rFonts w:hint="eastAsia" w:ascii="宋体" w:hAnsi="宋体" w:eastAsia="宋体" w:cs="Times New Roman"/>
          <w:kern w:val="2"/>
          <w:sz w:val="21"/>
          <w:szCs w:val="21"/>
          <w:lang w:val="zh-CN"/>
        </w:rPr>
        <w:t>代表和作出实质性响应的</w:t>
      </w:r>
      <w:r>
        <w:rPr>
          <w:rFonts w:hint="eastAsia" w:ascii="宋体" w:hAnsi="宋体" w:eastAsia="宋体" w:cs="Times New Roman"/>
          <w:kern w:val="2"/>
          <w:sz w:val="21"/>
          <w:szCs w:val="21"/>
          <w:lang w:val="en-US" w:eastAsia="zh-CN"/>
        </w:rPr>
        <w:t>供应商</w:t>
      </w:r>
      <w:r>
        <w:rPr>
          <w:rFonts w:hint="eastAsia" w:ascii="宋体" w:hAnsi="宋体" w:eastAsia="宋体" w:cs="Times New Roman"/>
          <w:kern w:val="2"/>
          <w:sz w:val="21"/>
          <w:szCs w:val="21"/>
          <w:lang w:val="zh-CN"/>
        </w:rPr>
        <w:t>代表同意后，更改为单一来源的方式继续采购。</w:t>
      </w:r>
      <w:r>
        <w:rPr>
          <w:rFonts w:hint="eastAsia" w:ascii="宋体" w:hAnsi="宋体" w:eastAsia="宋体" w:cs="Times New Roman"/>
          <w:bCs/>
          <w:kern w:val="2"/>
          <w:sz w:val="21"/>
          <w:szCs w:val="24"/>
          <w:lang w:val="zh-CN"/>
        </w:rPr>
        <w:t>由</w:t>
      </w:r>
      <w:r>
        <w:rPr>
          <w:rFonts w:hint="eastAsia" w:ascii="宋体" w:hAnsi="宋体" w:cs="Times New Roman"/>
          <w:bCs/>
          <w:kern w:val="2"/>
          <w:sz w:val="21"/>
          <w:szCs w:val="24"/>
          <w:lang w:val="en-US" w:eastAsia="zh-CN"/>
        </w:rPr>
        <w:t>磋商小组</w:t>
      </w:r>
      <w:r>
        <w:rPr>
          <w:rFonts w:hint="eastAsia" w:ascii="宋体" w:hAnsi="宋体" w:eastAsia="宋体" w:cs="Times New Roman"/>
          <w:bCs/>
          <w:kern w:val="2"/>
          <w:sz w:val="21"/>
          <w:szCs w:val="24"/>
          <w:lang w:val="zh-CN"/>
        </w:rPr>
        <w:t>按照本评</w:t>
      </w:r>
      <w:r>
        <w:rPr>
          <w:rFonts w:hint="eastAsia" w:ascii="宋体" w:hAnsi="宋体" w:cs="Times New Roman"/>
          <w:bCs/>
          <w:kern w:val="2"/>
          <w:sz w:val="21"/>
          <w:szCs w:val="24"/>
          <w:lang w:val="en-US" w:eastAsia="zh-CN"/>
        </w:rPr>
        <w:t>审</w:t>
      </w:r>
      <w:r>
        <w:rPr>
          <w:rFonts w:hint="eastAsia" w:ascii="宋体" w:hAnsi="宋体" w:eastAsia="宋体" w:cs="Times New Roman"/>
          <w:bCs/>
          <w:kern w:val="2"/>
          <w:sz w:val="21"/>
          <w:szCs w:val="24"/>
          <w:lang w:val="zh-CN"/>
        </w:rPr>
        <w:t>工作大纲总则内的5.1</w:t>
      </w:r>
      <w:r>
        <w:rPr>
          <w:rFonts w:hint="eastAsia" w:ascii="宋体" w:hAnsi="宋体" w:eastAsia="宋体" w:cs="Times New Roman"/>
          <w:bCs/>
          <w:kern w:val="2"/>
          <w:sz w:val="21"/>
          <w:szCs w:val="24"/>
          <w:lang w:val="en-US" w:eastAsia="zh-CN"/>
        </w:rPr>
        <w:t>1</w:t>
      </w:r>
      <w:r>
        <w:rPr>
          <w:rFonts w:hint="eastAsia" w:ascii="宋体" w:hAnsi="宋体" w:eastAsia="宋体" w:cs="Times New Roman"/>
          <w:bCs/>
          <w:kern w:val="2"/>
          <w:sz w:val="21"/>
          <w:szCs w:val="24"/>
          <w:lang w:val="zh-CN"/>
        </w:rPr>
        <w:t>款至5.</w:t>
      </w:r>
      <w:r>
        <w:rPr>
          <w:rFonts w:hint="eastAsia" w:ascii="宋体" w:hAnsi="宋体" w:cs="Times New Roman"/>
          <w:bCs/>
          <w:kern w:val="2"/>
          <w:sz w:val="21"/>
          <w:szCs w:val="24"/>
          <w:lang w:val="en-US" w:eastAsia="zh-CN"/>
        </w:rPr>
        <w:t>16</w:t>
      </w:r>
      <w:r>
        <w:rPr>
          <w:rFonts w:hint="eastAsia" w:ascii="宋体" w:hAnsi="宋体" w:eastAsia="宋体" w:cs="Times New Roman"/>
          <w:bCs/>
          <w:kern w:val="2"/>
          <w:sz w:val="21"/>
          <w:szCs w:val="24"/>
          <w:lang w:val="zh-CN"/>
        </w:rPr>
        <w:t>款的约定直接与</w:t>
      </w:r>
      <w:r>
        <w:rPr>
          <w:rFonts w:hint="eastAsia" w:ascii="宋体" w:hAnsi="宋体" w:eastAsia="宋体" w:cs="Times New Roman"/>
          <w:bCs/>
          <w:kern w:val="2"/>
          <w:sz w:val="21"/>
          <w:szCs w:val="24"/>
          <w:lang w:val="en-US" w:eastAsia="zh-CN"/>
        </w:rPr>
        <w:t>供应商</w:t>
      </w:r>
      <w:r>
        <w:rPr>
          <w:rFonts w:hint="eastAsia" w:ascii="宋体" w:hAnsi="宋体" w:eastAsia="宋体" w:cs="Times New Roman"/>
          <w:bCs/>
          <w:kern w:val="2"/>
          <w:sz w:val="21"/>
          <w:szCs w:val="24"/>
          <w:lang w:val="zh-CN"/>
        </w:rPr>
        <w:t>在保证采购质量的前提下商定合理的成交价格。</w:t>
      </w:r>
    </w:p>
    <w:p w14:paraId="174579E2">
      <w:pPr>
        <w:autoSpaceDE w:val="0"/>
        <w:autoSpaceDN w:val="0"/>
        <w:adjustRightInd w:val="0"/>
        <w:spacing w:line="360" w:lineRule="auto"/>
        <w:ind w:left="518" w:hanging="518"/>
        <w:jc w:val="both"/>
        <w:rPr>
          <w:rFonts w:ascii="宋体" w:hAnsi="宋体" w:eastAsia="宋体" w:cs="Times New Roman"/>
          <w:bCs/>
          <w:kern w:val="2"/>
          <w:sz w:val="21"/>
          <w:szCs w:val="24"/>
          <w:lang w:val="zh-CN"/>
        </w:rPr>
      </w:pPr>
      <w:r>
        <w:rPr>
          <w:rFonts w:hint="eastAsia" w:ascii="宋体" w:hAnsi="宋体" w:eastAsia="宋体" w:cs="Times New Roman"/>
          <w:kern w:val="2"/>
          <w:sz w:val="21"/>
          <w:szCs w:val="21"/>
          <w:lang w:val="zh-CN"/>
        </w:rPr>
        <w:t>5.1</w:t>
      </w:r>
      <w:r>
        <w:rPr>
          <w:rFonts w:hint="eastAsia" w:ascii="宋体" w:hAnsi="宋体" w:eastAsia="宋体" w:cs="Times New Roman"/>
          <w:kern w:val="2"/>
          <w:sz w:val="21"/>
          <w:szCs w:val="21"/>
          <w:lang w:val="en-US" w:eastAsia="zh-CN"/>
        </w:rPr>
        <w:t>2</w:t>
      </w:r>
      <w:r>
        <w:rPr>
          <w:rFonts w:hint="eastAsia" w:ascii="宋体" w:hAnsi="宋体" w:eastAsia="宋体" w:cs="Times New Roman"/>
          <w:bCs/>
          <w:kern w:val="2"/>
          <w:sz w:val="21"/>
          <w:szCs w:val="24"/>
          <w:lang w:val="zh-CN"/>
        </w:rPr>
        <w:t xml:space="preserve"> </w:t>
      </w:r>
      <w:r>
        <w:rPr>
          <w:rFonts w:hint="eastAsia" w:ascii="宋体" w:hAnsi="宋体" w:eastAsia="宋体" w:cs="Times New Roman"/>
          <w:bCs/>
          <w:kern w:val="2"/>
          <w:sz w:val="21"/>
          <w:szCs w:val="24"/>
          <w:lang w:val="en-US" w:eastAsia="zh-CN"/>
        </w:rPr>
        <w:t>磋商小组</w:t>
      </w:r>
      <w:r>
        <w:rPr>
          <w:rFonts w:hint="eastAsia" w:ascii="宋体" w:hAnsi="宋体" w:eastAsia="宋体" w:cs="Times New Roman"/>
          <w:bCs/>
          <w:kern w:val="2"/>
          <w:sz w:val="21"/>
          <w:szCs w:val="24"/>
          <w:lang w:val="zh-CN"/>
        </w:rPr>
        <w:t>直接与</w:t>
      </w:r>
      <w:r>
        <w:rPr>
          <w:rFonts w:hint="eastAsia" w:ascii="宋体" w:hAnsi="宋体" w:eastAsia="宋体" w:cs="Times New Roman"/>
          <w:kern w:val="2"/>
          <w:sz w:val="21"/>
          <w:szCs w:val="24"/>
          <w:lang w:val="en-US" w:eastAsia="zh-CN"/>
        </w:rPr>
        <w:t>供应商</w:t>
      </w:r>
      <w:r>
        <w:rPr>
          <w:rFonts w:hint="eastAsia" w:ascii="宋体" w:hAnsi="宋体" w:eastAsia="宋体" w:cs="Times New Roman"/>
          <w:kern w:val="2"/>
          <w:sz w:val="21"/>
          <w:szCs w:val="24"/>
          <w:lang w:val="zh-CN"/>
        </w:rPr>
        <w:t>进行谈判协商，然后对最终报价及</w:t>
      </w:r>
      <w:r>
        <w:rPr>
          <w:rFonts w:hint="eastAsia" w:ascii="宋体" w:hAnsi="宋体" w:eastAsia="宋体" w:cs="Times New Roman"/>
          <w:kern w:val="2"/>
          <w:sz w:val="21"/>
          <w:szCs w:val="24"/>
          <w:lang w:val="en-US" w:eastAsia="zh-CN"/>
        </w:rPr>
        <w:t>响应</w:t>
      </w:r>
      <w:r>
        <w:rPr>
          <w:rFonts w:hint="eastAsia" w:ascii="宋体" w:hAnsi="宋体" w:eastAsia="宋体" w:cs="Times New Roman"/>
          <w:kern w:val="2"/>
          <w:sz w:val="21"/>
          <w:szCs w:val="24"/>
          <w:lang w:val="zh-CN"/>
        </w:rPr>
        <w:t>文件进行审查，得出评审结果，编写评审报告（含协商情况记录）及推荐成交候选人。</w:t>
      </w:r>
    </w:p>
    <w:p w14:paraId="2E19B94A">
      <w:pPr>
        <w:autoSpaceDE w:val="0"/>
        <w:autoSpaceDN w:val="0"/>
        <w:adjustRightInd w:val="0"/>
        <w:spacing w:line="360" w:lineRule="auto"/>
        <w:ind w:left="518" w:hanging="518"/>
        <w:jc w:val="both"/>
        <w:rPr>
          <w:rFonts w:ascii="宋体" w:hAnsi="宋体" w:eastAsia="宋体" w:cs="Times New Roman"/>
          <w:kern w:val="2"/>
          <w:sz w:val="21"/>
          <w:szCs w:val="24"/>
        </w:rPr>
      </w:pPr>
      <w:r>
        <w:rPr>
          <w:rFonts w:hint="eastAsia" w:ascii="宋体" w:hAnsi="宋体" w:eastAsia="宋体" w:cs="Times New Roman"/>
          <w:bCs/>
          <w:kern w:val="2"/>
          <w:sz w:val="21"/>
          <w:szCs w:val="24"/>
          <w:lang w:val="zh-CN"/>
        </w:rPr>
        <w:t>5.</w:t>
      </w:r>
      <w:r>
        <w:rPr>
          <w:rFonts w:ascii="宋体" w:hAnsi="宋体" w:eastAsia="宋体" w:cs="Times New Roman"/>
          <w:bCs/>
          <w:kern w:val="2"/>
          <w:sz w:val="21"/>
          <w:szCs w:val="24"/>
          <w:lang w:val="zh-CN"/>
        </w:rPr>
        <w:t>1</w:t>
      </w:r>
      <w:r>
        <w:rPr>
          <w:rFonts w:hint="eastAsia" w:ascii="宋体" w:hAnsi="宋体" w:eastAsia="宋体" w:cs="Times New Roman"/>
          <w:bCs/>
          <w:kern w:val="2"/>
          <w:sz w:val="21"/>
          <w:szCs w:val="24"/>
          <w:lang w:val="en-US" w:eastAsia="zh-CN"/>
        </w:rPr>
        <w:t>3</w:t>
      </w:r>
      <w:r>
        <w:rPr>
          <w:rFonts w:ascii="宋体" w:hAnsi="宋体" w:eastAsia="宋体" w:cs="Times New Roman"/>
          <w:bCs/>
          <w:kern w:val="2"/>
          <w:sz w:val="21"/>
          <w:szCs w:val="24"/>
          <w:lang w:val="zh-CN"/>
        </w:rPr>
        <w:t xml:space="preserve"> </w:t>
      </w:r>
      <w:r>
        <w:rPr>
          <w:rFonts w:hint="eastAsia" w:ascii="宋体" w:hAnsi="宋体" w:eastAsia="宋体" w:cs="Times New Roman"/>
          <w:kern w:val="2"/>
          <w:sz w:val="21"/>
          <w:szCs w:val="24"/>
        </w:rPr>
        <w:t>在协商的过程中，</w:t>
      </w:r>
      <w:r>
        <w:rPr>
          <w:rFonts w:hint="eastAsia" w:ascii="宋体" w:hAnsi="宋体" w:eastAsia="宋体" w:cs="Times New Roman"/>
          <w:kern w:val="2"/>
          <w:sz w:val="21"/>
          <w:szCs w:val="24"/>
          <w:lang w:val="en-US" w:eastAsia="zh-CN"/>
        </w:rPr>
        <w:t>磋商小组</w:t>
      </w:r>
      <w:r>
        <w:rPr>
          <w:rFonts w:hint="eastAsia" w:ascii="宋体" w:hAnsi="宋体" w:eastAsia="宋体" w:cs="Times New Roman"/>
          <w:kern w:val="2"/>
          <w:sz w:val="21"/>
          <w:szCs w:val="24"/>
        </w:rPr>
        <w:t>可以根据</w:t>
      </w:r>
      <w:r>
        <w:rPr>
          <w:rFonts w:hint="eastAsia" w:ascii="宋体" w:hAnsi="宋体" w:eastAsia="宋体" w:cs="Times New Roman"/>
          <w:kern w:val="2"/>
          <w:sz w:val="21"/>
          <w:szCs w:val="24"/>
          <w:lang w:val="en-US" w:eastAsia="zh-CN"/>
        </w:rPr>
        <w:t>竞争性磋商</w:t>
      </w:r>
      <w:r>
        <w:rPr>
          <w:rFonts w:hint="eastAsia" w:ascii="宋体" w:hAnsi="宋体" w:eastAsia="宋体" w:cs="Times New Roman"/>
          <w:kern w:val="2"/>
          <w:sz w:val="21"/>
          <w:szCs w:val="24"/>
        </w:rPr>
        <w:t>文件和协商情况实质性变动采购需求中的技术、服务要求以及合同草案条款。实质性变动的内容，须经</w:t>
      </w:r>
      <w:r>
        <w:rPr>
          <w:rFonts w:hint="eastAsia" w:ascii="宋体" w:hAnsi="宋体" w:eastAsia="宋体" w:cs="Times New Roman"/>
          <w:kern w:val="2"/>
          <w:sz w:val="21"/>
          <w:szCs w:val="24"/>
          <w:lang w:val="en-US" w:eastAsia="zh-CN"/>
        </w:rPr>
        <w:t>采购人</w:t>
      </w:r>
      <w:r>
        <w:rPr>
          <w:rFonts w:hint="eastAsia" w:ascii="宋体" w:hAnsi="宋体" w:eastAsia="宋体" w:cs="Times New Roman"/>
          <w:kern w:val="2"/>
          <w:sz w:val="21"/>
          <w:szCs w:val="24"/>
        </w:rPr>
        <w:t>代表确认，对</w:t>
      </w:r>
      <w:r>
        <w:rPr>
          <w:rFonts w:hint="eastAsia" w:ascii="宋体" w:hAnsi="宋体" w:eastAsia="宋体" w:cs="Times New Roman"/>
          <w:kern w:val="2"/>
          <w:sz w:val="21"/>
          <w:szCs w:val="24"/>
          <w:lang w:val="en-US" w:eastAsia="zh-CN"/>
        </w:rPr>
        <w:t>竞争性磋商</w:t>
      </w:r>
      <w:r>
        <w:rPr>
          <w:rFonts w:hint="eastAsia" w:ascii="宋体" w:hAnsi="宋体" w:eastAsia="宋体" w:cs="Times New Roman"/>
          <w:kern w:val="2"/>
          <w:sz w:val="21"/>
          <w:szCs w:val="24"/>
        </w:rPr>
        <w:t>文件作出的实质性变动是</w:t>
      </w:r>
      <w:r>
        <w:rPr>
          <w:rFonts w:hint="eastAsia" w:ascii="宋体" w:hAnsi="宋体" w:eastAsia="宋体" w:cs="Times New Roman"/>
          <w:kern w:val="2"/>
          <w:sz w:val="21"/>
          <w:szCs w:val="24"/>
          <w:lang w:val="en-US" w:eastAsia="zh-CN"/>
        </w:rPr>
        <w:t>竞争性磋商</w:t>
      </w:r>
      <w:r>
        <w:rPr>
          <w:rFonts w:hint="eastAsia" w:ascii="宋体" w:hAnsi="宋体" w:eastAsia="宋体" w:cs="Times New Roman"/>
          <w:kern w:val="2"/>
          <w:sz w:val="21"/>
          <w:szCs w:val="24"/>
        </w:rPr>
        <w:t>文件的有效组成部分。</w:t>
      </w:r>
    </w:p>
    <w:p w14:paraId="19061B66">
      <w:pPr>
        <w:autoSpaceDE w:val="0"/>
        <w:autoSpaceDN w:val="0"/>
        <w:adjustRightInd w:val="0"/>
        <w:spacing w:line="360" w:lineRule="auto"/>
        <w:ind w:left="518" w:hanging="518"/>
        <w:jc w:val="both"/>
        <w:rPr>
          <w:rFonts w:ascii="宋体" w:hAnsi="宋体" w:eastAsia="宋体" w:cs="Times New Roman"/>
          <w:kern w:val="2"/>
          <w:sz w:val="21"/>
          <w:szCs w:val="24"/>
          <w:lang w:val="zh-CN"/>
        </w:rPr>
      </w:pPr>
      <w:r>
        <w:rPr>
          <w:rFonts w:hint="eastAsia" w:ascii="宋体" w:hAnsi="宋体" w:eastAsia="宋体" w:cs="Times New Roman"/>
          <w:kern w:val="2"/>
          <w:sz w:val="21"/>
          <w:szCs w:val="24"/>
        </w:rPr>
        <w:t>5.</w:t>
      </w:r>
      <w:r>
        <w:rPr>
          <w:rFonts w:hint="eastAsia" w:ascii="宋体" w:hAnsi="宋体" w:eastAsia="宋体" w:cs="Times New Roman"/>
          <w:kern w:val="2"/>
          <w:sz w:val="21"/>
          <w:szCs w:val="24"/>
          <w:lang w:val="en-US" w:eastAsia="zh-CN"/>
        </w:rPr>
        <w:t>14</w:t>
      </w:r>
      <w:r>
        <w:rPr>
          <w:rFonts w:ascii="宋体" w:hAnsi="宋体" w:eastAsia="宋体" w:cs="Times New Roman"/>
          <w:kern w:val="2"/>
          <w:sz w:val="21"/>
          <w:szCs w:val="24"/>
        </w:rPr>
        <w:t xml:space="preserve"> </w:t>
      </w:r>
      <w:r>
        <w:rPr>
          <w:rFonts w:hint="eastAsia" w:ascii="宋体" w:hAnsi="宋体" w:eastAsia="宋体" w:cs="Times New Roman"/>
          <w:kern w:val="2"/>
          <w:sz w:val="21"/>
          <w:szCs w:val="24"/>
          <w:lang w:val="en-US" w:eastAsia="zh-CN"/>
        </w:rPr>
        <w:t>供应商</w:t>
      </w:r>
      <w:r>
        <w:rPr>
          <w:rFonts w:hint="eastAsia" w:ascii="宋体" w:hAnsi="宋体" w:eastAsia="宋体" w:cs="Times New Roman"/>
          <w:kern w:val="2"/>
          <w:sz w:val="21"/>
          <w:szCs w:val="24"/>
        </w:rPr>
        <w:t>应当按照</w:t>
      </w:r>
      <w:r>
        <w:rPr>
          <w:rFonts w:hint="eastAsia" w:ascii="宋体" w:hAnsi="宋体" w:eastAsia="宋体" w:cs="Times New Roman"/>
          <w:kern w:val="2"/>
          <w:sz w:val="21"/>
          <w:szCs w:val="24"/>
          <w:lang w:val="en-US" w:eastAsia="zh-CN"/>
        </w:rPr>
        <w:t>竞争性磋商</w:t>
      </w:r>
      <w:r>
        <w:rPr>
          <w:rFonts w:hint="eastAsia" w:ascii="宋体" w:hAnsi="宋体" w:eastAsia="宋体" w:cs="Times New Roman"/>
          <w:kern w:val="2"/>
          <w:sz w:val="21"/>
          <w:szCs w:val="24"/>
        </w:rPr>
        <w:t>文件的变动情况和</w:t>
      </w:r>
      <w:r>
        <w:rPr>
          <w:rFonts w:hint="eastAsia" w:ascii="宋体" w:hAnsi="宋体" w:eastAsia="宋体" w:cs="Times New Roman"/>
          <w:kern w:val="2"/>
          <w:sz w:val="21"/>
          <w:szCs w:val="24"/>
          <w:lang w:val="en-US" w:eastAsia="zh-CN"/>
        </w:rPr>
        <w:t>磋商小组</w:t>
      </w:r>
      <w:r>
        <w:rPr>
          <w:rFonts w:hint="eastAsia" w:ascii="宋体" w:hAnsi="宋体" w:eastAsia="宋体" w:cs="Times New Roman"/>
          <w:kern w:val="2"/>
          <w:sz w:val="21"/>
          <w:szCs w:val="24"/>
        </w:rPr>
        <w:t>的要求补充承诺材料，并由其法定代表人或授权代表签字或者加盖公章。由授权代表签字的，应当附法定代表人授权书。</w:t>
      </w:r>
      <w:r>
        <w:rPr>
          <w:rFonts w:hint="eastAsia" w:ascii="宋体" w:hAnsi="宋体" w:eastAsia="宋体" w:cs="Times New Roman"/>
          <w:kern w:val="2"/>
          <w:sz w:val="21"/>
          <w:szCs w:val="24"/>
          <w:lang w:val="en-US" w:eastAsia="zh-CN"/>
        </w:rPr>
        <w:t>供应商</w:t>
      </w:r>
      <w:r>
        <w:rPr>
          <w:rFonts w:hint="eastAsia" w:ascii="宋体" w:hAnsi="宋体" w:eastAsia="宋体" w:cs="Times New Roman"/>
          <w:kern w:val="2"/>
          <w:sz w:val="21"/>
          <w:szCs w:val="24"/>
        </w:rPr>
        <w:t>为自然人的，应当由本人签字并附身份证明。该补充材料作为</w:t>
      </w:r>
      <w:r>
        <w:rPr>
          <w:rFonts w:hint="eastAsia" w:ascii="宋体" w:hAnsi="宋体" w:eastAsia="宋体" w:cs="Times New Roman"/>
          <w:kern w:val="2"/>
          <w:sz w:val="21"/>
          <w:szCs w:val="24"/>
          <w:lang w:val="en-US" w:eastAsia="zh-CN"/>
        </w:rPr>
        <w:t>响应</w:t>
      </w:r>
      <w:r>
        <w:rPr>
          <w:rFonts w:hint="eastAsia" w:ascii="宋体" w:hAnsi="宋体" w:eastAsia="宋体" w:cs="Times New Roman"/>
          <w:kern w:val="2"/>
          <w:sz w:val="21"/>
          <w:szCs w:val="24"/>
        </w:rPr>
        <w:t>文件的有效组成部分，当补充材料与原递交的</w:t>
      </w:r>
      <w:r>
        <w:rPr>
          <w:rFonts w:hint="eastAsia" w:ascii="宋体" w:hAnsi="宋体" w:eastAsia="宋体" w:cs="Times New Roman"/>
          <w:kern w:val="2"/>
          <w:sz w:val="21"/>
          <w:szCs w:val="24"/>
          <w:lang w:val="en-US" w:eastAsia="zh-CN"/>
        </w:rPr>
        <w:t>竞争性磋商</w:t>
      </w:r>
      <w:r>
        <w:rPr>
          <w:rFonts w:hint="eastAsia" w:ascii="宋体" w:hAnsi="宋体" w:eastAsia="宋体" w:cs="Times New Roman"/>
          <w:kern w:val="2"/>
          <w:sz w:val="21"/>
          <w:szCs w:val="24"/>
        </w:rPr>
        <w:t>文件内容不一致时，以补充材料为准。</w:t>
      </w:r>
    </w:p>
    <w:p w14:paraId="7486D13A">
      <w:pPr>
        <w:autoSpaceDE w:val="0"/>
        <w:autoSpaceDN w:val="0"/>
        <w:adjustRightInd w:val="0"/>
        <w:spacing w:line="360" w:lineRule="auto"/>
        <w:ind w:left="518" w:hanging="518"/>
        <w:jc w:val="both"/>
        <w:rPr>
          <w:rFonts w:ascii="宋体" w:hAnsi="宋体" w:eastAsia="宋体" w:cs="Times New Roman"/>
          <w:b/>
          <w:kern w:val="2"/>
          <w:sz w:val="21"/>
          <w:szCs w:val="21"/>
          <w:lang w:val="zh-CN"/>
        </w:rPr>
      </w:pPr>
      <w:r>
        <w:rPr>
          <w:rFonts w:hint="eastAsia" w:ascii="宋体" w:hAnsi="宋体" w:eastAsia="宋体" w:cs="Times New Roman"/>
          <w:kern w:val="2"/>
          <w:sz w:val="21"/>
          <w:szCs w:val="24"/>
        </w:rPr>
        <w:t>5.</w:t>
      </w:r>
      <w:r>
        <w:rPr>
          <w:rFonts w:hint="eastAsia" w:ascii="宋体" w:hAnsi="宋体" w:eastAsia="宋体" w:cs="Times New Roman"/>
          <w:kern w:val="2"/>
          <w:sz w:val="21"/>
          <w:szCs w:val="24"/>
          <w:lang w:val="en-US" w:eastAsia="zh-CN"/>
        </w:rPr>
        <w:t>15</w:t>
      </w:r>
      <w:r>
        <w:rPr>
          <w:rFonts w:ascii="宋体" w:hAnsi="宋体" w:eastAsia="宋体" w:cs="Times New Roman"/>
          <w:kern w:val="2"/>
          <w:sz w:val="21"/>
          <w:szCs w:val="24"/>
        </w:rPr>
        <w:t xml:space="preserve"> </w:t>
      </w:r>
      <w:r>
        <w:rPr>
          <w:rFonts w:hint="eastAsia" w:ascii="宋体" w:hAnsi="宋体" w:eastAsia="宋体" w:cs="Times New Roman"/>
          <w:kern w:val="2"/>
          <w:sz w:val="21"/>
          <w:szCs w:val="24"/>
          <w:lang w:val="en-US" w:eastAsia="zh-CN"/>
        </w:rPr>
        <w:t>竞争性磋商</w:t>
      </w:r>
      <w:r>
        <w:rPr>
          <w:rFonts w:hint="eastAsia" w:ascii="宋体" w:hAnsi="宋体" w:eastAsia="宋体" w:cs="Times New Roman"/>
          <w:kern w:val="2"/>
          <w:sz w:val="21"/>
          <w:szCs w:val="24"/>
        </w:rPr>
        <w:t>文件能够详细列明采购标的的技术、服务要求的，协商</w:t>
      </w:r>
      <w:r>
        <w:rPr>
          <w:rFonts w:hint="eastAsia" w:ascii="宋体" w:hAnsi="宋体" w:eastAsia="宋体" w:cs="Times New Roman"/>
          <w:kern w:val="2"/>
          <w:sz w:val="21"/>
          <w:szCs w:val="21"/>
          <w:lang w:val="zh-CN"/>
        </w:rPr>
        <w:t>结束后，</w:t>
      </w:r>
      <w:r>
        <w:rPr>
          <w:rFonts w:hint="eastAsia" w:ascii="宋体" w:hAnsi="宋体" w:eastAsia="宋体" w:cs="Times New Roman"/>
          <w:kern w:val="2"/>
          <w:sz w:val="21"/>
          <w:szCs w:val="21"/>
          <w:lang w:val="en-US" w:eastAsia="zh-CN"/>
        </w:rPr>
        <w:t>供应商</w:t>
      </w:r>
      <w:r>
        <w:rPr>
          <w:rFonts w:hint="eastAsia" w:ascii="宋体" w:hAnsi="宋体" w:eastAsia="宋体" w:cs="Times New Roman"/>
          <w:kern w:val="2"/>
          <w:sz w:val="21"/>
          <w:szCs w:val="21"/>
          <w:lang w:val="zh-CN"/>
        </w:rPr>
        <w:t>应在规定的时间内提交二次报价（即最终报价，最终报价时间视协商进程由</w:t>
      </w:r>
      <w:r>
        <w:rPr>
          <w:rFonts w:hint="eastAsia" w:ascii="宋体" w:hAnsi="宋体" w:eastAsia="宋体" w:cs="Times New Roman"/>
          <w:kern w:val="2"/>
          <w:sz w:val="21"/>
          <w:szCs w:val="21"/>
          <w:lang w:val="en-US" w:eastAsia="zh-CN"/>
        </w:rPr>
        <w:t>磋商小组</w:t>
      </w:r>
      <w:r>
        <w:rPr>
          <w:rFonts w:hint="eastAsia" w:ascii="宋体" w:hAnsi="宋体" w:eastAsia="宋体" w:cs="Times New Roman"/>
          <w:kern w:val="2"/>
          <w:sz w:val="21"/>
          <w:szCs w:val="21"/>
          <w:lang w:val="zh-CN"/>
        </w:rPr>
        <w:t>决定），最终报价是</w:t>
      </w:r>
      <w:r>
        <w:rPr>
          <w:rFonts w:hint="eastAsia" w:ascii="宋体" w:hAnsi="宋体" w:eastAsia="宋体" w:cs="Times New Roman"/>
          <w:kern w:val="2"/>
          <w:sz w:val="21"/>
          <w:szCs w:val="21"/>
          <w:lang w:val="en-US" w:eastAsia="zh-CN"/>
        </w:rPr>
        <w:t>供应商响应</w:t>
      </w:r>
      <w:r>
        <w:rPr>
          <w:rFonts w:hint="eastAsia" w:ascii="宋体" w:hAnsi="宋体" w:eastAsia="宋体" w:cs="Times New Roman"/>
          <w:kern w:val="2"/>
          <w:sz w:val="21"/>
          <w:szCs w:val="21"/>
          <w:lang w:val="zh-CN"/>
        </w:rPr>
        <w:t>文件的有效组成部分。</w:t>
      </w:r>
      <w:r>
        <w:rPr>
          <w:rFonts w:hint="eastAsia" w:ascii="宋体" w:hAnsi="宋体" w:eastAsia="宋体" w:cs="Times New Roman"/>
          <w:b/>
          <w:kern w:val="2"/>
          <w:sz w:val="21"/>
          <w:szCs w:val="21"/>
          <w:u w:val="single"/>
          <w:lang w:val="zh-CN"/>
        </w:rPr>
        <w:t>如在协商中</w:t>
      </w:r>
      <w:r>
        <w:rPr>
          <w:rFonts w:hint="eastAsia" w:ascii="宋体" w:hAnsi="宋体" w:eastAsia="宋体" w:cs="Times New Roman"/>
          <w:b/>
          <w:kern w:val="2"/>
          <w:sz w:val="21"/>
          <w:szCs w:val="21"/>
          <w:u w:val="single"/>
          <w:lang w:val="en-US" w:eastAsia="zh-CN"/>
        </w:rPr>
        <w:t>磋商小组</w:t>
      </w:r>
      <w:r>
        <w:rPr>
          <w:rFonts w:hint="eastAsia" w:ascii="宋体" w:hAnsi="宋体" w:eastAsia="宋体" w:cs="Times New Roman"/>
          <w:b/>
          <w:kern w:val="2"/>
          <w:sz w:val="21"/>
          <w:szCs w:val="21"/>
          <w:u w:val="single"/>
          <w:lang w:val="zh-CN"/>
        </w:rPr>
        <w:t>没有对本</w:t>
      </w:r>
      <w:r>
        <w:rPr>
          <w:rFonts w:hint="eastAsia" w:ascii="宋体" w:hAnsi="宋体" w:eastAsia="宋体" w:cs="Times New Roman"/>
          <w:b/>
          <w:kern w:val="2"/>
          <w:sz w:val="21"/>
          <w:szCs w:val="21"/>
          <w:u w:val="single"/>
          <w:lang w:val="zh-CN" w:eastAsia="zh-CN"/>
        </w:rPr>
        <w:t>竞争性磋商</w:t>
      </w:r>
      <w:r>
        <w:rPr>
          <w:rFonts w:hint="eastAsia" w:ascii="宋体" w:hAnsi="宋体" w:eastAsia="宋体" w:cs="Times New Roman"/>
          <w:b/>
          <w:kern w:val="2"/>
          <w:sz w:val="21"/>
          <w:szCs w:val="21"/>
          <w:u w:val="single"/>
          <w:lang w:val="zh-CN"/>
        </w:rPr>
        <w:t>文件作实质性变动增加新的需求，后一轮报价不得高于前一轮报价</w:t>
      </w:r>
      <w:r>
        <w:rPr>
          <w:rFonts w:hint="eastAsia" w:ascii="宋体" w:hAnsi="宋体" w:eastAsia="宋体" w:cs="Times New Roman"/>
          <w:b/>
          <w:kern w:val="2"/>
          <w:sz w:val="21"/>
          <w:szCs w:val="21"/>
          <w:lang w:val="zh-CN"/>
        </w:rPr>
        <w:t>。</w:t>
      </w:r>
    </w:p>
    <w:p w14:paraId="07870F5C">
      <w:pPr>
        <w:autoSpaceDE w:val="0"/>
        <w:autoSpaceDN w:val="0"/>
        <w:adjustRightInd w:val="0"/>
        <w:spacing w:line="360" w:lineRule="auto"/>
        <w:ind w:left="518" w:hanging="518"/>
        <w:jc w:val="both"/>
        <w:rPr>
          <w:rFonts w:ascii="宋体" w:hAnsi="宋体" w:eastAsia="宋体" w:cs="Times New Roman"/>
          <w:b/>
          <w:kern w:val="2"/>
          <w:sz w:val="21"/>
          <w:szCs w:val="24"/>
          <w:lang w:val="zh-CN"/>
        </w:rPr>
      </w:pPr>
      <w:r>
        <w:rPr>
          <w:rFonts w:hint="eastAsia" w:ascii="宋体" w:hAnsi="宋体" w:eastAsia="宋体" w:cs="Times New Roman"/>
          <w:b/>
          <w:kern w:val="2"/>
          <w:sz w:val="21"/>
          <w:szCs w:val="24"/>
          <w:lang w:val="zh-CN"/>
        </w:rPr>
        <w:t>5.</w:t>
      </w:r>
      <w:r>
        <w:rPr>
          <w:rFonts w:hint="eastAsia" w:ascii="宋体" w:hAnsi="宋体" w:eastAsia="宋体" w:cs="Times New Roman"/>
          <w:b/>
          <w:kern w:val="2"/>
          <w:sz w:val="21"/>
          <w:szCs w:val="24"/>
          <w:lang w:val="en-US" w:eastAsia="zh-CN"/>
        </w:rPr>
        <w:t>16</w:t>
      </w:r>
      <w:r>
        <w:rPr>
          <w:rFonts w:hint="eastAsia" w:ascii="宋体" w:hAnsi="宋体" w:eastAsia="宋体" w:cs="Times New Roman"/>
          <w:b/>
          <w:kern w:val="2"/>
          <w:sz w:val="21"/>
          <w:szCs w:val="24"/>
          <w:lang w:val="zh-CN"/>
        </w:rPr>
        <w:t xml:space="preserve"> </w:t>
      </w:r>
      <w:r>
        <w:rPr>
          <w:rFonts w:hint="eastAsia" w:ascii="宋体" w:hAnsi="宋体" w:eastAsia="宋体" w:cs="Times New Roman"/>
          <w:b/>
          <w:kern w:val="2"/>
          <w:sz w:val="21"/>
          <w:szCs w:val="24"/>
          <w:u w:val="single"/>
          <w:lang w:val="zh-CN"/>
        </w:rPr>
        <w:t>单一来源采购过程中，当出现下列情形之一的，</w:t>
      </w:r>
      <w:r>
        <w:rPr>
          <w:rFonts w:hint="eastAsia" w:ascii="宋体" w:hAnsi="宋体" w:eastAsia="宋体" w:cs="Times New Roman"/>
          <w:b/>
          <w:kern w:val="2"/>
          <w:sz w:val="21"/>
          <w:szCs w:val="24"/>
          <w:u w:val="single"/>
          <w:lang w:val="en-US" w:eastAsia="zh-CN"/>
        </w:rPr>
        <w:t>磋商小组</w:t>
      </w:r>
      <w:r>
        <w:rPr>
          <w:rFonts w:hint="eastAsia" w:ascii="宋体" w:hAnsi="宋体" w:eastAsia="宋体" w:cs="Times New Roman"/>
          <w:b/>
          <w:kern w:val="2"/>
          <w:sz w:val="21"/>
          <w:szCs w:val="24"/>
          <w:u w:val="single"/>
          <w:lang w:val="zh-CN"/>
        </w:rPr>
        <w:t>应当终止采购活动</w:t>
      </w:r>
      <w:r>
        <w:rPr>
          <w:rFonts w:hint="eastAsia" w:ascii="宋体" w:hAnsi="宋体" w:eastAsia="宋体" w:cs="Times New Roman"/>
          <w:b/>
          <w:kern w:val="2"/>
          <w:sz w:val="21"/>
          <w:szCs w:val="24"/>
          <w:lang w:val="zh-CN"/>
        </w:rPr>
        <w:t>：</w:t>
      </w:r>
    </w:p>
    <w:p w14:paraId="2CF5936A">
      <w:pPr>
        <w:autoSpaceDE w:val="0"/>
        <w:autoSpaceDN w:val="0"/>
        <w:adjustRightInd w:val="0"/>
        <w:spacing w:line="360" w:lineRule="auto"/>
        <w:ind w:left="708" w:hanging="708" w:hangingChars="336"/>
        <w:jc w:val="both"/>
        <w:rPr>
          <w:rFonts w:ascii="宋体" w:hAnsi="宋体" w:eastAsia="宋体" w:cs="Times New Roman"/>
          <w:b/>
          <w:kern w:val="0"/>
          <w:sz w:val="21"/>
          <w:szCs w:val="21"/>
        </w:rPr>
      </w:pPr>
      <w:r>
        <w:rPr>
          <w:rFonts w:hint="eastAsia" w:ascii="宋体" w:hAnsi="宋体" w:eastAsia="宋体" w:cs="Times New Roman"/>
          <w:b/>
          <w:kern w:val="2"/>
          <w:sz w:val="21"/>
          <w:szCs w:val="24"/>
          <w:lang w:val="zh-CN"/>
        </w:rPr>
        <w:t>5.</w:t>
      </w:r>
      <w:r>
        <w:rPr>
          <w:rFonts w:hint="eastAsia" w:ascii="宋体" w:hAnsi="宋体" w:eastAsia="宋体" w:cs="Times New Roman"/>
          <w:b/>
          <w:kern w:val="2"/>
          <w:sz w:val="21"/>
          <w:szCs w:val="24"/>
          <w:lang w:val="en-US" w:eastAsia="zh-CN"/>
        </w:rPr>
        <w:t>16</w:t>
      </w:r>
      <w:r>
        <w:rPr>
          <w:rFonts w:hint="eastAsia" w:ascii="宋体" w:hAnsi="宋体" w:eastAsia="宋体" w:cs="Times New Roman"/>
          <w:b/>
          <w:kern w:val="2"/>
          <w:sz w:val="21"/>
          <w:szCs w:val="24"/>
          <w:lang w:val="zh-CN"/>
        </w:rPr>
        <w:t>.1</w:t>
      </w:r>
      <w:r>
        <w:rPr>
          <w:rFonts w:ascii="宋体" w:hAnsi="宋体" w:eastAsia="宋体" w:cs="Times New Roman"/>
          <w:b/>
          <w:kern w:val="2"/>
          <w:sz w:val="21"/>
          <w:szCs w:val="24"/>
        </w:rPr>
        <w:t xml:space="preserve"> </w:t>
      </w:r>
      <w:r>
        <w:rPr>
          <w:rFonts w:hint="eastAsia" w:ascii="宋体" w:hAnsi="宋体" w:eastAsia="宋体" w:cs="Times New Roman"/>
          <w:b/>
          <w:kern w:val="2"/>
          <w:sz w:val="21"/>
          <w:szCs w:val="24"/>
          <w:u w:val="single"/>
          <w:lang w:val="en-US" w:eastAsia="zh-CN"/>
        </w:rPr>
        <w:t>供应商</w:t>
      </w:r>
      <w:r>
        <w:rPr>
          <w:rFonts w:hint="eastAsia" w:ascii="宋体" w:hAnsi="宋体" w:eastAsia="宋体" w:cs="Times New Roman"/>
          <w:b/>
          <w:kern w:val="0"/>
          <w:sz w:val="21"/>
          <w:szCs w:val="21"/>
          <w:u w:val="single"/>
        </w:rPr>
        <w:t>（含其不具有独立法人资格的分支机构）被列入“信用中国”网站失信被执行人、重大税收违法失信主体、政府采购严重违法失信行为记录名单（处罚期限届满的除外）的</w:t>
      </w:r>
      <w:r>
        <w:rPr>
          <w:rFonts w:hint="eastAsia" w:ascii="宋体" w:hAnsi="宋体" w:eastAsia="宋体" w:cs="Times New Roman"/>
          <w:b/>
          <w:kern w:val="0"/>
          <w:sz w:val="21"/>
          <w:szCs w:val="21"/>
        </w:rPr>
        <w:t>；</w:t>
      </w:r>
    </w:p>
    <w:p w14:paraId="24EF1577">
      <w:pPr>
        <w:autoSpaceDE w:val="0"/>
        <w:autoSpaceDN w:val="0"/>
        <w:adjustRightInd w:val="0"/>
        <w:spacing w:line="360" w:lineRule="auto"/>
        <w:jc w:val="both"/>
        <w:rPr>
          <w:rFonts w:ascii="宋体" w:hAnsi="宋体" w:eastAsia="宋体" w:cs="Times New Roman"/>
          <w:b/>
          <w:kern w:val="2"/>
          <w:sz w:val="21"/>
          <w:szCs w:val="24"/>
          <w:lang w:val="zh-CN"/>
        </w:rPr>
      </w:pPr>
      <w:r>
        <w:rPr>
          <w:rFonts w:hint="eastAsia" w:ascii="宋体" w:hAnsi="宋体" w:eastAsia="宋体" w:cs="Times New Roman"/>
          <w:b/>
          <w:kern w:val="2"/>
          <w:sz w:val="21"/>
          <w:szCs w:val="24"/>
          <w:lang w:val="zh-CN"/>
        </w:rPr>
        <w:t>5.</w:t>
      </w:r>
      <w:r>
        <w:rPr>
          <w:rFonts w:hint="eastAsia" w:ascii="宋体" w:hAnsi="宋体" w:eastAsia="宋体" w:cs="Times New Roman"/>
          <w:b/>
          <w:kern w:val="2"/>
          <w:sz w:val="21"/>
          <w:szCs w:val="24"/>
          <w:lang w:val="en-US" w:eastAsia="zh-CN"/>
        </w:rPr>
        <w:t>16</w:t>
      </w:r>
      <w:r>
        <w:rPr>
          <w:rFonts w:hint="eastAsia" w:ascii="宋体" w:hAnsi="宋体" w:eastAsia="宋体" w:cs="Times New Roman"/>
          <w:b/>
          <w:kern w:val="2"/>
          <w:sz w:val="21"/>
          <w:szCs w:val="24"/>
          <w:lang w:val="zh-CN"/>
        </w:rPr>
        <w:t>.</w:t>
      </w:r>
      <w:r>
        <w:rPr>
          <w:rFonts w:ascii="宋体" w:hAnsi="宋体" w:eastAsia="宋体" w:cs="Times New Roman"/>
          <w:b/>
          <w:kern w:val="2"/>
          <w:sz w:val="21"/>
          <w:szCs w:val="24"/>
          <w:lang w:val="zh-CN"/>
        </w:rPr>
        <w:t>2</w:t>
      </w:r>
      <w:r>
        <w:rPr>
          <w:rFonts w:hint="eastAsia" w:ascii="宋体" w:hAnsi="宋体" w:eastAsia="宋体" w:cs="Times New Roman"/>
          <w:b/>
          <w:kern w:val="2"/>
          <w:sz w:val="21"/>
          <w:szCs w:val="24"/>
          <w:lang w:val="zh-CN"/>
        </w:rPr>
        <w:t xml:space="preserve"> </w:t>
      </w:r>
      <w:r>
        <w:rPr>
          <w:rFonts w:hint="eastAsia" w:ascii="宋体" w:hAnsi="宋体" w:eastAsia="宋体" w:cs="Times New Roman"/>
          <w:b/>
          <w:kern w:val="2"/>
          <w:sz w:val="21"/>
          <w:szCs w:val="24"/>
          <w:u w:val="single"/>
          <w:lang w:val="en-US" w:eastAsia="zh-CN"/>
        </w:rPr>
        <w:t>供应商</w:t>
      </w:r>
      <w:r>
        <w:rPr>
          <w:rFonts w:hint="eastAsia" w:ascii="宋体" w:hAnsi="宋体" w:eastAsia="宋体" w:cs="Times New Roman"/>
          <w:b/>
          <w:kern w:val="2"/>
          <w:sz w:val="21"/>
          <w:szCs w:val="24"/>
          <w:u w:val="single"/>
          <w:lang w:val="zh-CN"/>
        </w:rPr>
        <w:t>的最终报价</w:t>
      </w:r>
      <w:r>
        <w:rPr>
          <w:rFonts w:hint="eastAsia" w:ascii="宋体" w:hAnsi="宋体" w:eastAsia="宋体" w:cs="Times New Roman"/>
          <w:b/>
          <w:kern w:val="2"/>
          <w:sz w:val="21"/>
          <w:szCs w:val="24"/>
          <w:u w:val="single"/>
          <w:lang w:val="en-US" w:eastAsia="zh-CN"/>
        </w:rPr>
        <w:t>高于</w:t>
      </w:r>
      <w:r>
        <w:rPr>
          <w:rFonts w:hint="eastAsia" w:ascii="宋体" w:hAnsi="宋体" w:eastAsia="宋体" w:cs="Times New Roman"/>
          <w:b/>
          <w:bCs/>
          <w:kern w:val="0"/>
          <w:sz w:val="21"/>
          <w:szCs w:val="24"/>
          <w:u w:val="single"/>
        </w:rPr>
        <w:t>最高限价</w:t>
      </w:r>
      <w:r>
        <w:rPr>
          <w:rFonts w:hint="eastAsia" w:ascii="宋体" w:hAnsi="宋体" w:eastAsia="宋体" w:cs="Times New Roman"/>
          <w:b/>
          <w:kern w:val="2"/>
          <w:sz w:val="21"/>
          <w:szCs w:val="24"/>
          <w:u w:val="single"/>
          <w:lang w:val="zh-CN"/>
        </w:rPr>
        <w:t>的</w:t>
      </w:r>
      <w:r>
        <w:rPr>
          <w:rFonts w:hint="eastAsia" w:ascii="宋体" w:hAnsi="宋体" w:eastAsia="宋体" w:cs="Times New Roman"/>
          <w:b/>
          <w:kern w:val="2"/>
          <w:sz w:val="21"/>
          <w:szCs w:val="24"/>
          <w:lang w:val="zh-CN"/>
        </w:rPr>
        <w:t>；</w:t>
      </w:r>
    </w:p>
    <w:p w14:paraId="392FA43E">
      <w:pPr>
        <w:autoSpaceDE w:val="0"/>
        <w:autoSpaceDN w:val="0"/>
        <w:adjustRightInd w:val="0"/>
        <w:spacing w:line="360" w:lineRule="auto"/>
        <w:jc w:val="both"/>
        <w:rPr>
          <w:rFonts w:ascii="宋体" w:hAnsi="宋体" w:eastAsia="宋体" w:cs="Times New Roman"/>
          <w:b/>
          <w:kern w:val="2"/>
          <w:sz w:val="21"/>
          <w:szCs w:val="24"/>
          <w:lang w:val="zh-CN"/>
        </w:rPr>
      </w:pPr>
      <w:r>
        <w:rPr>
          <w:rFonts w:hint="eastAsia" w:ascii="宋体" w:hAnsi="宋体" w:eastAsia="宋体" w:cs="Times New Roman"/>
          <w:b/>
          <w:kern w:val="2"/>
          <w:sz w:val="21"/>
          <w:szCs w:val="24"/>
          <w:lang w:val="zh-CN"/>
        </w:rPr>
        <w:t>5.</w:t>
      </w:r>
      <w:r>
        <w:rPr>
          <w:rFonts w:hint="eastAsia" w:ascii="宋体" w:hAnsi="宋体" w:eastAsia="宋体" w:cs="Times New Roman"/>
          <w:b/>
          <w:kern w:val="2"/>
          <w:sz w:val="21"/>
          <w:szCs w:val="24"/>
          <w:lang w:val="en-US" w:eastAsia="zh-CN"/>
        </w:rPr>
        <w:t>16</w:t>
      </w:r>
      <w:r>
        <w:rPr>
          <w:rFonts w:hint="eastAsia" w:ascii="宋体" w:hAnsi="宋体" w:eastAsia="宋体" w:cs="Times New Roman"/>
          <w:b/>
          <w:kern w:val="2"/>
          <w:sz w:val="21"/>
          <w:szCs w:val="24"/>
          <w:lang w:val="zh-CN"/>
        </w:rPr>
        <w:t>.</w:t>
      </w:r>
      <w:r>
        <w:rPr>
          <w:rFonts w:ascii="宋体" w:hAnsi="宋体" w:eastAsia="宋体" w:cs="Times New Roman"/>
          <w:b/>
          <w:kern w:val="2"/>
          <w:sz w:val="21"/>
          <w:szCs w:val="24"/>
          <w:lang w:val="zh-CN"/>
        </w:rPr>
        <w:t xml:space="preserve">3 </w:t>
      </w:r>
      <w:r>
        <w:rPr>
          <w:rFonts w:hint="eastAsia" w:ascii="宋体" w:hAnsi="宋体" w:eastAsia="宋体" w:cs="Times New Roman"/>
          <w:b/>
          <w:kern w:val="2"/>
          <w:sz w:val="21"/>
          <w:szCs w:val="24"/>
          <w:u w:val="single"/>
          <w:lang w:val="en-US" w:eastAsia="zh-CN"/>
        </w:rPr>
        <w:t>供应商</w:t>
      </w:r>
      <w:r>
        <w:rPr>
          <w:rFonts w:hint="eastAsia" w:ascii="宋体" w:hAnsi="宋体" w:eastAsia="宋体" w:cs="Times New Roman"/>
          <w:b/>
          <w:kern w:val="2"/>
          <w:sz w:val="21"/>
          <w:szCs w:val="24"/>
          <w:u w:val="single"/>
          <w:lang w:val="zh-CN"/>
        </w:rPr>
        <w:t>未能与</w:t>
      </w:r>
      <w:r>
        <w:rPr>
          <w:rFonts w:hint="eastAsia" w:ascii="宋体" w:hAnsi="宋体" w:eastAsia="宋体" w:cs="Times New Roman"/>
          <w:b/>
          <w:kern w:val="2"/>
          <w:sz w:val="21"/>
          <w:szCs w:val="24"/>
          <w:u w:val="single"/>
          <w:lang w:val="en-US" w:eastAsia="zh-CN"/>
        </w:rPr>
        <w:t>磋商小组</w:t>
      </w:r>
      <w:r>
        <w:rPr>
          <w:rFonts w:hint="eastAsia" w:ascii="宋体" w:hAnsi="宋体" w:eastAsia="宋体" w:cs="Times New Roman"/>
          <w:b/>
          <w:kern w:val="2"/>
          <w:sz w:val="21"/>
          <w:szCs w:val="24"/>
          <w:u w:val="single"/>
          <w:lang w:val="zh-CN"/>
        </w:rPr>
        <w:t>商定出合理的价格的</w:t>
      </w:r>
      <w:r>
        <w:rPr>
          <w:rFonts w:hint="eastAsia" w:ascii="宋体" w:hAnsi="宋体" w:eastAsia="宋体" w:cs="Times New Roman"/>
          <w:b/>
          <w:kern w:val="2"/>
          <w:sz w:val="21"/>
          <w:szCs w:val="24"/>
          <w:lang w:val="zh-CN"/>
        </w:rPr>
        <w:t>；</w:t>
      </w:r>
    </w:p>
    <w:p w14:paraId="27B83C95">
      <w:pPr>
        <w:autoSpaceDE w:val="0"/>
        <w:autoSpaceDN w:val="0"/>
        <w:adjustRightInd w:val="0"/>
        <w:spacing w:line="360" w:lineRule="auto"/>
        <w:ind w:left="708" w:hanging="708" w:hangingChars="336"/>
        <w:jc w:val="both"/>
        <w:rPr>
          <w:rFonts w:ascii="宋体" w:hAnsi="宋体" w:eastAsia="宋体" w:cs="宋体"/>
          <w:b/>
          <w:bCs/>
          <w:kern w:val="2"/>
          <w:sz w:val="32"/>
          <w:szCs w:val="32"/>
        </w:rPr>
      </w:pPr>
      <w:r>
        <w:rPr>
          <w:rFonts w:hint="eastAsia" w:ascii="宋体" w:hAnsi="宋体" w:eastAsia="宋体" w:cs="Times New Roman"/>
          <w:b/>
          <w:kern w:val="2"/>
          <w:sz w:val="21"/>
          <w:szCs w:val="24"/>
          <w:lang w:val="zh-CN"/>
        </w:rPr>
        <w:t>5.</w:t>
      </w:r>
      <w:r>
        <w:rPr>
          <w:rFonts w:hint="eastAsia" w:ascii="宋体" w:hAnsi="宋体" w:eastAsia="宋体" w:cs="Times New Roman"/>
          <w:b/>
          <w:kern w:val="2"/>
          <w:sz w:val="21"/>
          <w:szCs w:val="24"/>
          <w:lang w:val="en-US" w:eastAsia="zh-CN"/>
        </w:rPr>
        <w:t>16</w:t>
      </w:r>
      <w:r>
        <w:rPr>
          <w:rFonts w:hint="eastAsia" w:ascii="宋体" w:hAnsi="宋体" w:eastAsia="宋体" w:cs="Times New Roman"/>
          <w:b/>
          <w:kern w:val="2"/>
          <w:sz w:val="21"/>
          <w:szCs w:val="24"/>
          <w:lang w:val="zh-CN"/>
        </w:rPr>
        <w:t>.</w:t>
      </w:r>
      <w:r>
        <w:rPr>
          <w:rFonts w:ascii="宋体" w:hAnsi="宋体" w:eastAsia="宋体" w:cs="Times New Roman"/>
          <w:b/>
          <w:kern w:val="2"/>
          <w:sz w:val="21"/>
          <w:szCs w:val="24"/>
          <w:lang w:val="zh-CN"/>
        </w:rPr>
        <w:t xml:space="preserve">4 </w:t>
      </w:r>
      <w:r>
        <w:rPr>
          <w:rFonts w:hint="eastAsia" w:ascii="宋体" w:hAnsi="宋体" w:eastAsia="宋体" w:cs="Times New Roman"/>
          <w:b/>
          <w:kern w:val="2"/>
          <w:sz w:val="21"/>
          <w:szCs w:val="24"/>
          <w:u w:val="single"/>
          <w:lang w:val="en-US" w:eastAsia="zh-CN"/>
        </w:rPr>
        <w:t>磋商小组</w:t>
      </w:r>
      <w:r>
        <w:rPr>
          <w:rFonts w:hint="eastAsia" w:ascii="宋体" w:hAnsi="宋体" w:eastAsia="宋体" w:cs="Times New Roman"/>
          <w:b/>
          <w:kern w:val="2"/>
          <w:sz w:val="21"/>
          <w:szCs w:val="24"/>
          <w:u w:val="single"/>
          <w:lang w:val="zh-CN"/>
        </w:rPr>
        <w:t>认定</w:t>
      </w:r>
      <w:r>
        <w:rPr>
          <w:rFonts w:hint="eastAsia" w:ascii="宋体" w:hAnsi="宋体" w:eastAsia="宋体" w:cs="Times New Roman"/>
          <w:b/>
          <w:kern w:val="2"/>
          <w:sz w:val="21"/>
          <w:szCs w:val="24"/>
          <w:u w:val="single"/>
          <w:lang w:val="en-US" w:eastAsia="zh-CN"/>
        </w:rPr>
        <w:t>供应商</w:t>
      </w:r>
      <w:r>
        <w:rPr>
          <w:rFonts w:hint="eastAsia" w:ascii="宋体" w:hAnsi="宋体" w:eastAsia="宋体" w:cs="Times New Roman"/>
          <w:b/>
          <w:kern w:val="2"/>
          <w:sz w:val="21"/>
          <w:szCs w:val="24"/>
          <w:u w:val="single"/>
          <w:lang w:val="zh-CN"/>
        </w:rPr>
        <w:t>最终的</w:t>
      </w:r>
      <w:r>
        <w:rPr>
          <w:rFonts w:hint="eastAsia" w:ascii="宋体" w:hAnsi="宋体" w:eastAsia="宋体" w:cs="Times New Roman"/>
          <w:b/>
          <w:kern w:val="2"/>
          <w:sz w:val="21"/>
          <w:szCs w:val="24"/>
          <w:u w:val="single"/>
          <w:lang w:val="en-US" w:eastAsia="zh-CN"/>
        </w:rPr>
        <w:t>响应</w:t>
      </w:r>
      <w:r>
        <w:rPr>
          <w:rFonts w:hint="eastAsia" w:ascii="宋体" w:hAnsi="宋体" w:eastAsia="宋体" w:cs="Times New Roman"/>
          <w:b/>
          <w:kern w:val="2"/>
          <w:sz w:val="21"/>
          <w:szCs w:val="24"/>
          <w:u w:val="single"/>
          <w:lang w:val="zh-CN"/>
        </w:rPr>
        <w:t>文件存在影响采购项目质量，</w:t>
      </w:r>
      <w:r>
        <w:rPr>
          <w:rFonts w:hint="eastAsia" w:ascii="宋体" w:hAnsi="宋体" w:eastAsia="宋体" w:cs="Times New Roman"/>
          <w:b/>
          <w:kern w:val="0"/>
          <w:sz w:val="21"/>
          <w:szCs w:val="21"/>
          <w:u w:val="single"/>
          <w:lang w:val="zh-CN"/>
        </w:rPr>
        <w:t>且</w:t>
      </w:r>
      <w:r>
        <w:rPr>
          <w:rFonts w:hint="eastAsia" w:ascii="宋体" w:hAnsi="宋体" w:eastAsia="宋体" w:cs="Times New Roman"/>
          <w:b/>
          <w:kern w:val="0"/>
          <w:sz w:val="21"/>
          <w:szCs w:val="21"/>
          <w:u w:val="single"/>
          <w:lang w:val="en-US" w:eastAsia="zh-CN"/>
        </w:rPr>
        <w:t>供应商</w:t>
      </w:r>
      <w:r>
        <w:rPr>
          <w:rFonts w:hint="eastAsia" w:ascii="宋体" w:hAnsi="宋体" w:eastAsia="宋体" w:cs="Times New Roman"/>
          <w:b/>
          <w:kern w:val="0"/>
          <w:sz w:val="21"/>
          <w:szCs w:val="21"/>
          <w:u w:val="single"/>
          <w:lang w:val="zh-CN"/>
        </w:rPr>
        <w:t>不能合理说明或不能提供相关证明材料</w:t>
      </w:r>
      <w:r>
        <w:rPr>
          <w:rFonts w:hint="eastAsia" w:ascii="宋体" w:hAnsi="宋体" w:eastAsia="宋体" w:cs="Times New Roman"/>
          <w:b/>
          <w:kern w:val="2"/>
          <w:sz w:val="21"/>
          <w:szCs w:val="24"/>
          <w:lang w:val="zh-CN"/>
        </w:rPr>
        <w:t>。</w:t>
      </w:r>
    </w:p>
    <w:p w14:paraId="530AF5D2">
      <w:pPr>
        <w:tabs>
          <w:tab w:val="left" w:pos="1140"/>
        </w:tabs>
        <w:spacing w:line="360" w:lineRule="auto"/>
        <w:ind w:firstLine="0" w:firstLineChars="0"/>
        <w:rPr>
          <w:rFonts w:hint="eastAsia" w:ascii="宋体" w:hAnsi="宋体" w:eastAsia="宋体" w:cs="宋体"/>
          <w:b/>
          <w:bCs/>
          <w:color w:val="auto"/>
          <w:kern w:val="2"/>
          <w:sz w:val="32"/>
          <w:szCs w:val="32"/>
          <w:highlight w:val="none"/>
        </w:rPr>
      </w:pPr>
    </w:p>
    <w:p w14:paraId="7EADA89D">
      <w:pPr>
        <w:tabs>
          <w:tab w:val="left" w:pos="1140"/>
        </w:tabs>
        <w:spacing w:line="360" w:lineRule="auto"/>
        <w:ind w:firstLine="2811" w:firstLineChars="1000"/>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二、响应文件的初审</w:t>
      </w:r>
    </w:p>
    <w:p w14:paraId="1E3D8C02">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6、响应文件的初审分为资格性检查和符合性检查。</w:t>
      </w:r>
    </w:p>
    <w:p w14:paraId="1D3E6070">
      <w:pPr>
        <w:spacing w:line="360" w:lineRule="auto"/>
        <w:ind w:left="443" w:leftChars="8"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6.1 资格性检查是指磋商小组依据法律法规和竞争性磋商文件的规定，对响应文件中的资格证明</w:t>
      </w:r>
      <w:r>
        <w:rPr>
          <w:rFonts w:hint="eastAsia" w:ascii="宋体" w:hAnsi="宋体" w:eastAsia="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磋商</w:t>
      </w:r>
      <w:r>
        <w:rPr>
          <w:rFonts w:hint="eastAsia" w:ascii="宋体" w:hAnsi="宋体" w:eastAsia="宋体" w:cs="宋体"/>
          <w:b w:val="0"/>
          <w:color w:val="auto"/>
          <w:kern w:val="2"/>
          <w:sz w:val="21"/>
          <w:szCs w:val="24"/>
          <w:highlight w:val="none"/>
          <w:lang w:val="zh-CN"/>
        </w:rPr>
        <w:t>保证金</w:t>
      </w:r>
      <w:r>
        <w:rPr>
          <w:rFonts w:hint="eastAsia" w:ascii="宋体" w:hAnsi="宋体" w:cs="宋体"/>
          <w:b w:val="0"/>
          <w:color w:val="auto"/>
          <w:kern w:val="2"/>
          <w:sz w:val="21"/>
          <w:szCs w:val="24"/>
          <w:highlight w:val="none"/>
          <w:lang w:val="zh-CN"/>
        </w:rPr>
        <w:t>、</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（含其不具有独立法人资格的分支机构）信用（由</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代理机构在递交</w:t>
      </w:r>
      <w:r>
        <w:rPr>
          <w:rFonts w:hint="eastAsia" w:ascii="宋体" w:hAnsi="宋体" w:cs="宋体"/>
          <w:b w:val="0"/>
          <w:color w:val="auto"/>
          <w:kern w:val="2"/>
          <w:sz w:val="21"/>
          <w:szCs w:val="24"/>
          <w:highlight w:val="none"/>
          <w:lang w:val="en-US" w:eastAsia="zh-CN"/>
        </w:rPr>
        <w:t>响应</w:t>
      </w:r>
      <w:r>
        <w:rPr>
          <w:rFonts w:hint="eastAsia" w:ascii="宋体" w:hAnsi="宋体" w:cs="宋体"/>
          <w:b w:val="0"/>
          <w:color w:val="auto"/>
          <w:kern w:val="2"/>
          <w:sz w:val="21"/>
          <w:szCs w:val="24"/>
          <w:highlight w:val="none"/>
          <w:lang w:val="zh-CN"/>
        </w:rPr>
        <w:t>文件截止时间当天通过“信用中国”网站对</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信用进行查询，</w:t>
      </w:r>
      <w:r>
        <w:rPr>
          <w:rFonts w:hint="eastAsia" w:ascii="宋体" w:hAnsi="宋体" w:cs="宋体"/>
          <w:b w:val="0"/>
          <w:color w:val="auto"/>
          <w:kern w:val="2"/>
          <w:sz w:val="21"/>
          <w:szCs w:val="24"/>
          <w:highlight w:val="none"/>
          <w:lang w:val="en-US" w:eastAsia="zh-CN"/>
        </w:rPr>
        <w:t>采购</w:t>
      </w:r>
      <w:r>
        <w:rPr>
          <w:rFonts w:hint="eastAsia" w:ascii="宋体" w:hAnsi="宋体" w:cs="宋体"/>
          <w:b w:val="0"/>
          <w:color w:val="auto"/>
          <w:kern w:val="2"/>
          <w:sz w:val="21"/>
          <w:szCs w:val="24"/>
          <w:highlight w:val="none"/>
          <w:lang w:val="zh-CN"/>
        </w:rPr>
        <w:t>代理机构将查询情况提交</w:t>
      </w:r>
      <w:r>
        <w:rPr>
          <w:rFonts w:hint="eastAsia" w:ascii="宋体" w:hAnsi="宋体" w:cs="宋体"/>
          <w:b w:val="0"/>
          <w:color w:val="auto"/>
          <w:kern w:val="2"/>
          <w:sz w:val="21"/>
          <w:szCs w:val="24"/>
          <w:highlight w:val="none"/>
          <w:lang w:val="en-US" w:eastAsia="zh-CN"/>
        </w:rPr>
        <w:t>磋商小组</w:t>
      </w:r>
      <w:r>
        <w:rPr>
          <w:rFonts w:hint="eastAsia" w:ascii="宋体" w:hAnsi="宋体" w:cs="宋体"/>
          <w:b w:val="0"/>
          <w:color w:val="auto"/>
          <w:kern w:val="2"/>
          <w:sz w:val="21"/>
          <w:szCs w:val="24"/>
          <w:highlight w:val="none"/>
          <w:lang w:val="zh-CN"/>
        </w:rPr>
        <w:t>评审）等进行审查，以确定</w:t>
      </w:r>
      <w:r>
        <w:rPr>
          <w:rFonts w:hint="eastAsia" w:ascii="宋体" w:hAnsi="宋体" w:cs="宋体"/>
          <w:b w:val="0"/>
          <w:color w:val="auto"/>
          <w:kern w:val="2"/>
          <w:sz w:val="21"/>
          <w:szCs w:val="24"/>
          <w:highlight w:val="none"/>
          <w:lang w:val="en-US" w:eastAsia="zh-CN"/>
        </w:rPr>
        <w:t>供应商</w:t>
      </w:r>
      <w:r>
        <w:rPr>
          <w:rFonts w:hint="eastAsia" w:ascii="宋体" w:hAnsi="宋体" w:cs="宋体"/>
          <w:b w:val="0"/>
          <w:color w:val="auto"/>
          <w:kern w:val="2"/>
          <w:sz w:val="21"/>
          <w:szCs w:val="24"/>
          <w:highlight w:val="none"/>
          <w:lang w:val="zh-CN"/>
        </w:rPr>
        <w:t>是否具备</w:t>
      </w:r>
      <w:r>
        <w:rPr>
          <w:rFonts w:hint="eastAsia" w:ascii="宋体" w:hAnsi="宋体" w:cs="宋体"/>
          <w:b w:val="0"/>
          <w:color w:val="auto"/>
          <w:kern w:val="2"/>
          <w:sz w:val="21"/>
          <w:szCs w:val="24"/>
          <w:highlight w:val="none"/>
          <w:lang w:val="en-US" w:eastAsia="zh-CN"/>
        </w:rPr>
        <w:t>磋商</w:t>
      </w:r>
      <w:r>
        <w:rPr>
          <w:rFonts w:hint="eastAsia" w:ascii="宋体" w:hAnsi="宋体" w:cs="宋体"/>
          <w:b w:val="0"/>
          <w:color w:val="auto"/>
          <w:kern w:val="2"/>
          <w:sz w:val="21"/>
          <w:szCs w:val="24"/>
          <w:highlight w:val="none"/>
          <w:lang w:val="zh-CN"/>
        </w:rPr>
        <w:t>资格。</w:t>
      </w:r>
    </w:p>
    <w:p w14:paraId="0C0B76CB">
      <w:pPr>
        <w:spacing w:line="360" w:lineRule="auto"/>
        <w:ind w:left="424" w:hanging="424" w:hangingChars="202"/>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6.2 符合性检查是指磋商小组依据竞争性磋商文件规定，从响应文件的有效性、完整性和对竞争性磋商文件的响应程度进行审查，以确定是否对竞争性磋商文件的实质性要求作出响应。</w:t>
      </w:r>
    </w:p>
    <w:p w14:paraId="48C742BB">
      <w:pPr>
        <w:spacing w:line="360" w:lineRule="auto"/>
        <w:ind w:left="545" w:leftChars="227" w:firstLine="420" w:firstLine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实质性响应的磋商响应指的是符合竞争性磋商文件要求的全部“★”条款和验收标准而无任何重大偏离或保留。重大偏离或保留系指实质上影响到合同项下的服务范围、质量</w:t>
      </w:r>
      <w:r>
        <w:rPr>
          <w:rFonts w:hint="eastAsia" w:ascii="宋体" w:hAnsi="宋体" w:cs="宋体"/>
          <w:color w:val="auto"/>
          <w:kern w:val="2"/>
          <w:sz w:val="21"/>
          <w:highlight w:val="none"/>
          <w:lang w:val="zh-CN"/>
        </w:rPr>
        <w:t>，</w:t>
      </w:r>
      <w:r>
        <w:rPr>
          <w:rFonts w:hint="eastAsia" w:ascii="宋体" w:hAnsi="宋体" w:cs="宋体"/>
          <w:color w:val="auto"/>
          <w:kern w:val="2"/>
          <w:sz w:val="21"/>
          <w:highlight w:val="none"/>
          <w:lang w:val="en-US" w:eastAsia="zh-CN"/>
        </w:rPr>
        <w:t>或指与竞争性磋商文件有</w:t>
      </w:r>
      <w:r>
        <w:rPr>
          <w:rFonts w:hint="eastAsia" w:ascii="宋体" w:hAnsi="宋体" w:eastAsia="宋体" w:cs="宋体"/>
          <w:color w:val="auto"/>
          <w:kern w:val="2"/>
          <w:sz w:val="21"/>
          <w:highlight w:val="none"/>
          <w:lang w:val="zh-CN"/>
        </w:rPr>
        <w:t>实质不一致，限制了合同项下采购人的权利和承包人的义务, 或对该重大偏离的修改对提交实质性响应磋商的其他供应商将不公平。</w:t>
      </w:r>
    </w:p>
    <w:p w14:paraId="087C1DA8">
      <w:pPr>
        <w:spacing w:line="360" w:lineRule="auto"/>
        <w:ind w:firstLine="945" w:firstLineChars="4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磋商小组决定竞争性磋商文件的响应性是基于响应文件的内容本身而不靠外部的证据。</w:t>
      </w:r>
    </w:p>
    <w:p w14:paraId="74EEFE3E">
      <w:pPr>
        <w:spacing w:line="360" w:lineRule="auto"/>
        <w:ind w:left="545" w:leftChars="227" w:firstLine="422" w:firstLineChars="200"/>
        <w:jc w:val="both"/>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highlight w:val="none"/>
          <w:u w:val="single"/>
          <w:lang w:val="zh-CN"/>
        </w:rPr>
        <w:t>对是否符合实质性响应竞争性磋商文件有争议的响应文件,磋商小组将以记名方式表决,</w:t>
      </w:r>
      <w:r>
        <w:rPr>
          <w:rFonts w:hint="eastAsia" w:ascii="宋体" w:hAnsi="宋体" w:cs="宋体"/>
          <w:b/>
          <w:bCs/>
          <w:color w:val="auto"/>
          <w:kern w:val="2"/>
          <w:sz w:val="21"/>
          <w:highlight w:val="none"/>
          <w:u w:val="single"/>
          <w:lang w:val="en-US" w:eastAsia="zh-CN"/>
        </w:rPr>
        <w:t>根据少数服从多数的原则，获多数表决通过的供应商</w:t>
      </w:r>
      <w:r>
        <w:rPr>
          <w:rFonts w:hint="eastAsia" w:ascii="宋体" w:hAnsi="宋体" w:eastAsia="宋体" w:cs="宋体"/>
          <w:b/>
          <w:bCs/>
          <w:color w:val="auto"/>
          <w:kern w:val="2"/>
          <w:sz w:val="21"/>
          <w:highlight w:val="none"/>
          <w:u w:val="single"/>
          <w:lang w:val="zh-CN"/>
        </w:rPr>
        <w:t>才有资格进入下一阶段的评审,否则将被认定为无效响应文件</w:t>
      </w:r>
      <w:r>
        <w:rPr>
          <w:rFonts w:hint="eastAsia" w:ascii="宋体" w:hAnsi="宋体" w:eastAsia="宋体" w:cs="宋体"/>
          <w:b/>
          <w:bCs/>
          <w:color w:val="auto"/>
          <w:kern w:val="2"/>
          <w:sz w:val="21"/>
          <w:highlight w:val="none"/>
          <w:lang w:val="zh-CN"/>
        </w:rPr>
        <w:t>。</w:t>
      </w:r>
    </w:p>
    <w:p w14:paraId="6245ECB0">
      <w:pPr>
        <w:spacing w:line="360" w:lineRule="auto"/>
        <w:jc w:val="both"/>
        <w:rPr>
          <w:rFonts w:hint="eastAsia" w:ascii="宋体" w:hAnsi="宋体" w:eastAsia="宋体" w:cs="宋体"/>
          <w:color w:val="auto"/>
          <w:kern w:val="2"/>
          <w:sz w:val="21"/>
          <w:highlight w:val="none"/>
          <w:lang w:val="zh-CN"/>
        </w:rPr>
      </w:pPr>
    </w:p>
    <w:p w14:paraId="639554ED">
      <w:pPr>
        <w:spacing w:line="360" w:lineRule="auto"/>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7、响应文件出现下列情况之一的，被认定为无效</w:t>
      </w:r>
      <w:r>
        <w:rPr>
          <w:rFonts w:hint="eastAsia" w:ascii="宋体" w:hAnsi="宋体" w:eastAsia="宋体" w:cs="宋体"/>
          <w:b/>
          <w:color w:val="auto"/>
          <w:kern w:val="2"/>
          <w:sz w:val="21"/>
          <w:highlight w:val="none"/>
          <w:lang w:val="en-US" w:eastAsia="zh-CN"/>
        </w:rPr>
        <w:t>响应</w:t>
      </w:r>
      <w:r>
        <w:rPr>
          <w:rFonts w:hint="eastAsia" w:ascii="宋体" w:hAnsi="宋体" w:eastAsia="宋体" w:cs="宋体"/>
          <w:b/>
          <w:color w:val="auto"/>
          <w:kern w:val="2"/>
          <w:sz w:val="21"/>
          <w:highlight w:val="none"/>
          <w:lang w:val="zh-CN"/>
        </w:rPr>
        <w:t>：</w:t>
      </w:r>
    </w:p>
    <w:p w14:paraId="26A47AB6">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7.1 </w:t>
      </w:r>
      <w:r>
        <w:rPr>
          <w:rFonts w:hint="eastAsia" w:ascii="宋体" w:hAnsi="宋体" w:eastAsia="宋体" w:cs="宋体"/>
          <w:b/>
          <w:color w:val="auto"/>
          <w:sz w:val="21"/>
          <w:szCs w:val="21"/>
          <w:highlight w:val="none"/>
          <w:u w:val="single"/>
          <w:lang w:val="en-US" w:eastAsia="zh-CN"/>
        </w:rPr>
        <w:t>供应商未按竞争性磋商文件要求缴纳磋商保证金</w:t>
      </w:r>
      <w:r>
        <w:rPr>
          <w:rFonts w:hint="eastAsia" w:ascii="宋体" w:hAnsi="宋体" w:eastAsia="宋体" w:cs="宋体"/>
          <w:b/>
          <w:color w:val="auto"/>
          <w:sz w:val="21"/>
          <w:szCs w:val="21"/>
          <w:highlight w:val="none"/>
        </w:rPr>
        <w:t>；</w:t>
      </w:r>
    </w:p>
    <w:p w14:paraId="09B56AC5">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磋商最后报价</w:t>
      </w:r>
      <w:r>
        <w:rPr>
          <w:rFonts w:hint="eastAsia" w:ascii="宋体" w:hAnsi="宋体" w:eastAsia="宋体" w:cs="宋体"/>
          <w:b/>
          <w:color w:val="auto"/>
          <w:sz w:val="21"/>
          <w:szCs w:val="21"/>
          <w:highlight w:val="none"/>
          <w:u w:val="single"/>
          <w:lang w:val="en-US" w:eastAsia="zh-CN"/>
        </w:rPr>
        <w:t>高于</w:t>
      </w:r>
      <w:r>
        <w:rPr>
          <w:rFonts w:hint="eastAsia" w:ascii="宋体" w:hAnsi="宋体" w:eastAsia="宋体" w:cs="宋体"/>
          <w:b/>
          <w:color w:val="auto"/>
          <w:sz w:val="21"/>
          <w:szCs w:val="21"/>
          <w:highlight w:val="none"/>
          <w:u w:val="single"/>
        </w:rPr>
        <w:t>最高限价的</w:t>
      </w:r>
      <w:r>
        <w:rPr>
          <w:rFonts w:hint="eastAsia" w:ascii="宋体" w:hAnsi="宋体" w:eastAsia="宋体" w:cs="宋体"/>
          <w:b/>
          <w:color w:val="auto"/>
          <w:sz w:val="21"/>
          <w:szCs w:val="21"/>
          <w:highlight w:val="none"/>
        </w:rPr>
        <w:t>；</w:t>
      </w:r>
    </w:p>
    <w:p w14:paraId="15D72181">
      <w:pPr>
        <w:tabs>
          <w:tab w:val="left" w:pos="567"/>
        </w:tabs>
        <w:spacing w:line="360" w:lineRule="auto"/>
        <w:ind w:left="632" w:hanging="632" w:hangingChars="300"/>
        <w:outlineLvl w:val="9"/>
        <w:rPr>
          <w:rFonts w:hint="eastAsia" w:ascii="宋体" w:hAnsi="宋体" w:eastAsia="宋体" w:cs="宋体"/>
          <w:b/>
          <w:kern w:val="0"/>
          <w:sz w:val="21"/>
          <w:szCs w:val="21"/>
        </w:rPr>
      </w:pPr>
      <w:r>
        <w:rPr>
          <w:rFonts w:hint="eastAsia" w:ascii="宋体" w:hAnsi="宋体" w:eastAsia="宋体" w:cs="宋体"/>
          <w:b/>
          <w:kern w:val="0"/>
          <w:sz w:val="21"/>
          <w:szCs w:val="21"/>
        </w:rPr>
        <w:t xml:space="preserve">7.3 </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以低于企业成本价报价，且</w:t>
      </w:r>
      <w:r>
        <w:rPr>
          <w:rFonts w:hint="eastAsia" w:ascii="宋体" w:hAnsi="宋体" w:eastAsia="宋体" w:cs="宋体"/>
          <w:b/>
          <w:kern w:val="0"/>
          <w:sz w:val="21"/>
          <w:szCs w:val="21"/>
          <w:u w:val="single"/>
          <w:lang w:val="en-US" w:eastAsia="zh-CN"/>
        </w:rPr>
        <w:t>供应商</w:t>
      </w:r>
      <w:r>
        <w:rPr>
          <w:rFonts w:hint="eastAsia" w:ascii="宋体" w:hAnsi="宋体" w:eastAsia="宋体" w:cs="宋体"/>
          <w:b/>
          <w:kern w:val="0"/>
          <w:sz w:val="21"/>
          <w:szCs w:val="21"/>
          <w:u w:val="single"/>
        </w:rPr>
        <w:t>不能合理说明或不能提供相关证明材料</w:t>
      </w:r>
      <w:r>
        <w:rPr>
          <w:rFonts w:hint="eastAsia" w:ascii="宋体" w:hAnsi="宋体" w:eastAsia="宋体" w:cs="宋体"/>
          <w:b/>
          <w:kern w:val="0"/>
          <w:sz w:val="21"/>
          <w:szCs w:val="21"/>
        </w:rPr>
        <w:t>；</w:t>
      </w:r>
    </w:p>
    <w:p w14:paraId="13976A35">
      <w:pPr>
        <w:pStyle w:val="187"/>
        <w:spacing w:line="360" w:lineRule="auto"/>
        <w:ind w:left="493" w:leftChars="0" w:hanging="493" w:hangingChars="234"/>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供应商不符合合格供应商的基本条件[含未提供资格证明文件，或供应商（含其不具有独立法人</w:t>
      </w:r>
    </w:p>
    <w:p w14:paraId="6CE81893">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rPr>
        <w:t>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、政府采购严重违法失信行为记录名单（处罚期限届满的除外）]</w:t>
      </w:r>
      <w:r>
        <w:rPr>
          <w:rFonts w:hint="eastAsia" w:ascii="宋体" w:hAnsi="宋体" w:eastAsia="宋体" w:cs="宋体"/>
          <w:b/>
          <w:color w:val="auto"/>
          <w:sz w:val="21"/>
          <w:szCs w:val="21"/>
          <w:highlight w:val="none"/>
        </w:rPr>
        <w:t>；</w:t>
      </w:r>
    </w:p>
    <w:p w14:paraId="27441F11">
      <w:pPr>
        <w:pStyle w:val="187"/>
        <w:spacing w:line="360" w:lineRule="auto"/>
        <w:ind w:left="527" w:hanging="527" w:hanging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响应文件未按照</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规定要求密封；响应文件无法定代表人或其授权代表签字（或盖私章），或签字人无法定代表人有效授权的；签字盖章不符合</w:t>
      </w:r>
      <w:r>
        <w:rPr>
          <w:rFonts w:hint="eastAsia" w:ascii="宋体" w:hAnsi="宋体" w:eastAsia="宋体" w:cs="宋体"/>
          <w:b/>
          <w:color w:val="auto"/>
          <w:sz w:val="21"/>
          <w:szCs w:val="21"/>
          <w:highlight w:val="none"/>
          <w:u w:val="single"/>
          <w:lang w:val="en-US" w:eastAsia="zh-CN"/>
        </w:rPr>
        <w:t>竞争性磋商</w:t>
      </w:r>
      <w:r>
        <w:rPr>
          <w:rFonts w:hint="eastAsia" w:ascii="宋体" w:hAnsi="宋体" w:eastAsia="宋体" w:cs="宋体"/>
          <w:b/>
          <w:color w:val="auto"/>
          <w:sz w:val="21"/>
          <w:szCs w:val="21"/>
          <w:highlight w:val="none"/>
          <w:u w:val="single"/>
        </w:rPr>
        <w:t>文件要求的</w:t>
      </w:r>
      <w:r>
        <w:rPr>
          <w:rFonts w:hint="eastAsia" w:ascii="宋体" w:hAnsi="宋体" w:eastAsia="宋体" w:cs="宋体"/>
          <w:b/>
          <w:color w:val="auto"/>
          <w:sz w:val="21"/>
          <w:szCs w:val="21"/>
          <w:highlight w:val="none"/>
        </w:rPr>
        <w:t xml:space="preserve">； </w:t>
      </w:r>
    </w:p>
    <w:p w14:paraId="0563D5B5">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w:t>
      </w:r>
      <w:r>
        <w:rPr>
          <w:rFonts w:hint="eastAsia" w:ascii="宋体" w:hAnsi="宋体" w:eastAsia="宋体" w:cs="宋体"/>
          <w:b/>
          <w:color w:val="auto"/>
          <w:sz w:val="21"/>
          <w:szCs w:val="21"/>
          <w:highlight w:val="none"/>
          <w:u w:val="single"/>
        </w:rPr>
        <w:t>有效期限不符合要求</w:t>
      </w:r>
      <w:r>
        <w:rPr>
          <w:rFonts w:hint="eastAsia" w:ascii="宋体" w:hAnsi="宋体" w:eastAsia="宋体" w:cs="宋体"/>
          <w:b/>
          <w:color w:val="auto"/>
          <w:sz w:val="21"/>
          <w:szCs w:val="21"/>
          <w:highlight w:val="none"/>
        </w:rPr>
        <w:t>；</w:t>
      </w:r>
    </w:p>
    <w:p w14:paraId="0D14B527">
      <w:pPr>
        <w:pStyle w:val="187"/>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lang w:val="en-US" w:eastAsia="zh-CN"/>
        </w:rPr>
        <w:t>响应文件未对采购范围内的全部内容进行响应报价</w:t>
      </w:r>
      <w:r>
        <w:rPr>
          <w:rFonts w:hint="eastAsia" w:ascii="宋体" w:hAnsi="宋体" w:eastAsia="宋体" w:cs="宋体"/>
          <w:b/>
          <w:color w:val="auto"/>
          <w:sz w:val="21"/>
          <w:szCs w:val="21"/>
          <w:highlight w:val="none"/>
          <w:u w:val="single"/>
        </w:rPr>
        <w:t>或</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rPr>
        <w:t>方案不是唯一</w:t>
      </w:r>
      <w:r>
        <w:rPr>
          <w:rFonts w:hint="eastAsia" w:ascii="宋体" w:hAnsi="宋体" w:eastAsia="宋体" w:cs="宋体"/>
          <w:b/>
          <w:color w:val="auto"/>
          <w:sz w:val="21"/>
          <w:szCs w:val="21"/>
          <w:highlight w:val="none"/>
        </w:rPr>
        <w:t>；</w:t>
      </w:r>
    </w:p>
    <w:p w14:paraId="39A2BF55">
      <w:pPr>
        <w:pStyle w:val="187"/>
        <w:spacing w:line="360" w:lineRule="auto"/>
        <w:ind w:left="493" w:leftChars="0" w:hanging="493" w:hangingChars="234"/>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 xml:space="preserve">8 </w:t>
      </w:r>
      <w:r>
        <w:rPr>
          <w:rFonts w:hint="eastAsia" w:ascii="宋体" w:hAnsi="宋体" w:eastAsia="宋体" w:cs="宋体"/>
          <w:b/>
          <w:color w:val="auto"/>
          <w:sz w:val="21"/>
          <w:szCs w:val="21"/>
          <w:highlight w:val="none"/>
          <w:u w:val="single"/>
          <w:lang w:val="en-US" w:eastAsia="zh-CN"/>
        </w:rPr>
        <w:t>未提供或</w:t>
      </w:r>
      <w:r>
        <w:rPr>
          <w:rFonts w:hint="eastAsia" w:ascii="宋体" w:hAnsi="宋体" w:eastAsia="宋体" w:cs="宋体"/>
          <w:b/>
          <w:color w:val="auto"/>
          <w:sz w:val="21"/>
          <w:szCs w:val="21"/>
          <w:highlight w:val="none"/>
          <w:u w:val="single"/>
        </w:rPr>
        <w:t>虚假填写《合同条款偏离表》和《用户需求偏离表》的，或</w:t>
      </w:r>
      <w:r>
        <w:rPr>
          <w:rFonts w:hint="eastAsia" w:ascii="宋体" w:hAnsi="宋体" w:eastAsia="宋体" w:cs="宋体"/>
          <w:b/>
          <w:color w:val="auto"/>
          <w:sz w:val="21"/>
          <w:szCs w:val="21"/>
          <w:highlight w:val="none"/>
          <w:u w:val="single"/>
          <w:lang w:val="en-US" w:eastAsia="zh-CN"/>
        </w:rPr>
        <w:t>经磋商小组与供应商进行</w:t>
      </w:r>
    </w:p>
    <w:p w14:paraId="270110BD">
      <w:pPr>
        <w:pStyle w:val="187"/>
        <w:spacing w:line="360" w:lineRule="auto"/>
        <w:ind w:left="418" w:leftChars="174"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u w:val="single"/>
          <w:lang w:val="en-US" w:eastAsia="zh-CN"/>
        </w:rPr>
        <w:t>磋商后，供应商最终的</w:t>
      </w:r>
      <w:r>
        <w:rPr>
          <w:rFonts w:hint="eastAsia" w:ascii="宋体" w:hAnsi="宋体" w:eastAsia="宋体" w:cs="宋体"/>
          <w:b/>
          <w:color w:val="auto"/>
          <w:sz w:val="21"/>
          <w:szCs w:val="21"/>
          <w:highlight w:val="none"/>
          <w:u w:val="single"/>
        </w:rPr>
        <w:t>《合同条款偏离表》</w:t>
      </w:r>
      <w:r>
        <w:rPr>
          <w:rFonts w:hint="eastAsia" w:ascii="宋体" w:hAnsi="宋体" w:eastAsia="宋体" w:cs="宋体"/>
          <w:b/>
          <w:color w:val="auto"/>
          <w:sz w:val="21"/>
          <w:szCs w:val="21"/>
          <w:highlight w:val="none"/>
          <w:u w:val="single"/>
          <w:lang w:val="en-US" w:eastAsia="zh-CN"/>
        </w:rPr>
        <w:t>响应条款</w:t>
      </w:r>
      <w:r>
        <w:rPr>
          <w:rFonts w:hint="eastAsia" w:ascii="宋体" w:hAnsi="宋体" w:eastAsia="宋体" w:cs="宋体"/>
          <w:b/>
          <w:color w:val="auto"/>
          <w:sz w:val="21"/>
          <w:szCs w:val="21"/>
          <w:highlight w:val="none"/>
          <w:u w:val="single"/>
        </w:rPr>
        <w:t>有重大的负偏离导致采购人利益无法得到保障、存在采购人无法接受的风险的</w:t>
      </w:r>
      <w:r>
        <w:rPr>
          <w:rFonts w:hint="eastAsia" w:ascii="宋体" w:hAnsi="宋体" w:eastAsia="宋体" w:cs="宋体"/>
          <w:b/>
          <w:color w:val="auto"/>
          <w:sz w:val="21"/>
          <w:szCs w:val="21"/>
          <w:highlight w:val="none"/>
        </w:rPr>
        <w:t>。</w:t>
      </w:r>
    </w:p>
    <w:p w14:paraId="57913525">
      <w:pPr>
        <w:pStyle w:val="187"/>
        <w:spacing w:line="360" w:lineRule="auto"/>
        <w:ind w:firstLine="0" w:firstLineChars="0"/>
        <w:rPr>
          <w:rFonts w:hint="eastAsia" w:ascii="宋体" w:hAnsi="宋体" w:eastAsia="宋体" w:cs="宋体"/>
          <w:color w:val="auto"/>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single"/>
        </w:rPr>
        <w:t>未实质性满足</w:t>
      </w:r>
      <w:r>
        <w:rPr>
          <w:rFonts w:hint="eastAsia" w:ascii="宋体" w:hAnsi="宋体" w:eastAsia="宋体" w:cs="宋体"/>
          <w:b/>
          <w:color w:val="auto"/>
          <w:sz w:val="21"/>
          <w:szCs w:val="21"/>
          <w:highlight w:val="none"/>
          <w:u w:val="single"/>
          <w:lang w:eastAsia="zh-CN"/>
        </w:rPr>
        <w:t>竞争性磋商文件</w:t>
      </w:r>
      <w:r>
        <w:rPr>
          <w:rFonts w:hint="eastAsia" w:ascii="宋体" w:hAnsi="宋体" w:eastAsia="宋体" w:cs="宋体"/>
          <w:b/>
          <w:color w:val="auto"/>
          <w:sz w:val="21"/>
          <w:szCs w:val="21"/>
          <w:highlight w:val="none"/>
          <w:u w:val="single"/>
        </w:rPr>
        <w:t>提出的实质性要求和条件（标注★的条款）</w:t>
      </w:r>
      <w:r>
        <w:rPr>
          <w:rFonts w:hint="eastAsia" w:ascii="宋体" w:hAnsi="宋体" w:eastAsia="宋体" w:cs="宋体"/>
          <w:b/>
          <w:color w:val="auto"/>
          <w:sz w:val="21"/>
          <w:szCs w:val="21"/>
          <w:highlight w:val="none"/>
        </w:rPr>
        <w:t>。</w:t>
      </w:r>
    </w:p>
    <w:p w14:paraId="2B9C08B1">
      <w:pPr>
        <w:spacing w:line="360" w:lineRule="auto"/>
        <w:ind w:left="315" w:hanging="315" w:hangingChars="150"/>
        <w:jc w:val="both"/>
        <w:rPr>
          <w:rFonts w:hint="eastAsia" w:ascii="宋体" w:hAnsi="宋体" w:eastAsia="宋体" w:cs="宋体"/>
          <w:color w:val="auto"/>
          <w:sz w:val="21"/>
          <w:highlight w:val="none"/>
          <w:lang w:val="zh-CN"/>
        </w:rPr>
      </w:pPr>
    </w:p>
    <w:p w14:paraId="09F7940B">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8、磋商小组应当书面要求存在细微偏差的供应商在磋商评审结束前予以补正。细微偏差是指响应文件在实质上响应竞争性磋商文件要求，但在个别地方存在漏项或者提供了不完整的技术方案信息和数据等情况，并且补正这些遗漏或者不完整不会对其他供应商造成不公平的结果。细微偏差不影响响应文件的有效性。</w:t>
      </w:r>
    </w:p>
    <w:p w14:paraId="2B15D5C5">
      <w:pPr>
        <w:pStyle w:val="187"/>
        <w:spacing w:line="360" w:lineRule="auto"/>
        <w:ind w:left="735" w:firstLine="0" w:firstLineChars="0"/>
        <w:rPr>
          <w:rFonts w:hint="eastAsia" w:ascii="宋体" w:hAnsi="宋体" w:eastAsia="宋体" w:cs="宋体"/>
          <w:b/>
          <w:color w:val="auto"/>
          <w:sz w:val="21"/>
          <w:szCs w:val="21"/>
          <w:highlight w:val="none"/>
        </w:rPr>
      </w:pPr>
    </w:p>
    <w:p w14:paraId="007BDE86">
      <w:pPr>
        <w:tabs>
          <w:tab w:val="left" w:pos="1140"/>
        </w:tabs>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三、澄清有关问题</w:t>
      </w:r>
    </w:p>
    <w:p w14:paraId="62AC3058">
      <w:pPr>
        <w:keepNext w:val="0"/>
        <w:keepLines w:val="0"/>
        <w:pageBreakBefore w:val="0"/>
        <w:widowControl w:val="0"/>
        <w:kinsoku/>
        <w:wordWrap/>
        <w:overflowPunct/>
        <w:topLinePunct w:val="0"/>
        <w:autoSpaceDE w:val="0"/>
        <w:autoSpaceDN w:val="0"/>
        <w:bidi w:val="0"/>
        <w:adjustRightInd w:val="0"/>
        <w:snapToGrid/>
        <w:spacing w:line="360" w:lineRule="auto"/>
        <w:ind w:left="270" w:hanging="270" w:hangingChars="129"/>
        <w:jc w:val="both"/>
        <w:textAlignment w:val="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9、在响应</w:t>
      </w:r>
      <w:r>
        <w:rPr>
          <w:rFonts w:hint="eastAsia" w:ascii="宋体" w:hAnsi="宋体" w:eastAsia="宋体" w:cs="宋体"/>
          <w:color w:val="auto"/>
          <w:sz w:val="21"/>
          <w:highlight w:val="none"/>
          <w:lang w:val="zh-CN" w:eastAsia="zh-CN"/>
        </w:rPr>
        <w:t>文件</w:t>
      </w:r>
      <w:r>
        <w:rPr>
          <w:rFonts w:hint="eastAsia" w:ascii="宋体" w:hAnsi="宋体" w:eastAsia="宋体" w:cs="宋体"/>
          <w:color w:val="auto"/>
          <w:sz w:val="21"/>
          <w:highlight w:val="none"/>
          <w:lang w:val="zh-CN"/>
        </w:rPr>
        <w:t>的商务、技术资格性检查及符合性检查过程中，供应商可应磋商小组要求对响应文件中有关问题进行书面澄清。该书面澄清作为其响应文件的一部分。</w:t>
      </w:r>
    </w:p>
    <w:p w14:paraId="6DE641A6">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9.1</w:t>
      </w:r>
      <w:r>
        <w:rPr>
          <w:rFonts w:hint="eastAsia" w:ascii="宋体" w:hAnsi="宋体" w:eastAsia="宋体" w:cs="宋体"/>
          <w:color w:val="auto"/>
          <w:kern w:val="2"/>
          <w:sz w:val="21"/>
          <w:highlight w:val="none"/>
          <w:lang w:val="en-US" w:eastAsia="zh-CN"/>
        </w:rPr>
        <w:t xml:space="preserve"> </w:t>
      </w:r>
      <w:r>
        <w:rPr>
          <w:rFonts w:hint="eastAsia" w:ascii="宋体" w:hAnsi="宋体" w:eastAsia="宋体" w:cs="宋体"/>
          <w:color w:val="auto"/>
          <w:kern w:val="2"/>
          <w:sz w:val="21"/>
          <w:highlight w:val="none"/>
          <w:lang w:val="zh-CN"/>
        </w:rPr>
        <w:t>对</w:t>
      </w:r>
      <w:r>
        <w:rPr>
          <w:rFonts w:hint="eastAsia" w:ascii="宋体" w:hAnsi="宋体" w:eastAsia="宋体" w:cs="宋体"/>
          <w:color w:val="auto"/>
          <w:sz w:val="21"/>
          <w:highlight w:val="none"/>
          <w:lang w:val="zh-CN"/>
        </w:rPr>
        <w:t>响应文件</w:t>
      </w:r>
      <w:r>
        <w:rPr>
          <w:rFonts w:hint="eastAsia" w:ascii="宋体" w:hAnsi="宋体" w:eastAsia="宋体" w:cs="宋体"/>
          <w:color w:val="auto"/>
          <w:kern w:val="2"/>
          <w:sz w:val="21"/>
          <w:highlight w:val="none"/>
          <w:lang w:val="zh-CN"/>
        </w:rPr>
        <w:t>中含义不明确、同类问题表述不一致或者有明显文字和计算错误的内容，磋商小组可以书面形式（由磋商小组成员签字）要求供应商作出必要的澄清、说明或者纠正。</w:t>
      </w:r>
    </w:p>
    <w:p w14:paraId="137045D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9.2 供应商的澄清、说明或者纠正应当采用书面形式，由其授权的代表签字，并不得超出响应文件的范围或者改变响应文件的实质性内容。</w:t>
      </w:r>
    </w:p>
    <w:p w14:paraId="135A01E2">
      <w:pPr>
        <w:keepNext w:val="0"/>
        <w:keepLines w:val="0"/>
        <w:pageBreakBefore w:val="0"/>
        <w:widowControl w:val="0"/>
        <w:kinsoku/>
        <w:wordWrap/>
        <w:overflowPunct/>
        <w:topLinePunct w:val="0"/>
        <w:autoSpaceDE w:val="0"/>
        <w:autoSpaceDN w:val="0"/>
        <w:bidi w:val="0"/>
        <w:adjustRightInd w:val="0"/>
        <w:snapToGrid/>
        <w:spacing w:line="360" w:lineRule="auto"/>
        <w:ind w:left="420" w:right="18"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9.3 经过澄清后仍不符合要求，则该项目在下一步评审进行评分调整；若重大（实质性）偏差仍存在，且不可接受，供应商则被认为是“不响应竞争性磋商文件要求的供应商”，不再进入下一步评审。</w:t>
      </w:r>
    </w:p>
    <w:p w14:paraId="6963FE2E">
      <w:pPr>
        <w:pStyle w:val="187"/>
        <w:spacing w:line="360" w:lineRule="auto"/>
        <w:ind w:left="424"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 竞争性磋商文件计算错误的修正</w:t>
      </w:r>
    </w:p>
    <w:p w14:paraId="56C2CC5C">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（1）当以数字表示的金额与以文字表示的金额不一致时，以文字表示的金额为准；</w:t>
      </w:r>
    </w:p>
    <w:p w14:paraId="51C58229">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（2）当分项报价表内合计与</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报价表内报价不一致时，以</w:t>
      </w:r>
      <w:r>
        <w:rPr>
          <w:rFonts w:hint="eastAsia" w:ascii="宋体" w:hAnsi="宋体" w:eastAsia="宋体" w:cs="宋体"/>
          <w:color w:val="auto"/>
          <w:kern w:val="2"/>
          <w:sz w:val="21"/>
          <w:szCs w:val="21"/>
          <w:highlight w:val="none"/>
          <w:lang w:val="en-US" w:eastAsia="zh-CN"/>
        </w:rPr>
        <w:t>首次</w:t>
      </w:r>
      <w:r>
        <w:rPr>
          <w:rFonts w:hint="eastAsia" w:ascii="宋体" w:hAnsi="宋体" w:eastAsia="宋体" w:cs="宋体"/>
          <w:color w:val="auto"/>
          <w:kern w:val="2"/>
          <w:sz w:val="21"/>
          <w:szCs w:val="21"/>
          <w:highlight w:val="none"/>
          <w:lang w:val="zh-CN" w:eastAsia="zh-CN"/>
        </w:rPr>
        <w:t>报价表为准，修正分项报价表内的</w:t>
      </w:r>
    </w:p>
    <w:p w14:paraId="4E2E3972">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eastAsia="宋体" w:cs="宋体"/>
          <w:color w:val="auto"/>
          <w:kern w:val="2"/>
          <w:sz w:val="21"/>
          <w:szCs w:val="21"/>
          <w:highlight w:val="none"/>
          <w:lang w:val="zh-CN" w:eastAsia="zh-CN"/>
        </w:rPr>
      </w:pPr>
      <w:r>
        <w:rPr>
          <w:rFonts w:hint="eastAsia" w:ascii="宋体" w:hAnsi="宋体" w:eastAsia="宋体" w:cs="宋体"/>
          <w:color w:val="auto"/>
          <w:kern w:val="2"/>
          <w:sz w:val="21"/>
          <w:szCs w:val="21"/>
          <w:highlight w:val="none"/>
          <w:lang w:val="zh-CN" w:eastAsia="zh-CN"/>
        </w:rPr>
        <w:t>各分项报价；</w:t>
      </w:r>
    </w:p>
    <w:p w14:paraId="140D8098">
      <w:pPr>
        <w:keepNext w:val="0"/>
        <w:keepLines w:val="0"/>
        <w:pageBreakBefore w:val="0"/>
        <w:widowControl w:val="0"/>
        <w:kinsoku/>
        <w:wordWrap/>
        <w:overflowPunct/>
        <w:topLinePunct w:val="0"/>
        <w:autoSpaceDE w:val="0"/>
        <w:autoSpaceDN w:val="0"/>
        <w:bidi w:val="0"/>
        <w:adjustRightInd w:val="0"/>
        <w:snapToGrid/>
        <w:spacing w:line="360" w:lineRule="auto"/>
        <w:ind w:left="420" w:hanging="422" w:hangingChars="200"/>
        <w:jc w:val="both"/>
        <w:textAlignment w:val="auto"/>
        <w:rPr>
          <w:rFonts w:hint="eastAsia" w:ascii="宋体" w:hAnsi="宋体" w:eastAsia="宋体" w:cs="宋体"/>
          <w:b/>
          <w:bCs/>
          <w:color w:val="auto"/>
          <w:kern w:val="2"/>
          <w:sz w:val="21"/>
          <w:highlight w:val="none"/>
          <w:lang w:val="zh-CN"/>
        </w:rPr>
      </w:pPr>
      <w:r>
        <w:rPr>
          <w:rFonts w:hint="eastAsia" w:ascii="宋体" w:hAnsi="宋体" w:eastAsia="宋体" w:cs="宋体"/>
          <w:b/>
          <w:bCs/>
          <w:color w:val="auto"/>
          <w:kern w:val="2"/>
          <w:sz w:val="21"/>
          <w:szCs w:val="24"/>
          <w:highlight w:val="none"/>
          <w:lang w:val="zh-CN"/>
        </w:rPr>
        <w:t>9.</w:t>
      </w:r>
      <w:r>
        <w:rPr>
          <w:rFonts w:hint="eastAsia" w:ascii="宋体" w:hAnsi="宋体" w:eastAsia="宋体" w:cs="宋体"/>
          <w:b/>
          <w:bCs/>
          <w:color w:val="auto"/>
          <w:kern w:val="2"/>
          <w:sz w:val="21"/>
          <w:szCs w:val="24"/>
          <w:highlight w:val="none"/>
          <w:lang w:val="zh-CN" w:eastAsia="zh-CN"/>
        </w:rPr>
        <w:t xml:space="preserve">5 </w:t>
      </w:r>
      <w:r>
        <w:rPr>
          <w:rFonts w:hint="eastAsia" w:ascii="宋体" w:hAnsi="宋体" w:eastAsia="宋体" w:cs="宋体"/>
          <w:b/>
          <w:bCs/>
          <w:color w:val="auto"/>
          <w:kern w:val="2"/>
          <w:sz w:val="21"/>
          <w:highlight w:val="none"/>
          <w:u w:val="single"/>
          <w:lang w:val="zh-CN"/>
        </w:rPr>
        <w:t>磋商小组按上述修正误差的原则调整的价格对其响应供应商具有约束力。如果响应供应商不接受修正后的价格，其</w:t>
      </w:r>
      <w:r>
        <w:rPr>
          <w:rFonts w:hint="eastAsia" w:ascii="宋体" w:hAnsi="宋体" w:cs="宋体"/>
          <w:b/>
          <w:bCs/>
          <w:color w:val="auto"/>
          <w:kern w:val="2"/>
          <w:sz w:val="21"/>
          <w:highlight w:val="none"/>
          <w:u w:val="single"/>
          <w:lang w:val="en-US" w:eastAsia="zh-CN"/>
        </w:rPr>
        <w:t>响应</w:t>
      </w:r>
      <w:r>
        <w:rPr>
          <w:rFonts w:hint="eastAsia" w:ascii="宋体" w:hAnsi="宋体" w:eastAsia="宋体" w:cs="宋体"/>
          <w:b/>
          <w:bCs/>
          <w:color w:val="auto"/>
          <w:kern w:val="2"/>
          <w:sz w:val="21"/>
          <w:highlight w:val="none"/>
          <w:u w:val="single"/>
          <w:lang w:val="zh-CN"/>
        </w:rPr>
        <w:t>将被拒绝</w:t>
      </w:r>
      <w:r>
        <w:rPr>
          <w:rFonts w:hint="eastAsia" w:ascii="宋体" w:hAnsi="宋体" w:cs="宋体"/>
          <w:b/>
          <w:bCs/>
          <w:color w:val="auto"/>
          <w:kern w:val="2"/>
          <w:sz w:val="21"/>
          <w:highlight w:val="none"/>
          <w:u w:val="single"/>
          <w:lang w:val="zh-CN"/>
        </w:rPr>
        <w:t>，</w:t>
      </w:r>
      <w:r>
        <w:rPr>
          <w:rFonts w:hint="eastAsia" w:ascii="宋体" w:hAnsi="宋体" w:cs="宋体"/>
          <w:b/>
          <w:bCs/>
          <w:color w:val="auto"/>
          <w:kern w:val="2"/>
          <w:sz w:val="21"/>
          <w:highlight w:val="none"/>
          <w:u w:val="single"/>
          <w:lang w:val="en-US" w:eastAsia="zh-CN"/>
        </w:rPr>
        <w:t>作为无效响应处理</w:t>
      </w:r>
      <w:r>
        <w:rPr>
          <w:rFonts w:hint="eastAsia" w:ascii="宋体" w:hAnsi="宋体" w:eastAsia="宋体" w:cs="宋体"/>
          <w:b/>
          <w:bCs/>
          <w:color w:val="auto"/>
          <w:kern w:val="2"/>
          <w:sz w:val="21"/>
          <w:highlight w:val="none"/>
          <w:lang w:val="zh-CN"/>
        </w:rPr>
        <w:t>。</w:t>
      </w:r>
    </w:p>
    <w:p w14:paraId="5CC456E0">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en-US" w:eastAsia="zh-CN"/>
        </w:rPr>
        <w:t xml:space="preserve">9.6 </w:t>
      </w:r>
      <w:r>
        <w:rPr>
          <w:rFonts w:hint="eastAsia" w:ascii="宋体" w:hAnsi="宋体" w:eastAsia="宋体" w:cs="宋体"/>
          <w:b w:val="0"/>
          <w:bCs/>
          <w:color w:val="auto"/>
          <w:sz w:val="21"/>
          <w:szCs w:val="21"/>
          <w:highlight w:val="none"/>
          <w:lang w:val="zh-CN"/>
        </w:rPr>
        <w:t>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出现超低报价，有可能影响服务质量和不能诚信履约的，</w:t>
      </w:r>
      <w:r>
        <w:rPr>
          <w:rFonts w:hint="eastAsia" w:ascii="宋体" w:hAnsi="宋体" w:eastAsia="宋体" w:cs="宋体"/>
          <w:b w:val="0"/>
          <w:bCs/>
          <w:color w:val="auto"/>
          <w:sz w:val="21"/>
          <w:szCs w:val="21"/>
          <w:highlight w:val="none"/>
          <w:lang w:val="en-US" w:eastAsia="zh-CN"/>
        </w:rPr>
        <w:t>磋商小组</w:t>
      </w:r>
      <w:r>
        <w:rPr>
          <w:rFonts w:hint="eastAsia" w:ascii="宋体" w:hAnsi="宋体" w:eastAsia="宋体" w:cs="宋体"/>
          <w:b w:val="0"/>
          <w:bCs/>
          <w:color w:val="auto"/>
          <w:sz w:val="21"/>
          <w:szCs w:val="21"/>
          <w:highlight w:val="none"/>
          <w:lang w:val="zh-CN"/>
        </w:rPr>
        <w:t>将要求该</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作出书面说明并提供相关证明材料，以确定</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lang w:val="zh-CN"/>
        </w:rPr>
        <w:t>是否以低于企业成本价报价。</w:t>
      </w:r>
      <w:r>
        <w:rPr>
          <w:rFonts w:hint="eastAsia" w:ascii="宋体" w:hAnsi="宋体" w:eastAsia="宋体" w:cs="宋体"/>
          <w:b/>
          <w:color w:val="auto"/>
          <w:sz w:val="21"/>
          <w:szCs w:val="21"/>
          <w:highlight w:val="none"/>
          <w:u w:val="single"/>
          <w:lang w:val="zh-CN"/>
        </w:rPr>
        <w:t>若</w:t>
      </w:r>
      <w:r>
        <w:rPr>
          <w:rFonts w:hint="eastAsia" w:ascii="宋体" w:hAnsi="宋体" w:eastAsia="宋体" w:cs="宋体"/>
          <w:b/>
          <w:color w:val="auto"/>
          <w:sz w:val="21"/>
          <w:szCs w:val="21"/>
          <w:highlight w:val="none"/>
          <w:u w:val="single"/>
          <w:lang w:val="en-US" w:eastAsia="zh-CN"/>
        </w:rPr>
        <w:t>供应商</w:t>
      </w:r>
      <w:r>
        <w:rPr>
          <w:rFonts w:hint="eastAsia" w:ascii="宋体" w:hAnsi="宋体" w:eastAsia="宋体" w:cs="宋体"/>
          <w:b/>
          <w:color w:val="auto"/>
          <w:sz w:val="21"/>
          <w:szCs w:val="21"/>
          <w:highlight w:val="none"/>
          <w:u w:val="single"/>
          <w:lang w:val="zh-CN"/>
        </w:rPr>
        <w:t>不能合理说明或不能提供相关证明材料的，</w:t>
      </w:r>
      <w:r>
        <w:rPr>
          <w:rFonts w:hint="eastAsia" w:ascii="宋体" w:hAnsi="宋体" w:eastAsia="宋体" w:cs="宋体"/>
          <w:b/>
          <w:color w:val="auto"/>
          <w:sz w:val="21"/>
          <w:szCs w:val="21"/>
          <w:highlight w:val="none"/>
          <w:u w:val="single"/>
          <w:lang w:val="en-US" w:eastAsia="zh-CN"/>
        </w:rPr>
        <w:t>磋商小组</w:t>
      </w:r>
      <w:r>
        <w:rPr>
          <w:rFonts w:hint="eastAsia" w:ascii="宋体" w:hAnsi="宋体" w:eastAsia="宋体" w:cs="宋体"/>
          <w:b/>
          <w:color w:val="auto"/>
          <w:sz w:val="21"/>
          <w:szCs w:val="21"/>
          <w:highlight w:val="none"/>
          <w:u w:val="single"/>
          <w:lang w:val="zh-CN"/>
        </w:rPr>
        <w:t>将认定其</w:t>
      </w:r>
      <w:r>
        <w:rPr>
          <w:rFonts w:hint="eastAsia" w:ascii="宋体" w:hAnsi="宋体" w:eastAsia="宋体" w:cs="宋体"/>
          <w:b/>
          <w:color w:val="auto"/>
          <w:sz w:val="21"/>
          <w:szCs w:val="21"/>
          <w:highlight w:val="none"/>
          <w:u w:val="single"/>
          <w:lang w:val="en-US" w:eastAsia="zh-CN"/>
        </w:rPr>
        <w:t>响应</w:t>
      </w:r>
      <w:r>
        <w:rPr>
          <w:rFonts w:hint="eastAsia" w:ascii="宋体" w:hAnsi="宋体" w:eastAsia="宋体" w:cs="宋体"/>
          <w:b/>
          <w:color w:val="auto"/>
          <w:sz w:val="21"/>
          <w:szCs w:val="21"/>
          <w:highlight w:val="none"/>
          <w:u w:val="single"/>
          <w:lang w:val="zh-CN"/>
        </w:rPr>
        <w:t>报价低于成本，同时否决其</w:t>
      </w:r>
      <w:r>
        <w:rPr>
          <w:rFonts w:hint="eastAsia" w:ascii="宋体" w:hAnsi="宋体" w:eastAsia="宋体" w:cs="宋体"/>
          <w:b/>
          <w:color w:val="auto"/>
          <w:sz w:val="21"/>
          <w:szCs w:val="21"/>
          <w:highlight w:val="none"/>
          <w:u w:val="single"/>
          <w:lang w:val="en-US" w:eastAsia="zh-CN"/>
        </w:rPr>
        <w:t>递交的响应文件</w:t>
      </w:r>
      <w:r>
        <w:rPr>
          <w:rFonts w:hint="eastAsia" w:ascii="宋体" w:hAnsi="宋体" w:eastAsia="宋体" w:cs="宋体"/>
          <w:b/>
          <w:color w:val="auto"/>
          <w:sz w:val="21"/>
          <w:szCs w:val="21"/>
          <w:highlight w:val="none"/>
          <w:lang w:val="zh-CN"/>
        </w:rPr>
        <w:t>。</w:t>
      </w:r>
    </w:p>
    <w:p w14:paraId="11EBB13A">
      <w:pPr>
        <w:pStyle w:val="187"/>
        <w:spacing w:line="360" w:lineRule="auto"/>
        <w:ind w:left="735" w:firstLine="0" w:firstLineChars="0"/>
        <w:rPr>
          <w:rFonts w:hint="eastAsia" w:ascii="宋体" w:hAnsi="宋体" w:eastAsia="宋体" w:cs="宋体"/>
          <w:color w:val="auto"/>
          <w:kern w:val="2"/>
          <w:sz w:val="21"/>
          <w:szCs w:val="21"/>
          <w:highlight w:val="none"/>
        </w:rPr>
      </w:pPr>
    </w:p>
    <w:p w14:paraId="6ACCB66D">
      <w:pPr>
        <w:spacing w:line="360" w:lineRule="auto"/>
        <w:ind w:firstLine="3528" w:firstLineChars="1255"/>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四、比较和评价</w:t>
      </w:r>
    </w:p>
    <w:p w14:paraId="07DE7E3E">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10、</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按</w:t>
      </w:r>
      <w:r>
        <w:rPr>
          <w:rFonts w:hint="eastAsia" w:ascii="宋体" w:hAnsi="宋体" w:eastAsia="宋体" w:cs="宋体"/>
          <w:color w:val="auto"/>
          <w:kern w:val="2"/>
          <w:sz w:val="21"/>
          <w:highlight w:val="none"/>
          <w:lang w:val="en-US" w:eastAsia="zh-CN"/>
        </w:rPr>
        <w:t>竞争性磋商</w:t>
      </w:r>
      <w:r>
        <w:rPr>
          <w:rFonts w:hint="eastAsia" w:ascii="宋体" w:hAnsi="宋体" w:eastAsia="宋体" w:cs="宋体"/>
          <w:color w:val="auto"/>
          <w:kern w:val="2"/>
          <w:sz w:val="21"/>
          <w:highlight w:val="none"/>
          <w:lang w:val="zh-CN"/>
        </w:rPr>
        <w:t>文件中规定的评审方法和标准，对资格性检查和符合性检查合格的响应文件进行商务和技术评估、综合比较与评价；</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 xml:space="preserve">根据商务和技术评估的结果，采用综合评分法，分别对响应文件的商务、技术、价格等内容进行打分。 </w:t>
      </w:r>
    </w:p>
    <w:p w14:paraId="0D00604D">
      <w:pPr>
        <w:tabs>
          <w:tab w:val="left" w:pos="780"/>
        </w:tabs>
        <w:spacing w:line="360" w:lineRule="auto"/>
        <w:ind w:left="780" w:hanging="780"/>
        <w:jc w:val="both"/>
        <w:rPr>
          <w:rFonts w:hint="eastAsia" w:ascii="宋体" w:hAnsi="宋体" w:eastAsia="宋体" w:cs="宋体"/>
          <w:b w:val="0"/>
          <w:bCs/>
          <w:color w:val="auto"/>
          <w:kern w:val="2"/>
          <w:sz w:val="21"/>
          <w:highlight w:val="none"/>
          <w:lang w:val="zh-CN"/>
        </w:rPr>
      </w:pPr>
      <w:r>
        <w:rPr>
          <w:rFonts w:hint="eastAsia" w:ascii="宋体" w:hAnsi="宋体" w:eastAsia="宋体" w:cs="宋体"/>
          <w:b w:val="0"/>
          <w:bCs/>
          <w:color w:val="auto"/>
          <w:kern w:val="2"/>
          <w:sz w:val="21"/>
          <w:highlight w:val="none"/>
          <w:lang w:val="zh-CN"/>
        </w:rPr>
        <w:t>11、</w:t>
      </w:r>
      <w:r>
        <w:rPr>
          <w:rFonts w:hint="eastAsia" w:ascii="宋体" w:hAnsi="宋体" w:eastAsia="宋体" w:cs="宋体"/>
          <w:b w:val="0"/>
          <w:bCs/>
          <w:color w:val="auto"/>
          <w:kern w:val="2"/>
          <w:sz w:val="21"/>
          <w:highlight w:val="none"/>
        </w:rPr>
        <w:t>磋商小组</w:t>
      </w:r>
      <w:r>
        <w:rPr>
          <w:rFonts w:hint="eastAsia" w:ascii="宋体" w:hAnsi="宋体" w:eastAsia="宋体" w:cs="宋体"/>
          <w:b w:val="0"/>
          <w:bCs/>
          <w:color w:val="auto"/>
          <w:kern w:val="2"/>
          <w:sz w:val="21"/>
          <w:highlight w:val="none"/>
          <w:lang w:val="zh-CN"/>
        </w:rPr>
        <w:t>打分办法</w:t>
      </w:r>
    </w:p>
    <w:p w14:paraId="057DEE1F">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）参加评分的磋商小组成员应尽力体现客观、实事求是，避免学派偏见和个人偏好。</w:t>
      </w:r>
    </w:p>
    <w:p w14:paraId="1A611B0A">
      <w:pPr>
        <w:spacing w:line="360" w:lineRule="auto"/>
        <w:ind w:left="422" w:leftChars="1" w:hanging="420" w:hangingChars="2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2</w:t>
      </w:r>
      <w:r>
        <w:rPr>
          <w:rFonts w:hint="eastAsia" w:ascii="宋体" w:hAnsi="宋体" w:eastAsia="宋体" w:cs="宋体"/>
          <w:color w:val="auto"/>
          <w:kern w:val="2"/>
          <w:sz w:val="21"/>
          <w:highlight w:val="none"/>
          <w:lang w:val="zh-CN"/>
        </w:rPr>
        <w:t>）衡量、对比的依据，应以竞争性磋商文件、响应文件、提供的正式试验数据、澄清中的文字为</w:t>
      </w:r>
    </w:p>
    <w:p w14:paraId="559D318C">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准，口头回答和收集的资料只作为参考。</w:t>
      </w:r>
    </w:p>
    <w:p w14:paraId="748DCB3B">
      <w:pPr>
        <w:tabs>
          <w:tab w:val="left" w:pos="709"/>
          <w:tab w:val="left" w:pos="851"/>
        </w:tabs>
        <w:autoSpaceDE/>
        <w:autoSpaceDN/>
        <w:snapToGrid w:val="0"/>
        <w:spacing w:line="360" w:lineRule="auto"/>
        <w:jc w:val="both"/>
        <w:rPr>
          <w:rFonts w:hint="eastAsia" w:ascii="宋体" w:hAnsi="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）评分主要是为比较各供应商的商务、技术和价格综合排序。</w:t>
      </w:r>
      <w:r>
        <w:rPr>
          <w:rFonts w:hint="eastAsia" w:ascii="宋体" w:hAnsi="宋体" w:cs="宋体"/>
          <w:color w:val="auto"/>
          <w:kern w:val="2"/>
          <w:sz w:val="21"/>
          <w:szCs w:val="21"/>
          <w:highlight w:val="none"/>
          <w:lang w:val="en-US" w:eastAsia="zh-CN"/>
        </w:rPr>
        <w:t>磋商小组的每一位成员根据竞争性</w:t>
      </w:r>
    </w:p>
    <w:p w14:paraId="584EE5F8">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磋商文件评分标准对响应文件分别评审，对有效响应供应商响应文件的商务、技术、最后报价分别评分。</w:t>
      </w:r>
    </w:p>
    <w:p w14:paraId="000F0CF5">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firstLine="0" w:firstLineChars="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1）磋商小组首先对商务响应文件进行评审，按评分标准打分后，取所有磋商小组成员评分的</w:t>
      </w:r>
    </w:p>
    <w:p w14:paraId="432043F8">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平均值得出该供应商的商务评分；</w:t>
      </w:r>
    </w:p>
    <w:p w14:paraId="48E3CF85">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eastAsia"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2）然后磋商小组对技术响应文件进行评审，按评分标准打分后，当磋商小组为五人时，在所</w:t>
      </w:r>
    </w:p>
    <w:p w14:paraId="437E9FEB">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790" w:leftChars="329"/>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有磋商小组成员对同一份响应文件技术评审的总评分中，去掉一个最高分和一个最低分，计算剩余总评分的算术平均值即为该供应商技术部分的最终综合得分；当磋商小组为七人及以上单数时，在磋商小组各成员的打分中，磋商小组同一成员的最高评分减去最低评分，去掉分差最大成员的所有打分（出现分差相同时，按最高评分减去次最低评分进行比较，如此类推），在所有剩余成员对同一份响应文件技术部分评审的总评分中，去掉一个最高分和一个最低分，计算剩余总评分的算术平均值即为该供应商技术部分的最终综合得分；若磋商小组成员对某一项按“优、良、中、差”区间评审的评分因素的评分低于权重分值60%的，应在评审报告中作出说明。</w:t>
      </w:r>
    </w:p>
    <w:p w14:paraId="3A6CE6D0">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480" w:leftChars="200"/>
        <w:jc w:val="both"/>
        <w:textAlignment w:val="auto"/>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3）最后磋商小组对最终报价进行评审，按评分标准计算得出该供应商的价格评分。</w:t>
      </w:r>
    </w:p>
    <w:p w14:paraId="4D63C925">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lang w:val="zh-CN"/>
        </w:rPr>
        <w:t>）磋商小组打分采取记名形式。</w:t>
      </w:r>
    </w:p>
    <w:p w14:paraId="3ACEDB30">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highlight w:val="none"/>
          <w:lang w:val="zh-CN"/>
        </w:rPr>
        <w:t>各磋商小组成员根据秘书组提供的商务、技术打分表独立自主打分，任何人不得要求评委统一打分或统一确定等次顺序。</w:t>
      </w:r>
    </w:p>
    <w:p w14:paraId="5BEF4744">
      <w:pPr>
        <w:keepNext w:val="0"/>
        <w:keepLines w:val="0"/>
        <w:pageBreakBefore w:val="0"/>
        <w:widowControl w:val="0"/>
        <w:tabs>
          <w:tab w:val="left" w:pos="709"/>
          <w:tab w:val="left" w:pos="851"/>
        </w:tabs>
        <w:kinsoku/>
        <w:wordWrap/>
        <w:overflowPunct/>
        <w:topLinePunct w:val="0"/>
        <w:autoSpaceDE/>
        <w:autoSpaceDN/>
        <w:bidi w:val="0"/>
        <w:adjustRightInd w:val="0"/>
        <w:snapToGrid w:val="0"/>
        <w:spacing w:line="360" w:lineRule="auto"/>
        <w:ind w:left="504" w:hanging="504" w:hangingChars="24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w:t>
      </w:r>
      <w:r>
        <w:rPr>
          <w:rFonts w:hint="eastAsia" w:ascii="宋体" w:hAnsi="宋体" w:eastAsia="宋体" w:cs="宋体"/>
          <w:color w:val="auto"/>
          <w:kern w:val="2"/>
          <w:sz w:val="21"/>
          <w:highlight w:val="none"/>
          <w:lang w:val="en-US" w:eastAsia="zh-CN"/>
        </w:rPr>
        <w:t>6</w:t>
      </w:r>
      <w:r>
        <w:rPr>
          <w:rFonts w:hint="eastAsia" w:ascii="宋体" w:hAnsi="宋体" w:eastAsia="宋体" w:cs="宋体"/>
          <w:color w:val="auto"/>
          <w:kern w:val="2"/>
          <w:sz w:val="21"/>
          <w:highlight w:val="none"/>
          <w:lang w:val="zh-CN"/>
        </w:rPr>
        <w:t>）对打分表中的每项条款，各磋商小组成员应根据响应文件、澄清材料、竞争性磋商文件要求，按满足的程度给供应商打分。</w:t>
      </w:r>
    </w:p>
    <w:p w14:paraId="202A15EA">
      <w:pPr>
        <w:tabs>
          <w:tab w:val="left" w:pos="709"/>
          <w:tab w:val="left" w:pos="851"/>
        </w:tabs>
        <w:autoSpaceDE/>
        <w:autoSpaceDN/>
        <w:snapToGrid w:val="0"/>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lang w:val="zh-CN"/>
        </w:rPr>
        <w:t>）评分程序</w:t>
      </w:r>
    </w:p>
    <w:p w14:paraId="51FE93D8">
      <w:pPr>
        <w:tabs>
          <w:tab w:val="left" w:pos="1134"/>
        </w:tabs>
        <w:spacing w:line="360" w:lineRule="auto"/>
        <w:ind w:left="1053" w:leftChars="220" w:hanging="525" w:hanging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1）就供应商的响应文件对照整理出商务、技术评审因素对比表，并在经过校核的基础上逐项</w:t>
      </w:r>
    </w:p>
    <w:p w14:paraId="0F4E1F7B">
      <w:pPr>
        <w:tabs>
          <w:tab w:val="left" w:pos="1134"/>
        </w:tabs>
        <w:spacing w:line="360" w:lineRule="auto"/>
        <w:ind w:firstLine="840" w:firstLineChars="4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打分。</w:t>
      </w:r>
    </w:p>
    <w:p w14:paraId="2B268202">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2）各磋商小组成员独立完成打分后，将统计好的评分表交给</w:t>
      </w:r>
      <w:r>
        <w:rPr>
          <w:rFonts w:hint="eastAsia" w:ascii="宋体" w:hAnsi="宋体" w:eastAsia="宋体" w:cs="宋体"/>
          <w:color w:val="auto"/>
          <w:kern w:val="2"/>
          <w:sz w:val="21"/>
          <w:highlight w:val="none"/>
          <w:lang w:val="en-US" w:eastAsia="zh-CN"/>
        </w:rPr>
        <w:t>现场工作人员</w:t>
      </w:r>
      <w:r>
        <w:rPr>
          <w:rFonts w:hint="eastAsia" w:ascii="宋体" w:hAnsi="宋体" w:eastAsia="宋体" w:cs="宋体"/>
          <w:color w:val="auto"/>
          <w:kern w:val="2"/>
          <w:sz w:val="21"/>
          <w:highlight w:val="none"/>
          <w:lang w:val="zh-CN"/>
        </w:rPr>
        <w:t>复核。</w:t>
      </w:r>
    </w:p>
    <w:p w14:paraId="3504B11E">
      <w:pPr>
        <w:spacing w:line="360" w:lineRule="auto"/>
        <w:ind w:firstLine="525" w:firstLineChars="2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3）评分统计表中各供应商得分应为评委打分的算术平均值。</w:t>
      </w:r>
    </w:p>
    <w:p w14:paraId="0305BF02">
      <w:pPr>
        <w:spacing w:line="360" w:lineRule="auto"/>
        <w:ind w:left="2" w:leftChars="1"/>
        <w:jc w:val="both"/>
        <w:rPr>
          <w:rFonts w:hint="eastAsia" w:ascii="宋体" w:hAnsi="宋体" w:eastAsia="宋体" w:cs="宋体"/>
          <w:b/>
          <w:color w:val="auto"/>
          <w:kern w:val="2"/>
          <w:sz w:val="21"/>
          <w:highlight w:val="none"/>
          <w:lang w:val="zh-CN"/>
        </w:rPr>
      </w:pPr>
      <w:r>
        <w:rPr>
          <w:rFonts w:hint="eastAsia" w:ascii="宋体" w:hAnsi="宋体" w:eastAsia="宋体" w:cs="宋体"/>
          <w:b/>
          <w:color w:val="auto"/>
          <w:kern w:val="2"/>
          <w:sz w:val="21"/>
          <w:highlight w:val="none"/>
          <w:lang w:val="zh-CN"/>
        </w:rPr>
        <w:t>12、评分因素及分值</w:t>
      </w:r>
    </w:p>
    <w:tbl>
      <w:tblPr>
        <w:tblStyle w:val="5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372"/>
        <w:gridCol w:w="4915"/>
      </w:tblGrid>
      <w:tr w14:paraId="1CEADC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center"/>
          </w:tcPr>
          <w:p w14:paraId="2A9F952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评分因素</w:t>
            </w:r>
          </w:p>
        </w:tc>
        <w:tc>
          <w:tcPr>
            <w:tcW w:w="2646" w:type="pct"/>
            <w:tcBorders>
              <w:top w:val="single" w:color="auto" w:sz="4" w:space="0"/>
              <w:left w:val="single" w:color="auto" w:sz="4" w:space="0"/>
              <w:bottom w:val="single" w:color="auto" w:sz="4" w:space="0"/>
              <w:right w:val="single" w:color="auto" w:sz="4" w:space="0"/>
            </w:tcBorders>
            <w:noWrap w:val="0"/>
            <w:vAlign w:val="center"/>
          </w:tcPr>
          <w:p w14:paraId="53122D8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分值</w:t>
            </w:r>
          </w:p>
        </w:tc>
      </w:tr>
      <w:tr w14:paraId="35E21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5F5A2BD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1、商务</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0FFB4B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20</w:t>
            </w:r>
            <w:r>
              <w:rPr>
                <w:rFonts w:hint="eastAsia" w:ascii="宋体" w:hAnsi="宋体" w:eastAsia="宋体" w:cs="宋体"/>
                <w:color w:val="auto"/>
                <w:kern w:val="2"/>
                <w:sz w:val="21"/>
                <w:highlight w:val="none"/>
                <w:lang w:val="zh-CN"/>
              </w:rPr>
              <w:t>分</w:t>
            </w:r>
          </w:p>
        </w:tc>
      </w:tr>
      <w:tr w14:paraId="48DC9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0649B8C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2、技术</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3318C2C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en-US" w:eastAsia="zh-CN"/>
              </w:rPr>
              <w:t>0</w:t>
            </w:r>
            <w:r>
              <w:rPr>
                <w:rFonts w:hint="eastAsia" w:ascii="宋体" w:hAnsi="宋体" w:eastAsia="宋体" w:cs="宋体"/>
                <w:color w:val="auto"/>
                <w:kern w:val="2"/>
                <w:sz w:val="21"/>
                <w:highlight w:val="none"/>
                <w:lang w:val="zh-CN"/>
              </w:rPr>
              <w:t>分</w:t>
            </w:r>
          </w:p>
        </w:tc>
      </w:tr>
      <w:tr w14:paraId="33681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354" w:type="pct"/>
            <w:tcBorders>
              <w:top w:val="single" w:color="auto" w:sz="4" w:space="0"/>
              <w:left w:val="single" w:color="auto" w:sz="4" w:space="0"/>
              <w:bottom w:val="single" w:color="auto" w:sz="4" w:space="0"/>
              <w:right w:val="single" w:color="auto" w:sz="4" w:space="0"/>
            </w:tcBorders>
            <w:noWrap w:val="0"/>
            <w:vAlign w:val="bottom"/>
          </w:tcPr>
          <w:p w14:paraId="1F5E3B5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3、价格</w:t>
            </w:r>
          </w:p>
        </w:tc>
        <w:tc>
          <w:tcPr>
            <w:tcW w:w="2646" w:type="pct"/>
            <w:tcBorders>
              <w:top w:val="single" w:color="auto" w:sz="4" w:space="0"/>
              <w:left w:val="single" w:color="auto" w:sz="4" w:space="0"/>
              <w:bottom w:val="single" w:color="auto" w:sz="4" w:space="0"/>
              <w:right w:val="single" w:color="auto" w:sz="4" w:space="0"/>
            </w:tcBorders>
            <w:noWrap w:val="0"/>
            <w:vAlign w:val="bottom"/>
          </w:tcPr>
          <w:p w14:paraId="6DEA34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164" w:afterLines="50" w:afterAutospacing="0" w:line="240" w:lineRule="auto"/>
              <w:ind w:left="0" w:right="0"/>
              <w:jc w:val="center"/>
              <w:textAlignment w:val="auto"/>
              <w:rPr>
                <w:rFonts w:hint="eastAsia" w:ascii="宋体" w:hAnsi="宋体" w:eastAsia="宋体" w:cs="宋体"/>
                <w:color w:val="auto"/>
                <w:kern w:val="2"/>
                <w:sz w:val="21"/>
                <w:highlight w:val="none"/>
                <w:lang w:val="zh-CN"/>
              </w:rPr>
            </w:pPr>
            <w:r>
              <w:rPr>
                <w:rFonts w:hint="eastAsia" w:ascii="宋体" w:hAnsi="宋体" w:cs="宋体"/>
                <w:color w:val="auto"/>
                <w:kern w:val="2"/>
                <w:sz w:val="21"/>
                <w:highlight w:val="none"/>
                <w:lang w:val="en-US" w:eastAsia="zh-CN"/>
              </w:rPr>
              <w:t>4</w:t>
            </w:r>
            <w:r>
              <w:rPr>
                <w:rFonts w:hint="eastAsia" w:ascii="宋体" w:hAnsi="宋体" w:eastAsia="宋体" w:cs="宋体"/>
                <w:color w:val="auto"/>
                <w:kern w:val="2"/>
                <w:sz w:val="21"/>
                <w:highlight w:val="none"/>
                <w:lang w:val="zh-CN"/>
              </w:rPr>
              <w:t>0分</w:t>
            </w:r>
          </w:p>
        </w:tc>
      </w:tr>
    </w:tbl>
    <w:p w14:paraId="6785CD8F">
      <w:pPr>
        <w:keepNext w:val="0"/>
        <w:keepLines w:val="0"/>
        <w:pageBreakBefore w:val="0"/>
        <w:widowControl w:val="0"/>
        <w:tabs>
          <w:tab w:val="left" w:pos="585"/>
        </w:tabs>
        <w:kinsoku/>
        <w:wordWrap/>
        <w:overflowPunct/>
        <w:topLinePunct w:val="0"/>
        <w:bidi w:val="0"/>
        <w:snapToGrid/>
        <w:spacing w:line="360" w:lineRule="auto"/>
        <w:jc w:val="both"/>
        <w:textAlignment w:val="auto"/>
        <w:rPr>
          <w:rFonts w:hint="eastAsia" w:ascii="宋体" w:hAnsi="宋体" w:eastAsia="宋体" w:cs="宋体"/>
          <w:b/>
          <w:color w:val="auto"/>
          <w:kern w:val="2"/>
          <w:sz w:val="21"/>
          <w:szCs w:val="21"/>
          <w:highlight w:val="none"/>
          <w:lang w:val="zh-CN"/>
        </w:rPr>
      </w:pPr>
    </w:p>
    <w:p w14:paraId="40C05CC5">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zh-CN"/>
        </w:rPr>
        <w:t>商务：总分</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080"/>
        <w:gridCol w:w="6662"/>
        <w:gridCol w:w="864"/>
      </w:tblGrid>
      <w:tr w14:paraId="6769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4E93246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bookmarkStart w:id="491" w:name="_Toc11639_WPSOffice_Level2"/>
            <w:r>
              <w:rPr>
                <w:rFonts w:hint="eastAsia" w:ascii="宋体" w:hAnsi="宋体" w:eastAsia="宋体" w:cs="宋体"/>
                <w:b/>
                <w:bCs/>
                <w:color w:val="auto"/>
                <w:sz w:val="21"/>
                <w:szCs w:val="21"/>
              </w:rPr>
              <w:t>序号</w:t>
            </w:r>
          </w:p>
        </w:tc>
        <w:tc>
          <w:tcPr>
            <w:tcW w:w="581" w:type="pct"/>
            <w:vAlign w:val="center"/>
          </w:tcPr>
          <w:p w14:paraId="306E775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3585" w:type="pct"/>
            <w:vAlign w:val="center"/>
          </w:tcPr>
          <w:p w14:paraId="1282C92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评审细则</w:t>
            </w:r>
          </w:p>
        </w:tc>
        <w:tc>
          <w:tcPr>
            <w:tcW w:w="465" w:type="pct"/>
            <w:vAlign w:val="center"/>
          </w:tcPr>
          <w:p w14:paraId="5042933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满分值</w:t>
            </w:r>
          </w:p>
        </w:tc>
      </w:tr>
      <w:tr w14:paraId="6EE9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6B5324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81" w:type="pct"/>
            <w:vAlign w:val="center"/>
          </w:tcPr>
          <w:p w14:paraId="186499E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财务状况</w:t>
            </w:r>
          </w:p>
        </w:tc>
        <w:tc>
          <w:tcPr>
            <w:tcW w:w="3585" w:type="pct"/>
            <w:vAlign w:val="center"/>
          </w:tcPr>
          <w:p w14:paraId="1C024D2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年三个年度，每具有1个年度</w:t>
            </w:r>
            <w:r>
              <w:rPr>
                <w:rFonts w:hint="eastAsia" w:ascii="宋体" w:hAnsi="宋体" w:eastAsia="宋体" w:cs="宋体"/>
                <w:color w:val="auto"/>
                <w:sz w:val="21"/>
                <w:szCs w:val="21"/>
                <w:lang w:val="en-US" w:eastAsia="zh-CN"/>
              </w:rPr>
              <w:t>盈利</w:t>
            </w:r>
            <w:r>
              <w:rPr>
                <w:rFonts w:hint="eastAsia" w:ascii="宋体" w:hAnsi="宋体" w:eastAsia="宋体" w:cs="宋体"/>
                <w:color w:val="auto"/>
                <w:sz w:val="21"/>
                <w:szCs w:val="21"/>
              </w:rPr>
              <w:t>的得1分，满分3分。</w:t>
            </w:r>
          </w:p>
          <w:p w14:paraId="639C1556">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4C07FB12">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Cs/>
                <w:color w:val="auto"/>
                <w:sz w:val="21"/>
                <w:szCs w:val="21"/>
                <w:lang w:val="en-US" w:eastAsia="zh-CN"/>
              </w:rPr>
              <w:t>盈利指净利润为正数（非零、非负数），</w:t>
            </w:r>
            <w:r>
              <w:rPr>
                <w:rFonts w:hint="eastAsia" w:ascii="宋体" w:hAnsi="宋体" w:cs="宋体"/>
                <w:bCs/>
                <w:color w:val="auto"/>
                <w:sz w:val="21"/>
                <w:szCs w:val="21"/>
                <w:lang w:val="zh-CN"/>
              </w:rPr>
              <w:t>供应商</w:t>
            </w:r>
            <w:r>
              <w:rPr>
                <w:rFonts w:hint="eastAsia" w:ascii="宋体" w:hAnsi="宋体" w:eastAsia="宋体" w:cs="宋体"/>
                <w:bCs/>
                <w:color w:val="auto"/>
                <w:sz w:val="21"/>
                <w:szCs w:val="21"/>
                <w:lang w:val="zh-CN"/>
              </w:rPr>
              <w:t>应提供202</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val="zh-CN"/>
              </w:rPr>
              <w:t>年、202</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zh-CN"/>
              </w:rPr>
              <w:t>年三个年度的财务报表，净利润以</w:t>
            </w:r>
            <w:r>
              <w:rPr>
                <w:rFonts w:hint="eastAsia" w:ascii="宋体" w:hAnsi="宋体" w:eastAsia="宋体" w:cs="宋体"/>
                <w:bCs/>
                <w:color w:val="auto"/>
                <w:sz w:val="21"/>
                <w:szCs w:val="21"/>
                <w:lang w:val="en-US" w:eastAsia="zh-CN"/>
              </w:rPr>
              <w:t>对应年度</w:t>
            </w:r>
            <w:r>
              <w:rPr>
                <w:rFonts w:hint="eastAsia" w:ascii="宋体" w:hAnsi="宋体" w:eastAsia="宋体" w:cs="宋体"/>
                <w:bCs/>
                <w:color w:val="auto"/>
                <w:sz w:val="21"/>
                <w:szCs w:val="21"/>
                <w:lang w:val="zh-CN"/>
              </w:rPr>
              <w:t>经审计的财务报表为准，</w:t>
            </w:r>
            <w:r>
              <w:rPr>
                <w:rFonts w:hint="eastAsia" w:ascii="宋体" w:hAnsi="宋体" w:eastAsia="宋体" w:cs="宋体"/>
                <w:bCs/>
                <w:color w:val="auto"/>
                <w:sz w:val="21"/>
                <w:szCs w:val="21"/>
                <w:lang w:val="en-US" w:eastAsia="zh-CN"/>
              </w:rPr>
              <w:t>应</w:t>
            </w:r>
            <w:r>
              <w:rPr>
                <w:rFonts w:hint="eastAsia" w:ascii="宋体" w:hAnsi="宋体" w:eastAsia="宋体" w:cs="宋体"/>
                <w:bCs/>
                <w:color w:val="auto"/>
                <w:sz w:val="21"/>
                <w:szCs w:val="21"/>
                <w:lang w:val="zh-CN"/>
              </w:rPr>
              <w:t>提供经独立会计师事务所审计过的有效的财务报表</w:t>
            </w:r>
            <w:r>
              <w:rPr>
                <w:rFonts w:hint="eastAsia" w:ascii="宋体" w:hAnsi="宋体" w:eastAsia="宋体" w:cs="宋体"/>
                <w:bCs/>
                <w:color w:val="auto"/>
                <w:sz w:val="21"/>
                <w:szCs w:val="21"/>
                <w:lang w:val="en-US" w:eastAsia="zh-CN"/>
              </w:rPr>
              <w:t>复印</w:t>
            </w:r>
            <w:r>
              <w:rPr>
                <w:rFonts w:hint="eastAsia" w:ascii="宋体" w:hAnsi="宋体" w:eastAsia="宋体" w:cs="宋体"/>
                <w:bCs/>
                <w:color w:val="auto"/>
                <w:sz w:val="21"/>
                <w:szCs w:val="21"/>
                <w:lang w:val="zh-CN"/>
              </w:rPr>
              <w:t>件，未提供前述财务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或财务</w:t>
            </w:r>
            <w:r>
              <w:rPr>
                <w:rFonts w:hint="eastAsia" w:ascii="宋体" w:hAnsi="宋体" w:eastAsia="宋体" w:cs="宋体"/>
                <w:bCs/>
                <w:color w:val="auto"/>
                <w:sz w:val="21"/>
                <w:szCs w:val="21"/>
                <w:lang w:val="en-US" w:eastAsia="zh-CN"/>
              </w:rPr>
              <w:t>报表</w:t>
            </w:r>
            <w:r>
              <w:rPr>
                <w:rFonts w:hint="eastAsia" w:ascii="宋体" w:hAnsi="宋体" w:eastAsia="宋体" w:cs="宋体"/>
                <w:bCs/>
                <w:color w:val="auto"/>
                <w:sz w:val="21"/>
                <w:szCs w:val="21"/>
                <w:lang w:val="zh-CN"/>
              </w:rPr>
              <w:t>未能反映净利润的，不得分。</w:t>
            </w:r>
          </w:p>
        </w:tc>
        <w:tc>
          <w:tcPr>
            <w:tcW w:w="465" w:type="pct"/>
            <w:vAlign w:val="center"/>
          </w:tcPr>
          <w:p w14:paraId="01853E8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4705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E8D7144">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1" w:type="pct"/>
            <w:vAlign w:val="center"/>
          </w:tcPr>
          <w:p w14:paraId="2E892091">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标准化系</w:t>
            </w:r>
          </w:p>
          <w:p w14:paraId="5648D85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统认证</w:t>
            </w:r>
          </w:p>
        </w:tc>
        <w:tc>
          <w:tcPr>
            <w:tcW w:w="3585" w:type="pct"/>
            <w:vAlign w:val="center"/>
          </w:tcPr>
          <w:p w14:paraId="430D345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具有有效期内的ISO9001质量管理体系认证证书得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75453A2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具有有效期内的ISO14001环境管理体系认证证书得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63C0B3F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具有有效期内的OHSAS18001（或GB/T</w:t>
            </w:r>
            <w:r>
              <w:rPr>
                <w:rFonts w:hint="eastAsia" w:ascii="宋体" w:hAnsi="宋体" w:eastAsia="宋体" w:cs="宋体"/>
                <w:color w:val="auto"/>
                <w:sz w:val="21"/>
                <w:szCs w:val="21"/>
              </w:rPr>
              <w:t>45001</w:t>
            </w:r>
            <w:r>
              <w:rPr>
                <w:rFonts w:hint="eastAsia" w:ascii="宋体" w:hAnsi="宋体" w:eastAsia="宋体" w:cs="宋体"/>
                <w:color w:val="auto"/>
                <w:sz w:val="21"/>
                <w:szCs w:val="21"/>
                <w:lang w:val="zh-CN"/>
              </w:rPr>
              <w:t>-20</w:t>
            </w:r>
            <w:r>
              <w:rPr>
                <w:rFonts w:hint="eastAsia" w:ascii="宋体" w:hAnsi="宋体" w:eastAsia="宋体" w:cs="宋体"/>
                <w:color w:val="auto"/>
                <w:sz w:val="21"/>
                <w:szCs w:val="21"/>
              </w:rPr>
              <w:t>20</w:t>
            </w:r>
            <w:r>
              <w:rPr>
                <w:rFonts w:hint="eastAsia" w:ascii="宋体" w:hAnsi="宋体" w:eastAsia="宋体" w:cs="宋体"/>
                <w:color w:val="auto"/>
                <w:sz w:val="21"/>
                <w:szCs w:val="21"/>
                <w:lang w:val="zh-CN"/>
              </w:rPr>
              <w:t>，或ISO45001）职业健康安全管理体系认证证书得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w:t>
            </w:r>
          </w:p>
          <w:p w14:paraId="1CCC5908">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2AA7ABB0">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 w:val="21"/>
                <w:szCs w:val="21"/>
                <w:lang w:val="zh-CN"/>
              </w:rPr>
            </w:pPr>
            <w:r>
              <w:rPr>
                <w:rFonts w:hint="eastAsia" w:ascii="宋体" w:hAnsi="宋体" w:eastAsia="宋体" w:cs="宋体"/>
                <w:bCs/>
                <w:color w:val="auto"/>
                <w:sz w:val="21"/>
                <w:szCs w:val="21"/>
                <w:lang w:val="en-US" w:eastAsia="zh-CN"/>
              </w:rPr>
              <w:t>供应商</w:t>
            </w:r>
            <w:r>
              <w:rPr>
                <w:rFonts w:hint="eastAsia" w:ascii="宋体" w:hAnsi="宋体" w:eastAsia="宋体" w:cs="宋体"/>
                <w:bCs/>
                <w:color w:val="auto"/>
                <w:sz w:val="21"/>
                <w:szCs w:val="21"/>
                <w:lang w:val="zh-CN"/>
              </w:rPr>
              <w:t>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65" w:type="pct"/>
            <w:vAlign w:val="center"/>
          </w:tcPr>
          <w:p w14:paraId="7C10390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3分</w:t>
            </w:r>
          </w:p>
        </w:tc>
      </w:tr>
      <w:tr w14:paraId="09B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088296A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81" w:type="pct"/>
            <w:vAlign w:val="center"/>
          </w:tcPr>
          <w:p w14:paraId="610B482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3585" w:type="pct"/>
            <w:vAlign w:val="center"/>
          </w:tcPr>
          <w:p w14:paraId="6985AA5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年以来（签订合同的时间要求为20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年1月1日或以后）承接的</w:t>
            </w:r>
            <w:r>
              <w:rPr>
                <w:rFonts w:hint="eastAsia" w:ascii="宋体" w:hAnsi="宋体" w:eastAsia="宋体" w:cs="宋体"/>
                <w:color w:val="auto"/>
                <w:sz w:val="21"/>
                <w:szCs w:val="21"/>
                <w:lang w:val="en-US" w:eastAsia="zh-CN"/>
              </w:rPr>
              <w:t>生活污水处理厂污泥脱水减量化处理</w:t>
            </w:r>
            <w:r>
              <w:rPr>
                <w:rFonts w:hint="eastAsia" w:ascii="宋体" w:hAnsi="宋体" w:eastAsia="宋体" w:cs="宋体"/>
                <w:color w:val="auto"/>
                <w:sz w:val="21"/>
                <w:szCs w:val="21"/>
              </w:rPr>
              <w:t>服务业绩进行评审，满分</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分。</w:t>
            </w:r>
          </w:p>
          <w:p w14:paraId="1083BA8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】的前述业绩的，得4分；</w:t>
            </w:r>
          </w:p>
          <w:p w14:paraId="7A5414D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每提供一个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30吨/天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污泥处理规模（按含水率80%的湿泥计）</w:t>
            </w:r>
            <w:r>
              <w:rPr>
                <w:rFonts w:hint="eastAsia" w:ascii="宋体" w:hAnsi="宋体" w:eastAsia="宋体" w:cs="宋体"/>
                <w:color w:val="auto"/>
                <w:sz w:val="21"/>
                <w:szCs w:val="21"/>
              </w:rPr>
              <w:t>＜50</w:t>
            </w:r>
            <w:r>
              <w:rPr>
                <w:rFonts w:hint="eastAsia" w:ascii="宋体" w:hAnsi="宋体" w:eastAsia="宋体" w:cs="宋体"/>
                <w:color w:val="auto"/>
                <w:sz w:val="21"/>
                <w:szCs w:val="21"/>
                <w:lang w:val="en-US" w:eastAsia="zh-CN"/>
              </w:rPr>
              <w:t>吨/天</w:t>
            </w:r>
            <w:r>
              <w:rPr>
                <w:rFonts w:hint="eastAsia" w:ascii="宋体" w:hAnsi="宋体" w:eastAsia="宋体" w:cs="宋体"/>
                <w:color w:val="auto"/>
                <w:sz w:val="21"/>
                <w:szCs w:val="21"/>
              </w:rPr>
              <w:t>】的前述业绩的，得2分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本小项最高得8分</w:t>
            </w:r>
            <w:r>
              <w:rPr>
                <w:rFonts w:hint="eastAsia" w:ascii="宋体" w:hAnsi="宋体" w:eastAsia="宋体" w:cs="宋体"/>
                <w:color w:val="auto"/>
                <w:sz w:val="21"/>
                <w:szCs w:val="21"/>
                <w:lang w:eastAsia="zh-CN"/>
              </w:rPr>
              <w:t>。</w:t>
            </w:r>
          </w:p>
          <w:p w14:paraId="429B2554">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14:paraId="751A517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业绩必须附合同复印件（合同服务提供方为供应商）。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或提供加盖委托方公章反映评分条件的招标文件复印件，否则不得分。</w:t>
            </w:r>
          </w:p>
          <w:p w14:paraId="2312520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污泥脱水减量化处理服务业绩的污泥类别须为生活污水处理厂污泥，服务内容须包含生活污水处理厂污泥脱水减量化处理服务，需将污泥脱水减量至含水率≤55%，如污泥脱水减量化处理服务业绩的服务内容为生活污水处理厂污泥的全流程处理处置，必须包含污泥脱水减量化处理至含水率≤55%的服务内容，否则不得分。</w:t>
            </w:r>
          </w:p>
          <w:p w14:paraId="3BDAA86A">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（3）污泥处理规模按含水率80%的湿泥计，其他含水率需按下列公式折算为含水率80%的湿泥进行评审，不同含水率污泥量的折算公式：（1-Y%）/（1-80%）×A，Y为污泥实际含水率，A为实际含水率对应的污泥量</w:t>
            </w:r>
            <w:r>
              <w:rPr>
                <w:rFonts w:hint="eastAsia" w:ascii="宋体" w:hAnsi="宋体" w:eastAsia="宋体" w:cs="宋体"/>
                <w:color w:val="auto"/>
                <w:sz w:val="21"/>
                <w:szCs w:val="21"/>
                <w:lang w:val="zh-CN"/>
              </w:rPr>
              <w:t>。</w:t>
            </w:r>
          </w:p>
          <w:p w14:paraId="4CFFDBD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污泥脱水减量化处理服务业绩合同服务期限要求大于或等于1年，小于1年的业绩合同在评标时不予考虑。</w:t>
            </w:r>
          </w:p>
          <w:p w14:paraId="7774A711">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）若业绩为无明确</w:t>
            </w:r>
            <w:r>
              <w:rPr>
                <w:rFonts w:hint="eastAsia" w:ascii="宋体" w:hAnsi="宋体" w:eastAsia="宋体" w:cs="宋体"/>
                <w:color w:val="auto"/>
                <w:sz w:val="21"/>
                <w:szCs w:val="21"/>
                <w:lang w:val="en-US" w:eastAsia="zh-CN"/>
              </w:rPr>
              <w:t>污泥处理规模，</w:t>
            </w:r>
            <w:r>
              <w:rPr>
                <w:rFonts w:hint="eastAsia" w:ascii="宋体" w:hAnsi="宋体" w:eastAsia="宋体" w:cs="宋体"/>
                <w:color w:val="auto"/>
                <w:sz w:val="21"/>
                <w:szCs w:val="21"/>
                <w:lang w:val="zh-CN"/>
              </w:rPr>
              <w:t>必须同时提供合同期限内</w:t>
            </w:r>
            <w:r>
              <w:rPr>
                <w:rFonts w:hint="eastAsia" w:ascii="宋体" w:hAnsi="宋体" w:eastAsia="宋体" w:cs="宋体"/>
                <w:color w:val="auto"/>
                <w:sz w:val="21"/>
                <w:szCs w:val="21"/>
                <w:lang w:val="en-US" w:eastAsia="zh-CN"/>
              </w:rPr>
              <w:t>单个月份</w:t>
            </w:r>
            <w:r>
              <w:rPr>
                <w:rFonts w:hint="eastAsia" w:ascii="宋体" w:hAnsi="宋体" w:eastAsia="宋体" w:cs="宋体"/>
                <w:color w:val="auto"/>
                <w:sz w:val="21"/>
                <w:szCs w:val="21"/>
                <w:lang w:val="zh-CN"/>
              </w:rPr>
              <w:t>已</w:t>
            </w:r>
            <w:r>
              <w:rPr>
                <w:rFonts w:hint="eastAsia" w:ascii="宋体" w:hAnsi="宋体" w:eastAsia="宋体" w:cs="宋体"/>
                <w:color w:val="auto"/>
                <w:sz w:val="21"/>
                <w:szCs w:val="21"/>
                <w:lang w:val="en-US" w:eastAsia="zh-CN"/>
              </w:rPr>
              <w:t>处理</w:t>
            </w:r>
            <w:r>
              <w:rPr>
                <w:rFonts w:hint="eastAsia" w:ascii="宋体" w:hAnsi="宋体" w:eastAsia="宋体" w:cs="宋体"/>
                <w:color w:val="auto"/>
                <w:sz w:val="21"/>
                <w:szCs w:val="21"/>
                <w:lang w:val="zh-CN"/>
              </w:rPr>
              <w:t>的</w:t>
            </w:r>
            <w:r>
              <w:rPr>
                <w:rFonts w:hint="eastAsia" w:ascii="宋体" w:hAnsi="宋体" w:eastAsia="宋体" w:cs="宋体"/>
                <w:color w:val="auto"/>
                <w:sz w:val="21"/>
                <w:szCs w:val="21"/>
                <w:lang w:val="en-US" w:eastAsia="zh-CN"/>
              </w:rPr>
              <w:t>生活污水处理厂污泥处理量</w:t>
            </w:r>
            <w:r>
              <w:rPr>
                <w:rFonts w:hint="eastAsia" w:ascii="宋体" w:hAnsi="宋体" w:eastAsia="宋体" w:cs="宋体"/>
                <w:color w:val="auto"/>
                <w:sz w:val="21"/>
                <w:szCs w:val="21"/>
                <w:lang w:val="zh-CN"/>
              </w:rPr>
              <w:t>统计表和</w:t>
            </w:r>
            <w:r>
              <w:rPr>
                <w:rFonts w:hint="eastAsia" w:ascii="宋体" w:hAnsi="宋体" w:eastAsia="宋体" w:cs="宋体"/>
                <w:color w:val="auto"/>
                <w:sz w:val="21"/>
                <w:szCs w:val="21"/>
                <w:lang w:val="en-US" w:eastAsia="zh-CN"/>
              </w:rPr>
              <w:t>污泥转运联单</w:t>
            </w:r>
            <w:r>
              <w:rPr>
                <w:rFonts w:hint="eastAsia" w:ascii="宋体" w:hAnsi="宋体" w:eastAsia="宋体" w:cs="宋体"/>
                <w:color w:val="auto"/>
                <w:sz w:val="21"/>
                <w:szCs w:val="21"/>
                <w:lang w:val="zh-CN"/>
              </w:rPr>
              <w:t>复印件（</w:t>
            </w:r>
            <w:r>
              <w:rPr>
                <w:rFonts w:hint="eastAsia" w:ascii="宋体" w:hAnsi="宋体" w:eastAsia="宋体" w:cs="宋体"/>
                <w:color w:val="auto"/>
                <w:sz w:val="21"/>
                <w:szCs w:val="21"/>
                <w:lang w:val="zh-CN" w:eastAsia="zh-CN"/>
              </w:rPr>
              <w:t>无转运联单的，提供服务发票复印件及折算处理量数据或污泥产生单位盖章的证明文件替代</w:t>
            </w:r>
            <w:r>
              <w:rPr>
                <w:rFonts w:hint="eastAsia" w:ascii="宋体" w:hAnsi="宋体" w:eastAsia="宋体" w:cs="宋体"/>
                <w:color w:val="auto"/>
                <w:sz w:val="21"/>
                <w:szCs w:val="21"/>
                <w:lang w:val="zh-CN"/>
              </w:rPr>
              <w:t>）以证明</w:t>
            </w:r>
            <w:r>
              <w:rPr>
                <w:rFonts w:hint="eastAsia" w:ascii="宋体" w:hAnsi="宋体" w:eastAsia="宋体" w:cs="宋体"/>
                <w:color w:val="auto"/>
                <w:sz w:val="21"/>
                <w:szCs w:val="21"/>
                <w:lang w:val="en-US" w:eastAsia="zh-CN"/>
              </w:rPr>
              <w:t>污泥处理规模，日平均生活污水处理厂污泥处理量按合同期限内单个月份已处理的生活污水处理厂污泥处理量除以单个月份自然天数进行计算，并以此作为污泥处理规模进行评审</w:t>
            </w:r>
            <w:r>
              <w:rPr>
                <w:rFonts w:hint="eastAsia" w:ascii="宋体" w:hAnsi="宋体" w:eastAsia="宋体" w:cs="宋体"/>
                <w:color w:val="auto"/>
                <w:sz w:val="21"/>
                <w:szCs w:val="21"/>
                <w:lang w:val="zh-CN"/>
              </w:rPr>
              <w:t>。</w:t>
            </w:r>
          </w:p>
          <w:p w14:paraId="09DD0D2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单个业绩合同中包含多个生活污水处理厂污泥脱水减量化处理服务项目，评分时按合同中的单个生活污水处理厂污泥脱水减量化处理服务项目分别计算得分，同一个生活污水处理厂污泥脱水减量化处理服务项目不同服务期限的单个业绩合同分别计算得分。</w:t>
            </w:r>
          </w:p>
          <w:p w14:paraId="00DCF15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若业绩所附合同复印件为主合同的补充协议，需同时附主合同，否则，在评标时将不予考虑。主合同必须能反映评分条件（合同签订日期、服务内容、污泥类别、污泥处理规模、脱水后的污泥含水率、合同期限），否则，需同时提供服务购买方出具的书面补充情况说明文件复印件（需加盖服务购买方公章，即复印件能显示服务购买方公章）或提供加盖委托方公章反映评分条件的招标文件复印件，否则不得分。合同签订日期按主合同签订日期进行评审，其他评分条件按主合同、主合同补充协议、服务购买方出具的书面补充情况说明文件</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加盖委托方公章的招标文件反映的内容进行评审。</w:t>
            </w:r>
          </w:p>
          <w:p w14:paraId="672A892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val="zh-CN"/>
              </w:rPr>
              <w:t>）未按上述要求提供证明材料的业绩，或所附材料无法证明填报项目属</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rPr>
              <w:t>完成的或不符合本项评分要求的业绩，在评</w:t>
            </w:r>
            <w:r>
              <w:rPr>
                <w:rFonts w:hint="eastAsia" w:ascii="宋体" w:hAnsi="宋体" w:eastAsia="宋体" w:cs="宋体"/>
                <w:color w:val="auto"/>
                <w:sz w:val="21"/>
                <w:szCs w:val="21"/>
                <w:lang w:val="en-US" w:eastAsia="zh-CN"/>
              </w:rPr>
              <w:t>审</w:t>
            </w:r>
            <w:r>
              <w:rPr>
                <w:rFonts w:hint="eastAsia" w:ascii="宋体" w:hAnsi="宋体" w:eastAsia="宋体" w:cs="宋体"/>
                <w:color w:val="auto"/>
                <w:sz w:val="21"/>
                <w:szCs w:val="21"/>
                <w:lang w:val="zh-CN"/>
              </w:rPr>
              <w:t>时将不予考虑。</w:t>
            </w:r>
          </w:p>
        </w:tc>
        <w:tc>
          <w:tcPr>
            <w:tcW w:w="465" w:type="pct"/>
            <w:vAlign w:val="center"/>
          </w:tcPr>
          <w:p w14:paraId="6D16664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4分</w:t>
            </w:r>
          </w:p>
        </w:tc>
      </w:tr>
    </w:tbl>
    <w:p w14:paraId="21AE2FBF">
      <w:pPr>
        <w:autoSpaceDE w:val="0"/>
        <w:autoSpaceDN w:val="0"/>
        <w:adjustRightInd w:val="0"/>
        <w:snapToGrid w:val="0"/>
        <w:spacing w:line="360" w:lineRule="auto"/>
        <w:ind w:right="-26" w:firstLine="480"/>
        <w:jc w:val="center"/>
        <w:outlineLvl w:val="9"/>
        <w:rPr>
          <w:rFonts w:hint="eastAsia" w:ascii="宋体" w:hAnsi="宋体" w:eastAsia="宋体" w:cs="宋体"/>
          <w:b/>
          <w:bCs/>
          <w:color w:val="auto"/>
          <w:kern w:val="0"/>
          <w:szCs w:val="21"/>
        </w:rPr>
      </w:pPr>
    </w:p>
    <w:p w14:paraId="331062C7">
      <w:pPr>
        <w:tabs>
          <w:tab w:val="left" w:pos="585"/>
        </w:tabs>
        <w:autoSpaceDE w:val="0"/>
        <w:autoSpaceDN w:val="0"/>
        <w:adjustRightInd w:val="0"/>
        <w:snapToGrid w:val="0"/>
        <w:spacing w:line="360" w:lineRule="auto"/>
        <w:outlineLvl w:val="9"/>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w:t>
      </w:r>
      <w:r>
        <w:rPr>
          <w:rFonts w:hint="eastAsia" w:ascii="宋体" w:hAnsi="宋体" w:eastAsia="宋体" w:cs="宋体"/>
          <w:b/>
          <w:color w:val="auto"/>
          <w:sz w:val="21"/>
          <w:szCs w:val="21"/>
        </w:rPr>
        <w:t>2）</w:t>
      </w:r>
      <w:r>
        <w:rPr>
          <w:rFonts w:hint="eastAsia" w:ascii="宋体" w:hAnsi="宋体" w:eastAsia="宋体" w:cs="宋体"/>
          <w:b/>
          <w:color w:val="auto"/>
          <w:sz w:val="21"/>
          <w:szCs w:val="21"/>
          <w:lang w:val="zh-CN"/>
        </w:rPr>
        <w:t>技术：总分</w:t>
      </w: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rPr>
        <w:t>0</w:t>
      </w:r>
      <w:r>
        <w:rPr>
          <w:rFonts w:hint="eastAsia" w:ascii="宋体" w:hAnsi="宋体" w:eastAsia="宋体" w:cs="宋体"/>
          <w:b/>
          <w:color w:val="auto"/>
          <w:sz w:val="21"/>
          <w:szCs w:val="21"/>
          <w:lang w:val="zh-CN"/>
        </w:rPr>
        <w:t>分</w:t>
      </w:r>
      <w:bookmarkEnd w:id="491"/>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083"/>
        <w:gridCol w:w="6660"/>
        <w:gridCol w:w="864"/>
      </w:tblGrid>
      <w:tr w14:paraId="0621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393B131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6B99B0C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lang w:val="zh-CN"/>
              </w:rPr>
              <w:t>评审内容</w:t>
            </w:r>
          </w:p>
        </w:tc>
        <w:tc>
          <w:tcPr>
            <w:tcW w:w="3585" w:type="pct"/>
            <w:tcBorders>
              <w:top w:val="single" w:color="auto" w:sz="4" w:space="0"/>
              <w:left w:val="single" w:color="auto" w:sz="4" w:space="0"/>
              <w:bottom w:val="single" w:color="auto" w:sz="4" w:space="0"/>
              <w:right w:val="single" w:color="auto" w:sz="4" w:space="0"/>
            </w:tcBorders>
            <w:vAlign w:val="center"/>
          </w:tcPr>
          <w:p w14:paraId="71166E7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评审细则</w:t>
            </w:r>
          </w:p>
        </w:tc>
        <w:tc>
          <w:tcPr>
            <w:tcW w:w="465" w:type="pct"/>
            <w:tcBorders>
              <w:top w:val="single" w:color="auto" w:sz="4" w:space="0"/>
              <w:left w:val="single" w:color="auto" w:sz="4" w:space="0"/>
              <w:bottom w:val="single" w:color="auto" w:sz="4" w:space="0"/>
              <w:right w:val="single" w:color="auto" w:sz="4" w:space="0"/>
            </w:tcBorders>
            <w:vAlign w:val="center"/>
          </w:tcPr>
          <w:p w14:paraId="75C0567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满分值</w:t>
            </w:r>
          </w:p>
        </w:tc>
      </w:tr>
      <w:tr w14:paraId="27EA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15C5071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color w:val="auto"/>
                <w:sz w:val="21"/>
                <w:szCs w:val="21"/>
              </w:rPr>
            </w:pPr>
            <w:r>
              <w:rPr>
                <w:rFonts w:hint="eastAsia" w:ascii="宋体" w:hAnsi="宋体" w:eastAsia="宋体" w:cs="宋体"/>
                <w:color w:val="auto"/>
                <w:sz w:val="21"/>
                <w:szCs w:val="21"/>
              </w:rPr>
              <w:t>1</w:t>
            </w:r>
          </w:p>
        </w:tc>
        <w:tc>
          <w:tcPr>
            <w:tcW w:w="583" w:type="pct"/>
            <w:tcBorders>
              <w:top w:val="single" w:color="auto" w:sz="4" w:space="0"/>
              <w:left w:val="single" w:color="auto" w:sz="4" w:space="0"/>
              <w:bottom w:val="single" w:color="auto" w:sz="4" w:space="0"/>
              <w:right w:val="single" w:color="auto" w:sz="4" w:space="0"/>
            </w:tcBorders>
            <w:vAlign w:val="center"/>
          </w:tcPr>
          <w:p w14:paraId="752505FC">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用户需求响应程度</w:t>
            </w:r>
          </w:p>
        </w:tc>
        <w:tc>
          <w:tcPr>
            <w:tcW w:w="3585" w:type="pct"/>
            <w:tcBorders>
              <w:top w:val="single" w:color="auto" w:sz="4" w:space="0"/>
              <w:left w:val="single" w:color="auto" w:sz="4" w:space="0"/>
              <w:bottom w:val="single" w:color="auto" w:sz="4" w:space="0"/>
              <w:right w:val="single" w:color="auto" w:sz="4" w:space="0"/>
            </w:tcBorders>
            <w:vAlign w:val="center"/>
          </w:tcPr>
          <w:p w14:paraId="1EDE3E7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rPr>
            </w:pPr>
            <w:r>
              <w:rPr>
                <w:rFonts w:hint="eastAsia" w:ascii="宋体" w:hAnsi="宋体" w:eastAsia="宋体" w:cs="宋体"/>
                <w:color w:val="auto"/>
                <w:sz w:val="21"/>
                <w:szCs w:val="21"/>
              </w:rPr>
              <w:t>对用户需求偏离表的偏离情况进行评审计分，完全满足用户需求书的要求得满分；每一处负偏离，扣2分；同时参照其</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文件中其部分的内容进行对比，每发现一处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填写为无偏离或正偏离，但</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rPr>
              <w:t>评审认定其为负偏离的，每处扣5分；本项最低分为0分。</w:t>
            </w:r>
          </w:p>
        </w:tc>
        <w:tc>
          <w:tcPr>
            <w:tcW w:w="465" w:type="pct"/>
            <w:tcBorders>
              <w:top w:val="single" w:color="auto" w:sz="4" w:space="0"/>
              <w:left w:val="single" w:color="auto" w:sz="4" w:space="0"/>
              <w:bottom w:val="single" w:color="auto" w:sz="4" w:space="0"/>
              <w:right w:val="single" w:color="auto" w:sz="4" w:space="0"/>
            </w:tcBorders>
            <w:vAlign w:val="center"/>
          </w:tcPr>
          <w:p w14:paraId="6F69BE6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5分</w:t>
            </w:r>
          </w:p>
        </w:tc>
      </w:tr>
      <w:tr w14:paraId="45FB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4DA2701F">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83" w:type="pct"/>
            <w:tcBorders>
              <w:top w:val="single" w:color="auto" w:sz="4" w:space="0"/>
              <w:left w:val="single" w:color="auto" w:sz="4" w:space="0"/>
              <w:bottom w:val="single" w:color="auto" w:sz="4" w:space="0"/>
              <w:right w:val="single" w:color="auto" w:sz="4" w:space="0"/>
            </w:tcBorders>
            <w:vAlign w:val="center"/>
          </w:tcPr>
          <w:p w14:paraId="71FAE9B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219DF6E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rPr>
              <w:t>方案，包括污泥脱水减量化处理工艺方案、污泥脱水减量化处理设备、设施及处理能力、调理剂等内容的</w:t>
            </w:r>
            <w:r>
              <w:rPr>
                <w:rFonts w:hint="eastAsia" w:ascii="宋体" w:hAnsi="宋体" w:eastAsia="宋体" w:cs="宋体"/>
                <w:color w:val="auto"/>
                <w:sz w:val="21"/>
                <w:szCs w:val="21"/>
                <w:lang w:val="en-US" w:eastAsia="zh-CN"/>
              </w:rPr>
              <w:t>技术先进性</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可靠性、性能稳定性</w:t>
            </w:r>
            <w:r>
              <w:rPr>
                <w:rFonts w:hint="eastAsia" w:ascii="宋体" w:hAnsi="宋体" w:eastAsia="宋体" w:cs="宋体"/>
                <w:color w:val="auto"/>
                <w:sz w:val="21"/>
                <w:szCs w:val="21"/>
              </w:rPr>
              <w:t>等方面进行评审</w:t>
            </w:r>
            <w:r>
              <w:rPr>
                <w:rFonts w:hint="eastAsia" w:ascii="宋体" w:hAnsi="宋体" w:eastAsia="宋体" w:cs="宋体"/>
                <w:color w:val="auto"/>
                <w:sz w:val="21"/>
                <w:szCs w:val="21"/>
                <w:lang w:eastAsia="zh-CN"/>
              </w:rPr>
              <w:t>：</w:t>
            </w:r>
          </w:p>
          <w:p w14:paraId="7B948BFD">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工艺技术</w:t>
            </w:r>
            <w:r>
              <w:rPr>
                <w:rFonts w:hint="eastAsia" w:ascii="宋体" w:hAnsi="宋体" w:eastAsia="宋体" w:cs="宋体"/>
                <w:color w:val="auto"/>
                <w:sz w:val="21"/>
                <w:szCs w:val="21"/>
                <w:lang w:val="en-US" w:eastAsia="zh-CN"/>
              </w:rPr>
              <w:t>非常</w:t>
            </w:r>
            <w:r>
              <w:rPr>
                <w:rFonts w:hint="eastAsia" w:ascii="宋体" w:hAnsi="宋体" w:eastAsia="宋体" w:cs="宋体"/>
                <w:color w:val="auto"/>
                <w:sz w:val="21"/>
                <w:szCs w:val="21"/>
              </w:rPr>
              <w:t>成熟稳定</w:t>
            </w:r>
            <w:r>
              <w:rPr>
                <w:rFonts w:hint="eastAsia" w:ascii="宋体" w:hAnsi="宋体" w:eastAsia="宋体" w:cs="宋体"/>
                <w:color w:val="auto"/>
                <w:sz w:val="21"/>
                <w:szCs w:val="21"/>
                <w:lang w:val="en-US" w:eastAsia="zh-CN"/>
              </w:rPr>
              <w:t>，设备先进</w:t>
            </w:r>
            <w:r>
              <w:rPr>
                <w:rFonts w:hint="eastAsia" w:ascii="宋体" w:hAnsi="宋体" w:eastAsia="宋体" w:cs="宋体"/>
                <w:color w:val="auto"/>
                <w:sz w:val="21"/>
                <w:szCs w:val="21"/>
              </w:rPr>
              <w:t>，自动化程度高，设施完善，布局合理，</w:t>
            </w:r>
            <w:r>
              <w:rPr>
                <w:rFonts w:hint="eastAsia" w:ascii="宋体" w:hAnsi="宋体" w:eastAsia="宋体" w:cs="宋体"/>
                <w:color w:val="auto"/>
                <w:sz w:val="21"/>
                <w:szCs w:val="21"/>
                <w:lang w:val="en-US" w:eastAsia="zh-CN"/>
              </w:rPr>
              <w:t>处理能力稳定可靠，</w:t>
            </w:r>
            <w:r>
              <w:rPr>
                <w:rFonts w:hint="eastAsia" w:ascii="宋体" w:hAnsi="宋体" w:eastAsia="宋体" w:cs="宋体"/>
                <w:color w:val="auto"/>
                <w:sz w:val="21"/>
                <w:szCs w:val="21"/>
              </w:rPr>
              <w:t>能</w:t>
            </w:r>
            <w:r>
              <w:rPr>
                <w:rFonts w:hint="eastAsia" w:ascii="宋体" w:hAnsi="宋体" w:eastAsia="宋体" w:cs="宋体"/>
                <w:color w:val="auto"/>
                <w:sz w:val="21"/>
                <w:szCs w:val="21"/>
                <w:lang w:val="en-US" w:eastAsia="zh-CN"/>
              </w:rPr>
              <w:t>完全满足项目现场污泥</w:t>
            </w:r>
            <w:r>
              <w:rPr>
                <w:rFonts w:hint="eastAsia" w:ascii="宋体" w:hAnsi="宋体" w:eastAsia="宋体" w:cs="宋体"/>
                <w:color w:val="auto"/>
                <w:sz w:val="21"/>
                <w:szCs w:val="21"/>
              </w:rPr>
              <w:t>脱水减量化</w:t>
            </w:r>
            <w:r>
              <w:rPr>
                <w:rFonts w:hint="eastAsia" w:ascii="宋体" w:hAnsi="宋体" w:eastAsia="宋体" w:cs="宋体"/>
                <w:color w:val="auto"/>
                <w:sz w:val="21"/>
                <w:szCs w:val="21"/>
                <w:lang w:val="en-US" w:eastAsia="zh-CN"/>
              </w:rPr>
              <w:t>需求</w:t>
            </w:r>
            <w:r>
              <w:rPr>
                <w:rFonts w:hint="eastAsia" w:ascii="宋体" w:hAnsi="宋体" w:eastAsia="宋体" w:cs="宋体"/>
                <w:color w:val="auto"/>
                <w:sz w:val="21"/>
                <w:szCs w:val="21"/>
              </w:rPr>
              <w:t>。</w:t>
            </w:r>
          </w:p>
          <w:p w14:paraId="21096000">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工艺技术较为成熟稳定，设备</w:t>
            </w:r>
            <w:r>
              <w:rPr>
                <w:rFonts w:hint="eastAsia" w:ascii="宋体" w:hAnsi="宋体" w:eastAsia="宋体" w:cs="宋体"/>
                <w:color w:val="auto"/>
                <w:sz w:val="21"/>
                <w:szCs w:val="21"/>
                <w:lang w:eastAsia="zh-CN"/>
              </w:rPr>
              <w:t>较为先进，</w:t>
            </w:r>
            <w:r>
              <w:rPr>
                <w:rFonts w:hint="eastAsia" w:ascii="宋体" w:hAnsi="宋体" w:eastAsia="宋体" w:cs="宋体"/>
                <w:color w:val="auto"/>
                <w:sz w:val="21"/>
                <w:szCs w:val="21"/>
                <w:lang w:val="en-US" w:eastAsia="zh-CN"/>
              </w:rPr>
              <w:t>布局较为合理，处理能力较为稳定可靠，能满足项目现场污泥脱水减量化需求</w:t>
            </w:r>
            <w:r>
              <w:rPr>
                <w:rFonts w:hint="eastAsia" w:ascii="宋体" w:hAnsi="宋体" w:eastAsia="宋体" w:cs="宋体"/>
                <w:color w:val="auto"/>
                <w:sz w:val="21"/>
                <w:szCs w:val="21"/>
                <w:lang w:eastAsia="zh-CN"/>
              </w:rPr>
              <w:t>。</w:t>
            </w:r>
          </w:p>
          <w:p w14:paraId="00768AD6">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：工艺</w:t>
            </w:r>
            <w:r>
              <w:rPr>
                <w:rFonts w:hint="eastAsia" w:ascii="宋体" w:hAnsi="宋体" w:eastAsia="宋体" w:cs="宋体"/>
                <w:color w:val="auto"/>
                <w:sz w:val="21"/>
                <w:szCs w:val="21"/>
                <w:lang w:val="en-US" w:eastAsia="zh-CN"/>
              </w:rPr>
              <w:t>技术、</w:t>
            </w:r>
            <w:r>
              <w:rPr>
                <w:rFonts w:hint="eastAsia" w:ascii="宋体" w:hAnsi="宋体" w:eastAsia="宋体" w:cs="宋体"/>
                <w:color w:val="auto"/>
                <w:sz w:val="21"/>
                <w:szCs w:val="21"/>
                <w:lang w:eastAsia="zh-CN"/>
              </w:rPr>
              <w:t>设备性能、设施、</w:t>
            </w:r>
            <w:r>
              <w:rPr>
                <w:rFonts w:hint="eastAsia" w:ascii="宋体" w:hAnsi="宋体" w:eastAsia="宋体" w:cs="宋体"/>
                <w:color w:val="auto"/>
                <w:sz w:val="21"/>
                <w:szCs w:val="21"/>
                <w:lang w:val="en-US" w:eastAsia="zh-CN"/>
              </w:rPr>
              <w:t>布局、</w:t>
            </w:r>
            <w:r>
              <w:rPr>
                <w:rFonts w:hint="eastAsia" w:ascii="宋体" w:hAnsi="宋体" w:eastAsia="宋体" w:cs="宋体"/>
                <w:color w:val="auto"/>
                <w:sz w:val="21"/>
                <w:szCs w:val="21"/>
                <w:lang w:eastAsia="zh-CN"/>
              </w:rPr>
              <w:t>处理能力</w:t>
            </w:r>
            <w:r>
              <w:rPr>
                <w:rFonts w:hint="eastAsia" w:ascii="宋体" w:hAnsi="宋体" w:eastAsia="宋体" w:cs="宋体"/>
                <w:color w:val="auto"/>
                <w:sz w:val="21"/>
                <w:szCs w:val="21"/>
                <w:lang w:val="en-US" w:eastAsia="zh-CN"/>
              </w:rPr>
              <w:t>均一般，</w:t>
            </w:r>
            <w:r>
              <w:rPr>
                <w:rFonts w:hint="eastAsia" w:ascii="宋体" w:hAnsi="宋体" w:eastAsia="宋体" w:cs="宋体"/>
                <w:color w:val="auto"/>
                <w:sz w:val="21"/>
                <w:szCs w:val="21"/>
                <w:lang w:eastAsia="zh-CN"/>
              </w:rPr>
              <w:t>基本</w:t>
            </w:r>
            <w:r>
              <w:rPr>
                <w:rFonts w:hint="eastAsia" w:ascii="宋体" w:hAnsi="宋体" w:eastAsia="宋体" w:cs="宋体"/>
                <w:color w:val="auto"/>
                <w:sz w:val="21"/>
                <w:szCs w:val="21"/>
                <w:lang w:val="en-US" w:eastAsia="zh-CN"/>
              </w:rPr>
              <w:t>满足项目现场污泥脱水减量化需求</w:t>
            </w:r>
            <w:r>
              <w:rPr>
                <w:rFonts w:hint="eastAsia" w:ascii="宋体" w:hAnsi="宋体" w:eastAsia="宋体" w:cs="宋体"/>
                <w:color w:val="auto"/>
                <w:sz w:val="21"/>
                <w:szCs w:val="21"/>
                <w:lang w:eastAsia="zh-CN"/>
              </w:rPr>
              <w:t>。</w:t>
            </w:r>
          </w:p>
          <w:p w14:paraId="443A759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差（</w:t>
            </w: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：工艺落后</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存在技术瓶颈，设备性能落后不稳定，设施简陋，处理能力</w:t>
            </w:r>
            <w:r>
              <w:rPr>
                <w:rFonts w:hint="eastAsia" w:ascii="宋体" w:hAnsi="宋体" w:eastAsia="宋体" w:cs="宋体"/>
                <w:color w:val="auto"/>
                <w:sz w:val="21"/>
                <w:szCs w:val="21"/>
                <w:lang w:val="en-US" w:eastAsia="zh-CN"/>
              </w:rPr>
              <w:t>可能</w:t>
            </w:r>
            <w:r>
              <w:rPr>
                <w:rFonts w:hint="eastAsia" w:ascii="宋体" w:hAnsi="宋体" w:eastAsia="宋体" w:cs="宋体"/>
                <w:color w:val="auto"/>
                <w:sz w:val="21"/>
                <w:szCs w:val="21"/>
                <w:lang w:eastAsia="zh-CN"/>
              </w:rPr>
              <w:t>不足，</w:t>
            </w:r>
            <w:r>
              <w:rPr>
                <w:rFonts w:hint="eastAsia" w:ascii="宋体" w:hAnsi="宋体" w:cs="宋体"/>
                <w:color w:val="auto"/>
                <w:sz w:val="21"/>
                <w:szCs w:val="21"/>
                <w:lang w:val="en-US" w:eastAsia="zh-CN"/>
              </w:rPr>
              <w:t>未提供处理能力计算过程说明，</w:t>
            </w:r>
            <w:r>
              <w:rPr>
                <w:rFonts w:hint="eastAsia" w:ascii="宋体" w:hAnsi="宋体" w:eastAsia="宋体" w:cs="宋体"/>
                <w:color w:val="auto"/>
                <w:sz w:val="21"/>
                <w:szCs w:val="21"/>
                <w:lang w:val="en-US" w:eastAsia="zh-CN"/>
              </w:rPr>
              <w:t>可能无法满足项目现场污泥脱水减量化需求</w:t>
            </w:r>
            <w:r>
              <w:rPr>
                <w:rFonts w:hint="eastAsia" w:ascii="宋体" w:hAnsi="宋体" w:eastAsia="宋体" w:cs="宋体"/>
                <w:color w:val="auto"/>
                <w:sz w:val="21"/>
                <w:szCs w:val="21"/>
                <w:lang w:eastAsia="zh-CN"/>
              </w:rPr>
              <w:t>。</w:t>
            </w:r>
          </w:p>
          <w:p w14:paraId="2E6CD15E">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w:t>
            </w:r>
            <w:r>
              <w:rPr>
                <w:rFonts w:hint="eastAsia" w:ascii="宋体" w:hAnsi="宋体" w:cs="宋体"/>
                <w:color w:val="auto"/>
                <w:sz w:val="21"/>
                <w:szCs w:val="21"/>
                <w:lang w:val="en-US" w:eastAsia="zh-CN"/>
              </w:rPr>
              <w:t>技术</w:t>
            </w:r>
            <w:r>
              <w:rPr>
                <w:rFonts w:hint="eastAsia" w:ascii="宋体" w:hAnsi="宋体" w:eastAsia="宋体" w:cs="宋体"/>
                <w:color w:val="auto"/>
                <w:sz w:val="21"/>
                <w:szCs w:val="21"/>
                <w:lang w:val="en-US" w:eastAsia="zh-CN"/>
              </w:rPr>
              <w:t>方案的</w:t>
            </w:r>
            <w:r>
              <w:rPr>
                <w:rFonts w:hint="eastAsia" w:ascii="宋体" w:hAnsi="宋体" w:cs="宋体"/>
                <w:color w:val="auto"/>
                <w:sz w:val="21"/>
                <w:szCs w:val="21"/>
                <w:lang w:val="en-US" w:eastAsia="zh-CN"/>
              </w:rPr>
              <w:t>工艺方案</w:t>
            </w:r>
            <w:r>
              <w:rPr>
                <w:rFonts w:hint="eastAsia" w:ascii="宋体" w:hAnsi="宋体" w:eastAsia="宋体" w:cs="宋体"/>
                <w:color w:val="auto"/>
                <w:sz w:val="21"/>
                <w:szCs w:val="21"/>
                <w:lang w:val="en-US" w:eastAsia="zh-CN"/>
              </w:rPr>
              <w:t>情况在上述得分基础上进行加分，本小项满分</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分：</w:t>
            </w:r>
          </w:p>
          <w:p w14:paraId="7ADF782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w:t>
            </w:r>
            <w:r>
              <w:rPr>
                <w:rFonts w:hint="eastAsia" w:ascii="宋体" w:hAnsi="宋体" w:cs="宋体"/>
                <w:color w:val="auto"/>
                <w:sz w:val="21"/>
                <w:szCs w:val="21"/>
                <w:lang w:val="en-US" w:eastAsia="zh-CN"/>
              </w:rPr>
              <w:t>供应商工艺方案采用行走滤布式板框压滤机的</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得2分</w:t>
            </w:r>
            <w:r>
              <w:rPr>
                <w:rFonts w:hint="eastAsia" w:ascii="宋体" w:hAnsi="宋体" w:eastAsia="宋体" w:cs="宋体"/>
                <w:color w:val="auto"/>
                <w:sz w:val="21"/>
                <w:szCs w:val="21"/>
                <w:lang w:val="en-US" w:eastAsia="zh-CN"/>
              </w:rPr>
              <w:t>。</w:t>
            </w:r>
          </w:p>
          <w:p w14:paraId="05C9FAB3">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eastAsia" w:ascii="宋体" w:hAnsi="宋体" w:eastAsia="宋体" w:cs="宋体"/>
                <w:color w:val="auto"/>
                <w:sz w:val="21"/>
                <w:szCs w:val="21"/>
                <w:lang w:val="zh-CN" w:eastAsia="zh-CN"/>
              </w:rPr>
              <w:t>②</w:t>
            </w:r>
            <w:r>
              <w:rPr>
                <w:rFonts w:hint="eastAsia" w:ascii="宋体" w:hAnsi="宋体" w:cs="宋体"/>
                <w:color w:val="auto"/>
                <w:sz w:val="21"/>
                <w:szCs w:val="21"/>
                <w:lang w:val="en-US" w:eastAsia="zh-CN"/>
              </w:rPr>
              <w:t>供应商工艺方案采用高压板框压滤机（工作压力1.0MPa及以上）的，得1.5分。</w:t>
            </w:r>
          </w:p>
          <w:p w14:paraId="261EDEF8">
            <w:pPr>
              <w:keepNext w:val="0"/>
              <w:keepLines w:val="0"/>
              <w:suppressLineNumbers w:val="0"/>
              <w:spacing w:before="0" w:beforeAutospacing="0" w:after="0" w:afterAutospacing="0" w:line="360" w:lineRule="auto"/>
              <w:ind w:left="0" w:right="0" w:firstLine="420" w:firstLineChars="200"/>
              <w:outlineLvl w:val="9"/>
              <w:rPr>
                <w:rFonts w:hint="eastAsia" w:ascii="宋体" w:hAnsi="宋体" w:cs="宋体"/>
                <w:color w:val="auto"/>
                <w:sz w:val="21"/>
                <w:szCs w:val="21"/>
                <w:lang w:val="en-US" w:eastAsia="zh-CN"/>
              </w:rPr>
            </w:pPr>
            <w:r>
              <w:rPr>
                <w:rFonts w:hint="default" w:ascii="宋体" w:hAnsi="宋体" w:eastAsia="宋体" w:cs="宋体"/>
                <w:color w:val="auto"/>
                <w:sz w:val="21"/>
                <w:szCs w:val="21"/>
                <w:lang w:val="zh-CN" w:eastAsia="zh-CN"/>
              </w:rPr>
              <w:t>③</w:t>
            </w:r>
            <w:r>
              <w:rPr>
                <w:rFonts w:hint="eastAsia" w:ascii="宋体" w:hAnsi="宋体" w:cs="宋体"/>
                <w:color w:val="auto"/>
                <w:sz w:val="21"/>
                <w:szCs w:val="21"/>
                <w:lang w:val="en-US" w:eastAsia="zh-CN"/>
              </w:rPr>
              <w:t>供应商工艺方案采用其他型式板框压滤机的，得1分。</w:t>
            </w:r>
          </w:p>
          <w:p w14:paraId="1A549C5B">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09E65ABF">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供应商须在技术方案中提供处理能力证明材料，包括设备数量、滤布面积、压滤时间、调理时间等参数及处理能力详细计算过程说明。</w:t>
            </w:r>
          </w:p>
        </w:tc>
        <w:tc>
          <w:tcPr>
            <w:tcW w:w="465" w:type="pct"/>
            <w:tcBorders>
              <w:top w:val="single" w:color="auto" w:sz="4" w:space="0"/>
              <w:left w:val="single" w:color="auto" w:sz="4" w:space="0"/>
              <w:bottom w:val="single" w:color="auto" w:sz="4" w:space="0"/>
              <w:right w:val="single" w:color="auto" w:sz="4" w:space="0"/>
            </w:tcBorders>
            <w:vAlign w:val="center"/>
          </w:tcPr>
          <w:p w14:paraId="26E466F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b/>
                <w:bCs/>
                <w:color w:val="auto"/>
                <w:sz w:val="21"/>
                <w:szCs w:val="21"/>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w:t>
            </w:r>
          </w:p>
        </w:tc>
      </w:tr>
      <w:tr w14:paraId="3F2D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restart"/>
            <w:tcBorders>
              <w:top w:val="single" w:color="auto" w:sz="4" w:space="0"/>
              <w:left w:val="single" w:color="auto" w:sz="4" w:space="0"/>
              <w:right w:val="single" w:color="auto" w:sz="4" w:space="0"/>
            </w:tcBorders>
            <w:vAlign w:val="center"/>
          </w:tcPr>
          <w:p w14:paraId="2508321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583" w:type="pct"/>
            <w:vMerge w:val="restart"/>
            <w:tcBorders>
              <w:top w:val="single" w:color="auto" w:sz="4" w:space="0"/>
              <w:left w:val="single" w:color="auto" w:sz="4" w:space="0"/>
              <w:right w:val="single" w:color="auto" w:sz="4" w:space="0"/>
            </w:tcBorders>
            <w:vAlign w:val="center"/>
          </w:tcPr>
          <w:p w14:paraId="6BA3A9B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w:t>
            </w:r>
          </w:p>
        </w:tc>
        <w:tc>
          <w:tcPr>
            <w:tcW w:w="3585" w:type="pct"/>
            <w:tcBorders>
              <w:top w:val="single" w:color="auto" w:sz="4" w:space="0"/>
              <w:left w:val="single" w:color="auto" w:sz="4" w:space="0"/>
              <w:bottom w:val="single" w:color="auto" w:sz="4" w:space="0"/>
              <w:right w:val="single" w:color="auto" w:sz="4" w:space="0"/>
            </w:tcBorders>
          </w:tcPr>
          <w:p w14:paraId="706C6F66">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bookmarkStart w:id="492" w:name="OLE_LINK1"/>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提供的污泥脱水减量化处理服务</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方案，包括</w:t>
            </w:r>
            <w:r>
              <w:rPr>
                <w:rFonts w:hint="eastAsia" w:ascii="宋体" w:hAnsi="宋体" w:eastAsia="宋体" w:cs="宋体"/>
                <w:color w:val="auto"/>
                <w:sz w:val="21"/>
                <w:szCs w:val="21"/>
                <w:lang w:val="en-US" w:eastAsia="zh-CN"/>
              </w:rPr>
              <w:t>项目组织构架、人员配置、制度建设、工艺运行管理、设备维护管理</w:t>
            </w:r>
            <w:r>
              <w:rPr>
                <w:rFonts w:hint="eastAsia" w:ascii="宋体" w:hAnsi="宋体" w:eastAsia="宋体" w:cs="宋体"/>
                <w:color w:val="auto"/>
                <w:sz w:val="21"/>
                <w:szCs w:val="21"/>
              </w:rPr>
              <w:t>等内容的</w:t>
            </w:r>
            <w:r>
              <w:rPr>
                <w:rFonts w:hint="eastAsia" w:ascii="宋体" w:hAnsi="宋体" w:eastAsia="宋体" w:cs="宋体"/>
                <w:color w:val="auto"/>
                <w:sz w:val="21"/>
                <w:szCs w:val="21"/>
                <w:lang w:val="en-US" w:eastAsia="zh-CN"/>
              </w:rPr>
              <w:t>详细程度、科学性、合理性</w:t>
            </w:r>
            <w:r>
              <w:rPr>
                <w:rFonts w:hint="eastAsia" w:ascii="宋体" w:hAnsi="宋体" w:eastAsia="宋体" w:cs="宋体"/>
                <w:color w:val="auto"/>
                <w:sz w:val="21"/>
                <w:szCs w:val="21"/>
              </w:rPr>
              <w:t>等方面进行评审</w:t>
            </w:r>
            <w:bookmarkEnd w:id="492"/>
            <w:r>
              <w:rPr>
                <w:rFonts w:hint="eastAsia" w:ascii="宋体" w:hAnsi="宋体" w:eastAsia="宋体" w:cs="宋体"/>
                <w:color w:val="auto"/>
                <w:sz w:val="21"/>
                <w:szCs w:val="21"/>
                <w:lang w:eastAsia="zh-CN"/>
              </w:rPr>
              <w:t>：</w:t>
            </w:r>
          </w:p>
          <w:p w14:paraId="697C4CB7">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项目管理</w:t>
            </w:r>
            <w:r>
              <w:rPr>
                <w:rFonts w:hint="eastAsia" w:ascii="宋体" w:hAnsi="宋体" w:eastAsia="宋体" w:cs="宋体"/>
                <w:color w:val="auto"/>
                <w:sz w:val="21"/>
                <w:szCs w:val="21"/>
                <w:lang w:eastAsia="zh-CN"/>
              </w:rPr>
              <w:t>组织架构清晰，层次分明，</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完全满足对应工艺技术的需求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制度建设完善，内容明确、具体，可操作性强</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建立完善的工艺运行管理和设备维护管理体系，</w:t>
            </w:r>
            <w:r>
              <w:rPr>
                <w:rFonts w:hint="eastAsia" w:ascii="宋体" w:hAnsi="宋体" w:eastAsia="宋体" w:cs="宋体"/>
                <w:color w:val="auto"/>
                <w:sz w:val="21"/>
                <w:szCs w:val="21"/>
                <w:lang w:eastAsia="zh-CN"/>
              </w:rPr>
              <w:t>能够高效支持项目运作。</w:t>
            </w:r>
          </w:p>
          <w:p w14:paraId="4254326C">
            <w:pPr>
              <w:keepNext w:val="0"/>
              <w:keepLines w:val="0"/>
              <w:suppressLineNumbers w:val="0"/>
              <w:spacing w:before="0" w:beforeAutospacing="0" w:after="0" w:afterAutospacing="0" w:line="360" w:lineRule="auto"/>
              <w:ind w:left="0" w:right="0" w:firstLine="420" w:firstLineChars="200"/>
              <w:outlineLvl w:val="9"/>
              <w:rPr>
                <w:rFonts w:hint="default" w:ascii="宋体" w:hAnsi="宋体" w:eastAsia="宋体" w:cs="宋体"/>
                <w:color w:val="auto"/>
                <w:sz w:val="21"/>
                <w:szCs w:val="21"/>
                <w:lang w:val="en-US"/>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制度建设较为完善，但部分制度内容不够具体或存在漏洞</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建立较为完善的工艺运行管理和设备维护管理体系，能够支持项目运作。</w:t>
            </w:r>
          </w:p>
          <w:p w14:paraId="6B46B8C5">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rPr>
              <w:t>人员配置</w:t>
            </w:r>
            <w:r>
              <w:rPr>
                <w:rFonts w:hint="eastAsia" w:ascii="宋体" w:hAnsi="宋体" w:cs="宋体"/>
                <w:color w:val="auto"/>
                <w:sz w:val="21"/>
                <w:szCs w:val="21"/>
                <w:lang w:val="en-US" w:eastAsia="zh-CN"/>
              </w:rPr>
              <w:t>基本满足对应工艺技术的需求</w:t>
            </w:r>
            <w:r>
              <w:rPr>
                <w:rFonts w:hint="eastAsia" w:ascii="宋体" w:hAnsi="宋体" w:eastAsia="宋体" w:cs="宋体"/>
                <w:color w:val="auto"/>
                <w:sz w:val="21"/>
                <w:szCs w:val="21"/>
              </w:rPr>
              <w:t>，制度建设不完善，存在较多空白或模糊地带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工艺运行管理和设备维护管理体系不健全，基本能维持项目运作</w:t>
            </w:r>
            <w:r>
              <w:rPr>
                <w:rFonts w:hint="eastAsia" w:ascii="宋体" w:hAnsi="宋体" w:eastAsia="宋体" w:cs="宋体"/>
                <w:color w:val="auto"/>
                <w:sz w:val="21"/>
                <w:szCs w:val="21"/>
              </w:rPr>
              <w:t>。</w:t>
            </w:r>
          </w:p>
          <w:p w14:paraId="12FADE71">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b w:val="0"/>
                <w:color w:val="auto"/>
                <w:kern w:val="2"/>
                <w:sz w:val="21"/>
                <w:szCs w:val="21"/>
                <w:lang w:val="en-US" w:eastAsia="zh-CN" w:bidi="ar-SA"/>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lang w:eastAsia="zh-CN"/>
              </w:rPr>
              <w:t>组织架构、</w:t>
            </w:r>
            <w:r>
              <w:rPr>
                <w:rFonts w:hint="eastAsia" w:ascii="宋体" w:hAnsi="宋体" w:eastAsia="宋体" w:cs="宋体"/>
                <w:color w:val="auto"/>
                <w:sz w:val="21"/>
                <w:szCs w:val="21"/>
                <w:lang w:val="en-US" w:eastAsia="zh-CN"/>
              </w:rPr>
              <w:t>人员配置</w:t>
            </w:r>
            <w:r>
              <w:rPr>
                <w:rFonts w:hint="eastAsia" w:ascii="宋体" w:hAnsi="宋体" w:cs="宋体"/>
                <w:color w:val="auto"/>
                <w:sz w:val="21"/>
                <w:szCs w:val="21"/>
                <w:lang w:val="en-US" w:eastAsia="zh-CN"/>
              </w:rPr>
              <w:t>不满足对应工艺技术的需求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制度建设严重滞后，暂未建立工艺运行管理和设备维护管理体系，项目运作可能存在一定风险。</w:t>
            </w:r>
          </w:p>
        </w:tc>
        <w:tc>
          <w:tcPr>
            <w:tcW w:w="465" w:type="pct"/>
            <w:vMerge w:val="restart"/>
            <w:tcBorders>
              <w:top w:val="single" w:color="auto" w:sz="4" w:space="0"/>
              <w:left w:val="single" w:color="auto" w:sz="4" w:space="0"/>
              <w:right w:val="single" w:color="auto" w:sz="4" w:space="0"/>
            </w:tcBorders>
            <w:vAlign w:val="center"/>
          </w:tcPr>
          <w:p w14:paraId="21F1454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499D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vMerge w:val="continue"/>
            <w:tcBorders>
              <w:left w:val="single" w:color="auto" w:sz="4" w:space="0"/>
              <w:bottom w:val="single" w:color="auto" w:sz="4" w:space="0"/>
              <w:right w:val="single" w:color="auto" w:sz="4" w:space="0"/>
            </w:tcBorders>
            <w:vAlign w:val="center"/>
          </w:tcPr>
          <w:p w14:paraId="4AF53B4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583" w:type="pct"/>
            <w:vMerge w:val="continue"/>
            <w:tcBorders>
              <w:left w:val="single" w:color="auto" w:sz="4" w:space="0"/>
              <w:bottom w:val="single" w:color="auto" w:sz="4" w:space="0"/>
              <w:right w:val="single" w:color="auto" w:sz="4" w:space="0"/>
            </w:tcBorders>
            <w:vAlign w:val="center"/>
          </w:tcPr>
          <w:p w14:paraId="370BA560">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c>
          <w:tcPr>
            <w:tcW w:w="3585" w:type="pct"/>
            <w:tcBorders>
              <w:top w:val="single" w:color="auto" w:sz="4" w:space="0"/>
              <w:left w:val="single" w:color="auto" w:sz="4" w:space="0"/>
              <w:bottom w:val="single" w:color="auto" w:sz="4" w:space="0"/>
              <w:right w:val="single" w:color="auto" w:sz="4" w:space="0"/>
            </w:tcBorders>
          </w:tcPr>
          <w:p w14:paraId="135F1643">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（2）供应商提供管理方案的人员配置情况在上述得分基础上进行加分，本小项满分4分：</w:t>
            </w:r>
          </w:p>
          <w:p w14:paraId="07C40A4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①人员配置的技术人员具有有效的安全人员上岗证或安全生产考核合格证书（C类证）或注册安全工程师证，每人得1分，本小项最高2分。</w:t>
            </w:r>
          </w:p>
          <w:p w14:paraId="4ACEFDC8">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②人员配置的技术人员具有应急管理部门（或安全生产监督管理部门）颁发的特种作业操作证且作业类别为电工作业的，每人得1分，本小项最高2分。</w:t>
            </w:r>
          </w:p>
          <w:p w14:paraId="2C25590E">
            <w:pPr>
              <w:keepNext w:val="0"/>
              <w:keepLines w:val="0"/>
              <w:suppressLineNumbers w:val="0"/>
              <w:spacing w:before="0" w:beforeAutospacing="0" w:after="0" w:afterAutospacing="0" w:line="360" w:lineRule="auto"/>
              <w:ind w:left="0" w:right="0"/>
              <w:outlineLvl w:val="9"/>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21FAF6A4">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第（2）项评审项的人员</w:t>
            </w:r>
            <w:r>
              <w:rPr>
                <w:rFonts w:hint="eastAsia" w:ascii="宋体" w:hAnsi="宋体" w:eastAsia="宋体" w:cs="宋体"/>
                <w:color w:val="auto"/>
                <w:sz w:val="21"/>
                <w:szCs w:val="21"/>
                <w:lang w:val="zh-CN" w:eastAsia="zh-CN"/>
              </w:rPr>
              <w:t>需提供人员的身份证、劳动合同的复印件、资格证书[学历证书/职称证/执业/职业资格证</w:t>
            </w:r>
            <w:r>
              <w:rPr>
                <w:rFonts w:hint="eastAsia" w:ascii="宋体" w:hAnsi="宋体" w:eastAsia="宋体" w:cs="宋体"/>
                <w:color w:val="auto"/>
                <w:sz w:val="21"/>
                <w:szCs w:val="21"/>
                <w:lang w:val="en-US" w:eastAsia="zh-CN"/>
              </w:rPr>
              <w:t>/岗位证书</w:t>
            </w:r>
            <w:r>
              <w:rPr>
                <w:rFonts w:hint="eastAsia" w:ascii="宋体" w:hAnsi="宋体" w:eastAsia="宋体" w:cs="宋体"/>
                <w:color w:val="auto"/>
                <w:sz w:val="21"/>
                <w:szCs w:val="21"/>
                <w:lang w:val="zh-CN" w:eastAsia="zh-CN"/>
              </w:rPr>
              <w:t>]以及人力资源和社会保障部门（或税务部门）出具的</w:t>
            </w:r>
            <w:r>
              <w:rPr>
                <w:rFonts w:hint="eastAsia" w:ascii="宋体" w:hAnsi="宋体" w:eastAsia="宋体" w:cs="宋体"/>
                <w:b w:val="0"/>
                <w:bCs/>
                <w:color w:val="auto"/>
                <w:kern w:val="0"/>
                <w:sz w:val="21"/>
                <w:szCs w:val="21"/>
                <w:lang w:val="zh-CN"/>
              </w:rPr>
              <w:t>近</w:t>
            </w:r>
            <w:r>
              <w:rPr>
                <w:rFonts w:hint="eastAsia" w:ascii="宋体" w:hAnsi="宋体" w:eastAsia="宋体" w:cs="宋体"/>
                <w:b w:val="0"/>
                <w:bCs/>
                <w:color w:val="auto"/>
                <w:kern w:val="0"/>
                <w:sz w:val="21"/>
                <w:szCs w:val="21"/>
                <w:lang w:val="en-US" w:eastAsia="zh-CN"/>
              </w:rPr>
              <w:t>六个月</w:t>
            </w:r>
            <w:r>
              <w:rPr>
                <w:rFonts w:hint="eastAsia" w:ascii="宋体" w:hAnsi="宋体" w:eastAsia="宋体" w:cs="宋体"/>
                <w:b w:val="0"/>
                <w:bCs/>
                <w:color w:val="auto"/>
                <w:kern w:val="0"/>
                <w:sz w:val="21"/>
                <w:szCs w:val="21"/>
                <w:lang w:val="zh-CN"/>
              </w:rPr>
              <w:t>（</w:t>
            </w:r>
            <w:r>
              <w:rPr>
                <w:rFonts w:hint="eastAsia" w:ascii="宋体" w:hAnsi="宋体" w:eastAsia="宋体" w:cs="宋体"/>
                <w:b w:val="0"/>
                <w:bCs/>
                <w:color w:val="auto"/>
                <w:kern w:val="0"/>
                <w:sz w:val="21"/>
                <w:szCs w:val="21"/>
                <w:lang w:val="en-US" w:eastAsia="zh-CN"/>
              </w:rPr>
              <w:t>2024年2月、2024年3月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月、202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5</w:t>
            </w:r>
            <w:r>
              <w:rPr>
                <w:rFonts w:hint="eastAsia" w:ascii="宋体" w:hAnsi="宋体" w:eastAsia="宋体" w:cs="宋体"/>
                <w:b w:val="0"/>
                <w:bCs/>
                <w:color w:val="auto"/>
                <w:kern w:val="0"/>
                <w:sz w:val="21"/>
                <w:szCs w:val="21"/>
                <w:lang w:val="zh-CN"/>
              </w:rPr>
              <w:t>月、</w:t>
            </w:r>
            <w:r>
              <w:rPr>
                <w:rFonts w:hint="eastAsia" w:ascii="宋体" w:hAnsi="宋体" w:eastAsia="宋体" w:cs="宋体"/>
                <w:b w:val="0"/>
                <w:bCs/>
                <w:color w:val="auto"/>
                <w:kern w:val="0"/>
                <w:sz w:val="21"/>
                <w:szCs w:val="21"/>
                <w:lang w:val="en-US" w:eastAsia="zh-CN"/>
              </w:rPr>
              <w:t>2024年6月、</w:t>
            </w:r>
            <w:r>
              <w:rPr>
                <w:rFonts w:hint="eastAsia" w:ascii="宋体" w:hAnsi="宋体" w:eastAsia="宋体" w:cs="宋体"/>
                <w:b w:val="0"/>
                <w:bCs/>
                <w:color w:val="auto"/>
                <w:kern w:val="0"/>
                <w:sz w:val="21"/>
                <w:szCs w:val="21"/>
                <w:lang w:val="zh-CN"/>
              </w:rPr>
              <w:t>202</w:t>
            </w:r>
            <w:r>
              <w:rPr>
                <w:rFonts w:hint="eastAsia" w:ascii="宋体" w:hAnsi="宋体" w:eastAsia="宋体" w:cs="宋体"/>
                <w:b w:val="0"/>
                <w:bCs/>
                <w:color w:val="auto"/>
                <w:kern w:val="0"/>
                <w:sz w:val="21"/>
                <w:szCs w:val="21"/>
                <w:lang w:val="en-US" w:eastAsia="zh-CN"/>
              </w:rPr>
              <w:t>4</w:t>
            </w:r>
            <w:r>
              <w:rPr>
                <w:rFonts w:hint="eastAsia" w:ascii="宋体" w:hAnsi="宋体" w:eastAsia="宋体" w:cs="宋体"/>
                <w:b w:val="0"/>
                <w:bCs/>
                <w:color w:val="auto"/>
                <w:kern w:val="0"/>
                <w:sz w:val="21"/>
                <w:szCs w:val="21"/>
                <w:lang w:val="zh-CN"/>
              </w:rPr>
              <w:t>年</w:t>
            </w: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lang w:val="zh-CN"/>
              </w:rPr>
              <w:t>月）</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val="zh-CN" w:eastAsia="zh-CN"/>
              </w:rPr>
              <w:t>为其缴纳的社保证明复印件，身份证、劳动合同、资格证书[学历证书/职称证/执业/职业资格证/岗位证书]、社保证明的人员名称需一致时才统计得分，不提供或人员名称不一致不得分。</w:t>
            </w:r>
          </w:p>
          <w:p w14:paraId="68700CF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eastAsia="zh-CN"/>
              </w:rPr>
              <w:t>）</w:t>
            </w:r>
            <w:r>
              <w:rPr>
                <w:rFonts w:hint="eastAsia" w:ascii="宋体" w:hAnsi="宋体" w:eastAsia="宋体" w:cs="宋体"/>
                <w:color w:val="auto"/>
                <w:sz w:val="21"/>
                <w:szCs w:val="21"/>
                <w:lang w:val="en-US" w:eastAsia="zh-CN"/>
              </w:rPr>
              <w:t>第（2）项评审项中同一人员只能进行一次得分，不重复得分。</w:t>
            </w:r>
          </w:p>
        </w:tc>
        <w:tc>
          <w:tcPr>
            <w:tcW w:w="465" w:type="pct"/>
            <w:vMerge w:val="continue"/>
            <w:tcBorders>
              <w:left w:val="single" w:color="auto" w:sz="4" w:space="0"/>
              <w:bottom w:val="single" w:color="auto" w:sz="4" w:space="0"/>
              <w:right w:val="single" w:color="auto" w:sz="4" w:space="0"/>
            </w:tcBorders>
            <w:vAlign w:val="center"/>
          </w:tcPr>
          <w:p w14:paraId="0258D849">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val="en-US" w:eastAsia="zh-CN"/>
              </w:rPr>
            </w:pPr>
          </w:p>
        </w:tc>
      </w:tr>
      <w:tr w14:paraId="6796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top w:val="single" w:color="auto" w:sz="4" w:space="0"/>
              <w:left w:val="single" w:color="auto" w:sz="4" w:space="0"/>
              <w:bottom w:val="single" w:color="auto" w:sz="4" w:space="0"/>
              <w:right w:val="single" w:color="auto" w:sz="4" w:space="0"/>
            </w:tcBorders>
            <w:vAlign w:val="center"/>
          </w:tcPr>
          <w:p w14:paraId="596EC231">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583" w:type="pct"/>
            <w:tcBorders>
              <w:top w:val="single" w:color="auto" w:sz="4" w:space="0"/>
              <w:left w:val="single" w:color="auto" w:sz="4" w:space="0"/>
              <w:bottom w:val="single" w:color="auto" w:sz="4" w:space="0"/>
              <w:right w:val="single" w:color="auto" w:sz="4" w:space="0"/>
            </w:tcBorders>
            <w:vAlign w:val="center"/>
          </w:tcPr>
          <w:p w14:paraId="5AF16F69">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项目正式投产时间</w:t>
            </w:r>
          </w:p>
        </w:tc>
        <w:tc>
          <w:tcPr>
            <w:tcW w:w="3585" w:type="pct"/>
            <w:tcBorders>
              <w:top w:val="single" w:color="auto" w:sz="4" w:space="0"/>
              <w:left w:val="single" w:color="auto" w:sz="4" w:space="0"/>
              <w:bottom w:val="single" w:color="auto" w:sz="4" w:space="0"/>
              <w:right w:val="single" w:color="auto" w:sz="4" w:space="0"/>
            </w:tcBorders>
          </w:tcPr>
          <w:p w14:paraId="51A686EA">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根据</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承诺本项目正式投产时间进行评审，本小项满分</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467CC71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（1）正式投产时间≤10天的，得</w:t>
            </w: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分；</w:t>
            </w:r>
          </w:p>
          <w:p w14:paraId="3D7BD657">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（2）10天＜正式投产时间≤20天的，得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71804D2D">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（3）20天＜正式投产时间</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30天的，得</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p>
          <w:p w14:paraId="716050B8">
            <w:pPr>
              <w:keepNext w:val="0"/>
              <w:keepLines w:val="0"/>
              <w:suppressLineNumbers w:val="0"/>
              <w:spacing w:before="0" w:beforeAutospacing="0" w:after="0" w:afterAutospacing="0" w:line="360" w:lineRule="auto"/>
              <w:ind w:left="0" w:right="0"/>
              <w:rPr>
                <w:rFonts w:hint="default"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2AF8A892">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根据《项目正式投产时间承诺表》对应的内容进行评审。</w:t>
            </w:r>
          </w:p>
          <w:p w14:paraId="2215E520">
            <w:pPr>
              <w:keepNext w:val="0"/>
              <w:keepLines w:val="0"/>
              <w:suppressLineNumbers w:val="0"/>
              <w:spacing w:before="0" w:beforeAutospacing="0" w:after="0" w:afterAutospacing="0" w:line="360" w:lineRule="auto"/>
              <w:ind w:left="0" w:right="0"/>
              <w:rPr>
                <w:rFonts w:hint="default" w:ascii="宋体" w:hAnsi="宋体" w:eastAsia="宋体" w:cs="宋体"/>
                <w:color w:val="auto"/>
                <w:sz w:val="21"/>
                <w:szCs w:val="21"/>
              </w:rPr>
            </w:pPr>
            <w:r>
              <w:rPr>
                <w:rFonts w:hint="eastAsia" w:ascii="宋体" w:hAnsi="宋体" w:eastAsia="宋体" w:cs="宋体"/>
                <w:color w:val="auto"/>
                <w:sz w:val="21"/>
                <w:szCs w:val="21"/>
              </w:rPr>
              <w:t>（2）“正式投产”是指污泥脱水减量化产能连续三天稳定达到该处理点设计规模产能的70%或以上，减量化后的半干化污泥含水率不高于55%。</w:t>
            </w:r>
          </w:p>
          <w:p w14:paraId="6273CA60">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rPr>
              <w:t>（3）未填或漏填或未按要求提供《项目正式投产时间承诺表》的，</w:t>
            </w:r>
            <w:r>
              <w:rPr>
                <w:rFonts w:hint="eastAsia" w:ascii="宋体" w:hAnsi="宋体" w:eastAsia="宋体" w:cs="宋体"/>
                <w:color w:val="auto"/>
                <w:sz w:val="21"/>
                <w:szCs w:val="21"/>
                <w:lang w:val="en-US" w:eastAsia="zh-CN"/>
              </w:rPr>
              <w:t>评审</w:t>
            </w:r>
            <w:r>
              <w:rPr>
                <w:rFonts w:hint="eastAsia" w:ascii="宋体" w:hAnsi="宋体" w:eastAsia="宋体" w:cs="宋体"/>
                <w:color w:val="auto"/>
                <w:sz w:val="21"/>
                <w:szCs w:val="21"/>
              </w:rPr>
              <w:t>时将不予考虑。</w:t>
            </w:r>
          </w:p>
        </w:tc>
        <w:tc>
          <w:tcPr>
            <w:tcW w:w="465" w:type="pct"/>
            <w:tcBorders>
              <w:top w:val="single" w:color="auto" w:sz="4" w:space="0"/>
              <w:left w:val="single" w:color="auto" w:sz="4" w:space="0"/>
              <w:bottom w:val="single" w:color="auto" w:sz="4" w:space="0"/>
              <w:right w:val="single" w:color="auto" w:sz="4" w:space="0"/>
            </w:tcBorders>
            <w:vAlign w:val="center"/>
          </w:tcPr>
          <w:p w14:paraId="10485025">
            <w:pPr>
              <w:keepNext w:val="0"/>
              <w:keepLines w:val="0"/>
              <w:suppressLineNumbers w:val="0"/>
              <w:spacing w:before="0" w:beforeAutospacing="0" w:after="0" w:afterAutospacing="0" w:line="360" w:lineRule="auto"/>
              <w:ind w:left="0" w:right="0"/>
              <w:jc w:val="center"/>
              <w:outlineLvl w:val="9"/>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分</w:t>
            </w:r>
          </w:p>
        </w:tc>
      </w:tr>
      <w:tr w14:paraId="5AE2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right w:val="single" w:color="auto" w:sz="4" w:space="0"/>
            </w:tcBorders>
            <w:vAlign w:val="center"/>
          </w:tcPr>
          <w:p w14:paraId="6B5A271B">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583" w:type="pct"/>
            <w:tcBorders>
              <w:left w:val="single" w:color="auto" w:sz="4" w:space="0"/>
              <w:right w:val="single" w:color="auto" w:sz="4" w:space="0"/>
            </w:tcBorders>
            <w:vAlign w:val="center"/>
          </w:tcPr>
          <w:p w14:paraId="4CAF31C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进度计划及保障措施</w:t>
            </w:r>
          </w:p>
        </w:tc>
        <w:tc>
          <w:tcPr>
            <w:tcW w:w="3585" w:type="pct"/>
            <w:tcBorders>
              <w:top w:val="single" w:color="auto" w:sz="4" w:space="0"/>
              <w:left w:val="single" w:color="auto" w:sz="4" w:space="0"/>
              <w:right w:val="single" w:color="auto" w:sz="4" w:space="0"/>
            </w:tcBorders>
          </w:tcPr>
          <w:p w14:paraId="591CD5A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横向比较各供应商进度计划及保障措施，包括进度计划和保障措施</w:t>
            </w:r>
            <w:r>
              <w:rPr>
                <w:rFonts w:hint="eastAsia" w:ascii="宋体" w:hAnsi="宋体" w:eastAsia="宋体" w:cs="宋体"/>
                <w:color w:val="auto"/>
                <w:sz w:val="21"/>
                <w:szCs w:val="21"/>
              </w:rPr>
              <w:t>切合实际的程度、详细具体的程度</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可操作性情况进行评审</w:t>
            </w:r>
            <w:r>
              <w:rPr>
                <w:rFonts w:hint="eastAsia" w:ascii="宋体" w:hAnsi="宋体" w:eastAsia="宋体" w:cs="宋体"/>
                <w:color w:val="auto"/>
                <w:sz w:val="21"/>
                <w:szCs w:val="21"/>
                <w:lang w:eastAsia="zh-CN"/>
              </w:rPr>
              <w:t>：</w:t>
            </w:r>
          </w:p>
          <w:p w14:paraId="265E6303">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：进度计划详细、具体，具有较高的可行性和可操作性，保障措施全面</w:t>
            </w:r>
            <w:r>
              <w:rPr>
                <w:rFonts w:hint="eastAsia" w:ascii="宋体" w:hAnsi="宋体" w:eastAsia="宋体" w:cs="宋体"/>
                <w:color w:val="auto"/>
                <w:sz w:val="21"/>
                <w:szCs w:val="21"/>
                <w:lang w:val="en-US" w:eastAsia="zh-CN"/>
              </w:rPr>
              <w:t>完善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非常详细、</w:t>
            </w:r>
            <w:r>
              <w:rPr>
                <w:rFonts w:hint="eastAsia" w:ascii="宋体" w:hAnsi="宋体" w:eastAsia="宋体" w:cs="宋体"/>
                <w:color w:val="auto"/>
                <w:sz w:val="21"/>
                <w:szCs w:val="21"/>
                <w:lang w:eastAsia="zh-CN"/>
              </w:rPr>
              <w:t>具体，组织保障措施得力</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能确保项目按承诺正式投产的</w:t>
            </w:r>
            <w:r>
              <w:rPr>
                <w:rFonts w:hint="eastAsia" w:ascii="宋体" w:hAnsi="宋体" w:eastAsia="宋体" w:cs="宋体"/>
                <w:color w:val="auto"/>
                <w:sz w:val="21"/>
                <w:szCs w:val="21"/>
                <w:lang w:eastAsia="zh-CN"/>
              </w:rPr>
              <w:t>。</w:t>
            </w:r>
          </w:p>
          <w:p w14:paraId="59AF031B">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：进度计划较为详细，有一定的可行性和可操作性，</w:t>
            </w:r>
          </w:p>
          <w:p w14:paraId="3062720B">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保障措施较全面、</w:t>
            </w:r>
            <w:r>
              <w:rPr>
                <w:rFonts w:hint="eastAsia" w:ascii="宋体" w:hAnsi="宋体" w:eastAsia="宋体" w:cs="宋体"/>
                <w:color w:val="auto"/>
                <w:sz w:val="21"/>
                <w:szCs w:val="21"/>
                <w:lang w:val="en-US" w:eastAsia="zh-CN"/>
              </w:rPr>
              <w:t>较详细，</w:t>
            </w:r>
            <w:r>
              <w:rPr>
                <w:rFonts w:hint="eastAsia" w:ascii="宋体" w:hAnsi="宋体" w:eastAsia="宋体" w:cs="宋体"/>
                <w:color w:val="auto"/>
                <w:sz w:val="21"/>
                <w:szCs w:val="21"/>
                <w:lang w:eastAsia="zh-CN"/>
              </w:rPr>
              <w:t>组织保障措施较为得力。</w:t>
            </w:r>
          </w:p>
          <w:p w14:paraId="3CB3C714">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：进度计划基本完整，可行性和可操作性一般，</w:t>
            </w:r>
            <w:r>
              <w:rPr>
                <w:rFonts w:hint="eastAsia" w:ascii="宋体" w:hAnsi="宋体" w:eastAsia="宋体" w:cs="宋体"/>
                <w:color w:val="auto"/>
                <w:sz w:val="21"/>
                <w:szCs w:val="21"/>
              </w:rPr>
              <w:t>保障措施不够全面和具体</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组织保障措施一般。</w:t>
            </w:r>
          </w:p>
          <w:p w14:paraId="39BF9AD2">
            <w:pPr>
              <w:keepNext w:val="0"/>
              <w:keepLines w:val="0"/>
              <w:suppressLineNumbers w:val="0"/>
              <w:spacing w:before="0" w:beforeAutospacing="0" w:after="0" w:afterAutospacing="0" w:line="360" w:lineRule="auto"/>
              <w:ind w:left="0" w:right="0" w:firstLine="420" w:firstLineChars="200"/>
              <w:outlineLvl w:val="9"/>
              <w:rPr>
                <w:rFonts w:hint="eastAsia"/>
                <w:color w:val="auto"/>
                <w:sz w:val="21"/>
                <w:szCs w:val="21"/>
                <w:lang w:eastAsia="zh-CN"/>
              </w:rPr>
            </w:pPr>
            <w:r>
              <w:rPr>
                <w:rFonts w:hint="eastAsia" w:ascii="宋体" w:hAnsi="宋体" w:eastAsia="宋体" w:cs="宋体"/>
                <w:color w:val="auto"/>
                <w:sz w:val="21"/>
                <w:szCs w:val="21"/>
              </w:rPr>
              <w:t>差（</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r>
              <w:rPr>
                <w:rFonts w:hint="eastAsia" w:ascii="宋体" w:hAnsi="宋体" w:eastAsia="宋体" w:cs="宋体"/>
                <w:color w:val="auto"/>
                <w:sz w:val="21"/>
                <w:szCs w:val="21"/>
                <w:lang w:eastAsia="zh-CN"/>
              </w:rPr>
              <w:t>：进度计划不完整，可行性和可操作性</w:t>
            </w: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保障措施混乱</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严重不足。</w:t>
            </w:r>
          </w:p>
        </w:tc>
        <w:tc>
          <w:tcPr>
            <w:tcW w:w="465" w:type="pct"/>
            <w:tcBorders>
              <w:top w:val="single" w:color="auto" w:sz="4" w:space="0"/>
              <w:left w:val="single" w:color="auto" w:sz="4" w:space="0"/>
              <w:right w:val="single" w:color="auto" w:sz="4" w:space="0"/>
            </w:tcBorders>
            <w:vAlign w:val="center"/>
          </w:tcPr>
          <w:p w14:paraId="4F6FB2AE">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0CC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6" w:type="pct"/>
            <w:tcBorders>
              <w:left w:val="single" w:color="auto" w:sz="4" w:space="0"/>
              <w:bottom w:val="single" w:color="auto" w:sz="4" w:space="0"/>
              <w:right w:val="single" w:color="auto" w:sz="4" w:space="0"/>
            </w:tcBorders>
            <w:vAlign w:val="center"/>
          </w:tcPr>
          <w:p w14:paraId="0123544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p>
        </w:tc>
        <w:tc>
          <w:tcPr>
            <w:tcW w:w="583" w:type="pct"/>
            <w:tcBorders>
              <w:left w:val="single" w:color="auto" w:sz="4" w:space="0"/>
              <w:bottom w:val="single" w:color="auto" w:sz="4" w:space="0"/>
              <w:right w:val="single" w:color="auto" w:sz="4" w:space="0"/>
            </w:tcBorders>
            <w:vAlign w:val="center"/>
          </w:tcPr>
          <w:p w14:paraId="79784457">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Pr>
              <w:t>应急预案和保障措施</w:t>
            </w:r>
          </w:p>
        </w:tc>
        <w:tc>
          <w:tcPr>
            <w:tcW w:w="3585" w:type="pct"/>
            <w:tcBorders>
              <w:left w:val="single" w:color="auto" w:sz="4" w:space="0"/>
              <w:bottom w:val="single" w:color="auto" w:sz="4" w:space="0"/>
              <w:right w:val="single" w:color="auto" w:sz="4" w:space="0"/>
            </w:tcBorders>
          </w:tcPr>
          <w:p w14:paraId="7CD34BBF">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横向比较各</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应急预案和保障措施，包括针对污泥处理量突然增加、污泥处理设施意外停产和减产、生产事故应急处理、环境污染事故等的应急方案和保障措施切合实际的程度、详细具体的程度及可操作性情况进行评审</w:t>
            </w:r>
            <w:r>
              <w:rPr>
                <w:rFonts w:hint="eastAsia" w:ascii="宋体" w:hAnsi="宋体" w:eastAsia="宋体" w:cs="宋体"/>
                <w:color w:val="auto"/>
                <w:sz w:val="21"/>
                <w:szCs w:val="21"/>
                <w:lang w:eastAsia="zh-CN"/>
              </w:rPr>
              <w:t>：</w:t>
            </w:r>
          </w:p>
          <w:p w14:paraId="5281114C">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：应急预案</w:t>
            </w:r>
            <w:r>
              <w:rPr>
                <w:rFonts w:hint="eastAsia" w:ascii="宋体" w:hAnsi="宋体" w:eastAsia="宋体" w:cs="宋体"/>
                <w:color w:val="auto"/>
                <w:sz w:val="21"/>
                <w:szCs w:val="21"/>
                <w:lang w:val="en-US" w:eastAsia="zh-CN"/>
              </w:rPr>
              <w:t>有非常全面的紧急情况分析，并能针对紧急应急情况作出非常科学、合理及可操作性强的应对措施。</w:t>
            </w:r>
          </w:p>
          <w:p w14:paraId="16FFA7EF">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良（</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应急预案有较全面的紧急情况分析，并能针对紧急情况作出较科学、合理的应对措施。</w:t>
            </w:r>
          </w:p>
          <w:p w14:paraId="7B9BD139">
            <w:pPr>
              <w:keepNext w:val="0"/>
              <w:keepLines w:val="0"/>
              <w:suppressLineNumbers w:val="0"/>
              <w:spacing w:before="0" w:beforeAutospacing="0" w:after="0" w:afterAutospacing="0" w:line="360" w:lineRule="auto"/>
              <w:ind w:left="0" w:right="0" w:firstLine="420" w:firstLineChars="200"/>
              <w:outlineLvl w:val="9"/>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应急预案内容一般，有紧急情况分析，并能作出基本的应对措施</w:t>
            </w:r>
            <w:r>
              <w:rPr>
                <w:rFonts w:hint="eastAsia" w:ascii="宋体" w:hAnsi="宋体" w:eastAsia="宋体" w:cs="宋体"/>
                <w:color w:val="auto"/>
                <w:sz w:val="21"/>
                <w:szCs w:val="21"/>
                <w:lang w:eastAsia="zh-CN"/>
              </w:rPr>
              <w:t>。</w:t>
            </w:r>
          </w:p>
          <w:p w14:paraId="268E0513">
            <w:pPr>
              <w:pStyle w:val="22"/>
              <w:keepNext w:val="0"/>
              <w:keepLines w:val="0"/>
              <w:suppressLineNumbers w:val="0"/>
              <w:spacing w:before="0" w:beforeAutospacing="0" w:after="0" w:afterAutospacing="0"/>
              <w:ind w:left="0" w:firstLine="420" w:firstLineChars="200"/>
              <w:jc w:val="both"/>
              <w:rPr>
                <w:rFonts w:hint="eastAsia"/>
                <w:color w:val="auto"/>
                <w:sz w:val="21"/>
                <w:szCs w:val="21"/>
                <w:lang w:val="zh-CN"/>
              </w:rPr>
            </w:pPr>
            <w:r>
              <w:rPr>
                <w:rFonts w:hint="eastAsia" w:ascii="宋体" w:hAnsi="宋体" w:eastAsia="宋体" w:cs="宋体"/>
                <w:b w:val="0"/>
                <w:bCs w:val="0"/>
                <w:color w:val="auto"/>
                <w:kern w:val="2"/>
                <w:sz w:val="21"/>
                <w:szCs w:val="21"/>
                <w:lang w:val="en-US" w:eastAsia="zh-CN" w:bidi="ar-SA"/>
              </w:rPr>
              <w:t>差（1-0分]：应急预案内容不全面，有紧急情况分析，作出应对措施操作性差。</w:t>
            </w:r>
          </w:p>
        </w:tc>
        <w:tc>
          <w:tcPr>
            <w:tcW w:w="465" w:type="pct"/>
            <w:tcBorders>
              <w:left w:val="single" w:color="auto" w:sz="4" w:space="0"/>
              <w:bottom w:val="single" w:color="auto" w:sz="4" w:space="0"/>
              <w:right w:val="single" w:color="auto" w:sz="4" w:space="0"/>
            </w:tcBorders>
            <w:vAlign w:val="center"/>
          </w:tcPr>
          <w:p w14:paraId="585CED62">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zh-CN"/>
              </w:rPr>
              <w:t>分</w:t>
            </w:r>
          </w:p>
        </w:tc>
      </w:tr>
    </w:tbl>
    <w:p w14:paraId="6948CF04">
      <w:pPr>
        <w:autoSpaceDE w:val="0"/>
        <w:autoSpaceDN w:val="0"/>
        <w:adjustRightInd w:val="0"/>
        <w:snapToGri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备注：</w:t>
      </w:r>
    </w:p>
    <w:p w14:paraId="28A0E640">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①表中“[”代表闭区间，“]”代表闭区间，如[0，1]代表该分数段范围为大于等于0且小于等于1。表中“（”代表开区间，“]”代表闭区间，如（1，2]代表该分数段范围为大于1且小于等于2。</w:t>
      </w:r>
    </w:p>
    <w:p w14:paraId="5745C113">
      <w:pPr>
        <w:autoSpaceDE w:val="0"/>
        <w:autoSpaceDN w:val="0"/>
        <w:adjustRightInd w:val="0"/>
        <w:spacing w:line="360" w:lineRule="auto"/>
        <w:ind w:left="480" w:leftChars="200" w:firstLine="420" w:firstLineChars="200"/>
        <w:outlineLvl w:val="9"/>
        <w:rPr>
          <w:rFonts w:hint="eastAsia" w:ascii="宋体" w:hAnsi="宋体" w:eastAsia="宋体" w:cs="宋体"/>
          <w:color w:val="000000"/>
          <w:sz w:val="21"/>
          <w:szCs w:val="21"/>
          <w:lang w:val="zh-CN"/>
        </w:rPr>
      </w:pPr>
      <w:r>
        <w:rPr>
          <w:rFonts w:hint="eastAsia" w:ascii="宋体" w:hAnsi="宋体" w:eastAsia="宋体" w:cs="宋体"/>
          <w:color w:val="000000"/>
          <w:sz w:val="21"/>
          <w:szCs w:val="21"/>
          <w:lang w:val="zh-CN"/>
        </w:rPr>
        <w:t>②分数出现小数点，保留小数点后2位，从小数点后第3位四舍五入。</w:t>
      </w:r>
    </w:p>
    <w:p w14:paraId="1C8B9E09">
      <w:pPr>
        <w:autoSpaceDE w:val="0"/>
        <w:autoSpaceDN w:val="0"/>
        <w:adjustRightInd w:val="0"/>
        <w:spacing w:line="360" w:lineRule="auto"/>
        <w:ind w:left="480" w:leftChars="200" w:firstLine="422" w:firstLineChars="200"/>
        <w:outlineLvl w:val="9"/>
        <w:rPr>
          <w:rFonts w:hint="eastAsia" w:ascii="宋体" w:hAnsi="宋体" w:eastAsia="宋体" w:cs="宋体"/>
          <w:b/>
          <w:color w:val="000000"/>
          <w:sz w:val="21"/>
          <w:szCs w:val="21"/>
          <w:lang w:val="zh-CN"/>
        </w:rPr>
      </w:pPr>
      <w:r>
        <w:rPr>
          <w:rFonts w:hint="eastAsia" w:ascii="宋体" w:hAnsi="宋体" w:eastAsia="宋体" w:cs="宋体"/>
          <w:b/>
          <w:color w:val="000000"/>
          <w:sz w:val="21"/>
          <w:szCs w:val="21"/>
          <w:lang w:val="zh-CN"/>
        </w:rPr>
        <w:t>③上述“评分项目”中按“优、良、中、差”区间评审的，若低于该项满分分值60%时，</w:t>
      </w:r>
      <w:r>
        <w:rPr>
          <w:rFonts w:hint="eastAsia" w:ascii="宋体" w:hAnsi="宋体" w:eastAsia="宋体" w:cs="宋体"/>
          <w:b/>
          <w:color w:val="000000"/>
          <w:sz w:val="21"/>
          <w:szCs w:val="21"/>
          <w:lang w:val="en-US" w:eastAsia="zh-CN"/>
        </w:rPr>
        <w:t>磋商小组</w:t>
      </w:r>
      <w:r>
        <w:rPr>
          <w:rFonts w:hint="eastAsia" w:ascii="宋体" w:hAnsi="宋体" w:cs="宋体"/>
          <w:b/>
          <w:color w:val="000000"/>
          <w:sz w:val="21"/>
          <w:szCs w:val="21"/>
          <w:lang w:val="en-US" w:eastAsia="zh-CN"/>
        </w:rPr>
        <w:t>成员</w:t>
      </w:r>
      <w:r>
        <w:rPr>
          <w:rFonts w:hint="eastAsia" w:ascii="宋体" w:hAnsi="宋体" w:eastAsia="宋体" w:cs="宋体"/>
          <w:b/>
          <w:color w:val="000000"/>
          <w:sz w:val="21"/>
          <w:szCs w:val="21"/>
          <w:lang w:val="zh-CN"/>
        </w:rPr>
        <w:t>需详细填写该项低分的充分理由，例如：该项目内容存在违反国家有关标准和规范或与项目实际不符等原则性问题。</w:t>
      </w:r>
    </w:p>
    <w:p w14:paraId="514403EA">
      <w:pPr>
        <w:autoSpaceDE w:val="0"/>
        <w:autoSpaceDN w:val="0"/>
        <w:adjustRightInd w:val="0"/>
        <w:spacing w:line="360" w:lineRule="auto"/>
        <w:ind w:left="480" w:leftChars="200" w:firstLine="422" w:firstLineChars="200"/>
        <w:outlineLvl w:val="9"/>
        <w:rPr>
          <w:rFonts w:hint="eastAsia" w:ascii="宋体" w:hAnsi="宋体" w:eastAsia="宋体" w:cs="宋体"/>
          <w:kern w:val="0"/>
          <w:sz w:val="21"/>
          <w:szCs w:val="21"/>
        </w:rPr>
      </w:pPr>
      <w:r>
        <w:rPr>
          <w:rFonts w:hint="eastAsia" w:ascii="宋体" w:hAnsi="宋体" w:eastAsia="宋体" w:cs="宋体"/>
          <w:b/>
          <w:sz w:val="21"/>
          <w:szCs w:val="21"/>
        </w:rPr>
        <w:t>④</w:t>
      </w:r>
      <w:r>
        <w:rPr>
          <w:rFonts w:hint="eastAsia" w:ascii="宋体" w:hAnsi="宋体" w:eastAsia="宋体" w:cs="宋体"/>
          <w:b/>
          <w:kern w:val="0"/>
          <w:sz w:val="21"/>
          <w:szCs w:val="21"/>
          <w:lang w:val="zh-CN"/>
        </w:rPr>
        <w:t>对</w:t>
      </w:r>
      <w:r>
        <w:rPr>
          <w:rFonts w:hint="eastAsia" w:ascii="宋体" w:hAnsi="宋体" w:eastAsia="宋体" w:cs="宋体"/>
          <w:b/>
          <w:kern w:val="0"/>
          <w:sz w:val="21"/>
          <w:szCs w:val="21"/>
        </w:rPr>
        <w:t>于各</w:t>
      </w:r>
      <w:r>
        <w:rPr>
          <w:rFonts w:hint="eastAsia" w:ascii="宋体" w:hAnsi="宋体" w:eastAsia="宋体" w:cs="宋体"/>
          <w:b/>
          <w:kern w:val="0"/>
          <w:sz w:val="21"/>
          <w:szCs w:val="21"/>
          <w:lang w:val="en-US" w:eastAsia="zh-CN"/>
        </w:rPr>
        <w:t>磋商小组</w:t>
      </w:r>
      <w:r>
        <w:rPr>
          <w:rFonts w:hint="eastAsia" w:ascii="宋体" w:hAnsi="宋体" w:eastAsia="宋体" w:cs="宋体"/>
          <w:b/>
          <w:kern w:val="0"/>
          <w:sz w:val="21"/>
          <w:szCs w:val="21"/>
          <w:lang w:val="zh-CN"/>
        </w:rPr>
        <w:t>成员</w:t>
      </w:r>
      <w:r>
        <w:rPr>
          <w:rFonts w:hint="eastAsia" w:ascii="宋体" w:hAnsi="宋体" w:eastAsia="宋体" w:cs="宋体"/>
          <w:b/>
          <w:kern w:val="0"/>
          <w:sz w:val="21"/>
          <w:szCs w:val="21"/>
        </w:rPr>
        <w:t>存在客观分打分不一致时</w:t>
      </w:r>
      <w:r>
        <w:rPr>
          <w:rFonts w:hint="eastAsia" w:ascii="宋体" w:hAnsi="宋体" w:eastAsia="宋体" w:cs="宋体"/>
          <w:b/>
          <w:kern w:val="0"/>
          <w:sz w:val="21"/>
          <w:szCs w:val="21"/>
          <w:lang w:val="zh-CN"/>
        </w:rPr>
        <w:t>,根据少数服</w:t>
      </w:r>
      <w:r>
        <w:rPr>
          <w:rFonts w:hint="eastAsia" w:ascii="宋体" w:hAnsi="宋体" w:eastAsia="宋体" w:cs="宋体"/>
          <w:b/>
          <w:kern w:val="0"/>
          <w:sz w:val="21"/>
          <w:szCs w:val="21"/>
        </w:rPr>
        <w:t>从</w:t>
      </w:r>
      <w:r>
        <w:rPr>
          <w:rFonts w:hint="eastAsia" w:ascii="宋体" w:hAnsi="宋体" w:eastAsia="宋体" w:cs="宋体"/>
          <w:b/>
          <w:kern w:val="0"/>
          <w:sz w:val="21"/>
          <w:szCs w:val="21"/>
          <w:lang w:val="zh-CN"/>
        </w:rPr>
        <w:t>多数的原则，以记名方式表决</w:t>
      </w:r>
      <w:r>
        <w:rPr>
          <w:rFonts w:hint="eastAsia" w:ascii="宋体" w:hAnsi="宋体" w:eastAsia="宋体" w:cs="宋体"/>
          <w:b/>
          <w:kern w:val="0"/>
          <w:sz w:val="21"/>
          <w:szCs w:val="21"/>
        </w:rPr>
        <w:t>确定该项的评分。</w:t>
      </w:r>
    </w:p>
    <w:p w14:paraId="663ABA2E">
      <w:pPr>
        <w:tabs>
          <w:tab w:val="left" w:pos="1701"/>
        </w:tabs>
        <w:autoSpaceDE w:val="0"/>
        <w:autoSpaceDN w:val="0"/>
        <w:adjustRightInd w:val="0"/>
        <w:spacing w:line="360" w:lineRule="auto"/>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（3）价格评分方法</w:t>
      </w:r>
    </w:p>
    <w:p w14:paraId="297B0D14">
      <w:pPr>
        <w:autoSpaceDN w:val="0"/>
        <w:adjustRightInd w:val="0"/>
        <w:snapToGrid w:val="0"/>
        <w:spacing w:line="360" w:lineRule="auto"/>
        <w:ind w:left="450" w:leftChars="100" w:hanging="210" w:hangingChars="100"/>
        <w:outlineLvl w:val="9"/>
        <w:rPr>
          <w:rFonts w:hint="eastAsia" w:ascii="宋体" w:hAnsi="宋体" w:eastAsia="宋体" w:cs="宋体"/>
          <w:color w:val="auto"/>
          <w:sz w:val="21"/>
          <w:szCs w:val="21"/>
          <w:highlight w:val="none"/>
        </w:rPr>
      </w:pPr>
      <w:r>
        <w:rPr>
          <w:rFonts w:hint="eastAsia" w:ascii="宋体" w:hAnsi="宋体" w:eastAsia="宋体" w:cs="宋体"/>
          <w:kern w:val="0"/>
          <w:sz w:val="21"/>
          <w:szCs w:val="21"/>
        </w:rPr>
        <w:t>A、根据有效</w:t>
      </w:r>
      <w:r>
        <w:rPr>
          <w:rFonts w:hint="eastAsia" w:ascii="宋体" w:hAnsi="宋体" w:eastAsia="宋体" w:cs="宋体"/>
          <w:kern w:val="0"/>
          <w:sz w:val="21"/>
          <w:szCs w:val="21"/>
          <w:lang w:val="en-US" w:eastAsia="zh-CN"/>
        </w:rPr>
        <w:t>响应供应商</w:t>
      </w:r>
      <w:r>
        <w:rPr>
          <w:rFonts w:hint="eastAsia" w:ascii="宋体" w:hAnsi="宋体" w:eastAsia="宋体" w:cs="宋体"/>
          <w:kern w:val="0"/>
          <w:sz w:val="21"/>
          <w:szCs w:val="21"/>
        </w:rPr>
        <w:t>的</w:t>
      </w:r>
      <w:r>
        <w:rPr>
          <w:rFonts w:hint="eastAsia" w:ascii="宋体" w:hAnsi="宋体" w:eastAsia="宋体" w:cs="宋体"/>
          <w:kern w:val="0"/>
          <w:sz w:val="21"/>
          <w:szCs w:val="21"/>
          <w:lang w:val="en-US" w:eastAsia="zh-CN"/>
        </w:rPr>
        <w:t>最终</w:t>
      </w:r>
      <w:r>
        <w:rPr>
          <w:rFonts w:hint="eastAsia" w:ascii="宋体" w:hAnsi="宋体" w:eastAsia="宋体" w:cs="宋体"/>
          <w:kern w:val="0"/>
          <w:sz w:val="21"/>
          <w:szCs w:val="21"/>
        </w:rPr>
        <w:t>报价，</w:t>
      </w:r>
      <w:r>
        <w:rPr>
          <w:rFonts w:hint="eastAsia" w:ascii="宋体" w:hAnsi="宋体" w:eastAsia="宋体" w:cs="宋体"/>
          <w:color w:val="auto"/>
          <w:sz w:val="21"/>
          <w:szCs w:val="21"/>
          <w:highlight w:val="none"/>
        </w:rPr>
        <w:t>满足竞争性磋商文件要求且最后报价最低的供应商的价格为</w:t>
      </w:r>
    </w:p>
    <w:p w14:paraId="3CA77C46">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highlight w:val="none"/>
        </w:rPr>
        <w:t>磋商基准价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其价格分为满分</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0分，其他</w:t>
      </w:r>
      <w:r>
        <w:rPr>
          <w:rFonts w:hint="eastAsia" w:ascii="宋体" w:hAnsi="宋体" w:eastAsia="宋体" w:cs="宋体"/>
          <w:color w:val="auto"/>
          <w:kern w:val="0"/>
          <w:sz w:val="21"/>
          <w:szCs w:val="21"/>
          <w:lang w:val="en-US" w:eastAsia="zh-CN"/>
        </w:rPr>
        <w:t>供应商</w:t>
      </w:r>
      <w:r>
        <w:rPr>
          <w:rFonts w:hint="eastAsia" w:ascii="宋体" w:hAnsi="宋体" w:eastAsia="宋体" w:cs="宋体"/>
          <w:color w:val="auto"/>
          <w:kern w:val="0"/>
          <w:sz w:val="21"/>
          <w:szCs w:val="21"/>
        </w:rPr>
        <w:t>的价格得分统一按照下列公式计算：</w:t>
      </w:r>
    </w:p>
    <w:p w14:paraId="29D3F5C4">
      <w:pPr>
        <w:keepNext w:val="0"/>
        <w:keepLines w:val="0"/>
        <w:pageBreakBefore w:val="0"/>
        <w:widowControl w:val="0"/>
        <w:kinsoku/>
        <w:wordWrap/>
        <w:overflowPunct/>
        <w:topLinePunct w:val="0"/>
        <w:autoSpaceDE w:val="0"/>
        <w:autoSpaceDN w:val="0"/>
        <w:bidi w:val="0"/>
        <w:adjustRightInd w:val="0"/>
        <w:snapToGrid w:val="0"/>
        <w:spacing w:line="360" w:lineRule="auto"/>
        <w:ind w:left="480" w:leftChars="200"/>
        <w:textAlignment w:val="auto"/>
        <w:outlineLvl w:val="9"/>
        <w:rPr>
          <w:rFonts w:hint="eastAsia" w:ascii="宋体" w:hAnsi="宋体" w:eastAsia="宋体" w:cs="宋体"/>
          <w:kern w:val="0"/>
          <w:sz w:val="21"/>
          <w:szCs w:val="21"/>
        </w:rPr>
      </w:pPr>
      <w:r>
        <w:rPr>
          <w:rFonts w:hint="eastAsia" w:ascii="宋体" w:hAnsi="宋体" w:eastAsia="宋体" w:cs="宋体"/>
          <w:color w:val="auto"/>
          <w:kern w:val="0"/>
          <w:sz w:val="21"/>
          <w:szCs w:val="21"/>
        </w:rPr>
        <w:t xml:space="preserve">    价格得分=(</w:t>
      </w:r>
      <w:r>
        <w:rPr>
          <w:rFonts w:hint="eastAsia" w:ascii="宋体" w:hAnsi="宋体" w:eastAsia="宋体" w:cs="宋体"/>
          <w:color w:val="auto"/>
          <w:sz w:val="21"/>
          <w:szCs w:val="21"/>
          <w:highlight w:val="none"/>
        </w:rPr>
        <w:t>磋商基准价/最后磋商报价</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0</w:t>
      </w:r>
    </w:p>
    <w:p w14:paraId="158E8E90">
      <w:pPr>
        <w:autoSpaceDN w:val="0"/>
        <w:adjustRightInd w:val="0"/>
        <w:snapToGrid w:val="0"/>
        <w:spacing w:line="360" w:lineRule="auto"/>
        <w:ind w:firstLine="210" w:firstLineChars="100"/>
        <w:outlineLvl w:val="9"/>
        <w:rPr>
          <w:rFonts w:hint="eastAsia" w:ascii="宋体" w:hAnsi="宋体" w:eastAsia="宋体" w:cs="宋体"/>
          <w:kern w:val="0"/>
          <w:sz w:val="21"/>
          <w:szCs w:val="21"/>
        </w:rPr>
      </w:pPr>
      <w:r>
        <w:rPr>
          <w:rFonts w:hint="eastAsia" w:ascii="宋体" w:hAnsi="宋体" w:eastAsia="宋体" w:cs="宋体"/>
          <w:kern w:val="0"/>
          <w:sz w:val="21"/>
          <w:szCs w:val="21"/>
        </w:rPr>
        <w:t>B、分数出现小数点，保留小数点后2位，从小数点后第3位四舍五入。</w:t>
      </w:r>
    </w:p>
    <w:p w14:paraId="30FD6D86">
      <w:pPr>
        <w:tabs>
          <w:tab w:val="left" w:pos="585"/>
        </w:tabs>
        <w:autoSpaceDE w:val="0"/>
        <w:autoSpaceDN w:val="0"/>
        <w:adjustRightInd w:val="0"/>
        <w:spacing w:line="400" w:lineRule="exact"/>
        <w:outlineLvl w:val="9"/>
        <w:rPr>
          <w:rFonts w:hint="eastAsia" w:ascii="宋体" w:hAnsi="宋体" w:eastAsia="宋体" w:cs="宋体"/>
          <w:b/>
          <w:sz w:val="21"/>
          <w:szCs w:val="21"/>
          <w:lang w:val="zh-CN"/>
        </w:rPr>
      </w:pPr>
      <w:r>
        <w:rPr>
          <w:rFonts w:hint="eastAsia" w:ascii="宋体" w:hAnsi="宋体" w:eastAsia="宋体" w:cs="宋体"/>
          <w:b/>
          <w:sz w:val="21"/>
          <w:szCs w:val="21"/>
          <w:lang w:val="zh-CN"/>
        </w:rPr>
        <w:t>（4）综合得分</w:t>
      </w:r>
    </w:p>
    <w:p w14:paraId="7BACFA59">
      <w:pPr>
        <w:spacing w:line="400" w:lineRule="exact"/>
        <w:ind w:firstLine="848" w:firstLineChars="404"/>
        <w:outlineLvl w:val="9"/>
        <w:rPr>
          <w:rFonts w:hint="eastAsia" w:ascii="宋体" w:hAnsi="宋体" w:eastAsia="宋体" w:cs="宋体"/>
          <w:kern w:val="0"/>
          <w:sz w:val="21"/>
          <w:szCs w:val="21"/>
          <w:lang w:val="zh-CN"/>
        </w:rPr>
      </w:pPr>
      <w:bookmarkStart w:id="493" w:name="_Toc31624_WPSOffice_Level2"/>
      <w:r>
        <w:rPr>
          <w:rFonts w:hint="eastAsia" w:ascii="宋体" w:hAnsi="宋体" w:eastAsia="宋体" w:cs="宋体"/>
          <w:kern w:val="0"/>
          <w:sz w:val="21"/>
          <w:szCs w:val="21"/>
          <w:lang w:val="zh-CN"/>
        </w:rPr>
        <w:t>评</w:t>
      </w:r>
      <w:r>
        <w:rPr>
          <w:rFonts w:hint="eastAsia" w:ascii="宋体" w:hAnsi="宋体" w:eastAsia="宋体" w:cs="宋体"/>
          <w:kern w:val="0"/>
          <w:sz w:val="21"/>
          <w:szCs w:val="21"/>
          <w:lang w:val="en-US" w:eastAsia="zh-CN"/>
        </w:rPr>
        <w:t>审</w:t>
      </w:r>
      <w:r>
        <w:rPr>
          <w:rFonts w:hint="eastAsia" w:ascii="宋体" w:hAnsi="宋体" w:eastAsia="宋体" w:cs="宋体"/>
          <w:kern w:val="0"/>
          <w:sz w:val="21"/>
          <w:szCs w:val="21"/>
          <w:lang w:val="zh-CN"/>
        </w:rPr>
        <w:t>总得分=F1＋F2＋……+Fn</w:t>
      </w:r>
      <w:bookmarkEnd w:id="493"/>
    </w:p>
    <w:p w14:paraId="115FD679">
      <w:pPr>
        <w:widowControl/>
        <w:autoSpaceDE w:val="0"/>
        <w:autoSpaceDN w:val="0"/>
        <w:adjustRightInd w:val="0"/>
        <w:spacing w:line="400" w:lineRule="exact"/>
        <w:ind w:firstLine="840" w:firstLineChars="400"/>
        <w:jc w:val="left"/>
        <w:outlineLvl w:val="9"/>
        <w:rPr>
          <w:rFonts w:hint="eastAsia" w:ascii="宋体" w:hAnsi="宋体" w:eastAsia="宋体" w:cs="宋体"/>
          <w:kern w:val="0"/>
          <w:sz w:val="21"/>
          <w:szCs w:val="21"/>
        </w:rPr>
      </w:pPr>
      <w:bookmarkStart w:id="494" w:name="_Toc13236_WPSOffice_Level2"/>
      <w:r>
        <w:rPr>
          <w:rFonts w:hint="eastAsia" w:ascii="宋体" w:hAnsi="宋体" w:eastAsia="宋体" w:cs="宋体"/>
          <w:kern w:val="0"/>
          <w:sz w:val="21"/>
          <w:szCs w:val="21"/>
        </w:rPr>
        <w:t>F1、F2、……Fn分别为各项评分因素的得分</w:t>
      </w:r>
      <w:bookmarkEnd w:id="494"/>
      <w:r>
        <w:rPr>
          <w:rFonts w:hint="eastAsia" w:ascii="宋体" w:hAnsi="宋体" w:eastAsia="宋体" w:cs="宋体"/>
          <w:kern w:val="0"/>
          <w:sz w:val="21"/>
          <w:szCs w:val="21"/>
        </w:rPr>
        <w:t>。</w:t>
      </w:r>
    </w:p>
    <w:p w14:paraId="779BD376">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bCs/>
          <w:color w:val="auto"/>
          <w:kern w:val="2"/>
          <w:sz w:val="28"/>
          <w:szCs w:val="28"/>
          <w:highlight w:val="none"/>
          <w:lang w:val="zh-CN"/>
        </w:rPr>
      </w:pPr>
    </w:p>
    <w:p w14:paraId="74DBDC9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lang w:val="zh-CN"/>
        </w:rPr>
        <w:t>五、推荐成交人</w:t>
      </w:r>
    </w:p>
    <w:p w14:paraId="4FEA8B4F">
      <w:pPr>
        <w:spacing w:line="360" w:lineRule="auto"/>
        <w:jc w:val="both"/>
        <w:rPr>
          <w:rFonts w:hint="eastAsia" w:ascii="宋体" w:hAnsi="宋体" w:cs="宋体"/>
          <w:color w:val="auto"/>
          <w:kern w:val="2"/>
          <w:sz w:val="21"/>
          <w:highlight w:val="none"/>
          <w:lang w:val="en-US" w:eastAsia="zh-CN"/>
        </w:rPr>
      </w:pPr>
      <w:r>
        <w:rPr>
          <w:rFonts w:hint="eastAsia" w:ascii="宋体" w:hAnsi="宋体" w:eastAsia="宋体" w:cs="宋体"/>
          <w:color w:val="auto"/>
          <w:kern w:val="2"/>
          <w:sz w:val="21"/>
          <w:highlight w:val="none"/>
          <w:lang w:val="zh-CN"/>
        </w:rPr>
        <w:t>14.</w:t>
      </w:r>
      <w:r>
        <w:rPr>
          <w:rFonts w:hint="eastAsia" w:ascii="宋体" w:hAnsi="宋体" w:eastAsia="宋体" w:cs="宋体"/>
          <w:color w:val="auto"/>
          <w:kern w:val="2"/>
          <w:sz w:val="21"/>
          <w:highlight w:val="none"/>
          <w:lang w:val="en-US" w:eastAsia="zh-CN"/>
        </w:rPr>
        <w:t xml:space="preserve">1 </w:t>
      </w:r>
      <w:r>
        <w:rPr>
          <w:rFonts w:hint="eastAsia" w:ascii="宋体" w:hAnsi="宋体" w:eastAsia="宋体" w:cs="宋体"/>
          <w:color w:val="auto"/>
          <w:kern w:val="2"/>
          <w:sz w:val="21"/>
          <w:highlight w:val="none"/>
          <w:lang w:val="zh-CN"/>
        </w:rPr>
        <w:t>磋商小组</w:t>
      </w:r>
      <w:r>
        <w:rPr>
          <w:rFonts w:hint="eastAsia" w:ascii="宋体" w:hAnsi="宋体" w:cs="宋体"/>
          <w:color w:val="auto"/>
          <w:kern w:val="2"/>
          <w:sz w:val="21"/>
          <w:highlight w:val="none"/>
          <w:lang w:val="en-US" w:eastAsia="zh-CN"/>
        </w:rPr>
        <w:t>按评审后得分由高到低顺序排列，并向采购人推荐最后综合得分最高的前二名供应商</w:t>
      </w:r>
    </w:p>
    <w:p w14:paraId="4E058109">
      <w:pPr>
        <w:keepNext w:val="0"/>
        <w:keepLines w:val="0"/>
        <w:pageBreakBefore w:val="0"/>
        <w:widowControl w:val="0"/>
        <w:kinsoku/>
        <w:wordWrap/>
        <w:overflowPunct/>
        <w:topLinePunct w:val="0"/>
        <w:autoSpaceDE w:val="0"/>
        <w:autoSpaceDN w:val="0"/>
        <w:bidi w:val="0"/>
        <w:adjustRightInd w:val="0"/>
        <w:snapToGrid/>
        <w:spacing w:line="360" w:lineRule="auto"/>
        <w:ind w:left="528" w:leftChars="220"/>
        <w:jc w:val="both"/>
        <w:textAlignment w:val="auto"/>
        <w:rPr>
          <w:rFonts w:hint="eastAsia" w:ascii="宋体" w:hAnsi="宋体" w:cs="宋体"/>
          <w:color w:val="auto"/>
          <w:kern w:val="2"/>
          <w:sz w:val="21"/>
          <w:highlight w:val="none"/>
          <w:lang w:val="en-US" w:eastAsia="zh-CN"/>
        </w:rPr>
      </w:pPr>
      <w:r>
        <w:rPr>
          <w:rFonts w:hint="eastAsia" w:ascii="宋体" w:hAnsi="宋体" w:cs="宋体"/>
          <w:color w:val="auto"/>
          <w:kern w:val="2"/>
          <w:sz w:val="21"/>
          <w:highlight w:val="none"/>
          <w:lang w:val="en-US" w:eastAsia="zh-CN"/>
        </w:rPr>
        <w:t>为成交候选人（最后综合得分排名第一、第二的供应商分别为第一、第二成交候选人），采购人将确定第一成交候选人为成交人</w:t>
      </w:r>
    </w:p>
    <w:p w14:paraId="71F0DFD8">
      <w:pPr>
        <w:spacing w:line="360" w:lineRule="auto"/>
        <w:ind w:left="624" w:leftChars="260" w:firstLine="417" w:firstLineChars="199"/>
        <w:jc w:val="both"/>
        <w:rPr>
          <w:rFonts w:hint="eastAsia" w:ascii="宋体" w:hAnsi="宋体" w:eastAsia="宋体" w:cs="宋体"/>
          <w:color w:val="auto"/>
          <w:kern w:val="2"/>
          <w:sz w:val="21"/>
          <w:highlight w:val="none"/>
          <w:lang w:val="zh-CN" w:eastAsia="zh-CN"/>
        </w:rPr>
      </w:pPr>
      <w:r>
        <w:rPr>
          <w:rFonts w:hint="eastAsia" w:ascii="宋体" w:hAnsi="宋体" w:eastAsia="宋体" w:cs="宋体"/>
          <w:color w:val="auto"/>
          <w:kern w:val="2"/>
          <w:sz w:val="21"/>
          <w:highlight w:val="none"/>
          <w:lang w:val="zh-CN" w:eastAsia="zh-CN"/>
        </w:rPr>
        <w:t>如果有两个或以上的供应商的最后综合得分相同，则在最后综合得分相同的供应商中按最终报价由低到高顺序排出次序，报价低的排前，报价高的排后。如果出现供应商的最后综合得分及最终报价均相同时，则按技术评审得分高低排出次序，得分高的排前，得分低的排后。如果出现供应商的最后综合得分、最终报价及技术得分均相同时，由磋商小组进行投票，得票多的排名在先。当第一轮投票结果为供应商得票数相同时，再次进行投票，如此类推，直到能确定排序次序为止。</w:t>
      </w:r>
    </w:p>
    <w:p w14:paraId="43F54110">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p>
    <w:p w14:paraId="4511DA69">
      <w:pPr>
        <w:spacing w:line="360" w:lineRule="auto"/>
        <w:ind w:left="211" w:leftChars="88" w:firstLine="3443" w:firstLineChars="1225"/>
        <w:jc w:val="both"/>
        <w:rPr>
          <w:rFonts w:hint="eastAsia" w:ascii="宋体" w:hAnsi="宋体" w:eastAsia="宋体" w:cs="宋体"/>
          <w:b/>
          <w:bCs/>
          <w:color w:val="auto"/>
          <w:kern w:val="2"/>
          <w:sz w:val="28"/>
          <w:szCs w:val="28"/>
          <w:highlight w:val="none"/>
          <w:lang w:val="zh-CN"/>
        </w:rPr>
      </w:pPr>
      <w:r>
        <w:rPr>
          <w:rFonts w:hint="eastAsia" w:ascii="宋体" w:hAnsi="宋体" w:eastAsia="宋体" w:cs="宋体"/>
          <w:b/>
          <w:bCs/>
          <w:color w:val="auto"/>
          <w:kern w:val="2"/>
          <w:sz w:val="28"/>
          <w:szCs w:val="28"/>
          <w:highlight w:val="none"/>
          <w:lang w:val="zh-CN"/>
        </w:rPr>
        <w:t>六、编写评审报告</w:t>
      </w:r>
    </w:p>
    <w:p w14:paraId="60D4ECF5">
      <w:pPr>
        <w:spacing w:line="360" w:lineRule="auto"/>
        <w:ind w:left="420" w:hanging="420" w:hangingChars="200"/>
        <w:rPr>
          <w:rFonts w:hint="eastAsia" w:ascii="宋体" w:hAnsi="宋体" w:eastAsia="宋体" w:cs="宋体"/>
          <w:b/>
          <w:bCs/>
          <w:color w:val="auto"/>
          <w:kern w:val="2"/>
          <w:sz w:val="21"/>
          <w:szCs w:val="32"/>
          <w:highlight w:val="none"/>
          <w:lang w:val="zh-CN"/>
        </w:rPr>
      </w:pPr>
      <w:r>
        <w:rPr>
          <w:rFonts w:hint="eastAsia" w:ascii="宋体" w:hAnsi="宋体" w:eastAsia="宋体" w:cs="宋体"/>
          <w:color w:val="auto"/>
          <w:kern w:val="2"/>
          <w:sz w:val="21"/>
          <w:highlight w:val="none"/>
        </w:rPr>
        <w:t>15</w:t>
      </w:r>
      <w:r>
        <w:rPr>
          <w:rFonts w:hint="eastAsia" w:ascii="宋体" w:hAnsi="宋体" w:eastAsia="宋体" w:cs="宋体"/>
          <w:color w:val="auto"/>
          <w:kern w:val="2"/>
          <w:sz w:val="21"/>
          <w:highlight w:val="none"/>
          <w:lang w:val="zh-CN"/>
        </w:rPr>
        <w:t>、</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根据评审结果撰写评审报告。评审报告是</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根据全体</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成员签字的原始评审记录和评审结果编写的报告，其主要内容包括：</w:t>
      </w:r>
    </w:p>
    <w:p w14:paraId="000B0A32">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1）</w:t>
      </w:r>
      <w:r>
        <w:rPr>
          <w:rFonts w:hint="eastAsia" w:ascii="宋体" w:hAnsi="宋体" w:cs="宋体"/>
          <w:color w:val="auto"/>
          <w:sz w:val="21"/>
          <w:highlight w:val="none"/>
          <w:lang w:val="en-US" w:eastAsia="zh-CN"/>
        </w:rPr>
        <w:t>竞争性</w:t>
      </w:r>
      <w:r>
        <w:rPr>
          <w:rFonts w:hint="eastAsia" w:ascii="宋体" w:hAnsi="宋体" w:eastAsia="宋体" w:cs="宋体"/>
          <w:color w:val="auto"/>
          <w:sz w:val="21"/>
          <w:highlight w:val="none"/>
          <w:lang w:val="zh-CN"/>
        </w:rPr>
        <w:t>磋商</w:t>
      </w:r>
      <w:r>
        <w:rPr>
          <w:rFonts w:hint="eastAsia" w:ascii="宋体" w:hAnsi="宋体" w:cs="宋体"/>
          <w:color w:val="auto"/>
          <w:sz w:val="21"/>
          <w:highlight w:val="none"/>
          <w:lang w:val="en-US" w:eastAsia="zh-CN"/>
        </w:rPr>
        <w:t>文件公告</w:t>
      </w:r>
      <w:r>
        <w:rPr>
          <w:rFonts w:hint="eastAsia" w:ascii="宋体" w:hAnsi="宋体" w:eastAsia="宋体" w:cs="宋体"/>
          <w:color w:val="auto"/>
          <w:sz w:val="21"/>
          <w:highlight w:val="none"/>
          <w:lang w:val="zh-CN"/>
        </w:rPr>
        <w:t>时间、</w:t>
      </w:r>
      <w:r>
        <w:rPr>
          <w:rFonts w:hint="eastAsia" w:ascii="宋体" w:hAnsi="宋体" w:cs="宋体"/>
          <w:color w:val="auto"/>
          <w:sz w:val="21"/>
          <w:highlight w:val="none"/>
          <w:lang w:val="en-US" w:eastAsia="zh-CN"/>
        </w:rPr>
        <w:t>磋商</w:t>
      </w:r>
      <w:r>
        <w:rPr>
          <w:rFonts w:hint="eastAsia" w:ascii="宋体" w:hAnsi="宋体" w:eastAsia="宋体" w:cs="宋体"/>
          <w:color w:val="auto"/>
          <w:sz w:val="21"/>
          <w:highlight w:val="none"/>
          <w:lang w:val="zh-CN"/>
        </w:rPr>
        <w:t>日期和地点；</w:t>
      </w:r>
    </w:p>
    <w:p w14:paraId="7FCA6DC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2）供应商名单和</w:t>
      </w:r>
      <w:r>
        <w:rPr>
          <w:rFonts w:hint="eastAsia" w:ascii="宋体" w:hAnsi="宋体" w:eastAsia="宋体" w:cs="宋体"/>
          <w:color w:val="auto"/>
          <w:sz w:val="21"/>
          <w:szCs w:val="21"/>
          <w:highlight w:val="none"/>
        </w:rPr>
        <w:t>磋商小组</w:t>
      </w:r>
      <w:r>
        <w:rPr>
          <w:rFonts w:hint="eastAsia" w:ascii="宋体" w:hAnsi="宋体" w:eastAsia="宋体" w:cs="宋体"/>
          <w:color w:val="auto"/>
          <w:sz w:val="21"/>
          <w:highlight w:val="none"/>
          <w:lang w:val="zh-CN"/>
        </w:rPr>
        <w:t>成员名单；</w:t>
      </w:r>
    </w:p>
    <w:p w14:paraId="19BFE139">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xml:space="preserve">      3）磋商记录；</w:t>
      </w:r>
    </w:p>
    <w:p w14:paraId="09C35C6C">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4）评审方法和标准；</w:t>
      </w:r>
    </w:p>
    <w:p w14:paraId="76837672">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5）评审记录和评审情况及说明，包括响应无效供应商名单及原因；</w:t>
      </w:r>
    </w:p>
    <w:p w14:paraId="0BF297D5">
      <w:pPr>
        <w:spacing w:line="360" w:lineRule="auto"/>
        <w:rPr>
          <w:rFonts w:hint="eastAsia" w:ascii="宋体" w:hAnsi="宋体" w:eastAsia="宋体" w:cs="宋体"/>
          <w:color w:val="auto"/>
          <w:sz w:val="21"/>
          <w:highlight w:val="none"/>
          <w:lang w:val="zh-CN"/>
        </w:rPr>
      </w:pPr>
      <w:r>
        <w:rPr>
          <w:rFonts w:hint="eastAsia" w:ascii="宋体" w:hAnsi="宋体" w:eastAsia="宋体" w:cs="宋体"/>
          <w:color w:val="auto"/>
          <w:sz w:val="21"/>
          <w:highlight w:val="none"/>
          <w:lang w:val="zh-CN"/>
        </w:rPr>
        <w:t>　 　 6）评审结果和</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lang w:val="zh-CN"/>
        </w:rPr>
        <w:t>候选供应商排序表；</w:t>
      </w:r>
    </w:p>
    <w:p w14:paraId="3E15B702">
      <w:pPr>
        <w:spacing w:line="360" w:lineRule="auto"/>
        <w:ind w:left="420" w:firstLine="210" w:firstLineChars="10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7）</w:t>
      </w:r>
      <w:r>
        <w:rPr>
          <w:rFonts w:hint="eastAsia" w:ascii="宋体" w:hAnsi="宋体" w:eastAsia="宋体" w:cs="宋体"/>
          <w:color w:val="auto"/>
          <w:sz w:val="21"/>
          <w:szCs w:val="21"/>
          <w:highlight w:val="none"/>
        </w:rPr>
        <w:t>磋商小组</w:t>
      </w:r>
      <w:r>
        <w:rPr>
          <w:rFonts w:hint="eastAsia" w:ascii="宋体" w:hAnsi="宋体" w:eastAsia="宋体" w:cs="宋体"/>
          <w:color w:val="auto"/>
          <w:kern w:val="2"/>
          <w:sz w:val="21"/>
          <w:highlight w:val="none"/>
          <w:lang w:val="zh-CN"/>
        </w:rPr>
        <w:t>的推荐建议。</w:t>
      </w:r>
    </w:p>
    <w:p w14:paraId="2737BD5E">
      <w:pPr>
        <w:spacing w:line="360" w:lineRule="auto"/>
        <w:jc w:val="center"/>
        <w:rPr>
          <w:rFonts w:hint="eastAsia" w:ascii="宋体" w:hAnsi="宋体" w:eastAsia="宋体" w:cs="宋体"/>
          <w:b/>
          <w:bCs/>
          <w:color w:val="auto"/>
          <w:kern w:val="2"/>
          <w:sz w:val="28"/>
          <w:szCs w:val="28"/>
          <w:highlight w:val="none"/>
          <w:lang w:val="zh-CN"/>
        </w:rPr>
      </w:pPr>
    </w:p>
    <w:p w14:paraId="1502DC3E">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28"/>
          <w:szCs w:val="28"/>
          <w:highlight w:val="none"/>
          <w:lang w:val="zh-CN"/>
        </w:rPr>
        <w:t>七、注意事项</w:t>
      </w:r>
    </w:p>
    <w:p w14:paraId="12F9F418">
      <w:pPr>
        <w:keepNext w:val="0"/>
        <w:keepLines w:val="0"/>
        <w:pageBreakBefore w:val="0"/>
        <w:widowControl w:val="0"/>
        <w:kinsoku/>
        <w:wordWrap/>
        <w:overflowPunct/>
        <w:topLinePunct w:val="0"/>
        <w:autoSpaceDE w:val="0"/>
        <w:autoSpaceDN w:val="0"/>
        <w:bidi w:val="0"/>
        <w:adjustRightInd w:val="0"/>
        <w:snapToGrid/>
        <w:spacing w:line="360" w:lineRule="auto"/>
        <w:ind w:left="420" w:hanging="420" w:hangingChars="200"/>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rPr>
        <w:t>16</w:t>
      </w:r>
      <w:r>
        <w:rPr>
          <w:rFonts w:hint="eastAsia" w:ascii="宋体" w:hAnsi="宋体" w:eastAsia="宋体" w:cs="宋体"/>
          <w:color w:val="auto"/>
          <w:kern w:val="2"/>
          <w:sz w:val="21"/>
          <w:highlight w:val="none"/>
          <w:lang w:val="zh-CN"/>
        </w:rPr>
        <w:t>、为确保磋商活动的顺利进行，防止因泄密或其它意外而造成的不良后果及影响，凡参加磋商活</w:t>
      </w:r>
    </w:p>
    <w:p w14:paraId="2C12DE32">
      <w:pPr>
        <w:keepNext w:val="0"/>
        <w:keepLines w:val="0"/>
        <w:pageBreakBefore w:val="0"/>
        <w:widowControl w:val="0"/>
        <w:kinsoku/>
        <w:wordWrap/>
        <w:overflowPunct/>
        <w:topLinePunct w:val="0"/>
        <w:autoSpaceDE w:val="0"/>
        <w:autoSpaceDN w:val="0"/>
        <w:bidi w:val="0"/>
        <w:adjustRightInd w:val="0"/>
        <w:snapToGrid/>
        <w:spacing w:line="360" w:lineRule="auto"/>
        <w:ind w:left="430" w:leftChars="179"/>
        <w:jc w:val="both"/>
        <w:textAlignment w:val="auto"/>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动的人员都必须认真执行本规定：</w:t>
      </w:r>
    </w:p>
    <w:p w14:paraId="000A9054">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1）在磋商期间，所有分发的供应商响应文件、资料等仅限于在磋商场所中使用，不得带往其它地方，所有的</w:t>
      </w:r>
      <w:r>
        <w:rPr>
          <w:rFonts w:hint="eastAsia" w:ascii="宋体" w:hAnsi="宋体" w:cs="宋体"/>
          <w:color w:val="auto"/>
          <w:kern w:val="2"/>
          <w:sz w:val="21"/>
          <w:highlight w:val="none"/>
          <w:lang w:val="en-US" w:eastAsia="zh-CN"/>
        </w:rPr>
        <w:t>竞争性</w:t>
      </w:r>
      <w:r>
        <w:rPr>
          <w:rFonts w:hint="eastAsia" w:ascii="宋体" w:hAnsi="宋体" w:eastAsia="宋体" w:cs="宋体"/>
          <w:color w:val="auto"/>
          <w:kern w:val="2"/>
          <w:sz w:val="21"/>
          <w:highlight w:val="none"/>
          <w:lang w:val="zh-CN"/>
        </w:rPr>
        <w:t>磋商文件、供应商响应文件、资料等一律编号登记。</w:t>
      </w:r>
    </w:p>
    <w:p w14:paraId="4552D6F9">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2）磋商小组成员及工作人员不得在公共场合谈论有关评审内容。</w:t>
      </w:r>
    </w:p>
    <w:p w14:paraId="0E2EE032">
      <w:pPr>
        <w:spacing w:line="360" w:lineRule="auto"/>
        <w:ind w:left="905" w:leftChars="237" w:hanging="336" w:hangingChars="16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磋商小组成员及工作人员不得以书信、电讯、口述等方式将有关评审内容（如资料、供应商响应文件、磋商报价、评审方式、磋商小组的决定、磋商小组机构、磋商小组人员名单等）披露给未参加磋商的任何无关人员，包括上级领导、同级和下级人员，任何与</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无关的人员（包括亲朋好友和同事）不得进入磋商场所。</w:t>
      </w:r>
    </w:p>
    <w:p w14:paraId="7931EFD9">
      <w:pPr>
        <w:spacing w:line="360" w:lineRule="auto"/>
        <w:ind w:left="915" w:leftChars="250" w:hanging="315" w:hangingChars="150"/>
        <w:jc w:val="both"/>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4）在举行与各供应商的</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之前磋商小组应明确参加</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的人员及主谈人。任何需要供应商在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上澄清的问题必须经磋商小组成员签字并由主谈人提出。在</w:t>
      </w:r>
      <w:r>
        <w:rPr>
          <w:rFonts w:hint="eastAsia" w:ascii="宋体" w:hAnsi="宋体" w:cs="宋体"/>
          <w:color w:val="auto"/>
          <w:kern w:val="2"/>
          <w:sz w:val="21"/>
          <w:highlight w:val="none"/>
          <w:lang w:val="en-US" w:eastAsia="zh-CN"/>
        </w:rPr>
        <w:t>磋商</w:t>
      </w:r>
      <w:r>
        <w:rPr>
          <w:rFonts w:hint="eastAsia" w:ascii="宋体" w:hAnsi="宋体" w:eastAsia="宋体" w:cs="宋体"/>
          <w:color w:val="auto"/>
          <w:kern w:val="2"/>
          <w:sz w:val="21"/>
          <w:highlight w:val="none"/>
          <w:lang w:val="zh-CN"/>
        </w:rPr>
        <w:t>期间，对于涉及本规定保密范畴的所有内容，主谈人不得向供应商透露。</w:t>
      </w:r>
    </w:p>
    <w:p w14:paraId="0A64B078">
      <w:pPr>
        <w:spacing w:line="360" w:lineRule="auto"/>
        <w:ind w:left="120" w:leftChars="50" w:firstLine="525" w:firstLineChars="250"/>
        <w:jc w:val="both"/>
        <w:rPr>
          <w:rFonts w:hint="eastAsia" w:ascii="宋体" w:hAnsi="宋体" w:eastAsia="宋体" w:cs="宋体"/>
          <w:color w:val="auto"/>
          <w:highlight w:val="none"/>
        </w:rPr>
      </w:pPr>
      <w:r>
        <w:rPr>
          <w:rFonts w:hint="eastAsia" w:ascii="宋体" w:hAnsi="宋体" w:eastAsia="宋体" w:cs="宋体"/>
          <w:color w:val="auto"/>
          <w:kern w:val="2"/>
          <w:sz w:val="21"/>
          <w:highlight w:val="none"/>
          <w:lang w:val="zh-CN"/>
        </w:rPr>
        <w:t>5）任何磋商人员和工作人员不得对外公布磋商的一切内容。</w:t>
      </w:r>
    </w:p>
    <w:sectPr>
      <w:pgSz w:w="11907" w:h="16840"/>
      <w:pgMar w:top="1701" w:right="1418" w:bottom="851" w:left="1418" w:header="720" w:footer="720" w:gutter="0"/>
      <w:pgBorders w:offsetFrom="page">
        <w:top w:val="none" w:sz="0" w:space="0"/>
        <w:left w:val="none" w:sz="0" w:space="0"/>
        <w:bottom w:val="none" w:sz="0" w:space="0"/>
        <w:right w:val="none" w:sz="0" w:space="0"/>
      </w:pgBorders>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font-weight : 400">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微软雅黑"/>
    <w:panose1 w:val="00000000000000000000"/>
    <w:charset w:val="00"/>
    <w:family w:val="auto"/>
    <w:pitch w:val="default"/>
    <w:sig w:usb0="00000000" w:usb1="00000000" w:usb2="00000000"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Roman">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FrutigerNext LT Light">
    <w:altName w:val="宋体"/>
    <w:panose1 w:val="00000000000000000000"/>
    <w:charset w:val="86"/>
    <w:family w:val="swiss"/>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_x001A_">
    <w:altName w:val="Times New Roman"/>
    <w:panose1 w:val="00000000000000000000"/>
    <w:charset w:val="00"/>
    <w:family w:val="roman"/>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Lucida Grande">
    <w:altName w:val="Arial"/>
    <w:panose1 w:val="020B0600040502020204"/>
    <w:charset w:val="00"/>
    <w:family w:val="auto"/>
    <w:pitch w:val="default"/>
    <w:sig w:usb0="00000000" w:usb1="00000000" w:usb2="00000000" w:usb3="00000000" w:csb0="000001BF" w:csb1="0000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6BA10">
    <w:pPr>
      <w:pStyle w:val="3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E344D">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1e/c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cWxO25x4Ocf388/f59/fSPL&#10;LE8foMasx4B5abjxAy7N7Ad0ZtaDijZ/kQ/BOIp7uogrh0REfrRarlYVhgTG5gvis6fnIUK6k96S&#10;bDQ04vSKqPx4D2lMnVNyNedvtTFlgsb95UDM7GG597HHbKVhN0yEdr49IZ8eB99Qh3tOifnoUNe8&#10;I7MRZ2M3G4cQ9b4rS5TrQfhwSNhE6S1XGGGnwjixwm7arrwSz+8l6+mP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9Xv3LIAQAAmQMAAA4AAAAAAAAAAQAgAAAAHgEAAGRycy9lMm9Eb2Mu&#10;eG1sUEsFBgAAAAAGAAYAWQEAAFgFAAAAAA==&#10;">
              <v:fill on="f" focussize="0,0"/>
              <v:stroke on="f"/>
              <v:imagedata o:title=""/>
              <o:lock v:ext="edit" aspectratio="f"/>
              <v:textbox inset="0mm,0mm,0mm,0mm" style="mso-fit-shape-to-text:t;">
                <w:txbxContent>
                  <w:p w14:paraId="2C4E344D">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85407">
    <w:pPr>
      <w:pStyle w:val="39"/>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4320F">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1UOcgBAACa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2FJieMWJ37++eP868/593dy&#10;nfXpA9SY9hAwMQ0f/IC5sx/QmWkPKtr8RUIE46ju6aKuHBIR+dFquVpVGBIYmy+Izx6fhwjpo/SW&#10;ZKOhEcdXVOXHO0hj6pySqzl/q40pIzTuPwdiZg/LvY89ZisNu2EitPPtCfn0OPmGOlx0Sswnh8Lm&#10;JZmNOBu72TiEqPdd2aJcD8L7Q8ImSm+5wgg7FcaRFXbTeuWd+Pdesh5/qc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IDdVDnIAQAAmgMAAA4AAAAAAAAAAQAgAAAAHgEAAGRycy9lMm9Eb2Mu&#10;eG1sUEsFBgAAAAAGAAYAWQEAAFgFAAAAAA==&#10;">
              <v:fill on="f" focussize="0,0"/>
              <v:stroke on="f"/>
              <v:imagedata o:title=""/>
              <o:lock v:ext="edit" aspectratio="f"/>
              <v:textbox inset="0mm,0mm,0mm,0mm" style="mso-fit-shape-to-text:t;">
                <w:txbxContent>
                  <w:p w14:paraId="4764320F">
                    <w:pPr>
                      <w:pStyle w:val="39"/>
                    </w:pPr>
                    <w:r>
                      <w:t xml:space="preserve">第 </w:t>
                    </w:r>
                    <w:r>
                      <w:fldChar w:fldCharType="begin"/>
                    </w:r>
                    <w:r>
                      <w:instrText xml:space="preserve"> PAGE  \* MERGEFORMAT </w:instrText>
                    </w:r>
                    <w:r>
                      <w:fldChar w:fldCharType="separate"/>
                    </w:r>
                    <w:r>
                      <w:t>50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49D8F5EB">
    <w:pPr>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2E2F">
    <w:pPr>
      <w:pStyle w:val="3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1F0A15">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vjDs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aEsctTvz888f515/z7+/k&#10;b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u+MOyQEAAJoDAAAOAAAAAAAAAAEAIAAAAB4BAABkcnMvZTJvRG9j&#10;LnhtbFBLBQYAAAAABgAGAFkBAABZBQAAAAA=&#10;">
              <v:fill on="f" focussize="0,0"/>
              <v:stroke on="f"/>
              <v:imagedata o:title=""/>
              <o:lock v:ext="edit" aspectratio="f"/>
              <v:textbox inset="0mm,0mm,0mm,0mm" style="mso-fit-shape-to-text:t;">
                <w:txbxContent>
                  <w:p w14:paraId="261F0A15">
                    <w:pPr>
                      <w:pStyle w:val="39"/>
                    </w:pPr>
                    <w:r>
                      <w:t xml:space="preserve">第 </w:t>
                    </w:r>
                    <w:r>
                      <w:fldChar w:fldCharType="begin"/>
                    </w:r>
                    <w:r>
                      <w:instrText xml:space="preserve"> PAGE  \* MERGEFORMAT </w:instrText>
                    </w:r>
                    <w:r>
                      <w:fldChar w:fldCharType="separate"/>
                    </w:r>
                    <w:r>
                      <w:t>49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p w14:paraId="6C7A33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D8E5D">
    <w:pPr>
      <w:pStyle w:val="39"/>
      <w:framePr w:wrap="around" w:vAnchor="text" w:hAnchor="margin" w:xAlign="center" w:y="1"/>
      <w:rPr>
        <w:rStyle w:val="60"/>
      </w:rPr>
    </w:pPr>
    <w:r>
      <w:fldChar w:fldCharType="begin"/>
    </w:r>
    <w:r>
      <w:rPr>
        <w:rStyle w:val="60"/>
      </w:rPr>
      <w:instrText xml:space="preserve">PAGE  </w:instrText>
    </w:r>
    <w:r>
      <w:fldChar w:fldCharType="end"/>
    </w:r>
  </w:p>
  <w:p w14:paraId="795F3E29">
    <w:pPr>
      <w:pStyle w:val="39"/>
      <w:ind w:right="360"/>
    </w:pPr>
  </w:p>
  <w:p w14:paraId="7887F634"/>
  <w:p w14:paraId="6F446E36"/>
  <w:p w14:paraId="59A07068"/>
  <w:p w14:paraId="5B99BE1B"/>
  <w:p w14:paraId="0DC472D5"/>
  <w:p w14:paraId="296018E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EFC4">
    <w:pPr>
      <w:pStyle w:val="3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F805F2">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zEIRc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MQhFyQEAAJkDAAAOAAAAAAAAAAEAIAAAAB4BAABkcnMvZTJvRG9j&#10;LnhtbFBLBQYAAAAABgAGAFkBAABZBQAAAAA=&#10;">
              <v:fill on="f" focussize="0,0"/>
              <v:stroke on="f"/>
              <v:imagedata o:title=""/>
              <o:lock v:ext="edit" aspectratio="f"/>
              <v:textbox inset="0mm,0mm,0mm,0mm" style="mso-fit-shape-to-text:t;">
                <w:txbxContent>
                  <w:p w14:paraId="0BF805F2">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8F94">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3E5F">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C474B">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08F08">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C6B8">
    <w:pPr>
      <w:pStyle w:val="39"/>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FF6F1">
    <w:pPr>
      <w:pStyle w:val="39"/>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639B">
    <w:pPr>
      <w:pStyle w:val="40"/>
      <w:pBdr>
        <w:top w:val="none" w:color="auto" w:sz="0" w:space="0"/>
        <w:left w:val="none" w:color="auto" w:sz="0" w:space="0"/>
        <w:bottom w:val="none" w:color="auto" w:sz="0" w:space="1"/>
        <w:right w:val="none" w:color="auto" w:sz="0" w:space="0"/>
        <w:between w:val="none" w:color="auto" w:sz="0" w:space="0"/>
      </w:pBdr>
      <w:rPr>
        <w:rFonts w:hint="eastAsia" w:ascii="宋体" w:hAnsi="宋体" w:eastAsia="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F6FB">
    <w:pPr>
      <w:pStyle w:val="20"/>
      <w:jc w:val="left"/>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B9BF">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B810"/>
    <w:multiLevelType w:val="singleLevel"/>
    <w:tmpl w:val="EEFEB810"/>
    <w:lvl w:ilvl="0" w:tentative="0">
      <w:start w:val="1"/>
      <w:numFmt w:val="decimal"/>
      <w:suff w:val="nothing"/>
      <w:lvlText w:val="（%1）"/>
      <w:lvlJc w:val="left"/>
    </w:lvl>
  </w:abstractNum>
  <w:abstractNum w:abstractNumId="1">
    <w:nsid w:val="027C0FD1"/>
    <w:multiLevelType w:val="multilevel"/>
    <w:tmpl w:val="027C0FD1"/>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pStyle w:val="478"/>
      <w:lvlText w:val="%1.%2.%3.%4.%5.%6.%7.%8.%9."/>
      <w:lvlJc w:val="left"/>
      <w:pPr>
        <w:tabs>
          <w:tab w:val="left" w:pos="1559"/>
        </w:tabs>
        <w:ind w:left="1559" w:hanging="1559"/>
      </w:pPr>
      <w:rPr>
        <w:rFonts w:hint="eastAsia"/>
      </w:rPr>
    </w:lvl>
  </w:abstractNum>
  <w:abstractNum w:abstractNumId="2">
    <w:nsid w:val="115801B5"/>
    <w:multiLevelType w:val="multilevel"/>
    <w:tmpl w:val="115801B5"/>
    <w:lvl w:ilvl="0" w:tentative="0">
      <w:start w:val="1"/>
      <w:numFmt w:val="decimal"/>
      <w:pStyle w:val="47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4">
    <w:nsid w:val="1EC9440B"/>
    <w:multiLevelType w:val="multilevel"/>
    <w:tmpl w:val="1EC9440B"/>
    <w:lvl w:ilvl="0" w:tentative="0">
      <w:start w:val="1"/>
      <w:numFmt w:val="decimal"/>
      <w:pStyle w:val="607"/>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3466618"/>
    <w:multiLevelType w:val="multilevel"/>
    <w:tmpl w:val="23466618"/>
    <w:lvl w:ilvl="0" w:tentative="0">
      <w:start w:val="1"/>
      <w:numFmt w:val="decimal"/>
      <w:pStyle w:val="572"/>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25DE29EA"/>
    <w:multiLevelType w:val="singleLevel"/>
    <w:tmpl w:val="25DE29EA"/>
    <w:lvl w:ilvl="0" w:tentative="0">
      <w:start w:val="7"/>
      <w:numFmt w:val="chineseCounting"/>
      <w:suff w:val="nothing"/>
      <w:lvlText w:val="%1、"/>
      <w:lvlJc w:val="left"/>
      <w:rPr>
        <w:rFonts w:hint="eastAsia"/>
      </w:rPr>
    </w:lvl>
  </w:abstractNum>
  <w:abstractNum w:abstractNumId="7">
    <w:nsid w:val="2B8C6822"/>
    <w:multiLevelType w:val="multilevel"/>
    <w:tmpl w:val="2B8C6822"/>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b w:val="0"/>
        <w:bCs/>
      </w:rPr>
    </w:lvl>
    <w:lvl w:ilvl="2" w:tentative="0">
      <w:start w:val="1"/>
      <w:numFmt w:val="decimal"/>
      <w:pStyle w:val="498"/>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F8D6FBB"/>
    <w:multiLevelType w:val="multilevel"/>
    <w:tmpl w:val="2F8D6FBB"/>
    <w:lvl w:ilvl="0" w:tentative="0">
      <w:start w:val="1"/>
      <w:numFmt w:val="decimal"/>
      <w:pStyle w:val="584"/>
      <w:lvlText w:val="%1."/>
      <w:legacy w:legacy="1" w:legacySpace="0" w:legacyIndent="360"/>
      <w:lvlJc w:val="left"/>
      <w:rPr>
        <w:rFonts w:hint="eastAsia" w:ascii="等线 Light" w:hAnsi="等线 Light" w:eastAsia="等线 Light"/>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9">
    <w:nsid w:val="52F84DAB"/>
    <w:multiLevelType w:val="multilevel"/>
    <w:tmpl w:val="52F84DAB"/>
    <w:lvl w:ilvl="0" w:tentative="0">
      <w:start w:val="1"/>
      <w:numFmt w:val="decimal"/>
      <w:lvlText w:val="%1"/>
      <w:lvlJc w:val="left"/>
      <w:pPr>
        <w:tabs>
          <w:tab w:val="left" w:pos="425"/>
        </w:tabs>
        <w:ind w:left="425" w:hanging="425"/>
      </w:pPr>
      <w:rPr>
        <w:rFonts w:hint="eastAsia"/>
      </w:rPr>
    </w:lvl>
    <w:lvl w:ilvl="1" w:tentative="0">
      <w:start w:val="1"/>
      <w:numFmt w:val="chineseCountingThousand"/>
      <w:pStyle w:val="475"/>
      <w:lvlText w:val="(%2)"/>
      <w:lvlJc w:val="left"/>
      <w:pPr>
        <w:tabs>
          <w:tab w:val="left" w:pos="567"/>
        </w:tabs>
        <w:ind w:left="567" w:hanging="567"/>
      </w:pPr>
      <w:rPr>
        <w:rFonts w:hint="eastAsia"/>
        <w:b w:val="0"/>
        <w:bCs/>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72D1240"/>
    <w:multiLevelType w:val="multilevel"/>
    <w:tmpl w:val="572D1240"/>
    <w:lvl w:ilvl="0" w:tentative="0">
      <w:start w:val="1"/>
      <w:numFmt w:val="decimal"/>
      <w:pStyle w:val="525"/>
      <w:lvlText w:val="%1"/>
      <w:lvlJc w:val="left"/>
      <w:pPr>
        <w:tabs>
          <w:tab w:val="left" w:pos="425"/>
        </w:tabs>
        <w:ind w:left="425" w:hanging="425"/>
      </w:pPr>
      <w:rPr>
        <w:rFonts w:hint="eastAsia"/>
      </w:rPr>
    </w:lvl>
    <w:lvl w:ilvl="1" w:tentative="0">
      <w:start w:val="1"/>
      <w:numFmt w:val="chineseCountingThousand"/>
      <w:lvlText w:val="(%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5B4DB846"/>
    <w:multiLevelType w:val="singleLevel"/>
    <w:tmpl w:val="5B4DB846"/>
    <w:lvl w:ilvl="0" w:tentative="0">
      <w:start w:val="6"/>
      <w:numFmt w:val="chineseCounting"/>
      <w:pStyle w:val="16"/>
      <w:suff w:val="space"/>
      <w:lvlText w:val="第%1条"/>
      <w:lvlJc w:val="left"/>
    </w:lvl>
  </w:abstractNum>
  <w:abstractNum w:abstractNumId="12">
    <w:nsid w:val="669288AD"/>
    <w:multiLevelType w:val="singleLevel"/>
    <w:tmpl w:val="669288AD"/>
    <w:lvl w:ilvl="0" w:tentative="0">
      <w:start w:val="2"/>
      <w:numFmt w:val="decimal"/>
      <w:suff w:val="nothing"/>
      <w:lvlText w:val="（%1）"/>
      <w:lvlJc w:val="left"/>
    </w:lvl>
  </w:abstractNum>
  <w:abstractNum w:abstractNumId="13">
    <w:nsid w:val="69D4D353"/>
    <w:multiLevelType w:val="singleLevel"/>
    <w:tmpl w:val="69D4D353"/>
    <w:lvl w:ilvl="0" w:tentative="0">
      <w:start w:val="1"/>
      <w:numFmt w:val="decimal"/>
      <w:suff w:val="nothing"/>
      <w:lvlText w:val="（%1）"/>
      <w:lvlJc w:val="left"/>
    </w:lvl>
  </w:abstractNum>
  <w:abstractNum w:abstractNumId="14">
    <w:nsid w:val="7E8B76FF"/>
    <w:multiLevelType w:val="multilevel"/>
    <w:tmpl w:val="7E8B76FF"/>
    <w:lvl w:ilvl="0" w:tentative="0">
      <w:start w:val="1"/>
      <w:numFmt w:val="decimal"/>
      <w:pStyle w:val="28"/>
      <w:lvlText w:val="%1、"/>
      <w:lvlJc w:val="left"/>
      <w:pPr>
        <w:tabs>
          <w:tab w:val="left" w:pos="360"/>
        </w:tabs>
        <w:ind w:left="340" w:hanging="340"/>
      </w:pPr>
      <w:rPr>
        <w:rFonts w:hint="default"/>
      </w:rPr>
    </w:lvl>
    <w:lvl w:ilvl="1" w:tentative="0">
      <w:start w:val="1"/>
      <w:numFmt w:val="decimal"/>
      <w:lvlText w:val="%2)"/>
      <w:lvlJc w:val="left"/>
      <w:pPr>
        <w:tabs>
          <w:tab w:val="left" w:pos="786"/>
        </w:tabs>
        <w:ind w:left="786" w:hanging="360"/>
      </w:pPr>
      <w:rPr>
        <w:rFonts w:hint="default"/>
        <w:color w:val="auto"/>
      </w:rPr>
    </w:lvl>
    <w:lvl w:ilvl="2" w:tentative="0">
      <w:start w:val="3"/>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4"/>
  </w:num>
  <w:num w:numId="3">
    <w:abstractNumId w:val="13"/>
  </w:num>
  <w:num w:numId="4">
    <w:abstractNumId w:val="9"/>
  </w:num>
  <w:num w:numId="5">
    <w:abstractNumId w:val="2"/>
  </w:num>
  <w:num w:numId="6">
    <w:abstractNumId w:val="1"/>
  </w:num>
  <w:num w:numId="7">
    <w:abstractNumId w:val="7"/>
  </w:num>
  <w:num w:numId="8">
    <w:abstractNumId w:val="10"/>
  </w:num>
  <w:num w:numId="9">
    <w:abstractNumId w:val="5"/>
  </w:num>
  <w:num w:numId="10">
    <w:abstractNumId w:val="8"/>
  </w:num>
  <w:num w:numId="11">
    <w:abstractNumId w:val="4"/>
  </w:num>
  <w:num w:numId="12">
    <w:abstractNumId w:val="3"/>
  </w:num>
  <w:num w:numId="13">
    <w:abstractNumId w:val="1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hyphenationZone w:val="360"/>
  <w:drawingGridHorizontalSpacing w:val="1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MDlmZjc5NjhlNzcxODhhNDYyMDVhNmE1MTU0NzgifQ=="/>
  </w:docVars>
  <w:rsids>
    <w:rsidRoot w:val="00172A27"/>
    <w:rsid w:val="0000033B"/>
    <w:rsid w:val="000004D8"/>
    <w:rsid w:val="00000A48"/>
    <w:rsid w:val="00001384"/>
    <w:rsid w:val="0000145D"/>
    <w:rsid w:val="000014AA"/>
    <w:rsid w:val="00001F26"/>
    <w:rsid w:val="0000293E"/>
    <w:rsid w:val="000031BA"/>
    <w:rsid w:val="000033DB"/>
    <w:rsid w:val="000036B5"/>
    <w:rsid w:val="00003B3D"/>
    <w:rsid w:val="00004156"/>
    <w:rsid w:val="00004AC9"/>
    <w:rsid w:val="00004D05"/>
    <w:rsid w:val="00004F7C"/>
    <w:rsid w:val="00005043"/>
    <w:rsid w:val="00005297"/>
    <w:rsid w:val="00005507"/>
    <w:rsid w:val="00005BF8"/>
    <w:rsid w:val="00006195"/>
    <w:rsid w:val="00006738"/>
    <w:rsid w:val="00007089"/>
    <w:rsid w:val="00007345"/>
    <w:rsid w:val="00007716"/>
    <w:rsid w:val="000079EA"/>
    <w:rsid w:val="00007A04"/>
    <w:rsid w:val="00007C62"/>
    <w:rsid w:val="00007DA6"/>
    <w:rsid w:val="00010367"/>
    <w:rsid w:val="0001123B"/>
    <w:rsid w:val="000112F4"/>
    <w:rsid w:val="000113B2"/>
    <w:rsid w:val="000113BF"/>
    <w:rsid w:val="00011BA9"/>
    <w:rsid w:val="000122D0"/>
    <w:rsid w:val="00012E7B"/>
    <w:rsid w:val="0001406B"/>
    <w:rsid w:val="00014400"/>
    <w:rsid w:val="000145A6"/>
    <w:rsid w:val="00014E7F"/>
    <w:rsid w:val="00015044"/>
    <w:rsid w:val="00015146"/>
    <w:rsid w:val="00015373"/>
    <w:rsid w:val="0001553F"/>
    <w:rsid w:val="000156AA"/>
    <w:rsid w:val="00015725"/>
    <w:rsid w:val="00015822"/>
    <w:rsid w:val="00015ECB"/>
    <w:rsid w:val="00016090"/>
    <w:rsid w:val="00016149"/>
    <w:rsid w:val="00016244"/>
    <w:rsid w:val="00016657"/>
    <w:rsid w:val="00016E51"/>
    <w:rsid w:val="000177BE"/>
    <w:rsid w:val="00017E79"/>
    <w:rsid w:val="00017FAD"/>
    <w:rsid w:val="00020534"/>
    <w:rsid w:val="00020BBC"/>
    <w:rsid w:val="00021475"/>
    <w:rsid w:val="00021E70"/>
    <w:rsid w:val="00021F28"/>
    <w:rsid w:val="00021FDC"/>
    <w:rsid w:val="00022434"/>
    <w:rsid w:val="00022A75"/>
    <w:rsid w:val="00022B36"/>
    <w:rsid w:val="00022F7B"/>
    <w:rsid w:val="00023124"/>
    <w:rsid w:val="0002334F"/>
    <w:rsid w:val="00023385"/>
    <w:rsid w:val="0002437D"/>
    <w:rsid w:val="0002493B"/>
    <w:rsid w:val="00024A55"/>
    <w:rsid w:val="00024BD4"/>
    <w:rsid w:val="00024E24"/>
    <w:rsid w:val="000251B9"/>
    <w:rsid w:val="000255AC"/>
    <w:rsid w:val="00026007"/>
    <w:rsid w:val="00026292"/>
    <w:rsid w:val="000267B4"/>
    <w:rsid w:val="00026ABF"/>
    <w:rsid w:val="00027107"/>
    <w:rsid w:val="0002720D"/>
    <w:rsid w:val="00027587"/>
    <w:rsid w:val="00027D04"/>
    <w:rsid w:val="00027E42"/>
    <w:rsid w:val="0003121B"/>
    <w:rsid w:val="00031793"/>
    <w:rsid w:val="00031AC9"/>
    <w:rsid w:val="00031C8B"/>
    <w:rsid w:val="00031C8E"/>
    <w:rsid w:val="00031DD4"/>
    <w:rsid w:val="00031F4C"/>
    <w:rsid w:val="00031F9D"/>
    <w:rsid w:val="00032201"/>
    <w:rsid w:val="0003229F"/>
    <w:rsid w:val="000322CF"/>
    <w:rsid w:val="00032384"/>
    <w:rsid w:val="00033203"/>
    <w:rsid w:val="000339C4"/>
    <w:rsid w:val="00033DEF"/>
    <w:rsid w:val="00033FFB"/>
    <w:rsid w:val="0003410A"/>
    <w:rsid w:val="0003466F"/>
    <w:rsid w:val="0003490A"/>
    <w:rsid w:val="00034E66"/>
    <w:rsid w:val="000351A9"/>
    <w:rsid w:val="0003573C"/>
    <w:rsid w:val="000359DE"/>
    <w:rsid w:val="00035B8C"/>
    <w:rsid w:val="00035C80"/>
    <w:rsid w:val="00036A97"/>
    <w:rsid w:val="0003759C"/>
    <w:rsid w:val="00040187"/>
    <w:rsid w:val="0004081E"/>
    <w:rsid w:val="00040A10"/>
    <w:rsid w:val="00040B47"/>
    <w:rsid w:val="000419FD"/>
    <w:rsid w:val="00041BDE"/>
    <w:rsid w:val="00041E42"/>
    <w:rsid w:val="0004217E"/>
    <w:rsid w:val="000427DE"/>
    <w:rsid w:val="00042BF1"/>
    <w:rsid w:val="00042D41"/>
    <w:rsid w:val="00043BBF"/>
    <w:rsid w:val="00044171"/>
    <w:rsid w:val="00044272"/>
    <w:rsid w:val="000444C8"/>
    <w:rsid w:val="000449CB"/>
    <w:rsid w:val="00044E06"/>
    <w:rsid w:val="0004507A"/>
    <w:rsid w:val="00045120"/>
    <w:rsid w:val="000451E8"/>
    <w:rsid w:val="0004527C"/>
    <w:rsid w:val="000461E4"/>
    <w:rsid w:val="000463B3"/>
    <w:rsid w:val="0004682F"/>
    <w:rsid w:val="00046D80"/>
    <w:rsid w:val="00047935"/>
    <w:rsid w:val="000479CD"/>
    <w:rsid w:val="00047B8E"/>
    <w:rsid w:val="00047F1B"/>
    <w:rsid w:val="00051BA1"/>
    <w:rsid w:val="00051C5B"/>
    <w:rsid w:val="00051E3C"/>
    <w:rsid w:val="00051F96"/>
    <w:rsid w:val="00052DE9"/>
    <w:rsid w:val="00053D70"/>
    <w:rsid w:val="00053F7F"/>
    <w:rsid w:val="000541E3"/>
    <w:rsid w:val="000545E2"/>
    <w:rsid w:val="000546A8"/>
    <w:rsid w:val="00054B86"/>
    <w:rsid w:val="00055978"/>
    <w:rsid w:val="000561E3"/>
    <w:rsid w:val="000564D7"/>
    <w:rsid w:val="00056A02"/>
    <w:rsid w:val="00056BD4"/>
    <w:rsid w:val="000571C6"/>
    <w:rsid w:val="00057559"/>
    <w:rsid w:val="00057573"/>
    <w:rsid w:val="00060006"/>
    <w:rsid w:val="000604BB"/>
    <w:rsid w:val="00060AA1"/>
    <w:rsid w:val="00061B6F"/>
    <w:rsid w:val="00061F9E"/>
    <w:rsid w:val="0006202C"/>
    <w:rsid w:val="00062C32"/>
    <w:rsid w:val="000637E4"/>
    <w:rsid w:val="0006396E"/>
    <w:rsid w:val="00063B2A"/>
    <w:rsid w:val="00063CB4"/>
    <w:rsid w:val="00064AB0"/>
    <w:rsid w:val="00065283"/>
    <w:rsid w:val="000652FC"/>
    <w:rsid w:val="00065C22"/>
    <w:rsid w:val="00065CBF"/>
    <w:rsid w:val="00065F1F"/>
    <w:rsid w:val="00066C42"/>
    <w:rsid w:val="00066D70"/>
    <w:rsid w:val="00066FCB"/>
    <w:rsid w:val="0006748D"/>
    <w:rsid w:val="00067973"/>
    <w:rsid w:val="00067CF6"/>
    <w:rsid w:val="00067DFE"/>
    <w:rsid w:val="00067FF3"/>
    <w:rsid w:val="00070787"/>
    <w:rsid w:val="00070DCB"/>
    <w:rsid w:val="00071F67"/>
    <w:rsid w:val="00072C3B"/>
    <w:rsid w:val="00072C8D"/>
    <w:rsid w:val="000732DB"/>
    <w:rsid w:val="0007396A"/>
    <w:rsid w:val="000739F4"/>
    <w:rsid w:val="00073C18"/>
    <w:rsid w:val="00073EE6"/>
    <w:rsid w:val="0007409C"/>
    <w:rsid w:val="000741A0"/>
    <w:rsid w:val="0007421C"/>
    <w:rsid w:val="0007533A"/>
    <w:rsid w:val="0007560D"/>
    <w:rsid w:val="00075B43"/>
    <w:rsid w:val="00077DA2"/>
    <w:rsid w:val="0008029C"/>
    <w:rsid w:val="000806E4"/>
    <w:rsid w:val="000807BB"/>
    <w:rsid w:val="00080BB6"/>
    <w:rsid w:val="00081050"/>
    <w:rsid w:val="000810B6"/>
    <w:rsid w:val="00081285"/>
    <w:rsid w:val="00081815"/>
    <w:rsid w:val="00081A68"/>
    <w:rsid w:val="00081D58"/>
    <w:rsid w:val="000821A4"/>
    <w:rsid w:val="00082411"/>
    <w:rsid w:val="000828B9"/>
    <w:rsid w:val="00082F8C"/>
    <w:rsid w:val="00083591"/>
    <w:rsid w:val="000835A2"/>
    <w:rsid w:val="00083639"/>
    <w:rsid w:val="000837B8"/>
    <w:rsid w:val="0008386F"/>
    <w:rsid w:val="00083DC1"/>
    <w:rsid w:val="000840C7"/>
    <w:rsid w:val="00084DC3"/>
    <w:rsid w:val="00085354"/>
    <w:rsid w:val="00085849"/>
    <w:rsid w:val="00085C17"/>
    <w:rsid w:val="00085F66"/>
    <w:rsid w:val="00085F9E"/>
    <w:rsid w:val="00086402"/>
    <w:rsid w:val="000867FB"/>
    <w:rsid w:val="00087168"/>
    <w:rsid w:val="00087178"/>
    <w:rsid w:val="000871F0"/>
    <w:rsid w:val="000872C7"/>
    <w:rsid w:val="00087A37"/>
    <w:rsid w:val="00090491"/>
    <w:rsid w:val="0009129F"/>
    <w:rsid w:val="0009135D"/>
    <w:rsid w:val="000917F4"/>
    <w:rsid w:val="000920E2"/>
    <w:rsid w:val="000921FA"/>
    <w:rsid w:val="000922C3"/>
    <w:rsid w:val="00092B8C"/>
    <w:rsid w:val="00092D0D"/>
    <w:rsid w:val="000931C5"/>
    <w:rsid w:val="00093438"/>
    <w:rsid w:val="000948F2"/>
    <w:rsid w:val="00094905"/>
    <w:rsid w:val="00094CA6"/>
    <w:rsid w:val="00094D9E"/>
    <w:rsid w:val="00094DCA"/>
    <w:rsid w:val="00094E96"/>
    <w:rsid w:val="00094F30"/>
    <w:rsid w:val="0009552D"/>
    <w:rsid w:val="00095DF6"/>
    <w:rsid w:val="00095F0E"/>
    <w:rsid w:val="00096BAF"/>
    <w:rsid w:val="000977FF"/>
    <w:rsid w:val="000978E8"/>
    <w:rsid w:val="00097BC7"/>
    <w:rsid w:val="00097E30"/>
    <w:rsid w:val="000A064E"/>
    <w:rsid w:val="000A0861"/>
    <w:rsid w:val="000A0979"/>
    <w:rsid w:val="000A0A86"/>
    <w:rsid w:val="000A1B6B"/>
    <w:rsid w:val="000A1C7A"/>
    <w:rsid w:val="000A1DB9"/>
    <w:rsid w:val="000A1F95"/>
    <w:rsid w:val="000A22E0"/>
    <w:rsid w:val="000A37D9"/>
    <w:rsid w:val="000A427B"/>
    <w:rsid w:val="000A5080"/>
    <w:rsid w:val="000A5107"/>
    <w:rsid w:val="000A5697"/>
    <w:rsid w:val="000A5857"/>
    <w:rsid w:val="000A58F0"/>
    <w:rsid w:val="000A5AD3"/>
    <w:rsid w:val="000A5B72"/>
    <w:rsid w:val="000A5F92"/>
    <w:rsid w:val="000A648B"/>
    <w:rsid w:val="000A6D3C"/>
    <w:rsid w:val="000A6F71"/>
    <w:rsid w:val="000A70FF"/>
    <w:rsid w:val="000A74D3"/>
    <w:rsid w:val="000A7ECF"/>
    <w:rsid w:val="000A7F63"/>
    <w:rsid w:val="000B0338"/>
    <w:rsid w:val="000B04A8"/>
    <w:rsid w:val="000B0C76"/>
    <w:rsid w:val="000B132D"/>
    <w:rsid w:val="000B13DB"/>
    <w:rsid w:val="000B145F"/>
    <w:rsid w:val="000B211C"/>
    <w:rsid w:val="000B236E"/>
    <w:rsid w:val="000B2756"/>
    <w:rsid w:val="000B3481"/>
    <w:rsid w:val="000B3909"/>
    <w:rsid w:val="000B3AED"/>
    <w:rsid w:val="000B3FF8"/>
    <w:rsid w:val="000B429E"/>
    <w:rsid w:val="000B56C1"/>
    <w:rsid w:val="000B5759"/>
    <w:rsid w:val="000B5D35"/>
    <w:rsid w:val="000B61F5"/>
    <w:rsid w:val="000B6345"/>
    <w:rsid w:val="000B668E"/>
    <w:rsid w:val="000B682D"/>
    <w:rsid w:val="000B694F"/>
    <w:rsid w:val="000B6B79"/>
    <w:rsid w:val="000B72C4"/>
    <w:rsid w:val="000B742F"/>
    <w:rsid w:val="000B7F0F"/>
    <w:rsid w:val="000B7FD1"/>
    <w:rsid w:val="000C07BA"/>
    <w:rsid w:val="000C0FCF"/>
    <w:rsid w:val="000C104B"/>
    <w:rsid w:val="000C1875"/>
    <w:rsid w:val="000C1D23"/>
    <w:rsid w:val="000C29A0"/>
    <w:rsid w:val="000C2DA6"/>
    <w:rsid w:val="000C2FE8"/>
    <w:rsid w:val="000C3106"/>
    <w:rsid w:val="000C39A6"/>
    <w:rsid w:val="000C407F"/>
    <w:rsid w:val="000C4728"/>
    <w:rsid w:val="000C4965"/>
    <w:rsid w:val="000C4B4C"/>
    <w:rsid w:val="000C4F9C"/>
    <w:rsid w:val="000C52E5"/>
    <w:rsid w:val="000C5989"/>
    <w:rsid w:val="000C5992"/>
    <w:rsid w:val="000C5BC6"/>
    <w:rsid w:val="000C5C86"/>
    <w:rsid w:val="000C66C4"/>
    <w:rsid w:val="000C673C"/>
    <w:rsid w:val="000C6D36"/>
    <w:rsid w:val="000C7D7E"/>
    <w:rsid w:val="000D041A"/>
    <w:rsid w:val="000D0C5F"/>
    <w:rsid w:val="000D1B62"/>
    <w:rsid w:val="000D1BAD"/>
    <w:rsid w:val="000D276F"/>
    <w:rsid w:val="000D27B9"/>
    <w:rsid w:val="000D2D6D"/>
    <w:rsid w:val="000D31D2"/>
    <w:rsid w:val="000D3815"/>
    <w:rsid w:val="000D397B"/>
    <w:rsid w:val="000D3999"/>
    <w:rsid w:val="000D4302"/>
    <w:rsid w:val="000D4367"/>
    <w:rsid w:val="000D47D4"/>
    <w:rsid w:val="000D496A"/>
    <w:rsid w:val="000D4B38"/>
    <w:rsid w:val="000D4F7D"/>
    <w:rsid w:val="000D4F89"/>
    <w:rsid w:val="000D531F"/>
    <w:rsid w:val="000D5598"/>
    <w:rsid w:val="000D59BD"/>
    <w:rsid w:val="000D5A0D"/>
    <w:rsid w:val="000D6224"/>
    <w:rsid w:val="000D65DD"/>
    <w:rsid w:val="000D6D96"/>
    <w:rsid w:val="000D7621"/>
    <w:rsid w:val="000D7827"/>
    <w:rsid w:val="000D7CE2"/>
    <w:rsid w:val="000D7F19"/>
    <w:rsid w:val="000E0FC8"/>
    <w:rsid w:val="000E1CEA"/>
    <w:rsid w:val="000E2758"/>
    <w:rsid w:val="000E2AA6"/>
    <w:rsid w:val="000E2B76"/>
    <w:rsid w:val="000E2C5A"/>
    <w:rsid w:val="000E2EE2"/>
    <w:rsid w:val="000E3457"/>
    <w:rsid w:val="000E365C"/>
    <w:rsid w:val="000E3B73"/>
    <w:rsid w:val="000E3C04"/>
    <w:rsid w:val="000E3DE6"/>
    <w:rsid w:val="000E49C8"/>
    <w:rsid w:val="000E4C43"/>
    <w:rsid w:val="000E58B8"/>
    <w:rsid w:val="000E5AEA"/>
    <w:rsid w:val="000E5C7B"/>
    <w:rsid w:val="000E6E4B"/>
    <w:rsid w:val="000E72B3"/>
    <w:rsid w:val="000E7925"/>
    <w:rsid w:val="000E7B98"/>
    <w:rsid w:val="000F0799"/>
    <w:rsid w:val="000F0F69"/>
    <w:rsid w:val="000F21B9"/>
    <w:rsid w:val="000F22DD"/>
    <w:rsid w:val="000F2761"/>
    <w:rsid w:val="000F286D"/>
    <w:rsid w:val="000F35D4"/>
    <w:rsid w:val="000F4E93"/>
    <w:rsid w:val="000F4FB2"/>
    <w:rsid w:val="000F537F"/>
    <w:rsid w:val="000F557C"/>
    <w:rsid w:val="000F5791"/>
    <w:rsid w:val="000F60CF"/>
    <w:rsid w:val="000F64E9"/>
    <w:rsid w:val="000F7161"/>
    <w:rsid w:val="000F7666"/>
    <w:rsid w:val="000F7B5B"/>
    <w:rsid w:val="000F7D1C"/>
    <w:rsid w:val="000F7EDC"/>
    <w:rsid w:val="001002E5"/>
    <w:rsid w:val="001006A2"/>
    <w:rsid w:val="00100C14"/>
    <w:rsid w:val="0010143B"/>
    <w:rsid w:val="00101670"/>
    <w:rsid w:val="00101956"/>
    <w:rsid w:val="00101A85"/>
    <w:rsid w:val="00101D6C"/>
    <w:rsid w:val="0010230B"/>
    <w:rsid w:val="001025F8"/>
    <w:rsid w:val="001026AB"/>
    <w:rsid w:val="001028C1"/>
    <w:rsid w:val="001028E9"/>
    <w:rsid w:val="00102F08"/>
    <w:rsid w:val="00103335"/>
    <w:rsid w:val="00103D0D"/>
    <w:rsid w:val="00104291"/>
    <w:rsid w:val="0010453C"/>
    <w:rsid w:val="00104C62"/>
    <w:rsid w:val="001053CD"/>
    <w:rsid w:val="0010609D"/>
    <w:rsid w:val="00106E59"/>
    <w:rsid w:val="001078B6"/>
    <w:rsid w:val="00107F3C"/>
    <w:rsid w:val="0011074A"/>
    <w:rsid w:val="00110C8C"/>
    <w:rsid w:val="00110E26"/>
    <w:rsid w:val="00111279"/>
    <w:rsid w:val="001115F8"/>
    <w:rsid w:val="0011162B"/>
    <w:rsid w:val="001120DC"/>
    <w:rsid w:val="0011295D"/>
    <w:rsid w:val="00112EC1"/>
    <w:rsid w:val="00113510"/>
    <w:rsid w:val="001135C9"/>
    <w:rsid w:val="00113D18"/>
    <w:rsid w:val="001141BF"/>
    <w:rsid w:val="001146E7"/>
    <w:rsid w:val="00114788"/>
    <w:rsid w:val="001149CF"/>
    <w:rsid w:val="00114AA2"/>
    <w:rsid w:val="00115A04"/>
    <w:rsid w:val="0011623A"/>
    <w:rsid w:val="0011650B"/>
    <w:rsid w:val="00116FBB"/>
    <w:rsid w:val="0011709A"/>
    <w:rsid w:val="00117224"/>
    <w:rsid w:val="0011724A"/>
    <w:rsid w:val="00117A79"/>
    <w:rsid w:val="00117C2A"/>
    <w:rsid w:val="00117EB4"/>
    <w:rsid w:val="00121175"/>
    <w:rsid w:val="00121953"/>
    <w:rsid w:val="00121C23"/>
    <w:rsid w:val="001225A6"/>
    <w:rsid w:val="00122A49"/>
    <w:rsid w:val="00122E40"/>
    <w:rsid w:val="0012334E"/>
    <w:rsid w:val="001233FC"/>
    <w:rsid w:val="00123F1F"/>
    <w:rsid w:val="00124062"/>
    <w:rsid w:val="00124D05"/>
    <w:rsid w:val="00124EF1"/>
    <w:rsid w:val="00125571"/>
    <w:rsid w:val="00125903"/>
    <w:rsid w:val="00125A9F"/>
    <w:rsid w:val="00125B8B"/>
    <w:rsid w:val="00125CCB"/>
    <w:rsid w:val="001264E3"/>
    <w:rsid w:val="0012672B"/>
    <w:rsid w:val="00126B39"/>
    <w:rsid w:val="001274AC"/>
    <w:rsid w:val="0012755A"/>
    <w:rsid w:val="00127EA3"/>
    <w:rsid w:val="001303FB"/>
    <w:rsid w:val="001304D7"/>
    <w:rsid w:val="00130AC3"/>
    <w:rsid w:val="00130D20"/>
    <w:rsid w:val="00130EBF"/>
    <w:rsid w:val="001310D2"/>
    <w:rsid w:val="00132314"/>
    <w:rsid w:val="00132865"/>
    <w:rsid w:val="00132A88"/>
    <w:rsid w:val="00132B3D"/>
    <w:rsid w:val="00132C37"/>
    <w:rsid w:val="00132FAC"/>
    <w:rsid w:val="00133656"/>
    <w:rsid w:val="00133EAC"/>
    <w:rsid w:val="001340AF"/>
    <w:rsid w:val="00134231"/>
    <w:rsid w:val="001344D2"/>
    <w:rsid w:val="00134805"/>
    <w:rsid w:val="00134825"/>
    <w:rsid w:val="00134C60"/>
    <w:rsid w:val="00134EE3"/>
    <w:rsid w:val="00135440"/>
    <w:rsid w:val="001357B0"/>
    <w:rsid w:val="00135CA5"/>
    <w:rsid w:val="00136169"/>
    <w:rsid w:val="00136BC0"/>
    <w:rsid w:val="00137754"/>
    <w:rsid w:val="00137ADF"/>
    <w:rsid w:val="00137E4B"/>
    <w:rsid w:val="001400E8"/>
    <w:rsid w:val="0014058A"/>
    <w:rsid w:val="00140C5B"/>
    <w:rsid w:val="00141CF9"/>
    <w:rsid w:val="00141DFE"/>
    <w:rsid w:val="00142637"/>
    <w:rsid w:val="00142706"/>
    <w:rsid w:val="0014313F"/>
    <w:rsid w:val="00144346"/>
    <w:rsid w:val="0014446F"/>
    <w:rsid w:val="0014494B"/>
    <w:rsid w:val="001451E9"/>
    <w:rsid w:val="00145C78"/>
    <w:rsid w:val="00145D49"/>
    <w:rsid w:val="001460CA"/>
    <w:rsid w:val="001465D5"/>
    <w:rsid w:val="00146683"/>
    <w:rsid w:val="001467F4"/>
    <w:rsid w:val="00146A96"/>
    <w:rsid w:val="00146ADE"/>
    <w:rsid w:val="00146D65"/>
    <w:rsid w:val="00146E1B"/>
    <w:rsid w:val="001474EC"/>
    <w:rsid w:val="00147556"/>
    <w:rsid w:val="00147650"/>
    <w:rsid w:val="001479ED"/>
    <w:rsid w:val="00147E70"/>
    <w:rsid w:val="00147F69"/>
    <w:rsid w:val="00150960"/>
    <w:rsid w:val="00151435"/>
    <w:rsid w:val="00151A10"/>
    <w:rsid w:val="0015220A"/>
    <w:rsid w:val="0015293F"/>
    <w:rsid w:val="001529C8"/>
    <w:rsid w:val="00153024"/>
    <w:rsid w:val="0015371A"/>
    <w:rsid w:val="001539C6"/>
    <w:rsid w:val="00153B6D"/>
    <w:rsid w:val="00153D6C"/>
    <w:rsid w:val="00153ED3"/>
    <w:rsid w:val="00154196"/>
    <w:rsid w:val="00154326"/>
    <w:rsid w:val="001543BD"/>
    <w:rsid w:val="0015503D"/>
    <w:rsid w:val="0015505E"/>
    <w:rsid w:val="001551AD"/>
    <w:rsid w:val="0015540A"/>
    <w:rsid w:val="00155433"/>
    <w:rsid w:val="001559AE"/>
    <w:rsid w:val="00155FEA"/>
    <w:rsid w:val="00156123"/>
    <w:rsid w:val="001561D0"/>
    <w:rsid w:val="0015639B"/>
    <w:rsid w:val="0015664E"/>
    <w:rsid w:val="00156D8D"/>
    <w:rsid w:val="001570B7"/>
    <w:rsid w:val="00157C10"/>
    <w:rsid w:val="001608D2"/>
    <w:rsid w:val="0016105B"/>
    <w:rsid w:val="00161207"/>
    <w:rsid w:val="00161B8F"/>
    <w:rsid w:val="00161BE9"/>
    <w:rsid w:val="00161CAF"/>
    <w:rsid w:val="0016297E"/>
    <w:rsid w:val="0016319F"/>
    <w:rsid w:val="00163830"/>
    <w:rsid w:val="00163B8C"/>
    <w:rsid w:val="00163E58"/>
    <w:rsid w:val="00164D33"/>
    <w:rsid w:val="001654BE"/>
    <w:rsid w:val="00165927"/>
    <w:rsid w:val="00165C5F"/>
    <w:rsid w:val="00165E7B"/>
    <w:rsid w:val="00166235"/>
    <w:rsid w:val="001666F0"/>
    <w:rsid w:val="0016682D"/>
    <w:rsid w:val="0016747D"/>
    <w:rsid w:val="00167BE8"/>
    <w:rsid w:val="00170B25"/>
    <w:rsid w:val="00170E71"/>
    <w:rsid w:val="001716A2"/>
    <w:rsid w:val="001716E1"/>
    <w:rsid w:val="00172134"/>
    <w:rsid w:val="001722E3"/>
    <w:rsid w:val="0017378F"/>
    <w:rsid w:val="00173AD1"/>
    <w:rsid w:val="00173B61"/>
    <w:rsid w:val="001740B8"/>
    <w:rsid w:val="00174562"/>
    <w:rsid w:val="001747F1"/>
    <w:rsid w:val="001758AF"/>
    <w:rsid w:val="001759C2"/>
    <w:rsid w:val="00176209"/>
    <w:rsid w:val="001769D4"/>
    <w:rsid w:val="00176F3C"/>
    <w:rsid w:val="0017742F"/>
    <w:rsid w:val="00177CEB"/>
    <w:rsid w:val="00177E34"/>
    <w:rsid w:val="0018028F"/>
    <w:rsid w:val="00180932"/>
    <w:rsid w:val="0018094A"/>
    <w:rsid w:val="001816DA"/>
    <w:rsid w:val="001819D3"/>
    <w:rsid w:val="00181FCD"/>
    <w:rsid w:val="001824B6"/>
    <w:rsid w:val="00182556"/>
    <w:rsid w:val="00182710"/>
    <w:rsid w:val="001830BD"/>
    <w:rsid w:val="00183346"/>
    <w:rsid w:val="0018339C"/>
    <w:rsid w:val="00183808"/>
    <w:rsid w:val="00183A52"/>
    <w:rsid w:val="00183B9D"/>
    <w:rsid w:val="001840E3"/>
    <w:rsid w:val="00184966"/>
    <w:rsid w:val="00184D80"/>
    <w:rsid w:val="00186C70"/>
    <w:rsid w:val="00187135"/>
    <w:rsid w:val="00187648"/>
    <w:rsid w:val="00187AE6"/>
    <w:rsid w:val="00190327"/>
    <w:rsid w:val="00190545"/>
    <w:rsid w:val="0019077E"/>
    <w:rsid w:val="00190DE1"/>
    <w:rsid w:val="001920B2"/>
    <w:rsid w:val="0019253B"/>
    <w:rsid w:val="00192BBA"/>
    <w:rsid w:val="00192F22"/>
    <w:rsid w:val="00193399"/>
    <w:rsid w:val="0019341B"/>
    <w:rsid w:val="001934ED"/>
    <w:rsid w:val="00193DED"/>
    <w:rsid w:val="00193F95"/>
    <w:rsid w:val="00194157"/>
    <w:rsid w:val="0019469A"/>
    <w:rsid w:val="001947F9"/>
    <w:rsid w:val="00194A7F"/>
    <w:rsid w:val="00194AF1"/>
    <w:rsid w:val="00194BE6"/>
    <w:rsid w:val="00194F5F"/>
    <w:rsid w:val="0019508D"/>
    <w:rsid w:val="001959BB"/>
    <w:rsid w:val="00195B8A"/>
    <w:rsid w:val="00196675"/>
    <w:rsid w:val="001966CB"/>
    <w:rsid w:val="001967D7"/>
    <w:rsid w:val="0019690B"/>
    <w:rsid w:val="00196EC7"/>
    <w:rsid w:val="00196F8D"/>
    <w:rsid w:val="001970E5"/>
    <w:rsid w:val="001971A3"/>
    <w:rsid w:val="00197877"/>
    <w:rsid w:val="00197B44"/>
    <w:rsid w:val="00197B87"/>
    <w:rsid w:val="001A021D"/>
    <w:rsid w:val="001A0683"/>
    <w:rsid w:val="001A08D7"/>
    <w:rsid w:val="001A0C41"/>
    <w:rsid w:val="001A1877"/>
    <w:rsid w:val="001A190D"/>
    <w:rsid w:val="001A1B5B"/>
    <w:rsid w:val="001A1CB4"/>
    <w:rsid w:val="001A2173"/>
    <w:rsid w:val="001A2337"/>
    <w:rsid w:val="001A27B5"/>
    <w:rsid w:val="001A2B08"/>
    <w:rsid w:val="001A2DF5"/>
    <w:rsid w:val="001A3B70"/>
    <w:rsid w:val="001A3CCD"/>
    <w:rsid w:val="001A3E41"/>
    <w:rsid w:val="001A41CE"/>
    <w:rsid w:val="001A4283"/>
    <w:rsid w:val="001A4826"/>
    <w:rsid w:val="001A48FA"/>
    <w:rsid w:val="001A4A94"/>
    <w:rsid w:val="001A4B1A"/>
    <w:rsid w:val="001A4FFB"/>
    <w:rsid w:val="001A50E9"/>
    <w:rsid w:val="001A5442"/>
    <w:rsid w:val="001A5889"/>
    <w:rsid w:val="001A59EE"/>
    <w:rsid w:val="001A71D4"/>
    <w:rsid w:val="001A7229"/>
    <w:rsid w:val="001A72AC"/>
    <w:rsid w:val="001A77B4"/>
    <w:rsid w:val="001A7CB5"/>
    <w:rsid w:val="001A7E84"/>
    <w:rsid w:val="001B06B2"/>
    <w:rsid w:val="001B09FA"/>
    <w:rsid w:val="001B0B5C"/>
    <w:rsid w:val="001B15DA"/>
    <w:rsid w:val="001B1BAF"/>
    <w:rsid w:val="001B2047"/>
    <w:rsid w:val="001B20A4"/>
    <w:rsid w:val="001B28AB"/>
    <w:rsid w:val="001B2A24"/>
    <w:rsid w:val="001B30F4"/>
    <w:rsid w:val="001B3519"/>
    <w:rsid w:val="001B3C94"/>
    <w:rsid w:val="001B3DAA"/>
    <w:rsid w:val="001B3E51"/>
    <w:rsid w:val="001B3F27"/>
    <w:rsid w:val="001B3FD4"/>
    <w:rsid w:val="001B5552"/>
    <w:rsid w:val="001B5B2A"/>
    <w:rsid w:val="001B5BAA"/>
    <w:rsid w:val="001B5D39"/>
    <w:rsid w:val="001B678D"/>
    <w:rsid w:val="001B69A3"/>
    <w:rsid w:val="001B6BDC"/>
    <w:rsid w:val="001B6C92"/>
    <w:rsid w:val="001B6DE9"/>
    <w:rsid w:val="001B6ED8"/>
    <w:rsid w:val="001B7427"/>
    <w:rsid w:val="001B76D7"/>
    <w:rsid w:val="001B7ABA"/>
    <w:rsid w:val="001B7AF6"/>
    <w:rsid w:val="001B7C22"/>
    <w:rsid w:val="001B7E2A"/>
    <w:rsid w:val="001C090D"/>
    <w:rsid w:val="001C0E9C"/>
    <w:rsid w:val="001C1293"/>
    <w:rsid w:val="001C1473"/>
    <w:rsid w:val="001C1580"/>
    <w:rsid w:val="001C169B"/>
    <w:rsid w:val="001C18F7"/>
    <w:rsid w:val="001C1986"/>
    <w:rsid w:val="001C1B85"/>
    <w:rsid w:val="001C20EC"/>
    <w:rsid w:val="001C2161"/>
    <w:rsid w:val="001C22DE"/>
    <w:rsid w:val="001C2749"/>
    <w:rsid w:val="001C3A04"/>
    <w:rsid w:val="001C3A45"/>
    <w:rsid w:val="001C3E5D"/>
    <w:rsid w:val="001C3E96"/>
    <w:rsid w:val="001C4066"/>
    <w:rsid w:val="001C46A5"/>
    <w:rsid w:val="001C54B1"/>
    <w:rsid w:val="001C5880"/>
    <w:rsid w:val="001C5B48"/>
    <w:rsid w:val="001C61D9"/>
    <w:rsid w:val="001C6626"/>
    <w:rsid w:val="001C69D5"/>
    <w:rsid w:val="001C6DF8"/>
    <w:rsid w:val="001C6EF2"/>
    <w:rsid w:val="001C76FD"/>
    <w:rsid w:val="001D01E1"/>
    <w:rsid w:val="001D0505"/>
    <w:rsid w:val="001D064E"/>
    <w:rsid w:val="001D07B4"/>
    <w:rsid w:val="001D0C2C"/>
    <w:rsid w:val="001D11E3"/>
    <w:rsid w:val="001D1627"/>
    <w:rsid w:val="001D1752"/>
    <w:rsid w:val="001D1BB4"/>
    <w:rsid w:val="001D1DCB"/>
    <w:rsid w:val="001D1EAE"/>
    <w:rsid w:val="001D26F2"/>
    <w:rsid w:val="001D2841"/>
    <w:rsid w:val="001D28E3"/>
    <w:rsid w:val="001D2C03"/>
    <w:rsid w:val="001D2D8E"/>
    <w:rsid w:val="001D30DA"/>
    <w:rsid w:val="001D3333"/>
    <w:rsid w:val="001D3511"/>
    <w:rsid w:val="001D3DFE"/>
    <w:rsid w:val="001D40EB"/>
    <w:rsid w:val="001D4189"/>
    <w:rsid w:val="001D41B8"/>
    <w:rsid w:val="001D4661"/>
    <w:rsid w:val="001D4F58"/>
    <w:rsid w:val="001D57A3"/>
    <w:rsid w:val="001D7893"/>
    <w:rsid w:val="001D7955"/>
    <w:rsid w:val="001D7FFA"/>
    <w:rsid w:val="001E00B8"/>
    <w:rsid w:val="001E014A"/>
    <w:rsid w:val="001E02B7"/>
    <w:rsid w:val="001E06ED"/>
    <w:rsid w:val="001E0DDD"/>
    <w:rsid w:val="001E1342"/>
    <w:rsid w:val="001E15F4"/>
    <w:rsid w:val="001E2119"/>
    <w:rsid w:val="001E2459"/>
    <w:rsid w:val="001E2B06"/>
    <w:rsid w:val="001E3252"/>
    <w:rsid w:val="001E34A2"/>
    <w:rsid w:val="001E35EE"/>
    <w:rsid w:val="001E3CDE"/>
    <w:rsid w:val="001E40E8"/>
    <w:rsid w:val="001E42A1"/>
    <w:rsid w:val="001E44F1"/>
    <w:rsid w:val="001E4E9C"/>
    <w:rsid w:val="001E508C"/>
    <w:rsid w:val="001E5261"/>
    <w:rsid w:val="001E540A"/>
    <w:rsid w:val="001E5438"/>
    <w:rsid w:val="001E64FE"/>
    <w:rsid w:val="001E65A9"/>
    <w:rsid w:val="001E7348"/>
    <w:rsid w:val="001E79C4"/>
    <w:rsid w:val="001F01E1"/>
    <w:rsid w:val="001F07CF"/>
    <w:rsid w:val="001F1035"/>
    <w:rsid w:val="001F1193"/>
    <w:rsid w:val="001F11C1"/>
    <w:rsid w:val="001F15C8"/>
    <w:rsid w:val="001F1602"/>
    <w:rsid w:val="001F1C1B"/>
    <w:rsid w:val="001F232D"/>
    <w:rsid w:val="001F24BB"/>
    <w:rsid w:val="001F2975"/>
    <w:rsid w:val="001F2C6F"/>
    <w:rsid w:val="001F34BE"/>
    <w:rsid w:val="001F3533"/>
    <w:rsid w:val="001F37E2"/>
    <w:rsid w:val="001F3CB0"/>
    <w:rsid w:val="001F3D36"/>
    <w:rsid w:val="001F47AA"/>
    <w:rsid w:val="001F4D8F"/>
    <w:rsid w:val="001F521D"/>
    <w:rsid w:val="001F52E6"/>
    <w:rsid w:val="001F5319"/>
    <w:rsid w:val="001F5929"/>
    <w:rsid w:val="001F5B00"/>
    <w:rsid w:val="001F5B76"/>
    <w:rsid w:val="001F5C63"/>
    <w:rsid w:val="001F63E1"/>
    <w:rsid w:val="001F670B"/>
    <w:rsid w:val="001F67D3"/>
    <w:rsid w:val="001F6A34"/>
    <w:rsid w:val="001F6B45"/>
    <w:rsid w:val="001F7496"/>
    <w:rsid w:val="001F74E7"/>
    <w:rsid w:val="001F7574"/>
    <w:rsid w:val="001F78F7"/>
    <w:rsid w:val="001F7E39"/>
    <w:rsid w:val="0020002B"/>
    <w:rsid w:val="00200170"/>
    <w:rsid w:val="002008E3"/>
    <w:rsid w:val="00200BCA"/>
    <w:rsid w:val="002029B6"/>
    <w:rsid w:val="00202B16"/>
    <w:rsid w:val="00202B3A"/>
    <w:rsid w:val="002032B9"/>
    <w:rsid w:val="00203452"/>
    <w:rsid w:val="002034F8"/>
    <w:rsid w:val="002038BC"/>
    <w:rsid w:val="0020393D"/>
    <w:rsid w:val="00204295"/>
    <w:rsid w:val="00204A86"/>
    <w:rsid w:val="002053F8"/>
    <w:rsid w:val="002065E4"/>
    <w:rsid w:val="002066F0"/>
    <w:rsid w:val="00206956"/>
    <w:rsid w:val="00206C78"/>
    <w:rsid w:val="00207144"/>
    <w:rsid w:val="00207811"/>
    <w:rsid w:val="00210054"/>
    <w:rsid w:val="00210A39"/>
    <w:rsid w:val="002110C0"/>
    <w:rsid w:val="00211E92"/>
    <w:rsid w:val="0021203A"/>
    <w:rsid w:val="002120C8"/>
    <w:rsid w:val="002125C7"/>
    <w:rsid w:val="002127A0"/>
    <w:rsid w:val="00212AAC"/>
    <w:rsid w:val="00212B17"/>
    <w:rsid w:val="00212E5F"/>
    <w:rsid w:val="00213396"/>
    <w:rsid w:val="002138D4"/>
    <w:rsid w:val="00213961"/>
    <w:rsid w:val="00213EE7"/>
    <w:rsid w:val="0021434F"/>
    <w:rsid w:val="00214446"/>
    <w:rsid w:val="00214A1F"/>
    <w:rsid w:val="00215D1A"/>
    <w:rsid w:val="00216122"/>
    <w:rsid w:val="00216409"/>
    <w:rsid w:val="002164BF"/>
    <w:rsid w:val="00216C64"/>
    <w:rsid w:val="00216D2F"/>
    <w:rsid w:val="00216FC8"/>
    <w:rsid w:val="002172D3"/>
    <w:rsid w:val="00217358"/>
    <w:rsid w:val="0021777E"/>
    <w:rsid w:val="002178FF"/>
    <w:rsid w:val="00217ACE"/>
    <w:rsid w:val="00217F20"/>
    <w:rsid w:val="002202D0"/>
    <w:rsid w:val="002203F0"/>
    <w:rsid w:val="0022087F"/>
    <w:rsid w:val="00220C9D"/>
    <w:rsid w:val="00220F3F"/>
    <w:rsid w:val="00221182"/>
    <w:rsid w:val="00222D4E"/>
    <w:rsid w:val="00223044"/>
    <w:rsid w:val="0022323C"/>
    <w:rsid w:val="0022349F"/>
    <w:rsid w:val="00224917"/>
    <w:rsid w:val="00224AC7"/>
    <w:rsid w:val="00225269"/>
    <w:rsid w:val="00225455"/>
    <w:rsid w:val="002256BE"/>
    <w:rsid w:val="0022584A"/>
    <w:rsid w:val="00225C66"/>
    <w:rsid w:val="00225D97"/>
    <w:rsid w:val="00226138"/>
    <w:rsid w:val="002261E5"/>
    <w:rsid w:val="00226212"/>
    <w:rsid w:val="00226826"/>
    <w:rsid w:val="00226A5B"/>
    <w:rsid w:val="00226F23"/>
    <w:rsid w:val="0023013E"/>
    <w:rsid w:val="0023068A"/>
    <w:rsid w:val="00230CC3"/>
    <w:rsid w:val="00231285"/>
    <w:rsid w:val="00231A87"/>
    <w:rsid w:val="002325AF"/>
    <w:rsid w:val="0023263C"/>
    <w:rsid w:val="00232718"/>
    <w:rsid w:val="00232F45"/>
    <w:rsid w:val="002333A2"/>
    <w:rsid w:val="00233625"/>
    <w:rsid w:val="00233F1B"/>
    <w:rsid w:val="0023434A"/>
    <w:rsid w:val="002344CC"/>
    <w:rsid w:val="00235096"/>
    <w:rsid w:val="0023526E"/>
    <w:rsid w:val="002352FC"/>
    <w:rsid w:val="002354ED"/>
    <w:rsid w:val="002360ED"/>
    <w:rsid w:val="00236134"/>
    <w:rsid w:val="00236339"/>
    <w:rsid w:val="00236395"/>
    <w:rsid w:val="00236417"/>
    <w:rsid w:val="0023674E"/>
    <w:rsid w:val="00236B88"/>
    <w:rsid w:val="00236C3C"/>
    <w:rsid w:val="00236C6B"/>
    <w:rsid w:val="00236D19"/>
    <w:rsid w:val="00236F67"/>
    <w:rsid w:val="0023767C"/>
    <w:rsid w:val="0024033F"/>
    <w:rsid w:val="002404CE"/>
    <w:rsid w:val="002407E7"/>
    <w:rsid w:val="002413BD"/>
    <w:rsid w:val="00241B3B"/>
    <w:rsid w:val="00241BF8"/>
    <w:rsid w:val="002423E4"/>
    <w:rsid w:val="00242974"/>
    <w:rsid w:val="00242B37"/>
    <w:rsid w:val="002431FC"/>
    <w:rsid w:val="002436F8"/>
    <w:rsid w:val="002437B4"/>
    <w:rsid w:val="00243A3C"/>
    <w:rsid w:val="00243AD4"/>
    <w:rsid w:val="002455F3"/>
    <w:rsid w:val="00245A7D"/>
    <w:rsid w:val="002460A3"/>
    <w:rsid w:val="00246132"/>
    <w:rsid w:val="0024624E"/>
    <w:rsid w:val="00246611"/>
    <w:rsid w:val="00246B70"/>
    <w:rsid w:val="00246B93"/>
    <w:rsid w:val="002472DD"/>
    <w:rsid w:val="00247706"/>
    <w:rsid w:val="002506A4"/>
    <w:rsid w:val="0025135E"/>
    <w:rsid w:val="002514E0"/>
    <w:rsid w:val="00251CA1"/>
    <w:rsid w:val="00251FD0"/>
    <w:rsid w:val="002520B4"/>
    <w:rsid w:val="0025317D"/>
    <w:rsid w:val="002538C5"/>
    <w:rsid w:val="0025396F"/>
    <w:rsid w:val="0025559B"/>
    <w:rsid w:val="00255E38"/>
    <w:rsid w:val="00256232"/>
    <w:rsid w:val="002565CC"/>
    <w:rsid w:val="00256A9A"/>
    <w:rsid w:val="00256D60"/>
    <w:rsid w:val="00256DAC"/>
    <w:rsid w:val="002571AD"/>
    <w:rsid w:val="00257372"/>
    <w:rsid w:val="00257AF2"/>
    <w:rsid w:val="00257BD0"/>
    <w:rsid w:val="002603A7"/>
    <w:rsid w:val="0026057C"/>
    <w:rsid w:val="00260707"/>
    <w:rsid w:val="002607A9"/>
    <w:rsid w:val="00260A35"/>
    <w:rsid w:val="00260A7E"/>
    <w:rsid w:val="00260AB5"/>
    <w:rsid w:val="0026121B"/>
    <w:rsid w:val="002619EC"/>
    <w:rsid w:val="00261D77"/>
    <w:rsid w:val="00262898"/>
    <w:rsid w:val="00262A2F"/>
    <w:rsid w:val="00263074"/>
    <w:rsid w:val="0026325B"/>
    <w:rsid w:val="002639C5"/>
    <w:rsid w:val="00263DB5"/>
    <w:rsid w:val="00263ED5"/>
    <w:rsid w:val="0026440F"/>
    <w:rsid w:val="0026465B"/>
    <w:rsid w:val="0026471C"/>
    <w:rsid w:val="00264744"/>
    <w:rsid w:val="00265577"/>
    <w:rsid w:val="0026599D"/>
    <w:rsid w:val="002665F6"/>
    <w:rsid w:val="0026678E"/>
    <w:rsid w:val="00266951"/>
    <w:rsid w:val="00266E3E"/>
    <w:rsid w:val="002674DC"/>
    <w:rsid w:val="00267BD4"/>
    <w:rsid w:val="00267D7F"/>
    <w:rsid w:val="002701FC"/>
    <w:rsid w:val="0027043B"/>
    <w:rsid w:val="0027062F"/>
    <w:rsid w:val="00270633"/>
    <w:rsid w:val="0027073B"/>
    <w:rsid w:val="00270BA6"/>
    <w:rsid w:val="00270FD2"/>
    <w:rsid w:val="00271261"/>
    <w:rsid w:val="00271AC0"/>
    <w:rsid w:val="00271EBF"/>
    <w:rsid w:val="00272000"/>
    <w:rsid w:val="00272D7B"/>
    <w:rsid w:val="00273894"/>
    <w:rsid w:val="00274771"/>
    <w:rsid w:val="00274AB0"/>
    <w:rsid w:val="00274B6C"/>
    <w:rsid w:val="00274C88"/>
    <w:rsid w:val="00275014"/>
    <w:rsid w:val="00275848"/>
    <w:rsid w:val="002759C8"/>
    <w:rsid w:val="00275AF0"/>
    <w:rsid w:val="00276377"/>
    <w:rsid w:val="002765F2"/>
    <w:rsid w:val="00276F3C"/>
    <w:rsid w:val="00277A5C"/>
    <w:rsid w:val="00277CE0"/>
    <w:rsid w:val="002800EE"/>
    <w:rsid w:val="002801A4"/>
    <w:rsid w:val="00280272"/>
    <w:rsid w:val="002806C3"/>
    <w:rsid w:val="00280B54"/>
    <w:rsid w:val="0028104F"/>
    <w:rsid w:val="00281232"/>
    <w:rsid w:val="0028154C"/>
    <w:rsid w:val="00281FDC"/>
    <w:rsid w:val="0028226F"/>
    <w:rsid w:val="0028229B"/>
    <w:rsid w:val="002823AC"/>
    <w:rsid w:val="0028359B"/>
    <w:rsid w:val="00283773"/>
    <w:rsid w:val="00283E52"/>
    <w:rsid w:val="002842BD"/>
    <w:rsid w:val="0028477F"/>
    <w:rsid w:val="00284973"/>
    <w:rsid w:val="00284F53"/>
    <w:rsid w:val="0028517E"/>
    <w:rsid w:val="0028571C"/>
    <w:rsid w:val="00285C79"/>
    <w:rsid w:val="00285D9B"/>
    <w:rsid w:val="002860B4"/>
    <w:rsid w:val="00286284"/>
    <w:rsid w:val="00286369"/>
    <w:rsid w:val="002878BA"/>
    <w:rsid w:val="00287CAA"/>
    <w:rsid w:val="00287CDD"/>
    <w:rsid w:val="00287E90"/>
    <w:rsid w:val="00287EE3"/>
    <w:rsid w:val="002901F9"/>
    <w:rsid w:val="00290E75"/>
    <w:rsid w:val="0029166B"/>
    <w:rsid w:val="002917B2"/>
    <w:rsid w:val="00291B84"/>
    <w:rsid w:val="00291B86"/>
    <w:rsid w:val="00291BE5"/>
    <w:rsid w:val="002929AD"/>
    <w:rsid w:val="00292F40"/>
    <w:rsid w:val="0029334B"/>
    <w:rsid w:val="002933E8"/>
    <w:rsid w:val="00293DF0"/>
    <w:rsid w:val="002942AC"/>
    <w:rsid w:val="002942AE"/>
    <w:rsid w:val="00294922"/>
    <w:rsid w:val="00294B62"/>
    <w:rsid w:val="002950F4"/>
    <w:rsid w:val="0029540A"/>
    <w:rsid w:val="00295D9D"/>
    <w:rsid w:val="002A000E"/>
    <w:rsid w:val="002A0179"/>
    <w:rsid w:val="002A01AA"/>
    <w:rsid w:val="002A064D"/>
    <w:rsid w:val="002A0E7D"/>
    <w:rsid w:val="002A1033"/>
    <w:rsid w:val="002A11D0"/>
    <w:rsid w:val="002A16F1"/>
    <w:rsid w:val="002A18CA"/>
    <w:rsid w:val="002A1AD7"/>
    <w:rsid w:val="002A2369"/>
    <w:rsid w:val="002A356B"/>
    <w:rsid w:val="002A37B8"/>
    <w:rsid w:val="002A3FE3"/>
    <w:rsid w:val="002A408E"/>
    <w:rsid w:val="002A41EC"/>
    <w:rsid w:val="002A42C0"/>
    <w:rsid w:val="002A47AB"/>
    <w:rsid w:val="002A49F5"/>
    <w:rsid w:val="002A4A15"/>
    <w:rsid w:val="002A4E74"/>
    <w:rsid w:val="002A4F3C"/>
    <w:rsid w:val="002A5BEF"/>
    <w:rsid w:val="002A5CFD"/>
    <w:rsid w:val="002A6539"/>
    <w:rsid w:val="002A69F6"/>
    <w:rsid w:val="002A6FF9"/>
    <w:rsid w:val="002A74ED"/>
    <w:rsid w:val="002A77F6"/>
    <w:rsid w:val="002A7A7E"/>
    <w:rsid w:val="002B02CC"/>
    <w:rsid w:val="002B0585"/>
    <w:rsid w:val="002B0843"/>
    <w:rsid w:val="002B1913"/>
    <w:rsid w:val="002B1B65"/>
    <w:rsid w:val="002B294B"/>
    <w:rsid w:val="002B2D46"/>
    <w:rsid w:val="002B2EC9"/>
    <w:rsid w:val="002B3575"/>
    <w:rsid w:val="002B3D0E"/>
    <w:rsid w:val="002B3FA3"/>
    <w:rsid w:val="002B42A1"/>
    <w:rsid w:val="002B4856"/>
    <w:rsid w:val="002B49E3"/>
    <w:rsid w:val="002B4B33"/>
    <w:rsid w:val="002B4F9A"/>
    <w:rsid w:val="002B4FA5"/>
    <w:rsid w:val="002B55CE"/>
    <w:rsid w:val="002B57CE"/>
    <w:rsid w:val="002B5E95"/>
    <w:rsid w:val="002B5F99"/>
    <w:rsid w:val="002B6347"/>
    <w:rsid w:val="002B674E"/>
    <w:rsid w:val="002B6A87"/>
    <w:rsid w:val="002B6D32"/>
    <w:rsid w:val="002C03BD"/>
    <w:rsid w:val="002C061D"/>
    <w:rsid w:val="002C09F3"/>
    <w:rsid w:val="002C1504"/>
    <w:rsid w:val="002C16A9"/>
    <w:rsid w:val="002C1746"/>
    <w:rsid w:val="002C218F"/>
    <w:rsid w:val="002C2260"/>
    <w:rsid w:val="002C24E3"/>
    <w:rsid w:val="002C2B6A"/>
    <w:rsid w:val="002C2C2B"/>
    <w:rsid w:val="002C3159"/>
    <w:rsid w:val="002C3389"/>
    <w:rsid w:val="002C40DE"/>
    <w:rsid w:val="002C43F4"/>
    <w:rsid w:val="002C440C"/>
    <w:rsid w:val="002C4905"/>
    <w:rsid w:val="002C4D99"/>
    <w:rsid w:val="002C56B2"/>
    <w:rsid w:val="002C5D74"/>
    <w:rsid w:val="002C61F7"/>
    <w:rsid w:val="002C6FB6"/>
    <w:rsid w:val="002C7C6D"/>
    <w:rsid w:val="002D0186"/>
    <w:rsid w:val="002D037B"/>
    <w:rsid w:val="002D037F"/>
    <w:rsid w:val="002D051C"/>
    <w:rsid w:val="002D0625"/>
    <w:rsid w:val="002D06A3"/>
    <w:rsid w:val="002D0C52"/>
    <w:rsid w:val="002D12A3"/>
    <w:rsid w:val="002D1544"/>
    <w:rsid w:val="002D1941"/>
    <w:rsid w:val="002D1A37"/>
    <w:rsid w:val="002D1B78"/>
    <w:rsid w:val="002D2783"/>
    <w:rsid w:val="002D2A16"/>
    <w:rsid w:val="002D2C86"/>
    <w:rsid w:val="002D2D45"/>
    <w:rsid w:val="002D2ED5"/>
    <w:rsid w:val="002D316D"/>
    <w:rsid w:val="002D3610"/>
    <w:rsid w:val="002D39EC"/>
    <w:rsid w:val="002D3C7B"/>
    <w:rsid w:val="002D3E68"/>
    <w:rsid w:val="002D4EC3"/>
    <w:rsid w:val="002D5740"/>
    <w:rsid w:val="002D57E3"/>
    <w:rsid w:val="002D5893"/>
    <w:rsid w:val="002D5977"/>
    <w:rsid w:val="002D6628"/>
    <w:rsid w:val="002D6874"/>
    <w:rsid w:val="002D6C2B"/>
    <w:rsid w:val="002D6D6C"/>
    <w:rsid w:val="002D6DF3"/>
    <w:rsid w:val="002E01E2"/>
    <w:rsid w:val="002E0B09"/>
    <w:rsid w:val="002E14D7"/>
    <w:rsid w:val="002E157D"/>
    <w:rsid w:val="002E1EE5"/>
    <w:rsid w:val="002E30E1"/>
    <w:rsid w:val="002E32A9"/>
    <w:rsid w:val="002E361D"/>
    <w:rsid w:val="002E3E73"/>
    <w:rsid w:val="002E4698"/>
    <w:rsid w:val="002E5218"/>
    <w:rsid w:val="002E5496"/>
    <w:rsid w:val="002E5A7E"/>
    <w:rsid w:val="002E6065"/>
    <w:rsid w:val="002E63D4"/>
    <w:rsid w:val="002E6A19"/>
    <w:rsid w:val="002E6DF6"/>
    <w:rsid w:val="002E7151"/>
    <w:rsid w:val="002E7165"/>
    <w:rsid w:val="002E752B"/>
    <w:rsid w:val="002E77AE"/>
    <w:rsid w:val="002F04EA"/>
    <w:rsid w:val="002F052D"/>
    <w:rsid w:val="002F0797"/>
    <w:rsid w:val="002F0890"/>
    <w:rsid w:val="002F08BC"/>
    <w:rsid w:val="002F0CA5"/>
    <w:rsid w:val="002F0DC6"/>
    <w:rsid w:val="002F1024"/>
    <w:rsid w:val="002F10E9"/>
    <w:rsid w:val="002F143C"/>
    <w:rsid w:val="002F239B"/>
    <w:rsid w:val="002F24AE"/>
    <w:rsid w:val="002F27B2"/>
    <w:rsid w:val="002F298B"/>
    <w:rsid w:val="002F2B08"/>
    <w:rsid w:val="002F2B3E"/>
    <w:rsid w:val="002F3040"/>
    <w:rsid w:val="002F32FA"/>
    <w:rsid w:val="002F3713"/>
    <w:rsid w:val="002F377F"/>
    <w:rsid w:val="002F38EC"/>
    <w:rsid w:val="002F3F5D"/>
    <w:rsid w:val="002F439B"/>
    <w:rsid w:val="002F477F"/>
    <w:rsid w:val="002F47A9"/>
    <w:rsid w:val="002F50BF"/>
    <w:rsid w:val="002F5949"/>
    <w:rsid w:val="002F5CFA"/>
    <w:rsid w:val="002F6647"/>
    <w:rsid w:val="002F6B42"/>
    <w:rsid w:val="002F72CA"/>
    <w:rsid w:val="002F7963"/>
    <w:rsid w:val="002F7F2D"/>
    <w:rsid w:val="0030031B"/>
    <w:rsid w:val="00300911"/>
    <w:rsid w:val="003010E0"/>
    <w:rsid w:val="0030134B"/>
    <w:rsid w:val="003017C0"/>
    <w:rsid w:val="00301D6F"/>
    <w:rsid w:val="00301E3B"/>
    <w:rsid w:val="00301F34"/>
    <w:rsid w:val="00302159"/>
    <w:rsid w:val="00302214"/>
    <w:rsid w:val="0030251F"/>
    <w:rsid w:val="00302D30"/>
    <w:rsid w:val="00303417"/>
    <w:rsid w:val="0030416A"/>
    <w:rsid w:val="003041A0"/>
    <w:rsid w:val="00304774"/>
    <w:rsid w:val="00304D2A"/>
    <w:rsid w:val="00305061"/>
    <w:rsid w:val="0030506A"/>
    <w:rsid w:val="00305111"/>
    <w:rsid w:val="0030538C"/>
    <w:rsid w:val="003055F4"/>
    <w:rsid w:val="00305CAB"/>
    <w:rsid w:val="00306094"/>
    <w:rsid w:val="003064A3"/>
    <w:rsid w:val="00306B1B"/>
    <w:rsid w:val="00306CE2"/>
    <w:rsid w:val="00307315"/>
    <w:rsid w:val="00307413"/>
    <w:rsid w:val="00307611"/>
    <w:rsid w:val="003076C2"/>
    <w:rsid w:val="00307B90"/>
    <w:rsid w:val="003107B4"/>
    <w:rsid w:val="00310D25"/>
    <w:rsid w:val="00310D60"/>
    <w:rsid w:val="0031145E"/>
    <w:rsid w:val="003120AD"/>
    <w:rsid w:val="003122BF"/>
    <w:rsid w:val="0031286A"/>
    <w:rsid w:val="0031345A"/>
    <w:rsid w:val="003136DC"/>
    <w:rsid w:val="00313DB0"/>
    <w:rsid w:val="00313F7E"/>
    <w:rsid w:val="003144D3"/>
    <w:rsid w:val="0031450B"/>
    <w:rsid w:val="00314742"/>
    <w:rsid w:val="003151B7"/>
    <w:rsid w:val="00315645"/>
    <w:rsid w:val="00315846"/>
    <w:rsid w:val="00315B79"/>
    <w:rsid w:val="00315BA0"/>
    <w:rsid w:val="00315D23"/>
    <w:rsid w:val="00315E4E"/>
    <w:rsid w:val="00315E63"/>
    <w:rsid w:val="00316030"/>
    <w:rsid w:val="00316487"/>
    <w:rsid w:val="003164AA"/>
    <w:rsid w:val="00316D36"/>
    <w:rsid w:val="0031703D"/>
    <w:rsid w:val="00317200"/>
    <w:rsid w:val="00317285"/>
    <w:rsid w:val="003175FD"/>
    <w:rsid w:val="00317693"/>
    <w:rsid w:val="003177DA"/>
    <w:rsid w:val="00321165"/>
    <w:rsid w:val="00321810"/>
    <w:rsid w:val="00321BCE"/>
    <w:rsid w:val="00322125"/>
    <w:rsid w:val="0032254F"/>
    <w:rsid w:val="00323398"/>
    <w:rsid w:val="003237BE"/>
    <w:rsid w:val="003237D8"/>
    <w:rsid w:val="00323F43"/>
    <w:rsid w:val="003245F1"/>
    <w:rsid w:val="003246A2"/>
    <w:rsid w:val="00324EEE"/>
    <w:rsid w:val="003251DB"/>
    <w:rsid w:val="00325CFF"/>
    <w:rsid w:val="00326BF7"/>
    <w:rsid w:val="00326C8F"/>
    <w:rsid w:val="00327562"/>
    <w:rsid w:val="00327AD5"/>
    <w:rsid w:val="00331498"/>
    <w:rsid w:val="00332549"/>
    <w:rsid w:val="00332854"/>
    <w:rsid w:val="00332E75"/>
    <w:rsid w:val="00333990"/>
    <w:rsid w:val="00333FFF"/>
    <w:rsid w:val="00334055"/>
    <w:rsid w:val="00334206"/>
    <w:rsid w:val="003343A9"/>
    <w:rsid w:val="0033452E"/>
    <w:rsid w:val="003345D6"/>
    <w:rsid w:val="003346CD"/>
    <w:rsid w:val="00334D6A"/>
    <w:rsid w:val="003350BE"/>
    <w:rsid w:val="0033554A"/>
    <w:rsid w:val="003365FC"/>
    <w:rsid w:val="00336AB0"/>
    <w:rsid w:val="00336BA7"/>
    <w:rsid w:val="00336CDF"/>
    <w:rsid w:val="00336F0C"/>
    <w:rsid w:val="0034132C"/>
    <w:rsid w:val="00341B0A"/>
    <w:rsid w:val="00341CA3"/>
    <w:rsid w:val="003427D9"/>
    <w:rsid w:val="0034281A"/>
    <w:rsid w:val="0034305C"/>
    <w:rsid w:val="00343750"/>
    <w:rsid w:val="003437FA"/>
    <w:rsid w:val="00343A86"/>
    <w:rsid w:val="00343E20"/>
    <w:rsid w:val="0034406A"/>
    <w:rsid w:val="003444B5"/>
    <w:rsid w:val="003446CC"/>
    <w:rsid w:val="003448BB"/>
    <w:rsid w:val="0034490C"/>
    <w:rsid w:val="00345004"/>
    <w:rsid w:val="0034501A"/>
    <w:rsid w:val="00345271"/>
    <w:rsid w:val="00345350"/>
    <w:rsid w:val="003454BC"/>
    <w:rsid w:val="003457A3"/>
    <w:rsid w:val="00346276"/>
    <w:rsid w:val="00346583"/>
    <w:rsid w:val="003468CB"/>
    <w:rsid w:val="00347605"/>
    <w:rsid w:val="003478F6"/>
    <w:rsid w:val="00347F8D"/>
    <w:rsid w:val="00350498"/>
    <w:rsid w:val="003513C4"/>
    <w:rsid w:val="00351618"/>
    <w:rsid w:val="00351ED6"/>
    <w:rsid w:val="00352382"/>
    <w:rsid w:val="0035319F"/>
    <w:rsid w:val="003540B4"/>
    <w:rsid w:val="003545C6"/>
    <w:rsid w:val="00354AE0"/>
    <w:rsid w:val="00354FB5"/>
    <w:rsid w:val="00354FC1"/>
    <w:rsid w:val="00355A4A"/>
    <w:rsid w:val="00356341"/>
    <w:rsid w:val="003564D0"/>
    <w:rsid w:val="00356A15"/>
    <w:rsid w:val="00356EC2"/>
    <w:rsid w:val="00357169"/>
    <w:rsid w:val="003573D9"/>
    <w:rsid w:val="0035784D"/>
    <w:rsid w:val="00357B59"/>
    <w:rsid w:val="00357FCB"/>
    <w:rsid w:val="0036047C"/>
    <w:rsid w:val="003608B9"/>
    <w:rsid w:val="0036091E"/>
    <w:rsid w:val="00360C0C"/>
    <w:rsid w:val="00360D15"/>
    <w:rsid w:val="00360F16"/>
    <w:rsid w:val="00360FC4"/>
    <w:rsid w:val="003613D2"/>
    <w:rsid w:val="003615EE"/>
    <w:rsid w:val="00361C43"/>
    <w:rsid w:val="00361FAB"/>
    <w:rsid w:val="0036235D"/>
    <w:rsid w:val="00362F9D"/>
    <w:rsid w:val="003632F0"/>
    <w:rsid w:val="00363C89"/>
    <w:rsid w:val="00364087"/>
    <w:rsid w:val="00364183"/>
    <w:rsid w:val="003642B0"/>
    <w:rsid w:val="00364412"/>
    <w:rsid w:val="0036551B"/>
    <w:rsid w:val="003655F9"/>
    <w:rsid w:val="00365EEE"/>
    <w:rsid w:val="00366095"/>
    <w:rsid w:val="00366323"/>
    <w:rsid w:val="00366B36"/>
    <w:rsid w:val="00366B4B"/>
    <w:rsid w:val="003676F1"/>
    <w:rsid w:val="00367C50"/>
    <w:rsid w:val="0037007C"/>
    <w:rsid w:val="003703ED"/>
    <w:rsid w:val="003711AD"/>
    <w:rsid w:val="00371424"/>
    <w:rsid w:val="003722D6"/>
    <w:rsid w:val="00372507"/>
    <w:rsid w:val="003726C3"/>
    <w:rsid w:val="00373392"/>
    <w:rsid w:val="00373A7E"/>
    <w:rsid w:val="00373FD4"/>
    <w:rsid w:val="003740F4"/>
    <w:rsid w:val="00374643"/>
    <w:rsid w:val="00374C55"/>
    <w:rsid w:val="003757CD"/>
    <w:rsid w:val="00375B2A"/>
    <w:rsid w:val="003762E5"/>
    <w:rsid w:val="00376DF9"/>
    <w:rsid w:val="0037708E"/>
    <w:rsid w:val="003778AD"/>
    <w:rsid w:val="003802A5"/>
    <w:rsid w:val="00380837"/>
    <w:rsid w:val="003809B9"/>
    <w:rsid w:val="00380C1B"/>
    <w:rsid w:val="00380C62"/>
    <w:rsid w:val="00381337"/>
    <w:rsid w:val="003817CA"/>
    <w:rsid w:val="003818DC"/>
    <w:rsid w:val="00381CEB"/>
    <w:rsid w:val="003821F7"/>
    <w:rsid w:val="003826BC"/>
    <w:rsid w:val="00382D62"/>
    <w:rsid w:val="00382D92"/>
    <w:rsid w:val="003831F3"/>
    <w:rsid w:val="003833AC"/>
    <w:rsid w:val="00383726"/>
    <w:rsid w:val="00384423"/>
    <w:rsid w:val="00384624"/>
    <w:rsid w:val="00384AB4"/>
    <w:rsid w:val="0038524B"/>
    <w:rsid w:val="00385CE9"/>
    <w:rsid w:val="00386034"/>
    <w:rsid w:val="0038646D"/>
    <w:rsid w:val="003865D5"/>
    <w:rsid w:val="003866FC"/>
    <w:rsid w:val="00386CE3"/>
    <w:rsid w:val="00386DB9"/>
    <w:rsid w:val="0038739C"/>
    <w:rsid w:val="003873A3"/>
    <w:rsid w:val="00390B3D"/>
    <w:rsid w:val="00390D9E"/>
    <w:rsid w:val="00391191"/>
    <w:rsid w:val="00391335"/>
    <w:rsid w:val="003915C0"/>
    <w:rsid w:val="00391C0D"/>
    <w:rsid w:val="0039245D"/>
    <w:rsid w:val="00392555"/>
    <w:rsid w:val="00392825"/>
    <w:rsid w:val="00393171"/>
    <w:rsid w:val="00393974"/>
    <w:rsid w:val="00393BEC"/>
    <w:rsid w:val="00393EB4"/>
    <w:rsid w:val="003945E4"/>
    <w:rsid w:val="00394C2C"/>
    <w:rsid w:val="00394C62"/>
    <w:rsid w:val="00395D85"/>
    <w:rsid w:val="00395D8A"/>
    <w:rsid w:val="00396107"/>
    <w:rsid w:val="00396666"/>
    <w:rsid w:val="00396FFD"/>
    <w:rsid w:val="003976FC"/>
    <w:rsid w:val="00397D56"/>
    <w:rsid w:val="00397DCE"/>
    <w:rsid w:val="003A0636"/>
    <w:rsid w:val="003A080A"/>
    <w:rsid w:val="003A0BBF"/>
    <w:rsid w:val="003A15D3"/>
    <w:rsid w:val="003A1B97"/>
    <w:rsid w:val="003A1C48"/>
    <w:rsid w:val="003A2053"/>
    <w:rsid w:val="003A4A49"/>
    <w:rsid w:val="003A4D76"/>
    <w:rsid w:val="003A5168"/>
    <w:rsid w:val="003A555C"/>
    <w:rsid w:val="003A5780"/>
    <w:rsid w:val="003A59B3"/>
    <w:rsid w:val="003A5C9A"/>
    <w:rsid w:val="003A5CE8"/>
    <w:rsid w:val="003A5D1D"/>
    <w:rsid w:val="003A5D44"/>
    <w:rsid w:val="003A63AE"/>
    <w:rsid w:val="003A677B"/>
    <w:rsid w:val="003A67BA"/>
    <w:rsid w:val="003A68E1"/>
    <w:rsid w:val="003A7506"/>
    <w:rsid w:val="003A7899"/>
    <w:rsid w:val="003A7A89"/>
    <w:rsid w:val="003B0296"/>
    <w:rsid w:val="003B07C1"/>
    <w:rsid w:val="003B0881"/>
    <w:rsid w:val="003B0A52"/>
    <w:rsid w:val="003B13AB"/>
    <w:rsid w:val="003B1E65"/>
    <w:rsid w:val="003B215A"/>
    <w:rsid w:val="003B239B"/>
    <w:rsid w:val="003B2918"/>
    <w:rsid w:val="003B2FE1"/>
    <w:rsid w:val="003B3207"/>
    <w:rsid w:val="003B332F"/>
    <w:rsid w:val="003B3697"/>
    <w:rsid w:val="003B3C40"/>
    <w:rsid w:val="003B3F83"/>
    <w:rsid w:val="003B4A1D"/>
    <w:rsid w:val="003B4BC1"/>
    <w:rsid w:val="003B4D54"/>
    <w:rsid w:val="003B5447"/>
    <w:rsid w:val="003B5A62"/>
    <w:rsid w:val="003B5B36"/>
    <w:rsid w:val="003B5EE8"/>
    <w:rsid w:val="003B6A91"/>
    <w:rsid w:val="003B6B5E"/>
    <w:rsid w:val="003B7128"/>
    <w:rsid w:val="003B736E"/>
    <w:rsid w:val="003B77BE"/>
    <w:rsid w:val="003B77E3"/>
    <w:rsid w:val="003B7A95"/>
    <w:rsid w:val="003B7E01"/>
    <w:rsid w:val="003C050C"/>
    <w:rsid w:val="003C06E2"/>
    <w:rsid w:val="003C10BD"/>
    <w:rsid w:val="003C1267"/>
    <w:rsid w:val="003C1B40"/>
    <w:rsid w:val="003C1ED8"/>
    <w:rsid w:val="003C250A"/>
    <w:rsid w:val="003C3669"/>
    <w:rsid w:val="003C3730"/>
    <w:rsid w:val="003C3733"/>
    <w:rsid w:val="003C38D7"/>
    <w:rsid w:val="003C3E94"/>
    <w:rsid w:val="003C45DC"/>
    <w:rsid w:val="003C53F2"/>
    <w:rsid w:val="003C55AA"/>
    <w:rsid w:val="003C56DD"/>
    <w:rsid w:val="003C59E3"/>
    <w:rsid w:val="003C5A71"/>
    <w:rsid w:val="003C6420"/>
    <w:rsid w:val="003C6D72"/>
    <w:rsid w:val="003C735C"/>
    <w:rsid w:val="003C7429"/>
    <w:rsid w:val="003C7A26"/>
    <w:rsid w:val="003C7A83"/>
    <w:rsid w:val="003C7DB5"/>
    <w:rsid w:val="003D0671"/>
    <w:rsid w:val="003D0AF9"/>
    <w:rsid w:val="003D1053"/>
    <w:rsid w:val="003D1228"/>
    <w:rsid w:val="003D12BE"/>
    <w:rsid w:val="003D1D1B"/>
    <w:rsid w:val="003D2409"/>
    <w:rsid w:val="003D2519"/>
    <w:rsid w:val="003D2696"/>
    <w:rsid w:val="003D3A5B"/>
    <w:rsid w:val="003D40A7"/>
    <w:rsid w:val="003D42AE"/>
    <w:rsid w:val="003D4CD0"/>
    <w:rsid w:val="003D4E00"/>
    <w:rsid w:val="003D4F6D"/>
    <w:rsid w:val="003D60AD"/>
    <w:rsid w:val="003D616A"/>
    <w:rsid w:val="003D6C0C"/>
    <w:rsid w:val="003D6FDD"/>
    <w:rsid w:val="003D70BD"/>
    <w:rsid w:val="003D722D"/>
    <w:rsid w:val="003D7963"/>
    <w:rsid w:val="003D7A96"/>
    <w:rsid w:val="003D7FAD"/>
    <w:rsid w:val="003E0968"/>
    <w:rsid w:val="003E119D"/>
    <w:rsid w:val="003E1420"/>
    <w:rsid w:val="003E1458"/>
    <w:rsid w:val="003E26EA"/>
    <w:rsid w:val="003E2AC0"/>
    <w:rsid w:val="003E2F42"/>
    <w:rsid w:val="003E3394"/>
    <w:rsid w:val="003E3BF5"/>
    <w:rsid w:val="003E4324"/>
    <w:rsid w:val="003E4D33"/>
    <w:rsid w:val="003E4F8F"/>
    <w:rsid w:val="003E52ED"/>
    <w:rsid w:val="003E684B"/>
    <w:rsid w:val="003E6D6D"/>
    <w:rsid w:val="003E7070"/>
    <w:rsid w:val="003E70FB"/>
    <w:rsid w:val="003E7280"/>
    <w:rsid w:val="003E72A8"/>
    <w:rsid w:val="003E75E4"/>
    <w:rsid w:val="003E79BF"/>
    <w:rsid w:val="003F0809"/>
    <w:rsid w:val="003F14D4"/>
    <w:rsid w:val="003F1665"/>
    <w:rsid w:val="003F1A0E"/>
    <w:rsid w:val="003F1BAC"/>
    <w:rsid w:val="003F2B3B"/>
    <w:rsid w:val="003F2BED"/>
    <w:rsid w:val="003F2EC8"/>
    <w:rsid w:val="003F3177"/>
    <w:rsid w:val="003F3DE1"/>
    <w:rsid w:val="003F4352"/>
    <w:rsid w:val="003F4773"/>
    <w:rsid w:val="003F4BE9"/>
    <w:rsid w:val="003F4CFD"/>
    <w:rsid w:val="003F4E97"/>
    <w:rsid w:val="003F5683"/>
    <w:rsid w:val="003F5B4D"/>
    <w:rsid w:val="003F5B76"/>
    <w:rsid w:val="003F77A6"/>
    <w:rsid w:val="00400295"/>
    <w:rsid w:val="00400C7D"/>
    <w:rsid w:val="004011A3"/>
    <w:rsid w:val="004019FE"/>
    <w:rsid w:val="00401B9A"/>
    <w:rsid w:val="00401EA5"/>
    <w:rsid w:val="00402019"/>
    <w:rsid w:val="00402471"/>
    <w:rsid w:val="004028FB"/>
    <w:rsid w:val="00403495"/>
    <w:rsid w:val="00403832"/>
    <w:rsid w:val="00403BA8"/>
    <w:rsid w:val="00403E0C"/>
    <w:rsid w:val="004048C0"/>
    <w:rsid w:val="00404B22"/>
    <w:rsid w:val="00404C0E"/>
    <w:rsid w:val="004054C3"/>
    <w:rsid w:val="00406230"/>
    <w:rsid w:val="004064DA"/>
    <w:rsid w:val="0040744E"/>
    <w:rsid w:val="00407505"/>
    <w:rsid w:val="00407597"/>
    <w:rsid w:val="00407C5C"/>
    <w:rsid w:val="00410250"/>
    <w:rsid w:val="004102B1"/>
    <w:rsid w:val="00410B27"/>
    <w:rsid w:val="0041185E"/>
    <w:rsid w:val="004124D3"/>
    <w:rsid w:val="004132A2"/>
    <w:rsid w:val="0041341D"/>
    <w:rsid w:val="0041388E"/>
    <w:rsid w:val="00414064"/>
    <w:rsid w:val="004141F8"/>
    <w:rsid w:val="0041452F"/>
    <w:rsid w:val="004148DF"/>
    <w:rsid w:val="00414AAA"/>
    <w:rsid w:val="00415F25"/>
    <w:rsid w:val="004162EC"/>
    <w:rsid w:val="00417034"/>
    <w:rsid w:val="004172E9"/>
    <w:rsid w:val="00417A19"/>
    <w:rsid w:val="00417B69"/>
    <w:rsid w:val="004201BC"/>
    <w:rsid w:val="0042089D"/>
    <w:rsid w:val="00420985"/>
    <w:rsid w:val="00420A75"/>
    <w:rsid w:val="004211CC"/>
    <w:rsid w:val="004211FC"/>
    <w:rsid w:val="00421A82"/>
    <w:rsid w:val="00421B40"/>
    <w:rsid w:val="00421D9F"/>
    <w:rsid w:val="00421E90"/>
    <w:rsid w:val="00422038"/>
    <w:rsid w:val="004221FD"/>
    <w:rsid w:val="004225B1"/>
    <w:rsid w:val="0042293B"/>
    <w:rsid w:val="00423066"/>
    <w:rsid w:val="0042375D"/>
    <w:rsid w:val="00423FA0"/>
    <w:rsid w:val="0042446E"/>
    <w:rsid w:val="004258F1"/>
    <w:rsid w:val="00425C7F"/>
    <w:rsid w:val="00426104"/>
    <w:rsid w:val="00426460"/>
    <w:rsid w:val="00426880"/>
    <w:rsid w:val="00426BF9"/>
    <w:rsid w:val="00426DC8"/>
    <w:rsid w:val="004272D2"/>
    <w:rsid w:val="004278A3"/>
    <w:rsid w:val="00427B12"/>
    <w:rsid w:val="00430917"/>
    <w:rsid w:val="00431236"/>
    <w:rsid w:val="00431CF1"/>
    <w:rsid w:val="00431E47"/>
    <w:rsid w:val="0043348B"/>
    <w:rsid w:val="00433642"/>
    <w:rsid w:val="004338B1"/>
    <w:rsid w:val="00433B00"/>
    <w:rsid w:val="004343BF"/>
    <w:rsid w:val="004346DA"/>
    <w:rsid w:val="00434716"/>
    <w:rsid w:val="004349AB"/>
    <w:rsid w:val="00435183"/>
    <w:rsid w:val="0043551B"/>
    <w:rsid w:val="00435886"/>
    <w:rsid w:val="00435ADD"/>
    <w:rsid w:val="00435C26"/>
    <w:rsid w:val="0043633D"/>
    <w:rsid w:val="00436772"/>
    <w:rsid w:val="00436DDF"/>
    <w:rsid w:val="004371B1"/>
    <w:rsid w:val="004371D5"/>
    <w:rsid w:val="004373AE"/>
    <w:rsid w:val="004378FA"/>
    <w:rsid w:val="00437A5A"/>
    <w:rsid w:val="00437AD7"/>
    <w:rsid w:val="00437FED"/>
    <w:rsid w:val="00437FF6"/>
    <w:rsid w:val="004400E3"/>
    <w:rsid w:val="0044087E"/>
    <w:rsid w:val="0044115B"/>
    <w:rsid w:val="00441254"/>
    <w:rsid w:val="00441595"/>
    <w:rsid w:val="00442303"/>
    <w:rsid w:val="00442539"/>
    <w:rsid w:val="0044425F"/>
    <w:rsid w:val="00445191"/>
    <w:rsid w:val="00445968"/>
    <w:rsid w:val="004467A2"/>
    <w:rsid w:val="004469B2"/>
    <w:rsid w:val="004473C2"/>
    <w:rsid w:val="00447751"/>
    <w:rsid w:val="00450121"/>
    <w:rsid w:val="004502A0"/>
    <w:rsid w:val="004502F4"/>
    <w:rsid w:val="00451241"/>
    <w:rsid w:val="00452838"/>
    <w:rsid w:val="004528A7"/>
    <w:rsid w:val="00452EDB"/>
    <w:rsid w:val="004532E4"/>
    <w:rsid w:val="00453D79"/>
    <w:rsid w:val="00453E2F"/>
    <w:rsid w:val="00454013"/>
    <w:rsid w:val="00454550"/>
    <w:rsid w:val="00454994"/>
    <w:rsid w:val="004549EA"/>
    <w:rsid w:val="00454ABC"/>
    <w:rsid w:val="004555D1"/>
    <w:rsid w:val="004556B5"/>
    <w:rsid w:val="004556BD"/>
    <w:rsid w:val="00455853"/>
    <w:rsid w:val="004563C2"/>
    <w:rsid w:val="00456400"/>
    <w:rsid w:val="00456404"/>
    <w:rsid w:val="004564BA"/>
    <w:rsid w:val="004567FF"/>
    <w:rsid w:val="00456BEE"/>
    <w:rsid w:val="00456CBD"/>
    <w:rsid w:val="00456D3D"/>
    <w:rsid w:val="00456E1F"/>
    <w:rsid w:val="00456E79"/>
    <w:rsid w:val="00456EC7"/>
    <w:rsid w:val="004570F1"/>
    <w:rsid w:val="0045732E"/>
    <w:rsid w:val="00457E42"/>
    <w:rsid w:val="00460597"/>
    <w:rsid w:val="00461390"/>
    <w:rsid w:val="00461441"/>
    <w:rsid w:val="004620C4"/>
    <w:rsid w:val="0046218F"/>
    <w:rsid w:val="00462542"/>
    <w:rsid w:val="00462CB9"/>
    <w:rsid w:val="00462FCF"/>
    <w:rsid w:val="00462FEA"/>
    <w:rsid w:val="00463654"/>
    <w:rsid w:val="004636D7"/>
    <w:rsid w:val="00463B69"/>
    <w:rsid w:val="00464292"/>
    <w:rsid w:val="004644FA"/>
    <w:rsid w:val="004647C6"/>
    <w:rsid w:val="0046486C"/>
    <w:rsid w:val="00464A16"/>
    <w:rsid w:val="00464B65"/>
    <w:rsid w:val="00464C54"/>
    <w:rsid w:val="00464CA1"/>
    <w:rsid w:val="004654AF"/>
    <w:rsid w:val="0046587D"/>
    <w:rsid w:val="00465E7A"/>
    <w:rsid w:val="004661BD"/>
    <w:rsid w:val="004661D5"/>
    <w:rsid w:val="004665B4"/>
    <w:rsid w:val="00466BE7"/>
    <w:rsid w:val="00466E94"/>
    <w:rsid w:val="00466EAC"/>
    <w:rsid w:val="00466F5D"/>
    <w:rsid w:val="00467208"/>
    <w:rsid w:val="00467386"/>
    <w:rsid w:val="0046799C"/>
    <w:rsid w:val="00467B13"/>
    <w:rsid w:val="00467C4C"/>
    <w:rsid w:val="00467FC8"/>
    <w:rsid w:val="0047021A"/>
    <w:rsid w:val="004703D2"/>
    <w:rsid w:val="00470405"/>
    <w:rsid w:val="004705FD"/>
    <w:rsid w:val="00471B91"/>
    <w:rsid w:val="00471BD0"/>
    <w:rsid w:val="0047205B"/>
    <w:rsid w:val="0047212C"/>
    <w:rsid w:val="004722A6"/>
    <w:rsid w:val="00472303"/>
    <w:rsid w:val="00472F5D"/>
    <w:rsid w:val="00472FCC"/>
    <w:rsid w:val="004736D4"/>
    <w:rsid w:val="00473BC2"/>
    <w:rsid w:val="00473D2C"/>
    <w:rsid w:val="00473E02"/>
    <w:rsid w:val="004752F9"/>
    <w:rsid w:val="00475CEB"/>
    <w:rsid w:val="00475F4F"/>
    <w:rsid w:val="00475FDD"/>
    <w:rsid w:val="0047713F"/>
    <w:rsid w:val="0047717B"/>
    <w:rsid w:val="00477206"/>
    <w:rsid w:val="004778EE"/>
    <w:rsid w:val="00477981"/>
    <w:rsid w:val="00477D84"/>
    <w:rsid w:val="00480336"/>
    <w:rsid w:val="00480491"/>
    <w:rsid w:val="0048073C"/>
    <w:rsid w:val="00480857"/>
    <w:rsid w:val="00480873"/>
    <w:rsid w:val="00480B0C"/>
    <w:rsid w:val="00481AB0"/>
    <w:rsid w:val="004820DD"/>
    <w:rsid w:val="00482952"/>
    <w:rsid w:val="00482CCA"/>
    <w:rsid w:val="00482CF5"/>
    <w:rsid w:val="00483065"/>
    <w:rsid w:val="00483967"/>
    <w:rsid w:val="004845EB"/>
    <w:rsid w:val="00485566"/>
    <w:rsid w:val="004856E9"/>
    <w:rsid w:val="004859A5"/>
    <w:rsid w:val="00485BBE"/>
    <w:rsid w:val="00485E14"/>
    <w:rsid w:val="00486079"/>
    <w:rsid w:val="004869BB"/>
    <w:rsid w:val="004869C8"/>
    <w:rsid w:val="00486CC3"/>
    <w:rsid w:val="00487EBA"/>
    <w:rsid w:val="004904D2"/>
    <w:rsid w:val="004906E8"/>
    <w:rsid w:val="00490A8A"/>
    <w:rsid w:val="00491157"/>
    <w:rsid w:val="004913C9"/>
    <w:rsid w:val="0049167B"/>
    <w:rsid w:val="00491749"/>
    <w:rsid w:val="00491811"/>
    <w:rsid w:val="00491F42"/>
    <w:rsid w:val="00492B63"/>
    <w:rsid w:val="00493091"/>
    <w:rsid w:val="004932F6"/>
    <w:rsid w:val="004942F1"/>
    <w:rsid w:val="00494D7F"/>
    <w:rsid w:val="004952D8"/>
    <w:rsid w:val="00495771"/>
    <w:rsid w:val="0049624B"/>
    <w:rsid w:val="004974CF"/>
    <w:rsid w:val="00497677"/>
    <w:rsid w:val="004978C4"/>
    <w:rsid w:val="00497E98"/>
    <w:rsid w:val="004A01C6"/>
    <w:rsid w:val="004A0623"/>
    <w:rsid w:val="004A07F1"/>
    <w:rsid w:val="004A0A74"/>
    <w:rsid w:val="004A10B6"/>
    <w:rsid w:val="004A10DC"/>
    <w:rsid w:val="004A1F35"/>
    <w:rsid w:val="004A2574"/>
    <w:rsid w:val="004A2A2C"/>
    <w:rsid w:val="004A2C17"/>
    <w:rsid w:val="004A2CD9"/>
    <w:rsid w:val="004A3037"/>
    <w:rsid w:val="004A3BB4"/>
    <w:rsid w:val="004A3D38"/>
    <w:rsid w:val="004A42FB"/>
    <w:rsid w:val="004A432B"/>
    <w:rsid w:val="004A44CC"/>
    <w:rsid w:val="004A51DE"/>
    <w:rsid w:val="004A56B7"/>
    <w:rsid w:val="004A571A"/>
    <w:rsid w:val="004A6452"/>
    <w:rsid w:val="004A6791"/>
    <w:rsid w:val="004A689A"/>
    <w:rsid w:val="004A69AA"/>
    <w:rsid w:val="004A6C39"/>
    <w:rsid w:val="004A713B"/>
    <w:rsid w:val="004A75F1"/>
    <w:rsid w:val="004B0CF9"/>
    <w:rsid w:val="004B0F65"/>
    <w:rsid w:val="004B1286"/>
    <w:rsid w:val="004B1810"/>
    <w:rsid w:val="004B1F8C"/>
    <w:rsid w:val="004B2074"/>
    <w:rsid w:val="004B21FE"/>
    <w:rsid w:val="004B244B"/>
    <w:rsid w:val="004B2A01"/>
    <w:rsid w:val="004B2A27"/>
    <w:rsid w:val="004B3121"/>
    <w:rsid w:val="004B3144"/>
    <w:rsid w:val="004B363E"/>
    <w:rsid w:val="004B3983"/>
    <w:rsid w:val="004B3CC9"/>
    <w:rsid w:val="004B3E04"/>
    <w:rsid w:val="004B3F59"/>
    <w:rsid w:val="004B41C6"/>
    <w:rsid w:val="004B4252"/>
    <w:rsid w:val="004B43FB"/>
    <w:rsid w:val="004B446C"/>
    <w:rsid w:val="004B4A74"/>
    <w:rsid w:val="004B4D4F"/>
    <w:rsid w:val="004B4DCF"/>
    <w:rsid w:val="004B4E41"/>
    <w:rsid w:val="004B4EF7"/>
    <w:rsid w:val="004B51CF"/>
    <w:rsid w:val="004B605D"/>
    <w:rsid w:val="004B631E"/>
    <w:rsid w:val="004B6789"/>
    <w:rsid w:val="004B6EFE"/>
    <w:rsid w:val="004B7273"/>
    <w:rsid w:val="004B7617"/>
    <w:rsid w:val="004C0151"/>
    <w:rsid w:val="004C08F8"/>
    <w:rsid w:val="004C0A45"/>
    <w:rsid w:val="004C0E26"/>
    <w:rsid w:val="004C1620"/>
    <w:rsid w:val="004C18AA"/>
    <w:rsid w:val="004C19D9"/>
    <w:rsid w:val="004C265D"/>
    <w:rsid w:val="004C274E"/>
    <w:rsid w:val="004C282F"/>
    <w:rsid w:val="004C28B3"/>
    <w:rsid w:val="004C2A41"/>
    <w:rsid w:val="004C2A4E"/>
    <w:rsid w:val="004C2C90"/>
    <w:rsid w:val="004C2F34"/>
    <w:rsid w:val="004C2F99"/>
    <w:rsid w:val="004C36BA"/>
    <w:rsid w:val="004C38DF"/>
    <w:rsid w:val="004C428E"/>
    <w:rsid w:val="004C43A9"/>
    <w:rsid w:val="004C4D46"/>
    <w:rsid w:val="004C4F34"/>
    <w:rsid w:val="004C5405"/>
    <w:rsid w:val="004C5844"/>
    <w:rsid w:val="004C5E07"/>
    <w:rsid w:val="004C5F07"/>
    <w:rsid w:val="004C6536"/>
    <w:rsid w:val="004C6B18"/>
    <w:rsid w:val="004C6E71"/>
    <w:rsid w:val="004C7176"/>
    <w:rsid w:val="004C74AF"/>
    <w:rsid w:val="004C7716"/>
    <w:rsid w:val="004C77FA"/>
    <w:rsid w:val="004C782E"/>
    <w:rsid w:val="004C7B5D"/>
    <w:rsid w:val="004D00C8"/>
    <w:rsid w:val="004D0D3F"/>
    <w:rsid w:val="004D1015"/>
    <w:rsid w:val="004D1928"/>
    <w:rsid w:val="004D2243"/>
    <w:rsid w:val="004D3CED"/>
    <w:rsid w:val="004D40CF"/>
    <w:rsid w:val="004D4926"/>
    <w:rsid w:val="004D49D2"/>
    <w:rsid w:val="004D4B23"/>
    <w:rsid w:val="004D4BFE"/>
    <w:rsid w:val="004D4D7A"/>
    <w:rsid w:val="004D4F6C"/>
    <w:rsid w:val="004D5846"/>
    <w:rsid w:val="004D5FE6"/>
    <w:rsid w:val="004D60A2"/>
    <w:rsid w:val="004D635F"/>
    <w:rsid w:val="004D677D"/>
    <w:rsid w:val="004D7125"/>
    <w:rsid w:val="004D7356"/>
    <w:rsid w:val="004D79BF"/>
    <w:rsid w:val="004D7EA6"/>
    <w:rsid w:val="004E02BF"/>
    <w:rsid w:val="004E0641"/>
    <w:rsid w:val="004E090B"/>
    <w:rsid w:val="004E09CD"/>
    <w:rsid w:val="004E0C2C"/>
    <w:rsid w:val="004E0D72"/>
    <w:rsid w:val="004E11C9"/>
    <w:rsid w:val="004E16EE"/>
    <w:rsid w:val="004E1F19"/>
    <w:rsid w:val="004E2321"/>
    <w:rsid w:val="004E2774"/>
    <w:rsid w:val="004E29C4"/>
    <w:rsid w:val="004E2BEB"/>
    <w:rsid w:val="004E3B84"/>
    <w:rsid w:val="004E3D2A"/>
    <w:rsid w:val="004E3F7C"/>
    <w:rsid w:val="004E3FE9"/>
    <w:rsid w:val="004E451D"/>
    <w:rsid w:val="004E4BFF"/>
    <w:rsid w:val="004E50BF"/>
    <w:rsid w:val="004E550E"/>
    <w:rsid w:val="004E7021"/>
    <w:rsid w:val="004E76EC"/>
    <w:rsid w:val="004E7876"/>
    <w:rsid w:val="004E7965"/>
    <w:rsid w:val="004F08E8"/>
    <w:rsid w:val="004F0974"/>
    <w:rsid w:val="004F2015"/>
    <w:rsid w:val="004F20FC"/>
    <w:rsid w:val="004F27DC"/>
    <w:rsid w:val="004F2869"/>
    <w:rsid w:val="004F2FCC"/>
    <w:rsid w:val="004F30F9"/>
    <w:rsid w:val="004F32F5"/>
    <w:rsid w:val="004F3531"/>
    <w:rsid w:val="004F3CF0"/>
    <w:rsid w:val="004F3ED4"/>
    <w:rsid w:val="004F4525"/>
    <w:rsid w:val="004F5166"/>
    <w:rsid w:val="004F5173"/>
    <w:rsid w:val="004F58ED"/>
    <w:rsid w:val="004F6145"/>
    <w:rsid w:val="004F66CB"/>
    <w:rsid w:val="004F6B39"/>
    <w:rsid w:val="004F6E80"/>
    <w:rsid w:val="004F6FD5"/>
    <w:rsid w:val="004F75A6"/>
    <w:rsid w:val="004F7E94"/>
    <w:rsid w:val="0050084C"/>
    <w:rsid w:val="00500886"/>
    <w:rsid w:val="005008C2"/>
    <w:rsid w:val="00500BF0"/>
    <w:rsid w:val="005013AC"/>
    <w:rsid w:val="00501B04"/>
    <w:rsid w:val="00501C7D"/>
    <w:rsid w:val="0050340D"/>
    <w:rsid w:val="005037B4"/>
    <w:rsid w:val="00503925"/>
    <w:rsid w:val="00503DCA"/>
    <w:rsid w:val="00503E0A"/>
    <w:rsid w:val="005041FC"/>
    <w:rsid w:val="005046EB"/>
    <w:rsid w:val="00504D05"/>
    <w:rsid w:val="0050521F"/>
    <w:rsid w:val="005053E3"/>
    <w:rsid w:val="005058A1"/>
    <w:rsid w:val="0050613A"/>
    <w:rsid w:val="00506226"/>
    <w:rsid w:val="00506798"/>
    <w:rsid w:val="005079A8"/>
    <w:rsid w:val="005103B6"/>
    <w:rsid w:val="00510D24"/>
    <w:rsid w:val="00510D63"/>
    <w:rsid w:val="0051131F"/>
    <w:rsid w:val="00511DEE"/>
    <w:rsid w:val="005120F1"/>
    <w:rsid w:val="005129B4"/>
    <w:rsid w:val="005138F6"/>
    <w:rsid w:val="0051441F"/>
    <w:rsid w:val="00514569"/>
    <w:rsid w:val="0051475C"/>
    <w:rsid w:val="005147D9"/>
    <w:rsid w:val="00514AF4"/>
    <w:rsid w:val="00514FD6"/>
    <w:rsid w:val="00515DC7"/>
    <w:rsid w:val="005170FA"/>
    <w:rsid w:val="00517D8D"/>
    <w:rsid w:val="00517E7A"/>
    <w:rsid w:val="0052019B"/>
    <w:rsid w:val="0052055A"/>
    <w:rsid w:val="005205BF"/>
    <w:rsid w:val="005206E7"/>
    <w:rsid w:val="00520B46"/>
    <w:rsid w:val="00520C95"/>
    <w:rsid w:val="00521072"/>
    <w:rsid w:val="00521ACC"/>
    <w:rsid w:val="005220DC"/>
    <w:rsid w:val="00522555"/>
    <w:rsid w:val="00522633"/>
    <w:rsid w:val="005226E6"/>
    <w:rsid w:val="00522CA8"/>
    <w:rsid w:val="00522DC3"/>
    <w:rsid w:val="00522FE3"/>
    <w:rsid w:val="00523407"/>
    <w:rsid w:val="00523955"/>
    <w:rsid w:val="00524F74"/>
    <w:rsid w:val="005251B2"/>
    <w:rsid w:val="0052531B"/>
    <w:rsid w:val="005253D1"/>
    <w:rsid w:val="0052585A"/>
    <w:rsid w:val="00525AB7"/>
    <w:rsid w:val="00525B44"/>
    <w:rsid w:val="005276A3"/>
    <w:rsid w:val="00527D8A"/>
    <w:rsid w:val="005305FA"/>
    <w:rsid w:val="00530850"/>
    <w:rsid w:val="00530A25"/>
    <w:rsid w:val="00530A78"/>
    <w:rsid w:val="005311C2"/>
    <w:rsid w:val="0053132B"/>
    <w:rsid w:val="00531A26"/>
    <w:rsid w:val="00531E8A"/>
    <w:rsid w:val="00532283"/>
    <w:rsid w:val="0053237D"/>
    <w:rsid w:val="005326BE"/>
    <w:rsid w:val="00532DF8"/>
    <w:rsid w:val="00533236"/>
    <w:rsid w:val="005332BB"/>
    <w:rsid w:val="005334F3"/>
    <w:rsid w:val="00533D30"/>
    <w:rsid w:val="00533E5D"/>
    <w:rsid w:val="00533E88"/>
    <w:rsid w:val="005345C6"/>
    <w:rsid w:val="00534A15"/>
    <w:rsid w:val="00535921"/>
    <w:rsid w:val="005359AE"/>
    <w:rsid w:val="00536286"/>
    <w:rsid w:val="00536E12"/>
    <w:rsid w:val="00537335"/>
    <w:rsid w:val="0053734D"/>
    <w:rsid w:val="00537C10"/>
    <w:rsid w:val="00540AF6"/>
    <w:rsid w:val="00540DB6"/>
    <w:rsid w:val="00540FB9"/>
    <w:rsid w:val="0054170F"/>
    <w:rsid w:val="00541A7C"/>
    <w:rsid w:val="00541AC5"/>
    <w:rsid w:val="00541E56"/>
    <w:rsid w:val="00542067"/>
    <w:rsid w:val="005422AE"/>
    <w:rsid w:val="005428AC"/>
    <w:rsid w:val="00542D6B"/>
    <w:rsid w:val="00542F91"/>
    <w:rsid w:val="00543133"/>
    <w:rsid w:val="005433F9"/>
    <w:rsid w:val="00543B20"/>
    <w:rsid w:val="00543DCA"/>
    <w:rsid w:val="005440C2"/>
    <w:rsid w:val="005442C8"/>
    <w:rsid w:val="0054454C"/>
    <w:rsid w:val="0054491D"/>
    <w:rsid w:val="005455DE"/>
    <w:rsid w:val="00545C79"/>
    <w:rsid w:val="0054650F"/>
    <w:rsid w:val="00546957"/>
    <w:rsid w:val="00546A99"/>
    <w:rsid w:val="0054715B"/>
    <w:rsid w:val="0054718A"/>
    <w:rsid w:val="00547748"/>
    <w:rsid w:val="00547CE9"/>
    <w:rsid w:val="00547DE6"/>
    <w:rsid w:val="00547E9E"/>
    <w:rsid w:val="00550231"/>
    <w:rsid w:val="00550752"/>
    <w:rsid w:val="00550808"/>
    <w:rsid w:val="00550811"/>
    <w:rsid w:val="00550AB4"/>
    <w:rsid w:val="00550BCD"/>
    <w:rsid w:val="00550DF7"/>
    <w:rsid w:val="00551793"/>
    <w:rsid w:val="00551AA3"/>
    <w:rsid w:val="00551B56"/>
    <w:rsid w:val="0055224D"/>
    <w:rsid w:val="0055231A"/>
    <w:rsid w:val="005525FC"/>
    <w:rsid w:val="00552BA6"/>
    <w:rsid w:val="0055308F"/>
    <w:rsid w:val="00553503"/>
    <w:rsid w:val="00553767"/>
    <w:rsid w:val="00553A0C"/>
    <w:rsid w:val="00553DBA"/>
    <w:rsid w:val="00553FF0"/>
    <w:rsid w:val="005542DA"/>
    <w:rsid w:val="00554460"/>
    <w:rsid w:val="00554C3D"/>
    <w:rsid w:val="0055693F"/>
    <w:rsid w:val="00556CB3"/>
    <w:rsid w:val="00557264"/>
    <w:rsid w:val="005572C0"/>
    <w:rsid w:val="00557B13"/>
    <w:rsid w:val="00557FA4"/>
    <w:rsid w:val="00560063"/>
    <w:rsid w:val="00560161"/>
    <w:rsid w:val="00560267"/>
    <w:rsid w:val="005602C9"/>
    <w:rsid w:val="0056087D"/>
    <w:rsid w:val="00560B5A"/>
    <w:rsid w:val="00560B6A"/>
    <w:rsid w:val="00560DE6"/>
    <w:rsid w:val="0056120A"/>
    <w:rsid w:val="00561338"/>
    <w:rsid w:val="00561608"/>
    <w:rsid w:val="0056161A"/>
    <w:rsid w:val="00561636"/>
    <w:rsid w:val="00561B89"/>
    <w:rsid w:val="00561EBB"/>
    <w:rsid w:val="005620C0"/>
    <w:rsid w:val="00562245"/>
    <w:rsid w:val="005625C3"/>
    <w:rsid w:val="0056297C"/>
    <w:rsid w:val="00562C45"/>
    <w:rsid w:val="00562C50"/>
    <w:rsid w:val="00562E7E"/>
    <w:rsid w:val="00563C33"/>
    <w:rsid w:val="005649CC"/>
    <w:rsid w:val="00564F2B"/>
    <w:rsid w:val="00565794"/>
    <w:rsid w:val="005658BF"/>
    <w:rsid w:val="00565A87"/>
    <w:rsid w:val="00565AE2"/>
    <w:rsid w:val="00566237"/>
    <w:rsid w:val="00566254"/>
    <w:rsid w:val="0056655B"/>
    <w:rsid w:val="005665DE"/>
    <w:rsid w:val="00567420"/>
    <w:rsid w:val="00570A47"/>
    <w:rsid w:val="00570C4D"/>
    <w:rsid w:val="005719E5"/>
    <w:rsid w:val="00571A6E"/>
    <w:rsid w:val="00571A95"/>
    <w:rsid w:val="00572227"/>
    <w:rsid w:val="005731B3"/>
    <w:rsid w:val="00573AB0"/>
    <w:rsid w:val="00574500"/>
    <w:rsid w:val="00574FA1"/>
    <w:rsid w:val="005763EB"/>
    <w:rsid w:val="00576466"/>
    <w:rsid w:val="005764F8"/>
    <w:rsid w:val="00576AF5"/>
    <w:rsid w:val="00576B4D"/>
    <w:rsid w:val="005779A1"/>
    <w:rsid w:val="00577BB3"/>
    <w:rsid w:val="00577F9E"/>
    <w:rsid w:val="005806D3"/>
    <w:rsid w:val="00580956"/>
    <w:rsid w:val="00580A10"/>
    <w:rsid w:val="00580D30"/>
    <w:rsid w:val="00582561"/>
    <w:rsid w:val="005825D5"/>
    <w:rsid w:val="00582AEA"/>
    <w:rsid w:val="00582D08"/>
    <w:rsid w:val="00582FE8"/>
    <w:rsid w:val="00583903"/>
    <w:rsid w:val="00583ACB"/>
    <w:rsid w:val="0058446E"/>
    <w:rsid w:val="00584970"/>
    <w:rsid w:val="00584B12"/>
    <w:rsid w:val="00584BC2"/>
    <w:rsid w:val="00585447"/>
    <w:rsid w:val="005858B4"/>
    <w:rsid w:val="00586149"/>
    <w:rsid w:val="00586788"/>
    <w:rsid w:val="005867F5"/>
    <w:rsid w:val="00586EA7"/>
    <w:rsid w:val="00587406"/>
    <w:rsid w:val="005877B2"/>
    <w:rsid w:val="00587E86"/>
    <w:rsid w:val="005900B8"/>
    <w:rsid w:val="005906A5"/>
    <w:rsid w:val="00590C57"/>
    <w:rsid w:val="00590C83"/>
    <w:rsid w:val="00590E1E"/>
    <w:rsid w:val="00591923"/>
    <w:rsid w:val="00591D85"/>
    <w:rsid w:val="00591FD5"/>
    <w:rsid w:val="005926D0"/>
    <w:rsid w:val="00592D5A"/>
    <w:rsid w:val="00592ED3"/>
    <w:rsid w:val="005937CB"/>
    <w:rsid w:val="00593D1B"/>
    <w:rsid w:val="00593F66"/>
    <w:rsid w:val="00594D21"/>
    <w:rsid w:val="00594E50"/>
    <w:rsid w:val="005954F3"/>
    <w:rsid w:val="005955F7"/>
    <w:rsid w:val="00595830"/>
    <w:rsid w:val="00596427"/>
    <w:rsid w:val="00597135"/>
    <w:rsid w:val="005A0008"/>
    <w:rsid w:val="005A100F"/>
    <w:rsid w:val="005A148D"/>
    <w:rsid w:val="005A155E"/>
    <w:rsid w:val="005A1B6C"/>
    <w:rsid w:val="005A1E2D"/>
    <w:rsid w:val="005A224D"/>
    <w:rsid w:val="005A22ED"/>
    <w:rsid w:val="005A2317"/>
    <w:rsid w:val="005A2CD1"/>
    <w:rsid w:val="005A325F"/>
    <w:rsid w:val="005A3A70"/>
    <w:rsid w:val="005A3BB2"/>
    <w:rsid w:val="005A3CAD"/>
    <w:rsid w:val="005A402E"/>
    <w:rsid w:val="005A40F3"/>
    <w:rsid w:val="005A41A6"/>
    <w:rsid w:val="005A4243"/>
    <w:rsid w:val="005A4965"/>
    <w:rsid w:val="005A505B"/>
    <w:rsid w:val="005A562E"/>
    <w:rsid w:val="005A5742"/>
    <w:rsid w:val="005A5A3A"/>
    <w:rsid w:val="005A629E"/>
    <w:rsid w:val="005A63DA"/>
    <w:rsid w:val="005A6538"/>
    <w:rsid w:val="005A7280"/>
    <w:rsid w:val="005A728B"/>
    <w:rsid w:val="005A72A4"/>
    <w:rsid w:val="005A7840"/>
    <w:rsid w:val="005A7A66"/>
    <w:rsid w:val="005A7F70"/>
    <w:rsid w:val="005A7F78"/>
    <w:rsid w:val="005B00B5"/>
    <w:rsid w:val="005B07B1"/>
    <w:rsid w:val="005B11E7"/>
    <w:rsid w:val="005B12A2"/>
    <w:rsid w:val="005B138C"/>
    <w:rsid w:val="005B16D4"/>
    <w:rsid w:val="005B1E12"/>
    <w:rsid w:val="005B2AB0"/>
    <w:rsid w:val="005B2DCA"/>
    <w:rsid w:val="005B3124"/>
    <w:rsid w:val="005B3317"/>
    <w:rsid w:val="005B3992"/>
    <w:rsid w:val="005B39D2"/>
    <w:rsid w:val="005B3E6A"/>
    <w:rsid w:val="005B4289"/>
    <w:rsid w:val="005B42BF"/>
    <w:rsid w:val="005B4DBA"/>
    <w:rsid w:val="005B5369"/>
    <w:rsid w:val="005B53AC"/>
    <w:rsid w:val="005B703F"/>
    <w:rsid w:val="005B76FA"/>
    <w:rsid w:val="005B7BCE"/>
    <w:rsid w:val="005C0409"/>
    <w:rsid w:val="005C0826"/>
    <w:rsid w:val="005C0AB3"/>
    <w:rsid w:val="005C0FF7"/>
    <w:rsid w:val="005C16C2"/>
    <w:rsid w:val="005C2590"/>
    <w:rsid w:val="005C296F"/>
    <w:rsid w:val="005C2D37"/>
    <w:rsid w:val="005C2D80"/>
    <w:rsid w:val="005C3011"/>
    <w:rsid w:val="005C33B4"/>
    <w:rsid w:val="005C35B0"/>
    <w:rsid w:val="005C3C04"/>
    <w:rsid w:val="005C4623"/>
    <w:rsid w:val="005C53DB"/>
    <w:rsid w:val="005C59F0"/>
    <w:rsid w:val="005C6482"/>
    <w:rsid w:val="005C65D2"/>
    <w:rsid w:val="005C6B56"/>
    <w:rsid w:val="005C6B92"/>
    <w:rsid w:val="005C6FEA"/>
    <w:rsid w:val="005C7AF4"/>
    <w:rsid w:val="005C7FE6"/>
    <w:rsid w:val="005C7FE8"/>
    <w:rsid w:val="005D0649"/>
    <w:rsid w:val="005D099E"/>
    <w:rsid w:val="005D0A7F"/>
    <w:rsid w:val="005D0A81"/>
    <w:rsid w:val="005D0DC7"/>
    <w:rsid w:val="005D1183"/>
    <w:rsid w:val="005D15E8"/>
    <w:rsid w:val="005D1AFB"/>
    <w:rsid w:val="005D1BDD"/>
    <w:rsid w:val="005D2150"/>
    <w:rsid w:val="005D24F6"/>
    <w:rsid w:val="005D26C5"/>
    <w:rsid w:val="005D30A0"/>
    <w:rsid w:val="005D30AB"/>
    <w:rsid w:val="005D31E1"/>
    <w:rsid w:val="005D3476"/>
    <w:rsid w:val="005D3DBE"/>
    <w:rsid w:val="005D3E75"/>
    <w:rsid w:val="005D3F2D"/>
    <w:rsid w:val="005D3F4E"/>
    <w:rsid w:val="005D3F87"/>
    <w:rsid w:val="005D41DA"/>
    <w:rsid w:val="005D4D9B"/>
    <w:rsid w:val="005D4E9A"/>
    <w:rsid w:val="005D565F"/>
    <w:rsid w:val="005D589C"/>
    <w:rsid w:val="005D6074"/>
    <w:rsid w:val="005D628E"/>
    <w:rsid w:val="005D6C5C"/>
    <w:rsid w:val="005D70A7"/>
    <w:rsid w:val="005D761A"/>
    <w:rsid w:val="005D7653"/>
    <w:rsid w:val="005D7D43"/>
    <w:rsid w:val="005D7EA5"/>
    <w:rsid w:val="005D7F1D"/>
    <w:rsid w:val="005E12FC"/>
    <w:rsid w:val="005E2E9C"/>
    <w:rsid w:val="005E2F1B"/>
    <w:rsid w:val="005E335B"/>
    <w:rsid w:val="005E38AF"/>
    <w:rsid w:val="005E40BE"/>
    <w:rsid w:val="005E43CC"/>
    <w:rsid w:val="005E4DBD"/>
    <w:rsid w:val="005E6213"/>
    <w:rsid w:val="005E66D6"/>
    <w:rsid w:val="005E6AD9"/>
    <w:rsid w:val="005E6E04"/>
    <w:rsid w:val="005E71A5"/>
    <w:rsid w:val="005E7466"/>
    <w:rsid w:val="005E7754"/>
    <w:rsid w:val="005E7E67"/>
    <w:rsid w:val="005E7E7E"/>
    <w:rsid w:val="005F018D"/>
    <w:rsid w:val="005F12AC"/>
    <w:rsid w:val="005F188F"/>
    <w:rsid w:val="005F1A63"/>
    <w:rsid w:val="005F1EF0"/>
    <w:rsid w:val="005F255A"/>
    <w:rsid w:val="005F27BB"/>
    <w:rsid w:val="005F2D77"/>
    <w:rsid w:val="005F307D"/>
    <w:rsid w:val="005F343F"/>
    <w:rsid w:val="005F36F2"/>
    <w:rsid w:val="005F44AA"/>
    <w:rsid w:val="005F475F"/>
    <w:rsid w:val="005F4C6E"/>
    <w:rsid w:val="005F4DB9"/>
    <w:rsid w:val="005F50F5"/>
    <w:rsid w:val="005F52BD"/>
    <w:rsid w:val="005F587F"/>
    <w:rsid w:val="005F5D49"/>
    <w:rsid w:val="005F5DBA"/>
    <w:rsid w:val="005F5FB9"/>
    <w:rsid w:val="005F6D29"/>
    <w:rsid w:val="005F6FF1"/>
    <w:rsid w:val="005F71C2"/>
    <w:rsid w:val="005F7351"/>
    <w:rsid w:val="005F7634"/>
    <w:rsid w:val="005F781B"/>
    <w:rsid w:val="005F79E9"/>
    <w:rsid w:val="005F7E4C"/>
    <w:rsid w:val="00600A39"/>
    <w:rsid w:val="00600A9D"/>
    <w:rsid w:val="00600EA7"/>
    <w:rsid w:val="00601037"/>
    <w:rsid w:val="0060128C"/>
    <w:rsid w:val="00601415"/>
    <w:rsid w:val="006018E8"/>
    <w:rsid w:val="006021B7"/>
    <w:rsid w:val="0060223E"/>
    <w:rsid w:val="006027E9"/>
    <w:rsid w:val="00602B86"/>
    <w:rsid w:val="006031DA"/>
    <w:rsid w:val="00603AE8"/>
    <w:rsid w:val="0060409C"/>
    <w:rsid w:val="006041F2"/>
    <w:rsid w:val="006042DA"/>
    <w:rsid w:val="00604519"/>
    <w:rsid w:val="0060498F"/>
    <w:rsid w:val="00604C30"/>
    <w:rsid w:val="00604FF4"/>
    <w:rsid w:val="00605096"/>
    <w:rsid w:val="00605211"/>
    <w:rsid w:val="00605DF5"/>
    <w:rsid w:val="00606651"/>
    <w:rsid w:val="006070A1"/>
    <w:rsid w:val="006072D3"/>
    <w:rsid w:val="006072F7"/>
    <w:rsid w:val="006075CA"/>
    <w:rsid w:val="00607EEE"/>
    <w:rsid w:val="00607FDC"/>
    <w:rsid w:val="006102AF"/>
    <w:rsid w:val="006109C8"/>
    <w:rsid w:val="00610C4A"/>
    <w:rsid w:val="006114B9"/>
    <w:rsid w:val="0061195A"/>
    <w:rsid w:val="00611C5A"/>
    <w:rsid w:val="00611DF4"/>
    <w:rsid w:val="00612785"/>
    <w:rsid w:val="00612B69"/>
    <w:rsid w:val="00612CC3"/>
    <w:rsid w:val="00612CFC"/>
    <w:rsid w:val="006136D4"/>
    <w:rsid w:val="00613D92"/>
    <w:rsid w:val="00613FA7"/>
    <w:rsid w:val="00614050"/>
    <w:rsid w:val="0061438C"/>
    <w:rsid w:val="00614811"/>
    <w:rsid w:val="0061491B"/>
    <w:rsid w:val="00614E90"/>
    <w:rsid w:val="00615398"/>
    <w:rsid w:val="00615628"/>
    <w:rsid w:val="006156C4"/>
    <w:rsid w:val="00615CB3"/>
    <w:rsid w:val="00615E73"/>
    <w:rsid w:val="00616069"/>
    <w:rsid w:val="006164B6"/>
    <w:rsid w:val="0061692E"/>
    <w:rsid w:val="00616B38"/>
    <w:rsid w:val="00617346"/>
    <w:rsid w:val="006178B2"/>
    <w:rsid w:val="00617AA3"/>
    <w:rsid w:val="00617CA4"/>
    <w:rsid w:val="006200F2"/>
    <w:rsid w:val="006202BF"/>
    <w:rsid w:val="00620762"/>
    <w:rsid w:val="00620807"/>
    <w:rsid w:val="00620811"/>
    <w:rsid w:val="00620871"/>
    <w:rsid w:val="0062121D"/>
    <w:rsid w:val="00621C92"/>
    <w:rsid w:val="00621E83"/>
    <w:rsid w:val="00622144"/>
    <w:rsid w:val="0062265B"/>
    <w:rsid w:val="006226AE"/>
    <w:rsid w:val="00622833"/>
    <w:rsid w:val="00622979"/>
    <w:rsid w:val="00622A13"/>
    <w:rsid w:val="00622BF0"/>
    <w:rsid w:val="00622D60"/>
    <w:rsid w:val="006230AB"/>
    <w:rsid w:val="00624227"/>
    <w:rsid w:val="00624274"/>
    <w:rsid w:val="00624351"/>
    <w:rsid w:val="00624450"/>
    <w:rsid w:val="00624887"/>
    <w:rsid w:val="006249D3"/>
    <w:rsid w:val="00624C55"/>
    <w:rsid w:val="0062580C"/>
    <w:rsid w:val="006258F3"/>
    <w:rsid w:val="00625BF5"/>
    <w:rsid w:val="006262AD"/>
    <w:rsid w:val="00627602"/>
    <w:rsid w:val="0062776E"/>
    <w:rsid w:val="00627C5E"/>
    <w:rsid w:val="006305D0"/>
    <w:rsid w:val="006307EA"/>
    <w:rsid w:val="0063095B"/>
    <w:rsid w:val="00630B85"/>
    <w:rsid w:val="00630F20"/>
    <w:rsid w:val="00630F79"/>
    <w:rsid w:val="006311B6"/>
    <w:rsid w:val="00631BA6"/>
    <w:rsid w:val="00631BC3"/>
    <w:rsid w:val="00632353"/>
    <w:rsid w:val="006323F9"/>
    <w:rsid w:val="00633E7C"/>
    <w:rsid w:val="00633EE0"/>
    <w:rsid w:val="00634187"/>
    <w:rsid w:val="00634665"/>
    <w:rsid w:val="006348EE"/>
    <w:rsid w:val="00634BFA"/>
    <w:rsid w:val="00634C39"/>
    <w:rsid w:val="0063537E"/>
    <w:rsid w:val="006353E1"/>
    <w:rsid w:val="006365BD"/>
    <w:rsid w:val="00636CFB"/>
    <w:rsid w:val="0063700B"/>
    <w:rsid w:val="00637396"/>
    <w:rsid w:val="0063758D"/>
    <w:rsid w:val="0063777A"/>
    <w:rsid w:val="00637DD5"/>
    <w:rsid w:val="00641201"/>
    <w:rsid w:val="00641486"/>
    <w:rsid w:val="006414AE"/>
    <w:rsid w:val="006417E5"/>
    <w:rsid w:val="0064188B"/>
    <w:rsid w:val="00641A92"/>
    <w:rsid w:val="00641FDA"/>
    <w:rsid w:val="0064212C"/>
    <w:rsid w:val="00642501"/>
    <w:rsid w:val="00642B58"/>
    <w:rsid w:val="00643C1B"/>
    <w:rsid w:val="0064421C"/>
    <w:rsid w:val="006446E2"/>
    <w:rsid w:val="00644AA7"/>
    <w:rsid w:val="00644E43"/>
    <w:rsid w:val="006454C6"/>
    <w:rsid w:val="00645F7F"/>
    <w:rsid w:val="0064606A"/>
    <w:rsid w:val="00647547"/>
    <w:rsid w:val="00647C9A"/>
    <w:rsid w:val="006504D3"/>
    <w:rsid w:val="00650AFA"/>
    <w:rsid w:val="00650F78"/>
    <w:rsid w:val="00651115"/>
    <w:rsid w:val="0065144E"/>
    <w:rsid w:val="0065150A"/>
    <w:rsid w:val="00651BE3"/>
    <w:rsid w:val="00651DDE"/>
    <w:rsid w:val="006533C7"/>
    <w:rsid w:val="006536FB"/>
    <w:rsid w:val="00653C02"/>
    <w:rsid w:val="00653EDC"/>
    <w:rsid w:val="0065440C"/>
    <w:rsid w:val="00654ECE"/>
    <w:rsid w:val="00654F44"/>
    <w:rsid w:val="006553A6"/>
    <w:rsid w:val="00655D10"/>
    <w:rsid w:val="00655DBD"/>
    <w:rsid w:val="00655E0B"/>
    <w:rsid w:val="00655F1F"/>
    <w:rsid w:val="006561A0"/>
    <w:rsid w:val="006569AE"/>
    <w:rsid w:val="00656A03"/>
    <w:rsid w:val="00656C5F"/>
    <w:rsid w:val="00656FC0"/>
    <w:rsid w:val="006577C1"/>
    <w:rsid w:val="00657ADB"/>
    <w:rsid w:val="00657BA0"/>
    <w:rsid w:val="00657DDD"/>
    <w:rsid w:val="00660927"/>
    <w:rsid w:val="00660B89"/>
    <w:rsid w:val="0066114B"/>
    <w:rsid w:val="0066142C"/>
    <w:rsid w:val="0066152E"/>
    <w:rsid w:val="0066159B"/>
    <w:rsid w:val="00661AF9"/>
    <w:rsid w:val="0066256A"/>
    <w:rsid w:val="00662799"/>
    <w:rsid w:val="00662A7C"/>
    <w:rsid w:val="00662E9E"/>
    <w:rsid w:val="00662ED9"/>
    <w:rsid w:val="00663EDE"/>
    <w:rsid w:val="00663F76"/>
    <w:rsid w:val="00664C82"/>
    <w:rsid w:val="00665890"/>
    <w:rsid w:val="00665FDE"/>
    <w:rsid w:val="00667BE5"/>
    <w:rsid w:val="00667CFA"/>
    <w:rsid w:val="0067014E"/>
    <w:rsid w:val="00670C78"/>
    <w:rsid w:val="0067146F"/>
    <w:rsid w:val="00671559"/>
    <w:rsid w:val="006717CF"/>
    <w:rsid w:val="00671A1A"/>
    <w:rsid w:val="00672291"/>
    <w:rsid w:val="00672965"/>
    <w:rsid w:val="00672A32"/>
    <w:rsid w:val="006732EF"/>
    <w:rsid w:val="006735B6"/>
    <w:rsid w:val="0067505D"/>
    <w:rsid w:val="00675451"/>
    <w:rsid w:val="00675490"/>
    <w:rsid w:val="006755CF"/>
    <w:rsid w:val="00675820"/>
    <w:rsid w:val="00675C04"/>
    <w:rsid w:val="00675EDE"/>
    <w:rsid w:val="0067601C"/>
    <w:rsid w:val="006766F6"/>
    <w:rsid w:val="006769D1"/>
    <w:rsid w:val="006770E5"/>
    <w:rsid w:val="00680522"/>
    <w:rsid w:val="00680CEC"/>
    <w:rsid w:val="00680DE7"/>
    <w:rsid w:val="00681473"/>
    <w:rsid w:val="00681517"/>
    <w:rsid w:val="0068227F"/>
    <w:rsid w:val="00682285"/>
    <w:rsid w:val="00682D7C"/>
    <w:rsid w:val="006838C6"/>
    <w:rsid w:val="006839FF"/>
    <w:rsid w:val="00683F02"/>
    <w:rsid w:val="00684108"/>
    <w:rsid w:val="006841FF"/>
    <w:rsid w:val="0068464B"/>
    <w:rsid w:val="0068472A"/>
    <w:rsid w:val="0068485E"/>
    <w:rsid w:val="006849B6"/>
    <w:rsid w:val="00684ED5"/>
    <w:rsid w:val="00685412"/>
    <w:rsid w:val="0068567E"/>
    <w:rsid w:val="006859CD"/>
    <w:rsid w:val="00685A49"/>
    <w:rsid w:val="00685ECA"/>
    <w:rsid w:val="00686CFB"/>
    <w:rsid w:val="00687CA0"/>
    <w:rsid w:val="00687EAC"/>
    <w:rsid w:val="00690456"/>
    <w:rsid w:val="006904DD"/>
    <w:rsid w:val="00690BD2"/>
    <w:rsid w:val="00690D40"/>
    <w:rsid w:val="0069158D"/>
    <w:rsid w:val="00692221"/>
    <w:rsid w:val="00692480"/>
    <w:rsid w:val="006925BC"/>
    <w:rsid w:val="00692B3C"/>
    <w:rsid w:val="00693583"/>
    <w:rsid w:val="00693D0E"/>
    <w:rsid w:val="00693F19"/>
    <w:rsid w:val="006940EF"/>
    <w:rsid w:val="006942B9"/>
    <w:rsid w:val="006946FD"/>
    <w:rsid w:val="00694E51"/>
    <w:rsid w:val="00694EB7"/>
    <w:rsid w:val="006950F6"/>
    <w:rsid w:val="00695195"/>
    <w:rsid w:val="006960CB"/>
    <w:rsid w:val="0069630B"/>
    <w:rsid w:val="0069674C"/>
    <w:rsid w:val="00696C81"/>
    <w:rsid w:val="00696D8F"/>
    <w:rsid w:val="006970C4"/>
    <w:rsid w:val="006971B3"/>
    <w:rsid w:val="00697380"/>
    <w:rsid w:val="006977F0"/>
    <w:rsid w:val="006A0B3D"/>
    <w:rsid w:val="006A0E0B"/>
    <w:rsid w:val="006A0EB4"/>
    <w:rsid w:val="006A1A81"/>
    <w:rsid w:val="006A1B16"/>
    <w:rsid w:val="006A1B5C"/>
    <w:rsid w:val="006A1BB4"/>
    <w:rsid w:val="006A1C63"/>
    <w:rsid w:val="006A2574"/>
    <w:rsid w:val="006A257B"/>
    <w:rsid w:val="006A26D6"/>
    <w:rsid w:val="006A43BC"/>
    <w:rsid w:val="006A4500"/>
    <w:rsid w:val="006A48DA"/>
    <w:rsid w:val="006A4ADE"/>
    <w:rsid w:val="006A4E09"/>
    <w:rsid w:val="006A4F49"/>
    <w:rsid w:val="006A5A38"/>
    <w:rsid w:val="006A5E15"/>
    <w:rsid w:val="006A6109"/>
    <w:rsid w:val="006A62D1"/>
    <w:rsid w:val="006A7546"/>
    <w:rsid w:val="006A7651"/>
    <w:rsid w:val="006A7909"/>
    <w:rsid w:val="006A7E5E"/>
    <w:rsid w:val="006B03C2"/>
    <w:rsid w:val="006B0FC1"/>
    <w:rsid w:val="006B11EC"/>
    <w:rsid w:val="006B1A30"/>
    <w:rsid w:val="006B29A8"/>
    <w:rsid w:val="006B2A10"/>
    <w:rsid w:val="006B2D1D"/>
    <w:rsid w:val="006B2F1E"/>
    <w:rsid w:val="006B44C9"/>
    <w:rsid w:val="006B4A87"/>
    <w:rsid w:val="006B5411"/>
    <w:rsid w:val="006B544F"/>
    <w:rsid w:val="006B5E84"/>
    <w:rsid w:val="006B64EA"/>
    <w:rsid w:val="006B6F0C"/>
    <w:rsid w:val="006B719D"/>
    <w:rsid w:val="006B727C"/>
    <w:rsid w:val="006B7C48"/>
    <w:rsid w:val="006B7F39"/>
    <w:rsid w:val="006C015E"/>
    <w:rsid w:val="006C02EC"/>
    <w:rsid w:val="006C0E4B"/>
    <w:rsid w:val="006C11DF"/>
    <w:rsid w:val="006C1401"/>
    <w:rsid w:val="006C17FF"/>
    <w:rsid w:val="006C1B47"/>
    <w:rsid w:val="006C1B6C"/>
    <w:rsid w:val="006C1EC2"/>
    <w:rsid w:val="006C2572"/>
    <w:rsid w:val="006C282C"/>
    <w:rsid w:val="006C2B55"/>
    <w:rsid w:val="006C38C5"/>
    <w:rsid w:val="006C421F"/>
    <w:rsid w:val="006C4325"/>
    <w:rsid w:val="006C43F5"/>
    <w:rsid w:val="006C46BB"/>
    <w:rsid w:val="006C4931"/>
    <w:rsid w:val="006C499D"/>
    <w:rsid w:val="006C49B8"/>
    <w:rsid w:val="006C4A22"/>
    <w:rsid w:val="006C4EE8"/>
    <w:rsid w:val="006C5103"/>
    <w:rsid w:val="006C5118"/>
    <w:rsid w:val="006C545B"/>
    <w:rsid w:val="006C56A7"/>
    <w:rsid w:val="006C5BAF"/>
    <w:rsid w:val="006C60B9"/>
    <w:rsid w:val="006C7233"/>
    <w:rsid w:val="006C763B"/>
    <w:rsid w:val="006C7C73"/>
    <w:rsid w:val="006C7CAE"/>
    <w:rsid w:val="006C7CBF"/>
    <w:rsid w:val="006C7E12"/>
    <w:rsid w:val="006D039D"/>
    <w:rsid w:val="006D0B92"/>
    <w:rsid w:val="006D0C67"/>
    <w:rsid w:val="006D0C99"/>
    <w:rsid w:val="006D1371"/>
    <w:rsid w:val="006D1A7D"/>
    <w:rsid w:val="006D1CE3"/>
    <w:rsid w:val="006D1D05"/>
    <w:rsid w:val="006D24DD"/>
    <w:rsid w:val="006D31F1"/>
    <w:rsid w:val="006D3373"/>
    <w:rsid w:val="006D3A77"/>
    <w:rsid w:val="006D3C37"/>
    <w:rsid w:val="006D4076"/>
    <w:rsid w:val="006D4722"/>
    <w:rsid w:val="006D4C07"/>
    <w:rsid w:val="006D4CC4"/>
    <w:rsid w:val="006D5568"/>
    <w:rsid w:val="006D55EA"/>
    <w:rsid w:val="006D5733"/>
    <w:rsid w:val="006D5948"/>
    <w:rsid w:val="006D5F92"/>
    <w:rsid w:val="006D6AFB"/>
    <w:rsid w:val="006D6B58"/>
    <w:rsid w:val="006D70C2"/>
    <w:rsid w:val="006D7159"/>
    <w:rsid w:val="006D7DE7"/>
    <w:rsid w:val="006D7E0B"/>
    <w:rsid w:val="006E0099"/>
    <w:rsid w:val="006E01D1"/>
    <w:rsid w:val="006E04C3"/>
    <w:rsid w:val="006E0A8C"/>
    <w:rsid w:val="006E1978"/>
    <w:rsid w:val="006E1A6C"/>
    <w:rsid w:val="006E1B06"/>
    <w:rsid w:val="006E216F"/>
    <w:rsid w:val="006E21B1"/>
    <w:rsid w:val="006E234A"/>
    <w:rsid w:val="006E2C28"/>
    <w:rsid w:val="006E3336"/>
    <w:rsid w:val="006E3443"/>
    <w:rsid w:val="006E473B"/>
    <w:rsid w:val="006E4B34"/>
    <w:rsid w:val="006E5675"/>
    <w:rsid w:val="006E57F6"/>
    <w:rsid w:val="006E5873"/>
    <w:rsid w:val="006E59FC"/>
    <w:rsid w:val="006E5E60"/>
    <w:rsid w:val="006E745D"/>
    <w:rsid w:val="006E75C5"/>
    <w:rsid w:val="006F02DA"/>
    <w:rsid w:val="006F0FE0"/>
    <w:rsid w:val="006F1605"/>
    <w:rsid w:val="006F177F"/>
    <w:rsid w:val="006F24D7"/>
    <w:rsid w:val="006F2778"/>
    <w:rsid w:val="006F279F"/>
    <w:rsid w:val="006F29CF"/>
    <w:rsid w:val="006F2D8A"/>
    <w:rsid w:val="006F2F22"/>
    <w:rsid w:val="006F32A7"/>
    <w:rsid w:val="006F3534"/>
    <w:rsid w:val="006F36FD"/>
    <w:rsid w:val="006F3E3B"/>
    <w:rsid w:val="006F3EF7"/>
    <w:rsid w:val="006F472F"/>
    <w:rsid w:val="006F48FD"/>
    <w:rsid w:val="006F4CA8"/>
    <w:rsid w:val="006F4F1F"/>
    <w:rsid w:val="006F5128"/>
    <w:rsid w:val="006F5538"/>
    <w:rsid w:val="006F5829"/>
    <w:rsid w:val="006F5AA5"/>
    <w:rsid w:val="006F60B8"/>
    <w:rsid w:val="006F6263"/>
    <w:rsid w:val="006F64BD"/>
    <w:rsid w:val="006F6837"/>
    <w:rsid w:val="006F6DD4"/>
    <w:rsid w:val="006F7332"/>
    <w:rsid w:val="006F797E"/>
    <w:rsid w:val="006F7EBF"/>
    <w:rsid w:val="007001A9"/>
    <w:rsid w:val="00701190"/>
    <w:rsid w:val="007016F4"/>
    <w:rsid w:val="0070223C"/>
    <w:rsid w:val="0070238B"/>
    <w:rsid w:val="00702DAB"/>
    <w:rsid w:val="007030AA"/>
    <w:rsid w:val="00704035"/>
    <w:rsid w:val="00704333"/>
    <w:rsid w:val="00704C15"/>
    <w:rsid w:val="00704C1D"/>
    <w:rsid w:val="007052D8"/>
    <w:rsid w:val="0070533E"/>
    <w:rsid w:val="007058B5"/>
    <w:rsid w:val="00706551"/>
    <w:rsid w:val="00707168"/>
    <w:rsid w:val="007072B5"/>
    <w:rsid w:val="007076DA"/>
    <w:rsid w:val="00707759"/>
    <w:rsid w:val="007079C4"/>
    <w:rsid w:val="00707A12"/>
    <w:rsid w:val="00710688"/>
    <w:rsid w:val="00710D5B"/>
    <w:rsid w:val="00711883"/>
    <w:rsid w:val="00711B4B"/>
    <w:rsid w:val="007123EF"/>
    <w:rsid w:val="00712528"/>
    <w:rsid w:val="00712E59"/>
    <w:rsid w:val="00712F89"/>
    <w:rsid w:val="00713A17"/>
    <w:rsid w:val="00713A7B"/>
    <w:rsid w:val="00713FB5"/>
    <w:rsid w:val="007143CF"/>
    <w:rsid w:val="007153FD"/>
    <w:rsid w:val="00715689"/>
    <w:rsid w:val="00715EB0"/>
    <w:rsid w:val="00716514"/>
    <w:rsid w:val="007170C6"/>
    <w:rsid w:val="007171D6"/>
    <w:rsid w:val="007179DA"/>
    <w:rsid w:val="00717DC8"/>
    <w:rsid w:val="00720007"/>
    <w:rsid w:val="007205AC"/>
    <w:rsid w:val="0072136D"/>
    <w:rsid w:val="00721446"/>
    <w:rsid w:val="00721554"/>
    <w:rsid w:val="007223C5"/>
    <w:rsid w:val="0072247E"/>
    <w:rsid w:val="00722543"/>
    <w:rsid w:val="0072265C"/>
    <w:rsid w:val="0072271E"/>
    <w:rsid w:val="00722C2E"/>
    <w:rsid w:val="00723373"/>
    <w:rsid w:val="00723441"/>
    <w:rsid w:val="007235ED"/>
    <w:rsid w:val="00723D53"/>
    <w:rsid w:val="00723D79"/>
    <w:rsid w:val="00723D92"/>
    <w:rsid w:val="00723E35"/>
    <w:rsid w:val="00724204"/>
    <w:rsid w:val="007243DF"/>
    <w:rsid w:val="007245CE"/>
    <w:rsid w:val="00724967"/>
    <w:rsid w:val="00724DDD"/>
    <w:rsid w:val="0072507F"/>
    <w:rsid w:val="00725081"/>
    <w:rsid w:val="007254D4"/>
    <w:rsid w:val="007257D6"/>
    <w:rsid w:val="0072642A"/>
    <w:rsid w:val="0072678F"/>
    <w:rsid w:val="007268A4"/>
    <w:rsid w:val="00727219"/>
    <w:rsid w:val="00727C84"/>
    <w:rsid w:val="00730541"/>
    <w:rsid w:val="00730740"/>
    <w:rsid w:val="0073093E"/>
    <w:rsid w:val="00731954"/>
    <w:rsid w:val="00731B81"/>
    <w:rsid w:val="00732102"/>
    <w:rsid w:val="007322E7"/>
    <w:rsid w:val="0073232C"/>
    <w:rsid w:val="00732491"/>
    <w:rsid w:val="00732666"/>
    <w:rsid w:val="00733139"/>
    <w:rsid w:val="00733C0C"/>
    <w:rsid w:val="00733EC6"/>
    <w:rsid w:val="0073418C"/>
    <w:rsid w:val="00734FE7"/>
    <w:rsid w:val="00735150"/>
    <w:rsid w:val="00735A70"/>
    <w:rsid w:val="00736008"/>
    <w:rsid w:val="00736623"/>
    <w:rsid w:val="0073669D"/>
    <w:rsid w:val="0073673F"/>
    <w:rsid w:val="00736D68"/>
    <w:rsid w:val="00736FED"/>
    <w:rsid w:val="00737C45"/>
    <w:rsid w:val="00737F2A"/>
    <w:rsid w:val="00740A03"/>
    <w:rsid w:val="0074116C"/>
    <w:rsid w:val="007415F9"/>
    <w:rsid w:val="007416B1"/>
    <w:rsid w:val="00742518"/>
    <w:rsid w:val="007427E3"/>
    <w:rsid w:val="00742B0E"/>
    <w:rsid w:val="007433C4"/>
    <w:rsid w:val="00743607"/>
    <w:rsid w:val="007446FF"/>
    <w:rsid w:val="00744A9B"/>
    <w:rsid w:val="007450CF"/>
    <w:rsid w:val="007459FE"/>
    <w:rsid w:val="00745DED"/>
    <w:rsid w:val="007462DD"/>
    <w:rsid w:val="0074643E"/>
    <w:rsid w:val="00746691"/>
    <w:rsid w:val="00746BF7"/>
    <w:rsid w:val="00747E6E"/>
    <w:rsid w:val="00747F7F"/>
    <w:rsid w:val="00750067"/>
    <w:rsid w:val="00750328"/>
    <w:rsid w:val="00750577"/>
    <w:rsid w:val="007506ED"/>
    <w:rsid w:val="0075129E"/>
    <w:rsid w:val="007513E0"/>
    <w:rsid w:val="007515F0"/>
    <w:rsid w:val="00751C4B"/>
    <w:rsid w:val="00751C71"/>
    <w:rsid w:val="00751E70"/>
    <w:rsid w:val="00751EA7"/>
    <w:rsid w:val="00751ED1"/>
    <w:rsid w:val="0075215F"/>
    <w:rsid w:val="007525AE"/>
    <w:rsid w:val="00752763"/>
    <w:rsid w:val="00752921"/>
    <w:rsid w:val="007529DD"/>
    <w:rsid w:val="00752C51"/>
    <w:rsid w:val="0075324C"/>
    <w:rsid w:val="007532EE"/>
    <w:rsid w:val="00753447"/>
    <w:rsid w:val="00753CB3"/>
    <w:rsid w:val="00754057"/>
    <w:rsid w:val="00754B7E"/>
    <w:rsid w:val="0075506A"/>
    <w:rsid w:val="00755719"/>
    <w:rsid w:val="00755C78"/>
    <w:rsid w:val="00755E6B"/>
    <w:rsid w:val="00756717"/>
    <w:rsid w:val="00756CD1"/>
    <w:rsid w:val="00756D92"/>
    <w:rsid w:val="00757708"/>
    <w:rsid w:val="00757F2F"/>
    <w:rsid w:val="0076025E"/>
    <w:rsid w:val="00760307"/>
    <w:rsid w:val="00760373"/>
    <w:rsid w:val="0076068C"/>
    <w:rsid w:val="00760AB1"/>
    <w:rsid w:val="00760ED5"/>
    <w:rsid w:val="007611D2"/>
    <w:rsid w:val="0076129F"/>
    <w:rsid w:val="00761469"/>
    <w:rsid w:val="00761C33"/>
    <w:rsid w:val="00761D3D"/>
    <w:rsid w:val="0076234D"/>
    <w:rsid w:val="00762F59"/>
    <w:rsid w:val="007633BF"/>
    <w:rsid w:val="0076370B"/>
    <w:rsid w:val="00763825"/>
    <w:rsid w:val="00764262"/>
    <w:rsid w:val="00764D27"/>
    <w:rsid w:val="00764D4B"/>
    <w:rsid w:val="00765252"/>
    <w:rsid w:val="00765376"/>
    <w:rsid w:val="00765DEE"/>
    <w:rsid w:val="00765FBD"/>
    <w:rsid w:val="00766596"/>
    <w:rsid w:val="00766712"/>
    <w:rsid w:val="00766E32"/>
    <w:rsid w:val="007678FC"/>
    <w:rsid w:val="007704E8"/>
    <w:rsid w:val="0077070D"/>
    <w:rsid w:val="00770B72"/>
    <w:rsid w:val="00771431"/>
    <w:rsid w:val="007716F3"/>
    <w:rsid w:val="00771B01"/>
    <w:rsid w:val="00771D77"/>
    <w:rsid w:val="00772572"/>
    <w:rsid w:val="00772DCE"/>
    <w:rsid w:val="00772EA6"/>
    <w:rsid w:val="00773484"/>
    <w:rsid w:val="00773714"/>
    <w:rsid w:val="00773DCF"/>
    <w:rsid w:val="00773E46"/>
    <w:rsid w:val="00773EF4"/>
    <w:rsid w:val="00774331"/>
    <w:rsid w:val="00774AE9"/>
    <w:rsid w:val="007751C8"/>
    <w:rsid w:val="007754E5"/>
    <w:rsid w:val="007755D1"/>
    <w:rsid w:val="00776077"/>
    <w:rsid w:val="00776662"/>
    <w:rsid w:val="0077672F"/>
    <w:rsid w:val="007768A2"/>
    <w:rsid w:val="00776C7A"/>
    <w:rsid w:val="00777056"/>
    <w:rsid w:val="0077710D"/>
    <w:rsid w:val="00777799"/>
    <w:rsid w:val="007779B1"/>
    <w:rsid w:val="00777EA7"/>
    <w:rsid w:val="00777F51"/>
    <w:rsid w:val="00780E04"/>
    <w:rsid w:val="0078103E"/>
    <w:rsid w:val="00781386"/>
    <w:rsid w:val="0078176F"/>
    <w:rsid w:val="00781E2D"/>
    <w:rsid w:val="00782204"/>
    <w:rsid w:val="00782284"/>
    <w:rsid w:val="00782466"/>
    <w:rsid w:val="00782627"/>
    <w:rsid w:val="00783353"/>
    <w:rsid w:val="0078371D"/>
    <w:rsid w:val="00784246"/>
    <w:rsid w:val="00784326"/>
    <w:rsid w:val="0078449A"/>
    <w:rsid w:val="00784E1E"/>
    <w:rsid w:val="0078521C"/>
    <w:rsid w:val="00785561"/>
    <w:rsid w:val="00785D35"/>
    <w:rsid w:val="007864DA"/>
    <w:rsid w:val="00786B8C"/>
    <w:rsid w:val="0078709A"/>
    <w:rsid w:val="00787380"/>
    <w:rsid w:val="00790100"/>
    <w:rsid w:val="00790274"/>
    <w:rsid w:val="007911A6"/>
    <w:rsid w:val="00791266"/>
    <w:rsid w:val="00791401"/>
    <w:rsid w:val="00791872"/>
    <w:rsid w:val="00791F71"/>
    <w:rsid w:val="007922E6"/>
    <w:rsid w:val="00792CB9"/>
    <w:rsid w:val="00792DF3"/>
    <w:rsid w:val="00792F13"/>
    <w:rsid w:val="00793427"/>
    <w:rsid w:val="00793514"/>
    <w:rsid w:val="007937A4"/>
    <w:rsid w:val="007938CC"/>
    <w:rsid w:val="00794361"/>
    <w:rsid w:val="00794817"/>
    <w:rsid w:val="007952E9"/>
    <w:rsid w:val="00795776"/>
    <w:rsid w:val="00795AA7"/>
    <w:rsid w:val="00795D63"/>
    <w:rsid w:val="007960E7"/>
    <w:rsid w:val="00796122"/>
    <w:rsid w:val="007962D9"/>
    <w:rsid w:val="007964AD"/>
    <w:rsid w:val="0079660F"/>
    <w:rsid w:val="00797162"/>
    <w:rsid w:val="007973FC"/>
    <w:rsid w:val="00797B78"/>
    <w:rsid w:val="00797C30"/>
    <w:rsid w:val="00797F3E"/>
    <w:rsid w:val="007A0153"/>
    <w:rsid w:val="007A0665"/>
    <w:rsid w:val="007A0A6C"/>
    <w:rsid w:val="007A145D"/>
    <w:rsid w:val="007A17A6"/>
    <w:rsid w:val="007A1C5F"/>
    <w:rsid w:val="007A1E85"/>
    <w:rsid w:val="007A1FAA"/>
    <w:rsid w:val="007A25F0"/>
    <w:rsid w:val="007A26AC"/>
    <w:rsid w:val="007A2C50"/>
    <w:rsid w:val="007A2F1F"/>
    <w:rsid w:val="007A4093"/>
    <w:rsid w:val="007A4252"/>
    <w:rsid w:val="007A460B"/>
    <w:rsid w:val="007A47D5"/>
    <w:rsid w:val="007A5E59"/>
    <w:rsid w:val="007A677F"/>
    <w:rsid w:val="007A6C0A"/>
    <w:rsid w:val="007A70F8"/>
    <w:rsid w:val="007A721E"/>
    <w:rsid w:val="007A7271"/>
    <w:rsid w:val="007A7C49"/>
    <w:rsid w:val="007B0115"/>
    <w:rsid w:val="007B11D2"/>
    <w:rsid w:val="007B1BED"/>
    <w:rsid w:val="007B20C8"/>
    <w:rsid w:val="007B2935"/>
    <w:rsid w:val="007B29FB"/>
    <w:rsid w:val="007B3C99"/>
    <w:rsid w:val="007B3CE8"/>
    <w:rsid w:val="007B3D0D"/>
    <w:rsid w:val="007B3E48"/>
    <w:rsid w:val="007B3F45"/>
    <w:rsid w:val="007B4B84"/>
    <w:rsid w:val="007B601A"/>
    <w:rsid w:val="007B60C0"/>
    <w:rsid w:val="007B6539"/>
    <w:rsid w:val="007B674C"/>
    <w:rsid w:val="007B6A0F"/>
    <w:rsid w:val="007B6AFA"/>
    <w:rsid w:val="007B6B4D"/>
    <w:rsid w:val="007B6C6C"/>
    <w:rsid w:val="007B761D"/>
    <w:rsid w:val="007B7916"/>
    <w:rsid w:val="007B7F0D"/>
    <w:rsid w:val="007C0029"/>
    <w:rsid w:val="007C0525"/>
    <w:rsid w:val="007C07B0"/>
    <w:rsid w:val="007C2649"/>
    <w:rsid w:val="007C265E"/>
    <w:rsid w:val="007C2A13"/>
    <w:rsid w:val="007C3539"/>
    <w:rsid w:val="007C36A1"/>
    <w:rsid w:val="007C3FCA"/>
    <w:rsid w:val="007C479E"/>
    <w:rsid w:val="007C5248"/>
    <w:rsid w:val="007C550C"/>
    <w:rsid w:val="007C566A"/>
    <w:rsid w:val="007C5DBA"/>
    <w:rsid w:val="007C5F01"/>
    <w:rsid w:val="007C5F64"/>
    <w:rsid w:val="007C62E9"/>
    <w:rsid w:val="007C6387"/>
    <w:rsid w:val="007C642D"/>
    <w:rsid w:val="007C6584"/>
    <w:rsid w:val="007C67D1"/>
    <w:rsid w:val="007C6E3A"/>
    <w:rsid w:val="007C76FF"/>
    <w:rsid w:val="007C7E5E"/>
    <w:rsid w:val="007D039A"/>
    <w:rsid w:val="007D0919"/>
    <w:rsid w:val="007D0A35"/>
    <w:rsid w:val="007D1296"/>
    <w:rsid w:val="007D13AA"/>
    <w:rsid w:val="007D18BA"/>
    <w:rsid w:val="007D1C95"/>
    <w:rsid w:val="007D22E2"/>
    <w:rsid w:val="007D2629"/>
    <w:rsid w:val="007D375A"/>
    <w:rsid w:val="007D3C67"/>
    <w:rsid w:val="007D4CE5"/>
    <w:rsid w:val="007D520E"/>
    <w:rsid w:val="007D55EE"/>
    <w:rsid w:val="007D5AE4"/>
    <w:rsid w:val="007D5F41"/>
    <w:rsid w:val="007D5F61"/>
    <w:rsid w:val="007D63CD"/>
    <w:rsid w:val="007D66B2"/>
    <w:rsid w:val="007D6B54"/>
    <w:rsid w:val="007D79F2"/>
    <w:rsid w:val="007D79F3"/>
    <w:rsid w:val="007D7B42"/>
    <w:rsid w:val="007D7C13"/>
    <w:rsid w:val="007D7FD6"/>
    <w:rsid w:val="007E0ABA"/>
    <w:rsid w:val="007E0C8A"/>
    <w:rsid w:val="007E0E2C"/>
    <w:rsid w:val="007E1451"/>
    <w:rsid w:val="007E1A27"/>
    <w:rsid w:val="007E1C3B"/>
    <w:rsid w:val="007E1E63"/>
    <w:rsid w:val="007E2871"/>
    <w:rsid w:val="007E2A07"/>
    <w:rsid w:val="007E2AF2"/>
    <w:rsid w:val="007E33F8"/>
    <w:rsid w:val="007E348C"/>
    <w:rsid w:val="007E3A16"/>
    <w:rsid w:val="007E41D7"/>
    <w:rsid w:val="007E42F7"/>
    <w:rsid w:val="007E4352"/>
    <w:rsid w:val="007E48F3"/>
    <w:rsid w:val="007E4C0C"/>
    <w:rsid w:val="007E4D6A"/>
    <w:rsid w:val="007E5344"/>
    <w:rsid w:val="007E5751"/>
    <w:rsid w:val="007E57E0"/>
    <w:rsid w:val="007E6654"/>
    <w:rsid w:val="007E68D9"/>
    <w:rsid w:val="007E6931"/>
    <w:rsid w:val="007E6A81"/>
    <w:rsid w:val="007E6D65"/>
    <w:rsid w:val="007E6E5A"/>
    <w:rsid w:val="007E70CE"/>
    <w:rsid w:val="007E7314"/>
    <w:rsid w:val="007E7441"/>
    <w:rsid w:val="007E7A16"/>
    <w:rsid w:val="007E7D7A"/>
    <w:rsid w:val="007F0CDA"/>
    <w:rsid w:val="007F0DCE"/>
    <w:rsid w:val="007F0E0F"/>
    <w:rsid w:val="007F10A5"/>
    <w:rsid w:val="007F1242"/>
    <w:rsid w:val="007F13F1"/>
    <w:rsid w:val="007F18A8"/>
    <w:rsid w:val="007F1B62"/>
    <w:rsid w:val="007F1F0B"/>
    <w:rsid w:val="007F1FF8"/>
    <w:rsid w:val="007F21A7"/>
    <w:rsid w:val="007F227A"/>
    <w:rsid w:val="007F24A1"/>
    <w:rsid w:val="007F34FE"/>
    <w:rsid w:val="007F35E0"/>
    <w:rsid w:val="007F379F"/>
    <w:rsid w:val="007F3C49"/>
    <w:rsid w:val="007F3F5F"/>
    <w:rsid w:val="007F48B3"/>
    <w:rsid w:val="007F56BA"/>
    <w:rsid w:val="007F5FAD"/>
    <w:rsid w:val="007F668A"/>
    <w:rsid w:val="007F7A99"/>
    <w:rsid w:val="00800330"/>
    <w:rsid w:val="00801C07"/>
    <w:rsid w:val="00801F6C"/>
    <w:rsid w:val="008021DD"/>
    <w:rsid w:val="008025D7"/>
    <w:rsid w:val="00802D42"/>
    <w:rsid w:val="0080317A"/>
    <w:rsid w:val="00803483"/>
    <w:rsid w:val="008034A0"/>
    <w:rsid w:val="00804048"/>
    <w:rsid w:val="00804310"/>
    <w:rsid w:val="008043E5"/>
    <w:rsid w:val="008045D3"/>
    <w:rsid w:val="00804733"/>
    <w:rsid w:val="00804CC8"/>
    <w:rsid w:val="00804F49"/>
    <w:rsid w:val="00805007"/>
    <w:rsid w:val="008053D7"/>
    <w:rsid w:val="008058A2"/>
    <w:rsid w:val="00805E2C"/>
    <w:rsid w:val="0080617B"/>
    <w:rsid w:val="00806943"/>
    <w:rsid w:val="00806A04"/>
    <w:rsid w:val="00806B1B"/>
    <w:rsid w:val="008073FE"/>
    <w:rsid w:val="00807452"/>
    <w:rsid w:val="008079BF"/>
    <w:rsid w:val="00807EAB"/>
    <w:rsid w:val="00810F51"/>
    <w:rsid w:val="00811B15"/>
    <w:rsid w:val="00811B92"/>
    <w:rsid w:val="00811BEB"/>
    <w:rsid w:val="008121D6"/>
    <w:rsid w:val="0081268A"/>
    <w:rsid w:val="00812A53"/>
    <w:rsid w:val="0081312C"/>
    <w:rsid w:val="00813471"/>
    <w:rsid w:val="008134E4"/>
    <w:rsid w:val="00814083"/>
    <w:rsid w:val="0081442C"/>
    <w:rsid w:val="00814BFC"/>
    <w:rsid w:val="00814E71"/>
    <w:rsid w:val="00814FE7"/>
    <w:rsid w:val="00815672"/>
    <w:rsid w:val="0081596E"/>
    <w:rsid w:val="0081600C"/>
    <w:rsid w:val="0081633F"/>
    <w:rsid w:val="00816BC6"/>
    <w:rsid w:val="008173E9"/>
    <w:rsid w:val="00817825"/>
    <w:rsid w:val="008179EB"/>
    <w:rsid w:val="00817A4A"/>
    <w:rsid w:val="00817ADC"/>
    <w:rsid w:val="00817AE6"/>
    <w:rsid w:val="00820E23"/>
    <w:rsid w:val="008217AE"/>
    <w:rsid w:val="00821A23"/>
    <w:rsid w:val="0082226C"/>
    <w:rsid w:val="0082260F"/>
    <w:rsid w:val="0082278A"/>
    <w:rsid w:val="008238E9"/>
    <w:rsid w:val="00823B71"/>
    <w:rsid w:val="008243FB"/>
    <w:rsid w:val="00825251"/>
    <w:rsid w:val="00825632"/>
    <w:rsid w:val="00825DEC"/>
    <w:rsid w:val="008264C4"/>
    <w:rsid w:val="00826CC2"/>
    <w:rsid w:val="00827274"/>
    <w:rsid w:val="008272FD"/>
    <w:rsid w:val="0082757C"/>
    <w:rsid w:val="0082770F"/>
    <w:rsid w:val="00827916"/>
    <w:rsid w:val="00827937"/>
    <w:rsid w:val="008279A8"/>
    <w:rsid w:val="00827B62"/>
    <w:rsid w:val="00827DBC"/>
    <w:rsid w:val="008300B4"/>
    <w:rsid w:val="00830216"/>
    <w:rsid w:val="0083078C"/>
    <w:rsid w:val="008308A7"/>
    <w:rsid w:val="0083093B"/>
    <w:rsid w:val="00830C6B"/>
    <w:rsid w:val="00831154"/>
    <w:rsid w:val="00832007"/>
    <w:rsid w:val="0083318A"/>
    <w:rsid w:val="008333D7"/>
    <w:rsid w:val="00833802"/>
    <w:rsid w:val="00833FF7"/>
    <w:rsid w:val="008356F0"/>
    <w:rsid w:val="00835C28"/>
    <w:rsid w:val="008366CC"/>
    <w:rsid w:val="00836C33"/>
    <w:rsid w:val="00836C4F"/>
    <w:rsid w:val="00836F5D"/>
    <w:rsid w:val="008377D4"/>
    <w:rsid w:val="0083781A"/>
    <w:rsid w:val="00837B59"/>
    <w:rsid w:val="00837BEA"/>
    <w:rsid w:val="00840639"/>
    <w:rsid w:val="00840695"/>
    <w:rsid w:val="00840FAC"/>
    <w:rsid w:val="008416F2"/>
    <w:rsid w:val="00841868"/>
    <w:rsid w:val="00841890"/>
    <w:rsid w:val="00841F4E"/>
    <w:rsid w:val="008431AC"/>
    <w:rsid w:val="0084323D"/>
    <w:rsid w:val="00843C28"/>
    <w:rsid w:val="0084439C"/>
    <w:rsid w:val="0084489C"/>
    <w:rsid w:val="008450AE"/>
    <w:rsid w:val="008457C7"/>
    <w:rsid w:val="008459A2"/>
    <w:rsid w:val="00845AC4"/>
    <w:rsid w:val="00845CD6"/>
    <w:rsid w:val="00846AA6"/>
    <w:rsid w:val="00846B3E"/>
    <w:rsid w:val="00846D67"/>
    <w:rsid w:val="008470AE"/>
    <w:rsid w:val="0084750D"/>
    <w:rsid w:val="008475E5"/>
    <w:rsid w:val="008476EB"/>
    <w:rsid w:val="0084774B"/>
    <w:rsid w:val="008478FC"/>
    <w:rsid w:val="00847959"/>
    <w:rsid w:val="00847979"/>
    <w:rsid w:val="00847E58"/>
    <w:rsid w:val="008505B3"/>
    <w:rsid w:val="00850950"/>
    <w:rsid w:val="0085102C"/>
    <w:rsid w:val="00851095"/>
    <w:rsid w:val="00851849"/>
    <w:rsid w:val="00851B0B"/>
    <w:rsid w:val="00851CD1"/>
    <w:rsid w:val="00852148"/>
    <w:rsid w:val="00852149"/>
    <w:rsid w:val="0085226F"/>
    <w:rsid w:val="0085261B"/>
    <w:rsid w:val="00852645"/>
    <w:rsid w:val="00852E17"/>
    <w:rsid w:val="00853790"/>
    <w:rsid w:val="008538AF"/>
    <w:rsid w:val="00853ACD"/>
    <w:rsid w:val="0085438C"/>
    <w:rsid w:val="00854D31"/>
    <w:rsid w:val="00854D34"/>
    <w:rsid w:val="00854EC8"/>
    <w:rsid w:val="0085521C"/>
    <w:rsid w:val="0085544C"/>
    <w:rsid w:val="00855742"/>
    <w:rsid w:val="00855A2C"/>
    <w:rsid w:val="00855B3A"/>
    <w:rsid w:val="008561BA"/>
    <w:rsid w:val="0085635A"/>
    <w:rsid w:val="00856858"/>
    <w:rsid w:val="00857597"/>
    <w:rsid w:val="008575F7"/>
    <w:rsid w:val="00857A8F"/>
    <w:rsid w:val="00857E0D"/>
    <w:rsid w:val="00857FB4"/>
    <w:rsid w:val="00860029"/>
    <w:rsid w:val="0086036A"/>
    <w:rsid w:val="0086063D"/>
    <w:rsid w:val="00860F0C"/>
    <w:rsid w:val="0086148C"/>
    <w:rsid w:val="00861585"/>
    <w:rsid w:val="008628B4"/>
    <w:rsid w:val="00862B5F"/>
    <w:rsid w:val="00862CF9"/>
    <w:rsid w:val="00862D1A"/>
    <w:rsid w:val="00863544"/>
    <w:rsid w:val="008638CA"/>
    <w:rsid w:val="00863F41"/>
    <w:rsid w:val="00863F7B"/>
    <w:rsid w:val="008643B7"/>
    <w:rsid w:val="008652CB"/>
    <w:rsid w:val="00865657"/>
    <w:rsid w:val="008662E0"/>
    <w:rsid w:val="00866D9A"/>
    <w:rsid w:val="00867432"/>
    <w:rsid w:val="00867FFD"/>
    <w:rsid w:val="008704A7"/>
    <w:rsid w:val="00870796"/>
    <w:rsid w:val="00871373"/>
    <w:rsid w:val="008713B7"/>
    <w:rsid w:val="00871F9C"/>
    <w:rsid w:val="008722D4"/>
    <w:rsid w:val="00872BFC"/>
    <w:rsid w:val="00872DBD"/>
    <w:rsid w:val="00872E76"/>
    <w:rsid w:val="008730D4"/>
    <w:rsid w:val="00873142"/>
    <w:rsid w:val="00873CE9"/>
    <w:rsid w:val="00873F72"/>
    <w:rsid w:val="00874551"/>
    <w:rsid w:val="008745EB"/>
    <w:rsid w:val="00874B1C"/>
    <w:rsid w:val="0087518D"/>
    <w:rsid w:val="008752E8"/>
    <w:rsid w:val="00875B7F"/>
    <w:rsid w:val="00876078"/>
    <w:rsid w:val="0087640B"/>
    <w:rsid w:val="00876E01"/>
    <w:rsid w:val="00877197"/>
    <w:rsid w:val="00877418"/>
    <w:rsid w:val="00877A03"/>
    <w:rsid w:val="00877A0B"/>
    <w:rsid w:val="008801BC"/>
    <w:rsid w:val="00880437"/>
    <w:rsid w:val="008808CA"/>
    <w:rsid w:val="00880901"/>
    <w:rsid w:val="008809E8"/>
    <w:rsid w:val="00880AC0"/>
    <w:rsid w:val="00880B12"/>
    <w:rsid w:val="00880D5F"/>
    <w:rsid w:val="00880F4E"/>
    <w:rsid w:val="00881182"/>
    <w:rsid w:val="00881443"/>
    <w:rsid w:val="00881F78"/>
    <w:rsid w:val="00881FC8"/>
    <w:rsid w:val="0088209C"/>
    <w:rsid w:val="00882BFA"/>
    <w:rsid w:val="008832A3"/>
    <w:rsid w:val="008839B6"/>
    <w:rsid w:val="00884866"/>
    <w:rsid w:val="00884A1A"/>
    <w:rsid w:val="00884E2F"/>
    <w:rsid w:val="00885019"/>
    <w:rsid w:val="008850ED"/>
    <w:rsid w:val="00885344"/>
    <w:rsid w:val="00885724"/>
    <w:rsid w:val="00885C67"/>
    <w:rsid w:val="0088609E"/>
    <w:rsid w:val="008866CB"/>
    <w:rsid w:val="00886AE9"/>
    <w:rsid w:val="00890652"/>
    <w:rsid w:val="00891040"/>
    <w:rsid w:val="00891527"/>
    <w:rsid w:val="00891974"/>
    <w:rsid w:val="00891F5C"/>
    <w:rsid w:val="00892185"/>
    <w:rsid w:val="00892A29"/>
    <w:rsid w:val="00892A4F"/>
    <w:rsid w:val="00893B55"/>
    <w:rsid w:val="00893DBD"/>
    <w:rsid w:val="00893FD6"/>
    <w:rsid w:val="00893FDC"/>
    <w:rsid w:val="00894250"/>
    <w:rsid w:val="00894B61"/>
    <w:rsid w:val="00894F40"/>
    <w:rsid w:val="00895527"/>
    <w:rsid w:val="00895BDD"/>
    <w:rsid w:val="00895C60"/>
    <w:rsid w:val="00896394"/>
    <w:rsid w:val="0089642D"/>
    <w:rsid w:val="00896F83"/>
    <w:rsid w:val="00897133"/>
    <w:rsid w:val="00897592"/>
    <w:rsid w:val="00897804"/>
    <w:rsid w:val="00897C05"/>
    <w:rsid w:val="00897F95"/>
    <w:rsid w:val="008A0332"/>
    <w:rsid w:val="008A06FC"/>
    <w:rsid w:val="008A0B30"/>
    <w:rsid w:val="008A1544"/>
    <w:rsid w:val="008A1737"/>
    <w:rsid w:val="008A2862"/>
    <w:rsid w:val="008A3042"/>
    <w:rsid w:val="008A332D"/>
    <w:rsid w:val="008A3A0B"/>
    <w:rsid w:val="008A3CF1"/>
    <w:rsid w:val="008A3DEC"/>
    <w:rsid w:val="008A3E86"/>
    <w:rsid w:val="008A446F"/>
    <w:rsid w:val="008A52F2"/>
    <w:rsid w:val="008A557B"/>
    <w:rsid w:val="008A57A4"/>
    <w:rsid w:val="008A593C"/>
    <w:rsid w:val="008A5A85"/>
    <w:rsid w:val="008A5EFC"/>
    <w:rsid w:val="008A6266"/>
    <w:rsid w:val="008A62E7"/>
    <w:rsid w:val="008A64B1"/>
    <w:rsid w:val="008A688F"/>
    <w:rsid w:val="008A6B78"/>
    <w:rsid w:val="008A6DF3"/>
    <w:rsid w:val="008A7166"/>
    <w:rsid w:val="008A76C4"/>
    <w:rsid w:val="008A7955"/>
    <w:rsid w:val="008A7FDD"/>
    <w:rsid w:val="008B04E2"/>
    <w:rsid w:val="008B0915"/>
    <w:rsid w:val="008B0E6B"/>
    <w:rsid w:val="008B0F12"/>
    <w:rsid w:val="008B0F29"/>
    <w:rsid w:val="008B1587"/>
    <w:rsid w:val="008B27D1"/>
    <w:rsid w:val="008B2A37"/>
    <w:rsid w:val="008B33E9"/>
    <w:rsid w:val="008B43F7"/>
    <w:rsid w:val="008B45F5"/>
    <w:rsid w:val="008B51E6"/>
    <w:rsid w:val="008B58DB"/>
    <w:rsid w:val="008B5E3B"/>
    <w:rsid w:val="008B5FCC"/>
    <w:rsid w:val="008B6553"/>
    <w:rsid w:val="008B6B0F"/>
    <w:rsid w:val="008B6E46"/>
    <w:rsid w:val="008B7B09"/>
    <w:rsid w:val="008B7E36"/>
    <w:rsid w:val="008C00FC"/>
    <w:rsid w:val="008C0725"/>
    <w:rsid w:val="008C1495"/>
    <w:rsid w:val="008C3AA6"/>
    <w:rsid w:val="008C3E1F"/>
    <w:rsid w:val="008C4AB9"/>
    <w:rsid w:val="008C502E"/>
    <w:rsid w:val="008C50CF"/>
    <w:rsid w:val="008C5126"/>
    <w:rsid w:val="008C515E"/>
    <w:rsid w:val="008C53D1"/>
    <w:rsid w:val="008C5491"/>
    <w:rsid w:val="008C64D8"/>
    <w:rsid w:val="008C68D4"/>
    <w:rsid w:val="008C7350"/>
    <w:rsid w:val="008C7AAC"/>
    <w:rsid w:val="008C7AEA"/>
    <w:rsid w:val="008C7E65"/>
    <w:rsid w:val="008D03D0"/>
    <w:rsid w:val="008D062D"/>
    <w:rsid w:val="008D0F35"/>
    <w:rsid w:val="008D1AED"/>
    <w:rsid w:val="008D2051"/>
    <w:rsid w:val="008D223F"/>
    <w:rsid w:val="008D225E"/>
    <w:rsid w:val="008D25C6"/>
    <w:rsid w:val="008D2775"/>
    <w:rsid w:val="008D2808"/>
    <w:rsid w:val="008D2A3E"/>
    <w:rsid w:val="008D2BEA"/>
    <w:rsid w:val="008D2C01"/>
    <w:rsid w:val="008D32B5"/>
    <w:rsid w:val="008D3D78"/>
    <w:rsid w:val="008D3EFD"/>
    <w:rsid w:val="008D450B"/>
    <w:rsid w:val="008D4555"/>
    <w:rsid w:val="008D473B"/>
    <w:rsid w:val="008D4E99"/>
    <w:rsid w:val="008D556F"/>
    <w:rsid w:val="008D5882"/>
    <w:rsid w:val="008D5D05"/>
    <w:rsid w:val="008D641A"/>
    <w:rsid w:val="008D7B05"/>
    <w:rsid w:val="008E1073"/>
    <w:rsid w:val="008E1B34"/>
    <w:rsid w:val="008E1BB5"/>
    <w:rsid w:val="008E1E49"/>
    <w:rsid w:val="008E22D6"/>
    <w:rsid w:val="008E259F"/>
    <w:rsid w:val="008E2B71"/>
    <w:rsid w:val="008E2E4A"/>
    <w:rsid w:val="008E3C96"/>
    <w:rsid w:val="008E3D18"/>
    <w:rsid w:val="008E42BD"/>
    <w:rsid w:val="008E5BC3"/>
    <w:rsid w:val="008E5F50"/>
    <w:rsid w:val="008E60CD"/>
    <w:rsid w:val="008E622A"/>
    <w:rsid w:val="008E6780"/>
    <w:rsid w:val="008E6C65"/>
    <w:rsid w:val="008E6F35"/>
    <w:rsid w:val="008E76A9"/>
    <w:rsid w:val="008F0E7C"/>
    <w:rsid w:val="008F1281"/>
    <w:rsid w:val="008F15EB"/>
    <w:rsid w:val="008F1867"/>
    <w:rsid w:val="008F1A8C"/>
    <w:rsid w:val="008F1BA4"/>
    <w:rsid w:val="008F223B"/>
    <w:rsid w:val="008F245E"/>
    <w:rsid w:val="008F2613"/>
    <w:rsid w:val="008F2942"/>
    <w:rsid w:val="008F34A5"/>
    <w:rsid w:val="008F4217"/>
    <w:rsid w:val="008F4AEA"/>
    <w:rsid w:val="008F4C4E"/>
    <w:rsid w:val="008F4F80"/>
    <w:rsid w:val="008F4FA0"/>
    <w:rsid w:val="008F633A"/>
    <w:rsid w:val="008F6403"/>
    <w:rsid w:val="008F67A8"/>
    <w:rsid w:val="008F69DF"/>
    <w:rsid w:val="008F749B"/>
    <w:rsid w:val="008F7702"/>
    <w:rsid w:val="008F7B33"/>
    <w:rsid w:val="008F7B42"/>
    <w:rsid w:val="00900096"/>
    <w:rsid w:val="00900728"/>
    <w:rsid w:val="00900799"/>
    <w:rsid w:val="00900B09"/>
    <w:rsid w:val="00900B71"/>
    <w:rsid w:val="00901517"/>
    <w:rsid w:val="00901C41"/>
    <w:rsid w:val="00902512"/>
    <w:rsid w:val="0090276C"/>
    <w:rsid w:val="00902E77"/>
    <w:rsid w:val="009030D4"/>
    <w:rsid w:val="0090316C"/>
    <w:rsid w:val="009040A8"/>
    <w:rsid w:val="0090458E"/>
    <w:rsid w:val="009053BB"/>
    <w:rsid w:val="00905786"/>
    <w:rsid w:val="009058EA"/>
    <w:rsid w:val="00906247"/>
    <w:rsid w:val="009063E0"/>
    <w:rsid w:val="0090669A"/>
    <w:rsid w:val="00906F72"/>
    <w:rsid w:val="00907BBF"/>
    <w:rsid w:val="00910D9A"/>
    <w:rsid w:val="00910F75"/>
    <w:rsid w:val="00911211"/>
    <w:rsid w:val="00911684"/>
    <w:rsid w:val="009117BC"/>
    <w:rsid w:val="0091180D"/>
    <w:rsid w:val="00911857"/>
    <w:rsid w:val="0091185D"/>
    <w:rsid w:val="00911F42"/>
    <w:rsid w:val="0091200B"/>
    <w:rsid w:val="00912032"/>
    <w:rsid w:val="00912483"/>
    <w:rsid w:val="0091251F"/>
    <w:rsid w:val="00912BE2"/>
    <w:rsid w:val="00912DE9"/>
    <w:rsid w:val="00913E5C"/>
    <w:rsid w:val="009141AB"/>
    <w:rsid w:val="009142B8"/>
    <w:rsid w:val="00915000"/>
    <w:rsid w:val="0091503D"/>
    <w:rsid w:val="0091512B"/>
    <w:rsid w:val="009154D0"/>
    <w:rsid w:val="00915631"/>
    <w:rsid w:val="0091576D"/>
    <w:rsid w:val="00915E6C"/>
    <w:rsid w:val="00916037"/>
    <w:rsid w:val="009160BF"/>
    <w:rsid w:val="009168A2"/>
    <w:rsid w:val="009168B4"/>
    <w:rsid w:val="00916BED"/>
    <w:rsid w:val="00917890"/>
    <w:rsid w:val="009200D3"/>
    <w:rsid w:val="009202CF"/>
    <w:rsid w:val="009205E5"/>
    <w:rsid w:val="00920A02"/>
    <w:rsid w:val="00920E8D"/>
    <w:rsid w:val="00920EEC"/>
    <w:rsid w:val="00921159"/>
    <w:rsid w:val="00921564"/>
    <w:rsid w:val="00921810"/>
    <w:rsid w:val="00921DE2"/>
    <w:rsid w:val="00921F5B"/>
    <w:rsid w:val="0092222C"/>
    <w:rsid w:val="0092222E"/>
    <w:rsid w:val="00922BAC"/>
    <w:rsid w:val="009246BA"/>
    <w:rsid w:val="009246FC"/>
    <w:rsid w:val="009252B7"/>
    <w:rsid w:val="009261C7"/>
    <w:rsid w:val="00926927"/>
    <w:rsid w:val="00926C2D"/>
    <w:rsid w:val="009273AB"/>
    <w:rsid w:val="0092763F"/>
    <w:rsid w:val="00930368"/>
    <w:rsid w:val="00930A90"/>
    <w:rsid w:val="0093122B"/>
    <w:rsid w:val="0093138E"/>
    <w:rsid w:val="009314D0"/>
    <w:rsid w:val="0093172D"/>
    <w:rsid w:val="0093197D"/>
    <w:rsid w:val="00931B99"/>
    <w:rsid w:val="00931D48"/>
    <w:rsid w:val="00932AE2"/>
    <w:rsid w:val="009335E3"/>
    <w:rsid w:val="0093362D"/>
    <w:rsid w:val="00933790"/>
    <w:rsid w:val="00933D96"/>
    <w:rsid w:val="009343D7"/>
    <w:rsid w:val="009344ED"/>
    <w:rsid w:val="009345CE"/>
    <w:rsid w:val="00934868"/>
    <w:rsid w:val="00934F7F"/>
    <w:rsid w:val="00934FCD"/>
    <w:rsid w:val="00936675"/>
    <w:rsid w:val="0093693F"/>
    <w:rsid w:val="00936A5F"/>
    <w:rsid w:val="00936B54"/>
    <w:rsid w:val="00936F88"/>
    <w:rsid w:val="009370E8"/>
    <w:rsid w:val="0093732F"/>
    <w:rsid w:val="009378BC"/>
    <w:rsid w:val="00940099"/>
    <w:rsid w:val="009409AF"/>
    <w:rsid w:val="00940DE7"/>
    <w:rsid w:val="0094182A"/>
    <w:rsid w:val="00941A7A"/>
    <w:rsid w:val="00942637"/>
    <w:rsid w:val="00942784"/>
    <w:rsid w:val="009427F7"/>
    <w:rsid w:val="00942ED6"/>
    <w:rsid w:val="00942F80"/>
    <w:rsid w:val="0094300E"/>
    <w:rsid w:val="0094357F"/>
    <w:rsid w:val="0094393A"/>
    <w:rsid w:val="00943EBC"/>
    <w:rsid w:val="009440E4"/>
    <w:rsid w:val="0094437F"/>
    <w:rsid w:val="0094445E"/>
    <w:rsid w:val="00944FC4"/>
    <w:rsid w:val="009459AE"/>
    <w:rsid w:val="00945D62"/>
    <w:rsid w:val="00945FEB"/>
    <w:rsid w:val="00946494"/>
    <w:rsid w:val="009468A7"/>
    <w:rsid w:val="00946A17"/>
    <w:rsid w:val="00946F74"/>
    <w:rsid w:val="0094704B"/>
    <w:rsid w:val="00947951"/>
    <w:rsid w:val="0095033E"/>
    <w:rsid w:val="00951136"/>
    <w:rsid w:val="009515FA"/>
    <w:rsid w:val="00951C2E"/>
    <w:rsid w:val="00951EF6"/>
    <w:rsid w:val="0095413B"/>
    <w:rsid w:val="00954CCF"/>
    <w:rsid w:val="009558B1"/>
    <w:rsid w:val="00955C2D"/>
    <w:rsid w:val="0095629D"/>
    <w:rsid w:val="00956B84"/>
    <w:rsid w:val="00956C8F"/>
    <w:rsid w:val="00956D47"/>
    <w:rsid w:val="00957154"/>
    <w:rsid w:val="00957697"/>
    <w:rsid w:val="0096025F"/>
    <w:rsid w:val="00960B2A"/>
    <w:rsid w:val="00960B53"/>
    <w:rsid w:val="00960BE4"/>
    <w:rsid w:val="00961B03"/>
    <w:rsid w:val="00961BCE"/>
    <w:rsid w:val="009621DF"/>
    <w:rsid w:val="00962520"/>
    <w:rsid w:val="0096284E"/>
    <w:rsid w:val="00962973"/>
    <w:rsid w:val="009630C4"/>
    <w:rsid w:val="0096394C"/>
    <w:rsid w:val="009652C5"/>
    <w:rsid w:val="009655A2"/>
    <w:rsid w:val="00965A1D"/>
    <w:rsid w:val="0096638E"/>
    <w:rsid w:val="00966533"/>
    <w:rsid w:val="00966679"/>
    <w:rsid w:val="00966740"/>
    <w:rsid w:val="00966B49"/>
    <w:rsid w:val="00967910"/>
    <w:rsid w:val="00967F4A"/>
    <w:rsid w:val="009701F5"/>
    <w:rsid w:val="00970496"/>
    <w:rsid w:val="00970660"/>
    <w:rsid w:val="00970829"/>
    <w:rsid w:val="00970E93"/>
    <w:rsid w:val="00971490"/>
    <w:rsid w:val="00971583"/>
    <w:rsid w:val="009717AA"/>
    <w:rsid w:val="0097302B"/>
    <w:rsid w:val="0097328D"/>
    <w:rsid w:val="00973422"/>
    <w:rsid w:val="0097369F"/>
    <w:rsid w:val="009737F5"/>
    <w:rsid w:val="00973EDC"/>
    <w:rsid w:val="009740CA"/>
    <w:rsid w:val="00974366"/>
    <w:rsid w:val="00974D25"/>
    <w:rsid w:val="009752C5"/>
    <w:rsid w:val="00975FD7"/>
    <w:rsid w:val="0097643B"/>
    <w:rsid w:val="00976477"/>
    <w:rsid w:val="009767ED"/>
    <w:rsid w:val="009769EA"/>
    <w:rsid w:val="0097734E"/>
    <w:rsid w:val="00977367"/>
    <w:rsid w:val="00977D3B"/>
    <w:rsid w:val="009803C6"/>
    <w:rsid w:val="00981476"/>
    <w:rsid w:val="00981881"/>
    <w:rsid w:val="00981C96"/>
    <w:rsid w:val="00981E10"/>
    <w:rsid w:val="00982079"/>
    <w:rsid w:val="00982098"/>
    <w:rsid w:val="009821CC"/>
    <w:rsid w:val="00982785"/>
    <w:rsid w:val="00982A82"/>
    <w:rsid w:val="00982B66"/>
    <w:rsid w:val="00982C11"/>
    <w:rsid w:val="00984027"/>
    <w:rsid w:val="00984EA1"/>
    <w:rsid w:val="00984F05"/>
    <w:rsid w:val="00985006"/>
    <w:rsid w:val="00985751"/>
    <w:rsid w:val="00985759"/>
    <w:rsid w:val="009857CA"/>
    <w:rsid w:val="00987078"/>
    <w:rsid w:val="00987285"/>
    <w:rsid w:val="00987783"/>
    <w:rsid w:val="00987CFB"/>
    <w:rsid w:val="009909A3"/>
    <w:rsid w:val="00990C77"/>
    <w:rsid w:val="00990D67"/>
    <w:rsid w:val="009912EF"/>
    <w:rsid w:val="009918E1"/>
    <w:rsid w:val="00991DEF"/>
    <w:rsid w:val="00991FB4"/>
    <w:rsid w:val="0099238A"/>
    <w:rsid w:val="00992AD5"/>
    <w:rsid w:val="009930E0"/>
    <w:rsid w:val="0099439D"/>
    <w:rsid w:val="009944E6"/>
    <w:rsid w:val="0099496E"/>
    <w:rsid w:val="00994AB6"/>
    <w:rsid w:val="00994AD7"/>
    <w:rsid w:val="009955B2"/>
    <w:rsid w:val="009956C4"/>
    <w:rsid w:val="009961AA"/>
    <w:rsid w:val="0099645E"/>
    <w:rsid w:val="00996B9E"/>
    <w:rsid w:val="00997563"/>
    <w:rsid w:val="009975B9"/>
    <w:rsid w:val="009976E8"/>
    <w:rsid w:val="00997A4F"/>
    <w:rsid w:val="00997D86"/>
    <w:rsid w:val="009A0408"/>
    <w:rsid w:val="009A1276"/>
    <w:rsid w:val="009A1311"/>
    <w:rsid w:val="009A14F1"/>
    <w:rsid w:val="009A21B1"/>
    <w:rsid w:val="009A2EDE"/>
    <w:rsid w:val="009A2F37"/>
    <w:rsid w:val="009A3277"/>
    <w:rsid w:val="009A33C0"/>
    <w:rsid w:val="009A4090"/>
    <w:rsid w:val="009A4994"/>
    <w:rsid w:val="009A4A3C"/>
    <w:rsid w:val="009A4BD1"/>
    <w:rsid w:val="009A4D85"/>
    <w:rsid w:val="009A5114"/>
    <w:rsid w:val="009A531C"/>
    <w:rsid w:val="009A6362"/>
    <w:rsid w:val="009A642A"/>
    <w:rsid w:val="009A6765"/>
    <w:rsid w:val="009A7121"/>
    <w:rsid w:val="009A7CA4"/>
    <w:rsid w:val="009B0151"/>
    <w:rsid w:val="009B05D5"/>
    <w:rsid w:val="009B06AB"/>
    <w:rsid w:val="009B2754"/>
    <w:rsid w:val="009B283B"/>
    <w:rsid w:val="009B2E61"/>
    <w:rsid w:val="009B3062"/>
    <w:rsid w:val="009B3503"/>
    <w:rsid w:val="009B3704"/>
    <w:rsid w:val="009B48B5"/>
    <w:rsid w:val="009B4DF4"/>
    <w:rsid w:val="009B52B0"/>
    <w:rsid w:val="009B54CE"/>
    <w:rsid w:val="009B5B88"/>
    <w:rsid w:val="009B6417"/>
    <w:rsid w:val="009B662F"/>
    <w:rsid w:val="009B66C6"/>
    <w:rsid w:val="009B66EE"/>
    <w:rsid w:val="009B6997"/>
    <w:rsid w:val="009B6A0D"/>
    <w:rsid w:val="009B6C14"/>
    <w:rsid w:val="009B7361"/>
    <w:rsid w:val="009B756F"/>
    <w:rsid w:val="009B75B5"/>
    <w:rsid w:val="009B7A29"/>
    <w:rsid w:val="009B7D99"/>
    <w:rsid w:val="009C0261"/>
    <w:rsid w:val="009C06B2"/>
    <w:rsid w:val="009C0B19"/>
    <w:rsid w:val="009C0B65"/>
    <w:rsid w:val="009C1B76"/>
    <w:rsid w:val="009C20A4"/>
    <w:rsid w:val="009C2646"/>
    <w:rsid w:val="009C274F"/>
    <w:rsid w:val="009C2B21"/>
    <w:rsid w:val="009C3564"/>
    <w:rsid w:val="009C376F"/>
    <w:rsid w:val="009C3BD8"/>
    <w:rsid w:val="009C464B"/>
    <w:rsid w:val="009C4D3B"/>
    <w:rsid w:val="009C4EC9"/>
    <w:rsid w:val="009C5373"/>
    <w:rsid w:val="009C588F"/>
    <w:rsid w:val="009C5A38"/>
    <w:rsid w:val="009C5ACA"/>
    <w:rsid w:val="009C5E23"/>
    <w:rsid w:val="009C618F"/>
    <w:rsid w:val="009C711F"/>
    <w:rsid w:val="009C72AD"/>
    <w:rsid w:val="009C737A"/>
    <w:rsid w:val="009D067C"/>
    <w:rsid w:val="009D0EBA"/>
    <w:rsid w:val="009D1A0E"/>
    <w:rsid w:val="009D1A85"/>
    <w:rsid w:val="009D3A7C"/>
    <w:rsid w:val="009D4536"/>
    <w:rsid w:val="009D48CD"/>
    <w:rsid w:val="009D5669"/>
    <w:rsid w:val="009D578C"/>
    <w:rsid w:val="009D6652"/>
    <w:rsid w:val="009D6B87"/>
    <w:rsid w:val="009D7409"/>
    <w:rsid w:val="009D7513"/>
    <w:rsid w:val="009D79AA"/>
    <w:rsid w:val="009E0037"/>
    <w:rsid w:val="009E027B"/>
    <w:rsid w:val="009E06DD"/>
    <w:rsid w:val="009E08BB"/>
    <w:rsid w:val="009E0EA8"/>
    <w:rsid w:val="009E12C3"/>
    <w:rsid w:val="009E134F"/>
    <w:rsid w:val="009E16C6"/>
    <w:rsid w:val="009E1CEA"/>
    <w:rsid w:val="009E1E34"/>
    <w:rsid w:val="009E1EC5"/>
    <w:rsid w:val="009E3187"/>
    <w:rsid w:val="009E438D"/>
    <w:rsid w:val="009E43ED"/>
    <w:rsid w:val="009E45BF"/>
    <w:rsid w:val="009E4BF8"/>
    <w:rsid w:val="009E4FC1"/>
    <w:rsid w:val="009E50C3"/>
    <w:rsid w:val="009E51DF"/>
    <w:rsid w:val="009E54FB"/>
    <w:rsid w:val="009E55FF"/>
    <w:rsid w:val="009E56F3"/>
    <w:rsid w:val="009E57B2"/>
    <w:rsid w:val="009E5D66"/>
    <w:rsid w:val="009E5F0C"/>
    <w:rsid w:val="009E6475"/>
    <w:rsid w:val="009E651A"/>
    <w:rsid w:val="009E6580"/>
    <w:rsid w:val="009E6714"/>
    <w:rsid w:val="009E6C68"/>
    <w:rsid w:val="009E6D83"/>
    <w:rsid w:val="009F02BE"/>
    <w:rsid w:val="009F08B7"/>
    <w:rsid w:val="009F1408"/>
    <w:rsid w:val="009F18BB"/>
    <w:rsid w:val="009F1A83"/>
    <w:rsid w:val="009F23CE"/>
    <w:rsid w:val="009F29B9"/>
    <w:rsid w:val="009F37C6"/>
    <w:rsid w:val="009F3B4C"/>
    <w:rsid w:val="009F42E1"/>
    <w:rsid w:val="009F44BC"/>
    <w:rsid w:val="009F47AA"/>
    <w:rsid w:val="009F49EC"/>
    <w:rsid w:val="009F5586"/>
    <w:rsid w:val="009F5E94"/>
    <w:rsid w:val="009F60FB"/>
    <w:rsid w:val="009F626E"/>
    <w:rsid w:val="009F6352"/>
    <w:rsid w:val="009F63DE"/>
    <w:rsid w:val="009F65A6"/>
    <w:rsid w:val="009F670D"/>
    <w:rsid w:val="009F6B40"/>
    <w:rsid w:val="009F7107"/>
    <w:rsid w:val="009F71C1"/>
    <w:rsid w:val="009F75D0"/>
    <w:rsid w:val="009F7B5C"/>
    <w:rsid w:val="009F7B61"/>
    <w:rsid w:val="009F7C63"/>
    <w:rsid w:val="00A00144"/>
    <w:rsid w:val="00A0014D"/>
    <w:rsid w:val="00A009EC"/>
    <w:rsid w:val="00A00A6D"/>
    <w:rsid w:val="00A00AE6"/>
    <w:rsid w:val="00A00C74"/>
    <w:rsid w:val="00A0145A"/>
    <w:rsid w:val="00A01682"/>
    <w:rsid w:val="00A01A26"/>
    <w:rsid w:val="00A01D99"/>
    <w:rsid w:val="00A02379"/>
    <w:rsid w:val="00A02F71"/>
    <w:rsid w:val="00A0392E"/>
    <w:rsid w:val="00A03982"/>
    <w:rsid w:val="00A04ACC"/>
    <w:rsid w:val="00A04CA4"/>
    <w:rsid w:val="00A051D0"/>
    <w:rsid w:val="00A05309"/>
    <w:rsid w:val="00A05617"/>
    <w:rsid w:val="00A062B8"/>
    <w:rsid w:val="00A06B98"/>
    <w:rsid w:val="00A07398"/>
    <w:rsid w:val="00A07A65"/>
    <w:rsid w:val="00A07CFD"/>
    <w:rsid w:val="00A106DB"/>
    <w:rsid w:val="00A106FA"/>
    <w:rsid w:val="00A10841"/>
    <w:rsid w:val="00A11819"/>
    <w:rsid w:val="00A11EF2"/>
    <w:rsid w:val="00A122AE"/>
    <w:rsid w:val="00A124D6"/>
    <w:rsid w:val="00A1260F"/>
    <w:rsid w:val="00A12714"/>
    <w:rsid w:val="00A12E12"/>
    <w:rsid w:val="00A130C5"/>
    <w:rsid w:val="00A13476"/>
    <w:rsid w:val="00A13F8E"/>
    <w:rsid w:val="00A142E1"/>
    <w:rsid w:val="00A1434B"/>
    <w:rsid w:val="00A14722"/>
    <w:rsid w:val="00A149DD"/>
    <w:rsid w:val="00A14A00"/>
    <w:rsid w:val="00A14AFA"/>
    <w:rsid w:val="00A15D9D"/>
    <w:rsid w:val="00A160B1"/>
    <w:rsid w:val="00A16814"/>
    <w:rsid w:val="00A169AD"/>
    <w:rsid w:val="00A16BB1"/>
    <w:rsid w:val="00A171B9"/>
    <w:rsid w:val="00A17655"/>
    <w:rsid w:val="00A179EA"/>
    <w:rsid w:val="00A17BE3"/>
    <w:rsid w:val="00A17E47"/>
    <w:rsid w:val="00A2001C"/>
    <w:rsid w:val="00A20A13"/>
    <w:rsid w:val="00A20E02"/>
    <w:rsid w:val="00A21112"/>
    <w:rsid w:val="00A21144"/>
    <w:rsid w:val="00A2121A"/>
    <w:rsid w:val="00A21271"/>
    <w:rsid w:val="00A2139F"/>
    <w:rsid w:val="00A21F7A"/>
    <w:rsid w:val="00A22940"/>
    <w:rsid w:val="00A2296A"/>
    <w:rsid w:val="00A22A92"/>
    <w:rsid w:val="00A22E8A"/>
    <w:rsid w:val="00A23236"/>
    <w:rsid w:val="00A23B04"/>
    <w:rsid w:val="00A23B22"/>
    <w:rsid w:val="00A2422D"/>
    <w:rsid w:val="00A24509"/>
    <w:rsid w:val="00A248A1"/>
    <w:rsid w:val="00A24E51"/>
    <w:rsid w:val="00A25307"/>
    <w:rsid w:val="00A25C29"/>
    <w:rsid w:val="00A25D7E"/>
    <w:rsid w:val="00A25F3A"/>
    <w:rsid w:val="00A2608C"/>
    <w:rsid w:val="00A2624D"/>
    <w:rsid w:val="00A267A3"/>
    <w:rsid w:val="00A270FB"/>
    <w:rsid w:val="00A2716E"/>
    <w:rsid w:val="00A274A6"/>
    <w:rsid w:val="00A27523"/>
    <w:rsid w:val="00A276E2"/>
    <w:rsid w:val="00A3036E"/>
    <w:rsid w:val="00A3089B"/>
    <w:rsid w:val="00A308A1"/>
    <w:rsid w:val="00A31047"/>
    <w:rsid w:val="00A31155"/>
    <w:rsid w:val="00A31387"/>
    <w:rsid w:val="00A315D0"/>
    <w:rsid w:val="00A32367"/>
    <w:rsid w:val="00A3245C"/>
    <w:rsid w:val="00A32CA5"/>
    <w:rsid w:val="00A32F47"/>
    <w:rsid w:val="00A33654"/>
    <w:rsid w:val="00A33CA3"/>
    <w:rsid w:val="00A34D74"/>
    <w:rsid w:val="00A35089"/>
    <w:rsid w:val="00A35501"/>
    <w:rsid w:val="00A35E3A"/>
    <w:rsid w:val="00A35E3C"/>
    <w:rsid w:val="00A3611D"/>
    <w:rsid w:val="00A3653B"/>
    <w:rsid w:val="00A36579"/>
    <w:rsid w:val="00A366C2"/>
    <w:rsid w:val="00A366CD"/>
    <w:rsid w:val="00A36812"/>
    <w:rsid w:val="00A36907"/>
    <w:rsid w:val="00A375F0"/>
    <w:rsid w:val="00A40470"/>
    <w:rsid w:val="00A40581"/>
    <w:rsid w:val="00A414BC"/>
    <w:rsid w:val="00A418BA"/>
    <w:rsid w:val="00A41B1E"/>
    <w:rsid w:val="00A42057"/>
    <w:rsid w:val="00A42103"/>
    <w:rsid w:val="00A422C6"/>
    <w:rsid w:val="00A422D8"/>
    <w:rsid w:val="00A425D0"/>
    <w:rsid w:val="00A42B98"/>
    <w:rsid w:val="00A42C34"/>
    <w:rsid w:val="00A43377"/>
    <w:rsid w:val="00A43A4D"/>
    <w:rsid w:val="00A44151"/>
    <w:rsid w:val="00A4482D"/>
    <w:rsid w:val="00A456DD"/>
    <w:rsid w:val="00A45C2B"/>
    <w:rsid w:val="00A45CCC"/>
    <w:rsid w:val="00A45D92"/>
    <w:rsid w:val="00A45FAF"/>
    <w:rsid w:val="00A45FE0"/>
    <w:rsid w:val="00A46380"/>
    <w:rsid w:val="00A464A2"/>
    <w:rsid w:val="00A464D9"/>
    <w:rsid w:val="00A46914"/>
    <w:rsid w:val="00A46EE2"/>
    <w:rsid w:val="00A50C78"/>
    <w:rsid w:val="00A511C3"/>
    <w:rsid w:val="00A51395"/>
    <w:rsid w:val="00A519DC"/>
    <w:rsid w:val="00A529A7"/>
    <w:rsid w:val="00A52AF1"/>
    <w:rsid w:val="00A52EC7"/>
    <w:rsid w:val="00A5346E"/>
    <w:rsid w:val="00A539D9"/>
    <w:rsid w:val="00A53EAE"/>
    <w:rsid w:val="00A53FD9"/>
    <w:rsid w:val="00A5450D"/>
    <w:rsid w:val="00A54D42"/>
    <w:rsid w:val="00A54D67"/>
    <w:rsid w:val="00A55533"/>
    <w:rsid w:val="00A557F4"/>
    <w:rsid w:val="00A558B6"/>
    <w:rsid w:val="00A559BD"/>
    <w:rsid w:val="00A55CA2"/>
    <w:rsid w:val="00A56115"/>
    <w:rsid w:val="00A5647B"/>
    <w:rsid w:val="00A56EE4"/>
    <w:rsid w:val="00A5708C"/>
    <w:rsid w:val="00A572DF"/>
    <w:rsid w:val="00A5772E"/>
    <w:rsid w:val="00A6083C"/>
    <w:rsid w:val="00A61111"/>
    <w:rsid w:val="00A6131E"/>
    <w:rsid w:val="00A6213C"/>
    <w:rsid w:val="00A621A9"/>
    <w:rsid w:val="00A626FA"/>
    <w:rsid w:val="00A6350F"/>
    <w:rsid w:val="00A63980"/>
    <w:rsid w:val="00A63C7A"/>
    <w:rsid w:val="00A63CD0"/>
    <w:rsid w:val="00A63E28"/>
    <w:rsid w:val="00A6428E"/>
    <w:rsid w:val="00A64557"/>
    <w:rsid w:val="00A64991"/>
    <w:rsid w:val="00A65A3D"/>
    <w:rsid w:val="00A65CB6"/>
    <w:rsid w:val="00A66286"/>
    <w:rsid w:val="00A663F2"/>
    <w:rsid w:val="00A66AFC"/>
    <w:rsid w:val="00A66D9B"/>
    <w:rsid w:val="00A66FB7"/>
    <w:rsid w:val="00A676DB"/>
    <w:rsid w:val="00A67DB4"/>
    <w:rsid w:val="00A7011A"/>
    <w:rsid w:val="00A70215"/>
    <w:rsid w:val="00A706CB"/>
    <w:rsid w:val="00A70A64"/>
    <w:rsid w:val="00A70F6E"/>
    <w:rsid w:val="00A70F77"/>
    <w:rsid w:val="00A71472"/>
    <w:rsid w:val="00A71951"/>
    <w:rsid w:val="00A71AAB"/>
    <w:rsid w:val="00A721C0"/>
    <w:rsid w:val="00A7272A"/>
    <w:rsid w:val="00A72972"/>
    <w:rsid w:val="00A72C59"/>
    <w:rsid w:val="00A72DAA"/>
    <w:rsid w:val="00A73DC8"/>
    <w:rsid w:val="00A741D1"/>
    <w:rsid w:val="00A751F0"/>
    <w:rsid w:val="00A756A1"/>
    <w:rsid w:val="00A75780"/>
    <w:rsid w:val="00A76217"/>
    <w:rsid w:val="00A76AC1"/>
    <w:rsid w:val="00A76EDC"/>
    <w:rsid w:val="00A774DF"/>
    <w:rsid w:val="00A7755D"/>
    <w:rsid w:val="00A7766B"/>
    <w:rsid w:val="00A7770B"/>
    <w:rsid w:val="00A802FF"/>
    <w:rsid w:val="00A8122B"/>
    <w:rsid w:val="00A82193"/>
    <w:rsid w:val="00A823EF"/>
    <w:rsid w:val="00A826E4"/>
    <w:rsid w:val="00A82D10"/>
    <w:rsid w:val="00A82D86"/>
    <w:rsid w:val="00A82F83"/>
    <w:rsid w:val="00A830AF"/>
    <w:rsid w:val="00A83462"/>
    <w:rsid w:val="00A83B34"/>
    <w:rsid w:val="00A841BD"/>
    <w:rsid w:val="00A841E7"/>
    <w:rsid w:val="00A8424D"/>
    <w:rsid w:val="00A843CE"/>
    <w:rsid w:val="00A84A58"/>
    <w:rsid w:val="00A84F94"/>
    <w:rsid w:val="00A85885"/>
    <w:rsid w:val="00A85CC1"/>
    <w:rsid w:val="00A86588"/>
    <w:rsid w:val="00A869C7"/>
    <w:rsid w:val="00A86F1B"/>
    <w:rsid w:val="00A8713A"/>
    <w:rsid w:val="00A8722A"/>
    <w:rsid w:val="00A87782"/>
    <w:rsid w:val="00A87829"/>
    <w:rsid w:val="00A878D4"/>
    <w:rsid w:val="00A87E97"/>
    <w:rsid w:val="00A904BF"/>
    <w:rsid w:val="00A90D77"/>
    <w:rsid w:val="00A911AF"/>
    <w:rsid w:val="00A91A6E"/>
    <w:rsid w:val="00A91CC2"/>
    <w:rsid w:val="00A92267"/>
    <w:rsid w:val="00A92589"/>
    <w:rsid w:val="00A925EE"/>
    <w:rsid w:val="00A932BD"/>
    <w:rsid w:val="00A9433C"/>
    <w:rsid w:val="00A94469"/>
    <w:rsid w:val="00A94579"/>
    <w:rsid w:val="00A9541A"/>
    <w:rsid w:val="00A9556D"/>
    <w:rsid w:val="00A95BA3"/>
    <w:rsid w:val="00A962B0"/>
    <w:rsid w:val="00A97290"/>
    <w:rsid w:val="00A972B9"/>
    <w:rsid w:val="00A97335"/>
    <w:rsid w:val="00A97543"/>
    <w:rsid w:val="00A97559"/>
    <w:rsid w:val="00AA0252"/>
    <w:rsid w:val="00AA0CEC"/>
    <w:rsid w:val="00AA11C7"/>
    <w:rsid w:val="00AA1229"/>
    <w:rsid w:val="00AA158B"/>
    <w:rsid w:val="00AA187A"/>
    <w:rsid w:val="00AA18F1"/>
    <w:rsid w:val="00AA1B05"/>
    <w:rsid w:val="00AA30A5"/>
    <w:rsid w:val="00AA38E4"/>
    <w:rsid w:val="00AA3B6F"/>
    <w:rsid w:val="00AA3CB4"/>
    <w:rsid w:val="00AA3CBB"/>
    <w:rsid w:val="00AA41C6"/>
    <w:rsid w:val="00AA48A6"/>
    <w:rsid w:val="00AA4B35"/>
    <w:rsid w:val="00AA4BDF"/>
    <w:rsid w:val="00AA4D8D"/>
    <w:rsid w:val="00AA5051"/>
    <w:rsid w:val="00AA57D0"/>
    <w:rsid w:val="00AA5DC7"/>
    <w:rsid w:val="00AA6610"/>
    <w:rsid w:val="00AA6925"/>
    <w:rsid w:val="00AA69DC"/>
    <w:rsid w:val="00AA69F8"/>
    <w:rsid w:val="00AA6F21"/>
    <w:rsid w:val="00AA794A"/>
    <w:rsid w:val="00AB0142"/>
    <w:rsid w:val="00AB02A0"/>
    <w:rsid w:val="00AB0362"/>
    <w:rsid w:val="00AB081C"/>
    <w:rsid w:val="00AB0DFB"/>
    <w:rsid w:val="00AB10D3"/>
    <w:rsid w:val="00AB1400"/>
    <w:rsid w:val="00AB16B1"/>
    <w:rsid w:val="00AB1818"/>
    <w:rsid w:val="00AB21B7"/>
    <w:rsid w:val="00AB2A5F"/>
    <w:rsid w:val="00AB34EE"/>
    <w:rsid w:val="00AB3B13"/>
    <w:rsid w:val="00AB3F29"/>
    <w:rsid w:val="00AB4162"/>
    <w:rsid w:val="00AB42E7"/>
    <w:rsid w:val="00AB46E8"/>
    <w:rsid w:val="00AB49EA"/>
    <w:rsid w:val="00AB4BAA"/>
    <w:rsid w:val="00AB4C03"/>
    <w:rsid w:val="00AB5219"/>
    <w:rsid w:val="00AB5F69"/>
    <w:rsid w:val="00AB6058"/>
    <w:rsid w:val="00AB7046"/>
    <w:rsid w:val="00AB73B1"/>
    <w:rsid w:val="00AC154E"/>
    <w:rsid w:val="00AC1747"/>
    <w:rsid w:val="00AC1779"/>
    <w:rsid w:val="00AC24D8"/>
    <w:rsid w:val="00AC312D"/>
    <w:rsid w:val="00AC3265"/>
    <w:rsid w:val="00AC3336"/>
    <w:rsid w:val="00AC3444"/>
    <w:rsid w:val="00AC349D"/>
    <w:rsid w:val="00AC34B8"/>
    <w:rsid w:val="00AC35AC"/>
    <w:rsid w:val="00AC36B6"/>
    <w:rsid w:val="00AC3734"/>
    <w:rsid w:val="00AC3AC0"/>
    <w:rsid w:val="00AC3BEF"/>
    <w:rsid w:val="00AC3FBD"/>
    <w:rsid w:val="00AC41C7"/>
    <w:rsid w:val="00AC49D1"/>
    <w:rsid w:val="00AC5059"/>
    <w:rsid w:val="00AC572E"/>
    <w:rsid w:val="00AC595D"/>
    <w:rsid w:val="00AC59D0"/>
    <w:rsid w:val="00AC5FF6"/>
    <w:rsid w:val="00AC6DE4"/>
    <w:rsid w:val="00AC7428"/>
    <w:rsid w:val="00AC75D0"/>
    <w:rsid w:val="00AC789C"/>
    <w:rsid w:val="00AC7E96"/>
    <w:rsid w:val="00AD0121"/>
    <w:rsid w:val="00AD0172"/>
    <w:rsid w:val="00AD02EA"/>
    <w:rsid w:val="00AD0722"/>
    <w:rsid w:val="00AD0A7E"/>
    <w:rsid w:val="00AD0FAC"/>
    <w:rsid w:val="00AD1ABA"/>
    <w:rsid w:val="00AD21DD"/>
    <w:rsid w:val="00AD26FE"/>
    <w:rsid w:val="00AD28F1"/>
    <w:rsid w:val="00AD294C"/>
    <w:rsid w:val="00AD2ABF"/>
    <w:rsid w:val="00AD32C2"/>
    <w:rsid w:val="00AD364B"/>
    <w:rsid w:val="00AD397A"/>
    <w:rsid w:val="00AD3C0F"/>
    <w:rsid w:val="00AD4320"/>
    <w:rsid w:val="00AD453A"/>
    <w:rsid w:val="00AD4800"/>
    <w:rsid w:val="00AD4CDE"/>
    <w:rsid w:val="00AD4F0A"/>
    <w:rsid w:val="00AD7062"/>
    <w:rsid w:val="00AD7338"/>
    <w:rsid w:val="00AD73FA"/>
    <w:rsid w:val="00AD77A1"/>
    <w:rsid w:val="00AD7EE5"/>
    <w:rsid w:val="00AE042D"/>
    <w:rsid w:val="00AE07BD"/>
    <w:rsid w:val="00AE09EE"/>
    <w:rsid w:val="00AE0BFE"/>
    <w:rsid w:val="00AE0CEE"/>
    <w:rsid w:val="00AE0F32"/>
    <w:rsid w:val="00AE1403"/>
    <w:rsid w:val="00AE1543"/>
    <w:rsid w:val="00AE1735"/>
    <w:rsid w:val="00AE1B7B"/>
    <w:rsid w:val="00AE1DBB"/>
    <w:rsid w:val="00AE2168"/>
    <w:rsid w:val="00AE23D1"/>
    <w:rsid w:val="00AE2715"/>
    <w:rsid w:val="00AE2A17"/>
    <w:rsid w:val="00AE339F"/>
    <w:rsid w:val="00AE35F1"/>
    <w:rsid w:val="00AE369A"/>
    <w:rsid w:val="00AE37E4"/>
    <w:rsid w:val="00AE3F63"/>
    <w:rsid w:val="00AE4045"/>
    <w:rsid w:val="00AE46CF"/>
    <w:rsid w:val="00AE470F"/>
    <w:rsid w:val="00AE4A05"/>
    <w:rsid w:val="00AE5080"/>
    <w:rsid w:val="00AE5396"/>
    <w:rsid w:val="00AE571E"/>
    <w:rsid w:val="00AE5C0F"/>
    <w:rsid w:val="00AE66D0"/>
    <w:rsid w:val="00AE6984"/>
    <w:rsid w:val="00AE6D6A"/>
    <w:rsid w:val="00AE6DD7"/>
    <w:rsid w:val="00AE6DF0"/>
    <w:rsid w:val="00AE7746"/>
    <w:rsid w:val="00AE77F3"/>
    <w:rsid w:val="00AE7860"/>
    <w:rsid w:val="00AE7F83"/>
    <w:rsid w:val="00AF0048"/>
    <w:rsid w:val="00AF0252"/>
    <w:rsid w:val="00AF13CA"/>
    <w:rsid w:val="00AF1837"/>
    <w:rsid w:val="00AF2209"/>
    <w:rsid w:val="00AF2646"/>
    <w:rsid w:val="00AF27DB"/>
    <w:rsid w:val="00AF289A"/>
    <w:rsid w:val="00AF2DBF"/>
    <w:rsid w:val="00AF308E"/>
    <w:rsid w:val="00AF3B86"/>
    <w:rsid w:val="00AF3C30"/>
    <w:rsid w:val="00AF3C47"/>
    <w:rsid w:val="00AF3DB9"/>
    <w:rsid w:val="00AF3FE5"/>
    <w:rsid w:val="00AF402A"/>
    <w:rsid w:val="00AF40EF"/>
    <w:rsid w:val="00AF4A3D"/>
    <w:rsid w:val="00AF4C93"/>
    <w:rsid w:val="00AF53C9"/>
    <w:rsid w:val="00AF5878"/>
    <w:rsid w:val="00AF674E"/>
    <w:rsid w:val="00AF7618"/>
    <w:rsid w:val="00AF7642"/>
    <w:rsid w:val="00B00014"/>
    <w:rsid w:val="00B00B74"/>
    <w:rsid w:val="00B015F0"/>
    <w:rsid w:val="00B017FE"/>
    <w:rsid w:val="00B01D06"/>
    <w:rsid w:val="00B0258F"/>
    <w:rsid w:val="00B02A9D"/>
    <w:rsid w:val="00B02B02"/>
    <w:rsid w:val="00B0309F"/>
    <w:rsid w:val="00B03248"/>
    <w:rsid w:val="00B035DE"/>
    <w:rsid w:val="00B037E2"/>
    <w:rsid w:val="00B042B3"/>
    <w:rsid w:val="00B04549"/>
    <w:rsid w:val="00B04D59"/>
    <w:rsid w:val="00B0532C"/>
    <w:rsid w:val="00B05346"/>
    <w:rsid w:val="00B05723"/>
    <w:rsid w:val="00B05D5E"/>
    <w:rsid w:val="00B063E9"/>
    <w:rsid w:val="00B06742"/>
    <w:rsid w:val="00B07328"/>
    <w:rsid w:val="00B10150"/>
    <w:rsid w:val="00B1160E"/>
    <w:rsid w:val="00B117F4"/>
    <w:rsid w:val="00B11821"/>
    <w:rsid w:val="00B12E4D"/>
    <w:rsid w:val="00B1301D"/>
    <w:rsid w:val="00B1313E"/>
    <w:rsid w:val="00B133BE"/>
    <w:rsid w:val="00B13A98"/>
    <w:rsid w:val="00B13C7A"/>
    <w:rsid w:val="00B13E9A"/>
    <w:rsid w:val="00B148CE"/>
    <w:rsid w:val="00B148F2"/>
    <w:rsid w:val="00B14A46"/>
    <w:rsid w:val="00B14EAD"/>
    <w:rsid w:val="00B14FD6"/>
    <w:rsid w:val="00B157C3"/>
    <w:rsid w:val="00B15903"/>
    <w:rsid w:val="00B15DF3"/>
    <w:rsid w:val="00B163B5"/>
    <w:rsid w:val="00B167F4"/>
    <w:rsid w:val="00B1686C"/>
    <w:rsid w:val="00B16B2E"/>
    <w:rsid w:val="00B17211"/>
    <w:rsid w:val="00B1741C"/>
    <w:rsid w:val="00B178ED"/>
    <w:rsid w:val="00B17DDD"/>
    <w:rsid w:val="00B17E18"/>
    <w:rsid w:val="00B20E6A"/>
    <w:rsid w:val="00B21606"/>
    <w:rsid w:val="00B216AE"/>
    <w:rsid w:val="00B21741"/>
    <w:rsid w:val="00B217D2"/>
    <w:rsid w:val="00B21D4C"/>
    <w:rsid w:val="00B2289E"/>
    <w:rsid w:val="00B22E32"/>
    <w:rsid w:val="00B231F5"/>
    <w:rsid w:val="00B23A6A"/>
    <w:rsid w:val="00B24228"/>
    <w:rsid w:val="00B24524"/>
    <w:rsid w:val="00B247E4"/>
    <w:rsid w:val="00B248F3"/>
    <w:rsid w:val="00B24DEA"/>
    <w:rsid w:val="00B24FDF"/>
    <w:rsid w:val="00B255E8"/>
    <w:rsid w:val="00B257D6"/>
    <w:rsid w:val="00B25962"/>
    <w:rsid w:val="00B25B07"/>
    <w:rsid w:val="00B25BA0"/>
    <w:rsid w:val="00B25DAF"/>
    <w:rsid w:val="00B2669F"/>
    <w:rsid w:val="00B26967"/>
    <w:rsid w:val="00B2778E"/>
    <w:rsid w:val="00B2784E"/>
    <w:rsid w:val="00B27DE4"/>
    <w:rsid w:val="00B30BFA"/>
    <w:rsid w:val="00B30D90"/>
    <w:rsid w:val="00B30E41"/>
    <w:rsid w:val="00B30F54"/>
    <w:rsid w:val="00B31AA2"/>
    <w:rsid w:val="00B31E24"/>
    <w:rsid w:val="00B3295D"/>
    <w:rsid w:val="00B3295F"/>
    <w:rsid w:val="00B32A82"/>
    <w:rsid w:val="00B32E64"/>
    <w:rsid w:val="00B33093"/>
    <w:rsid w:val="00B3388C"/>
    <w:rsid w:val="00B33CF2"/>
    <w:rsid w:val="00B33EA0"/>
    <w:rsid w:val="00B33F82"/>
    <w:rsid w:val="00B33FA6"/>
    <w:rsid w:val="00B3404C"/>
    <w:rsid w:val="00B34C75"/>
    <w:rsid w:val="00B34ED2"/>
    <w:rsid w:val="00B34FC9"/>
    <w:rsid w:val="00B350F7"/>
    <w:rsid w:val="00B357B1"/>
    <w:rsid w:val="00B3585B"/>
    <w:rsid w:val="00B359A5"/>
    <w:rsid w:val="00B35AEE"/>
    <w:rsid w:val="00B35E62"/>
    <w:rsid w:val="00B35FE3"/>
    <w:rsid w:val="00B36089"/>
    <w:rsid w:val="00B36B64"/>
    <w:rsid w:val="00B36CF1"/>
    <w:rsid w:val="00B36DC1"/>
    <w:rsid w:val="00B403CA"/>
    <w:rsid w:val="00B40454"/>
    <w:rsid w:val="00B40AFB"/>
    <w:rsid w:val="00B40BE8"/>
    <w:rsid w:val="00B40D8D"/>
    <w:rsid w:val="00B41080"/>
    <w:rsid w:val="00B41B5F"/>
    <w:rsid w:val="00B41BE0"/>
    <w:rsid w:val="00B42084"/>
    <w:rsid w:val="00B42726"/>
    <w:rsid w:val="00B42B2B"/>
    <w:rsid w:val="00B42F9C"/>
    <w:rsid w:val="00B42FC5"/>
    <w:rsid w:val="00B439BF"/>
    <w:rsid w:val="00B43F9B"/>
    <w:rsid w:val="00B44041"/>
    <w:rsid w:val="00B44510"/>
    <w:rsid w:val="00B44D8A"/>
    <w:rsid w:val="00B45592"/>
    <w:rsid w:val="00B4563E"/>
    <w:rsid w:val="00B45D4B"/>
    <w:rsid w:val="00B45DC4"/>
    <w:rsid w:val="00B45E46"/>
    <w:rsid w:val="00B45F49"/>
    <w:rsid w:val="00B469E0"/>
    <w:rsid w:val="00B46AD3"/>
    <w:rsid w:val="00B47430"/>
    <w:rsid w:val="00B475DC"/>
    <w:rsid w:val="00B47657"/>
    <w:rsid w:val="00B502BB"/>
    <w:rsid w:val="00B50416"/>
    <w:rsid w:val="00B50479"/>
    <w:rsid w:val="00B504C7"/>
    <w:rsid w:val="00B50DF0"/>
    <w:rsid w:val="00B50ED6"/>
    <w:rsid w:val="00B5134E"/>
    <w:rsid w:val="00B51721"/>
    <w:rsid w:val="00B5191C"/>
    <w:rsid w:val="00B522BD"/>
    <w:rsid w:val="00B524D1"/>
    <w:rsid w:val="00B52507"/>
    <w:rsid w:val="00B52DEE"/>
    <w:rsid w:val="00B52E83"/>
    <w:rsid w:val="00B536F7"/>
    <w:rsid w:val="00B53A8E"/>
    <w:rsid w:val="00B54017"/>
    <w:rsid w:val="00B54176"/>
    <w:rsid w:val="00B542A2"/>
    <w:rsid w:val="00B54A65"/>
    <w:rsid w:val="00B54F3B"/>
    <w:rsid w:val="00B54F70"/>
    <w:rsid w:val="00B551BE"/>
    <w:rsid w:val="00B55408"/>
    <w:rsid w:val="00B55892"/>
    <w:rsid w:val="00B559A5"/>
    <w:rsid w:val="00B55A64"/>
    <w:rsid w:val="00B56789"/>
    <w:rsid w:val="00B56CE3"/>
    <w:rsid w:val="00B5710F"/>
    <w:rsid w:val="00B57CE5"/>
    <w:rsid w:val="00B603EB"/>
    <w:rsid w:val="00B605FF"/>
    <w:rsid w:val="00B615A5"/>
    <w:rsid w:val="00B61898"/>
    <w:rsid w:val="00B61967"/>
    <w:rsid w:val="00B62360"/>
    <w:rsid w:val="00B62785"/>
    <w:rsid w:val="00B62A86"/>
    <w:rsid w:val="00B62C95"/>
    <w:rsid w:val="00B62EA6"/>
    <w:rsid w:val="00B632F5"/>
    <w:rsid w:val="00B63A68"/>
    <w:rsid w:val="00B63B76"/>
    <w:rsid w:val="00B64A4C"/>
    <w:rsid w:val="00B65A46"/>
    <w:rsid w:val="00B65AC7"/>
    <w:rsid w:val="00B65B8D"/>
    <w:rsid w:val="00B65F5B"/>
    <w:rsid w:val="00B661E6"/>
    <w:rsid w:val="00B66933"/>
    <w:rsid w:val="00B66993"/>
    <w:rsid w:val="00B669CD"/>
    <w:rsid w:val="00B66AA1"/>
    <w:rsid w:val="00B66F0D"/>
    <w:rsid w:val="00B66FC1"/>
    <w:rsid w:val="00B671F3"/>
    <w:rsid w:val="00B67A5A"/>
    <w:rsid w:val="00B67A6A"/>
    <w:rsid w:val="00B67BD5"/>
    <w:rsid w:val="00B7004D"/>
    <w:rsid w:val="00B70F05"/>
    <w:rsid w:val="00B72224"/>
    <w:rsid w:val="00B72411"/>
    <w:rsid w:val="00B728C0"/>
    <w:rsid w:val="00B734C9"/>
    <w:rsid w:val="00B73C99"/>
    <w:rsid w:val="00B7431C"/>
    <w:rsid w:val="00B7466B"/>
    <w:rsid w:val="00B74E76"/>
    <w:rsid w:val="00B76DE0"/>
    <w:rsid w:val="00B7772E"/>
    <w:rsid w:val="00B779DA"/>
    <w:rsid w:val="00B779EC"/>
    <w:rsid w:val="00B77D9D"/>
    <w:rsid w:val="00B801DE"/>
    <w:rsid w:val="00B80364"/>
    <w:rsid w:val="00B81097"/>
    <w:rsid w:val="00B8127D"/>
    <w:rsid w:val="00B81C44"/>
    <w:rsid w:val="00B81CAA"/>
    <w:rsid w:val="00B822D8"/>
    <w:rsid w:val="00B82A51"/>
    <w:rsid w:val="00B8351D"/>
    <w:rsid w:val="00B839D4"/>
    <w:rsid w:val="00B83B6E"/>
    <w:rsid w:val="00B843FF"/>
    <w:rsid w:val="00B84438"/>
    <w:rsid w:val="00B84E1F"/>
    <w:rsid w:val="00B85824"/>
    <w:rsid w:val="00B85F0C"/>
    <w:rsid w:val="00B868C0"/>
    <w:rsid w:val="00B870B5"/>
    <w:rsid w:val="00B9078A"/>
    <w:rsid w:val="00B90A53"/>
    <w:rsid w:val="00B914CA"/>
    <w:rsid w:val="00B91716"/>
    <w:rsid w:val="00B9172F"/>
    <w:rsid w:val="00B91B16"/>
    <w:rsid w:val="00B91C07"/>
    <w:rsid w:val="00B91E55"/>
    <w:rsid w:val="00B91F67"/>
    <w:rsid w:val="00B92195"/>
    <w:rsid w:val="00B92856"/>
    <w:rsid w:val="00B92B1F"/>
    <w:rsid w:val="00B92C7F"/>
    <w:rsid w:val="00B9302F"/>
    <w:rsid w:val="00B93078"/>
    <w:rsid w:val="00B943AE"/>
    <w:rsid w:val="00B94492"/>
    <w:rsid w:val="00B947A5"/>
    <w:rsid w:val="00B94920"/>
    <w:rsid w:val="00B94D22"/>
    <w:rsid w:val="00B94E57"/>
    <w:rsid w:val="00B9550D"/>
    <w:rsid w:val="00B955EB"/>
    <w:rsid w:val="00B95742"/>
    <w:rsid w:val="00B95C42"/>
    <w:rsid w:val="00B95F9F"/>
    <w:rsid w:val="00B96855"/>
    <w:rsid w:val="00B96CB5"/>
    <w:rsid w:val="00B96E57"/>
    <w:rsid w:val="00B970F0"/>
    <w:rsid w:val="00B975CA"/>
    <w:rsid w:val="00B97818"/>
    <w:rsid w:val="00B97CC8"/>
    <w:rsid w:val="00BA0349"/>
    <w:rsid w:val="00BA0B59"/>
    <w:rsid w:val="00BA0CF1"/>
    <w:rsid w:val="00BA0F45"/>
    <w:rsid w:val="00BA1217"/>
    <w:rsid w:val="00BA122A"/>
    <w:rsid w:val="00BA123A"/>
    <w:rsid w:val="00BA19CB"/>
    <w:rsid w:val="00BA1C9E"/>
    <w:rsid w:val="00BA1CCA"/>
    <w:rsid w:val="00BA1D0C"/>
    <w:rsid w:val="00BA1E6A"/>
    <w:rsid w:val="00BA1F76"/>
    <w:rsid w:val="00BA1FFB"/>
    <w:rsid w:val="00BA238F"/>
    <w:rsid w:val="00BA2909"/>
    <w:rsid w:val="00BA2C62"/>
    <w:rsid w:val="00BA3019"/>
    <w:rsid w:val="00BA376D"/>
    <w:rsid w:val="00BA3BDE"/>
    <w:rsid w:val="00BA3E2B"/>
    <w:rsid w:val="00BA3F2C"/>
    <w:rsid w:val="00BA4363"/>
    <w:rsid w:val="00BA4559"/>
    <w:rsid w:val="00BA50AF"/>
    <w:rsid w:val="00BA518F"/>
    <w:rsid w:val="00BA5236"/>
    <w:rsid w:val="00BA53ED"/>
    <w:rsid w:val="00BA57F4"/>
    <w:rsid w:val="00BA65F4"/>
    <w:rsid w:val="00BA6F84"/>
    <w:rsid w:val="00BA7794"/>
    <w:rsid w:val="00BA7EC7"/>
    <w:rsid w:val="00BA7F24"/>
    <w:rsid w:val="00BB08FB"/>
    <w:rsid w:val="00BB10EB"/>
    <w:rsid w:val="00BB1FC5"/>
    <w:rsid w:val="00BB21AF"/>
    <w:rsid w:val="00BB21B6"/>
    <w:rsid w:val="00BB24C7"/>
    <w:rsid w:val="00BB275C"/>
    <w:rsid w:val="00BB2D98"/>
    <w:rsid w:val="00BB30F5"/>
    <w:rsid w:val="00BB3565"/>
    <w:rsid w:val="00BB3AAB"/>
    <w:rsid w:val="00BB3CEA"/>
    <w:rsid w:val="00BB40C1"/>
    <w:rsid w:val="00BB40EC"/>
    <w:rsid w:val="00BB55C3"/>
    <w:rsid w:val="00BB56DD"/>
    <w:rsid w:val="00BB5AFC"/>
    <w:rsid w:val="00BB6FB4"/>
    <w:rsid w:val="00BB7072"/>
    <w:rsid w:val="00BB717B"/>
    <w:rsid w:val="00BB773D"/>
    <w:rsid w:val="00BC07E4"/>
    <w:rsid w:val="00BC0AE9"/>
    <w:rsid w:val="00BC10FE"/>
    <w:rsid w:val="00BC1665"/>
    <w:rsid w:val="00BC1757"/>
    <w:rsid w:val="00BC22A1"/>
    <w:rsid w:val="00BC27DD"/>
    <w:rsid w:val="00BC3415"/>
    <w:rsid w:val="00BC3A8F"/>
    <w:rsid w:val="00BC3AE2"/>
    <w:rsid w:val="00BC3AFC"/>
    <w:rsid w:val="00BC4072"/>
    <w:rsid w:val="00BC52BB"/>
    <w:rsid w:val="00BC6349"/>
    <w:rsid w:val="00BC6A31"/>
    <w:rsid w:val="00BC6CE7"/>
    <w:rsid w:val="00BC752E"/>
    <w:rsid w:val="00BC75EC"/>
    <w:rsid w:val="00BD0615"/>
    <w:rsid w:val="00BD07CA"/>
    <w:rsid w:val="00BD0B98"/>
    <w:rsid w:val="00BD1495"/>
    <w:rsid w:val="00BD161F"/>
    <w:rsid w:val="00BD17D4"/>
    <w:rsid w:val="00BD1800"/>
    <w:rsid w:val="00BD1E63"/>
    <w:rsid w:val="00BD1F4B"/>
    <w:rsid w:val="00BD4094"/>
    <w:rsid w:val="00BD40EA"/>
    <w:rsid w:val="00BD562E"/>
    <w:rsid w:val="00BD635A"/>
    <w:rsid w:val="00BD6F67"/>
    <w:rsid w:val="00BD74FF"/>
    <w:rsid w:val="00BD790B"/>
    <w:rsid w:val="00BE0020"/>
    <w:rsid w:val="00BE0848"/>
    <w:rsid w:val="00BE0CA5"/>
    <w:rsid w:val="00BE1087"/>
    <w:rsid w:val="00BE14F6"/>
    <w:rsid w:val="00BE17F6"/>
    <w:rsid w:val="00BE1A21"/>
    <w:rsid w:val="00BE1B3D"/>
    <w:rsid w:val="00BE1C20"/>
    <w:rsid w:val="00BE1E8B"/>
    <w:rsid w:val="00BE2F2E"/>
    <w:rsid w:val="00BE303B"/>
    <w:rsid w:val="00BE333D"/>
    <w:rsid w:val="00BE35FD"/>
    <w:rsid w:val="00BE368A"/>
    <w:rsid w:val="00BE3EC8"/>
    <w:rsid w:val="00BE41E2"/>
    <w:rsid w:val="00BE42D2"/>
    <w:rsid w:val="00BE5206"/>
    <w:rsid w:val="00BE5932"/>
    <w:rsid w:val="00BE59DE"/>
    <w:rsid w:val="00BE5DEF"/>
    <w:rsid w:val="00BE5E7D"/>
    <w:rsid w:val="00BE6433"/>
    <w:rsid w:val="00BE6602"/>
    <w:rsid w:val="00BE6851"/>
    <w:rsid w:val="00BE6FC7"/>
    <w:rsid w:val="00BE700F"/>
    <w:rsid w:val="00BE706E"/>
    <w:rsid w:val="00BE7B13"/>
    <w:rsid w:val="00BF004F"/>
    <w:rsid w:val="00BF00E1"/>
    <w:rsid w:val="00BF0811"/>
    <w:rsid w:val="00BF0989"/>
    <w:rsid w:val="00BF13C8"/>
    <w:rsid w:val="00BF154F"/>
    <w:rsid w:val="00BF1601"/>
    <w:rsid w:val="00BF1893"/>
    <w:rsid w:val="00BF18EC"/>
    <w:rsid w:val="00BF1B31"/>
    <w:rsid w:val="00BF1E9D"/>
    <w:rsid w:val="00BF27E1"/>
    <w:rsid w:val="00BF2E0E"/>
    <w:rsid w:val="00BF32AF"/>
    <w:rsid w:val="00BF366C"/>
    <w:rsid w:val="00BF37F3"/>
    <w:rsid w:val="00BF4BC7"/>
    <w:rsid w:val="00BF4DEB"/>
    <w:rsid w:val="00BF512F"/>
    <w:rsid w:val="00BF5505"/>
    <w:rsid w:val="00BF6197"/>
    <w:rsid w:val="00BF6367"/>
    <w:rsid w:val="00BF645F"/>
    <w:rsid w:val="00BF6704"/>
    <w:rsid w:val="00BF6A53"/>
    <w:rsid w:val="00BF6B82"/>
    <w:rsid w:val="00BF6EB1"/>
    <w:rsid w:val="00BF74F0"/>
    <w:rsid w:val="00C00009"/>
    <w:rsid w:val="00C000F4"/>
    <w:rsid w:val="00C00B87"/>
    <w:rsid w:val="00C00F5C"/>
    <w:rsid w:val="00C0136F"/>
    <w:rsid w:val="00C029EF"/>
    <w:rsid w:val="00C02A28"/>
    <w:rsid w:val="00C03F42"/>
    <w:rsid w:val="00C03F44"/>
    <w:rsid w:val="00C03FC5"/>
    <w:rsid w:val="00C04210"/>
    <w:rsid w:val="00C0431F"/>
    <w:rsid w:val="00C04DBB"/>
    <w:rsid w:val="00C0500A"/>
    <w:rsid w:val="00C05741"/>
    <w:rsid w:val="00C05F21"/>
    <w:rsid w:val="00C06366"/>
    <w:rsid w:val="00C06A56"/>
    <w:rsid w:val="00C0727C"/>
    <w:rsid w:val="00C075BD"/>
    <w:rsid w:val="00C07E6B"/>
    <w:rsid w:val="00C10052"/>
    <w:rsid w:val="00C10081"/>
    <w:rsid w:val="00C107C4"/>
    <w:rsid w:val="00C107E4"/>
    <w:rsid w:val="00C10B34"/>
    <w:rsid w:val="00C10E9F"/>
    <w:rsid w:val="00C1164E"/>
    <w:rsid w:val="00C118EA"/>
    <w:rsid w:val="00C1191A"/>
    <w:rsid w:val="00C12459"/>
    <w:rsid w:val="00C12476"/>
    <w:rsid w:val="00C124BF"/>
    <w:rsid w:val="00C12598"/>
    <w:rsid w:val="00C1283F"/>
    <w:rsid w:val="00C12EBE"/>
    <w:rsid w:val="00C13478"/>
    <w:rsid w:val="00C13A66"/>
    <w:rsid w:val="00C13ADC"/>
    <w:rsid w:val="00C1407E"/>
    <w:rsid w:val="00C143C5"/>
    <w:rsid w:val="00C14555"/>
    <w:rsid w:val="00C1480E"/>
    <w:rsid w:val="00C14B2C"/>
    <w:rsid w:val="00C15604"/>
    <w:rsid w:val="00C15754"/>
    <w:rsid w:val="00C1579F"/>
    <w:rsid w:val="00C162F4"/>
    <w:rsid w:val="00C1693D"/>
    <w:rsid w:val="00C1704F"/>
    <w:rsid w:val="00C17690"/>
    <w:rsid w:val="00C1772E"/>
    <w:rsid w:val="00C17AA5"/>
    <w:rsid w:val="00C20161"/>
    <w:rsid w:val="00C201BD"/>
    <w:rsid w:val="00C203D7"/>
    <w:rsid w:val="00C208B4"/>
    <w:rsid w:val="00C20E85"/>
    <w:rsid w:val="00C2173D"/>
    <w:rsid w:val="00C21B28"/>
    <w:rsid w:val="00C22888"/>
    <w:rsid w:val="00C22A6C"/>
    <w:rsid w:val="00C23139"/>
    <w:rsid w:val="00C235BA"/>
    <w:rsid w:val="00C23D71"/>
    <w:rsid w:val="00C24F8E"/>
    <w:rsid w:val="00C25180"/>
    <w:rsid w:val="00C25276"/>
    <w:rsid w:val="00C254E9"/>
    <w:rsid w:val="00C25FCD"/>
    <w:rsid w:val="00C260FC"/>
    <w:rsid w:val="00C26A47"/>
    <w:rsid w:val="00C26E54"/>
    <w:rsid w:val="00C26F85"/>
    <w:rsid w:val="00C30288"/>
    <w:rsid w:val="00C30EFE"/>
    <w:rsid w:val="00C3143E"/>
    <w:rsid w:val="00C317F6"/>
    <w:rsid w:val="00C31EED"/>
    <w:rsid w:val="00C3203B"/>
    <w:rsid w:val="00C32111"/>
    <w:rsid w:val="00C327DB"/>
    <w:rsid w:val="00C32917"/>
    <w:rsid w:val="00C3296F"/>
    <w:rsid w:val="00C32B9E"/>
    <w:rsid w:val="00C32BC8"/>
    <w:rsid w:val="00C32D49"/>
    <w:rsid w:val="00C33571"/>
    <w:rsid w:val="00C33686"/>
    <w:rsid w:val="00C339A4"/>
    <w:rsid w:val="00C33D50"/>
    <w:rsid w:val="00C3474D"/>
    <w:rsid w:val="00C348E8"/>
    <w:rsid w:val="00C34D2A"/>
    <w:rsid w:val="00C35216"/>
    <w:rsid w:val="00C35715"/>
    <w:rsid w:val="00C35827"/>
    <w:rsid w:val="00C3587D"/>
    <w:rsid w:val="00C35C51"/>
    <w:rsid w:val="00C360F7"/>
    <w:rsid w:val="00C363C5"/>
    <w:rsid w:val="00C36D03"/>
    <w:rsid w:val="00C406F0"/>
    <w:rsid w:val="00C40925"/>
    <w:rsid w:val="00C41166"/>
    <w:rsid w:val="00C4150B"/>
    <w:rsid w:val="00C41557"/>
    <w:rsid w:val="00C420F3"/>
    <w:rsid w:val="00C42200"/>
    <w:rsid w:val="00C429ED"/>
    <w:rsid w:val="00C42E90"/>
    <w:rsid w:val="00C4325F"/>
    <w:rsid w:val="00C440B3"/>
    <w:rsid w:val="00C440F6"/>
    <w:rsid w:val="00C44298"/>
    <w:rsid w:val="00C452DC"/>
    <w:rsid w:val="00C458A4"/>
    <w:rsid w:val="00C46350"/>
    <w:rsid w:val="00C464F2"/>
    <w:rsid w:val="00C465FD"/>
    <w:rsid w:val="00C475F2"/>
    <w:rsid w:val="00C47B78"/>
    <w:rsid w:val="00C47F69"/>
    <w:rsid w:val="00C508A3"/>
    <w:rsid w:val="00C5121A"/>
    <w:rsid w:val="00C51535"/>
    <w:rsid w:val="00C5168F"/>
    <w:rsid w:val="00C51876"/>
    <w:rsid w:val="00C51A95"/>
    <w:rsid w:val="00C51BE1"/>
    <w:rsid w:val="00C5204A"/>
    <w:rsid w:val="00C52EFD"/>
    <w:rsid w:val="00C5304C"/>
    <w:rsid w:val="00C53215"/>
    <w:rsid w:val="00C532E5"/>
    <w:rsid w:val="00C539D5"/>
    <w:rsid w:val="00C53FD2"/>
    <w:rsid w:val="00C5474B"/>
    <w:rsid w:val="00C55904"/>
    <w:rsid w:val="00C55E22"/>
    <w:rsid w:val="00C55E97"/>
    <w:rsid w:val="00C55EDD"/>
    <w:rsid w:val="00C56628"/>
    <w:rsid w:val="00C56757"/>
    <w:rsid w:val="00C56B0B"/>
    <w:rsid w:val="00C5738C"/>
    <w:rsid w:val="00C579F0"/>
    <w:rsid w:val="00C57BD9"/>
    <w:rsid w:val="00C6031C"/>
    <w:rsid w:val="00C605CA"/>
    <w:rsid w:val="00C606D2"/>
    <w:rsid w:val="00C606FA"/>
    <w:rsid w:val="00C607E7"/>
    <w:rsid w:val="00C60D8D"/>
    <w:rsid w:val="00C616C3"/>
    <w:rsid w:val="00C6172D"/>
    <w:rsid w:val="00C61CC1"/>
    <w:rsid w:val="00C61CF5"/>
    <w:rsid w:val="00C61E1B"/>
    <w:rsid w:val="00C625A6"/>
    <w:rsid w:val="00C62AD0"/>
    <w:rsid w:val="00C62AED"/>
    <w:rsid w:val="00C62C80"/>
    <w:rsid w:val="00C62D79"/>
    <w:rsid w:val="00C634EF"/>
    <w:rsid w:val="00C636B1"/>
    <w:rsid w:val="00C63752"/>
    <w:rsid w:val="00C63BD7"/>
    <w:rsid w:val="00C63E02"/>
    <w:rsid w:val="00C647DA"/>
    <w:rsid w:val="00C65148"/>
    <w:rsid w:val="00C653BC"/>
    <w:rsid w:val="00C6552C"/>
    <w:rsid w:val="00C6576C"/>
    <w:rsid w:val="00C6613A"/>
    <w:rsid w:val="00C66B39"/>
    <w:rsid w:val="00C67355"/>
    <w:rsid w:val="00C678CE"/>
    <w:rsid w:val="00C67A90"/>
    <w:rsid w:val="00C67A91"/>
    <w:rsid w:val="00C702FE"/>
    <w:rsid w:val="00C70339"/>
    <w:rsid w:val="00C70F7D"/>
    <w:rsid w:val="00C71156"/>
    <w:rsid w:val="00C71768"/>
    <w:rsid w:val="00C71E46"/>
    <w:rsid w:val="00C72171"/>
    <w:rsid w:val="00C72C7C"/>
    <w:rsid w:val="00C72E61"/>
    <w:rsid w:val="00C73224"/>
    <w:rsid w:val="00C735C4"/>
    <w:rsid w:val="00C73A83"/>
    <w:rsid w:val="00C73F83"/>
    <w:rsid w:val="00C74633"/>
    <w:rsid w:val="00C74812"/>
    <w:rsid w:val="00C74823"/>
    <w:rsid w:val="00C74C24"/>
    <w:rsid w:val="00C753D9"/>
    <w:rsid w:val="00C75525"/>
    <w:rsid w:val="00C759D7"/>
    <w:rsid w:val="00C75A23"/>
    <w:rsid w:val="00C75FC3"/>
    <w:rsid w:val="00C765F6"/>
    <w:rsid w:val="00C771B3"/>
    <w:rsid w:val="00C7742E"/>
    <w:rsid w:val="00C77923"/>
    <w:rsid w:val="00C77A72"/>
    <w:rsid w:val="00C77AE8"/>
    <w:rsid w:val="00C81066"/>
    <w:rsid w:val="00C81551"/>
    <w:rsid w:val="00C821BE"/>
    <w:rsid w:val="00C82279"/>
    <w:rsid w:val="00C82283"/>
    <w:rsid w:val="00C833AF"/>
    <w:rsid w:val="00C842ED"/>
    <w:rsid w:val="00C84421"/>
    <w:rsid w:val="00C84C1B"/>
    <w:rsid w:val="00C84E50"/>
    <w:rsid w:val="00C85789"/>
    <w:rsid w:val="00C860F1"/>
    <w:rsid w:val="00C861C1"/>
    <w:rsid w:val="00C8633F"/>
    <w:rsid w:val="00C8635B"/>
    <w:rsid w:val="00C864AB"/>
    <w:rsid w:val="00C86D26"/>
    <w:rsid w:val="00C86F3B"/>
    <w:rsid w:val="00C87529"/>
    <w:rsid w:val="00C87879"/>
    <w:rsid w:val="00C903AE"/>
    <w:rsid w:val="00C90528"/>
    <w:rsid w:val="00C90779"/>
    <w:rsid w:val="00C9095F"/>
    <w:rsid w:val="00C90960"/>
    <w:rsid w:val="00C90E82"/>
    <w:rsid w:val="00C90EC2"/>
    <w:rsid w:val="00C9113B"/>
    <w:rsid w:val="00C91C2E"/>
    <w:rsid w:val="00C92003"/>
    <w:rsid w:val="00C9223A"/>
    <w:rsid w:val="00C928F5"/>
    <w:rsid w:val="00C929E1"/>
    <w:rsid w:val="00C92D27"/>
    <w:rsid w:val="00C93052"/>
    <w:rsid w:val="00C9365D"/>
    <w:rsid w:val="00C937E9"/>
    <w:rsid w:val="00C93C25"/>
    <w:rsid w:val="00C94324"/>
    <w:rsid w:val="00C944F8"/>
    <w:rsid w:val="00C94A91"/>
    <w:rsid w:val="00C94AB9"/>
    <w:rsid w:val="00C954EA"/>
    <w:rsid w:val="00C95C38"/>
    <w:rsid w:val="00C95CBF"/>
    <w:rsid w:val="00C95DD9"/>
    <w:rsid w:val="00C96233"/>
    <w:rsid w:val="00C96390"/>
    <w:rsid w:val="00C9643E"/>
    <w:rsid w:val="00C964FB"/>
    <w:rsid w:val="00C97079"/>
    <w:rsid w:val="00CA027A"/>
    <w:rsid w:val="00CA06B6"/>
    <w:rsid w:val="00CA07F7"/>
    <w:rsid w:val="00CA0BA5"/>
    <w:rsid w:val="00CA27FA"/>
    <w:rsid w:val="00CA27FB"/>
    <w:rsid w:val="00CA3301"/>
    <w:rsid w:val="00CA34E5"/>
    <w:rsid w:val="00CA34EF"/>
    <w:rsid w:val="00CA3B9E"/>
    <w:rsid w:val="00CA3E7F"/>
    <w:rsid w:val="00CA4279"/>
    <w:rsid w:val="00CA5383"/>
    <w:rsid w:val="00CA5422"/>
    <w:rsid w:val="00CA5905"/>
    <w:rsid w:val="00CA5D97"/>
    <w:rsid w:val="00CA5E2E"/>
    <w:rsid w:val="00CA6196"/>
    <w:rsid w:val="00CA659B"/>
    <w:rsid w:val="00CA6789"/>
    <w:rsid w:val="00CA69F4"/>
    <w:rsid w:val="00CA746C"/>
    <w:rsid w:val="00CA7A65"/>
    <w:rsid w:val="00CA7F6F"/>
    <w:rsid w:val="00CA7F83"/>
    <w:rsid w:val="00CB006B"/>
    <w:rsid w:val="00CB0763"/>
    <w:rsid w:val="00CB0990"/>
    <w:rsid w:val="00CB09B0"/>
    <w:rsid w:val="00CB0D2C"/>
    <w:rsid w:val="00CB16F6"/>
    <w:rsid w:val="00CB1A09"/>
    <w:rsid w:val="00CB1AE5"/>
    <w:rsid w:val="00CB1DA6"/>
    <w:rsid w:val="00CB21D2"/>
    <w:rsid w:val="00CB25DF"/>
    <w:rsid w:val="00CB2F24"/>
    <w:rsid w:val="00CB3474"/>
    <w:rsid w:val="00CB347B"/>
    <w:rsid w:val="00CB37BC"/>
    <w:rsid w:val="00CB3CDA"/>
    <w:rsid w:val="00CB3D54"/>
    <w:rsid w:val="00CB3EB7"/>
    <w:rsid w:val="00CB3F03"/>
    <w:rsid w:val="00CB4301"/>
    <w:rsid w:val="00CB4319"/>
    <w:rsid w:val="00CB4CEF"/>
    <w:rsid w:val="00CB50FB"/>
    <w:rsid w:val="00CB5480"/>
    <w:rsid w:val="00CB59B8"/>
    <w:rsid w:val="00CB6A22"/>
    <w:rsid w:val="00CB6D51"/>
    <w:rsid w:val="00CB6E71"/>
    <w:rsid w:val="00CB6F9E"/>
    <w:rsid w:val="00CB70E2"/>
    <w:rsid w:val="00CB7511"/>
    <w:rsid w:val="00CB76AF"/>
    <w:rsid w:val="00CB7C4F"/>
    <w:rsid w:val="00CB7F3D"/>
    <w:rsid w:val="00CC014C"/>
    <w:rsid w:val="00CC02E9"/>
    <w:rsid w:val="00CC09A7"/>
    <w:rsid w:val="00CC0E38"/>
    <w:rsid w:val="00CC0E58"/>
    <w:rsid w:val="00CC1AAC"/>
    <w:rsid w:val="00CC21F0"/>
    <w:rsid w:val="00CC274F"/>
    <w:rsid w:val="00CC28BC"/>
    <w:rsid w:val="00CC3124"/>
    <w:rsid w:val="00CC320E"/>
    <w:rsid w:val="00CC3245"/>
    <w:rsid w:val="00CC324B"/>
    <w:rsid w:val="00CC3691"/>
    <w:rsid w:val="00CC36E7"/>
    <w:rsid w:val="00CC3F6E"/>
    <w:rsid w:val="00CC4525"/>
    <w:rsid w:val="00CC4933"/>
    <w:rsid w:val="00CC5F41"/>
    <w:rsid w:val="00CC6A25"/>
    <w:rsid w:val="00CC6CD2"/>
    <w:rsid w:val="00CC76C2"/>
    <w:rsid w:val="00CC7B0F"/>
    <w:rsid w:val="00CC7D02"/>
    <w:rsid w:val="00CD01DB"/>
    <w:rsid w:val="00CD094C"/>
    <w:rsid w:val="00CD0B40"/>
    <w:rsid w:val="00CD0B60"/>
    <w:rsid w:val="00CD1004"/>
    <w:rsid w:val="00CD12E5"/>
    <w:rsid w:val="00CD134C"/>
    <w:rsid w:val="00CD19ED"/>
    <w:rsid w:val="00CD1B01"/>
    <w:rsid w:val="00CD1CEA"/>
    <w:rsid w:val="00CD1DE3"/>
    <w:rsid w:val="00CD1EFB"/>
    <w:rsid w:val="00CD1F8F"/>
    <w:rsid w:val="00CD2403"/>
    <w:rsid w:val="00CD2E05"/>
    <w:rsid w:val="00CD313B"/>
    <w:rsid w:val="00CD33C9"/>
    <w:rsid w:val="00CD3A32"/>
    <w:rsid w:val="00CD3A9F"/>
    <w:rsid w:val="00CD3BE7"/>
    <w:rsid w:val="00CD3F15"/>
    <w:rsid w:val="00CD445B"/>
    <w:rsid w:val="00CD4B54"/>
    <w:rsid w:val="00CD4C92"/>
    <w:rsid w:val="00CD5143"/>
    <w:rsid w:val="00CD52B5"/>
    <w:rsid w:val="00CD5DD3"/>
    <w:rsid w:val="00CD6209"/>
    <w:rsid w:val="00CD65E7"/>
    <w:rsid w:val="00CD682C"/>
    <w:rsid w:val="00CD6833"/>
    <w:rsid w:val="00CD6D00"/>
    <w:rsid w:val="00CD711D"/>
    <w:rsid w:val="00CD718B"/>
    <w:rsid w:val="00CD71E3"/>
    <w:rsid w:val="00CE030F"/>
    <w:rsid w:val="00CE0473"/>
    <w:rsid w:val="00CE0591"/>
    <w:rsid w:val="00CE05A9"/>
    <w:rsid w:val="00CE064D"/>
    <w:rsid w:val="00CE0943"/>
    <w:rsid w:val="00CE0EC7"/>
    <w:rsid w:val="00CE128F"/>
    <w:rsid w:val="00CE2FB2"/>
    <w:rsid w:val="00CE3F2A"/>
    <w:rsid w:val="00CE4A9E"/>
    <w:rsid w:val="00CE4D7C"/>
    <w:rsid w:val="00CE5010"/>
    <w:rsid w:val="00CE50D0"/>
    <w:rsid w:val="00CE5F0A"/>
    <w:rsid w:val="00CE614D"/>
    <w:rsid w:val="00CE61A3"/>
    <w:rsid w:val="00CE61D1"/>
    <w:rsid w:val="00CE66A4"/>
    <w:rsid w:val="00CE6BD5"/>
    <w:rsid w:val="00CE6BDE"/>
    <w:rsid w:val="00CE6D0D"/>
    <w:rsid w:val="00CE7416"/>
    <w:rsid w:val="00CE7471"/>
    <w:rsid w:val="00CE762B"/>
    <w:rsid w:val="00CE76B4"/>
    <w:rsid w:val="00CE79F3"/>
    <w:rsid w:val="00CE7AAA"/>
    <w:rsid w:val="00CF0CAE"/>
    <w:rsid w:val="00CF2320"/>
    <w:rsid w:val="00CF25D6"/>
    <w:rsid w:val="00CF38C2"/>
    <w:rsid w:val="00CF404B"/>
    <w:rsid w:val="00CF5074"/>
    <w:rsid w:val="00CF5CEB"/>
    <w:rsid w:val="00CF65DF"/>
    <w:rsid w:val="00CF6822"/>
    <w:rsid w:val="00CF6A32"/>
    <w:rsid w:val="00CF6EA0"/>
    <w:rsid w:val="00CF7266"/>
    <w:rsid w:val="00CF799A"/>
    <w:rsid w:val="00CF7B19"/>
    <w:rsid w:val="00CF7EB4"/>
    <w:rsid w:val="00D00533"/>
    <w:rsid w:val="00D00D80"/>
    <w:rsid w:val="00D0103C"/>
    <w:rsid w:val="00D013A5"/>
    <w:rsid w:val="00D01659"/>
    <w:rsid w:val="00D0167A"/>
    <w:rsid w:val="00D019BD"/>
    <w:rsid w:val="00D01C0A"/>
    <w:rsid w:val="00D01E95"/>
    <w:rsid w:val="00D02288"/>
    <w:rsid w:val="00D025A0"/>
    <w:rsid w:val="00D028C3"/>
    <w:rsid w:val="00D0294C"/>
    <w:rsid w:val="00D02FFE"/>
    <w:rsid w:val="00D0371E"/>
    <w:rsid w:val="00D038FF"/>
    <w:rsid w:val="00D03BA3"/>
    <w:rsid w:val="00D03CB6"/>
    <w:rsid w:val="00D03D9B"/>
    <w:rsid w:val="00D03F95"/>
    <w:rsid w:val="00D04975"/>
    <w:rsid w:val="00D050C3"/>
    <w:rsid w:val="00D05172"/>
    <w:rsid w:val="00D05359"/>
    <w:rsid w:val="00D062E5"/>
    <w:rsid w:val="00D064C3"/>
    <w:rsid w:val="00D06E01"/>
    <w:rsid w:val="00D0706F"/>
    <w:rsid w:val="00D10504"/>
    <w:rsid w:val="00D10E5C"/>
    <w:rsid w:val="00D115AD"/>
    <w:rsid w:val="00D11A00"/>
    <w:rsid w:val="00D11AC7"/>
    <w:rsid w:val="00D11BB9"/>
    <w:rsid w:val="00D1267A"/>
    <w:rsid w:val="00D12755"/>
    <w:rsid w:val="00D12B44"/>
    <w:rsid w:val="00D12DB4"/>
    <w:rsid w:val="00D1395A"/>
    <w:rsid w:val="00D13E1E"/>
    <w:rsid w:val="00D13E6F"/>
    <w:rsid w:val="00D13F92"/>
    <w:rsid w:val="00D144E7"/>
    <w:rsid w:val="00D1482F"/>
    <w:rsid w:val="00D14C82"/>
    <w:rsid w:val="00D151B0"/>
    <w:rsid w:val="00D1562D"/>
    <w:rsid w:val="00D15896"/>
    <w:rsid w:val="00D15CCB"/>
    <w:rsid w:val="00D16109"/>
    <w:rsid w:val="00D1636C"/>
    <w:rsid w:val="00D16572"/>
    <w:rsid w:val="00D169FC"/>
    <w:rsid w:val="00D16A68"/>
    <w:rsid w:val="00D16B5F"/>
    <w:rsid w:val="00D16C3A"/>
    <w:rsid w:val="00D17AFF"/>
    <w:rsid w:val="00D20318"/>
    <w:rsid w:val="00D20887"/>
    <w:rsid w:val="00D20D79"/>
    <w:rsid w:val="00D20DBD"/>
    <w:rsid w:val="00D20E1F"/>
    <w:rsid w:val="00D21085"/>
    <w:rsid w:val="00D21614"/>
    <w:rsid w:val="00D21E13"/>
    <w:rsid w:val="00D2334C"/>
    <w:rsid w:val="00D23414"/>
    <w:rsid w:val="00D23561"/>
    <w:rsid w:val="00D23B74"/>
    <w:rsid w:val="00D23C77"/>
    <w:rsid w:val="00D24409"/>
    <w:rsid w:val="00D250CB"/>
    <w:rsid w:val="00D25683"/>
    <w:rsid w:val="00D25D20"/>
    <w:rsid w:val="00D25EFE"/>
    <w:rsid w:val="00D261CC"/>
    <w:rsid w:val="00D263EB"/>
    <w:rsid w:val="00D2683B"/>
    <w:rsid w:val="00D27470"/>
    <w:rsid w:val="00D27CA8"/>
    <w:rsid w:val="00D30524"/>
    <w:rsid w:val="00D30D50"/>
    <w:rsid w:val="00D31012"/>
    <w:rsid w:val="00D31CF5"/>
    <w:rsid w:val="00D31EC4"/>
    <w:rsid w:val="00D31F4F"/>
    <w:rsid w:val="00D321A4"/>
    <w:rsid w:val="00D326BB"/>
    <w:rsid w:val="00D32CB7"/>
    <w:rsid w:val="00D33906"/>
    <w:rsid w:val="00D33944"/>
    <w:rsid w:val="00D33A50"/>
    <w:rsid w:val="00D33DB1"/>
    <w:rsid w:val="00D348E3"/>
    <w:rsid w:val="00D34925"/>
    <w:rsid w:val="00D34D7F"/>
    <w:rsid w:val="00D34F27"/>
    <w:rsid w:val="00D34FA3"/>
    <w:rsid w:val="00D35062"/>
    <w:rsid w:val="00D355C6"/>
    <w:rsid w:val="00D35E8D"/>
    <w:rsid w:val="00D36297"/>
    <w:rsid w:val="00D36504"/>
    <w:rsid w:val="00D36845"/>
    <w:rsid w:val="00D36CFC"/>
    <w:rsid w:val="00D378E4"/>
    <w:rsid w:val="00D40837"/>
    <w:rsid w:val="00D4152D"/>
    <w:rsid w:val="00D418C5"/>
    <w:rsid w:val="00D42C49"/>
    <w:rsid w:val="00D431D7"/>
    <w:rsid w:val="00D431E0"/>
    <w:rsid w:val="00D436E2"/>
    <w:rsid w:val="00D43CE4"/>
    <w:rsid w:val="00D44478"/>
    <w:rsid w:val="00D44930"/>
    <w:rsid w:val="00D44C45"/>
    <w:rsid w:val="00D44DAC"/>
    <w:rsid w:val="00D44DCA"/>
    <w:rsid w:val="00D4549F"/>
    <w:rsid w:val="00D45BF5"/>
    <w:rsid w:val="00D45FEA"/>
    <w:rsid w:val="00D467E9"/>
    <w:rsid w:val="00D47217"/>
    <w:rsid w:val="00D474B3"/>
    <w:rsid w:val="00D47E59"/>
    <w:rsid w:val="00D47F18"/>
    <w:rsid w:val="00D50379"/>
    <w:rsid w:val="00D508CF"/>
    <w:rsid w:val="00D50CAD"/>
    <w:rsid w:val="00D51367"/>
    <w:rsid w:val="00D514BE"/>
    <w:rsid w:val="00D5237D"/>
    <w:rsid w:val="00D525EF"/>
    <w:rsid w:val="00D530AE"/>
    <w:rsid w:val="00D534A8"/>
    <w:rsid w:val="00D5368B"/>
    <w:rsid w:val="00D536C2"/>
    <w:rsid w:val="00D5489A"/>
    <w:rsid w:val="00D54A38"/>
    <w:rsid w:val="00D54A6B"/>
    <w:rsid w:val="00D54DCE"/>
    <w:rsid w:val="00D55110"/>
    <w:rsid w:val="00D555CE"/>
    <w:rsid w:val="00D559DA"/>
    <w:rsid w:val="00D55A94"/>
    <w:rsid w:val="00D55ABF"/>
    <w:rsid w:val="00D5604F"/>
    <w:rsid w:val="00D5610B"/>
    <w:rsid w:val="00D562A2"/>
    <w:rsid w:val="00D56547"/>
    <w:rsid w:val="00D570E6"/>
    <w:rsid w:val="00D5722C"/>
    <w:rsid w:val="00D57276"/>
    <w:rsid w:val="00D57898"/>
    <w:rsid w:val="00D579CD"/>
    <w:rsid w:val="00D605B2"/>
    <w:rsid w:val="00D60898"/>
    <w:rsid w:val="00D60A16"/>
    <w:rsid w:val="00D60FDD"/>
    <w:rsid w:val="00D61A70"/>
    <w:rsid w:val="00D61B39"/>
    <w:rsid w:val="00D61BC4"/>
    <w:rsid w:val="00D61E76"/>
    <w:rsid w:val="00D62037"/>
    <w:rsid w:val="00D62089"/>
    <w:rsid w:val="00D6247C"/>
    <w:rsid w:val="00D62ACB"/>
    <w:rsid w:val="00D62EB6"/>
    <w:rsid w:val="00D645E1"/>
    <w:rsid w:val="00D646F8"/>
    <w:rsid w:val="00D64B8D"/>
    <w:rsid w:val="00D663B8"/>
    <w:rsid w:val="00D673E5"/>
    <w:rsid w:val="00D67506"/>
    <w:rsid w:val="00D67CFB"/>
    <w:rsid w:val="00D67F23"/>
    <w:rsid w:val="00D709B9"/>
    <w:rsid w:val="00D70A96"/>
    <w:rsid w:val="00D70B33"/>
    <w:rsid w:val="00D70BE2"/>
    <w:rsid w:val="00D712D0"/>
    <w:rsid w:val="00D716EB"/>
    <w:rsid w:val="00D71DEF"/>
    <w:rsid w:val="00D7230F"/>
    <w:rsid w:val="00D726F2"/>
    <w:rsid w:val="00D72CFE"/>
    <w:rsid w:val="00D72D66"/>
    <w:rsid w:val="00D738AD"/>
    <w:rsid w:val="00D73C93"/>
    <w:rsid w:val="00D742B8"/>
    <w:rsid w:val="00D749D7"/>
    <w:rsid w:val="00D75035"/>
    <w:rsid w:val="00D750B2"/>
    <w:rsid w:val="00D754E0"/>
    <w:rsid w:val="00D7572D"/>
    <w:rsid w:val="00D76130"/>
    <w:rsid w:val="00D76263"/>
    <w:rsid w:val="00D77B0D"/>
    <w:rsid w:val="00D77D4F"/>
    <w:rsid w:val="00D801AD"/>
    <w:rsid w:val="00D805F0"/>
    <w:rsid w:val="00D80A1A"/>
    <w:rsid w:val="00D80EA4"/>
    <w:rsid w:val="00D81063"/>
    <w:rsid w:val="00D814F3"/>
    <w:rsid w:val="00D81E7B"/>
    <w:rsid w:val="00D81EC3"/>
    <w:rsid w:val="00D82385"/>
    <w:rsid w:val="00D8248D"/>
    <w:rsid w:val="00D82780"/>
    <w:rsid w:val="00D82B6A"/>
    <w:rsid w:val="00D82D51"/>
    <w:rsid w:val="00D839A0"/>
    <w:rsid w:val="00D83FC5"/>
    <w:rsid w:val="00D849CC"/>
    <w:rsid w:val="00D84A1C"/>
    <w:rsid w:val="00D84D00"/>
    <w:rsid w:val="00D853A5"/>
    <w:rsid w:val="00D85572"/>
    <w:rsid w:val="00D8585F"/>
    <w:rsid w:val="00D8604B"/>
    <w:rsid w:val="00D86491"/>
    <w:rsid w:val="00D869B2"/>
    <w:rsid w:val="00D870A8"/>
    <w:rsid w:val="00D87234"/>
    <w:rsid w:val="00D87D9A"/>
    <w:rsid w:val="00D87E49"/>
    <w:rsid w:val="00D90118"/>
    <w:rsid w:val="00D90BB1"/>
    <w:rsid w:val="00D912AE"/>
    <w:rsid w:val="00D914F3"/>
    <w:rsid w:val="00D915F0"/>
    <w:rsid w:val="00D91823"/>
    <w:rsid w:val="00D92205"/>
    <w:rsid w:val="00D92210"/>
    <w:rsid w:val="00D927CF"/>
    <w:rsid w:val="00D92FB1"/>
    <w:rsid w:val="00D936BE"/>
    <w:rsid w:val="00D94ED0"/>
    <w:rsid w:val="00D95247"/>
    <w:rsid w:val="00D955C7"/>
    <w:rsid w:val="00D95977"/>
    <w:rsid w:val="00D95B2A"/>
    <w:rsid w:val="00D95CF2"/>
    <w:rsid w:val="00D95DDF"/>
    <w:rsid w:val="00D96541"/>
    <w:rsid w:val="00D969A4"/>
    <w:rsid w:val="00D96EBD"/>
    <w:rsid w:val="00D97E48"/>
    <w:rsid w:val="00DA00BF"/>
    <w:rsid w:val="00DA0652"/>
    <w:rsid w:val="00DA0E22"/>
    <w:rsid w:val="00DA1701"/>
    <w:rsid w:val="00DA1A44"/>
    <w:rsid w:val="00DA1A82"/>
    <w:rsid w:val="00DA1B75"/>
    <w:rsid w:val="00DA22C1"/>
    <w:rsid w:val="00DA2340"/>
    <w:rsid w:val="00DA270E"/>
    <w:rsid w:val="00DA297E"/>
    <w:rsid w:val="00DA39F5"/>
    <w:rsid w:val="00DA3AEE"/>
    <w:rsid w:val="00DA3D2D"/>
    <w:rsid w:val="00DA412E"/>
    <w:rsid w:val="00DA44FF"/>
    <w:rsid w:val="00DA47F0"/>
    <w:rsid w:val="00DA5A1A"/>
    <w:rsid w:val="00DA5A37"/>
    <w:rsid w:val="00DA5FDB"/>
    <w:rsid w:val="00DA6151"/>
    <w:rsid w:val="00DA6224"/>
    <w:rsid w:val="00DA6710"/>
    <w:rsid w:val="00DA6B0A"/>
    <w:rsid w:val="00DA6D5D"/>
    <w:rsid w:val="00DA6F8B"/>
    <w:rsid w:val="00DA70B0"/>
    <w:rsid w:val="00DA7CB8"/>
    <w:rsid w:val="00DA7D94"/>
    <w:rsid w:val="00DB0376"/>
    <w:rsid w:val="00DB04F5"/>
    <w:rsid w:val="00DB0514"/>
    <w:rsid w:val="00DB0612"/>
    <w:rsid w:val="00DB06BA"/>
    <w:rsid w:val="00DB0951"/>
    <w:rsid w:val="00DB0A49"/>
    <w:rsid w:val="00DB0D44"/>
    <w:rsid w:val="00DB0F68"/>
    <w:rsid w:val="00DB1F1B"/>
    <w:rsid w:val="00DB22D4"/>
    <w:rsid w:val="00DB253E"/>
    <w:rsid w:val="00DB2B10"/>
    <w:rsid w:val="00DB2FFF"/>
    <w:rsid w:val="00DB3378"/>
    <w:rsid w:val="00DB3FF8"/>
    <w:rsid w:val="00DB402B"/>
    <w:rsid w:val="00DB6B2C"/>
    <w:rsid w:val="00DB6FF0"/>
    <w:rsid w:val="00DB70E2"/>
    <w:rsid w:val="00DB7254"/>
    <w:rsid w:val="00DB7B4E"/>
    <w:rsid w:val="00DB7E5A"/>
    <w:rsid w:val="00DC000D"/>
    <w:rsid w:val="00DC0299"/>
    <w:rsid w:val="00DC04C2"/>
    <w:rsid w:val="00DC0763"/>
    <w:rsid w:val="00DC07E4"/>
    <w:rsid w:val="00DC09FE"/>
    <w:rsid w:val="00DC0A71"/>
    <w:rsid w:val="00DC0BC6"/>
    <w:rsid w:val="00DC1148"/>
    <w:rsid w:val="00DC1353"/>
    <w:rsid w:val="00DC1BFE"/>
    <w:rsid w:val="00DC20A5"/>
    <w:rsid w:val="00DC25B8"/>
    <w:rsid w:val="00DC272E"/>
    <w:rsid w:val="00DC27F1"/>
    <w:rsid w:val="00DC281C"/>
    <w:rsid w:val="00DC284C"/>
    <w:rsid w:val="00DC29A8"/>
    <w:rsid w:val="00DC2EA8"/>
    <w:rsid w:val="00DC2F1B"/>
    <w:rsid w:val="00DC2F6B"/>
    <w:rsid w:val="00DC3103"/>
    <w:rsid w:val="00DC33C8"/>
    <w:rsid w:val="00DC3A62"/>
    <w:rsid w:val="00DC4021"/>
    <w:rsid w:val="00DC4198"/>
    <w:rsid w:val="00DC437A"/>
    <w:rsid w:val="00DC4403"/>
    <w:rsid w:val="00DC4E8A"/>
    <w:rsid w:val="00DC4E97"/>
    <w:rsid w:val="00DC512C"/>
    <w:rsid w:val="00DC51E8"/>
    <w:rsid w:val="00DC5695"/>
    <w:rsid w:val="00DC597B"/>
    <w:rsid w:val="00DC5AEE"/>
    <w:rsid w:val="00DC5FD6"/>
    <w:rsid w:val="00DC60B5"/>
    <w:rsid w:val="00DC6523"/>
    <w:rsid w:val="00DC6548"/>
    <w:rsid w:val="00DC6CDF"/>
    <w:rsid w:val="00DC6F56"/>
    <w:rsid w:val="00DC78CB"/>
    <w:rsid w:val="00DC7BA4"/>
    <w:rsid w:val="00DC7CEA"/>
    <w:rsid w:val="00DD03EE"/>
    <w:rsid w:val="00DD04DD"/>
    <w:rsid w:val="00DD0914"/>
    <w:rsid w:val="00DD0AC0"/>
    <w:rsid w:val="00DD0F69"/>
    <w:rsid w:val="00DD107F"/>
    <w:rsid w:val="00DD1179"/>
    <w:rsid w:val="00DD158B"/>
    <w:rsid w:val="00DD1A3C"/>
    <w:rsid w:val="00DD23AE"/>
    <w:rsid w:val="00DD25E6"/>
    <w:rsid w:val="00DD2F4C"/>
    <w:rsid w:val="00DD34E2"/>
    <w:rsid w:val="00DD3923"/>
    <w:rsid w:val="00DD423C"/>
    <w:rsid w:val="00DD49E4"/>
    <w:rsid w:val="00DD4B65"/>
    <w:rsid w:val="00DD4C81"/>
    <w:rsid w:val="00DD4D6C"/>
    <w:rsid w:val="00DD59A1"/>
    <w:rsid w:val="00DD6457"/>
    <w:rsid w:val="00DD6761"/>
    <w:rsid w:val="00DD6B48"/>
    <w:rsid w:val="00DD6D62"/>
    <w:rsid w:val="00DD6FFF"/>
    <w:rsid w:val="00DD76CC"/>
    <w:rsid w:val="00DD7990"/>
    <w:rsid w:val="00DD79A6"/>
    <w:rsid w:val="00DE0960"/>
    <w:rsid w:val="00DE0FEC"/>
    <w:rsid w:val="00DE16B2"/>
    <w:rsid w:val="00DE1C88"/>
    <w:rsid w:val="00DE1FB4"/>
    <w:rsid w:val="00DE25E0"/>
    <w:rsid w:val="00DE31D7"/>
    <w:rsid w:val="00DE3242"/>
    <w:rsid w:val="00DE357C"/>
    <w:rsid w:val="00DE379F"/>
    <w:rsid w:val="00DE3F8D"/>
    <w:rsid w:val="00DE4134"/>
    <w:rsid w:val="00DE444B"/>
    <w:rsid w:val="00DE45EC"/>
    <w:rsid w:val="00DE49BE"/>
    <w:rsid w:val="00DE4BAA"/>
    <w:rsid w:val="00DE511A"/>
    <w:rsid w:val="00DE5195"/>
    <w:rsid w:val="00DE5C18"/>
    <w:rsid w:val="00DE6142"/>
    <w:rsid w:val="00DE63F8"/>
    <w:rsid w:val="00DE6B56"/>
    <w:rsid w:val="00DE7516"/>
    <w:rsid w:val="00DE76D5"/>
    <w:rsid w:val="00DE7DD9"/>
    <w:rsid w:val="00DF0690"/>
    <w:rsid w:val="00DF072C"/>
    <w:rsid w:val="00DF09F1"/>
    <w:rsid w:val="00DF0AC6"/>
    <w:rsid w:val="00DF1392"/>
    <w:rsid w:val="00DF210B"/>
    <w:rsid w:val="00DF210F"/>
    <w:rsid w:val="00DF238B"/>
    <w:rsid w:val="00DF23EE"/>
    <w:rsid w:val="00DF2943"/>
    <w:rsid w:val="00DF2F9A"/>
    <w:rsid w:val="00DF312F"/>
    <w:rsid w:val="00DF3841"/>
    <w:rsid w:val="00DF38B4"/>
    <w:rsid w:val="00DF3E29"/>
    <w:rsid w:val="00DF416F"/>
    <w:rsid w:val="00DF5802"/>
    <w:rsid w:val="00DF601C"/>
    <w:rsid w:val="00DF6182"/>
    <w:rsid w:val="00DF66BD"/>
    <w:rsid w:val="00DF68ED"/>
    <w:rsid w:val="00DF7504"/>
    <w:rsid w:val="00DF7EA8"/>
    <w:rsid w:val="00E00942"/>
    <w:rsid w:val="00E00C06"/>
    <w:rsid w:val="00E01807"/>
    <w:rsid w:val="00E019F9"/>
    <w:rsid w:val="00E01F73"/>
    <w:rsid w:val="00E020E8"/>
    <w:rsid w:val="00E0239A"/>
    <w:rsid w:val="00E02867"/>
    <w:rsid w:val="00E028A5"/>
    <w:rsid w:val="00E028AB"/>
    <w:rsid w:val="00E02918"/>
    <w:rsid w:val="00E02D74"/>
    <w:rsid w:val="00E038EF"/>
    <w:rsid w:val="00E039BE"/>
    <w:rsid w:val="00E04325"/>
    <w:rsid w:val="00E046F9"/>
    <w:rsid w:val="00E0537C"/>
    <w:rsid w:val="00E0551F"/>
    <w:rsid w:val="00E0657C"/>
    <w:rsid w:val="00E07269"/>
    <w:rsid w:val="00E0743B"/>
    <w:rsid w:val="00E076D7"/>
    <w:rsid w:val="00E10703"/>
    <w:rsid w:val="00E10965"/>
    <w:rsid w:val="00E113BC"/>
    <w:rsid w:val="00E119B3"/>
    <w:rsid w:val="00E11B3A"/>
    <w:rsid w:val="00E12BCA"/>
    <w:rsid w:val="00E12E64"/>
    <w:rsid w:val="00E12F74"/>
    <w:rsid w:val="00E1353B"/>
    <w:rsid w:val="00E140F4"/>
    <w:rsid w:val="00E141E8"/>
    <w:rsid w:val="00E148BD"/>
    <w:rsid w:val="00E15713"/>
    <w:rsid w:val="00E157C1"/>
    <w:rsid w:val="00E15AF3"/>
    <w:rsid w:val="00E15E08"/>
    <w:rsid w:val="00E15E27"/>
    <w:rsid w:val="00E163AE"/>
    <w:rsid w:val="00E16D0A"/>
    <w:rsid w:val="00E16E64"/>
    <w:rsid w:val="00E17256"/>
    <w:rsid w:val="00E17463"/>
    <w:rsid w:val="00E1783B"/>
    <w:rsid w:val="00E17F61"/>
    <w:rsid w:val="00E17FED"/>
    <w:rsid w:val="00E20556"/>
    <w:rsid w:val="00E214DF"/>
    <w:rsid w:val="00E21C8D"/>
    <w:rsid w:val="00E21CB2"/>
    <w:rsid w:val="00E21F6F"/>
    <w:rsid w:val="00E222CC"/>
    <w:rsid w:val="00E23636"/>
    <w:rsid w:val="00E23683"/>
    <w:rsid w:val="00E236C3"/>
    <w:rsid w:val="00E236F6"/>
    <w:rsid w:val="00E23828"/>
    <w:rsid w:val="00E23AEC"/>
    <w:rsid w:val="00E23EA8"/>
    <w:rsid w:val="00E243A4"/>
    <w:rsid w:val="00E245F2"/>
    <w:rsid w:val="00E24839"/>
    <w:rsid w:val="00E25DC0"/>
    <w:rsid w:val="00E26105"/>
    <w:rsid w:val="00E265A5"/>
    <w:rsid w:val="00E26862"/>
    <w:rsid w:val="00E26C9F"/>
    <w:rsid w:val="00E27941"/>
    <w:rsid w:val="00E27F58"/>
    <w:rsid w:val="00E300AB"/>
    <w:rsid w:val="00E30559"/>
    <w:rsid w:val="00E307C0"/>
    <w:rsid w:val="00E30BEA"/>
    <w:rsid w:val="00E311B9"/>
    <w:rsid w:val="00E316B1"/>
    <w:rsid w:val="00E31D8D"/>
    <w:rsid w:val="00E32050"/>
    <w:rsid w:val="00E3231D"/>
    <w:rsid w:val="00E3395F"/>
    <w:rsid w:val="00E3399D"/>
    <w:rsid w:val="00E34686"/>
    <w:rsid w:val="00E34FC4"/>
    <w:rsid w:val="00E35710"/>
    <w:rsid w:val="00E358C1"/>
    <w:rsid w:val="00E35E60"/>
    <w:rsid w:val="00E35FFD"/>
    <w:rsid w:val="00E366BE"/>
    <w:rsid w:val="00E37289"/>
    <w:rsid w:val="00E37C55"/>
    <w:rsid w:val="00E40157"/>
    <w:rsid w:val="00E4031A"/>
    <w:rsid w:val="00E40432"/>
    <w:rsid w:val="00E40F67"/>
    <w:rsid w:val="00E41117"/>
    <w:rsid w:val="00E41256"/>
    <w:rsid w:val="00E415AA"/>
    <w:rsid w:val="00E42743"/>
    <w:rsid w:val="00E4298A"/>
    <w:rsid w:val="00E429D7"/>
    <w:rsid w:val="00E429E2"/>
    <w:rsid w:val="00E42FE9"/>
    <w:rsid w:val="00E42FEF"/>
    <w:rsid w:val="00E43C00"/>
    <w:rsid w:val="00E43FA6"/>
    <w:rsid w:val="00E449AE"/>
    <w:rsid w:val="00E464B2"/>
    <w:rsid w:val="00E4685F"/>
    <w:rsid w:val="00E47521"/>
    <w:rsid w:val="00E47A48"/>
    <w:rsid w:val="00E47B5C"/>
    <w:rsid w:val="00E47E7D"/>
    <w:rsid w:val="00E5002F"/>
    <w:rsid w:val="00E50C6B"/>
    <w:rsid w:val="00E50E93"/>
    <w:rsid w:val="00E51079"/>
    <w:rsid w:val="00E51193"/>
    <w:rsid w:val="00E518CA"/>
    <w:rsid w:val="00E5194B"/>
    <w:rsid w:val="00E51D00"/>
    <w:rsid w:val="00E5264C"/>
    <w:rsid w:val="00E5371E"/>
    <w:rsid w:val="00E53F86"/>
    <w:rsid w:val="00E540B1"/>
    <w:rsid w:val="00E54114"/>
    <w:rsid w:val="00E547D1"/>
    <w:rsid w:val="00E54B47"/>
    <w:rsid w:val="00E54BB5"/>
    <w:rsid w:val="00E54E7F"/>
    <w:rsid w:val="00E55B1B"/>
    <w:rsid w:val="00E55D27"/>
    <w:rsid w:val="00E567D5"/>
    <w:rsid w:val="00E56CD2"/>
    <w:rsid w:val="00E56EEB"/>
    <w:rsid w:val="00E579DB"/>
    <w:rsid w:val="00E60962"/>
    <w:rsid w:val="00E60991"/>
    <w:rsid w:val="00E60A7E"/>
    <w:rsid w:val="00E60B0A"/>
    <w:rsid w:val="00E61406"/>
    <w:rsid w:val="00E6180E"/>
    <w:rsid w:val="00E61AA6"/>
    <w:rsid w:val="00E61CC3"/>
    <w:rsid w:val="00E626EC"/>
    <w:rsid w:val="00E633EB"/>
    <w:rsid w:val="00E6343A"/>
    <w:rsid w:val="00E63633"/>
    <w:rsid w:val="00E64220"/>
    <w:rsid w:val="00E646D1"/>
    <w:rsid w:val="00E64866"/>
    <w:rsid w:val="00E653E1"/>
    <w:rsid w:val="00E65ABB"/>
    <w:rsid w:val="00E65FEE"/>
    <w:rsid w:val="00E663CA"/>
    <w:rsid w:val="00E66799"/>
    <w:rsid w:val="00E67775"/>
    <w:rsid w:val="00E67A04"/>
    <w:rsid w:val="00E67B9C"/>
    <w:rsid w:val="00E67DC7"/>
    <w:rsid w:val="00E67FEE"/>
    <w:rsid w:val="00E702F7"/>
    <w:rsid w:val="00E704CB"/>
    <w:rsid w:val="00E7075E"/>
    <w:rsid w:val="00E70A22"/>
    <w:rsid w:val="00E70F74"/>
    <w:rsid w:val="00E710EC"/>
    <w:rsid w:val="00E71370"/>
    <w:rsid w:val="00E71E9E"/>
    <w:rsid w:val="00E72565"/>
    <w:rsid w:val="00E72A33"/>
    <w:rsid w:val="00E7325A"/>
    <w:rsid w:val="00E73C43"/>
    <w:rsid w:val="00E754F4"/>
    <w:rsid w:val="00E7696F"/>
    <w:rsid w:val="00E76B06"/>
    <w:rsid w:val="00E76D07"/>
    <w:rsid w:val="00E77252"/>
    <w:rsid w:val="00E77999"/>
    <w:rsid w:val="00E77E65"/>
    <w:rsid w:val="00E801D2"/>
    <w:rsid w:val="00E80678"/>
    <w:rsid w:val="00E809B3"/>
    <w:rsid w:val="00E818D1"/>
    <w:rsid w:val="00E81D34"/>
    <w:rsid w:val="00E81F7F"/>
    <w:rsid w:val="00E82357"/>
    <w:rsid w:val="00E83341"/>
    <w:rsid w:val="00E839D3"/>
    <w:rsid w:val="00E83C80"/>
    <w:rsid w:val="00E83E0F"/>
    <w:rsid w:val="00E83EE3"/>
    <w:rsid w:val="00E8437F"/>
    <w:rsid w:val="00E84BC4"/>
    <w:rsid w:val="00E8581E"/>
    <w:rsid w:val="00E85F84"/>
    <w:rsid w:val="00E861D1"/>
    <w:rsid w:val="00E86397"/>
    <w:rsid w:val="00E867D0"/>
    <w:rsid w:val="00E86D59"/>
    <w:rsid w:val="00E873CC"/>
    <w:rsid w:val="00E87EF5"/>
    <w:rsid w:val="00E910EB"/>
    <w:rsid w:val="00E91626"/>
    <w:rsid w:val="00E9239E"/>
    <w:rsid w:val="00E92AA0"/>
    <w:rsid w:val="00E92D03"/>
    <w:rsid w:val="00E931CD"/>
    <w:rsid w:val="00E932FB"/>
    <w:rsid w:val="00E93996"/>
    <w:rsid w:val="00E939C8"/>
    <w:rsid w:val="00E93AF7"/>
    <w:rsid w:val="00E944D5"/>
    <w:rsid w:val="00E946A6"/>
    <w:rsid w:val="00E955B8"/>
    <w:rsid w:val="00E959FE"/>
    <w:rsid w:val="00E95AF8"/>
    <w:rsid w:val="00E9656F"/>
    <w:rsid w:val="00E96599"/>
    <w:rsid w:val="00E966EB"/>
    <w:rsid w:val="00E9681F"/>
    <w:rsid w:val="00E96B08"/>
    <w:rsid w:val="00E979DE"/>
    <w:rsid w:val="00E97E56"/>
    <w:rsid w:val="00EA03FD"/>
    <w:rsid w:val="00EA058D"/>
    <w:rsid w:val="00EA093F"/>
    <w:rsid w:val="00EA0A6D"/>
    <w:rsid w:val="00EA0F4E"/>
    <w:rsid w:val="00EA0FE6"/>
    <w:rsid w:val="00EA1068"/>
    <w:rsid w:val="00EA13C6"/>
    <w:rsid w:val="00EA188F"/>
    <w:rsid w:val="00EA258C"/>
    <w:rsid w:val="00EA2746"/>
    <w:rsid w:val="00EA2A4E"/>
    <w:rsid w:val="00EA334E"/>
    <w:rsid w:val="00EA3357"/>
    <w:rsid w:val="00EA3C9F"/>
    <w:rsid w:val="00EA403E"/>
    <w:rsid w:val="00EA4E84"/>
    <w:rsid w:val="00EA5828"/>
    <w:rsid w:val="00EA5ECC"/>
    <w:rsid w:val="00EA648F"/>
    <w:rsid w:val="00EA710E"/>
    <w:rsid w:val="00EA737E"/>
    <w:rsid w:val="00EA7D31"/>
    <w:rsid w:val="00EA7F71"/>
    <w:rsid w:val="00EB0238"/>
    <w:rsid w:val="00EB023E"/>
    <w:rsid w:val="00EB0313"/>
    <w:rsid w:val="00EB04E3"/>
    <w:rsid w:val="00EB0687"/>
    <w:rsid w:val="00EB0E0A"/>
    <w:rsid w:val="00EB1255"/>
    <w:rsid w:val="00EB1300"/>
    <w:rsid w:val="00EB1373"/>
    <w:rsid w:val="00EB1821"/>
    <w:rsid w:val="00EB1F4C"/>
    <w:rsid w:val="00EB23D9"/>
    <w:rsid w:val="00EB2485"/>
    <w:rsid w:val="00EB2F2C"/>
    <w:rsid w:val="00EB2F6D"/>
    <w:rsid w:val="00EB30C9"/>
    <w:rsid w:val="00EB359E"/>
    <w:rsid w:val="00EB383C"/>
    <w:rsid w:val="00EB3C7E"/>
    <w:rsid w:val="00EB3D39"/>
    <w:rsid w:val="00EB3EB3"/>
    <w:rsid w:val="00EB41E5"/>
    <w:rsid w:val="00EB4427"/>
    <w:rsid w:val="00EB47BE"/>
    <w:rsid w:val="00EB48AB"/>
    <w:rsid w:val="00EB495E"/>
    <w:rsid w:val="00EB4FDA"/>
    <w:rsid w:val="00EB5625"/>
    <w:rsid w:val="00EB5AA3"/>
    <w:rsid w:val="00EB5C50"/>
    <w:rsid w:val="00EB5E03"/>
    <w:rsid w:val="00EB5F71"/>
    <w:rsid w:val="00EB60B2"/>
    <w:rsid w:val="00EB631E"/>
    <w:rsid w:val="00EB6943"/>
    <w:rsid w:val="00EB701B"/>
    <w:rsid w:val="00EB7CDC"/>
    <w:rsid w:val="00EB7EC2"/>
    <w:rsid w:val="00EC06EA"/>
    <w:rsid w:val="00EC0985"/>
    <w:rsid w:val="00EC0A3F"/>
    <w:rsid w:val="00EC13A3"/>
    <w:rsid w:val="00EC2351"/>
    <w:rsid w:val="00EC28C1"/>
    <w:rsid w:val="00EC2A0C"/>
    <w:rsid w:val="00EC3186"/>
    <w:rsid w:val="00EC31D9"/>
    <w:rsid w:val="00EC3573"/>
    <w:rsid w:val="00EC367A"/>
    <w:rsid w:val="00EC37EE"/>
    <w:rsid w:val="00EC3C04"/>
    <w:rsid w:val="00EC4780"/>
    <w:rsid w:val="00EC49DB"/>
    <w:rsid w:val="00EC4CBC"/>
    <w:rsid w:val="00EC4F70"/>
    <w:rsid w:val="00EC4F82"/>
    <w:rsid w:val="00EC5115"/>
    <w:rsid w:val="00EC5AB2"/>
    <w:rsid w:val="00EC5CBB"/>
    <w:rsid w:val="00EC65A2"/>
    <w:rsid w:val="00EC6C24"/>
    <w:rsid w:val="00EC6D9A"/>
    <w:rsid w:val="00EC720D"/>
    <w:rsid w:val="00EC7983"/>
    <w:rsid w:val="00EC7BE2"/>
    <w:rsid w:val="00ED0075"/>
    <w:rsid w:val="00ED020C"/>
    <w:rsid w:val="00ED111C"/>
    <w:rsid w:val="00ED1130"/>
    <w:rsid w:val="00ED1642"/>
    <w:rsid w:val="00ED1898"/>
    <w:rsid w:val="00ED1BAA"/>
    <w:rsid w:val="00ED1D28"/>
    <w:rsid w:val="00ED249E"/>
    <w:rsid w:val="00ED2B59"/>
    <w:rsid w:val="00ED31D3"/>
    <w:rsid w:val="00ED33F7"/>
    <w:rsid w:val="00ED3CB3"/>
    <w:rsid w:val="00ED3F3C"/>
    <w:rsid w:val="00ED4236"/>
    <w:rsid w:val="00ED42C9"/>
    <w:rsid w:val="00ED488A"/>
    <w:rsid w:val="00ED4D58"/>
    <w:rsid w:val="00ED4E3B"/>
    <w:rsid w:val="00ED54C1"/>
    <w:rsid w:val="00ED56E2"/>
    <w:rsid w:val="00ED5F17"/>
    <w:rsid w:val="00ED5F38"/>
    <w:rsid w:val="00ED6D43"/>
    <w:rsid w:val="00ED6D4F"/>
    <w:rsid w:val="00ED7CEA"/>
    <w:rsid w:val="00EE036E"/>
    <w:rsid w:val="00EE04F6"/>
    <w:rsid w:val="00EE0E54"/>
    <w:rsid w:val="00EE17C6"/>
    <w:rsid w:val="00EE1909"/>
    <w:rsid w:val="00EE24B1"/>
    <w:rsid w:val="00EE270D"/>
    <w:rsid w:val="00EE2A71"/>
    <w:rsid w:val="00EE2EE3"/>
    <w:rsid w:val="00EE35DC"/>
    <w:rsid w:val="00EE4835"/>
    <w:rsid w:val="00EE486B"/>
    <w:rsid w:val="00EE489C"/>
    <w:rsid w:val="00EE51E4"/>
    <w:rsid w:val="00EE530F"/>
    <w:rsid w:val="00EE5348"/>
    <w:rsid w:val="00EE5384"/>
    <w:rsid w:val="00EE53C0"/>
    <w:rsid w:val="00EE5424"/>
    <w:rsid w:val="00EE56BE"/>
    <w:rsid w:val="00EE5AA8"/>
    <w:rsid w:val="00EE5CF1"/>
    <w:rsid w:val="00EE6059"/>
    <w:rsid w:val="00EE6B5B"/>
    <w:rsid w:val="00EE6C9B"/>
    <w:rsid w:val="00EE7100"/>
    <w:rsid w:val="00EF06DA"/>
    <w:rsid w:val="00EF0B0B"/>
    <w:rsid w:val="00EF1210"/>
    <w:rsid w:val="00EF13CE"/>
    <w:rsid w:val="00EF145F"/>
    <w:rsid w:val="00EF1683"/>
    <w:rsid w:val="00EF1830"/>
    <w:rsid w:val="00EF1D59"/>
    <w:rsid w:val="00EF1E69"/>
    <w:rsid w:val="00EF1ECB"/>
    <w:rsid w:val="00EF2064"/>
    <w:rsid w:val="00EF228A"/>
    <w:rsid w:val="00EF2BA6"/>
    <w:rsid w:val="00EF3851"/>
    <w:rsid w:val="00EF4163"/>
    <w:rsid w:val="00EF41B4"/>
    <w:rsid w:val="00EF4333"/>
    <w:rsid w:val="00EF4849"/>
    <w:rsid w:val="00EF48A0"/>
    <w:rsid w:val="00EF4B6D"/>
    <w:rsid w:val="00EF506C"/>
    <w:rsid w:val="00EF5C65"/>
    <w:rsid w:val="00EF5DB6"/>
    <w:rsid w:val="00EF62E5"/>
    <w:rsid w:val="00EF68E4"/>
    <w:rsid w:val="00EF6D07"/>
    <w:rsid w:val="00EF7256"/>
    <w:rsid w:val="00EF7545"/>
    <w:rsid w:val="00EF75DD"/>
    <w:rsid w:val="00F0079B"/>
    <w:rsid w:val="00F007F6"/>
    <w:rsid w:val="00F007F7"/>
    <w:rsid w:val="00F008CA"/>
    <w:rsid w:val="00F00E16"/>
    <w:rsid w:val="00F00F90"/>
    <w:rsid w:val="00F014EA"/>
    <w:rsid w:val="00F0203D"/>
    <w:rsid w:val="00F021C9"/>
    <w:rsid w:val="00F02412"/>
    <w:rsid w:val="00F02FCF"/>
    <w:rsid w:val="00F0388D"/>
    <w:rsid w:val="00F04429"/>
    <w:rsid w:val="00F04FAB"/>
    <w:rsid w:val="00F06599"/>
    <w:rsid w:val="00F0670B"/>
    <w:rsid w:val="00F067F2"/>
    <w:rsid w:val="00F06AC0"/>
    <w:rsid w:val="00F06B94"/>
    <w:rsid w:val="00F070BE"/>
    <w:rsid w:val="00F07632"/>
    <w:rsid w:val="00F076DC"/>
    <w:rsid w:val="00F10023"/>
    <w:rsid w:val="00F10276"/>
    <w:rsid w:val="00F10B9B"/>
    <w:rsid w:val="00F10F2A"/>
    <w:rsid w:val="00F11B5B"/>
    <w:rsid w:val="00F11BA7"/>
    <w:rsid w:val="00F11C12"/>
    <w:rsid w:val="00F11F38"/>
    <w:rsid w:val="00F121B7"/>
    <w:rsid w:val="00F1238D"/>
    <w:rsid w:val="00F1266B"/>
    <w:rsid w:val="00F132C6"/>
    <w:rsid w:val="00F13520"/>
    <w:rsid w:val="00F13842"/>
    <w:rsid w:val="00F13E5B"/>
    <w:rsid w:val="00F13F65"/>
    <w:rsid w:val="00F14121"/>
    <w:rsid w:val="00F14216"/>
    <w:rsid w:val="00F145A2"/>
    <w:rsid w:val="00F145C0"/>
    <w:rsid w:val="00F1463F"/>
    <w:rsid w:val="00F14FEB"/>
    <w:rsid w:val="00F157A9"/>
    <w:rsid w:val="00F15BDB"/>
    <w:rsid w:val="00F15ED7"/>
    <w:rsid w:val="00F15FD9"/>
    <w:rsid w:val="00F1603F"/>
    <w:rsid w:val="00F16343"/>
    <w:rsid w:val="00F1663E"/>
    <w:rsid w:val="00F16986"/>
    <w:rsid w:val="00F16C7D"/>
    <w:rsid w:val="00F1715A"/>
    <w:rsid w:val="00F1750D"/>
    <w:rsid w:val="00F17535"/>
    <w:rsid w:val="00F17609"/>
    <w:rsid w:val="00F2071B"/>
    <w:rsid w:val="00F20FAE"/>
    <w:rsid w:val="00F212DB"/>
    <w:rsid w:val="00F21310"/>
    <w:rsid w:val="00F21D16"/>
    <w:rsid w:val="00F21F2E"/>
    <w:rsid w:val="00F22119"/>
    <w:rsid w:val="00F222C0"/>
    <w:rsid w:val="00F228C6"/>
    <w:rsid w:val="00F22B56"/>
    <w:rsid w:val="00F239CA"/>
    <w:rsid w:val="00F23C59"/>
    <w:rsid w:val="00F23E6D"/>
    <w:rsid w:val="00F24ABA"/>
    <w:rsid w:val="00F24B47"/>
    <w:rsid w:val="00F24B4F"/>
    <w:rsid w:val="00F24D65"/>
    <w:rsid w:val="00F25C1A"/>
    <w:rsid w:val="00F25EFF"/>
    <w:rsid w:val="00F26118"/>
    <w:rsid w:val="00F261D5"/>
    <w:rsid w:val="00F26775"/>
    <w:rsid w:val="00F268C3"/>
    <w:rsid w:val="00F27020"/>
    <w:rsid w:val="00F27677"/>
    <w:rsid w:val="00F27B57"/>
    <w:rsid w:val="00F27F34"/>
    <w:rsid w:val="00F30405"/>
    <w:rsid w:val="00F30875"/>
    <w:rsid w:val="00F31019"/>
    <w:rsid w:val="00F313C3"/>
    <w:rsid w:val="00F315E0"/>
    <w:rsid w:val="00F31BE1"/>
    <w:rsid w:val="00F32581"/>
    <w:rsid w:val="00F339DF"/>
    <w:rsid w:val="00F340CB"/>
    <w:rsid w:val="00F35373"/>
    <w:rsid w:val="00F35639"/>
    <w:rsid w:val="00F358B7"/>
    <w:rsid w:val="00F35CB5"/>
    <w:rsid w:val="00F363B1"/>
    <w:rsid w:val="00F36581"/>
    <w:rsid w:val="00F368D0"/>
    <w:rsid w:val="00F36B46"/>
    <w:rsid w:val="00F37629"/>
    <w:rsid w:val="00F37799"/>
    <w:rsid w:val="00F37CB9"/>
    <w:rsid w:val="00F40A0F"/>
    <w:rsid w:val="00F40A73"/>
    <w:rsid w:val="00F40BF6"/>
    <w:rsid w:val="00F40C9E"/>
    <w:rsid w:val="00F411B8"/>
    <w:rsid w:val="00F4167B"/>
    <w:rsid w:val="00F41964"/>
    <w:rsid w:val="00F41CE1"/>
    <w:rsid w:val="00F4263D"/>
    <w:rsid w:val="00F42DD3"/>
    <w:rsid w:val="00F42F7A"/>
    <w:rsid w:val="00F4368D"/>
    <w:rsid w:val="00F4390C"/>
    <w:rsid w:val="00F43DDD"/>
    <w:rsid w:val="00F440ED"/>
    <w:rsid w:val="00F44131"/>
    <w:rsid w:val="00F4433F"/>
    <w:rsid w:val="00F4480E"/>
    <w:rsid w:val="00F44844"/>
    <w:rsid w:val="00F44DEC"/>
    <w:rsid w:val="00F45087"/>
    <w:rsid w:val="00F4529A"/>
    <w:rsid w:val="00F453A3"/>
    <w:rsid w:val="00F45D1B"/>
    <w:rsid w:val="00F45F50"/>
    <w:rsid w:val="00F461C7"/>
    <w:rsid w:val="00F465D4"/>
    <w:rsid w:val="00F46ABD"/>
    <w:rsid w:val="00F47444"/>
    <w:rsid w:val="00F47E7E"/>
    <w:rsid w:val="00F47F69"/>
    <w:rsid w:val="00F503A4"/>
    <w:rsid w:val="00F50B07"/>
    <w:rsid w:val="00F50FEC"/>
    <w:rsid w:val="00F51131"/>
    <w:rsid w:val="00F51247"/>
    <w:rsid w:val="00F5221B"/>
    <w:rsid w:val="00F5253B"/>
    <w:rsid w:val="00F52923"/>
    <w:rsid w:val="00F53BA6"/>
    <w:rsid w:val="00F53C96"/>
    <w:rsid w:val="00F53D75"/>
    <w:rsid w:val="00F53DFA"/>
    <w:rsid w:val="00F54256"/>
    <w:rsid w:val="00F54425"/>
    <w:rsid w:val="00F54586"/>
    <w:rsid w:val="00F54963"/>
    <w:rsid w:val="00F55501"/>
    <w:rsid w:val="00F5567D"/>
    <w:rsid w:val="00F55BC1"/>
    <w:rsid w:val="00F55F80"/>
    <w:rsid w:val="00F56C26"/>
    <w:rsid w:val="00F57F46"/>
    <w:rsid w:val="00F61169"/>
    <w:rsid w:val="00F612F8"/>
    <w:rsid w:val="00F6193B"/>
    <w:rsid w:val="00F61E2A"/>
    <w:rsid w:val="00F6240C"/>
    <w:rsid w:val="00F62A4E"/>
    <w:rsid w:val="00F63FEE"/>
    <w:rsid w:val="00F640D0"/>
    <w:rsid w:val="00F6422B"/>
    <w:rsid w:val="00F64750"/>
    <w:rsid w:val="00F64C46"/>
    <w:rsid w:val="00F64F54"/>
    <w:rsid w:val="00F65095"/>
    <w:rsid w:val="00F65244"/>
    <w:rsid w:val="00F656A6"/>
    <w:rsid w:val="00F65C77"/>
    <w:rsid w:val="00F66332"/>
    <w:rsid w:val="00F664E1"/>
    <w:rsid w:val="00F66C2C"/>
    <w:rsid w:val="00F670C5"/>
    <w:rsid w:val="00F67107"/>
    <w:rsid w:val="00F67255"/>
    <w:rsid w:val="00F679AB"/>
    <w:rsid w:val="00F7042E"/>
    <w:rsid w:val="00F704F6"/>
    <w:rsid w:val="00F70527"/>
    <w:rsid w:val="00F712BD"/>
    <w:rsid w:val="00F72049"/>
    <w:rsid w:val="00F72103"/>
    <w:rsid w:val="00F7212D"/>
    <w:rsid w:val="00F7240C"/>
    <w:rsid w:val="00F726D3"/>
    <w:rsid w:val="00F727D3"/>
    <w:rsid w:val="00F7300E"/>
    <w:rsid w:val="00F7349C"/>
    <w:rsid w:val="00F73C5A"/>
    <w:rsid w:val="00F74208"/>
    <w:rsid w:val="00F743F0"/>
    <w:rsid w:val="00F74958"/>
    <w:rsid w:val="00F74A50"/>
    <w:rsid w:val="00F74A72"/>
    <w:rsid w:val="00F74BA1"/>
    <w:rsid w:val="00F74CF2"/>
    <w:rsid w:val="00F756E4"/>
    <w:rsid w:val="00F760B7"/>
    <w:rsid w:val="00F76128"/>
    <w:rsid w:val="00F769D2"/>
    <w:rsid w:val="00F772CC"/>
    <w:rsid w:val="00F776B4"/>
    <w:rsid w:val="00F77A9B"/>
    <w:rsid w:val="00F8028B"/>
    <w:rsid w:val="00F80D7C"/>
    <w:rsid w:val="00F81499"/>
    <w:rsid w:val="00F814B1"/>
    <w:rsid w:val="00F81596"/>
    <w:rsid w:val="00F81E08"/>
    <w:rsid w:val="00F8220C"/>
    <w:rsid w:val="00F8294E"/>
    <w:rsid w:val="00F8296E"/>
    <w:rsid w:val="00F82DB6"/>
    <w:rsid w:val="00F83202"/>
    <w:rsid w:val="00F83ED3"/>
    <w:rsid w:val="00F842C1"/>
    <w:rsid w:val="00F8541C"/>
    <w:rsid w:val="00F85796"/>
    <w:rsid w:val="00F86549"/>
    <w:rsid w:val="00F865E2"/>
    <w:rsid w:val="00F865E8"/>
    <w:rsid w:val="00F8703E"/>
    <w:rsid w:val="00F87C45"/>
    <w:rsid w:val="00F90111"/>
    <w:rsid w:val="00F9156A"/>
    <w:rsid w:val="00F9210F"/>
    <w:rsid w:val="00F92188"/>
    <w:rsid w:val="00F924A3"/>
    <w:rsid w:val="00F924EE"/>
    <w:rsid w:val="00F92B5C"/>
    <w:rsid w:val="00F92F43"/>
    <w:rsid w:val="00F93045"/>
    <w:rsid w:val="00F93544"/>
    <w:rsid w:val="00F935F8"/>
    <w:rsid w:val="00F93AA6"/>
    <w:rsid w:val="00F93AEC"/>
    <w:rsid w:val="00F93E1F"/>
    <w:rsid w:val="00F940D4"/>
    <w:rsid w:val="00F94373"/>
    <w:rsid w:val="00F943F1"/>
    <w:rsid w:val="00F96289"/>
    <w:rsid w:val="00F96394"/>
    <w:rsid w:val="00F96CBD"/>
    <w:rsid w:val="00F96FE5"/>
    <w:rsid w:val="00F976D0"/>
    <w:rsid w:val="00F97E72"/>
    <w:rsid w:val="00FA07C6"/>
    <w:rsid w:val="00FA0D31"/>
    <w:rsid w:val="00FA110F"/>
    <w:rsid w:val="00FA130C"/>
    <w:rsid w:val="00FA1350"/>
    <w:rsid w:val="00FA19E4"/>
    <w:rsid w:val="00FA1C0D"/>
    <w:rsid w:val="00FA1D72"/>
    <w:rsid w:val="00FA263A"/>
    <w:rsid w:val="00FA3880"/>
    <w:rsid w:val="00FA3B9D"/>
    <w:rsid w:val="00FA4604"/>
    <w:rsid w:val="00FA478A"/>
    <w:rsid w:val="00FA4903"/>
    <w:rsid w:val="00FA4F3A"/>
    <w:rsid w:val="00FA5187"/>
    <w:rsid w:val="00FA5385"/>
    <w:rsid w:val="00FA538C"/>
    <w:rsid w:val="00FA5575"/>
    <w:rsid w:val="00FA570E"/>
    <w:rsid w:val="00FA5AF0"/>
    <w:rsid w:val="00FA5CD1"/>
    <w:rsid w:val="00FA6DBB"/>
    <w:rsid w:val="00FA6E3B"/>
    <w:rsid w:val="00FA7249"/>
    <w:rsid w:val="00FA7461"/>
    <w:rsid w:val="00FA7963"/>
    <w:rsid w:val="00FB006A"/>
    <w:rsid w:val="00FB00D0"/>
    <w:rsid w:val="00FB088F"/>
    <w:rsid w:val="00FB0B6C"/>
    <w:rsid w:val="00FB0FCC"/>
    <w:rsid w:val="00FB17ED"/>
    <w:rsid w:val="00FB1829"/>
    <w:rsid w:val="00FB1A78"/>
    <w:rsid w:val="00FB1AE6"/>
    <w:rsid w:val="00FB1E0D"/>
    <w:rsid w:val="00FB1F66"/>
    <w:rsid w:val="00FB2366"/>
    <w:rsid w:val="00FB2B37"/>
    <w:rsid w:val="00FB341F"/>
    <w:rsid w:val="00FB4759"/>
    <w:rsid w:val="00FB4876"/>
    <w:rsid w:val="00FB4C97"/>
    <w:rsid w:val="00FB4E2A"/>
    <w:rsid w:val="00FB6108"/>
    <w:rsid w:val="00FB6724"/>
    <w:rsid w:val="00FB68CD"/>
    <w:rsid w:val="00FB7433"/>
    <w:rsid w:val="00FB76DE"/>
    <w:rsid w:val="00FC0276"/>
    <w:rsid w:val="00FC08C2"/>
    <w:rsid w:val="00FC1634"/>
    <w:rsid w:val="00FC1B4D"/>
    <w:rsid w:val="00FC1B62"/>
    <w:rsid w:val="00FC24DC"/>
    <w:rsid w:val="00FC2A90"/>
    <w:rsid w:val="00FC2ACE"/>
    <w:rsid w:val="00FC3107"/>
    <w:rsid w:val="00FC357D"/>
    <w:rsid w:val="00FC372A"/>
    <w:rsid w:val="00FC402B"/>
    <w:rsid w:val="00FC40C0"/>
    <w:rsid w:val="00FC4A37"/>
    <w:rsid w:val="00FC5D6B"/>
    <w:rsid w:val="00FC69E8"/>
    <w:rsid w:val="00FC6D3B"/>
    <w:rsid w:val="00FC7008"/>
    <w:rsid w:val="00FC7049"/>
    <w:rsid w:val="00FC7C24"/>
    <w:rsid w:val="00FC7F07"/>
    <w:rsid w:val="00FD07AE"/>
    <w:rsid w:val="00FD0815"/>
    <w:rsid w:val="00FD092F"/>
    <w:rsid w:val="00FD1111"/>
    <w:rsid w:val="00FD1F50"/>
    <w:rsid w:val="00FD2563"/>
    <w:rsid w:val="00FD2C3B"/>
    <w:rsid w:val="00FD3309"/>
    <w:rsid w:val="00FD3F89"/>
    <w:rsid w:val="00FD40CC"/>
    <w:rsid w:val="00FD46A8"/>
    <w:rsid w:val="00FD498A"/>
    <w:rsid w:val="00FD4A44"/>
    <w:rsid w:val="00FD4DCA"/>
    <w:rsid w:val="00FD4E6A"/>
    <w:rsid w:val="00FD5B97"/>
    <w:rsid w:val="00FD630E"/>
    <w:rsid w:val="00FD6DC8"/>
    <w:rsid w:val="00FD6DEB"/>
    <w:rsid w:val="00FD70ED"/>
    <w:rsid w:val="00FD78DF"/>
    <w:rsid w:val="00FD79DB"/>
    <w:rsid w:val="00FE068C"/>
    <w:rsid w:val="00FE084C"/>
    <w:rsid w:val="00FE092B"/>
    <w:rsid w:val="00FE0CAD"/>
    <w:rsid w:val="00FE0DEE"/>
    <w:rsid w:val="00FE1048"/>
    <w:rsid w:val="00FE122E"/>
    <w:rsid w:val="00FE12EB"/>
    <w:rsid w:val="00FE1875"/>
    <w:rsid w:val="00FE2089"/>
    <w:rsid w:val="00FE213A"/>
    <w:rsid w:val="00FE222C"/>
    <w:rsid w:val="00FE23BA"/>
    <w:rsid w:val="00FE23D4"/>
    <w:rsid w:val="00FE2661"/>
    <w:rsid w:val="00FE2746"/>
    <w:rsid w:val="00FE279D"/>
    <w:rsid w:val="00FE3033"/>
    <w:rsid w:val="00FE3050"/>
    <w:rsid w:val="00FE371A"/>
    <w:rsid w:val="00FE3A6F"/>
    <w:rsid w:val="00FE3C59"/>
    <w:rsid w:val="00FE3D02"/>
    <w:rsid w:val="00FE3FB3"/>
    <w:rsid w:val="00FE4201"/>
    <w:rsid w:val="00FE45F4"/>
    <w:rsid w:val="00FE466A"/>
    <w:rsid w:val="00FE4E77"/>
    <w:rsid w:val="00FE5265"/>
    <w:rsid w:val="00FE57B4"/>
    <w:rsid w:val="00FE59DF"/>
    <w:rsid w:val="00FE5A0E"/>
    <w:rsid w:val="00FE5F06"/>
    <w:rsid w:val="00FE65C5"/>
    <w:rsid w:val="00FE6616"/>
    <w:rsid w:val="00FE7529"/>
    <w:rsid w:val="00FE7935"/>
    <w:rsid w:val="00FE7D83"/>
    <w:rsid w:val="00FF0791"/>
    <w:rsid w:val="00FF08DF"/>
    <w:rsid w:val="00FF0B20"/>
    <w:rsid w:val="00FF0C6E"/>
    <w:rsid w:val="00FF1A08"/>
    <w:rsid w:val="00FF1B6F"/>
    <w:rsid w:val="00FF1EFE"/>
    <w:rsid w:val="00FF201F"/>
    <w:rsid w:val="00FF2EAA"/>
    <w:rsid w:val="00FF312A"/>
    <w:rsid w:val="00FF3722"/>
    <w:rsid w:val="00FF3B00"/>
    <w:rsid w:val="00FF3B8C"/>
    <w:rsid w:val="00FF3DF4"/>
    <w:rsid w:val="00FF3DFA"/>
    <w:rsid w:val="00FF4550"/>
    <w:rsid w:val="00FF4E36"/>
    <w:rsid w:val="00FF5522"/>
    <w:rsid w:val="00FF55EB"/>
    <w:rsid w:val="00FF5C96"/>
    <w:rsid w:val="00FF632F"/>
    <w:rsid w:val="00FF6FA0"/>
    <w:rsid w:val="00FF70FF"/>
    <w:rsid w:val="00FF7205"/>
    <w:rsid w:val="00FF7FE0"/>
    <w:rsid w:val="011D0A86"/>
    <w:rsid w:val="01214365"/>
    <w:rsid w:val="0123584C"/>
    <w:rsid w:val="01401F5A"/>
    <w:rsid w:val="016508BC"/>
    <w:rsid w:val="01791910"/>
    <w:rsid w:val="01835170"/>
    <w:rsid w:val="01A11310"/>
    <w:rsid w:val="01AF1A9C"/>
    <w:rsid w:val="01C37798"/>
    <w:rsid w:val="01C50F7C"/>
    <w:rsid w:val="01D6466C"/>
    <w:rsid w:val="01FD3964"/>
    <w:rsid w:val="02021029"/>
    <w:rsid w:val="021F6ED0"/>
    <w:rsid w:val="023C11A8"/>
    <w:rsid w:val="026A0669"/>
    <w:rsid w:val="02BC247D"/>
    <w:rsid w:val="02D432A2"/>
    <w:rsid w:val="02DA783B"/>
    <w:rsid w:val="030C79BF"/>
    <w:rsid w:val="032521BD"/>
    <w:rsid w:val="03305FFE"/>
    <w:rsid w:val="03311390"/>
    <w:rsid w:val="034123BB"/>
    <w:rsid w:val="03467369"/>
    <w:rsid w:val="03831373"/>
    <w:rsid w:val="03935A6A"/>
    <w:rsid w:val="039B0B09"/>
    <w:rsid w:val="03E07218"/>
    <w:rsid w:val="03F31506"/>
    <w:rsid w:val="03F83A17"/>
    <w:rsid w:val="03FB336C"/>
    <w:rsid w:val="04221A0D"/>
    <w:rsid w:val="04376843"/>
    <w:rsid w:val="04637F4D"/>
    <w:rsid w:val="046C3066"/>
    <w:rsid w:val="047B51B5"/>
    <w:rsid w:val="048030E8"/>
    <w:rsid w:val="048C54B6"/>
    <w:rsid w:val="04D712A6"/>
    <w:rsid w:val="04F16E8F"/>
    <w:rsid w:val="05227E31"/>
    <w:rsid w:val="053729A2"/>
    <w:rsid w:val="053B1757"/>
    <w:rsid w:val="05453754"/>
    <w:rsid w:val="05605E35"/>
    <w:rsid w:val="057A02B5"/>
    <w:rsid w:val="0586370B"/>
    <w:rsid w:val="058C0616"/>
    <w:rsid w:val="05A351AD"/>
    <w:rsid w:val="05C64B0C"/>
    <w:rsid w:val="05C97A35"/>
    <w:rsid w:val="05CE388C"/>
    <w:rsid w:val="06274119"/>
    <w:rsid w:val="064B43B6"/>
    <w:rsid w:val="06571077"/>
    <w:rsid w:val="067B00DB"/>
    <w:rsid w:val="068943A3"/>
    <w:rsid w:val="069845E6"/>
    <w:rsid w:val="06B53343"/>
    <w:rsid w:val="06E93A59"/>
    <w:rsid w:val="06F57B28"/>
    <w:rsid w:val="06FF4665"/>
    <w:rsid w:val="070600AB"/>
    <w:rsid w:val="070F5664"/>
    <w:rsid w:val="071D23BF"/>
    <w:rsid w:val="075443A4"/>
    <w:rsid w:val="076444C8"/>
    <w:rsid w:val="077C2B80"/>
    <w:rsid w:val="07951889"/>
    <w:rsid w:val="07A2403A"/>
    <w:rsid w:val="07A67AEB"/>
    <w:rsid w:val="07BA75CC"/>
    <w:rsid w:val="07C81BD2"/>
    <w:rsid w:val="07E4488E"/>
    <w:rsid w:val="07F10452"/>
    <w:rsid w:val="081455E7"/>
    <w:rsid w:val="083C590F"/>
    <w:rsid w:val="0850658F"/>
    <w:rsid w:val="08747A4E"/>
    <w:rsid w:val="087F7D52"/>
    <w:rsid w:val="08840441"/>
    <w:rsid w:val="088E5CA1"/>
    <w:rsid w:val="08A74FB5"/>
    <w:rsid w:val="08CD42C3"/>
    <w:rsid w:val="08F54AD4"/>
    <w:rsid w:val="08FB79D5"/>
    <w:rsid w:val="09323D1A"/>
    <w:rsid w:val="0943163C"/>
    <w:rsid w:val="09450EF5"/>
    <w:rsid w:val="094F030E"/>
    <w:rsid w:val="096B668A"/>
    <w:rsid w:val="098F2582"/>
    <w:rsid w:val="09982F06"/>
    <w:rsid w:val="09D92F4C"/>
    <w:rsid w:val="09FC086D"/>
    <w:rsid w:val="0A066AE7"/>
    <w:rsid w:val="0A1E0C2A"/>
    <w:rsid w:val="0A1E2CD7"/>
    <w:rsid w:val="0A1E38DB"/>
    <w:rsid w:val="0A345099"/>
    <w:rsid w:val="0A3E54A5"/>
    <w:rsid w:val="0A822708"/>
    <w:rsid w:val="0AB062DE"/>
    <w:rsid w:val="0AB16AEB"/>
    <w:rsid w:val="0ADB4E00"/>
    <w:rsid w:val="0AF14BE1"/>
    <w:rsid w:val="0B035CFD"/>
    <w:rsid w:val="0B330193"/>
    <w:rsid w:val="0B367B81"/>
    <w:rsid w:val="0B4D2041"/>
    <w:rsid w:val="0B4F350C"/>
    <w:rsid w:val="0B810178"/>
    <w:rsid w:val="0B864C21"/>
    <w:rsid w:val="0B8C613C"/>
    <w:rsid w:val="0BA42DF8"/>
    <w:rsid w:val="0BE95E9A"/>
    <w:rsid w:val="0BFE1449"/>
    <w:rsid w:val="0C022D96"/>
    <w:rsid w:val="0C0B4096"/>
    <w:rsid w:val="0C330ECE"/>
    <w:rsid w:val="0C5839FC"/>
    <w:rsid w:val="0C647279"/>
    <w:rsid w:val="0C6640B0"/>
    <w:rsid w:val="0C7F7B85"/>
    <w:rsid w:val="0CA830A9"/>
    <w:rsid w:val="0CB67574"/>
    <w:rsid w:val="0CBF7400"/>
    <w:rsid w:val="0CC042C5"/>
    <w:rsid w:val="0CD17946"/>
    <w:rsid w:val="0CEB3C55"/>
    <w:rsid w:val="0D134413"/>
    <w:rsid w:val="0D192D09"/>
    <w:rsid w:val="0D34395D"/>
    <w:rsid w:val="0D39562C"/>
    <w:rsid w:val="0D4A5AE4"/>
    <w:rsid w:val="0D4A69C4"/>
    <w:rsid w:val="0D572DA5"/>
    <w:rsid w:val="0D6B774E"/>
    <w:rsid w:val="0D6D759B"/>
    <w:rsid w:val="0D894552"/>
    <w:rsid w:val="0D8E0749"/>
    <w:rsid w:val="0D974A81"/>
    <w:rsid w:val="0D9A6E96"/>
    <w:rsid w:val="0DAC1464"/>
    <w:rsid w:val="0DAF34F7"/>
    <w:rsid w:val="0DB241E0"/>
    <w:rsid w:val="0DD435CE"/>
    <w:rsid w:val="0DD64FD6"/>
    <w:rsid w:val="0DFF72BF"/>
    <w:rsid w:val="0E0C3FEA"/>
    <w:rsid w:val="0E1A2764"/>
    <w:rsid w:val="0E2D3511"/>
    <w:rsid w:val="0E3015A8"/>
    <w:rsid w:val="0E457DA4"/>
    <w:rsid w:val="0EB64271"/>
    <w:rsid w:val="0EBD639E"/>
    <w:rsid w:val="0EC06F8B"/>
    <w:rsid w:val="0ECA5559"/>
    <w:rsid w:val="0ED07684"/>
    <w:rsid w:val="0ED71A24"/>
    <w:rsid w:val="0F176605"/>
    <w:rsid w:val="0F18595C"/>
    <w:rsid w:val="0F1936C6"/>
    <w:rsid w:val="0F2F5BC8"/>
    <w:rsid w:val="0F473297"/>
    <w:rsid w:val="0F4D46E4"/>
    <w:rsid w:val="0F586E8B"/>
    <w:rsid w:val="0F6B7FF6"/>
    <w:rsid w:val="0F764DAA"/>
    <w:rsid w:val="0F7A0352"/>
    <w:rsid w:val="0FB21661"/>
    <w:rsid w:val="0FBA737B"/>
    <w:rsid w:val="0FBE3FDF"/>
    <w:rsid w:val="0FC13BA4"/>
    <w:rsid w:val="0FF5674C"/>
    <w:rsid w:val="100665E7"/>
    <w:rsid w:val="10234F21"/>
    <w:rsid w:val="10321608"/>
    <w:rsid w:val="10374E70"/>
    <w:rsid w:val="10BC4D9C"/>
    <w:rsid w:val="10D26947"/>
    <w:rsid w:val="10E63D07"/>
    <w:rsid w:val="10EA0B48"/>
    <w:rsid w:val="10EE7A36"/>
    <w:rsid w:val="11254CC9"/>
    <w:rsid w:val="112569BD"/>
    <w:rsid w:val="112C793F"/>
    <w:rsid w:val="112F3FEE"/>
    <w:rsid w:val="113978C1"/>
    <w:rsid w:val="11432923"/>
    <w:rsid w:val="1165096A"/>
    <w:rsid w:val="117355CD"/>
    <w:rsid w:val="117B6FDE"/>
    <w:rsid w:val="11813F2D"/>
    <w:rsid w:val="11C27D8D"/>
    <w:rsid w:val="12144FC0"/>
    <w:rsid w:val="12596AAD"/>
    <w:rsid w:val="12684E18"/>
    <w:rsid w:val="12901B64"/>
    <w:rsid w:val="12940358"/>
    <w:rsid w:val="129853FE"/>
    <w:rsid w:val="12A62601"/>
    <w:rsid w:val="12AA0B5A"/>
    <w:rsid w:val="12BC7A08"/>
    <w:rsid w:val="12EB77BA"/>
    <w:rsid w:val="130848A2"/>
    <w:rsid w:val="1315735E"/>
    <w:rsid w:val="13175458"/>
    <w:rsid w:val="13427309"/>
    <w:rsid w:val="13451652"/>
    <w:rsid w:val="134674CA"/>
    <w:rsid w:val="13481E1B"/>
    <w:rsid w:val="134D58B5"/>
    <w:rsid w:val="13610F31"/>
    <w:rsid w:val="13814851"/>
    <w:rsid w:val="13983A06"/>
    <w:rsid w:val="13C8403A"/>
    <w:rsid w:val="13EC5F71"/>
    <w:rsid w:val="14276FAA"/>
    <w:rsid w:val="1428676E"/>
    <w:rsid w:val="14942891"/>
    <w:rsid w:val="14A32AD4"/>
    <w:rsid w:val="14B81621"/>
    <w:rsid w:val="14B9438E"/>
    <w:rsid w:val="14CD67D8"/>
    <w:rsid w:val="14DE0E97"/>
    <w:rsid w:val="15010A1F"/>
    <w:rsid w:val="152E1A46"/>
    <w:rsid w:val="15310F27"/>
    <w:rsid w:val="15311B63"/>
    <w:rsid w:val="156D4E90"/>
    <w:rsid w:val="15820DF5"/>
    <w:rsid w:val="15836FE5"/>
    <w:rsid w:val="158C17BA"/>
    <w:rsid w:val="159D5775"/>
    <w:rsid w:val="159E329B"/>
    <w:rsid w:val="15AF49FD"/>
    <w:rsid w:val="15B75686"/>
    <w:rsid w:val="15D40898"/>
    <w:rsid w:val="15E80E89"/>
    <w:rsid w:val="162B58E5"/>
    <w:rsid w:val="164370B9"/>
    <w:rsid w:val="16437564"/>
    <w:rsid w:val="165241DD"/>
    <w:rsid w:val="1669533A"/>
    <w:rsid w:val="16721235"/>
    <w:rsid w:val="168258D3"/>
    <w:rsid w:val="168406E3"/>
    <w:rsid w:val="16A0147D"/>
    <w:rsid w:val="16D619CF"/>
    <w:rsid w:val="16DF591A"/>
    <w:rsid w:val="16EB52A0"/>
    <w:rsid w:val="171E4694"/>
    <w:rsid w:val="172B37CA"/>
    <w:rsid w:val="175763E9"/>
    <w:rsid w:val="17667DE9"/>
    <w:rsid w:val="177236B1"/>
    <w:rsid w:val="177421CC"/>
    <w:rsid w:val="178D1819"/>
    <w:rsid w:val="179A3525"/>
    <w:rsid w:val="17D729AD"/>
    <w:rsid w:val="17D975F9"/>
    <w:rsid w:val="17EA2613"/>
    <w:rsid w:val="17F04282"/>
    <w:rsid w:val="180C06FF"/>
    <w:rsid w:val="186645D9"/>
    <w:rsid w:val="18697E3E"/>
    <w:rsid w:val="186A5E5F"/>
    <w:rsid w:val="18D11D43"/>
    <w:rsid w:val="18E62F75"/>
    <w:rsid w:val="19052F7D"/>
    <w:rsid w:val="190F460C"/>
    <w:rsid w:val="191B572E"/>
    <w:rsid w:val="19426902"/>
    <w:rsid w:val="194955AD"/>
    <w:rsid w:val="194A350E"/>
    <w:rsid w:val="197C38F4"/>
    <w:rsid w:val="197F4E01"/>
    <w:rsid w:val="19831A11"/>
    <w:rsid w:val="19833953"/>
    <w:rsid w:val="19941D18"/>
    <w:rsid w:val="199F0C93"/>
    <w:rsid w:val="19ED5937"/>
    <w:rsid w:val="1A1F2B77"/>
    <w:rsid w:val="1A2E2E40"/>
    <w:rsid w:val="1A306C6C"/>
    <w:rsid w:val="1A3420A1"/>
    <w:rsid w:val="1A4F01C3"/>
    <w:rsid w:val="1A605254"/>
    <w:rsid w:val="1A710F9A"/>
    <w:rsid w:val="1A793136"/>
    <w:rsid w:val="1A7B3BAB"/>
    <w:rsid w:val="1AAE7A56"/>
    <w:rsid w:val="1ADA4D76"/>
    <w:rsid w:val="1AF83EF2"/>
    <w:rsid w:val="1AFC3CEE"/>
    <w:rsid w:val="1B04361C"/>
    <w:rsid w:val="1B065B6B"/>
    <w:rsid w:val="1B34540E"/>
    <w:rsid w:val="1B59735D"/>
    <w:rsid w:val="1B5F6589"/>
    <w:rsid w:val="1B6B624B"/>
    <w:rsid w:val="1B867E2B"/>
    <w:rsid w:val="1B8C0FD7"/>
    <w:rsid w:val="1B8F790E"/>
    <w:rsid w:val="1BFF71F2"/>
    <w:rsid w:val="1C2638BB"/>
    <w:rsid w:val="1C880752"/>
    <w:rsid w:val="1CBB1806"/>
    <w:rsid w:val="1CD70A8D"/>
    <w:rsid w:val="1CEA0B3E"/>
    <w:rsid w:val="1CFF05A2"/>
    <w:rsid w:val="1D142D0A"/>
    <w:rsid w:val="1D41732E"/>
    <w:rsid w:val="1D4C1E48"/>
    <w:rsid w:val="1D4D722F"/>
    <w:rsid w:val="1D5232E9"/>
    <w:rsid w:val="1D555DBB"/>
    <w:rsid w:val="1D943AC4"/>
    <w:rsid w:val="1DBF4B8A"/>
    <w:rsid w:val="1DC713F1"/>
    <w:rsid w:val="1DE062F7"/>
    <w:rsid w:val="1DEA1605"/>
    <w:rsid w:val="1E0B5246"/>
    <w:rsid w:val="1E467139"/>
    <w:rsid w:val="1E59183C"/>
    <w:rsid w:val="1E5A2DCB"/>
    <w:rsid w:val="1E6A4217"/>
    <w:rsid w:val="1EBC3475"/>
    <w:rsid w:val="1EC309F6"/>
    <w:rsid w:val="1ED80E47"/>
    <w:rsid w:val="1EEA2418"/>
    <w:rsid w:val="1F1254F4"/>
    <w:rsid w:val="1F291141"/>
    <w:rsid w:val="1F664E2A"/>
    <w:rsid w:val="1F906557"/>
    <w:rsid w:val="1FA01FA3"/>
    <w:rsid w:val="1FBA5871"/>
    <w:rsid w:val="1FFA436F"/>
    <w:rsid w:val="2023605D"/>
    <w:rsid w:val="2039775F"/>
    <w:rsid w:val="206C2914"/>
    <w:rsid w:val="207259FF"/>
    <w:rsid w:val="208F03B0"/>
    <w:rsid w:val="20B322F1"/>
    <w:rsid w:val="20E912AD"/>
    <w:rsid w:val="20E97AC1"/>
    <w:rsid w:val="210743EB"/>
    <w:rsid w:val="211A2001"/>
    <w:rsid w:val="21204F6E"/>
    <w:rsid w:val="212F1E92"/>
    <w:rsid w:val="213B1D40"/>
    <w:rsid w:val="213C07FD"/>
    <w:rsid w:val="21436995"/>
    <w:rsid w:val="21511C6B"/>
    <w:rsid w:val="21570680"/>
    <w:rsid w:val="216D50BB"/>
    <w:rsid w:val="217904AE"/>
    <w:rsid w:val="21B005DE"/>
    <w:rsid w:val="21C85928"/>
    <w:rsid w:val="21CF38C1"/>
    <w:rsid w:val="21FF50C2"/>
    <w:rsid w:val="220E03B9"/>
    <w:rsid w:val="221110A3"/>
    <w:rsid w:val="22112225"/>
    <w:rsid w:val="22377D87"/>
    <w:rsid w:val="223F1EBC"/>
    <w:rsid w:val="2241472B"/>
    <w:rsid w:val="22573022"/>
    <w:rsid w:val="225752E2"/>
    <w:rsid w:val="22611985"/>
    <w:rsid w:val="227930C6"/>
    <w:rsid w:val="228C596B"/>
    <w:rsid w:val="22B12D55"/>
    <w:rsid w:val="22BB0A83"/>
    <w:rsid w:val="22BD2FEC"/>
    <w:rsid w:val="22D754B7"/>
    <w:rsid w:val="22F556ED"/>
    <w:rsid w:val="23052768"/>
    <w:rsid w:val="23095E97"/>
    <w:rsid w:val="230B7D43"/>
    <w:rsid w:val="23235A35"/>
    <w:rsid w:val="2342582F"/>
    <w:rsid w:val="234A0DE6"/>
    <w:rsid w:val="236A2FB3"/>
    <w:rsid w:val="239857CE"/>
    <w:rsid w:val="24300E1A"/>
    <w:rsid w:val="2432461A"/>
    <w:rsid w:val="24493596"/>
    <w:rsid w:val="246314C8"/>
    <w:rsid w:val="24A01530"/>
    <w:rsid w:val="2508146F"/>
    <w:rsid w:val="25094DF1"/>
    <w:rsid w:val="250B47D5"/>
    <w:rsid w:val="250D1709"/>
    <w:rsid w:val="251B16DB"/>
    <w:rsid w:val="253416C3"/>
    <w:rsid w:val="256516E0"/>
    <w:rsid w:val="25775800"/>
    <w:rsid w:val="257A29E1"/>
    <w:rsid w:val="25826736"/>
    <w:rsid w:val="25B52667"/>
    <w:rsid w:val="25BE4930"/>
    <w:rsid w:val="25DC3FD5"/>
    <w:rsid w:val="25DC58CF"/>
    <w:rsid w:val="25DC6A54"/>
    <w:rsid w:val="25ED3C47"/>
    <w:rsid w:val="260D79C5"/>
    <w:rsid w:val="265579DE"/>
    <w:rsid w:val="26571970"/>
    <w:rsid w:val="26753E72"/>
    <w:rsid w:val="267912AC"/>
    <w:rsid w:val="26925354"/>
    <w:rsid w:val="26A64EB5"/>
    <w:rsid w:val="26B7240F"/>
    <w:rsid w:val="26BE36E4"/>
    <w:rsid w:val="26EF04C4"/>
    <w:rsid w:val="2710174D"/>
    <w:rsid w:val="271E248E"/>
    <w:rsid w:val="27243473"/>
    <w:rsid w:val="273768CB"/>
    <w:rsid w:val="27545409"/>
    <w:rsid w:val="2781595E"/>
    <w:rsid w:val="27855A03"/>
    <w:rsid w:val="2787548C"/>
    <w:rsid w:val="27B6351B"/>
    <w:rsid w:val="27BA2AFC"/>
    <w:rsid w:val="27BF1E49"/>
    <w:rsid w:val="27D843EB"/>
    <w:rsid w:val="27FA6A57"/>
    <w:rsid w:val="27FD412F"/>
    <w:rsid w:val="2832197B"/>
    <w:rsid w:val="28371A20"/>
    <w:rsid w:val="2858675A"/>
    <w:rsid w:val="28752806"/>
    <w:rsid w:val="287965F1"/>
    <w:rsid w:val="28907CC8"/>
    <w:rsid w:val="2895052E"/>
    <w:rsid w:val="28C16AFD"/>
    <w:rsid w:val="28D36E69"/>
    <w:rsid w:val="28D91000"/>
    <w:rsid w:val="28DD75F1"/>
    <w:rsid w:val="28E079FB"/>
    <w:rsid w:val="294729C4"/>
    <w:rsid w:val="29475665"/>
    <w:rsid w:val="29527F41"/>
    <w:rsid w:val="29656152"/>
    <w:rsid w:val="2966796A"/>
    <w:rsid w:val="296708AB"/>
    <w:rsid w:val="2971739F"/>
    <w:rsid w:val="29757990"/>
    <w:rsid w:val="29A34B64"/>
    <w:rsid w:val="29B82726"/>
    <w:rsid w:val="29CA20EB"/>
    <w:rsid w:val="29EF6F2B"/>
    <w:rsid w:val="29F12595"/>
    <w:rsid w:val="29F23E8A"/>
    <w:rsid w:val="29F556BC"/>
    <w:rsid w:val="2A131A16"/>
    <w:rsid w:val="2A346998"/>
    <w:rsid w:val="2A524929"/>
    <w:rsid w:val="2A850B83"/>
    <w:rsid w:val="2A860A4D"/>
    <w:rsid w:val="2A9B2ABC"/>
    <w:rsid w:val="2A9D13E6"/>
    <w:rsid w:val="2AA809EC"/>
    <w:rsid w:val="2AC5334C"/>
    <w:rsid w:val="2ADA34F8"/>
    <w:rsid w:val="2ADC043E"/>
    <w:rsid w:val="2B1D4438"/>
    <w:rsid w:val="2B2636BF"/>
    <w:rsid w:val="2B6234F9"/>
    <w:rsid w:val="2B660AC0"/>
    <w:rsid w:val="2B666BBA"/>
    <w:rsid w:val="2B69017C"/>
    <w:rsid w:val="2BB60149"/>
    <w:rsid w:val="2BDF65F0"/>
    <w:rsid w:val="2BF066EE"/>
    <w:rsid w:val="2C385DA0"/>
    <w:rsid w:val="2C763285"/>
    <w:rsid w:val="2C792640"/>
    <w:rsid w:val="2CA174A1"/>
    <w:rsid w:val="2CE675AA"/>
    <w:rsid w:val="2D240D94"/>
    <w:rsid w:val="2D350A38"/>
    <w:rsid w:val="2D52784C"/>
    <w:rsid w:val="2D574004"/>
    <w:rsid w:val="2D7E030B"/>
    <w:rsid w:val="2D874707"/>
    <w:rsid w:val="2D9B5F5C"/>
    <w:rsid w:val="2DA67467"/>
    <w:rsid w:val="2DD41AF8"/>
    <w:rsid w:val="2DF56343"/>
    <w:rsid w:val="2E146C61"/>
    <w:rsid w:val="2E2024F4"/>
    <w:rsid w:val="2E50117F"/>
    <w:rsid w:val="2E521F8C"/>
    <w:rsid w:val="2E89343E"/>
    <w:rsid w:val="2EC07B78"/>
    <w:rsid w:val="2ED51684"/>
    <w:rsid w:val="2ED8324F"/>
    <w:rsid w:val="2EDC786C"/>
    <w:rsid w:val="2F1D576D"/>
    <w:rsid w:val="2F651D57"/>
    <w:rsid w:val="2F8635D9"/>
    <w:rsid w:val="2F8B61E7"/>
    <w:rsid w:val="2F9B467C"/>
    <w:rsid w:val="2FA21DD2"/>
    <w:rsid w:val="2FAE47F3"/>
    <w:rsid w:val="2FB7230F"/>
    <w:rsid w:val="2FE211F5"/>
    <w:rsid w:val="301F71B6"/>
    <w:rsid w:val="30462597"/>
    <w:rsid w:val="305A4537"/>
    <w:rsid w:val="30773223"/>
    <w:rsid w:val="30A77352"/>
    <w:rsid w:val="30C15C06"/>
    <w:rsid w:val="30D31E1D"/>
    <w:rsid w:val="30D749CE"/>
    <w:rsid w:val="30E718B8"/>
    <w:rsid w:val="30FB5378"/>
    <w:rsid w:val="30FD4EC2"/>
    <w:rsid w:val="31031A98"/>
    <w:rsid w:val="310456F9"/>
    <w:rsid w:val="31065E0B"/>
    <w:rsid w:val="31146C33"/>
    <w:rsid w:val="31216A4B"/>
    <w:rsid w:val="312608BD"/>
    <w:rsid w:val="313219C7"/>
    <w:rsid w:val="315415C0"/>
    <w:rsid w:val="315F7FF4"/>
    <w:rsid w:val="317A3B38"/>
    <w:rsid w:val="317E224F"/>
    <w:rsid w:val="318C34D6"/>
    <w:rsid w:val="319465D3"/>
    <w:rsid w:val="31A84CA4"/>
    <w:rsid w:val="31D35C0F"/>
    <w:rsid w:val="31D97580"/>
    <w:rsid w:val="31E50F27"/>
    <w:rsid w:val="31EC2FD4"/>
    <w:rsid w:val="3214172E"/>
    <w:rsid w:val="321E7D45"/>
    <w:rsid w:val="32204376"/>
    <w:rsid w:val="323D1CB7"/>
    <w:rsid w:val="32524842"/>
    <w:rsid w:val="3274548D"/>
    <w:rsid w:val="32956620"/>
    <w:rsid w:val="32B614DA"/>
    <w:rsid w:val="32FA790B"/>
    <w:rsid w:val="332442D6"/>
    <w:rsid w:val="332C406F"/>
    <w:rsid w:val="33344883"/>
    <w:rsid w:val="336A54B0"/>
    <w:rsid w:val="337B160B"/>
    <w:rsid w:val="33987D41"/>
    <w:rsid w:val="33A15FD9"/>
    <w:rsid w:val="33A202EE"/>
    <w:rsid w:val="340C492A"/>
    <w:rsid w:val="34113733"/>
    <w:rsid w:val="3421711A"/>
    <w:rsid w:val="3428494C"/>
    <w:rsid w:val="343A5AC9"/>
    <w:rsid w:val="345427A3"/>
    <w:rsid w:val="34853DA1"/>
    <w:rsid w:val="349E7719"/>
    <w:rsid w:val="34D27F17"/>
    <w:rsid w:val="34D32B0A"/>
    <w:rsid w:val="34F84CA4"/>
    <w:rsid w:val="350C1B78"/>
    <w:rsid w:val="35111E45"/>
    <w:rsid w:val="35201D4B"/>
    <w:rsid w:val="355E6877"/>
    <w:rsid w:val="356E1876"/>
    <w:rsid w:val="35991A63"/>
    <w:rsid w:val="359F3C7C"/>
    <w:rsid w:val="35AB1391"/>
    <w:rsid w:val="35F53198"/>
    <w:rsid w:val="35F566E2"/>
    <w:rsid w:val="36084F79"/>
    <w:rsid w:val="361221A9"/>
    <w:rsid w:val="362C3918"/>
    <w:rsid w:val="364B1250"/>
    <w:rsid w:val="367E6CA2"/>
    <w:rsid w:val="368112E6"/>
    <w:rsid w:val="36892355"/>
    <w:rsid w:val="36913CE5"/>
    <w:rsid w:val="36B14D07"/>
    <w:rsid w:val="36B50719"/>
    <w:rsid w:val="36C941C4"/>
    <w:rsid w:val="36D72F9F"/>
    <w:rsid w:val="36E7464B"/>
    <w:rsid w:val="37055B53"/>
    <w:rsid w:val="370D6A0B"/>
    <w:rsid w:val="3716753C"/>
    <w:rsid w:val="37623835"/>
    <w:rsid w:val="37905DDE"/>
    <w:rsid w:val="379147AF"/>
    <w:rsid w:val="37975EEE"/>
    <w:rsid w:val="37B3452D"/>
    <w:rsid w:val="37DB647A"/>
    <w:rsid w:val="37DC3558"/>
    <w:rsid w:val="37EB016A"/>
    <w:rsid w:val="38066D52"/>
    <w:rsid w:val="380D3FB3"/>
    <w:rsid w:val="383655F0"/>
    <w:rsid w:val="38406FA0"/>
    <w:rsid w:val="38454CBB"/>
    <w:rsid w:val="384A0CC9"/>
    <w:rsid w:val="38527190"/>
    <w:rsid w:val="38575800"/>
    <w:rsid w:val="387E2D8D"/>
    <w:rsid w:val="38820906"/>
    <w:rsid w:val="38A04AB1"/>
    <w:rsid w:val="38B75191"/>
    <w:rsid w:val="38C522B1"/>
    <w:rsid w:val="38CF0F38"/>
    <w:rsid w:val="38DB1144"/>
    <w:rsid w:val="38FA2AE8"/>
    <w:rsid w:val="391C382C"/>
    <w:rsid w:val="391F1AD6"/>
    <w:rsid w:val="39205BF2"/>
    <w:rsid w:val="392950DA"/>
    <w:rsid w:val="39316051"/>
    <w:rsid w:val="39413981"/>
    <w:rsid w:val="39433D7D"/>
    <w:rsid w:val="395B4E7C"/>
    <w:rsid w:val="395F68DB"/>
    <w:rsid w:val="3964595B"/>
    <w:rsid w:val="3965545D"/>
    <w:rsid w:val="397F4F63"/>
    <w:rsid w:val="398A3227"/>
    <w:rsid w:val="39AD27A5"/>
    <w:rsid w:val="39AE31AA"/>
    <w:rsid w:val="39B822CE"/>
    <w:rsid w:val="39C21A0A"/>
    <w:rsid w:val="39C56CF2"/>
    <w:rsid w:val="39E9751C"/>
    <w:rsid w:val="39EF043F"/>
    <w:rsid w:val="3A14753F"/>
    <w:rsid w:val="3A2063A9"/>
    <w:rsid w:val="3A2F07E2"/>
    <w:rsid w:val="3A3660E1"/>
    <w:rsid w:val="3A506899"/>
    <w:rsid w:val="3A581C40"/>
    <w:rsid w:val="3A7D7538"/>
    <w:rsid w:val="3A816B64"/>
    <w:rsid w:val="3AA91952"/>
    <w:rsid w:val="3ABC2526"/>
    <w:rsid w:val="3AE41E37"/>
    <w:rsid w:val="3AF772EE"/>
    <w:rsid w:val="3AF966A0"/>
    <w:rsid w:val="3B157562"/>
    <w:rsid w:val="3B1E43B3"/>
    <w:rsid w:val="3B383304"/>
    <w:rsid w:val="3B3E35BF"/>
    <w:rsid w:val="3B413B9B"/>
    <w:rsid w:val="3B6402E9"/>
    <w:rsid w:val="3B82290E"/>
    <w:rsid w:val="3B954675"/>
    <w:rsid w:val="3BA1126C"/>
    <w:rsid w:val="3BF14C61"/>
    <w:rsid w:val="3BF336F9"/>
    <w:rsid w:val="3BF37A01"/>
    <w:rsid w:val="3C126A55"/>
    <w:rsid w:val="3C261771"/>
    <w:rsid w:val="3C4B0F1D"/>
    <w:rsid w:val="3C836BC3"/>
    <w:rsid w:val="3C8C784A"/>
    <w:rsid w:val="3CA700D8"/>
    <w:rsid w:val="3CE86E81"/>
    <w:rsid w:val="3D070FA9"/>
    <w:rsid w:val="3D1A3AF9"/>
    <w:rsid w:val="3D232155"/>
    <w:rsid w:val="3D2C65C4"/>
    <w:rsid w:val="3D317E96"/>
    <w:rsid w:val="3D3659E4"/>
    <w:rsid w:val="3D4C3459"/>
    <w:rsid w:val="3D5A7726"/>
    <w:rsid w:val="3D5B1C38"/>
    <w:rsid w:val="3D5D604E"/>
    <w:rsid w:val="3DCB32B8"/>
    <w:rsid w:val="3DD575F5"/>
    <w:rsid w:val="3E270C30"/>
    <w:rsid w:val="3E304B29"/>
    <w:rsid w:val="3E3150C4"/>
    <w:rsid w:val="3E35213F"/>
    <w:rsid w:val="3E375AC1"/>
    <w:rsid w:val="3E6D57E8"/>
    <w:rsid w:val="3E7201E0"/>
    <w:rsid w:val="3E9C50F3"/>
    <w:rsid w:val="3EB62267"/>
    <w:rsid w:val="3EC62D97"/>
    <w:rsid w:val="3EDC6612"/>
    <w:rsid w:val="3EE849A4"/>
    <w:rsid w:val="3EEE0400"/>
    <w:rsid w:val="3F16473F"/>
    <w:rsid w:val="3F174BBC"/>
    <w:rsid w:val="3F395298"/>
    <w:rsid w:val="3F6846EC"/>
    <w:rsid w:val="3FA550A3"/>
    <w:rsid w:val="3FBA2007"/>
    <w:rsid w:val="3FD1586E"/>
    <w:rsid w:val="40112738"/>
    <w:rsid w:val="40240ADB"/>
    <w:rsid w:val="402F0251"/>
    <w:rsid w:val="40436567"/>
    <w:rsid w:val="40594887"/>
    <w:rsid w:val="407556D1"/>
    <w:rsid w:val="408C4A92"/>
    <w:rsid w:val="40A76E9F"/>
    <w:rsid w:val="40AE695B"/>
    <w:rsid w:val="40AF61D9"/>
    <w:rsid w:val="41016B68"/>
    <w:rsid w:val="41052399"/>
    <w:rsid w:val="4108722C"/>
    <w:rsid w:val="41122D61"/>
    <w:rsid w:val="41162E6C"/>
    <w:rsid w:val="411F7F8E"/>
    <w:rsid w:val="41222C0F"/>
    <w:rsid w:val="415E7BFF"/>
    <w:rsid w:val="418B0316"/>
    <w:rsid w:val="41B75EC0"/>
    <w:rsid w:val="41D216D8"/>
    <w:rsid w:val="41E552A8"/>
    <w:rsid w:val="41F65E1B"/>
    <w:rsid w:val="420C1409"/>
    <w:rsid w:val="42332B8B"/>
    <w:rsid w:val="42440B97"/>
    <w:rsid w:val="42444752"/>
    <w:rsid w:val="4280659A"/>
    <w:rsid w:val="4295517F"/>
    <w:rsid w:val="42A17DA3"/>
    <w:rsid w:val="42D41E73"/>
    <w:rsid w:val="42DB23BC"/>
    <w:rsid w:val="42DF267A"/>
    <w:rsid w:val="43000A22"/>
    <w:rsid w:val="43052C44"/>
    <w:rsid w:val="4315253F"/>
    <w:rsid w:val="43367E14"/>
    <w:rsid w:val="433913A3"/>
    <w:rsid w:val="435629F7"/>
    <w:rsid w:val="43592C8A"/>
    <w:rsid w:val="43855B75"/>
    <w:rsid w:val="43A12B25"/>
    <w:rsid w:val="43C52F58"/>
    <w:rsid w:val="43F44D65"/>
    <w:rsid w:val="4431246F"/>
    <w:rsid w:val="446A761A"/>
    <w:rsid w:val="4470274E"/>
    <w:rsid w:val="4475798E"/>
    <w:rsid w:val="44816B44"/>
    <w:rsid w:val="449A0B46"/>
    <w:rsid w:val="44AD24DB"/>
    <w:rsid w:val="44AE67A8"/>
    <w:rsid w:val="44EA206C"/>
    <w:rsid w:val="45050ABD"/>
    <w:rsid w:val="453809C1"/>
    <w:rsid w:val="45573949"/>
    <w:rsid w:val="45693D2E"/>
    <w:rsid w:val="45897440"/>
    <w:rsid w:val="45997458"/>
    <w:rsid w:val="45C0799E"/>
    <w:rsid w:val="45D65E54"/>
    <w:rsid w:val="45F3021D"/>
    <w:rsid w:val="460C0E7F"/>
    <w:rsid w:val="4651027F"/>
    <w:rsid w:val="46991366"/>
    <w:rsid w:val="46A71F6C"/>
    <w:rsid w:val="46CC1F59"/>
    <w:rsid w:val="46EC722E"/>
    <w:rsid w:val="46EF38B3"/>
    <w:rsid w:val="46FB43C1"/>
    <w:rsid w:val="47196ACD"/>
    <w:rsid w:val="47631957"/>
    <w:rsid w:val="47655843"/>
    <w:rsid w:val="47923C35"/>
    <w:rsid w:val="47A838A3"/>
    <w:rsid w:val="47C31B76"/>
    <w:rsid w:val="47CA52C7"/>
    <w:rsid w:val="47D47673"/>
    <w:rsid w:val="47D868BC"/>
    <w:rsid w:val="47DC027C"/>
    <w:rsid w:val="47EA5D49"/>
    <w:rsid w:val="481421FE"/>
    <w:rsid w:val="4823125B"/>
    <w:rsid w:val="48350DC1"/>
    <w:rsid w:val="484F3E1E"/>
    <w:rsid w:val="48501B3F"/>
    <w:rsid w:val="487E0D7E"/>
    <w:rsid w:val="487F599F"/>
    <w:rsid w:val="487F7F9C"/>
    <w:rsid w:val="488432D6"/>
    <w:rsid w:val="48D82928"/>
    <w:rsid w:val="48DE70DB"/>
    <w:rsid w:val="49263D3E"/>
    <w:rsid w:val="4981114E"/>
    <w:rsid w:val="498D72D3"/>
    <w:rsid w:val="49964EBD"/>
    <w:rsid w:val="49D47052"/>
    <w:rsid w:val="49DA1730"/>
    <w:rsid w:val="49F26FD9"/>
    <w:rsid w:val="49F34767"/>
    <w:rsid w:val="4A022010"/>
    <w:rsid w:val="4A0D21C2"/>
    <w:rsid w:val="4A0F3823"/>
    <w:rsid w:val="4A1054A1"/>
    <w:rsid w:val="4A153830"/>
    <w:rsid w:val="4A190B67"/>
    <w:rsid w:val="4A2E604D"/>
    <w:rsid w:val="4A4847FA"/>
    <w:rsid w:val="4A5D1FEF"/>
    <w:rsid w:val="4A657109"/>
    <w:rsid w:val="4A800428"/>
    <w:rsid w:val="4A8221E7"/>
    <w:rsid w:val="4A8E6E5F"/>
    <w:rsid w:val="4A9B332A"/>
    <w:rsid w:val="4AA51929"/>
    <w:rsid w:val="4AAD435D"/>
    <w:rsid w:val="4AAE75A3"/>
    <w:rsid w:val="4AAF0A7D"/>
    <w:rsid w:val="4ABA1BC3"/>
    <w:rsid w:val="4ABB1C1E"/>
    <w:rsid w:val="4ADA0DA6"/>
    <w:rsid w:val="4AE64923"/>
    <w:rsid w:val="4B1C3ADB"/>
    <w:rsid w:val="4B1C6783"/>
    <w:rsid w:val="4B1F3F5B"/>
    <w:rsid w:val="4B266FED"/>
    <w:rsid w:val="4B320132"/>
    <w:rsid w:val="4B4E7DF9"/>
    <w:rsid w:val="4BDF2047"/>
    <w:rsid w:val="4BED4059"/>
    <w:rsid w:val="4C102570"/>
    <w:rsid w:val="4C151C04"/>
    <w:rsid w:val="4C2338B2"/>
    <w:rsid w:val="4C3268E4"/>
    <w:rsid w:val="4C6640F8"/>
    <w:rsid w:val="4CB41768"/>
    <w:rsid w:val="4CD3679A"/>
    <w:rsid w:val="4CE71F81"/>
    <w:rsid w:val="4CF04E3A"/>
    <w:rsid w:val="4D0703E1"/>
    <w:rsid w:val="4D3A3BC0"/>
    <w:rsid w:val="4D4D7280"/>
    <w:rsid w:val="4D5C27F9"/>
    <w:rsid w:val="4D7A5AB3"/>
    <w:rsid w:val="4D86137C"/>
    <w:rsid w:val="4D9F54AF"/>
    <w:rsid w:val="4DAE68B0"/>
    <w:rsid w:val="4DC06635"/>
    <w:rsid w:val="4DC93FA3"/>
    <w:rsid w:val="4DCE1994"/>
    <w:rsid w:val="4DD454D1"/>
    <w:rsid w:val="4DD60B09"/>
    <w:rsid w:val="4DD70B1E"/>
    <w:rsid w:val="4DE35714"/>
    <w:rsid w:val="4E1753BE"/>
    <w:rsid w:val="4E1A6C5C"/>
    <w:rsid w:val="4E2C4A0D"/>
    <w:rsid w:val="4E3B72FE"/>
    <w:rsid w:val="4E6A16E7"/>
    <w:rsid w:val="4E71191F"/>
    <w:rsid w:val="4E9B2C6E"/>
    <w:rsid w:val="4E9D3807"/>
    <w:rsid w:val="4EA07161"/>
    <w:rsid w:val="4ECB20FF"/>
    <w:rsid w:val="4EE518F2"/>
    <w:rsid w:val="4EED4970"/>
    <w:rsid w:val="4EF20E6C"/>
    <w:rsid w:val="4F1E63CD"/>
    <w:rsid w:val="4F214299"/>
    <w:rsid w:val="4F3007F7"/>
    <w:rsid w:val="4F560BB4"/>
    <w:rsid w:val="4F5A68A9"/>
    <w:rsid w:val="4F5E7E33"/>
    <w:rsid w:val="4F9C6C66"/>
    <w:rsid w:val="4FAB400F"/>
    <w:rsid w:val="4FB44881"/>
    <w:rsid w:val="4FD42959"/>
    <w:rsid w:val="4FE85264"/>
    <w:rsid w:val="4FEA5788"/>
    <w:rsid w:val="4FF5558B"/>
    <w:rsid w:val="501E1398"/>
    <w:rsid w:val="501F2099"/>
    <w:rsid w:val="502F5187"/>
    <w:rsid w:val="504C78B8"/>
    <w:rsid w:val="50593A6B"/>
    <w:rsid w:val="507D09FC"/>
    <w:rsid w:val="50940112"/>
    <w:rsid w:val="50C524F7"/>
    <w:rsid w:val="50DB0924"/>
    <w:rsid w:val="50E736EE"/>
    <w:rsid w:val="50EA68CF"/>
    <w:rsid w:val="51077FED"/>
    <w:rsid w:val="51280932"/>
    <w:rsid w:val="517010BB"/>
    <w:rsid w:val="517A05D1"/>
    <w:rsid w:val="51873267"/>
    <w:rsid w:val="51B02091"/>
    <w:rsid w:val="51C3718C"/>
    <w:rsid w:val="51F85506"/>
    <w:rsid w:val="5200022C"/>
    <w:rsid w:val="521560B8"/>
    <w:rsid w:val="52206824"/>
    <w:rsid w:val="52224331"/>
    <w:rsid w:val="522E2410"/>
    <w:rsid w:val="526E0CD3"/>
    <w:rsid w:val="52747CBB"/>
    <w:rsid w:val="52830462"/>
    <w:rsid w:val="52945EB6"/>
    <w:rsid w:val="52970A52"/>
    <w:rsid w:val="52AB5C1E"/>
    <w:rsid w:val="52C57EEA"/>
    <w:rsid w:val="52CB6777"/>
    <w:rsid w:val="52CE0DD3"/>
    <w:rsid w:val="53016A22"/>
    <w:rsid w:val="5308541C"/>
    <w:rsid w:val="535B7AFB"/>
    <w:rsid w:val="53807A36"/>
    <w:rsid w:val="538F3C48"/>
    <w:rsid w:val="539A65B3"/>
    <w:rsid w:val="53AE0572"/>
    <w:rsid w:val="53B62947"/>
    <w:rsid w:val="53CB2ED2"/>
    <w:rsid w:val="54036E8C"/>
    <w:rsid w:val="5411544B"/>
    <w:rsid w:val="5412470A"/>
    <w:rsid w:val="54263B36"/>
    <w:rsid w:val="543F7D97"/>
    <w:rsid w:val="54423376"/>
    <w:rsid w:val="5445475E"/>
    <w:rsid w:val="546A05FE"/>
    <w:rsid w:val="54754BEC"/>
    <w:rsid w:val="547E6196"/>
    <w:rsid w:val="548A5658"/>
    <w:rsid w:val="5499458D"/>
    <w:rsid w:val="54A53CDC"/>
    <w:rsid w:val="54A70954"/>
    <w:rsid w:val="54AF4AA2"/>
    <w:rsid w:val="54D10A01"/>
    <w:rsid w:val="54E16E72"/>
    <w:rsid w:val="54EC6BC8"/>
    <w:rsid w:val="54F63F7F"/>
    <w:rsid w:val="55087419"/>
    <w:rsid w:val="551663CF"/>
    <w:rsid w:val="552F7094"/>
    <w:rsid w:val="55423A9A"/>
    <w:rsid w:val="555F5120"/>
    <w:rsid w:val="556935BA"/>
    <w:rsid w:val="556D100F"/>
    <w:rsid w:val="55CA3D0E"/>
    <w:rsid w:val="55D122F6"/>
    <w:rsid w:val="55D57723"/>
    <w:rsid w:val="56165022"/>
    <w:rsid w:val="563B3C13"/>
    <w:rsid w:val="56517FD1"/>
    <w:rsid w:val="568C72A1"/>
    <w:rsid w:val="56BB705A"/>
    <w:rsid w:val="56DC5954"/>
    <w:rsid w:val="56DF4B61"/>
    <w:rsid w:val="56E51BE2"/>
    <w:rsid w:val="56EA529E"/>
    <w:rsid w:val="56FD4B5F"/>
    <w:rsid w:val="57447EB8"/>
    <w:rsid w:val="57533282"/>
    <w:rsid w:val="575D6863"/>
    <w:rsid w:val="577E64AD"/>
    <w:rsid w:val="577F2CDD"/>
    <w:rsid w:val="57956048"/>
    <w:rsid w:val="57AE6D93"/>
    <w:rsid w:val="57B037D9"/>
    <w:rsid w:val="57B56460"/>
    <w:rsid w:val="57BC6C97"/>
    <w:rsid w:val="57BE36B7"/>
    <w:rsid w:val="57C054CB"/>
    <w:rsid w:val="57C8039F"/>
    <w:rsid w:val="582F1556"/>
    <w:rsid w:val="584C723F"/>
    <w:rsid w:val="58515910"/>
    <w:rsid w:val="58584120"/>
    <w:rsid w:val="585B4D73"/>
    <w:rsid w:val="58641763"/>
    <w:rsid w:val="586647F7"/>
    <w:rsid w:val="58664F09"/>
    <w:rsid w:val="58735E74"/>
    <w:rsid w:val="58892E17"/>
    <w:rsid w:val="588C4F7F"/>
    <w:rsid w:val="58A35306"/>
    <w:rsid w:val="58BF589F"/>
    <w:rsid w:val="58DB180B"/>
    <w:rsid w:val="58E92BF8"/>
    <w:rsid w:val="58FC310E"/>
    <w:rsid w:val="58FC3B2E"/>
    <w:rsid w:val="58FC79DE"/>
    <w:rsid w:val="59044881"/>
    <w:rsid w:val="59080725"/>
    <w:rsid w:val="591551A9"/>
    <w:rsid w:val="591E1CF4"/>
    <w:rsid w:val="592159A6"/>
    <w:rsid w:val="593C00D6"/>
    <w:rsid w:val="59665C2E"/>
    <w:rsid w:val="5976568E"/>
    <w:rsid w:val="598F6750"/>
    <w:rsid w:val="59C653D9"/>
    <w:rsid w:val="59CF45CF"/>
    <w:rsid w:val="59DC0CC3"/>
    <w:rsid w:val="5A075CDA"/>
    <w:rsid w:val="5A1548B3"/>
    <w:rsid w:val="5A181E02"/>
    <w:rsid w:val="5A360C29"/>
    <w:rsid w:val="5A5752A8"/>
    <w:rsid w:val="5A5B33BB"/>
    <w:rsid w:val="5A647C61"/>
    <w:rsid w:val="5A7B3695"/>
    <w:rsid w:val="5A8854A9"/>
    <w:rsid w:val="5AE62611"/>
    <w:rsid w:val="5AF95C18"/>
    <w:rsid w:val="5B137B84"/>
    <w:rsid w:val="5B2B24A8"/>
    <w:rsid w:val="5B835A65"/>
    <w:rsid w:val="5BA94F78"/>
    <w:rsid w:val="5BBB0310"/>
    <w:rsid w:val="5BE522FA"/>
    <w:rsid w:val="5BEC3853"/>
    <w:rsid w:val="5BFF0CBA"/>
    <w:rsid w:val="5C043EF3"/>
    <w:rsid w:val="5C062149"/>
    <w:rsid w:val="5C3C7568"/>
    <w:rsid w:val="5C464523"/>
    <w:rsid w:val="5C50666A"/>
    <w:rsid w:val="5C531CB7"/>
    <w:rsid w:val="5C61531C"/>
    <w:rsid w:val="5C630298"/>
    <w:rsid w:val="5C6305A3"/>
    <w:rsid w:val="5CA036E1"/>
    <w:rsid w:val="5CA906F2"/>
    <w:rsid w:val="5CAF3653"/>
    <w:rsid w:val="5CC2673B"/>
    <w:rsid w:val="5CD96260"/>
    <w:rsid w:val="5CF14A3B"/>
    <w:rsid w:val="5D026815"/>
    <w:rsid w:val="5D4B6245"/>
    <w:rsid w:val="5D683540"/>
    <w:rsid w:val="5D7F70DB"/>
    <w:rsid w:val="5D94367F"/>
    <w:rsid w:val="5DA02743"/>
    <w:rsid w:val="5DC104BC"/>
    <w:rsid w:val="5DCD0F95"/>
    <w:rsid w:val="5DD638E2"/>
    <w:rsid w:val="5E083F1F"/>
    <w:rsid w:val="5E246750"/>
    <w:rsid w:val="5E5913B9"/>
    <w:rsid w:val="5E5C79A5"/>
    <w:rsid w:val="5E5E4943"/>
    <w:rsid w:val="5E710B1A"/>
    <w:rsid w:val="5E796E16"/>
    <w:rsid w:val="5E865E21"/>
    <w:rsid w:val="5E9418B3"/>
    <w:rsid w:val="5EA67D41"/>
    <w:rsid w:val="5EA909E6"/>
    <w:rsid w:val="5EB50A07"/>
    <w:rsid w:val="5EC21376"/>
    <w:rsid w:val="5ED653BF"/>
    <w:rsid w:val="5EDF3AE5"/>
    <w:rsid w:val="5EE1759A"/>
    <w:rsid w:val="5EF7245F"/>
    <w:rsid w:val="5EFB04C3"/>
    <w:rsid w:val="5EFD0826"/>
    <w:rsid w:val="5F0F151B"/>
    <w:rsid w:val="5F1D0619"/>
    <w:rsid w:val="5F1F5B51"/>
    <w:rsid w:val="5F203F68"/>
    <w:rsid w:val="5F3D7E31"/>
    <w:rsid w:val="5F47044E"/>
    <w:rsid w:val="5F4C2237"/>
    <w:rsid w:val="5F4C543D"/>
    <w:rsid w:val="5F5A6D0B"/>
    <w:rsid w:val="5F654690"/>
    <w:rsid w:val="5F754DBD"/>
    <w:rsid w:val="5F97176C"/>
    <w:rsid w:val="5FAF541F"/>
    <w:rsid w:val="5FC4147E"/>
    <w:rsid w:val="5FC865C2"/>
    <w:rsid w:val="6015606F"/>
    <w:rsid w:val="601F0B00"/>
    <w:rsid w:val="603F0C8E"/>
    <w:rsid w:val="605B74DF"/>
    <w:rsid w:val="605D1356"/>
    <w:rsid w:val="606861B6"/>
    <w:rsid w:val="608770F4"/>
    <w:rsid w:val="60922F20"/>
    <w:rsid w:val="60996106"/>
    <w:rsid w:val="60B62814"/>
    <w:rsid w:val="60C81F99"/>
    <w:rsid w:val="60F849D4"/>
    <w:rsid w:val="6112090E"/>
    <w:rsid w:val="611700C2"/>
    <w:rsid w:val="611B079E"/>
    <w:rsid w:val="613C4296"/>
    <w:rsid w:val="61C64F13"/>
    <w:rsid w:val="61C72DD0"/>
    <w:rsid w:val="61D257D4"/>
    <w:rsid w:val="61F25ACE"/>
    <w:rsid w:val="61FA35E4"/>
    <w:rsid w:val="61FE790C"/>
    <w:rsid w:val="620F5454"/>
    <w:rsid w:val="62161EAE"/>
    <w:rsid w:val="623446BE"/>
    <w:rsid w:val="62502AB3"/>
    <w:rsid w:val="62822C00"/>
    <w:rsid w:val="628801E0"/>
    <w:rsid w:val="629C158C"/>
    <w:rsid w:val="62B9113F"/>
    <w:rsid w:val="62CF3560"/>
    <w:rsid w:val="62E51CBC"/>
    <w:rsid w:val="63283A59"/>
    <w:rsid w:val="63304B00"/>
    <w:rsid w:val="633741A7"/>
    <w:rsid w:val="634467FD"/>
    <w:rsid w:val="63A67E4C"/>
    <w:rsid w:val="63C13B90"/>
    <w:rsid w:val="63CD28EE"/>
    <w:rsid w:val="63EC2662"/>
    <w:rsid w:val="641D434E"/>
    <w:rsid w:val="6421739C"/>
    <w:rsid w:val="642541CA"/>
    <w:rsid w:val="64301A55"/>
    <w:rsid w:val="64333BB5"/>
    <w:rsid w:val="64411EFF"/>
    <w:rsid w:val="64414A7D"/>
    <w:rsid w:val="644F1C8C"/>
    <w:rsid w:val="645312C9"/>
    <w:rsid w:val="645B4190"/>
    <w:rsid w:val="647873B0"/>
    <w:rsid w:val="649C5009"/>
    <w:rsid w:val="64BB4816"/>
    <w:rsid w:val="64D81563"/>
    <w:rsid w:val="6548459E"/>
    <w:rsid w:val="6556522A"/>
    <w:rsid w:val="65BA64D5"/>
    <w:rsid w:val="65BE0617"/>
    <w:rsid w:val="66135703"/>
    <w:rsid w:val="66215F5D"/>
    <w:rsid w:val="663F18EE"/>
    <w:rsid w:val="66401F7E"/>
    <w:rsid w:val="664572DC"/>
    <w:rsid w:val="66594E7C"/>
    <w:rsid w:val="66671102"/>
    <w:rsid w:val="66A45371"/>
    <w:rsid w:val="66CE465B"/>
    <w:rsid w:val="66FF1D1F"/>
    <w:rsid w:val="67065B78"/>
    <w:rsid w:val="673A7D2E"/>
    <w:rsid w:val="67746F85"/>
    <w:rsid w:val="677B47B7"/>
    <w:rsid w:val="6784541A"/>
    <w:rsid w:val="678A67A9"/>
    <w:rsid w:val="67B86A83"/>
    <w:rsid w:val="67BB380C"/>
    <w:rsid w:val="67C521FA"/>
    <w:rsid w:val="67E660D5"/>
    <w:rsid w:val="684B0112"/>
    <w:rsid w:val="68541CA5"/>
    <w:rsid w:val="68571AE7"/>
    <w:rsid w:val="68605065"/>
    <w:rsid w:val="687471BF"/>
    <w:rsid w:val="68B5181E"/>
    <w:rsid w:val="68DE6DAC"/>
    <w:rsid w:val="690F14C9"/>
    <w:rsid w:val="693D1D24"/>
    <w:rsid w:val="695D26A8"/>
    <w:rsid w:val="695D2FE6"/>
    <w:rsid w:val="695D4E2E"/>
    <w:rsid w:val="697778D2"/>
    <w:rsid w:val="69A67729"/>
    <w:rsid w:val="69E0543F"/>
    <w:rsid w:val="6A09046B"/>
    <w:rsid w:val="6A0C7394"/>
    <w:rsid w:val="6A263051"/>
    <w:rsid w:val="6A3B28B7"/>
    <w:rsid w:val="6A464C09"/>
    <w:rsid w:val="6A485E46"/>
    <w:rsid w:val="6A4D243B"/>
    <w:rsid w:val="6A4D33B9"/>
    <w:rsid w:val="6A696B49"/>
    <w:rsid w:val="6A7F6C6E"/>
    <w:rsid w:val="6A896D77"/>
    <w:rsid w:val="6A8E0EAB"/>
    <w:rsid w:val="6AC91EBE"/>
    <w:rsid w:val="6AFC003E"/>
    <w:rsid w:val="6B09157D"/>
    <w:rsid w:val="6B0F5943"/>
    <w:rsid w:val="6B364C7D"/>
    <w:rsid w:val="6B59096C"/>
    <w:rsid w:val="6B5B46E4"/>
    <w:rsid w:val="6B795DC3"/>
    <w:rsid w:val="6B7F67E4"/>
    <w:rsid w:val="6BB43DF4"/>
    <w:rsid w:val="6BDD159D"/>
    <w:rsid w:val="6BEF1DAD"/>
    <w:rsid w:val="6C005149"/>
    <w:rsid w:val="6C105E57"/>
    <w:rsid w:val="6C19336A"/>
    <w:rsid w:val="6C1B6E53"/>
    <w:rsid w:val="6C365542"/>
    <w:rsid w:val="6C36603C"/>
    <w:rsid w:val="6C626D37"/>
    <w:rsid w:val="6C6C4AED"/>
    <w:rsid w:val="6C766A5A"/>
    <w:rsid w:val="6C7C7502"/>
    <w:rsid w:val="6C953C26"/>
    <w:rsid w:val="6C972257"/>
    <w:rsid w:val="6C9B0852"/>
    <w:rsid w:val="6CA14324"/>
    <w:rsid w:val="6CA80604"/>
    <w:rsid w:val="6CA80759"/>
    <w:rsid w:val="6D19237D"/>
    <w:rsid w:val="6D1D702F"/>
    <w:rsid w:val="6D226D26"/>
    <w:rsid w:val="6D276701"/>
    <w:rsid w:val="6D313A84"/>
    <w:rsid w:val="6D3B2FF6"/>
    <w:rsid w:val="6D450549"/>
    <w:rsid w:val="6D8C5655"/>
    <w:rsid w:val="6D8E1B76"/>
    <w:rsid w:val="6DD469CF"/>
    <w:rsid w:val="6DE24C37"/>
    <w:rsid w:val="6DF57803"/>
    <w:rsid w:val="6E113780"/>
    <w:rsid w:val="6E201C15"/>
    <w:rsid w:val="6E274256"/>
    <w:rsid w:val="6E66084E"/>
    <w:rsid w:val="6E860962"/>
    <w:rsid w:val="6EAE6B68"/>
    <w:rsid w:val="6EBC16AC"/>
    <w:rsid w:val="6ED106D2"/>
    <w:rsid w:val="6F050962"/>
    <w:rsid w:val="6F09639B"/>
    <w:rsid w:val="6F196431"/>
    <w:rsid w:val="6F1F6E65"/>
    <w:rsid w:val="6F570DBD"/>
    <w:rsid w:val="6F9E7295"/>
    <w:rsid w:val="6FA85602"/>
    <w:rsid w:val="6FAF14A2"/>
    <w:rsid w:val="6FD44A65"/>
    <w:rsid w:val="6FE4739E"/>
    <w:rsid w:val="700C165D"/>
    <w:rsid w:val="70116BE7"/>
    <w:rsid w:val="70131A31"/>
    <w:rsid w:val="702B34ED"/>
    <w:rsid w:val="703E5FDE"/>
    <w:rsid w:val="703E6CF5"/>
    <w:rsid w:val="70487AF9"/>
    <w:rsid w:val="704E2A69"/>
    <w:rsid w:val="70650A1A"/>
    <w:rsid w:val="70877D29"/>
    <w:rsid w:val="70C35EB3"/>
    <w:rsid w:val="70DB7F7E"/>
    <w:rsid w:val="70DE203F"/>
    <w:rsid w:val="70E21BF9"/>
    <w:rsid w:val="70E9294B"/>
    <w:rsid w:val="70FE5F25"/>
    <w:rsid w:val="710429FA"/>
    <w:rsid w:val="710D32A0"/>
    <w:rsid w:val="712E1E5A"/>
    <w:rsid w:val="71353C29"/>
    <w:rsid w:val="7148570A"/>
    <w:rsid w:val="7157594D"/>
    <w:rsid w:val="715E4EF3"/>
    <w:rsid w:val="716167CC"/>
    <w:rsid w:val="716D5171"/>
    <w:rsid w:val="71783B5E"/>
    <w:rsid w:val="71995F66"/>
    <w:rsid w:val="71C42ADE"/>
    <w:rsid w:val="71C60761"/>
    <w:rsid w:val="71E50374"/>
    <w:rsid w:val="71F118FE"/>
    <w:rsid w:val="722E1923"/>
    <w:rsid w:val="72480F9D"/>
    <w:rsid w:val="72731A96"/>
    <w:rsid w:val="72833742"/>
    <w:rsid w:val="72AC42C5"/>
    <w:rsid w:val="72C61C9A"/>
    <w:rsid w:val="730F4E75"/>
    <w:rsid w:val="733F017D"/>
    <w:rsid w:val="73460941"/>
    <w:rsid w:val="735D2FC3"/>
    <w:rsid w:val="73784A7A"/>
    <w:rsid w:val="73813156"/>
    <w:rsid w:val="73A5137E"/>
    <w:rsid w:val="73A52066"/>
    <w:rsid w:val="73DF3F7C"/>
    <w:rsid w:val="74184804"/>
    <w:rsid w:val="744D3038"/>
    <w:rsid w:val="744E11F2"/>
    <w:rsid w:val="745C192B"/>
    <w:rsid w:val="74777EE8"/>
    <w:rsid w:val="748A7BDF"/>
    <w:rsid w:val="749F65FA"/>
    <w:rsid w:val="74A05D67"/>
    <w:rsid w:val="74BC0B3B"/>
    <w:rsid w:val="74C15C2B"/>
    <w:rsid w:val="74E456F9"/>
    <w:rsid w:val="74F57957"/>
    <w:rsid w:val="752718BC"/>
    <w:rsid w:val="7530013C"/>
    <w:rsid w:val="754E350B"/>
    <w:rsid w:val="757A3B9B"/>
    <w:rsid w:val="75920D9E"/>
    <w:rsid w:val="75992FD9"/>
    <w:rsid w:val="75A84C9D"/>
    <w:rsid w:val="75AC2CC8"/>
    <w:rsid w:val="75CB674E"/>
    <w:rsid w:val="75D155BD"/>
    <w:rsid w:val="75E76B37"/>
    <w:rsid w:val="76044647"/>
    <w:rsid w:val="76174B94"/>
    <w:rsid w:val="76212A0B"/>
    <w:rsid w:val="76341D7D"/>
    <w:rsid w:val="763A7432"/>
    <w:rsid w:val="76426276"/>
    <w:rsid w:val="767304AD"/>
    <w:rsid w:val="76791CCF"/>
    <w:rsid w:val="768A0294"/>
    <w:rsid w:val="76A10778"/>
    <w:rsid w:val="76B70727"/>
    <w:rsid w:val="76D101FA"/>
    <w:rsid w:val="76D56E66"/>
    <w:rsid w:val="76E51B3D"/>
    <w:rsid w:val="771C4F16"/>
    <w:rsid w:val="772E6280"/>
    <w:rsid w:val="774E3D05"/>
    <w:rsid w:val="77650BE1"/>
    <w:rsid w:val="776802BA"/>
    <w:rsid w:val="77857E8F"/>
    <w:rsid w:val="77A03423"/>
    <w:rsid w:val="77C37209"/>
    <w:rsid w:val="77DB2D74"/>
    <w:rsid w:val="77F23A58"/>
    <w:rsid w:val="77F959B0"/>
    <w:rsid w:val="77FD31EB"/>
    <w:rsid w:val="781E6993"/>
    <w:rsid w:val="782521DE"/>
    <w:rsid w:val="78296732"/>
    <w:rsid w:val="78400D2A"/>
    <w:rsid w:val="784B74B9"/>
    <w:rsid w:val="78543A79"/>
    <w:rsid w:val="788563B9"/>
    <w:rsid w:val="788923CC"/>
    <w:rsid w:val="789E1DBB"/>
    <w:rsid w:val="78B07A2A"/>
    <w:rsid w:val="78C37D6C"/>
    <w:rsid w:val="78EA52F9"/>
    <w:rsid w:val="79053EE1"/>
    <w:rsid w:val="790C34C1"/>
    <w:rsid w:val="790C7ABB"/>
    <w:rsid w:val="790E49B4"/>
    <w:rsid w:val="79114CC7"/>
    <w:rsid w:val="791725BB"/>
    <w:rsid w:val="792739C2"/>
    <w:rsid w:val="7930196F"/>
    <w:rsid w:val="796F7C4B"/>
    <w:rsid w:val="797639EB"/>
    <w:rsid w:val="797B4877"/>
    <w:rsid w:val="799F60E4"/>
    <w:rsid w:val="79A01735"/>
    <w:rsid w:val="79A507FC"/>
    <w:rsid w:val="79B16059"/>
    <w:rsid w:val="79C11F1C"/>
    <w:rsid w:val="79D1107F"/>
    <w:rsid w:val="79D1504B"/>
    <w:rsid w:val="79D96644"/>
    <w:rsid w:val="79E34675"/>
    <w:rsid w:val="7A020420"/>
    <w:rsid w:val="7A66208A"/>
    <w:rsid w:val="7A80638A"/>
    <w:rsid w:val="7A9D0993"/>
    <w:rsid w:val="7AA962C3"/>
    <w:rsid w:val="7AAF23D1"/>
    <w:rsid w:val="7ACF4134"/>
    <w:rsid w:val="7AD1676C"/>
    <w:rsid w:val="7AD7609E"/>
    <w:rsid w:val="7AE70243"/>
    <w:rsid w:val="7B015DE4"/>
    <w:rsid w:val="7B02145B"/>
    <w:rsid w:val="7B157F4F"/>
    <w:rsid w:val="7B3B7AA1"/>
    <w:rsid w:val="7B463B65"/>
    <w:rsid w:val="7B5A78F1"/>
    <w:rsid w:val="7B602F50"/>
    <w:rsid w:val="7B70142E"/>
    <w:rsid w:val="7B70418D"/>
    <w:rsid w:val="7B73485E"/>
    <w:rsid w:val="7B761B3A"/>
    <w:rsid w:val="7B9A6520"/>
    <w:rsid w:val="7BA3799C"/>
    <w:rsid w:val="7BB83709"/>
    <w:rsid w:val="7BC21AAE"/>
    <w:rsid w:val="7BCF1967"/>
    <w:rsid w:val="7BEA273E"/>
    <w:rsid w:val="7C4154FC"/>
    <w:rsid w:val="7C49047D"/>
    <w:rsid w:val="7C72264E"/>
    <w:rsid w:val="7C8166D6"/>
    <w:rsid w:val="7C8F5EED"/>
    <w:rsid w:val="7C905B5F"/>
    <w:rsid w:val="7CAD745E"/>
    <w:rsid w:val="7CC32428"/>
    <w:rsid w:val="7CD3540E"/>
    <w:rsid w:val="7CD561B0"/>
    <w:rsid w:val="7CD7388A"/>
    <w:rsid w:val="7CEC1640"/>
    <w:rsid w:val="7CEC328F"/>
    <w:rsid w:val="7D24584E"/>
    <w:rsid w:val="7D284642"/>
    <w:rsid w:val="7D696557"/>
    <w:rsid w:val="7D824D78"/>
    <w:rsid w:val="7D871368"/>
    <w:rsid w:val="7D886181"/>
    <w:rsid w:val="7D992BC9"/>
    <w:rsid w:val="7DB96E13"/>
    <w:rsid w:val="7DCE15CD"/>
    <w:rsid w:val="7DD15C5F"/>
    <w:rsid w:val="7DED1EE6"/>
    <w:rsid w:val="7DFD28CF"/>
    <w:rsid w:val="7E2C5F0E"/>
    <w:rsid w:val="7E3C65F7"/>
    <w:rsid w:val="7E4C0D1D"/>
    <w:rsid w:val="7E6D4A02"/>
    <w:rsid w:val="7EA05DA4"/>
    <w:rsid w:val="7EB16548"/>
    <w:rsid w:val="7EB16AF4"/>
    <w:rsid w:val="7ECA6CA8"/>
    <w:rsid w:val="7F16521A"/>
    <w:rsid w:val="7F256EBE"/>
    <w:rsid w:val="7F2A2F61"/>
    <w:rsid w:val="7F3F6025"/>
    <w:rsid w:val="7F630CC2"/>
    <w:rsid w:val="7F822458"/>
    <w:rsid w:val="7F8F18BA"/>
    <w:rsid w:val="7FD812B9"/>
    <w:rsid w:val="7FE951B8"/>
    <w:rsid w:val="7FEC5DFB"/>
    <w:rsid w:val="7FF71B8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0"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0" w:semiHidden="0" w:name="HTML Sample"/>
    <w:lsdException w:uiPriority="99" w:name="HTML Typewriter"/>
    <w:lsdException w:qFormat="1"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pPr>
    <w:rPr>
      <w:rFonts w:ascii="等线 Light" w:hAnsi="Times New Roman" w:eastAsia="宋体" w:cs="Times New Roman"/>
      <w:sz w:val="24"/>
      <w:szCs w:val="24"/>
      <w:lang w:val="en-US" w:eastAsia="zh-CN" w:bidi="ar-SA"/>
    </w:rPr>
  </w:style>
  <w:style w:type="paragraph" w:styleId="3">
    <w:name w:val="heading 1"/>
    <w:basedOn w:val="1"/>
    <w:next w:val="1"/>
    <w:link w:val="74"/>
    <w:autoRedefine/>
    <w:qFormat/>
    <w:uiPriority w:val="0"/>
    <w:pPr>
      <w:outlineLvl w:val="0"/>
    </w:pPr>
    <w:rPr>
      <w:rFonts w:hAnsi="幼圆" w:eastAsia="等线 Light"/>
    </w:rPr>
  </w:style>
  <w:style w:type="paragraph" w:styleId="4">
    <w:name w:val="heading 2"/>
    <w:basedOn w:val="1"/>
    <w:next w:val="1"/>
    <w:link w:val="75"/>
    <w:autoRedefine/>
    <w:qFormat/>
    <w:uiPriority w:val="0"/>
    <w:pPr>
      <w:outlineLvl w:val="1"/>
    </w:pPr>
    <w:rPr>
      <w:rFonts w:hAnsi="幼圆" w:eastAsia="等线 Light"/>
    </w:rPr>
  </w:style>
  <w:style w:type="paragraph" w:styleId="2">
    <w:name w:val="heading 3"/>
    <w:basedOn w:val="1"/>
    <w:next w:val="1"/>
    <w:link w:val="76"/>
    <w:autoRedefine/>
    <w:qFormat/>
    <w:uiPriority w:val="0"/>
    <w:pPr>
      <w:outlineLvl w:val="2"/>
    </w:pPr>
    <w:rPr>
      <w:rFonts w:hAnsi="幼圆" w:eastAsia="等线 Light"/>
    </w:rPr>
  </w:style>
  <w:style w:type="paragraph" w:styleId="5">
    <w:name w:val="heading 4"/>
    <w:basedOn w:val="1"/>
    <w:next w:val="1"/>
    <w:link w:val="77"/>
    <w:autoRedefine/>
    <w:qFormat/>
    <w:uiPriority w:val="0"/>
    <w:pPr>
      <w:keepNext/>
      <w:keepLines/>
      <w:spacing w:before="280" w:after="290" w:line="376" w:lineRule="auto"/>
      <w:outlineLvl w:val="3"/>
    </w:pPr>
    <w:rPr>
      <w:rFonts w:ascii="楷体_GB2312" w:hAnsi="楷体_GB2312" w:eastAsia="PMingLiU"/>
      <w:b/>
      <w:bCs/>
      <w:sz w:val="28"/>
      <w:szCs w:val="28"/>
    </w:rPr>
  </w:style>
  <w:style w:type="paragraph" w:styleId="6">
    <w:name w:val="heading 5"/>
    <w:basedOn w:val="1"/>
    <w:next w:val="1"/>
    <w:link w:val="78"/>
    <w:autoRedefine/>
    <w:qFormat/>
    <w:uiPriority w:val="9"/>
    <w:pPr>
      <w:keepNext/>
      <w:keepLines/>
      <w:spacing w:before="280" w:after="290" w:line="376" w:lineRule="auto"/>
      <w:outlineLvl w:val="4"/>
    </w:pPr>
    <w:rPr>
      <w:b/>
      <w:bCs/>
      <w:sz w:val="28"/>
      <w:szCs w:val="28"/>
    </w:rPr>
  </w:style>
  <w:style w:type="paragraph" w:styleId="7">
    <w:name w:val="heading 6"/>
    <w:basedOn w:val="1"/>
    <w:next w:val="8"/>
    <w:link w:val="79"/>
    <w:autoRedefine/>
    <w:qFormat/>
    <w:uiPriority w:val="9"/>
    <w:pPr>
      <w:keepLines/>
      <w:tabs>
        <w:tab w:val="left" w:pos="1152"/>
      </w:tabs>
      <w:autoSpaceDE/>
      <w:autoSpaceDN/>
      <w:snapToGrid w:val="0"/>
      <w:spacing w:beforeLines="50" w:line="360" w:lineRule="auto"/>
      <w:ind w:left="1152" w:hanging="1152"/>
      <w:textAlignment w:val="baseline"/>
      <w:outlineLvl w:val="5"/>
    </w:pPr>
    <w:rPr>
      <w:rFonts w:ascii="Times New Roman" w:eastAsia="PMingLiU"/>
      <w:b/>
      <w:bCs/>
      <w:sz w:val="28"/>
    </w:rPr>
  </w:style>
  <w:style w:type="paragraph" w:styleId="9">
    <w:name w:val="heading 7"/>
    <w:basedOn w:val="1"/>
    <w:next w:val="8"/>
    <w:link w:val="81"/>
    <w:autoRedefine/>
    <w:qFormat/>
    <w:uiPriority w:val="0"/>
    <w:pPr>
      <w:keepNext/>
      <w:keepLines/>
      <w:tabs>
        <w:tab w:val="left" w:pos="1296"/>
      </w:tabs>
      <w:autoSpaceDE/>
      <w:autoSpaceDN/>
      <w:snapToGrid w:val="0"/>
      <w:spacing w:before="240" w:after="120"/>
      <w:ind w:left="1296" w:hanging="1296"/>
      <w:jc w:val="both"/>
      <w:textAlignment w:val="baseline"/>
      <w:outlineLvl w:val="6"/>
    </w:pPr>
    <w:rPr>
      <w:rFonts w:ascii="Times New Roman" w:eastAsia="PMingLiU"/>
      <w:b/>
      <w:bCs/>
      <w:sz w:val="28"/>
    </w:rPr>
  </w:style>
  <w:style w:type="paragraph" w:styleId="10">
    <w:name w:val="heading 8"/>
    <w:basedOn w:val="1"/>
    <w:next w:val="8"/>
    <w:link w:val="82"/>
    <w:autoRedefine/>
    <w:qFormat/>
    <w:uiPriority w:val="0"/>
    <w:pPr>
      <w:keepNext/>
      <w:keepLines/>
      <w:tabs>
        <w:tab w:val="left" w:pos="1440"/>
      </w:tabs>
      <w:autoSpaceDE/>
      <w:autoSpaceDN/>
      <w:adjustRightInd/>
      <w:snapToGrid w:val="0"/>
      <w:spacing w:before="240" w:after="120"/>
      <w:ind w:left="1440" w:hanging="1440"/>
      <w:jc w:val="both"/>
      <w:outlineLvl w:val="7"/>
    </w:pPr>
    <w:rPr>
      <w:rFonts w:ascii="Times New Roman" w:eastAsia="PMingLiU"/>
      <w:b/>
      <w:sz w:val="28"/>
    </w:rPr>
  </w:style>
  <w:style w:type="paragraph" w:styleId="11">
    <w:name w:val="heading 9"/>
    <w:basedOn w:val="1"/>
    <w:next w:val="8"/>
    <w:link w:val="83"/>
    <w:autoRedefine/>
    <w:qFormat/>
    <w:uiPriority w:val="0"/>
    <w:pPr>
      <w:keepNext/>
      <w:keepLines/>
      <w:tabs>
        <w:tab w:val="left" w:pos="1584"/>
      </w:tabs>
      <w:autoSpaceDE/>
      <w:autoSpaceDN/>
      <w:adjustRightInd/>
      <w:snapToGrid w:val="0"/>
      <w:spacing w:before="240" w:after="120"/>
      <w:ind w:left="1584" w:hanging="1584"/>
      <w:jc w:val="both"/>
      <w:outlineLvl w:val="8"/>
    </w:pPr>
    <w:rPr>
      <w:rFonts w:ascii="Times New Roman" w:eastAsia="PMingLiU"/>
      <w:b/>
      <w:sz w:val="28"/>
    </w:rPr>
  </w:style>
  <w:style w:type="character" w:default="1" w:styleId="57">
    <w:name w:val="Default Paragraph Font"/>
    <w:autoRedefine/>
    <w:unhideWhenUsed/>
    <w:qFormat/>
    <w:uiPriority w:val="1"/>
  </w:style>
  <w:style w:type="table" w:default="1" w:styleId="5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幼圆" w:hAnsi="幼圆" w:cs="幼圆"/>
      <w:sz w:val="20"/>
      <w:szCs w:val="20"/>
    </w:rPr>
    <w:tblPr>
      <w:tblCellMar>
        <w:top w:w="0" w:type="dxa"/>
        <w:left w:w="108" w:type="dxa"/>
        <w:bottom w:w="0" w:type="dxa"/>
        <w:right w:w="108" w:type="dxa"/>
      </w:tblCellMar>
    </w:tblPr>
  </w:style>
  <w:style w:type="paragraph" w:customStyle="1" w:styleId="8">
    <w:name w:val="模板正文"/>
    <w:basedOn w:val="1"/>
    <w:link w:val="80"/>
    <w:autoRedefine/>
    <w:qFormat/>
    <w:uiPriority w:val="0"/>
    <w:pPr>
      <w:wordWrap w:val="0"/>
      <w:spacing w:beforeLines="50" w:line="360" w:lineRule="auto"/>
      <w:ind w:firstLine="200" w:firstLineChars="200"/>
    </w:pPr>
    <w:rPr>
      <w:rFonts w:eastAsia="font-weight : 400"/>
      <w:szCs w:val="21"/>
    </w:rPr>
  </w:style>
  <w:style w:type="paragraph" w:styleId="12">
    <w:name w:val="toc 7"/>
    <w:basedOn w:val="1"/>
    <w:next w:val="1"/>
    <w:autoRedefine/>
    <w:unhideWhenUsed/>
    <w:qFormat/>
    <w:uiPriority w:val="39"/>
    <w:pPr>
      <w:ind w:left="1440"/>
    </w:pPr>
    <w:rPr>
      <w:rFonts w:ascii="Arial Unicode MS" w:hAnsi="Arial Unicode MS" w:cs="Arial Unicode MS"/>
      <w:sz w:val="18"/>
      <w:szCs w:val="18"/>
    </w:rPr>
  </w:style>
  <w:style w:type="paragraph" w:styleId="13">
    <w:name w:val="List Bullet 4"/>
    <w:basedOn w:val="1"/>
    <w:autoRedefine/>
    <w:qFormat/>
    <w:uiPriority w:val="0"/>
    <w:pPr>
      <w:tabs>
        <w:tab w:val="left" w:pos="720"/>
      </w:tabs>
      <w:autoSpaceDE/>
      <w:autoSpaceDN/>
      <w:adjustRightInd/>
      <w:ind w:left="425" w:hanging="425"/>
      <w:jc w:val="both"/>
    </w:pPr>
    <w:rPr>
      <w:rFonts w:ascii="Arial Unicode MS" w:hAnsi="Arial Unicode MS"/>
      <w:kern w:val="2"/>
      <w:sz w:val="21"/>
      <w:szCs w:val="21"/>
    </w:rPr>
  </w:style>
  <w:style w:type="paragraph" w:styleId="14">
    <w:name w:val="Normal Indent"/>
    <w:basedOn w:val="1"/>
    <w:link w:val="84"/>
    <w:autoRedefine/>
    <w:qFormat/>
    <w:uiPriority w:val="0"/>
    <w:pPr>
      <w:widowControl/>
      <w:autoSpaceDE/>
      <w:autoSpaceDN/>
      <w:adjustRightInd/>
      <w:ind w:firstLine="420" w:firstLineChars="200"/>
    </w:pPr>
    <w:rPr>
      <w:rFonts w:ascii="幼圆"/>
      <w:sz w:val="20"/>
      <w:szCs w:val="20"/>
    </w:rPr>
  </w:style>
  <w:style w:type="paragraph" w:styleId="15">
    <w:name w:val="caption"/>
    <w:basedOn w:val="1"/>
    <w:next w:val="1"/>
    <w:link w:val="85"/>
    <w:autoRedefine/>
    <w:qFormat/>
    <w:uiPriority w:val="0"/>
    <w:pPr>
      <w:spacing w:before="152" w:after="160"/>
    </w:pPr>
    <w:rPr>
      <w:rFonts w:ascii="楷体_GB2312" w:hAnsi="楷体_GB2312" w:eastAsia="PMingLiU"/>
      <w:sz w:val="20"/>
      <w:szCs w:val="20"/>
    </w:rPr>
  </w:style>
  <w:style w:type="paragraph" w:styleId="16">
    <w:name w:val="List Bullet"/>
    <w:basedOn w:val="1"/>
    <w:autoRedefine/>
    <w:qFormat/>
    <w:uiPriority w:val="0"/>
    <w:pPr>
      <w:numPr>
        <w:ilvl w:val="0"/>
        <w:numId w:val="1"/>
      </w:numPr>
      <w:tabs>
        <w:tab w:val="left" w:pos="360"/>
      </w:tabs>
      <w:autoSpaceDE/>
      <w:autoSpaceDN/>
      <w:adjustRightInd/>
      <w:jc w:val="both"/>
    </w:pPr>
    <w:rPr>
      <w:rFonts w:ascii="Arial Unicode MS" w:hAnsi="Arial Unicode MS"/>
      <w:kern w:val="2"/>
      <w:sz w:val="21"/>
      <w:szCs w:val="21"/>
    </w:rPr>
  </w:style>
  <w:style w:type="paragraph" w:styleId="17">
    <w:name w:val="Document Map"/>
    <w:basedOn w:val="1"/>
    <w:link w:val="86"/>
    <w:autoRedefine/>
    <w:qFormat/>
    <w:uiPriority w:val="0"/>
    <w:pPr>
      <w:shd w:val="clear" w:color="auto" w:fill="000080"/>
    </w:pPr>
    <w:rPr>
      <w:rFonts w:hAnsi="幼圆" w:eastAsia="等线 Light"/>
    </w:rPr>
  </w:style>
  <w:style w:type="paragraph" w:styleId="18">
    <w:name w:val="toa heading"/>
    <w:basedOn w:val="1"/>
    <w:next w:val="1"/>
    <w:autoRedefine/>
    <w:qFormat/>
    <w:uiPriority w:val="0"/>
    <w:pPr>
      <w:snapToGrid w:val="0"/>
      <w:spacing w:before="120" w:line="360" w:lineRule="auto"/>
      <w:jc w:val="both"/>
    </w:pPr>
    <w:rPr>
      <w:rFonts w:ascii="楷体_GB2312" w:hAnsi="楷体_GB2312"/>
      <w:snapToGrid w:val="0"/>
      <w:color w:val="000000"/>
      <w:sz w:val="21"/>
      <w:szCs w:val="20"/>
    </w:rPr>
  </w:style>
  <w:style w:type="paragraph" w:styleId="19">
    <w:name w:val="annotation text"/>
    <w:basedOn w:val="1"/>
    <w:link w:val="87"/>
    <w:autoRedefine/>
    <w:unhideWhenUsed/>
    <w:qFormat/>
    <w:uiPriority w:val="0"/>
    <w:rPr>
      <w:rFonts w:hAnsi="幼圆" w:eastAsia="等线 Light"/>
    </w:rPr>
  </w:style>
  <w:style w:type="paragraph" w:styleId="20">
    <w:name w:val="Body Text 3"/>
    <w:basedOn w:val="1"/>
    <w:link w:val="88"/>
    <w:autoRedefine/>
    <w:qFormat/>
    <w:uiPriority w:val="0"/>
    <w:pPr>
      <w:ind w:right="-26"/>
      <w:jc w:val="center"/>
    </w:pPr>
    <w:rPr>
      <w:rFonts w:hAnsi="幼圆" w:eastAsia="等线 Light"/>
      <w:b/>
      <w:bCs/>
      <w:color w:val="3366FF"/>
      <w:sz w:val="52"/>
      <w:szCs w:val="52"/>
      <w:lang w:val="zh-CN"/>
    </w:rPr>
  </w:style>
  <w:style w:type="paragraph" w:styleId="21">
    <w:name w:val="List Bullet 3"/>
    <w:basedOn w:val="1"/>
    <w:autoRedefine/>
    <w:qFormat/>
    <w:uiPriority w:val="0"/>
    <w:pPr>
      <w:tabs>
        <w:tab w:val="left" w:pos="426"/>
      </w:tabs>
      <w:autoSpaceDE/>
      <w:autoSpaceDN/>
      <w:adjustRightInd/>
      <w:ind w:left="426" w:hanging="425"/>
      <w:jc w:val="both"/>
    </w:pPr>
    <w:rPr>
      <w:rFonts w:ascii="Arial Unicode MS" w:hAnsi="Arial Unicode MS"/>
      <w:kern w:val="2"/>
      <w:sz w:val="21"/>
      <w:szCs w:val="21"/>
    </w:rPr>
  </w:style>
  <w:style w:type="paragraph" w:styleId="22">
    <w:name w:val="Body Text"/>
    <w:basedOn w:val="1"/>
    <w:next w:val="23"/>
    <w:link w:val="89"/>
    <w:autoRedefine/>
    <w:qFormat/>
    <w:uiPriority w:val="1"/>
    <w:pPr>
      <w:ind w:right="-26"/>
      <w:jc w:val="center"/>
    </w:pPr>
    <w:rPr>
      <w:rFonts w:eastAsia="等线 Light"/>
      <w:b/>
      <w:bCs/>
      <w:sz w:val="84"/>
      <w:szCs w:val="84"/>
      <w:lang w:val="zh-CN"/>
    </w:rPr>
  </w:style>
  <w:style w:type="paragraph" w:styleId="23">
    <w:name w:val="Body Text First Indent"/>
    <w:basedOn w:val="22"/>
    <w:link w:val="106"/>
    <w:autoRedefine/>
    <w:unhideWhenUsed/>
    <w:qFormat/>
    <w:uiPriority w:val="99"/>
    <w:pPr>
      <w:ind w:firstLine="420" w:firstLineChars="100"/>
    </w:pPr>
    <w:rPr>
      <w:rFonts w:eastAsia="宋体"/>
    </w:rPr>
  </w:style>
  <w:style w:type="paragraph" w:styleId="24">
    <w:name w:val="Body Text Indent"/>
    <w:basedOn w:val="1"/>
    <w:next w:val="22"/>
    <w:link w:val="90"/>
    <w:autoRedefine/>
    <w:qFormat/>
    <w:uiPriority w:val="0"/>
    <w:pPr>
      <w:autoSpaceDE/>
      <w:autoSpaceDN/>
      <w:adjustRightInd/>
      <w:ind w:left="567" w:leftChars="270"/>
      <w:jc w:val="both"/>
    </w:pPr>
    <w:rPr>
      <w:rFonts w:ascii="幼圆" w:hAnsi="幼圆" w:eastAsia="等线 Light"/>
      <w:sz w:val="20"/>
      <w:szCs w:val="20"/>
    </w:rPr>
  </w:style>
  <w:style w:type="paragraph" w:styleId="25">
    <w:name w:val="List 2"/>
    <w:basedOn w:val="26"/>
    <w:autoRedefine/>
    <w:qFormat/>
    <w:uiPriority w:val="0"/>
    <w:pPr>
      <w:autoSpaceDE/>
      <w:autoSpaceDN/>
      <w:adjustRightInd/>
      <w:snapToGrid w:val="0"/>
      <w:spacing w:before="120" w:after="220" w:line="220" w:lineRule="atLeast"/>
      <w:ind w:left="1800" w:hanging="360" w:firstLineChars="0"/>
      <w:jc w:val="both"/>
    </w:pPr>
    <w:rPr>
      <w:rFonts w:ascii="monospace" w:hAnsi="Arial Unicode MS" w:eastAsia="monospace"/>
      <w:sz w:val="22"/>
      <w:szCs w:val="20"/>
    </w:rPr>
  </w:style>
  <w:style w:type="paragraph" w:styleId="26">
    <w:name w:val="List"/>
    <w:basedOn w:val="1"/>
    <w:autoRedefine/>
    <w:unhideWhenUsed/>
    <w:qFormat/>
    <w:uiPriority w:val="0"/>
    <w:pPr>
      <w:ind w:left="200" w:hanging="200" w:hangingChars="200"/>
      <w:contextualSpacing/>
    </w:pPr>
  </w:style>
  <w:style w:type="paragraph" w:styleId="27">
    <w:name w:val="Block Text"/>
    <w:basedOn w:val="1"/>
    <w:autoRedefine/>
    <w:qFormat/>
    <w:uiPriority w:val="0"/>
    <w:pPr>
      <w:autoSpaceDE/>
      <w:autoSpaceDN/>
      <w:adjustRightInd/>
      <w:spacing w:after="120"/>
      <w:ind w:left="1440" w:leftChars="700" w:right="1440" w:rightChars="700"/>
      <w:jc w:val="both"/>
    </w:pPr>
    <w:rPr>
      <w:rFonts w:ascii="Arial Unicode MS" w:hAnsi="Arial Unicode MS"/>
      <w:kern w:val="2"/>
      <w:sz w:val="21"/>
    </w:rPr>
  </w:style>
  <w:style w:type="paragraph" w:styleId="28">
    <w:name w:val="List Bullet 2"/>
    <w:basedOn w:val="1"/>
    <w:autoRedefine/>
    <w:qFormat/>
    <w:uiPriority w:val="0"/>
    <w:pPr>
      <w:numPr>
        <w:ilvl w:val="0"/>
        <w:numId w:val="2"/>
      </w:numPr>
      <w:tabs>
        <w:tab w:val="left" w:pos="780"/>
      </w:tabs>
      <w:autoSpaceDE/>
      <w:autoSpaceDN/>
      <w:adjustRightInd/>
      <w:ind w:left="780" w:leftChars="200"/>
      <w:jc w:val="both"/>
    </w:pPr>
    <w:rPr>
      <w:rFonts w:ascii="Arial Unicode MS" w:hAnsi="Arial Unicode MS"/>
      <w:kern w:val="2"/>
      <w:sz w:val="21"/>
      <w:szCs w:val="21"/>
    </w:rPr>
  </w:style>
  <w:style w:type="paragraph" w:styleId="29">
    <w:name w:val="index 4"/>
    <w:basedOn w:val="1"/>
    <w:next w:val="1"/>
    <w:autoRedefine/>
    <w:qFormat/>
    <w:uiPriority w:val="0"/>
    <w:pPr>
      <w:autoSpaceDE/>
      <w:autoSpaceDN/>
      <w:adjustRightInd/>
      <w:ind w:left="600" w:leftChars="600"/>
      <w:jc w:val="both"/>
    </w:pPr>
    <w:rPr>
      <w:rFonts w:ascii="Arial Unicode MS" w:hAnsi="Arial Unicode MS"/>
      <w:kern w:val="2"/>
      <w:sz w:val="21"/>
      <w:szCs w:val="20"/>
    </w:rPr>
  </w:style>
  <w:style w:type="paragraph" w:styleId="30">
    <w:name w:val="toc 5"/>
    <w:basedOn w:val="1"/>
    <w:next w:val="1"/>
    <w:autoRedefine/>
    <w:unhideWhenUsed/>
    <w:qFormat/>
    <w:uiPriority w:val="39"/>
    <w:pPr>
      <w:ind w:left="960"/>
    </w:pPr>
    <w:rPr>
      <w:rFonts w:ascii="Arial Unicode MS" w:hAnsi="Arial Unicode MS" w:cs="Arial Unicode MS"/>
      <w:sz w:val="18"/>
      <w:szCs w:val="18"/>
    </w:rPr>
  </w:style>
  <w:style w:type="paragraph" w:styleId="31">
    <w:name w:val="toc 3"/>
    <w:basedOn w:val="1"/>
    <w:next w:val="1"/>
    <w:autoRedefine/>
    <w:qFormat/>
    <w:uiPriority w:val="39"/>
    <w:pPr>
      <w:ind w:left="480"/>
    </w:pPr>
    <w:rPr>
      <w:rFonts w:ascii="Arial Unicode MS" w:hAnsi="Arial Unicode MS" w:cs="Arial Unicode MS"/>
      <w:i/>
      <w:iCs/>
      <w:sz w:val="20"/>
      <w:szCs w:val="20"/>
    </w:rPr>
  </w:style>
  <w:style w:type="paragraph" w:styleId="32">
    <w:name w:val="Plain Text"/>
    <w:basedOn w:val="1"/>
    <w:link w:val="91"/>
    <w:autoRedefine/>
    <w:qFormat/>
    <w:uiPriority w:val="0"/>
    <w:pPr>
      <w:autoSpaceDE/>
      <w:autoSpaceDN/>
      <w:adjustRightInd/>
      <w:jc w:val="both"/>
    </w:pPr>
    <w:rPr>
      <w:rFonts w:hAnsi="Helv" w:eastAsia="等线 Light"/>
      <w:sz w:val="20"/>
      <w:szCs w:val="20"/>
    </w:rPr>
  </w:style>
  <w:style w:type="paragraph" w:styleId="33">
    <w:name w:val="List Bullet 5"/>
    <w:basedOn w:val="1"/>
    <w:autoRedefine/>
    <w:qFormat/>
    <w:uiPriority w:val="0"/>
    <w:pPr>
      <w:tabs>
        <w:tab w:val="left" w:pos="840"/>
      </w:tabs>
      <w:autoSpaceDE/>
      <w:autoSpaceDN/>
      <w:adjustRightInd/>
      <w:ind w:left="840" w:hanging="420"/>
      <w:jc w:val="both"/>
    </w:pPr>
    <w:rPr>
      <w:rFonts w:ascii="Arial Unicode MS" w:hAnsi="Arial Unicode MS"/>
      <w:kern w:val="2"/>
      <w:sz w:val="21"/>
      <w:szCs w:val="21"/>
    </w:rPr>
  </w:style>
  <w:style w:type="paragraph" w:styleId="34">
    <w:name w:val="toc 8"/>
    <w:basedOn w:val="1"/>
    <w:next w:val="1"/>
    <w:autoRedefine/>
    <w:unhideWhenUsed/>
    <w:qFormat/>
    <w:uiPriority w:val="39"/>
    <w:pPr>
      <w:ind w:left="1680"/>
    </w:pPr>
    <w:rPr>
      <w:rFonts w:ascii="Arial Unicode MS" w:hAnsi="Arial Unicode MS" w:cs="Arial Unicode MS"/>
      <w:sz w:val="18"/>
      <w:szCs w:val="18"/>
    </w:rPr>
  </w:style>
  <w:style w:type="paragraph" w:styleId="35">
    <w:name w:val="Date"/>
    <w:basedOn w:val="1"/>
    <w:next w:val="1"/>
    <w:link w:val="92"/>
    <w:autoRedefine/>
    <w:qFormat/>
    <w:uiPriority w:val="0"/>
    <w:pPr>
      <w:ind w:left="100" w:leftChars="2500"/>
    </w:pPr>
    <w:rPr>
      <w:rFonts w:hAnsi="幼圆" w:eastAsia="等线 Light"/>
      <w:b/>
      <w:bCs/>
      <w:sz w:val="20"/>
      <w:szCs w:val="21"/>
      <w:lang w:val="zh-CN"/>
    </w:rPr>
  </w:style>
  <w:style w:type="paragraph" w:styleId="36">
    <w:name w:val="Body Text Indent 2"/>
    <w:basedOn w:val="1"/>
    <w:link w:val="93"/>
    <w:autoRedefine/>
    <w:qFormat/>
    <w:uiPriority w:val="0"/>
    <w:pPr>
      <w:tabs>
        <w:tab w:val="left" w:pos="8640"/>
      </w:tabs>
      <w:autoSpaceDE/>
      <w:autoSpaceDN/>
      <w:adjustRightInd/>
      <w:ind w:left="1260"/>
      <w:jc w:val="both"/>
    </w:pPr>
    <w:rPr>
      <w:rFonts w:hAnsi="幼圆" w:eastAsia="等线 Light"/>
      <w:sz w:val="20"/>
      <w:szCs w:val="20"/>
    </w:rPr>
  </w:style>
  <w:style w:type="paragraph" w:styleId="37">
    <w:name w:val="endnote text"/>
    <w:basedOn w:val="1"/>
    <w:link w:val="94"/>
    <w:autoRedefine/>
    <w:qFormat/>
    <w:uiPriority w:val="0"/>
    <w:pPr>
      <w:autoSpaceDE/>
      <w:autoSpaceDN/>
      <w:adjustRightInd/>
      <w:snapToGrid w:val="0"/>
    </w:pPr>
    <w:rPr>
      <w:rFonts w:ascii="Times New Roman"/>
      <w:kern w:val="2"/>
      <w:sz w:val="21"/>
    </w:rPr>
  </w:style>
  <w:style w:type="paragraph" w:styleId="38">
    <w:name w:val="Balloon Text"/>
    <w:basedOn w:val="1"/>
    <w:link w:val="95"/>
    <w:autoRedefine/>
    <w:qFormat/>
    <w:uiPriority w:val="0"/>
    <w:pPr>
      <w:autoSpaceDE/>
      <w:autoSpaceDN/>
      <w:adjustRightInd/>
      <w:jc w:val="both"/>
    </w:pPr>
    <w:rPr>
      <w:rFonts w:ascii="幼圆" w:hAnsi="幼圆" w:eastAsia="等线 Light"/>
      <w:sz w:val="18"/>
      <w:szCs w:val="18"/>
    </w:rPr>
  </w:style>
  <w:style w:type="paragraph" w:styleId="39">
    <w:name w:val="footer"/>
    <w:basedOn w:val="1"/>
    <w:link w:val="96"/>
    <w:autoRedefine/>
    <w:qFormat/>
    <w:uiPriority w:val="99"/>
    <w:pPr>
      <w:tabs>
        <w:tab w:val="center" w:pos="4153"/>
        <w:tab w:val="right" w:pos="8306"/>
      </w:tabs>
      <w:snapToGrid w:val="0"/>
    </w:pPr>
    <w:rPr>
      <w:rFonts w:eastAsia="等线 Light"/>
      <w:sz w:val="18"/>
      <w:szCs w:val="18"/>
    </w:rPr>
  </w:style>
  <w:style w:type="paragraph" w:styleId="40">
    <w:name w:val="header"/>
    <w:basedOn w:val="1"/>
    <w:link w:val="97"/>
    <w:autoRedefine/>
    <w:qFormat/>
    <w:uiPriority w:val="0"/>
    <w:pPr>
      <w:pBdr>
        <w:bottom w:val="single" w:color="auto" w:sz="6" w:space="1"/>
      </w:pBdr>
      <w:tabs>
        <w:tab w:val="center" w:pos="4153"/>
        <w:tab w:val="right" w:pos="8306"/>
      </w:tabs>
      <w:snapToGrid w:val="0"/>
      <w:jc w:val="center"/>
    </w:pPr>
    <w:rPr>
      <w:rFonts w:eastAsia="等线 Light"/>
      <w:sz w:val="18"/>
      <w:szCs w:val="18"/>
    </w:rPr>
  </w:style>
  <w:style w:type="paragraph" w:styleId="41">
    <w:name w:val="Signature"/>
    <w:basedOn w:val="22"/>
    <w:link w:val="98"/>
    <w:autoRedefine/>
    <w:qFormat/>
    <w:uiPriority w:val="0"/>
    <w:pPr>
      <w:keepNext/>
      <w:keepLines/>
      <w:widowControl/>
      <w:autoSpaceDE/>
      <w:autoSpaceDN/>
      <w:adjustRightInd/>
      <w:spacing w:before="660" w:line="240" w:lineRule="atLeast"/>
      <w:ind w:right="0"/>
      <w:jc w:val="both"/>
    </w:pPr>
    <w:rPr>
      <w:rFonts w:ascii="仿宋_GB2312" w:hAnsi="仿宋_GB2312" w:eastAsia="宋体"/>
      <w:b w:val="0"/>
      <w:bCs w:val="0"/>
      <w:spacing w:val="-5"/>
      <w:kern w:val="2"/>
      <w:sz w:val="24"/>
      <w:szCs w:val="24"/>
    </w:rPr>
  </w:style>
  <w:style w:type="paragraph" w:styleId="42">
    <w:name w:val="toc 1"/>
    <w:basedOn w:val="1"/>
    <w:next w:val="1"/>
    <w:autoRedefine/>
    <w:qFormat/>
    <w:uiPriority w:val="39"/>
    <w:pPr>
      <w:spacing w:before="120" w:after="120"/>
    </w:pPr>
    <w:rPr>
      <w:rFonts w:ascii="Arial Unicode MS" w:hAnsi="Arial Unicode MS" w:cs="Arial Unicode MS"/>
      <w:b/>
      <w:bCs/>
      <w:caps/>
      <w:sz w:val="20"/>
      <w:szCs w:val="20"/>
    </w:rPr>
  </w:style>
  <w:style w:type="paragraph" w:styleId="43">
    <w:name w:val="toc 4"/>
    <w:basedOn w:val="1"/>
    <w:next w:val="1"/>
    <w:autoRedefine/>
    <w:unhideWhenUsed/>
    <w:qFormat/>
    <w:uiPriority w:val="39"/>
    <w:pPr>
      <w:ind w:left="720"/>
    </w:pPr>
    <w:rPr>
      <w:rFonts w:ascii="Arial Unicode MS" w:hAnsi="Arial Unicode MS" w:cs="Arial Unicode MS"/>
      <w:sz w:val="18"/>
      <w:szCs w:val="18"/>
    </w:rPr>
  </w:style>
  <w:style w:type="paragraph" w:styleId="44">
    <w:name w:val="footnote text"/>
    <w:basedOn w:val="1"/>
    <w:link w:val="99"/>
    <w:autoRedefine/>
    <w:qFormat/>
    <w:uiPriority w:val="0"/>
    <w:pPr>
      <w:autoSpaceDE/>
      <w:autoSpaceDN/>
      <w:adjustRightInd/>
      <w:snapToGrid w:val="0"/>
    </w:pPr>
    <w:rPr>
      <w:rFonts w:ascii="Times New Roman"/>
      <w:kern w:val="2"/>
      <w:sz w:val="18"/>
      <w:szCs w:val="18"/>
    </w:rPr>
  </w:style>
  <w:style w:type="paragraph" w:styleId="45">
    <w:name w:val="toc 6"/>
    <w:basedOn w:val="1"/>
    <w:next w:val="1"/>
    <w:autoRedefine/>
    <w:unhideWhenUsed/>
    <w:qFormat/>
    <w:uiPriority w:val="39"/>
    <w:pPr>
      <w:ind w:left="1200"/>
    </w:pPr>
    <w:rPr>
      <w:rFonts w:ascii="Arial Unicode MS" w:hAnsi="Arial Unicode MS" w:cs="Arial Unicode MS"/>
      <w:sz w:val="18"/>
      <w:szCs w:val="18"/>
    </w:rPr>
  </w:style>
  <w:style w:type="paragraph" w:styleId="46">
    <w:name w:val="Body Text Indent 3"/>
    <w:basedOn w:val="1"/>
    <w:link w:val="100"/>
    <w:autoRedefine/>
    <w:qFormat/>
    <w:uiPriority w:val="0"/>
    <w:pPr>
      <w:spacing w:line="360" w:lineRule="auto"/>
      <w:ind w:firstLine="480" w:firstLineChars="200"/>
    </w:pPr>
    <w:rPr>
      <w:rFonts w:hAnsi="幼圆" w:eastAsia="等线 Light"/>
    </w:rPr>
  </w:style>
  <w:style w:type="paragraph" w:styleId="47">
    <w:name w:val="toc 2"/>
    <w:basedOn w:val="1"/>
    <w:next w:val="1"/>
    <w:autoRedefine/>
    <w:unhideWhenUsed/>
    <w:qFormat/>
    <w:uiPriority w:val="39"/>
    <w:pPr>
      <w:ind w:left="240"/>
    </w:pPr>
    <w:rPr>
      <w:rFonts w:ascii="Arial Unicode MS" w:hAnsi="Arial Unicode MS" w:cs="Arial Unicode MS"/>
      <w:smallCaps/>
      <w:sz w:val="20"/>
      <w:szCs w:val="20"/>
    </w:rPr>
  </w:style>
  <w:style w:type="paragraph" w:styleId="48">
    <w:name w:val="toc 9"/>
    <w:basedOn w:val="1"/>
    <w:next w:val="1"/>
    <w:autoRedefine/>
    <w:unhideWhenUsed/>
    <w:qFormat/>
    <w:uiPriority w:val="39"/>
    <w:pPr>
      <w:ind w:left="1920"/>
    </w:pPr>
    <w:rPr>
      <w:rFonts w:ascii="Arial Unicode MS" w:hAnsi="Arial Unicode MS" w:cs="Arial Unicode MS"/>
      <w:sz w:val="18"/>
      <w:szCs w:val="18"/>
    </w:rPr>
  </w:style>
  <w:style w:type="paragraph" w:styleId="49">
    <w:name w:val="Body Text 2"/>
    <w:basedOn w:val="1"/>
    <w:link w:val="101"/>
    <w:autoRedefine/>
    <w:qFormat/>
    <w:uiPriority w:val="0"/>
    <w:pPr>
      <w:tabs>
        <w:tab w:val="left" w:pos="0"/>
      </w:tabs>
      <w:autoSpaceDE/>
      <w:autoSpaceDN/>
      <w:adjustRightInd/>
      <w:spacing w:line="400" w:lineRule="atLeast"/>
      <w:jc w:val="both"/>
    </w:pPr>
    <w:rPr>
      <w:rFonts w:ascii="楷体_GB2312" w:hAnsi="楷体_GB2312" w:eastAsia="等线 Light"/>
      <w:color w:val="000000"/>
      <w:sz w:val="20"/>
    </w:rPr>
  </w:style>
  <w:style w:type="paragraph" w:styleId="50">
    <w:name w:val="HTML Preformatted"/>
    <w:basedOn w:val="1"/>
    <w:link w:val="102"/>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楷体_GB2312" w:hAnsi="楷体_GB2312" w:eastAsia="等线 Light"/>
      <w:sz w:val="20"/>
      <w:szCs w:val="21"/>
    </w:rPr>
  </w:style>
  <w:style w:type="paragraph" w:styleId="51">
    <w:name w:val="Normal (Web)"/>
    <w:basedOn w:val="1"/>
    <w:link w:val="103"/>
    <w:autoRedefine/>
    <w:qFormat/>
    <w:uiPriority w:val="99"/>
    <w:pPr>
      <w:widowControl/>
      <w:autoSpaceDE/>
      <w:autoSpaceDN/>
      <w:adjustRightInd/>
      <w:spacing w:before="100" w:beforeAutospacing="1" w:after="100" w:afterAutospacing="1"/>
    </w:pPr>
    <w:rPr>
      <w:rFonts w:hAnsi="等线 Light"/>
      <w:sz w:val="15"/>
      <w:szCs w:val="15"/>
    </w:rPr>
  </w:style>
  <w:style w:type="paragraph" w:styleId="52">
    <w:name w:val="index 1"/>
    <w:basedOn w:val="1"/>
    <w:next w:val="1"/>
    <w:autoRedefine/>
    <w:qFormat/>
    <w:uiPriority w:val="99"/>
    <w:pPr>
      <w:autoSpaceDE/>
      <w:autoSpaceDN/>
      <w:adjustRightInd/>
      <w:jc w:val="center"/>
    </w:pPr>
    <w:rPr>
      <w:rFonts w:ascii="Arial Unicode MS" w:hAnsi="Arial Unicode MS"/>
      <w:kern w:val="2"/>
      <w:sz w:val="21"/>
    </w:rPr>
  </w:style>
  <w:style w:type="paragraph" w:styleId="53">
    <w:name w:val="Title"/>
    <w:basedOn w:val="1"/>
    <w:next w:val="1"/>
    <w:link w:val="104"/>
    <w:autoRedefine/>
    <w:qFormat/>
    <w:uiPriority w:val="10"/>
    <w:pPr>
      <w:spacing w:before="240" w:after="60"/>
      <w:jc w:val="center"/>
      <w:outlineLvl w:val="0"/>
    </w:pPr>
    <w:rPr>
      <w:rFonts w:ascii="Roman" w:hAnsi="Roman"/>
      <w:b/>
      <w:bCs/>
      <w:sz w:val="32"/>
      <w:szCs w:val="32"/>
    </w:rPr>
  </w:style>
  <w:style w:type="paragraph" w:styleId="54">
    <w:name w:val="annotation subject"/>
    <w:basedOn w:val="19"/>
    <w:next w:val="19"/>
    <w:link w:val="105"/>
    <w:autoRedefine/>
    <w:qFormat/>
    <w:uiPriority w:val="0"/>
    <w:rPr>
      <w:b/>
      <w:bCs/>
    </w:rPr>
  </w:style>
  <w:style w:type="table" w:styleId="56">
    <w:name w:val="Table Grid"/>
    <w:basedOn w:val="5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autoRedefine/>
    <w:qFormat/>
    <w:uiPriority w:val="0"/>
    <w:rPr>
      <w:b/>
      <w:bCs/>
    </w:rPr>
  </w:style>
  <w:style w:type="character" w:styleId="59">
    <w:name w:val="endnote reference"/>
    <w:autoRedefine/>
    <w:qFormat/>
    <w:uiPriority w:val="0"/>
    <w:rPr>
      <w:vertAlign w:val="superscript"/>
    </w:rPr>
  </w:style>
  <w:style w:type="character" w:styleId="60">
    <w:name w:val="page number"/>
    <w:basedOn w:val="57"/>
    <w:autoRedefine/>
    <w:qFormat/>
    <w:uiPriority w:val="0"/>
  </w:style>
  <w:style w:type="character" w:styleId="61">
    <w:name w:val="FollowedHyperlink"/>
    <w:autoRedefine/>
    <w:qFormat/>
    <w:uiPriority w:val="99"/>
    <w:rPr>
      <w:rFonts w:ascii="楷体_GB2312" w:hAnsi="楷体_GB2312" w:cs="楷体_GB2312"/>
      <w:color w:val="000000"/>
      <w:sz w:val="20"/>
      <w:szCs w:val="20"/>
      <w:u w:val="none"/>
    </w:rPr>
  </w:style>
  <w:style w:type="character" w:styleId="62">
    <w:name w:val="Emphasis"/>
    <w:autoRedefine/>
    <w:qFormat/>
    <w:uiPriority w:val="0"/>
    <w:rPr>
      <w:i/>
      <w:iCs/>
    </w:rPr>
  </w:style>
  <w:style w:type="character" w:styleId="63">
    <w:name w:val="line number"/>
    <w:autoRedefine/>
    <w:qFormat/>
    <w:uiPriority w:val="0"/>
  </w:style>
  <w:style w:type="character" w:styleId="64">
    <w:name w:val="HTML Definition"/>
    <w:autoRedefine/>
    <w:unhideWhenUsed/>
    <w:qFormat/>
    <w:uiPriority w:val="0"/>
  </w:style>
  <w:style w:type="character" w:styleId="65">
    <w:name w:val="HTML Variable"/>
    <w:autoRedefine/>
    <w:unhideWhenUsed/>
    <w:qFormat/>
    <w:uiPriority w:val="0"/>
  </w:style>
  <w:style w:type="character" w:styleId="66">
    <w:name w:val="Hyperlink"/>
    <w:autoRedefine/>
    <w:qFormat/>
    <w:uiPriority w:val="99"/>
    <w:rPr>
      <w:rFonts w:hint="default" w:ascii="楷体_GB2312" w:hAnsi="楷体_GB2312" w:cs="楷体_GB2312"/>
      <w:color w:val="000000"/>
      <w:sz w:val="20"/>
      <w:szCs w:val="20"/>
      <w:u w:val="none"/>
    </w:rPr>
  </w:style>
  <w:style w:type="character" w:styleId="67">
    <w:name w:val="HTML Code"/>
    <w:autoRedefine/>
    <w:unhideWhenUsed/>
    <w:qFormat/>
    <w:uiPriority w:val="0"/>
    <w:rPr>
      <w:rFonts w:hint="default" w:ascii="Tahoma" w:hAnsi="Tahoma" w:eastAsia="Tahoma" w:cs="Tahoma"/>
      <w:sz w:val="21"/>
      <w:szCs w:val="21"/>
    </w:rPr>
  </w:style>
  <w:style w:type="character" w:styleId="68">
    <w:name w:val="annotation reference"/>
    <w:autoRedefine/>
    <w:qFormat/>
    <w:uiPriority w:val="99"/>
    <w:rPr>
      <w:sz w:val="21"/>
      <w:szCs w:val="21"/>
    </w:rPr>
  </w:style>
  <w:style w:type="character" w:styleId="69">
    <w:name w:val="HTML Cite"/>
    <w:autoRedefine/>
    <w:unhideWhenUsed/>
    <w:qFormat/>
    <w:uiPriority w:val="0"/>
  </w:style>
  <w:style w:type="character" w:styleId="70">
    <w:name w:val="footnote reference"/>
    <w:autoRedefine/>
    <w:qFormat/>
    <w:uiPriority w:val="0"/>
    <w:rPr>
      <w:vertAlign w:val="superscript"/>
    </w:rPr>
  </w:style>
  <w:style w:type="character" w:styleId="71">
    <w:name w:val="HTML Keyboard"/>
    <w:autoRedefine/>
    <w:unhideWhenUsed/>
    <w:qFormat/>
    <w:uiPriority w:val="0"/>
    <w:rPr>
      <w:rFonts w:ascii="Tahoma" w:hAnsi="Tahoma" w:eastAsia="Tahoma" w:cs="Tahoma"/>
      <w:sz w:val="21"/>
      <w:szCs w:val="21"/>
    </w:rPr>
  </w:style>
  <w:style w:type="character" w:styleId="72">
    <w:name w:val="HTML Sample"/>
    <w:autoRedefine/>
    <w:unhideWhenUsed/>
    <w:qFormat/>
    <w:uiPriority w:val="0"/>
    <w:rPr>
      <w:rFonts w:hint="default" w:ascii="Tahoma" w:hAnsi="Tahoma" w:eastAsia="Tahoma" w:cs="Tahoma"/>
      <w:sz w:val="21"/>
      <w:szCs w:val="21"/>
    </w:rPr>
  </w:style>
  <w:style w:type="paragraph" w:customStyle="1" w:styleId="73">
    <w:name w:val="样式 宋体 行距: 1.5 倍行距"/>
    <w:basedOn w:val="1"/>
    <w:autoRedefine/>
    <w:qFormat/>
    <w:uiPriority w:val="0"/>
    <w:pPr>
      <w:jc w:val="center"/>
    </w:pPr>
    <w:rPr>
      <w:rFonts w:ascii="Times New Roman" w:hAnsi="Times New Roman"/>
      <w:b/>
    </w:rPr>
  </w:style>
  <w:style w:type="character" w:customStyle="1" w:styleId="74">
    <w:name w:val="标题 1 字符"/>
    <w:link w:val="3"/>
    <w:autoRedefine/>
    <w:qFormat/>
    <w:uiPriority w:val="0"/>
    <w:rPr>
      <w:rFonts w:ascii="等线 Light" w:hAnsi="幼圆" w:eastAsia="等线 Light" w:cs="幼圆"/>
      <w:kern w:val="0"/>
      <w:sz w:val="24"/>
      <w:szCs w:val="24"/>
    </w:rPr>
  </w:style>
  <w:style w:type="character" w:customStyle="1" w:styleId="75">
    <w:name w:val="标题 2 字符"/>
    <w:link w:val="4"/>
    <w:autoRedefine/>
    <w:qFormat/>
    <w:uiPriority w:val="0"/>
    <w:rPr>
      <w:rFonts w:ascii="等线 Light" w:hAnsi="幼圆" w:eastAsia="等线 Light" w:cs="幼圆"/>
      <w:kern w:val="0"/>
      <w:sz w:val="24"/>
      <w:szCs w:val="24"/>
    </w:rPr>
  </w:style>
  <w:style w:type="character" w:customStyle="1" w:styleId="76">
    <w:name w:val="标题 3 字符"/>
    <w:link w:val="2"/>
    <w:autoRedefine/>
    <w:qFormat/>
    <w:uiPriority w:val="0"/>
    <w:rPr>
      <w:rFonts w:ascii="等线 Light" w:hAnsi="幼圆" w:eastAsia="等线 Light" w:cs="幼圆"/>
      <w:kern w:val="0"/>
      <w:sz w:val="24"/>
      <w:szCs w:val="24"/>
    </w:rPr>
  </w:style>
  <w:style w:type="character" w:customStyle="1" w:styleId="77">
    <w:name w:val="标题 4 字符"/>
    <w:link w:val="5"/>
    <w:autoRedefine/>
    <w:qFormat/>
    <w:uiPriority w:val="0"/>
    <w:rPr>
      <w:rFonts w:ascii="楷体_GB2312" w:hAnsi="楷体_GB2312" w:eastAsia="PMingLiU" w:cs="幼圆"/>
      <w:b/>
      <w:bCs/>
      <w:kern w:val="0"/>
      <w:sz w:val="28"/>
      <w:szCs w:val="28"/>
    </w:rPr>
  </w:style>
  <w:style w:type="character" w:customStyle="1" w:styleId="78">
    <w:name w:val="标题 5 字符1"/>
    <w:link w:val="6"/>
    <w:autoRedefine/>
    <w:qFormat/>
    <w:uiPriority w:val="9"/>
    <w:rPr>
      <w:rFonts w:ascii="等线 Light"/>
      <w:b/>
      <w:bCs/>
      <w:sz w:val="28"/>
      <w:szCs w:val="28"/>
    </w:rPr>
  </w:style>
  <w:style w:type="character" w:customStyle="1" w:styleId="79">
    <w:name w:val="标题 6 字符1"/>
    <w:link w:val="7"/>
    <w:autoRedefine/>
    <w:qFormat/>
    <w:uiPriority w:val="9"/>
    <w:rPr>
      <w:rFonts w:eastAsia="PMingLiU"/>
      <w:b/>
      <w:bCs/>
      <w:sz w:val="28"/>
      <w:szCs w:val="24"/>
    </w:rPr>
  </w:style>
  <w:style w:type="character" w:customStyle="1" w:styleId="80">
    <w:name w:val="模板正文 Char"/>
    <w:link w:val="8"/>
    <w:autoRedefine/>
    <w:qFormat/>
    <w:uiPriority w:val="0"/>
    <w:rPr>
      <w:rFonts w:ascii="等线 Light" w:eastAsia="font-weight : 400"/>
      <w:sz w:val="24"/>
      <w:szCs w:val="21"/>
    </w:rPr>
  </w:style>
  <w:style w:type="character" w:customStyle="1" w:styleId="81">
    <w:name w:val="标题 7 字符"/>
    <w:link w:val="9"/>
    <w:autoRedefine/>
    <w:qFormat/>
    <w:uiPriority w:val="0"/>
    <w:rPr>
      <w:rFonts w:eastAsia="PMingLiU"/>
      <w:b/>
      <w:bCs/>
      <w:sz w:val="28"/>
      <w:szCs w:val="24"/>
    </w:rPr>
  </w:style>
  <w:style w:type="character" w:customStyle="1" w:styleId="82">
    <w:name w:val="标题 8 字符"/>
    <w:link w:val="10"/>
    <w:autoRedefine/>
    <w:qFormat/>
    <w:uiPriority w:val="0"/>
    <w:rPr>
      <w:rFonts w:eastAsia="PMingLiU"/>
      <w:b/>
      <w:sz w:val="28"/>
      <w:szCs w:val="24"/>
    </w:rPr>
  </w:style>
  <w:style w:type="character" w:customStyle="1" w:styleId="83">
    <w:name w:val="标题 9 字符"/>
    <w:link w:val="11"/>
    <w:autoRedefine/>
    <w:qFormat/>
    <w:uiPriority w:val="0"/>
    <w:rPr>
      <w:rFonts w:eastAsia="PMingLiU"/>
      <w:b/>
      <w:sz w:val="28"/>
      <w:szCs w:val="24"/>
    </w:rPr>
  </w:style>
  <w:style w:type="character" w:customStyle="1" w:styleId="84">
    <w:name w:val="正文缩进 字符1"/>
    <w:link w:val="14"/>
    <w:autoRedefine/>
    <w:qFormat/>
    <w:uiPriority w:val="0"/>
  </w:style>
  <w:style w:type="character" w:customStyle="1" w:styleId="85">
    <w:name w:val="题注 字符1"/>
    <w:link w:val="15"/>
    <w:autoRedefine/>
    <w:qFormat/>
    <w:uiPriority w:val="0"/>
    <w:rPr>
      <w:rFonts w:ascii="楷体_GB2312" w:hAnsi="楷体_GB2312" w:eastAsia="PMingLiU" w:cs="楷体_GB2312"/>
    </w:rPr>
  </w:style>
  <w:style w:type="character" w:customStyle="1" w:styleId="86">
    <w:name w:val="文档结构图 字符"/>
    <w:link w:val="17"/>
    <w:autoRedefine/>
    <w:qFormat/>
    <w:uiPriority w:val="0"/>
    <w:rPr>
      <w:rFonts w:ascii="等线 Light" w:hAnsi="幼圆" w:eastAsia="等线 Light" w:cs="幼圆"/>
      <w:kern w:val="0"/>
      <w:sz w:val="24"/>
      <w:szCs w:val="24"/>
      <w:shd w:val="clear" w:color="auto" w:fill="000080"/>
    </w:rPr>
  </w:style>
  <w:style w:type="character" w:customStyle="1" w:styleId="87">
    <w:name w:val="批注文字 字符1"/>
    <w:link w:val="19"/>
    <w:autoRedefine/>
    <w:qFormat/>
    <w:uiPriority w:val="0"/>
    <w:rPr>
      <w:rFonts w:ascii="等线 Light" w:hAnsi="幼圆" w:eastAsia="等线 Light" w:cs="幼圆"/>
      <w:kern w:val="0"/>
      <w:sz w:val="24"/>
      <w:szCs w:val="24"/>
    </w:rPr>
  </w:style>
  <w:style w:type="character" w:customStyle="1" w:styleId="88">
    <w:name w:val="正文文本 3 字符"/>
    <w:link w:val="20"/>
    <w:autoRedefine/>
    <w:qFormat/>
    <w:uiPriority w:val="0"/>
    <w:rPr>
      <w:rFonts w:ascii="等线 Light" w:hAnsi="幼圆" w:eastAsia="等线 Light" w:cs="幼圆"/>
      <w:b/>
      <w:bCs/>
      <w:color w:val="3366FF"/>
      <w:sz w:val="52"/>
      <w:szCs w:val="52"/>
      <w:lang w:val="zh-CN"/>
    </w:rPr>
  </w:style>
  <w:style w:type="character" w:customStyle="1" w:styleId="89">
    <w:name w:val="正文文本 字符"/>
    <w:link w:val="22"/>
    <w:autoRedefine/>
    <w:qFormat/>
    <w:uiPriority w:val="1"/>
    <w:rPr>
      <w:rFonts w:ascii="等线 Light" w:eastAsia="等线 Light"/>
      <w:b/>
      <w:bCs/>
      <w:sz w:val="84"/>
      <w:szCs w:val="84"/>
      <w:lang w:val="zh-CN"/>
    </w:rPr>
  </w:style>
  <w:style w:type="character" w:customStyle="1" w:styleId="90">
    <w:name w:val="正文文本缩进 字符"/>
    <w:link w:val="24"/>
    <w:autoRedefine/>
    <w:qFormat/>
    <w:uiPriority w:val="0"/>
    <w:rPr>
      <w:rFonts w:ascii="幼圆" w:hAnsi="幼圆" w:eastAsia="等线 Light" w:cs="幼圆"/>
      <w:szCs w:val="20"/>
    </w:rPr>
  </w:style>
  <w:style w:type="character" w:customStyle="1" w:styleId="91">
    <w:name w:val="纯文本 字符"/>
    <w:link w:val="32"/>
    <w:autoRedefine/>
    <w:qFormat/>
    <w:uiPriority w:val="0"/>
    <w:rPr>
      <w:rFonts w:ascii="等线 Light" w:hAnsi="Helv" w:eastAsia="等线 Light"/>
    </w:rPr>
  </w:style>
  <w:style w:type="character" w:customStyle="1" w:styleId="92">
    <w:name w:val="日期 字符"/>
    <w:link w:val="35"/>
    <w:autoRedefine/>
    <w:qFormat/>
    <w:uiPriority w:val="0"/>
    <w:rPr>
      <w:rFonts w:ascii="等线 Light" w:hAnsi="幼圆" w:eastAsia="等线 Light" w:cs="幼圆"/>
      <w:b/>
      <w:bCs/>
      <w:szCs w:val="21"/>
      <w:lang w:val="zh-CN"/>
    </w:rPr>
  </w:style>
  <w:style w:type="character" w:customStyle="1" w:styleId="93">
    <w:name w:val="正文文本缩进 2 字符"/>
    <w:link w:val="36"/>
    <w:autoRedefine/>
    <w:qFormat/>
    <w:uiPriority w:val="0"/>
    <w:rPr>
      <w:rFonts w:ascii="等线 Light" w:hAnsi="幼圆" w:eastAsia="等线 Light" w:cs="幼圆"/>
      <w:szCs w:val="20"/>
    </w:rPr>
  </w:style>
  <w:style w:type="character" w:customStyle="1" w:styleId="94">
    <w:name w:val="尾注文本 字符1"/>
    <w:link w:val="37"/>
    <w:autoRedefine/>
    <w:qFormat/>
    <w:uiPriority w:val="0"/>
    <w:rPr>
      <w:kern w:val="2"/>
      <w:sz w:val="21"/>
      <w:szCs w:val="24"/>
    </w:rPr>
  </w:style>
  <w:style w:type="character" w:customStyle="1" w:styleId="95">
    <w:name w:val="批注框文本 字符"/>
    <w:link w:val="38"/>
    <w:autoRedefine/>
    <w:qFormat/>
    <w:uiPriority w:val="0"/>
    <w:rPr>
      <w:rFonts w:ascii="幼圆" w:hAnsi="幼圆" w:eastAsia="等线 Light" w:cs="幼圆"/>
      <w:sz w:val="18"/>
      <w:szCs w:val="18"/>
    </w:rPr>
  </w:style>
  <w:style w:type="character" w:customStyle="1" w:styleId="96">
    <w:name w:val="页脚 字符"/>
    <w:link w:val="39"/>
    <w:autoRedefine/>
    <w:qFormat/>
    <w:uiPriority w:val="99"/>
    <w:rPr>
      <w:rFonts w:ascii="等线 Light" w:eastAsia="等线 Light"/>
      <w:sz w:val="18"/>
      <w:szCs w:val="18"/>
    </w:rPr>
  </w:style>
  <w:style w:type="character" w:customStyle="1" w:styleId="97">
    <w:name w:val="页眉 字符"/>
    <w:link w:val="40"/>
    <w:autoRedefine/>
    <w:qFormat/>
    <w:uiPriority w:val="0"/>
    <w:rPr>
      <w:rFonts w:ascii="等线 Light" w:eastAsia="等线 Light"/>
      <w:sz w:val="18"/>
      <w:szCs w:val="18"/>
    </w:rPr>
  </w:style>
  <w:style w:type="character" w:customStyle="1" w:styleId="98">
    <w:name w:val="签名 字符"/>
    <w:link w:val="41"/>
    <w:autoRedefine/>
    <w:qFormat/>
    <w:uiPriority w:val="0"/>
    <w:rPr>
      <w:rFonts w:ascii="仿宋_GB2312" w:hAnsi="仿宋_GB2312"/>
      <w:spacing w:val="-5"/>
      <w:kern w:val="2"/>
      <w:sz w:val="24"/>
      <w:szCs w:val="24"/>
    </w:rPr>
  </w:style>
  <w:style w:type="character" w:customStyle="1" w:styleId="99">
    <w:name w:val="脚注文本 字符1"/>
    <w:link w:val="44"/>
    <w:autoRedefine/>
    <w:qFormat/>
    <w:uiPriority w:val="0"/>
    <w:rPr>
      <w:kern w:val="2"/>
      <w:sz w:val="18"/>
      <w:szCs w:val="18"/>
    </w:rPr>
  </w:style>
  <w:style w:type="character" w:customStyle="1" w:styleId="100">
    <w:name w:val="正文文本缩进 3 字符"/>
    <w:link w:val="46"/>
    <w:autoRedefine/>
    <w:qFormat/>
    <w:uiPriority w:val="0"/>
    <w:rPr>
      <w:rFonts w:ascii="等线 Light" w:hAnsi="幼圆" w:eastAsia="等线 Light" w:cs="幼圆"/>
      <w:kern w:val="0"/>
      <w:sz w:val="24"/>
      <w:szCs w:val="24"/>
    </w:rPr>
  </w:style>
  <w:style w:type="character" w:customStyle="1" w:styleId="101">
    <w:name w:val="正文文本 2 字符"/>
    <w:link w:val="49"/>
    <w:autoRedefine/>
    <w:qFormat/>
    <w:uiPriority w:val="0"/>
    <w:rPr>
      <w:rFonts w:ascii="楷体_GB2312" w:hAnsi="楷体_GB2312" w:eastAsia="等线 Light" w:cs="幼圆"/>
      <w:color w:val="000000"/>
      <w:szCs w:val="24"/>
    </w:rPr>
  </w:style>
  <w:style w:type="character" w:customStyle="1" w:styleId="102">
    <w:name w:val="HTML 预设格式 字符"/>
    <w:link w:val="50"/>
    <w:autoRedefine/>
    <w:qFormat/>
    <w:uiPriority w:val="0"/>
    <w:rPr>
      <w:rFonts w:ascii="楷体_GB2312" w:hAnsi="楷体_GB2312" w:eastAsia="等线 Light" w:cs="楷体_GB2312"/>
      <w:szCs w:val="21"/>
    </w:rPr>
  </w:style>
  <w:style w:type="character" w:customStyle="1" w:styleId="103">
    <w:name w:val="普通(网站) 字符"/>
    <w:link w:val="51"/>
    <w:autoRedefine/>
    <w:qFormat/>
    <w:locked/>
    <w:uiPriority w:val="99"/>
    <w:rPr>
      <w:rFonts w:ascii="等线 Light" w:hAnsi="等线 Light"/>
      <w:sz w:val="15"/>
      <w:szCs w:val="15"/>
    </w:rPr>
  </w:style>
  <w:style w:type="character" w:customStyle="1" w:styleId="104">
    <w:name w:val="标题 字符"/>
    <w:link w:val="53"/>
    <w:autoRedefine/>
    <w:qFormat/>
    <w:uiPriority w:val="10"/>
    <w:rPr>
      <w:rFonts w:ascii="Roman" w:hAnsi="Roman"/>
      <w:b/>
      <w:bCs/>
      <w:sz w:val="32"/>
      <w:szCs w:val="32"/>
    </w:rPr>
  </w:style>
  <w:style w:type="character" w:customStyle="1" w:styleId="105">
    <w:name w:val="批注主题 字符"/>
    <w:link w:val="54"/>
    <w:autoRedefine/>
    <w:qFormat/>
    <w:uiPriority w:val="0"/>
    <w:rPr>
      <w:rFonts w:ascii="等线 Light" w:hAnsi="幼圆" w:eastAsia="等线 Light" w:cs="幼圆"/>
      <w:b/>
      <w:bCs/>
      <w:kern w:val="0"/>
      <w:sz w:val="24"/>
      <w:szCs w:val="24"/>
    </w:rPr>
  </w:style>
  <w:style w:type="character" w:customStyle="1" w:styleId="106">
    <w:name w:val="正文首行缩进 字符1"/>
    <w:link w:val="23"/>
    <w:autoRedefine/>
    <w:qFormat/>
    <w:uiPriority w:val="99"/>
    <w:rPr>
      <w:rFonts w:ascii="等线 Light"/>
      <w:b/>
      <w:bCs/>
      <w:sz w:val="84"/>
      <w:szCs w:val="84"/>
      <w:lang w:val="zh-CN"/>
    </w:rPr>
  </w:style>
  <w:style w:type="paragraph" w:customStyle="1" w:styleId="107">
    <w:name w:val="文档正文"/>
    <w:basedOn w:val="1"/>
    <w:autoRedefine/>
    <w:qFormat/>
    <w:uiPriority w:val="0"/>
    <w:pPr>
      <w:spacing w:line="360" w:lineRule="auto"/>
    </w:pPr>
    <w:rPr>
      <w:rFonts w:cs="Arial"/>
      <w:bCs/>
    </w:rPr>
  </w:style>
  <w:style w:type="character" w:customStyle="1" w:styleId="108">
    <w:name w:val="themebody1"/>
    <w:autoRedefine/>
    <w:qFormat/>
    <w:uiPriority w:val="0"/>
    <w:rPr>
      <w:color w:val="FFFFFF"/>
    </w:rPr>
  </w:style>
  <w:style w:type="character" w:customStyle="1" w:styleId="109">
    <w:name w:val="小 Char"/>
    <w:autoRedefine/>
    <w:qFormat/>
    <w:uiPriority w:val="0"/>
    <w:rPr>
      <w:rFonts w:ascii="等线 Light" w:hAnsi="Helv" w:eastAsia="等线 Light"/>
      <w:kern w:val="2"/>
      <w:sz w:val="21"/>
      <w:lang w:val="en-US" w:eastAsia="zh-CN" w:bidi="ar-SA"/>
    </w:rPr>
  </w:style>
  <w:style w:type="character" w:customStyle="1" w:styleId="110">
    <w:name w:val="HTML 预设格式 Char"/>
    <w:autoRedefine/>
    <w:qFormat/>
    <w:uiPriority w:val="99"/>
    <w:rPr>
      <w:rFonts w:ascii="PMingLiU" w:hAnsi="Helv" w:eastAsia="PMingLiU" w:cs="Helv"/>
      <w:kern w:val="2"/>
      <w:sz w:val="24"/>
      <w:szCs w:val="24"/>
      <w:lang w:val="en-US" w:eastAsia="zh-CN" w:bidi="ar-SA"/>
    </w:rPr>
  </w:style>
  <w:style w:type="character" w:customStyle="1" w:styleId="111">
    <w:name w:val="批注框文本 Char1"/>
    <w:autoRedefine/>
    <w:semiHidden/>
    <w:qFormat/>
    <w:uiPriority w:val="99"/>
    <w:rPr>
      <w:rFonts w:ascii="宋体"/>
      <w:sz w:val="18"/>
      <w:szCs w:val="18"/>
    </w:rPr>
  </w:style>
  <w:style w:type="character" w:customStyle="1" w:styleId="112">
    <w:name w:val="标题 4 Char"/>
    <w:autoRedefine/>
    <w:qFormat/>
    <w:uiPriority w:val="0"/>
    <w:rPr>
      <w:rFonts w:ascii="楷体_GB2312" w:hAnsi="楷体_GB2312" w:eastAsia="PMingLiU" w:cs="幼圆"/>
      <w:b/>
      <w:bCs/>
      <w:kern w:val="2"/>
      <w:sz w:val="28"/>
      <w:szCs w:val="28"/>
      <w:lang w:val="en-US" w:eastAsia="zh-CN" w:bidi="ar-SA"/>
    </w:rPr>
  </w:style>
  <w:style w:type="character" w:customStyle="1" w:styleId="113">
    <w:name w:val="icontext12"/>
    <w:basedOn w:val="57"/>
    <w:autoRedefine/>
    <w:qFormat/>
    <w:uiPriority w:val="0"/>
  </w:style>
  <w:style w:type="character" w:customStyle="1" w:styleId="114">
    <w:name w:val="批注主题 Char"/>
    <w:autoRedefine/>
    <w:qFormat/>
    <w:uiPriority w:val="99"/>
    <w:rPr>
      <w:rFonts w:ascii="幼圆" w:hAnsi="幼圆" w:eastAsia="等线 Light" w:cs="幼圆"/>
      <w:b/>
      <w:bCs/>
      <w:kern w:val="2"/>
      <w:sz w:val="24"/>
      <w:szCs w:val="24"/>
      <w:lang w:val="en-US" w:eastAsia="zh-CN" w:bidi="ar-SA"/>
    </w:rPr>
  </w:style>
  <w:style w:type="character" w:customStyle="1" w:styleId="115">
    <w:name w:val="icon-code-weixin"/>
    <w:autoRedefine/>
    <w:qFormat/>
    <w:uiPriority w:val="0"/>
  </w:style>
  <w:style w:type="character" w:customStyle="1" w:styleId="116">
    <w:name w:val="正文文本缩进 2 Char"/>
    <w:autoRedefine/>
    <w:qFormat/>
    <w:uiPriority w:val="0"/>
    <w:rPr>
      <w:rFonts w:ascii="幼圆" w:hAnsi="幼圆" w:eastAsia="等线 Light" w:cs="幼圆"/>
      <w:kern w:val="2"/>
      <w:sz w:val="24"/>
      <w:szCs w:val="24"/>
      <w:lang w:val="en-US" w:eastAsia="zh-CN" w:bidi="ar-SA"/>
    </w:rPr>
  </w:style>
  <w:style w:type="character" w:customStyle="1" w:styleId="117">
    <w:name w:val="icontext2"/>
    <w:basedOn w:val="57"/>
    <w:autoRedefine/>
    <w:qFormat/>
    <w:uiPriority w:val="0"/>
  </w:style>
  <w:style w:type="character" w:customStyle="1" w:styleId="118">
    <w:name w:val="日期 Char"/>
    <w:autoRedefine/>
    <w:qFormat/>
    <w:uiPriority w:val="0"/>
    <w:rPr>
      <w:rFonts w:ascii="幼圆" w:hAnsi="幼圆" w:eastAsia="等线 Light" w:cs="幼圆"/>
      <w:kern w:val="2"/>
      <w:sz w:val="24"/>
      <w:szCs w:val="20"/>
      <w:lang w:val="en-US" w:eastAsia="zh-CN" w:bidi="ar-SA"/>
    </w:rPr>
  </w:style>
  <w:style w:type="character" w:customStyle="1" w:styleId="119">
    <w:name w:val="正文文本缩进 3 Char1"/>
    <w:autoRedefine/>
    <w:semiHidden/>
    <w:qFormat/>
    <w:uiPriority w:val="0"/>
    <w:rPr>
      <w:rFonts w:ascii="宋体"/>
      <w:sz w:val="16"/>
      <w:szCs w:val="16"/>
    </w:rPr>
  </w:style>
  <w:style w:type="character" w:customStyle="1" w:styleId="120">
    <w:name w:val="尾注文本 字符2"/>
    <w:autoRedefine/>
    <w:semiHidden/>
    <w:qFormat/>
    <w:uiPriority w:val="99"/>
    <w:rPr>
      <w:rFonts w:ascii="等线 Light"/>
      <w:sz w:val="24"/>
      <w:szCs w:val="24"/>
    </w:rPr>
  </w:style>
  <w:style w:type="character" w:customStyle="1" w:styleId="121">
    <w:name w:val="img8"/>
    <w:basedOn w:val="57"/>
    <w:autoRedefine/>
    <w:qFormat/>
    <w:uiPriority w:val="0"/>
  </w:style>
  <w:style w:type="character" w:customStyle="1" w:styleId="122">
    <w:name w:val="highlight1"/>
    <w:autoRedefine/>
    <w:qFormat/>
    <w:uiPriority w:val="0"/>
    <w:rPr>
      <w:sz w:val="21"/>
      <w:szCs w:val="21"/>
    </w:rPr>
  </w:style>
  <w:style w:type="character" w:customStyle="1" w:styleId="123">
    <w:name w:val="批注框文本 Char"/>
    <w:autoRedefine/>
    <w:qFormat/>
    <w:uiPriority w:val="99"/>
    <w:rPr>
      <w:rFonts w:ascii="幼圆" w:hAnsi="幼圆" w:eastAsia="等线 Light" w:cs="幼圆"/>
      <w:kern w:val="2"/>
      <w:sz w:val="18"/>
      <w:szCs w:val="18"/>
      <w:lang w:val="en-US" w:eastAsia="zh-CN" w:bidi="ar-SA"/>
    </w:rPr>
  </w:style>
  <w:style w:type="character" w:customStyle="1" w:styleId="124">
    <w:name w:val="标题 9 Char1"/>
    <w:autoRedefine/>
    <w:qFormat/>
    <w:uiPriority w:val="0"/>
    <w:rPr>
      <w:rFonts w:ascii="楷体_GB2312" w:hAnsi="楷体_GB2312" w:eastAsia="等线 Light"/>
      <w:color w:val="000000"/>
      <w:kern w:val="2"/>
      <w:sz w:val="32"/>
      <w:szCs w:val="21"/>
      <w:lang w:val="en-US" w:eastAsia="zh-CN" w:bidi="ar-SA"/>
    </w:rPr>
  </w:style>
  <w:style w:type="character" w:customStyle="1" w:styleId="125">
    <w:name w:val="正文文本 Char"/>
    <w:autoRedefine/>
    <w:qFormat/>
    <w:uiPriority w:val="99"/>
    <w:rPr>
      <w:rFonts w:ascii="等线 Light" w:eastAsia="等线 Light"/>
      <w:b/>
      <w:bCs/>
      <w:sz w:val="84"/>
      <w:szCs w:val="84"/>
      <w:lang w:val="zh-CN"/>
    </w:rPr>
  </w:style>
  <w:style w:type="character" w:customStyle="1" w:styleId="126">
    <w:name w:val="首航缩进 Char Char"/>
    <w:autoRedefine/>
    <w:qFormat/>
    <w:uiPriority w:val="0"/>
    <w:rPr>
      <w:rFonts w:eastAsia="微软雅黑"/>
      <w:color w:val="000000"/>
      <w:kern w:val="2"/>
      <w:sz w:val="24"/>
      <w:szCs w:val="24"/>
      <w:lang w:val="en-US" w:eastAsia="zh-CN" w:bidi="ar-SA"/>
    </w:rPr>
  </w:style>
  <w:style w:type="character" w:customStyle="1" w:styleId="127">
    <w:name w:val="尾注文本 Char"/>
    <w:autoRedefine/>
    <w:qFormat/>
    <w:uiPriority w:val="0"/>
    <w:rPr>
      <w:rFonts w:ascii="幼圆" w:hAnsi="幼圆" w:eastAsia="等线 Light" w:cs="幼圆"/>
      <w:kern w:val="2"/>
      <w:sz w:val="24"/>
      <w:szCs w:val="24"/>
      <w:lang w:bidi="ar-SA"/>
    </w:rPr>
  </w:style>
  <w:style w:type="character" w:customStyle="1" w:styleId="128">
    <w:name w:val="正文文本 3 Char1"/>
    <w:autoRedefine/>
    <w:semiHidden/>
    <w:qFormat/>
    <w:uiPriority w:val="0"/>
    <w:rPr>
      <w:rFonts w:ascii="宋体"/>
      <w:sz w:val="16"/>
      <w:szCs w:val="16"/>
    </w:rPr>
  </w:style>
  <w:style w:type="character" w:customStyle="1" w:styleId="129">
    <w:name w:val="文档结构图 Char3"/>
    <w:autoRedefine/>
    <w:qFormat/>
    <w:uiPriority w:val="0"/>
    <w:rPr>
      <w:rFonts w:eastAsia="等线 Light"/>
      <w:kern w:val="2"/>
      <w:sz w:val="21"/>
      <w:szCs w:val="24"/>
      <w:shd w:val="clear" w:color="auto" w:fill="000080"/>
      <w:lang w:val="en-US" w:eastAsia="zh-CN" w:bidi="ar-SA"/>
    </w:rPr>
  </w:style>
  <w:style w:type="character" w:customStyle="1" w:styleId="130">
    <w:name w:val="cy"/>
    <w:basedOn w:val="57"/>
    <w:autoRedefine/>
    <w:qFormat/>
    <w:uiPriority w:val="0"/>
  </w:style>
  <w:style w:type="character" w:customStyle="1" w:styleId="131">
    <w:name w:val="icontext3"/>
    <w:basedOn w:val="57"/>
    <w:autoRedefine/>
    <w:qFormat/>
    <w:uiPriority w:val="0"/>
  </w:style>
  <w:style w:type="character" w:customStyle="1" w:styleId="132">
    <w:name w:val="unnamed1"/>
    <w:autoRedefine/>
    <w:qFormat/>
    <w:uiPriority w:val="0"/>
    <w:rPr>
      <w:rFonts w:eastAsia="等线 Light"/>
      <w:kern w:val="2"/>
      <w:sz w:val="24"/>
      <w:szCs w:val="24"/>
      <w:lang w:val="en-US" w:eastAsia="zh-CN" w:bidi="ar-SA"/>
    </w:rPr>
  </w:style>
  <w:style w:type="character" w:customStyle="1" w:styleId="133">
    <w:name w:val="批注文字 字符"/>
    <w:autoRedefine/>
    <w:qFormat/>
    <w:uiPriority w:val="0"/>
    <w:rPr>
      <w:rFonts w:ascii="等线 Light" w:hAnsi="幼圆" w:eastAsia="等线 Light" w:cs="幼圆"/>
      <w:kern w:val="0"/>
      <w:sz w:val="24"/>
      <w:szCs w:val="24"/>
    </w:rPr>
  </w:style>
  <w:style w:type="character" w:customStyle="1" w:styleId="134">
    <w:name w:val="iconline2"/>
    <w:basedOn w:val="57"/>
    <w:autoRedefine/>
    <w:qFormat/>
    <w:uiPriority w:val="0"/>
  </w:style>
  <w:style w:type="character" w:customStyle="1" w:styleId="135">
    <w:name w:val="ca-41"/>
    <w:autoRedefine/>
    <w:qFormat/>
    <w:uiPriority w:val="0"/>
    <w:rPr>
      <w:rFonts w:hint="eastAsia" w:ascii="微软雅黑" w:eastAsia="微软雅黑"/>
      <w:color w:val="FF0000"/>
      <w:kern w:val="2"/>
      <w:sz w:val="32"/>
      <w:szCs w:val="32"/>
      <w:lang w:val="en-US" w:eastAsia="zh-CN" w:bidi="ar-SA"/>
    </w:rPr>
  </w:style>
  <w:style w:type="character" w:customStyle="1" w:styleId="136">
    <w:name w:val="表格文字 Char"/>
    <w:link w:val="137"/>
    <w:autoRedefine/>
    <w:qFormat/>
    <w:uiPriority w:val="0"/>
    <w:rPr>
      <w:rFonts w:eastAsia="微软雅黑"/>
      <w:sz w:val="28"/>
      <w:szCs w:val="24"/>
    </w:rPr>
  </w:style>
  <w:style w:type="paragraph" w:customStyle="1" w:styleId="137">
    <w:name w:val="表格文字"/>
    <w:basedOn w:val="1"/>
    <w:link w:val="136"/>
    <w:autoRedefine/>
    <w:qFormat/>
    <w:uiPriority w:val="0"/>
    <w:pPr>
      <w:autoSpaceDE/>
      <w:autoSpaceDN/>
      <w:adjustRightInd/>
      <w:jc w:val="both"/>
    </w:pPr>
    <w:rPr>
      <w:rFonts w:ascii="Times New Roman" w:eastAsia="微软雅黑"/>
      <w:sz w:val="28"/>
    </w:rPr>
  </w:style>
  <w:style w:type="character" w:customStyle="1" w:styleId="138">
    <w:name w:val="keyfeatures1"/>
    <w:autoRedefine/>
    <w:qFormat/>
    <w:uiPriority w:val="0"/>
    <w:rPr>
      <w:rFonts w:hint="default" w:ascii="楷体_GB2312" w:hAnsi="楷体_GB2312" w:cs="楷体_GB2312"/>
      <w:color w:val="003366"/>
      <w:sz w:val="17"/>
      <w:szCs w:val="17"/>
      <w:u w:val="none"/>
    </w:rPr>
  </w:style>
  <w:style w:type="character" w:customStyle="1" w:styleId="139">
    <w:name w:val="标题 6 字符"/>
    <w:autoRedefine/>
    <w:qFormat/>
    <w:uiPriority w:val="0"/>
    <w:rPr>
      <w:rFonts w:ascii="FrutigerNext LT Light" w:hAnsi="FrutigerNext LT Light" w:eastAsia="FrutigerNext LT Light" w:cs="幼圆"/>
      <w:b/>
      <w:bCs/>
      <w:sz w:val="24"/>
      <w:szCs w:val="24"/>
    </w:rPr>
  </w:style>
  <w:style w:type="character" w:customStyle="1" w:styleId="140">
    <w:name w:val="font21"/>
    <w:basedOn w:val="57"/>
    <w:autoRedefine/>
    <w:qFormat/>
    <w:uiPriority w:val="0"/>
    <w:rPr>
      <w:rFonts w:hint="eastAsia" w:ascii="等线 Light" w:hAnsi="等线 Light" w:eastAsia="等线 Light" w:cs="等线 Light"/>
      <w:color w:val="000000"/>
      <w:sz w:val="20"/>
      <w:szCs w:val="20"/>
      <w:u w:val="none"/>
    </w:rPr>
  </w:style>
  <w:style w:type="character" w:customStyle="1" w:styleId="141">
    <w:name w:val="标题 6 Char1"/>
    <w:autoRedefine/>
    <w:qFormat/>
    <w:uiPriority w:val="0"/>
    <w:rPr>
      <w:rFonts w:ascii="楷体_GB2312" w:hAnsi="楷体_GB2312" w:eastAsia="PMingLiU"/>
      <w:b/>
      <w:bCs/>
      <w:kern w:val="2"/>
      <w:sz w:val="24"/>
      <w:szCs w:val="24"/>
      <w:lang w:val="en-US" w:eastAsia="zh-CN" w:bidi="ar-SA"/>
    </w:rPr>
  </w:style>
  <w:style w:type="character" w:customStyle="1" w:styleId="142">
    <w:name w:val="批注文字 Char2"/>
    <w:autoRedefine/>
    <w:qFormat/>
    <w:uiPriority w:val="99"/>
  </w:style>
  <w:style w:type="character" w:customStyle="1" w:styleId="143">
    <w:name w:val="Char Char8"/>
    <w:autoRedefine/>
    <w:qFormat/>
    <w:uiPriority w:val="0"/>
    <w:rPr>
      <w:kern w:val="2"/>
      <w:sz w:val="18"/>
      <w:szCs w:val="18"/>
    </w:rPr>
  </w:style>
  <w:style w:type="character" w:customStyle="1" w:styleId="144">
    <w:name w:val="l-btn-text36"/>
    <w:autoRedefine/>
    <w:qFormat/>
    <w:uiPriority w:val="0"/>
  </w:style>
  <w:style w:type="character" w:customStyle="1" w:styleId="145">
    <w:name w:val="cdropleft"/>
    <w:basedOn w:val="57"/>
    <w:autoRedefine/>
    <w:qFormat/>
    <w:uiPriority w:val="0"/>
  </w:style>
  <w:style w:type="character" w:customStyle="1" w:styleId="146">
    <w:name w:val="标书正文格式 Char Char"/>
    <w:link w:val="147"/>
    <w:autoRedefine/>
    <w:qFormat/>
    <w:uiPriority w:val="0"/>
    <w:rPr>
      <w:rFonts w:eastAsia="Cambria Math"/>
      <w:kern w:val="2"/>
      <w:sz w:val="24"/>
      <w:lang w:val="en-US" w:eastAsia="zh-CN" w:bidi="ar-SA"/>
    </w:rPr>
  </w:style>
  <w:style w:type="paragraph" w:customStyle="1" w:styleId="147">
    <w:name w:val="标书正文格式"/>
    <w:link w:val="146"/>
    <w:autoRedefine/>
    <w:qFormat/>
    <w:uiPriority w:val="0"/>
    <w:pPr>
      <w:spacing w:line="360" w:lineRule="auto"/>
      <w:ind w:firstLine="200" w:firstLineChars="200"/>
    </w:pPr>
    <w:rPr>
      <w:rFonts w:ascii="Times New Roman" w:hAnsi="Times New Roman" w:eastAsia="Cambria Math" w:cs="Times New Roman"/>
      <w:kern w:val="2"/>
      <w:sz w:val="24"/>
      <w:lang w:val="en-US" w:eastAsia="zh-CN" w:bidi="ar-SA"/>
    </w:rPr>
  </w:style>
  <w:style w:type="character" w:customStyle="1" w:styleId="148">
    <w:name w:val="简述正文"/>
    <w:autoRedefine/>
    <w:qFormat/>
    <w:uiPriority w:val="0"/>
    <w:rPr>
      <w:sz w:val="23"/>
    </w:rPr>
  </w:style>
  <w:style w:type="character" w:customStyle="1" w:styleId="149">
    <w:name w:val="apple-style-span"/>
    <w:autoRedefine/>
    <w:qFormat/>
    <w:uiPriority w:val="0"/>
  </w:style>
  <w:style w:type="character" w:customStyle="1" w:styleId="150">
    <w:name w:val="font81"/>
    <w:autoRedefine/>
    <w:qFormat/>
    <w:uiPriority w:val="0"/>
    <w:rPr>
      <w:rFonts w:hint="default" w:ascii="幼圆" w:hAnsi="幼圆" w:cs="幼圆"/>
      <w:color w:val="000000"/>
      <w:sz w:val="20"/>
      <w:szCs w:val="20"/>
      <w:u w:val="none"/>
    </w:rPr>
  </w:style>
  <w:style w:type="character" w:customStyle="1" w:styleId="151">
    <w:name w:val="postbody"/>
    <w:autoRedefine/>
    <w:qFormat/>
    <w:uiPriority w:val="0"/>
  </w:style>
  <w:style w:type="character" w:customStyle="1" w:styleId="152">
    <w:name w:val="标题 4 Char1"/>
    <w:autoRedefine/>
    <w:qFormat/>
    <w:uiPriority w:val="9"/>
    <w:rPr>
      <w:rFonts w:ascii="楷体_GB2312" w:hAnsi="楷体_GB2312" w:eastAsia="等线 Light" w:cs="幼圆"/>
      <w:b/>
      <w:bCs/>
      <w:szCs w:val="28"/>
    </w:rPr>
  </w:style>
  <w:style w:type="character" w:customStyle="1" w:styleId="153">
    <w:name w:val="正文文本缩进 Char"/>
    <w:autoRedefine/>
    <w:qFormat/>
    <w:uiPriority w:val="0"/>
    <w:rPr>
      <w:rFonts w:ascii="幼圆" w:hAnsi="幼圆" w:eastAsia="等线 Light" w:cs="幼圆"/>
      <w:szCs w:val="20"/>
      <w:lang w:val="en-US" w:eastAsia="zh-CN"/>
    </w:rPr>
  </w:style>
  <w:style w:type="character" w:customStyle="1" w:styleId="154">
    <w:name w:val=" Char Char3"/>
    <w:autoRedefine/>
    <w:qFormat/>
    <w:uiPriority w:val="0"/>
    <w:rPr>
      <w:rFonts w:eastAsia="等线 Light"/>
      <w:kern w:val="2"/>
      <w:sz w:val="28"/>
      <w:szCs w:val="24"/>
      <w:lang w:val="en-US" w:eastAsia="zh-CN" w:bidi="ar-SA"/>
    </w:rPr>
  </w:style>
  <w:style w:type="character" w:customStyle="1" w:styleId="155">
    <w:name w:val="彩色列表 - 强调文字颜色 1 Char"/>
    <w:link w:val="156"/>
    <w:autoRedefine/>
    <w:qFormat/>
    <w:uiPriority w:val="0"/>
    <w:rPr>
      <w:rFonts w:ascii="等线 Light"/>
      <w:sz w:val="24"/>
      <w:szCs w:val="24"/>
    </w:rPr>
  </w:style>
  <w:style w:type="paragraph" w:customStyle="1" w:styleId="156">
    <w:name w:val="彩色列表 - 强调文字颜色 11"/>
    <w:basedOn w:val="1"/>
    <w:link w:val="155"/>
    <w:autoRedefine/>
    <w:qFormat/>
    <w:uiPriority w:val="0"/>
    <w:pPr>
      <w:ind w:firstLine="420" w:firstLineChars="200"/>
    </w:pPr>
  </w:style>
  <w:style w:type="character" w:customStyle="1" w:styleId="157">
    <w:name w:val="标题 字符1"/>
    <w:autoRedefine/>
    <w:qFormat/>
    <w:uiPriority w:val="10"/>
    <w:rPr>
      <w:rFonts w:ascii="FrutigerNext LT Light" w:hAnsi="FrutigerNext LT Light" w:eastAsia="font-weight : 400"/>
      <w:b/>
      <w:bCs/>
      <w:kern w:val="2"/>
      <w:sz w:val="28"/>
      <w:szCs w:val="32"/>
    </w:rPr>
  </w:style>
  <w:style w:type="character" w:customStyle="1" w:styleId="158">
    <w:name w:val="页脚 Char"/>
    <w:autoRedefine/>
    <w:qFormat/>
    <w:uiPriority w:val="99"/>
    <w:rPr>
      <w:rFonts w:eastAsia="Arial Unicode MS"/>
      <w:sz w:val="21"/>
    </w:rPr>
  </w:style>
  <w:style w:type="character" w:customStyle="1" w:styleId="159">
    <w:name w:val="签名 Char1"/>
    <w:autoRedefine/>
    <w:qFormat/>
    <w:uiPriority w:val="0"/>
    <w:rPr>
      <w:rFonts w:eastAsia="等线 Light"/>
      <w:kern w:val="2"/>
      <w:sz w:val="21"/>
      <w:szCs w:val="24"/>
      <w:lang w:val="en-US" w:eastAsia="zh-CN" w:bidi="ar-SA"/>
    </w:rPr>
  </w:style>
  <w:style w:type="character" w:customStyle="1" w:styleId="160">
    <w:name w:val="正文文本 2 Char1"/>
    <w:autoRedefine/>
    <w:qFormat/>
    <w:uiPriority w:val="0"/>
    <w:rPr>
      <w:rFonts w:ascii="等线 Light" w:hAnsi="等线 Light" w:eastAsia="等线 Light"/>
      <w:kern w:val="2"/>
      <w:sz w:val="24"/>
      <w:szCs w:val="24"/>
      <w:lang w:val="en-US" w:eastAsia="zh-CN" w:bidi="ar-SA"/>
    </w:rPr>
  </w:style>
  <w:style w:type="character" w:customStyle="1" w:styleId="161">
    <w:name w:val="正文文本 Char3"/>
    <w:autoRedefine/>
    <w:qFormat/>
    <w:uiPriority w:val="0"/>
    <w:rPr>
      <w:rFonts w:eastAsia="等线 Light"/>
      <w:kern w:val="2"/>
      <w:sz w:val="21"/>
      <w:szCs w:val="24"/>
      <w:lang w:val="en-US" w:eastAsia="zh-CN" w:bidi="ar-SA"/>
    </w:rPr>
  </w:style>
  <w:style w:type="character" w:customStyle="1" w:styleId="162">
    <w:name w:val="正文文本 3 Char2"/>
    <w:autoRedefine/>
    <w:qFormat/>
    <w:uiPriority w:val="0"/>
    <w:rPr>
      <w:rFonts w:ascii="等线 Light" w:hAnsi="等线 Light" w:eastAsia="等线 Light"/>
      <w:kern w:val="2"/>
      <w:sz w:val="28"/>
      <w:szCs w:val="24"/>
      <w:lang w:val="en-US" w:eastAsia="zh-CN" w:bidi="ar-SA"/>
    </w:rPr>
  </w:style>
  <w:style w:type="character" w:customStyle="1" w:styleId="163">
    <w:name w:val="ca-0"/>
    <w:autoRedefine/>
    <w:qFormat/>
    <w:uiPriority w:val="0"/>
  </w:style>
  <w:style w:type="character" w:customStyle="1" w:styleId="164">
    <w:name w:val="hilite6"/>
    <w:autoRedefine/>
    <w:qFormat/>
    <w:uiPriority w:val="0"/>
    <w:rPr>
      <w:color w:val="FFFFFF"/>
      <w:shd w:val="clear" w:color="auto" w:fill="666666"/>
    </w:rPr>
  </w:style>
  <w:style w:type="character" w:customStyle="1" w:styleId="165">
    <w:name w:val="Char Char3"/>
    <w:autoRedefine/>
    <w:qFormat/>
    <w:uiPriority w:val="0"/>
    <w:rPr>
      <w:rFonts w:ascii="Cambria Math" w:eastAsia="Cambria Math"/>
      <w:sz w:val="18"/>
      <w:szCs w:val="18"/>
    </w:rPr>
  </w:style>
  <w:style w:type="character" w:customStyle="1" w:styleId="166">
    <w:name w:val="纯文本 Char2"/>
    <w:autoRedefine/>
    <w:qFormat/>
    <w:uiPriority w:val="0"/>
    <w:rPr>
      <w:rFonts w:ascii="等线 Light" w:hAnsi="Helv" w:eastAsia="等线 Light"/>
    </w:rPr>
  </w:style>
  <w:style w:type="character" w:customStyle="1" w:styleId="167">
    <w:name w:val="签名 Char"/>
    <w:autoRedefine/>
    <w:qFormat/>
    <w:uiPriority w:val="0"/>
    <w:rPr>
      <w:rFonts w:eastAsia="等线 Light"/>
      <w:kern w:val="2"/>
      <w:sz w:val="21"/>
      <w:szCs w:val="24"/>
      <w:lang w:val="en-US" w:eastAsia="zh-CN" w:bidi="ar-SA"/>
    </w:rPr>
  </w:style>
  <w:style w:type="character" w:customStyle="1" w:styleId="168">
    <w:name w:val="正文文本 Char2"/>
    <w:autoRedefine/>
    <w:qFormat/>
    <w:uiPriority w:val="0"/>
  </w:style>
  <w:style w:type="character" w:customStyle="1" w:styleId="169">
    <w:name w:val="彩色列表 - 着色 1 字符"/>
    <w:link w:val="170"/>
    <w:autoRedefine/>
    <w:qFormat/>
    <w:uiPriority w:val="0"/>
    <w:rPr>
      <w:rFonts w:ascii="Arial Unicode MS" w:hAnsi="Arial Unicode MS"/>
      <w:kern w:val="2"/>
      <w:sz w:val="21"/>
      <w:szCs w:val="22"/>
    </w:rPr>
  </w:style>
  <w:style w:type="paragraph" w:customStyle="1" w:styleId="170">
    <w:name w:val="彩色列表 - 着色 11"/>
    <w:basedOn w:val="1"/>
    <w:link w:val="169"/>
    <w:autoRedefine/>
    <w:qFormat/>
    <w:uiPriority w:val="0"/>
    <w:pPr>
      <w:autoSpaceDE/>
      <w:autoSpaceDN/>
      <w:adjustRightInd/>
      <w:ind w:firstLine="420" w:firstLineChars="200"/>
      <w:jc w:val="both"/>
    </w:pPr>
    <w:rPr>
      <w:rFonts w:ascii="Arial Unicode MS" w:hAnsi="Arial Unicode MS"/>
      <w:kern w:val="2"/>
      <w:sz w:val="21"/>
      <w:szCs w:val="22"/>
    </w:rPr>
  </w:style>
  <w:style w:type="character" w:customStyle="1" w:styleId="171">
    <w:name w:val="正文首行缩进 Char1"/>
    <w:autoRedefine/>
    <w:qFormat/>
    <w:uiPriority w:val="99"/>
  </w:style>
  <w:style w:type="character" w:customStyle="1" w:styleId="172">
    <w:name w:val="标题 1 Char"/>
    <w:autoRedefine/>
    <w:qFormat/>
    <w:uiPriority w:val="9"/>
    <w:rPr>
      <w:rFonts w:ascii="幼圆" w:hAnsi="幼圆" w:eastAsia="等线 Light" w:cs="幼圆"/>
      <w:b/>
      <w:bCs/>
      <w:kern w:val="44"/>
      <w:sz w:val="44"/>
      <w:szCs w:val="44"/>
      <w:lang w:val="en-US" w:eastAsia="zh-CN" w:bidi="ar-SA"/>
    </w:rPr>
  </w:style>
  <w:style w:type="character" w:customStyle="1" w:styleId="173">
    <w:name w:val="尾注文本 Char2"/>
    <w:autoRedefine/>
    <w:semiHidden/>
    <w:qFormat/>
    <w:uiPriority w:val="99"/>
    <w:rPr>
      <w:rFonts w:ascii="等线 Light"/>
      <w:sz w:val="24"/>
      <w:szCs w:val="24"/>
    </w:rPr>
  </w:style>
  <w:style w:type="character" w:customStyle="1" w:styleId="174">
    <w:name w:val="访问过的超链接1"/>
    <w:autoRedefine/>
    <w:qFormat/>
    <w:uiPriority w:val="0"/>
    <w:rPr>
      <w:rFonts w:ascii="楷体_GB2312" w:hAnsi="楷体_GB2312" w:cs="楷体_GB2312"/>
      <w:color w:val="000000"/>
      <w:sz w:val="20"/>
      <w:szCs w:val="20"/>
      <w:u w:val="none"/>
    </w:rPr>
  </w:style>
  <w:style w:type="character" w:customStyle="1" w:styleId="175">
    <w:name w:val="font11"/>
    <w:autoRedefine/>
    <w:qFormat/>
    <w:uiPriority w:val="0"/>
    <w:rPr>
      <w:rFonts w:hint="eastAsia" w:ascii="等线 Light" w:hAnsi="等线 Light" w:eastAsia="等线 Light" w:cs="等线 Light"/>
      <w:color w:val="000000"/>
      <w:sz w:val="21"/>
      <w:szCs w:val="21"/>
      <w:u w:val="none"/>
    </w:rPr>
  </w:style>
  <w:style w:type="character" w:customStyle="1" w:styleId="176">
    <w:name w:val="正文首行缩进 Char3"/>
    <w:autoRedefine/>
    <w:semiHidden/>
    <w:qFormat/>
    <w:uiPriority w:val="99"/>
    <w:rPr>
      <w:rFonts w:ascii="等线 Light" w:eastAsia="等线 Light"/>
      <w:b/>
      <w:bCs/>
      <w:sz w:val="24"/>
      <w:szCs w:val="24"/>
      <w:lang w:val="zh-CN"/>
    </w:rPr>
  </w:style>
  <w:style w:type="character" w:customStyle="1" w:styleId="177">
    <w:name w:val="批注框文本 Char3"/>
    <w:autoRedefine/>
    <w:qFormat/>
    <w:uiPriority w:val="99"/>
    <w:rPr>
      <w:rFonts w:eastAsia="等线 Light"/>
      <w:kern w:val="2"/>
      <w:sz w:val="18"/>
      <w:szCs w:val="18"/>
      <w:lang w:val="en-US" w:eastAsia="zh-CN" w:bidi="ar-SA"/>
    </w:rPr>
  </w:style>
  <w:style w:type="character" w:customStyle="1" w:styleId="178">
    <w:name w:val="脚注文本 Char"/>
    <w:autoRedefine/>
    <w:qFormat/>
    <w:uiPriority w:val="99"/>
    <w:rPr>
      <w:rFonts w:ascii="幼圆" w:hAnsi="幼圆" w:eastAsia="等线 Light" w:cs="幼圆"/>
      <w:kern w:val="2"/>
      <w:sz w:val="18"/>
      <w:szCs w:val="18"/>
      <w:lang w:bidi="ar-SA"/>
    </w:rPr>
  </w:style>
  <w:style w:type="character" w:customStyle="1" w:styleId="179">
    <w:name w:val="fontstrikethrough"/>
    <w:autoRedefine/>
    <w:qFormat/>
    <w:uiPriority w:val="0"/>
    <w:rPr>
      <w:strike/>
    </w:rPr>
  </w:style>
  <w:style w:type="character" w:customStyle="1" w:styleId="180">
    <w:name w:val="font101"/>
    <w:autoRedefine/>
    <w:qFormat/>
    <w:uiPriority w:val="0"/>
    <w:rPr>
      <w:rFonts w:hint="default" w:ascii="幼圆" w:hAnsi="幼圆" w:cs="幼圆"/>
      <w:color w:val="000000"/>
      <w:sz w:val="21"/>
      <w:szCs w:val="21"/>
      <w:u w:val="none"/>
    </w:rPr>
  </w:style>
  <w:style w:type="character" w:customStyle="1" w:styleId="181">
    <w:name w:val="spantable1"/>
    <w:autoRedefine/>
    <w:qFormat/>
    <w:uiPriority w:val="0"/>
    <w:rPr>
      <w:rFonts w:hint="default" w:eastAsia="等线 Light"/>
      <w:spacing w:val="360"/>
      <w:kern w:val="2"/>
      <w:sz w:val="18"/>
      <w:szCs w:val="18"/>
      <w:lang w:val="en-US" w:eastAsia="zh-CN" w:bidi="ar-SA"/>
    </w:rPr>
  </w:style>
  <w:style w:type="character" w:customStyle="1" w:styleId="182">
    <w:name w:val="disabled"/>
    <w:autoRedefine/>
    <w:qFormat/>
    <w:uiPriority w:val="0"/>
    <w:rPr>
      <w:rFonts w:eastAsia="等线 Light"/>
      <w:color w:val="DFDFDF"/>
      <w:kern w:val="2"/>
      <w:sz w:val="24"/>
      <w:szCs w:val="24"/>
      <w:bdr w:val="single" w:color="DFDFDF" w:sz="6" w:space="0"/>
      <w:shd w:val="clear" w:color="auto" w:fill="FFFFFF"/>
      <w:lang w:val="en-US" w:eastAsia="zh-CN" w:bidi="ar-SA"/>
    </w:rPr>
  </w:style>
  <w:style w:type="character" w:customStyle="1" w:styleId="183">
    <w:name w:val="font61"/>
    <w:autoRedefine/>
    <w:qFormat/>
    <w:uiPriority w:val="0"/>
    <w:rPr>
      <w:rFonts w:hint="eastAsia" w:ascii="等线 Light" w:hAnsi="等线 Light" w:eastAsia="等线 Light" w:cs="等线 Light"/>
      <w:color w:val="000000"/>
      <w:sz w:val="21"/>
      <w:szCs w:val="21"/>
      <w:u w:val="none"/>
    </w:rPr>
  </w:style>
  <w:style w:type="character" w:customStyle="1" w:styleId="184">
    <w:name w:val=" Char Char6"/>
    <w:autoRedefine/>
    <w:qFormat/>
    <w:uiPriority w:val="0"/>
    <w:rPr>
      <w:rFonts w:ascii="等线 Light" w:hAnsi="Helv" w:eastAsia="等线 Light"/>
      <w:szCs w:val="24"/>
    </w:rPr>
  </w:style>
  <w:style w:type="character" w:customStyle="1" w:styleId="185">
    <w:name w:val="正文无缩进 Char"/>
    <w:link w:val="186"/>
    <w:autoRedefine/>
    <w:qFormat/>
    <w:locked/>
    <w:uiPriority w:val="0"/>
    <w:rPr>
      <w:rFonts w:ascii="微软雅黑" w:hAnsi="等线 Light" w:eastAsia="微软雅黑"/>
      <w:kern w:val="2"/>
      <w:sz w:val="31"/>
      <w:szCs w:val="28"/>
    </w:rPr>
  </w:style>
  <w:style w:type="paragraph" w:customStyle="1" w:styleId="186">
    <w:name w:val="正文无缩进"/>
    <w:basedOn w:val="187"/>
    <w:link w:val="185"/>
    <w:autoRedefine/>
    <w:qFormat/>
    <w:uiPriority w:val="0"/>
    <w:pPr>
      <w:ind w:firstLine="0" w:firstLineChars="0"/>
    </w:pPr>
    <w:rPr>
      <w:kern w:val="2"/>
    </w:rPr>
  </w:style>
  <w:style w:type="paragraph" w:customStyle="1" w:styleId="187">
    <w:name w:val="正文缩进2格"/>
    <w:basedOn w:val="1"/>
    <w:next w:val="1"/>
    <w:link w:val="188"/>
    <w:autoRedefine/>
    <w:qFormat/>
    <w:uiPriority w:val="0"/>
    <w:pPr>
      <w:autoSpaceDE/>
      <w:autoSpaceDN/>
      <w:adjustRightInd/>
      <w:spacing w:line="600" w:lineRule="exact"/>
      <w:ind w:firstLine="639" w:firstLineChars="206"/>
      <w:jc w:val="both"/>
    </w:pPr>
    <w:rPr>
      <w:rFonts w:ascii="微软雅黑" w:hAnsi="等线 Light" w:eastAsia="微软雅黑"/>
      <w:sz w:val="31"/>
      <w:szCs w:val="28"/>
    </w:rPr>
  </w:style>
  <w:style w:type="character" w:customStyle="1" w:styleId="188">
    <w:name w:val="正文缩进2格 Char"/>
    <w:link w:val="187"/>
    <w:autoRedefine/>
    <w:qFormat/>
    <w:uiPriority w:val="0"/>
    <w:rPr>
      <w:rFonts w:ascii="微软雅黑" w:hAnsi="等线 Light" w:eastAsia="微软雅黑"/>
      <w:sz w:val="31"/>
      <w:szCs w:val="28"/>
    </w:rPr>
  </w:style>
  <w:style w:type="character" w:customStyle="1" w:styleId="189">
    <w:name w:val="font91"/>
    <w:autoRedefine/>
    <w:qFormat/>
    <w:uiPriority w:val="0"/>
    <w:rPr>
      <w:rFonts w:hint="default" w:ascii="幼圆" w:hAnsi="幼圆" w:cs="幼圆"/>
      <w:color w:val="000000"/>
      <w:sz w:val="21"/>
      <w:szCs w:val="21"/>
      <w:u w:val="none"/>
      <w:vertAlign w:val="subscript"/>
    </w:rPr>
  </w:style>
  <w:style w:type="character" w:customStyle="1" w:styleId="190">
    <w:name w:val="页脚 Char1"/>
    <w:autoRedefine/>
    <w:semiHidden/>
    <w:qFormat/>
    <w:uiPriority w:val="99"/>
    <w:rPr>
      <w:rFonts w:ascii="等线 Light" w:hAnsi="幼圆" w:eastAsia="等线 Light" w:cs="幼圆"/>
      <w:kern w:val="0"/>
      <w:sz w:val="18"/>
      <w:szCs w:val="18"/>
    </w:rPr>
  </w:style>
  <w:style w:type="character" w:customStyle="1" w:styleId="191">
    <w:name w:val="+正文 Char4"/>
    <w:link w:val="192"/>
    <w:autoRedefine/>
    <w:qFormat/>
    <w:uiPriority w:val="0"/>
    <w:rPr>
      <w:kern w:val="2"/>
      <w:sz w:val="24"/>
      <w:szCs w:val="28"/>
    </w:rPr>
  </w:style>
  <w:style w:type="paragraph" w:customStyle="1" w:styleId="192">
    <w:name w:val="+正文"/>
    <w:basedOn w:val="1"/>
    <w:link w:val="191"/>
    <w:autoRedefine/>
    <w:qFormat/>
    <w:uiPriority w:val="0"/>
    <w:pPr>
      <w:autoSpaceDE/>
      <w:autoSpaceDN/>
      <w:adjustRightInd/>
      <w:spacing w:line="360" w:lineRule="auto"/>
      <w:ind w:firstLine="200" w:firstLineChars="200"/>
      <w:jc w:val="both"/>
    </w:pPr>
    <w:rPr>
      <w:rFonts w:ascii="Times New Roman"/>
      <w:kern w:val="2"/>
      <w:szCs w:val="28"/>
    </w:rPr>
  </w:style>
  <w:style w:type="character" w:customStyle="1" w:styleId="193">
    <w:name w:val="表头文字 Char"/>
    <w:link w:val="194"/>
    <w:autoRedefine/>
    <w:qFormat/>
    <w:uiPriority w:val="0"/>
    <w:rPr>
      <w:rFonts w:eastAsia="微软雅黑"/>
      <w:b/>
      <w:sz w:val="28"/>
      <w:szCs w:val="21"/>
    </w:rPr>
  </w:style>
  <w:style w:type="paragraph" w:customStyle="1" w:styleId="194">
    <w:name w:val="表头文字"/>
    <w:basedOn w:val="1"/>
    <w:link w:val="193"/>
    <w:autoRedefine/>
    <w:qFormat/>
    <w:uiPriority w:val="0"/>
    <w:pPr>
      <w:autoSpaceDE/>
      <w:autoSpaceDN/>
      <w:snapToGrid w:val="0"/>
      <w:spacing w:before="120" w:line="360" w:lineRule="auto"/>
      <w:jc w:val="center"/>
      <w:textAlignment w:val="baseline"/>
    </w:pPr>
    <w:rPr>
      <w:rFonts w:ascii="Times New Roman" w:eastAsia="微软雅黑"/>
      <w:b/>
      <w:sz w:val="28"/>
      <w:szCs w:val="21"/>
    </w:rPr>
  </w:style>
  <w:style w:type="character" w:customStyle="1" w:styleId="195">
    <w:name w:val="日期 Char1"/>
    <w:autoRedefine/>
    <w:semiHidden/>
    <w:qFormat/>
    <w:uiPriority w:val="0"/>
    <w:rPr>
      <w:rFonts w:ascii="宋体"/>
      <w:sz w:val="24"/>
      <w:szCs w:val="24"/>
    </w:rPr>
  </w:style>
  <w:style w:type="character" w:customStyle="1" w:styleId="196">
    <w:name w:val="标题 3.1 Char"/>
    <w:link w:val="197"/>
    <w:autoRedefine/>
    <w:qFormat/>
    <w:uiPriority w:val="0"/>
    <w:rPr>
      <w:rFonts w:ascii="等线 Light" w:hAnsi="等线 Light"/>
      <w:b/>
      <w:bCs/>
      <w:sz w:val="32"/>
      <w:szCs w:val="32"/>
    </w:rPr>
  </w:style>
  <w:style w:type="paragraph" w:customStyle="1" w:styleId="197">
    <w:name w:val="标题 3.1"/>
    <w:basedOn w:val="2"/>
    <w:link w:val="196"/>
    <w:autoRedefine/>
    <w:qFormat/>
    <w:uiPriority w:val="0"/>
    <w:pPr>
      <w:keepNext/>
      <w:keepLines/>
      <w:pageBreakBefore/>
      <w:tabs>
        <w:tab w:val="left" w:pos="1440"/>
        <w:tab w:val="left" w:pos="1620"/>
      </w:tabs>
      <w:autoSpaceDE/>
      <w:autoSpaceDN/>
      <w:adjustRightInd/>
      <w:spacing w:before="260" w:after="260" w:line="600" w:lineRule="exact"/>
      <w:jc w:val="both"/>
    </w:pPr>
    <w:rPr>
      <w:rFonts w:hAnsi="等线 Light" w:eastAsia="宋体"/>
      <w:b/>
      <w:bCs/>
      <w:sz w:val="32"/>
      <w:szCs w:val="32"/>
    </w:rPr>
  </w:style>
  <w:style w:type="character" w:customStyle="1" w:styleId="198">
    <w:name w:val="批注文字 Char3"/>
    <w:autoRedefine/>
    <w:qFormat/>
    <w:uiPriority w:val="0"/>
    <w:rPr>
      <w:rFonts w:eastAsia="等线 Light"/>
      <w:kern w:val="2"/>
      <w:sz w:val="24"/>
      <w:szCs w:val="24"/>
      <w:lang w:val="en-US" w:eastAsia="zh-CN" w:bidi="ar-SA"/>
    </w:rPr>
  </w:style>
  <w:style w:type="character" w:customStyle="1" w:styleId="199">
    <w:name w:val="标题 2 字符2"/>
    <w:autoRedefine/>
    <w:qFormat/>
    <w:uiPriority w:val="0"/>
    <w:rPr>
      <w:rFonts w:ascii="楷体_GB2312" w:hAnsi="楷体_GB2312" w:eastAsia="PMingLiU"/>
      <w:b/>
      <w:bCs/>
      <w:kern w:val="2"/>
      <w:sz w:val="32"/>
      <w:szCs w:val="32"/>
      <w:lang w:val="en-US" w:eastAsia="zh-CN" w:bidi="ar-SA"/>
    </w:rPr>
  </w:style>
  <w:style w:type="character" w:customStyle="1" w:styleId="200">
    <w:name w:val="img9"/>
    <w:basedOn w:val="57"/>
    <w:autoRedefine/>
    <w:qFormat/>
    <w:uiPriority w:val="0"/>
  </w:style>
  <w:style w:type="character" w:customStyle="1" w:styleId="201">
    <w:name w:val="fontborder"/>
    <w:autoRedefine/>
    <w:qFormat/>
    <w:uiPriority w:val="0"/>
    <w:rPr>
      <w:bdr w:val="single" w:color="000000" w:sz="6" w:space="0"/>
    </w:rPr>
  </w:style>
  <w:style w:type="character" w:customStyle="1" w:styleId="202">
    <w:name w:val="标题 7 Char"/>
    <w:autoRedefine/>
    <w:qFormat/>
    <w:uiPriority w:val="0"/>
    <w:rPr>
      <w:rFonts w:ascii="幼圆" w:hAnsi="幼圆" w:eastAsia="等线 Light" w:cs="幼圆"/>
      <w:bCs/>
      <w:color w:val="000000"/>
      <w:kern w:val="2"/>
      <w:sz w:val="32"/>
      <w:szCs w:val="21"/>
      <w:lang w:val="en-US" w:eastAsia="zh-CN" w:bidi="ar-SA"/>
    </w:rPr>
  </w:style>
  <w:style w:type="character" w:customStyle="1" w:styleId="203">
    <w:name w:val="active7"/>
    <w:autoRedefine/>
    <w:qFormat/>
    <w:uiPriority w:val="0"/>
    <w:rPr>
      <w:color w:val="00FF00"/>
      <w:shd w:val="clear" w:color="auto" w:fill="111111"/>
    </w:rPr>
  </w:style>
  <w:style w:type="character" w:customStyle="1" w:styleId="204">
    <w:name w:val="curr"/>
    <w:autoRedefine/>
    <w:qFormat/>
    <w:uiPriority w:val="0"/>
    <w:rPr>
      <w:rFonts w:eastAsia="等线 Light"/>
      <w:color w:val="FF6600"/>
      <w:kern w:val="2"/>
      <w:sz w:val="24"/>
      <w:szCs w:val="24"/>
      <w:bdr w:val="single" w:color="FF6600" w:sz="6" w:space="0"/>
      <w:shd w:val="clear" w:color="auto" w:fill="FFEEE5"/>
      <w:lang w:val="en-US" w:eastAsia="zh-CN" w:bidi="ar-SA"/>
    </w:rPr>
  </w:style>
  <w:style w:type="character" w:customStyle="1" w:styleId="205">
    <w:name w:val="正文缩进2格 Char Char"/>
    <w:autoRedefine/>
    <w:qFormat/>
    <w:uiPriority w:val="0"/>
    <w:rPr>
      <w:rFonts w:ascii="微软雅黑" w:hAnsi="等线 Light" w:eastAsia="微软雅黑"/>
      <w:kern w:val="2"/>
      <w:sz w:val="31"/>
      <w:szCs w:val="28"/>
      <w:lang w:val="en-US" w:eastAsia="zh-CN" w:bidi="ar-SA"/>
    </w:rPr>
  </w:style>
  <w:style w:type="character" w:customStyle="1" w:styleId="206">
    <w:name w:val="font01"/>
    <w:autoRedefine/>
    <w:qFormat/>
    <w:uiPriority w:val="0"/>
    <w:rPr>
      <w:rFonts w:hint="eastAsia" w:ascii="等线 Light" w:hAnsi="等线 Light" w:eastAsia="等线 Light" w:cs="等线 Light"/>
      <w:color w:val="000000"/>
      <w:sz w:val="28"/>
      <w:szCs w:val="28"/>
      <w:u w:val="none"/>
    </w:rPr>
  </w:style>
  <w:style w:type="character" w:customStyle="1" w:styleId="207">
    <w:name w:val="show"/>
    <w:autoRedefine/>
    <w:qFormat/>
    <w:uiPriority w:val="0"/>
  </w:style>
  <w:style w:type="character" w:customStyle="1" w:styleId="208">
    <w:name w:val="批注文字 Char"/>
    <w:autoRedefine/>
    <w:qFormat/>
    <w:uiPriority w:val="99"/>
    <w:rPr>
      <w:rFonts w:ascii="幼圆" w:hAnsi="幼圆" w:eastAsia="等线 Light" w:cs="幼圆"/>
      <w:kern w:val="2"/>
      <w:sz w:val="24"/>
      <w:szCs w:val="24"/>
      <w:lang w:val="en-US" w:eastAsia="zh-CN" w:bidi="ar-SA"/>
    </w:rPr>
  </w:style>
  <w:style w:type="character" w:customStyle="1" w:styleId="209">
    <w:name w:val="ziti"/>
    <w:autoRedefine/>
    <w:qFormat/>
    <w:uiPriority w:val="0"/>
    <w:rPr>
      <w:rFonts w:hint="default" w:ascii="楷体_GB2312" w:hAnsi="楷体_GB2312" w:cs="楷体_GB2312"/>
      <w:sz w:val="16"/>
      <w:szCs w:val="16"/>
    </w:rPr>
  </w:style>
  <w:style w:type="character" w:customStyle="1" w:styleId="210">
    <w:name w:val="脚注文本 字符2"/>
    <w:autoRedefine/>
    <w:semiHidden/>
    <w:qFormat/>
    <w:uiPriority w:val="99"/>
    <w:rPr>
      <w:rFonts w:ascii="等线 Light"/>
      <w:sz w:val="18"/>
      <w:szCs w:val="18"/>
    </w:rPr>
  </w:style>
  <w:style w:type="character" w:customStyle="1" w:styleId="211">
    <w:name w:val="标题 Char"/>
    <w:autoRedefine/>
    <w:qFormat/>
    <w:uiPriority w:val="10"/>
    <w:rPr>
      <w:rFonts w:ascii="Cambria" w:hAnsi="Cambria"/>
      <w:b/>
      <w:bCs/>
      <w:sz w:val="32"/>
      <w:szCs w:val="32"/>
    </w:rPr>
  </w:style>
  <w:style w:type="character" w:customStyle="1" w:styleId="212">
    <w:name w:val="正文缩进 Char"/>
    <w:autoRedefine/>
    <w:qFormat/>
    <w:uiPriority w:val="0"/>
    <w:rPr>
      <w:rFonts w:ascii="幼圆" w:hAnsi="幼圆" w:eastAsia="等线 Light" w:cs="幼圆"/>
      <w:kern w:val="0"/>
      <w:sz w:val="20"/>
      <w:szCs w:val="20"/>
    </w:rPr>
  </w:style>
  <w:style w:type="character" w:customStyle="1" w:styleId="213">
    <w:name w:val="hover23"/>
    <w:autoRedefine/>
    <w:qFormat/>
    <w:uiPriority w:val="0"/>
    <w:rPr>
      <w:color w:val="D52222"/>
    </w:rPr>
  </w:style>
  <w:style w:type="character" w:customStyle="1" w:styleId="214">
    <w:name w:val="标题 3 字符1"/>
    <w:autoRedefine/>
    <w:qFormat/>
    <w:uiPriority w:val="0"/>
    <w:rPr>
      <w:rFonts w:ascii="等线 Light" w:hAnsi="幼圆" w:eastAsia="等线 Light" w:cs="幼圆"/>
      <w:kern w:val="0"/>
      <w:sz w:val="24"/>
      <w:szCs w:val="24"/>
    </w:rPr>
  </w:style>
  <w:style w:type="character" w:customStyle="1" w:styleId="215">
    <w:name w:val="ico1656"/>
    <w:basedOn w:val="57"/>
    <w:autoRedefine/>
    <w:qFormat/>
    <w:uiPriority w:val="0"/>
  </w:style>
  <w:style w:type="character" w:customStyle="1" w:styleId="216">
    <w:name w:val="中等深浅网格 2 字符"/>
    <w:link w:val="217"/>
    <w:autoRedefine/>
    <w:qFormat/>
    <w:uiPriority w:val="1"/>
    <w:rPr>
      <w:kern w:val="2"/>
      <w:sz w:val="21"/>
      <w:szCs w:val="22"/>
      <w:lang w:val="en-US" w:eastAsia="zh-CN" w:bidi="ar-SA"/>
    </w:rPr>
  </w:style>
  <w:style w:type="paragraph" w:customStyle="1" w:styleId="217">
    <w:name w:val="中等深浅网格 21"/>
    <w:link w:val="216"/>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18">
    <w:name w:val="font41"/>
    <w:autoRedefine/>
    <w:qFormat/>
    <w:uiPriority w:val="0"/>
    <w:rPr>
      <w:rFonts w:hint="default" w:ascii="幼圆" w:hAnsi="幼圆" w:cs="幼圆"/>
      <w:color w:val="000000"/>
      <w:sz w:val="21"/>
      <w:szCs w:val="21"/>
      <w:u w:val="none"/>
    </w:rPr>
  </w:style>
  <w:style w:type="character" w:customStyle="1" w:styleId="219">
    <w:name w:val="正文首行缩进 字符"/>
    <w:basedOn w:val="161"/>
    <w:autoRedefine/>
    <w:qFormat/>
    <w:uiPriority w:val="0"/>
  </w:style>
  <w:style w:type="character" w:customStyle="1" w:styleId="220">
    <w:name w:val="标题 9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21">
    <w:name w:val="标书正文格式 Char"/>
    <w:autoRedefine/>
    <w:qFormat/>
    <w:uiPriority w:val="0"/>
    <w:rPr>
      <w:rFonts w:eastAsia="Cambria Math"/>
      <w:kern w:val="2"/>
      <w:sz w:val="24"/>
      <w:lang w:val="en-US" w:eastAsia="zh-CN" w:bidi="ar-SA"/>
    </w:rPr>
  </w:style>
  <w:style w:type="character" w:customStyle="1" w:styleId="222">
    <w:name w:val="layui-layer-tabnow"/>
    <w:autoRedefine/>
    <w:qFormat/>
    <w:uiPriority w:val="0"/>
    <w:rPr>
      <w:rFonts w:eastAsia="等线 Light"/>
      <w:kern w:val="2"/>
      <w:sz w:val="24"/>
      <w:szCs w:val="24"/>
      <w:bdr w:val="single" w:color="CCCCCC" w:sz="6" w:space="0"/>
      <w:shd w:val="clear" w:color="auto" w:fill="FFFFFF"/>
      <w:lang w:val="en-US" w:eastAsia="zh-CN" w:bidi="ar-SA"/>
    </w:rPr>
  </w:style>
  <w:style w:type="character" w:customStyle="1" w:styleId="223">
    <w:name w:val="Char Char6"/>
    <w:autoRedefine/>
    <w:qFormat/>
    <w:uiPriority w:val="0"/>
    <w:rPr>
      <w:rFonts w:ascii="_x001A_" w:eastAsia="_x001A_"/>
      <w:b/>
      <w:sz w:val="28"/>
    </w:rPr>
  </w:style>
  <w:style w:type="character" w:customStyle="1" w:styleId="224">
    <w:name w:val="hover64"/>
    <w:autoRedefine/>
    <w:qFormat/>
    <w:uiPriority w:val="0"/>
    <w:rPr>
      <w:rFonts w:eastAsia="等线 Light"/>
      <w:color w:val="D52222"/>
      <w:kern w:val="2"/>
      <w:sz w:val="24"/>
      <w:szCs w:val="24"/>
      <w:lang w:val="en-US" w:eastAsia="zh-CN" w:bidi="ar-SA"/>
    </w:rPr>
  </w:style>
  <w:style w:type="character" w:customStyle="1" w:styleId="225">
    <w:name w:val="正文文本缩进 Char1"/>
    <w:autoRedefine/>
    <w:semiHidden/>
    <w:qFormat/>
    <w:uiPriority w:val="99"/>
    <w:rPr>
      <w:rFonts w:ascii="宋体"/>
      <w:sz w:val="24"/>
      <w:szCs w:val="24"/>
    </w:rPr>
  </w:style>
  <w:style w:type="character" w:customStyle="1" w:styleId="226">
    <w:name w:val="标题 2 Char"/>
    <w:autoRedefine/>
    <w:qFormat/>
    <w:uiPriority w:val="0"/>
    <w:rPr>
      <w:rFonts w:ascii="楷体_GB2312" w:hAnsi="楷体_GB2312" w:eastAsia="PMingLiU" w:cs="幼圆"/>
      <w:b/>
      <w:bCs/>
      <w:kern w:val="2"/>
      <w:sz w:val="32"/>
      <w:szCs w:val="32"/>
      <w:lang w:val="en-US" w:eastAsia="zh-CN" w:bidi="ar-SA"/>
    </w:rPr>
  </w:style>
  <w:style w:type="character" w:customStyle="1" w:styleId="227">
    <w:name w:val="icon-pd-bbs"/>
    <w:autoRedefine/>
    <w:qFormat/>
    <w:uiPriority w:val="0"/>
  </w:style>
  <w:style w:type="character" w:customStyle="1" w:styleId="228">
    <w:name w:val="正文文本 3 Char"/>
    <w:autoRedefine/>
    <w:qFormat/>
    <w:uiPriority w:val="0"/>
    <w:rPr>
      <w:rFonts w:ascii="等线 Light" w:hAnsi="等线 Light" w:eastAsia="等线 Light" w:cs="幼圆"/>
      <w:kern w:val="2"/>
      <w:sz w:val="28"/>
      <w:szCs w:val="24"/>
      <w:lang w:val="en-US" w:eastAsia="zh-CN" w:bidi="ar-SA"/>
    </w:rPr>
  </w:style>
  <w:style w:type="character" w:customStyle="1" w:styleId="229">
    <w:name w:val="icontext11"/>
    <w:basedOn w:val="57"/>
    <w:autoRedefine/>
    <w:qFormat/>
    <w:uiPriority w:val="0"/>
  </w:style>
  <w:style w:type="character" w:customStyle="1" w:styleId="230">
    <w:name w:val="associateddata"/>
    <w:autoRedefine/>
    <w:qFormat/>
    <w:uiPriority w:val="0"/>
    <w:rPr>
      <w:shd w:val="clear" w:color="auto" w:fill="50A6F9"/>
    </w:rPr>
  </w:style>
  <w:style w:type="character" w:customStyle="1" w:styleId="231">
    <w:name w:val="bigfont1"/>
    <w:autoRedefine/>
    <w:qFormat/>
    <w:uiPriority w:val="0"/>
    <w:rPr>
      <w:rFonts w:hint="default" w:ascii="MS Sans Serif" w:hAnsi="MS Sans Serif"/>
      <w:color w:val="000000"/>
      <w:sz w:val="24"/>
      <w:szCs w:val="24"/>
      <w:u w:val="none"/>
    </w:rPr>
  </w:style>
  <w:style w:type="character" w:customStyle="1" w:styleId="232">
    <w:name w:val="正文文本缩进 2 Char1"/>
    <w:autoRedefine/>
    <w:qFormat/>
    <w:uiPriority w:val="0"/>
    <w:rPr>
      <w:rFonts w:eastAsia="等线 Light"/>
      <w:kern w:val="2"/>
      <w:sz w:val="21"/>
      <w:szCs w:val="24"/>
      <w:lang w:val="en-US" w:eastAsia="zh-CN" w:bidi="ar-SA"/>
    </w:rPr>
  </w:style>
  <w:style w:type="character" w:customStyle="1" w:styleId="233">
    <w:name w:val="正文文本缩进 3 Char"/>
    <w:autoRedefine/>
    <w:qFormat/>
    <w:uiPriority w:val="0"/>
    <w:rPr>
      <w:rFonts w:ascii="幼圆" w:hAnsi="幼圆" w:eastAsia="等线 Light" w:cs="幼圆"/>
      <w:kern w:val="2"/>
      <w:sz w:val="24"/>
      <w:szCs w:val="21"/>
      <w:lang w:val="en-US" w:eastAsia="zh-CN" w:bidi="ar-SA"/>
    </w:rPr>
  </w:style>
  <w:style w:type="character" w:customStyle="1" w:styleId="234">
    <w:name w:val="DAS正文 Char"/>
    <w:autoRedefine/>
    <w:qFormat/>
    <w:uiPriority w:val="0"/>
    <w:rPr>
      <w:rFonts w:ascii="Lucida Grande" w:hAnsi="Lucida Grande" w:eastAsia="等线 Light"/>
      <w:kern w:val="2"/>
      <w:sz w:val="21"/>
      <w:szCs w:val="21"/>
      <w:lang w:val="en-US" w:eastAsia="zh-CN" w:bidi="ar-SA"/>
    </w:rPr>
  </w:style>
  <w:style w:type="character" w:customStyle="1" w:styleId="235">
    <w:name w:val="iconline21"/>
    <w:basedOn w:val="57"/>
    <w:autoRedefine/>
    <w:qFormat/>
    <w:uiPriority w:val="0"/>
  </w:style>
  <w:style w:type="character" w:customStyle="1" w:styleId="236">
    <w:name w:val="cdropright"/>
    <w:basedOn w:val="57"/>
    <w:autoRedefine/>
    <w:qFormat/>
    <w:uiPriority w:val="0"/>
  </w:style>
  <w:style w:type="character" w:customStyle="1" w:styleId="237">
    <w:name w:val="drapbtn"/>
    <w:basedOn w:val="57"/>
    <w:autoRedefine/>
    <w:qFormat/>
    <w:uiPriority w:val="0"/>
  </w:style>
  <w:style w:type="character" w:customStyle="1" w:styleId="238">
    <w:name w:val="HTML Markup"/>
    <w:autoRedefine/>
    <w:qFormat/>
    <w:uiPriority w:val="0"/>
    <w:rPr>
      <w:vanish/>
      <w:color w:val="FF0000"/>
    </w:rPr>
  </w:style>
  <w:style w:type="character" w:customStyle="1" w:styleId="239">
    <w:name w:val="first-child"/>
    <w:autoRedefine/>
    <w:qFormat/>
    <w:uiPriority w:val="0"/>
  </w:style>
  <w:style w:type="character" w:customStyle="1" w:styleId="240">
    <w:name w:val="标题 1 Char1"/>
    <w:autoRedefine/>
    <w:qFormat/>
    <w:uiPriority w:val="0"/>
    <w:rPr>
      <w:rFonts w:eastAsia="等线 Light"/>
      <w:b/>
      <w:bCs/>
      <w:kern w:val="44"/>
      <w:sz w:val="44"/>
      <w:szCs w:val="44"/>
      <w:lang w:val="en-US" w:eastAsia="zh-CN" w:bidi="ar-SA"/>
    </w:rPr>
  </w:style>
  <w:style w:type="character" w:customStyle="1" w:styleId="241">
    <w:name w:val="普通(网站) Char"/>
    <w:autoRedefine/>
    <w:qFormat/>
    <w:uiPriority w:val="99"/>
    <w:rPr>
      <w:rFonts w:ascii="等线 Light" w:hAnsi="等线 Light"/>
      <w:sz w:val="15"/>
      <w:szCs w:val="15"/>
    </w:rPr>
  </w:style>
  <w:style w:type="character" w:customStyle="1" w:styleId="242">
    <w:name w:val="style61"/>
    <w:autoRedefine/>
    <w:qFormat/>
    <w:uiPriority w:val="0"/>
    <w:rPr>
      <w:b/>
      <w:bCs/>
    </w:rPr>
  </w:style>
  <w:style w:type="character" w:customStyle="1" w:styleId="243">
    <w:name w:val="font51"/>
    <w:autoRedefine/>
    <w:qFormat/>
    <w:uiPriority w:val="0"/>
    <w:rPr>
      <w:rFonts w:hint="default" w:ascii="幼圆" w:hAnsi="幼圆" w:cs="幼圆"/>
      <w:color w:val="000000"/>
      <w:sz w:val="20"/>
      <w:szCs w:val="20"/>
      <w:u w:val="none"/>
    </w:rPr>
  </w:style>
  <w:style w:type="character" w:customStyle="1" w:styleId="244">
    <w:name w:val="Char Char Char Char Char Char Char1 Char"/>
    <w:autoRedefine/>
    <w:qFormat/>
    <w:uiPriority w:val="0"/>
    <w:rPr>
      <w:rFonts w:ascii="PMingLiU" w:hAnsi="Lucida Grande" w:eastAsia="PMingLiU"/>
      <w:sz w:val="32"/>
      <w:szCs w:val="32"/>
      <w:lang w:eastAsia="en-US"/>
    </w:rPr>
  </w:style>
  <w:style w:type="character" w:customStyle="1" w:styleId="245">
    <w:name w:val="Char Char2"/>
    <w:autoRedefine/>
    <w:qFormat/>
    <w:uiPriority w:val="0"/>
    <w:rPr>
      <w:kern w:val="2"/>
      <w:sz w:val="21"/>
      <w:szCs w:val="24"/>
    </w:rPr>
  </w:style>
  <w:style w:type="character" w:customStyle="1" w:styleId="246">
    <w:name w:val="标题 8 Char"/>
    <w:autoRedefine/>
    <w:qFormat/>
    <w:uiPriority w:val="0"/>
    <w:rPr>
      <w:rFonts w:ascii="楷体_GB2312" w:hAnsi="楷体_GB2312" w:eastAsia="等线 Light" w:cs="幼圆"/>
      <w:color w:val="000000"/>
      <w:kern w:val="2"/>
      <w:sz w:val="32"/>
      <w:szCs w:val="21"/>
      <w:lang w:val="en-US" w:eastAsia="zh-CN" w:bidi="ar-SA"/>
    </w:rPr>
  </w:style>
  <w:style w:type="character" w:customStyle="1" w:styleId="247">
    <w:name w:val="样式 样式 标准正文 + 宋体 + 黑色 Char Char"/>
    <w:link w:val="248"/>
    <w:autoRedefine/>
    <w:qFormat/>
    <w:uiPriority w:val="0"/>
    <w:rPr>
      <w:rFonts w:ascii="等线 Light" w:hAnsi="等线 Light"/>
      <w:color w:val="000000"/>
      <w:kern w:val="2"/>
      <w:sz w:val="24"/>
    </w:rPr>
  </w:style>
  <w:style w:type="paragraph" w:customStyle="1" w:styleId="248">
    <w:name w:val="样式 样式 标准正文 + 宋体 + 黑色"/>
    <w:basedOn w:val="1"/>
    <w:link w:val="247"/>
    <w:autoRedefine/>
    <w:qFormat/>
    <w:uiPriority w:val="0"/>
    <w:pPr>
      <w:autoSpaceDE/>
      <w:autoSpaceDN/>
      <w:adjustRightInd/>
      <w:spacing w:before="60" w:after="60" w:line="360" w:lineRule="auto"/>
      <w:ind w:firstLine="482"/>
      <w:jc w:val="both"/>
    </w:pPr>
    <w:rPr>
      <w:rFonts w:hAnsi="等线 Light"/>
      <w:color w:val="000000"/>
      <w:kern w:val="2"/>
      <w:szCs w:val="20"/>
    </w:rPr>
  </w:style>
  <w:style w:type="character" w:customStyle="1" w:styleId="249">
    <w:name w:val="尾注文本 字符"/>
    <w:autoRedefine/>
    <w:qFormat/>
    <w:uiPriority w:val="0"/>
    <w:rPr>
      <w:rFonts w:ascii="幼圆" w:hAnsi="幼圆" w:eastAsia="等线 Light" w:cs="幼圆"/>
      <w:kern w:val="2"/>
      <w:sz w:val="24"/>
      <w:szCs w:val="24"/>
      <w:lang w:bidi="ar-SA"/>
    </w:rPr>
  </w:style>
  <w:style w:type="character" w:customStyle="1" w:styleId="250">
    <w:name w:val="article1"/>
    <w:autoRedefine/>
    <w:qFormat/>
    <w:uiPriority w:val="0"/>
    <w:rPr>
      <w:sz w:val="30"/>
      <w:szCs w:val="30"/>
    </w:rPr>
  </w:style>
  <w:style w:type="character" w:customStyle="1" w:styleId="251">
    <w:name w:val="apple-converted-space"/>
    <w:autoRedefine/>
    <w:qFormat/>
    <w:uiPriority w:val="0"/>
  </w:style>
  <w:style w:type="character" w:customStyle="1" w:styleId="252">
    <w:name w:val="纯文本 Char1"/>
    <w:autoRedefine/>
    <w:qFormat/>
    <w:uiPriority w:val="0"/>
    <w:rPr>
      <w:rFonts w:ascii="等线 Light" w:hAnsi="Helv" w:eastAsia="等线 Light" w:cs="Helv"/>
      <w:kern w:val="0"/>
      <w:szCs w:val="21"/>
    </w:rPr>
  </w:style>
  <w:style w:type="character" w:customStyle="1" w:styleId="253">
    <w:name w:val="文档结构图 Char1"/>
    <w:autoRedefine/>
    <w:semiHidden/>
    <w:qFormat/>
    <w:uiPriority w:val="99"/>
    <w:rPr>
      <w:rFonts w:ascii="Microsoft YaHei UI" w:eastAsia="Microsoft YaHei UI"/>
      <w:sz w:val="18"/>
      <w:szCs w:val="18"/>
    </w:rPr>
  </w:style>
  <w:style w:type="character" w:customStyle="1" w:styleId="254">
    <w:name w:val="l-btn-text35"/>
    <w:autoRedefine/>
    <w:qFormat/>
    <w:uiPriority w:val="0"/>
  </w:style>
  <w:style w:type="character" w:customStyle="1" w:styleId="255">
    <w:name w:val=" Char Char Char Char Char Char Char1 Char Char"/>
    <w:link w:val="256"/>
    <w:autoRedefine/>
    <w:qFormat/>
    <w:uiPriority w:val="0"/>
    <w:rPr>
      <w:rFonts w:ascii="PMingLiU" w:hAnsi="Lucida Grande" w:eastAsia="PMingLiU"/>
      <w:sz w:val="32"/>
      <w:szCs w:val="32"/>
      <w:lang w:eastAsia="en-US"/>
    </w:rPr>
  </w:style>
  <w:style w:type="paragraph" w:customStyle="1" w:styleId="256">
    <w:name w:val=" Char Char Char Char Char Char Char1"/>
    <w:basedOn w:val="1"/>
    <w:link w:val="255"/>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57">
    <w:name w:val="hover41"/>
    <w:autoRedefine/>
    <w:qFormat/>
    <w:uiPriority w:val="0"/>
    <w:rPr>
      <w:color w:val="2490F8"/>
    </w:rPr>
  </w:style>
  <w:style w:type="character" w:customStyle="1" w:styleId="258">
    <w:name w:val="font71"/>
    <w:autoRedefine/>
    <w:qFormat/>
    <w:uiPriority w:val="0"/>
    <w:rPr>
      <w:rFonts w:hint="eastAsia" w:ascii="等线 Light" w:hAnsi="等线 Light" w:eastAsia="等线 Light" w:cs="等线 Light"/>
      <w:color w:val="000000"/>
      <w:sz w:val="20"/>
      <w:szCs w:val="20"/>
      <w:u w:val="none"/>
    </w:rPr>
  </w:style>
  <w:style w:type="character" w:customStyle="1" w:styleId="259">
    <w:name w:val="页眉 Char2"/>
    <w:autoRedefine/>
    <w:qFormat/>
    <w:uiPriority w:val="0"/>
    <w:rPr>
      <w:rFonts w:eastAsia="等线 Light"/>
      <w:kern w:val="2"/>
      <w:sz w:val="18"/>
      <w:szCs w:val="18"/>
      <w:lang w:val="en-US" w:eastAsia="zh-CN" w:bidi="ar-SA"/>
    </w:rPr>
  </w:style>
  <w:style w:type="character" w:customStyle="1" w:styleId="260">
    <w:name w:val="首航所进 Char"/>
    <w:autoRedefine/>
    <w:qFormat/>
    <w:uiPriority w:val="0"/>
    <w:rPr>
      <w:rFonts w:eastAsia="等线 Light"/>
      <w:kern w:val="2"/>
      <w:sz w:val="24"/>
      <w:szCs w:val="24"/>
      <w:lang w:val="en-US" w:eastAsia="zh-CN" w:bidi="ar-SA"/>
    </w:rPr>
  </w:style>
  <w:style w:type="character" w:customStyle="1" w:styleId="261">
    <w:name w:val="样式 样式 标准正文 + 宋体 + 黑色 Char"/>
    <w:autoRedefine/>
    <w:qFormat/>
    <w:uiPriority w:val="0"/>
    <w:rPr>
      <w:rFonts w:ascii="等线 Light" w:hAnsi="等线 Light" w:eastAsia="等线 Light"/>
      <w:color w:val="000000"/>
      <w:kern w:val="2"/>
      <w:sz w:val="24"/>
      <w:lang w:val="en-US" w:eastAsia="zh-CN" w:bidi="ar-SA"/>
    </w:rPr>
  </w:style>
  <w:style w:type="character" w:customStyle="1" w:styleId="262">
    <w:name w:val="Char Char Char Char Char Char Char1 Char Char"/>
    <w:link w:val="263"/>
    <w:autoRedefine/>
    <w:qFormat/>
    <w:uiPriority w:val="0"/>
    <w:rPr>
      <w:rFonts w:ascii="PMingLiU" w:hAnsi="Lucida Grande" w:eastAsia="PMingLiU"/>
      <w:sz w:val="32"/>
      <w:szCs w:val="32"/>
      <w:lang w:eastAsia="en-US"/>
    </w:rPr>
  </w:style>
  <w:style w:type="paragraph" w:customStyle="1" w:styleId="263">
    <w:name w:val="Char Char Char Char Char Char Char1"/>
    <w:basedOn w:val="1"/>
    <w:link w:val="262"/>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character" w:customStyle="1" w:styleId="264">
    <w:name w:val="ca-31"/>
    <w:autoRedefine/>
    <w:qFormat/>
    <w:uiPriority w:val="0"/>
    <w:rPr>
      <w:rFonts w:hint="eastAsia" w:ascii="微软雅黑" w:eastAsia="微软雅黑"/>
      <w:kern w:val="2"/>
      <w:sz w:val="32"/>
      <w:szCs w:val="32"/>
      <w:lang w:val="en-US" w:eastAsia="zh-CN" w:bidi="ar-SA"/>
    </w:rPr>
  </w:style>
  <w:style w:type="character" w:customStyle="1" w:styleId="265">
    <w:name w:val="hover63"/>
    <w:autoRedefine/>
    <w:qFormat/>
    <w:uiPriority w:val="0"/>
    <w:rPr>
      <w:rFonts w:eastAsia="等线 Light"/>
      <w:color w:val="2B84B5"/>
      <w:kern w:val="2"/>
      <w:sz w:val="24"/>
      <w:szCs w:val="24"/>
      <w:lang w:val="en-US" w:eastAsia="zh-CN" w:bidi="ar-SA"/>
    </w:rPr>
  </w:style>
  <w:style w:type="character" w:customStyle="1" w:styleId="266">
    <w:name w:val="标题 2 字符1"/>
    <w:autoRedefine/>
    <w:qFormat/>
    <w:uiPriority w:val="0"/>
    <w:rPr>
      <w:rFonts w:ascii="楷体_GB2312" w:hAnsi="楷体_GB2312" w:eastAsia="PMingLiU"/>
      <w:b/>
      <w:bCs/>
      <w:kern w:val="2"/>
      <w:sz w:val="32"/>
      <w:szCs w:val="32"/>
      <w:lang w:val="en-US" w:eastAsia="zh-CN" w:bidi="ar-SA"/>
    </w:rPr>
  </w:style>
  <w:style w:type="character" w:customStyle="1" w:styleId="267">
    <w:name w:val="页眉 Char"/>
    <w:autoRedefine/>
    <w:qFormat/>
    <w:uiPriority w:val="99"/>
    <w:rPr>
      <w:rFonts w:eastAsia="等线 Light"/>
      <w:kern w:val="2"/>
      <w:sz w:val="18"/>
      <w:szCs w:val="18"/>
      <w:lang w:val="en-US" w:eastAsia="zh-CN" w:bidi="ar-SA"/>
    </w:rPr>
  </w:style>
  <w:style w:type="character" w:customStyle="1" w:styleId="268">
    <w:name w:val="after"/>
    <w:autoRedefine/>
    <w:qFormat/>
    <w:uiPriority w:val="0"/>
    <w:rPr>
      <w:sz w:val="16"/>
      <w:szCs w:val="0"/>
    </w:rPr>
  </w:style>
  <w:style w:type="character" w:customStyle="1" w:styleId="269">
    <w:name w:val="pagechatarealistclose_box1"/>
    <w:basedOn w:val="57"/>
    <w:autoRedefine/>
    <w:qFormat/>
    <w:uiPriority w:val="0"/>
  </w:style>
  <w:style w:type="character" w:customStyle="1" w:styleId="270">
    <w:name w:val="批注主题 Char2"/>
    <w:autoRedefine/>
    <w:qFormat/>
    <w:uiPriority w:val="99"/>
    <w:rPr>
      <w:rFonts w:eastAsia="等线 Light"/>
      <w:b/>
      <w:bCs/>
      <w:kern w:val="2"/>
      <w:sz w:val="21"/>
      <w:szCs w:val="24"/>
      <w:lang w:val="en-US" w:eastAsia="zh-CN" w:bidi="ar-SA"/>
    </w:rPr>
  </w:style>
  <w:style w:type="character" w:customStyle="1" w:styleId="271">
    <w:name w:val="标题 7 Char1"/>
    <w:autoRedefine/>
    <w:qFormat/>
    <w:uiPriority w:val="0"/>
    <w:rPr>
      <w:rFonts w:eastAsia="等线 Light"/>
      <w:bCs/>
      <w:color w:val="000000"/>
      <w:kern w:val="2"/>
      <w:sz w:val="32"/>
      <w:szCs w:val="21"/>
      <w:lang w:val="en-US" w:eastAsia="zh-CN" w:bidi="ar-SA"/>
    </w:rPr>
  </w:style>
  <w:style w:type="character" w:customStyle="1" w:styleId="272">
    <w:name w:val="tmpztreemove_arrow"/>
    <w:basedOn w:val="57"/>
    <w:autoRedefine/>
    <w:qFormat/>
    <w:uiPriority w:val="0"/>
  </w:style>
  <w:style w:type="character" w:customStyle="1" w:styleId="273">
    <w:name w:val="页脚 Char2"/>
    <w:autoRedefine/>
    <w:qFormat/>
    <w:uiPriority w:val="99"/>
    <w:rPr>
      <w:rFonts w:eastAsia="等线 Light"/>
      <w:kern w:val="2"/>
      <w:sz w:val="18"/>
      <w:szCs w:val="18"/>
      <w:lang w:val="en-US" w:eastAsia="zh-CN" w:bidi="ar-SA"/>
    </w:rPr>
  </w:style>
  <w:style w:type="character" w:customStyle="1" w:styleId="274">
    <w:name w:val="button"/>
    <w:basedOn w:val="57"/>
    <w:autoRedefine/>
    <w:qFormat/>
    <w:uiPriority w:val="0"/>
  </w:style>
  <w:style w:type="character" w:customStyle="1" w:styleId="275">
    <w:name w:val="标题 5 字符"/>
    <w:autoRedefine/>
    <w:qFormat/>
    <w:uiPriority w:val="0"/>
    <w:rPr>
      <w:rFonts w:ascii="等线 Light"/>
      <w:b/>
      <w:bCs/>
      <w:sz w:val="28"/>
      <w:szCs w:val="28"/>
    </w:rPr>
  </w:style>
  <w:style w:type="character" w:customStyle="1" w:styleId="276">
    <w:name w:val="icontext1"/>
    <w:basedOn w:val="57"/>
    <w:autoRedefine/>
    <w:qFormat/>
    <w:uiPriority w:val="0"/>
  </w:style>
  <w:style w:type="character" w:customStyle="1" w:styleId="277">
    <w:name w:val="标题 Char1"/>
    <w:autoRedefine/>
    <w:qFormat/>
    <w:uiPriority w:val="10"/>
    <w:rPr>
      <w:rFonts w:ascii="Calibri Light" w:hAnsi="Calibri Light" w:cs="Times New Roman"/>
      <w:b/>
      <w:bCs/>
      <w:sz w:val="32"/>
      <w:szCs w:val="32"/>
    </w:rPr>
  </w:style>
  <w:style w:type="character" w:customStyle="1" w:styleId="278">
    <w:name w:val="吉奥正文 Char"/>
    <w:link w:val="279"/>
    <w:autoRedefine/>
    <w:qFormat/>
    <w:locked/>
    <w:uiPriority w:val="0"/>
    <w:rPr>
      <w:rFonts w:eastAsia="微软雅黑"/>
      <w:kern w:val="2"/>
      <w:sz w:val="28"/>
    </w:rPr>
  </w:style>
  <w:style w:type="paragraph" w:customStyle="1" w:styleId="279">
    <w:name w:val="吉奥正文"/>
    <w:basedOn w:val="1"/>
    <w:link w:val="278"/>
    <w:autoRedefine/>
    <w:qFormat/>
    <w:uiPriority w:val="0"/>
    <w:pPr>
      <w:autoSpaceDE/>
      <w:autoSpaceDN/>
      <w:snapToGrid w:val="0"/>
      <w:spacing w:before="120" w:line="360" w:lineRule="auto"/>
      <w:ind w:firstLine="200" w:firstLineChars="200"/>
      <w:jc w:val="both"/>
      <w:textAlignment w:val="baseline"/>
    </w:pPr>
    <w:rPr>
      <w:rFonts w:ascii="Times New Roman" w:eastAsia="微软雅黑"/>
      <w:kern w:val="2"/>
      <w:sz w:val="28"/>
      <w:szCs w:val="20"/>
    </w:rPr>
  </w:style>
  <w:style w:type="character" w:customStyle="1" w:styleId="280">
    <w:name w:val="纯文本 字符2"/>
    <w:autoRedefine/>
    <w:qFormat/>
    <w:uiPriority w:val="0"/>
    <w:rPr>
      <w:rFonts w:ascii="等线 Light" w:hAnsi="Helv" w:eastAsia="等线 Light"/>
    </w:rPr>
  </w:style>
  <w:style w:type="character" w:customStyle="1" w:styleId="281">
    <w:name w:val="ico1654"/>
    <w:basedOn w:val="57"/>
    <w:autoRedefine/>
    <w:qFormat/>
    <w:uiPriority w:val="0"/>
  </w:style>
  <w:style w:type="character" w:customStyle="1" w:styleId="282">
    <w:name w:val="批注文字 字符2"/>
    <w:autoRedefine/>
    <w:qFormat/>
    <w:uiPriority w:val="99"/>
    <w:rPr>
      <w:rFonts w:ascii="等线 Light" w:hAnsi="幼圆" w:eastAsia="等线 Light" w:cs="幼圆"/>
      <w:kern w:val="0"/>
      <w:sz w:val="24"/>
      <w:szCs w:val="24"/>
    </w:rPr>
  </w:style>
  <w:style w:type="character" w:customStyle="1" w:styleId="283">
    <w:name w:val="icon-help-center"/>
    <w:autoRedefine/>
    <w:qFormat/>
    <w:uiPriority w:val="0"/>
  </w:style>
  <w:style w:type="character" w:customStyle="1" w:styleId="284">
    <w:name w:val="批注文字 Char1"/>
    <w:autoRedefine/>
    <w:qFormat/>
    <w:uiPriority w:val="99"/>
    <w:rPr>
      <w:rFonts w:ascii="幼圆" w:hAnsi="幼圆" w:eastAsia="Cambria Math" w:cs="幼圆"/>
      <w:spacing w:val="-20"/>
      <w:sz w:val="32"/>
      <w:szCs w:val="20"/>
    </w:rPr>
  </w:style>
  <w:style w:type="character" w:customStyle="1" w:styleId="285">
    <w:name w:val="HTML 预设格式 Char1"/>
    <w:autoRedefine/>
    <w:qFormat/>
    <w:uiPriority w:val="99"/>
    <w:rPr>
      <w:rFonts w:ascii="Helv" w:hAnsi="Helv" w:eastAsia="等线 Light" w:cs="Helv"/>
      <w:kern w:val="0"/>
      <w:sz w:val="20"/>
      <w:szCs w:val="20"/>
    </w:rPr>
  </w:style>
  <w:style w:type="character" w:customStyle="1" w:styleId="286">
    <w:name w:val="标题 3 Char"/>
    <w:autoRedefine/>
    <w:qFormat/>
    <w:uiPriority w:val="0"/>
    <w:rPr>
      <w:rFonts w:ascii="幼圆" w:hAnsi="幼圆" w:eastAsia="等线 Light" w:cs="幼圆"/>
      <w:b/>
      <w:bCs/>
      <w:kern w:val="2"/>
      <w:sz w:val="32"/>
      <w:szCs w:val="32"/>
      <w:lang w:val="en-US" w:eastAsia="zh-CN" w:bidi="ar-SA"/>
    </w:rPr>
  </w:style>
  <w:style w:type="character" w:customStyle="1" w:styleId="287">
    <w:name w:val="正文文本缩进 字符1"/>
    <w:autoRedefine/>
    <w:qFormat/>
    <w:uiPriority w:val="0"/>
    <w:rPr>
      <w:rFonts w:ascii="幼圆" w:hAnsi="幼圆" w:eastAsia="等线 Light" w:cs="幼圆"/>
      <w:szCs w:val="20"/>
    </w:rPr>
  </w:style>
  <w:style w:type="character" w:customStyle="1" w:styleId="288">
    <w:name w:val=" Char Char2"/>
    <w:autoRedefine/>
    <w:qFormat/>
    <w:uiPriority w:val="0"/>
    <w:rPr>
      <w:rFonts w:ascii="等线 Light" w:hAnsi="Helv" w:eastAsia="等线 Light"/>
      <w:kern w:val="2"/>
      <w:sz w:val="21"/>
      <w:lang w:val="en-US" w:eastAsia="zh-CN" w:bidi="ar-SA"/>
    </w:rPr>
  </w:style>
  <w:style w:type="character" w:customStyle="1" w:styleId="289">
    <w:name w:val="标题 3 Char1"/>
    <w:autoRedefine/>
    <w:qFormat/>
    <w:uiPriority w:val="0"/>
    <w:rPr>
      <w:rFonts w:eastAsia="等线 Light"/>
      <w:b/>
      <w:bCs/>
      <w:kern w:val="2"/>
      <w:sz w:val="32"/>
      <w:szCs w:val="32"/>
      <w:lang w:val="en-US" w:eastAsia="zh-CN" w:bidi="ar-SA"/>
    </w:rPr>
  </w:style>
  <w:style w:type="character" w:customStyle="1" w:styleId="290">
    <w:name w:val="copytolefthover"/>
    <w:autoRedefine/>
    <w:qFormat/>
    <w:uiPriority w:val="0"/>
    <w:rPr>
      <w:vanish/>
    </w:rPr>
  </w:style>
  <w:style w:type="character" w:customStyle="1" w:styleId="291">
    <w:name w:val="w32"/>
    <w:basedOn w:val="57"/>
    <w:autoRedefine/>
    <w:qFormat/>
    <w:uiPriority w:val="0"/>
  </w:style>
  <w:style w:type="character" w:customStyle="1" w:styleId="292">
    <w:name w:val="纯文本 Char"/>
    <w:autoRedefine/>
    <w:qFormat/>
    <w:uiPriority w:val="0"/>
    <w:rPr>
      <w:rFonts w:ascii="等线 Light" w:hAnsi="Helv" w:eastAsia="等线 Light" w:cs="幼圆"/>
      <w:szCs w:val="20"/>
    </w:rPr>
  </w:style>
  <w:style w:type="character" w:customStyle="1" w:styleId="293">
    <w:name w:val="标题 2 Char2"/>
    <w:autoRedefine/>
    <w:qFormat/>
    <w:uiPriority w:val="0"/>
    <w:rPr>
      <w:rFonts w:ascii="楷体_GB2312" w:hAnsi="楷体_GB2312" w:eastAsia="PMingLiU"/>
      <w:b/>
      <w:bCs/>
      <w:kern w:val="2"/>
      <w:sz w:val="32"/>
      <w:szCs w:val="32"/>
      <w:lang w:val="en-US" w:eastAsia="zh-CN" w:bidi="ar-SA"/>
    </w:rPr>
  </w:style>
  <w:style w:type="character" w:customStyle="1" w:styleId="294">
    <w:name w:val="eschoolnr"/>
    <w:autoRedefine/>
    <w:qFormat/>
    <w:uiPriority w:val="0"/>
    <w:rPr>
      <w:sz w:val="23"/>
      <w:szCs w:val="23"/>
    </w:rPr>
  </w:style>
  <w:style w:type="character" w:customStyle="1" w:styleId="295">
    <w:name w:val="题注 字符"/>
    <w:autoRedefine/>
    <w:qFormat/>
    <w:uiPriority w:val="0"/>
    <w:rPr>
      <w:rFonts w:ascii="等线 Light" w:hAnsi="等线 Light" w:eastAsia="PMingLiU" w:cs="幼圆"/>
      <w:b/>
      <w:szCs w:val="21"/>
    </w:rPr>
  </w:style>
  <w:style w:type="character" w:customStyle="1" w:styleId="296">
    <w:name w:val="List Paragraph Char"/>
    <w:link w:val="297"/>
    <w:autoRedefine/>
    <w:qFormat/>
    <w:uiPriority w:val="34"/>
    <w:rPr>
      <w:rFonts w:ascii="Arial Unicode MS" w:hAnsi="Arial Unicode MS"/>
      <w:kern w:val="2"/>
      <w:sz w:val="21"/>
      <w:szCs w:val="22"/>
    </w:rPr>
  </w:style>
  <w:style w:type="paragraph" w:customStyle="1" w:styleId="297">
    <w:name w:val="列出段落1"/>
    <w:basedOn w:val="1"/>
    <w:link w:val="296"/>
    <w:autoRedefine/>
    <w:qFormat/>
    <w:uiPriority w:val="34"/>
    <w:pPr>
      <w:autoSpaceDE/>
      <w:autoSpaceDN/>
      <w:adjustRightInd/>
      <w:ind w:firstLine="420" w:firstLineChars="200"/>
      <w:jc w:val="both"/>
    </w:pPr>
    <w:rPr>
      <w:rFonts w:ascii="Arial Unicode MS" w:hAnsi="Arial Unicode MS"/>
      <w:kern w:val="2"/>
      <w:sz w:val="21"/>
      <w:szCs w:val="22"/>
    </w:rPr>
  </w:style>
  <w:style w:type="character" w:customStyle="1" w:styleId="298">
    <w:name w:val="网格表 1 浅色1"/>
    <w:autoRedefine/>
    <w:qFormat/>
    <w:uiPriority w:val="33"/>
    <w:rPr>
      <w:rFonts w:eastAsia="等线 Light"/>
      <w:b/>
      <w:bCs/>
      <w:smallCaps/>
      <w:spacing w:val="5"/>
      <w:kern w:val="2"/>
      <w:sz w:val="24"/>
      <w:szCs w:val="24"/>
      <w:lang w:val="en-US" w:eastAsia="zh-CN" w:bidi="ar-SA"/>
    </w:rPr>
  </w:style>
  <w:style w:type="character" w:customStyle="1" w:styleId="299">
    <w:name w:val="标题 2 Char1"/>
    <w:autoRedefine/>
    <w:qFormat/>
    <w:uiPriority w:val="0"/>
    <w:rPr>
      <w:rFonts w:ascii="楷体_GB2312" w:hAnsi="楷体_GB2312" w:eastAsia="PMingLiU" w:cs="幼圆"/>
      <w:b/>
      <w:kern w:val="0"/>
      <w:sz w:val="32"/>
      <w:szCs w:val="20"/>
    </w:rPr>
  </w:style>
  <w:style w:type="character" w:customStyle="1" w:styleId="300">
    <w:name w:val="日期 Char2"/>
    <w:autoRedefine/>
    <w:qFormat/>
    <w:uiPriority w:val="0"/>
    <w:rPr>
      <w:rFonts w:eastAsia="等线 Light"/>
      <w:kern w:val="2"/>
      <w:sz w:val="24"/>
      <w:szCs w:val="24"/>
      <w:lang w:val="en-US" w:eastAsia="zh-CN" w:bidi="ar-SA"/>
    </w:rPr>
  </w:style>
  <w:style w:type="character" w:customStyle="1" w:styleId="301">
    <w:name w:val="页眉 Char1"/>
    <w:autoRedefine/>
    <w:semiHidden/>
    <w:qFormat/>
    <w:uiPriority w:val="99"/>
    <w:rPr>
      <w:rFonts w:ascii="等线 Light" w:hAnsi="幼圆" w:eastAsia="等线 Light" w:cs="幼圆"/>
      <w:kern w:val="0"/>
      <w:sz w:val="18"/>
      <w:szCs w:val="18"/>
    </w:rPr>
  </w:style>
  <w:style w:type="character" w:customStyle="1" w:styleId="302">
    <w:name w:val="para"/>
    <w:autoRedefine/>
    <w:qFormat/>
    <w:uiPriority w:val="0"/>
    <w:rPr>
      <w:rFonts w:eastAsia="等线 Light"/>
      <w:kern w:val="2"/>
      <w:sz w:val="24"/>
      <w:szCs w:val="24"/>
      <w:lang w:val="en-US" w:eastAsia="zh-CN" w:bidi="ar-SA"/>
    </w:rPr>
  </w:style>
  <w:style w:type="character" w:customStyle="1" w:styleId="303">
    <w:name w:val="标题 4 Char2"/>
    <w:autoRedefine/>
    <w:qFormat/>
    <w:uiPriority w:val="0"/>
    <w:rPr>
      <w:rFonts w:ascii="楷体_GB2312" w:hAnsi="楷体_GB2312" w:eastAsia="PMingLiU"/>
      <w:b/>
      <w:bCs/>
      <w:kern w:val="2"/>
      <w:sz w:val="28"/>
      <w:szCs w:val="28"/>
      <w:lang w:val="en-US" w:eastAsia="zh-CN" w:bidi="ar-SA"/>
    </w:rPr>
  </w:style>
  <w:style w:type="character" w:customStyle="1" w:styleId="304">
    <w:name w:val="正文缩进 字符"/>
    <w:autoRedefine/>
    <w:qFormat/>
    <w:uiPriority w:val="0"/>
    <w:rPr>
      <w:rFonts w:ascii="幼圆" w:hAnsi="幼圆" w:eastAsia="等线 Light" w:cs="幼圆"/>
      <w:kern w:val="0"/>
      <w:sz w:val="20"/>
      <w:szCs w:val="20"/>
    </w:rPr>
  </w:style>
  <w:style w:type="character" w:customStyle="1" w:styleId="305">
    <w:name w:val="批注主题 Char1"/>
    <w:autoRedefine/>
    <w:semiHidden/>
    <w:qFormat/>
    <w:uiPriority w:val="99"/>
    <w:rPr>
      <w:rFonts w:ascii="宋体" w:hAnsi="幼圆" w:eastAsia="等线 Light" w:cs="幼圆"/>
      <w:b/>
      <w:bCs/>
      <w:kern w:val="2"/>
      <w:sz w:val="24"/>
      <w:szCs w:val="24"/>
      <w:lang w:val="en-US" w:eastAsia="zh-CN" w:bidi="ar-SA"/>
    </w:rPr>
  </w:style>
  <w:style w:type="character" w:customStyle="1" w:styleId="306">
    <w:name w:val="纯文本 字符1"/>
    <w:autoRedefine/>
    <w:qFormat/>
    <w:uiPriority w:val="0"/>
    <w:rPr>
      <w:rFonts w:ascii="等线 Light" w:hAnsi="Helv" w:eastAsia="等线 Light"/>
      <w:kern w:val="2"/>
      <w:sz w:val="21"/>
      <w:szCs w:val="24"/>
      <w:lang w:val="en-US" w:eastAsia="zh-CN" w:bidi="ar-SA"/>
    </w:rPr>
  </w:style>
  <w:style w:type="character" w:customStyle="1" w:styleId="307">
    <w:name w:val="正文文本 Char1"/>
    <w:autoRedefine/>
    <w:qFormat/>
    <w:uiPriority w:val="99"/>
    <w:rPr>
      <w:rFonts w:ascii="等线 Light" w:hAnsi="幼圆" w:eastAsia="等线 Light" w:cs="幼圆"/>
      <w:kern w:val="0"/>
      <w:sz w:val="24"/>
      <w:szCs w:val="24"/>
    </w:rPr>
  </w:style>
  <w:style w:type="character" w:customStyle="1" w:styleId="308">
    <w:name w:val="Char Char9"/>
    <w:autoRedefine/>
    <w:qFormat/>
    <w:uiPriority w:val="0"/>
    <w:rPr>
      <w:kern w:val="2"/>
      <w:sz w:val="18"/>
      <w:szCs w:val="18"/>
    </w:rPr>
  </w:style>
  <w:style w:type="character" w:customStyle="1" w:styleId="309">
    <w:name w:val="d Char"/>
    <w:autoRedefine/>
    <w:qFormat/>
    <w:uiPriority w:val="0"/>
    <w:rPr>
      <w:rFonts w:ascii="等线 Light" w:hAnsi="等线 Light" w:eastAsia="等线 Light" w:cs="楷体_GB2312"/>
      <w:snapToGrid w:val="0"/>
      <w:kern w:val="2"/>
      <w:sz w:val="21"/>
      <w:szCs w:val="21"/>
      <w:lang w:val="en-US" w:eastAsia="zh-CN" w:bidi="ar-SA"/>
    </w:rPr>
  </w:style>
  <w:style w:type="character" w:customStyle="1" w:styleId="310">
    <w:name w:val="标题 3 Char1 Char"/>
    <w:autoRedefine/>
    <w:qFormat/>
    <w:uiPriority w:val="0"/>
    <w:rPr>
      <w:rFonts w:eastAsia="等线 Light"/>
      <w:b/>
      <w:bCs/>
      <w:kern w:val="2"/>
      <w:sz w:val="32"/>
      <w:szCs w:val="32"/>
      <w:lang w:val="en-US" w:eastAsia="zh-CN" w:bidi="ar-SA"/>
    </w:rPr>
  </w:style>
  <w:style w:type="character" w:customStyle="1" w:styleId="311">
    <w:name w:val="标题 6 Char"/>
    <w:autoRedefine/>
    <w:qFormat/>
    <w:uiPriority w:val="0"/>
    <w:rPr>
      <w:rFonts w:ascii="楷体_GB2312" w:hAnsi="楷体_GB2312" w:eastAsia="PMingLiU" w:cs="幼圆"/>
      <w:b/>
      <w:bCs/>
      <w:kern w:val="2"/>
      <w:sz w:val="24"/>
      <w:szCs w:val="24"/>
      <w:lang w:val="en-US" w:eastAsia="zh-CN" w:bidi="ar-SA"/>
    </w:rPr>
  </w:style>
  <w:style w:type="character" w:customStyle="1" w:styleId="312">
    <w:name w:val="脚注文本 字符"/>
    <w:autoRedefine/>
    <w:qFormat/>
    <w:uiPriority w:val="0"/>
    <w:rPr>
      <w:rFonts w:ascii="幼圆" w:hAnsi="幼圆" w:eastAsia="等线 Light" w:cs="幼圆"/>
      <w:kern w:val="2"/>
      <w:sz w:val="18"/>
      <w:szCs w:val="18"/>
      <w:lang w:bidi="ar-SA"/>
    </w:rPr>
  </w:style>
  <w:style w:type="character" w:customStyle="1" w:styleId="313">
    <w:name w:val="正文文本缩进 Char2"/>
    <w:autoRedefine/>
    <w:qFormat/>
    <w:uiPriority w:val="0"/>
    <w:rPr>
      <w:rFonts w:eastAsia="等线 Light"/>
      <w:kern w:val="2"/>
      <w:sz w:val="28"/>
      <w:szCs w:val="24"/>
      <w:lang w:val="en-US" w:eastAsia="zh-CN" w:bidi="ar-SA"/>
    </w:rPr>
  </w:style>
  <w:style w:type="character" w:customStyle="1" w:styleId="314">
    <w:name w:val="标题 5 Char"/>
    <w:autoRedefine/>
    <w:qFormat/>
    <w:uiPriority w:val="0"/>
    <w:rPr>
      <w:rFonts w:ascii="幼圆" w:hAnsi="幼圆" w:eastAsia="等线 Light" w:cs="幼圆"/>
      <w:b/>
      <w:bCs/>
      <w:kern w:val="2"/>
      <w:sz w:val="28"/>
      <w:szCs w:val="28"/>
      <w:lang w:val="en-US" w:eastAsia="zh-CN" w:bidi="ar-SA"/>
    </w:rPr>
  </w:style>
  <w:style w:type="character" w:customStyle="1" w:styleId="315">
    <w:name w:val="正文首行缩进 Char"/>
    <w:autoRedefine/>
    <w:qFormat/>
    <w:uiPriority w:val="0"/>
    <w:rPr>
      <w:rFonts w:eastAsia="等线 Light"/>
      <w:kern w:val="2"/>
      <w:sz w:val="21"/>
      <w:szCs w:val="24"/>
      <w:lang w:val="en-US" w:eastAsia="zh-CN" w:bidi="ar-SA"/>
    </w:rPr>
  </w:style>
  <w:style w:type="character" w:customStyle="1" w:styleId="316">
    <w:name w:val="black11"/>
    <w:autoRedefine/>
    <w:qFormat/>
    <w:uiPriority w:val="0"/>
    <w:rPr>
      <w:color w:val="000000"/>
      <w:sz w:val="18"/>
      <w:szCs w:val="18"/>
    </w:rPr>
  </w:style>
  <w:style w:type="character" w:customStyle="1" w:styleId="317">
    <w:name w:val="hover22"/>
    <w:autoRedefine/>
    <w:qFormat/>
    <w:uiPriority w:val="0"/>
    <w:rPr>
      <w:color w:val="2B84B5"/>
    </w:rPr>
  </w:style>
  <w:style w:type="character" w:customStyle="1" w:styleId="318">
    <w:name w:val="正文文本缩进 3 Char2"/>
    <w:autoRedefine/>
    <w:qFormat/>
    <w:uiPriority w:val="0"/>
    <w:rPr>
      <w:rFonts w:eastAsia="等线 Light"/>
      <w:kern w:val="2"/>
      <w:sz w:val="21"/>
      <w:szCs w:val="21"/>
      <w:lang w:val="en-US" w:eastAsia="zh-CN" w:bidi="ar-SA"/>
    </w:rPr>
  </w:style>
  <w:style w:type="character" w:customStyle="1" w:styleId="319">
    <w:name w:val="脚注文本 Char2"/>
    <w:autoRedefine/>
    <w:semiHidden/>
    <w:qFormat/>
    <w:uiPriority w:val="99"/>
    <w:rPr>
      <w:rFonts w:ascii="等线 Light"/>
      <w:sz w:val="18"/>
      <w:szCs w:val="18"/>
    </w:rPr>
  </w:style>
  <w:style w:type="character" w:customStyle="1" w:styleId="320">
    <w:name w:val="ico1655"/>
    <w:basedOn w:val="57"/>
    <w:autoRedefine/>
    <w:qFormat/>
    <w:uiPriority w:val="0"/>
  </w:style>
  <w:style w:type="character" w:customStyle="1" w:styleId="321">
    <w:name w:val="huei12b1"/>
    <w:autoRedefine/>
    <w:qFormat/>
    <w:uiPriority w:val="0"/>
    <w:rPr>
      <w:b/>
      <w:bCs/>
      <w:color w:val="333333"/>
      <w:sz w:val="18"/>
      <w:szCs w:val="18"/>
    </w:rPr>
  </w:style>
  <w:style w:type="character" w:customStyle="1" w:styleId="322">
    <w:name w:val="普通(网站) 字符1"/>
    <w:autoRedefine/>
    <w:qFormat/>
    <w:locked/>
    <w:uiPriority w:val="0"/>
    <w:rPr>
      <w:rFonts w:ascii="等线 Light" w:hAnsi="等线 Light"/>
      <w:sz w:val="15"/>
      <w:szCs w:val="15"/>
    </w:rPr>
  </w:style>
  <w:style w:type="character" w:customStyle="1" w:styleId="323">
    <w:name w:val="ca-51"/>
    <w:autoRedefine/>
    <w:qFormat/>
    <w:uiPriority w:val="0"/>
    <w:rPr>
      <w:rFonts w:hint="eastAsia" w:ascii="微软雅黑" w:eastAsia="微软雅黑"/>
      <w:color w:val="FF00FF"/>
      <w:kern w:val="2"/>
      <w:sz w:val="32"/>
      <w:szCs w:val="32"/>
      <w:lang w:val="en-US" w:eastAsia="zh-CN" w:bidi="ar-SA"/>
    </w:rPr>
  </w:style>
  <w:style w:type="character" w:customStyle="1" w:styleId="324">
    <w:name w:val="_Style 323"/>
    <w:autoRedefine/>
    <w:qFormat/>
    <w:uiPriority w:val="33"/>
    <w:rPr>
      <w:rFonts w:eastAsia="等线 Light"/>
      <w:b/>
      <w:bCs/>
      <w:smallCaps/>
      <w:spacing w:val="5"/>
      <w:kern w:val="2"/>
      <w:sz w:val="24"/>
      <w:szCs w:val="24"/>
      <w:lang w:val="en-US" w:eastAsia="zh-CN" w:bidi="ar-SA"/>
    </w:rPr>
  </w:style>
  <w:style w:type="character" w:customStyle="1" w:styleId="325">
    <w:name w:val="font31"/>
    <w:basedOn w:val="57"/>
    <w:autoRedefine/>
    <w:qFormat/>
    <w:uiPriority w:val="0"/>
    <w:rPr>
      <w:rFonts w:ascii="黑体" w:hAnsi="黑体" w:eastAsia="黑体" w:cs="黑体"/>
      <w:color w:val="000000"/>
      <w:sz w:val="22"/>
      <w:szCs w:val="22"/>
      <w:u w:val="none"/>
    </w:rPr>
  </w:style>
  <w:style w:type="character" w:customStyle="1" w:styleId="326">
    <w:name w:val="ca-1"/>
    <w:autoRedefine/>
    <w:qFormat/>
    <w:uiPriority w:val="0"/>
  </w:style>
  <w:style w:type="character" w:customStyle="1" w:styleId="327">
    <w:name w:val="签名 Char3"/>
    <w:autoRedefine/>
    <w:semiHidden/>
    <w:qFormat/>
    <w:uiPriority w:val="99"/>
    <w:rPr>
      <w:rFonts w:ascii="等线 Light"/>
      <w:sz w:val="24"/>
      <w:szCs w:val="24"/>
    </w:rPr>
  </w:style>
  <w:style w:type="character" w:customStyle="1" w:styleId="328">
    <w:name w:val="pt9-hui-line201"/>
    <w:autoRedefine/>
    <w:qFormat/>
    <w:uiPriority w:val="0"/>
    <w:rPr>
      <w:color w:val="333333"/>
      <w:sz w:val="18"/>
      <w:szCs w:val="18"/>
      <w:u w:val="none"/>
    </w:rPr>
  </w:style>
  <w:style w:type="character" w:customStyle="1" w:styleId="329">
    <w:name w:val="纯文本 Char3"/>
    <w:autoRedefine/>
    <w:qFormat/>
    <w:uiPriority w:val="0"/>
    <w:rPr>
      <w:rFonts w:ascii="等线 Light" w:hAnsi="Helv" w:eastAsia="等线 Light"/>
      <w:kern w:val="2"/>
      <w:sz w:val="21"/>
      <w:szCs w:val="24"/>
      <w:lang w:val="en-US" w:eastAsia="zh-CN" w:bidi="ar-SA"/>
    </w:rPr>
  </w:style>
  <w:style w:type="character" w:customStyle="1" w:styleId="330">
    <w:name w:val="文档结构图 Char"/>
    <w:autoRedefine/>
    <w:qFormat/>
    <w:uiPriority w:val="99"/>
    <w:rPr>
      <w:rFonts w:ascii="幼圆" w:hAnsi="幼圆" w:eastAsia="等线 Light" w:cs="幼圆"/>
      <w:kern w:val="2"/>
      <w:sz w:val="24"/>
      <w:szCs w:val="24"/>
      <w:shd w:val="clear" w:color="auto" w:fill="000080"/>
      <w:lang w:val="en-US" w:eastAsia="zh-CN" w:bidi="ar-SA"/>
    </w:rPr>
  </w:style>
  <w:style w:type="character" w:customStyle="1" w:styleId="331">
    <w:name w:val="标书正文 字符"/>
    <w:link w:val="332"/>
    <w:autoRedefine/>
    <w:qFormat/>
    <w:uiPriority w:val="0"/>
    <w:rPr>
      <w:rFonts w:ascii="Arial Unicode MS" w:hAnsi="Arial Unicode MS" w:eastAsia="font-weight : 400"/>
      <w:kern w:val="2"/>
      <w:sz w:val="24"/>
      <w:szCs w:val="21"/>
    </w:rPr>
  </w:style>
  <w:style w:type="paragraph" w:customStyle="1" w:styleId="332">
    <w:name w:val="标书正文"/>
    <w:basedOn w:val="1"/>
    <w:link w:val="331"/>
    <w:autoRedefine/>
    <w:qFormat/>
    <w:uiPriority w:val="0"/>
    <w:pPr>
      <w:autoSpaceDE/>
      <w:autoSpaceDN/>
      <w:snapToGrid w:val="0"/>
      <w:spacing w:beforeLines="50" w:line="360" w:lineRule="auto"/>
      <w:ind w:firstLine="200" w:firstLineChars="200"/>
      <w:jc w:val="both"/>
    </w:pPr>
    <w:rPr>
      <w:rFonts w:ascii="Arial Unicode MS" w:hAnsi="Arial Unicode MS" w:eastAsia="font-weight : 400"/>
      <w:kern w:val="2"/>
      <w:szCs w:val="21"/>
    </w:rPr>
  </w:style>
  <w:style w:type="character" w:customStyle="1" w:styleId="333">
    <w:name w:val="正文文本 2 Char"/>
    <w:autoRedefine/>
    <w:qFormat/>
    <w:uiPriority w:val="0"/>
    <w:rPr>
      <w:rFonts w:ascii="等线 Light" w:hAnsi="等线 Light" w:eastAsia="等线 Light" w:cs="幼圆"/>
      <w:kern w:val="2"/>
      <w:sz w:val="24"/>
      <w:szCs w:val="24"/>
      <w:lang w:val="en-US" w:eastAsia="zh-CN" w:bidi="ar-SA"/>
    </w:rPr>
  </w:style>
  <w:style w:type="character" w:customStyle="1" w:styleId="334">
    <w:name w:val="t31"/>
    <w:autoRedefine/>
    <w:qFormat/>
    <w:uiPriority w:val="0"/>
    <w:rPr>
      <w:rFonts w:hint="eastAsia" w:ascii="等线 Light" w:hAnsi="等线 Light" w:eastAsia="等线 Light"/>
      <w:color w:val="000060"/>
      <w:sz w:val="28"/>
      <w:szCs w:val="28"/>
    </w:rPr>
  </w:style>
  <w:style w:type="character" w:customStyle="1" w:styleId="335">
    <w:name w:val="正文文本 字符1"/>
    <w:autoRedefine/>
    <w:qFormat/>
    <w:uiPriority w:val="0"/>
    <w:rPr>
      <w:rFonts w:ascii="等线 Light" w:eastAsia="等线 Light"/>
      <w:b/>
      <w:bCs/>
      <w:sz w:val="84"/>
      <w:szCs w:val="84"/>
      <w:lang w:val="zh-CN"/>
    </w:rPr>
  </w:style>
  <w:style w:type="character" w:customStyle="1" w:styleId="336">
    <w:name w:val="pagechatarealistclose_box"/>
    <w:basedOn w:val="57"/>
    <w:autoRedefine/>
    <w:qFormat/>
    <w:uiPriority w:val="0"/>
  </w:style>
  <w:style w:type="character" w:customStyle="1" w:styleId="337">
    <w:name w:val="签名 字符1"/>
    <w:autoRedefine/>
    <w:semiHidden/>
    <w:qFormat/>
    <w:uiPriority w:val="99"/>
    <w:rPr>
      <w:rFonts w:ascii="等线 Light"/>
      <w:sz w:val="24"/>
      <w:szCs w:val="24"/>
    </w:rPr>
  </w:style>
  <w:style w:type="character" w:customStyle="1" w:styleId="338">
    <w:name w:val="neir1"/>
    <w:autoRedefine/>
    <w:qFormat/>
    <w:uiPriority w:val="0"/>
    <w:rPr>
      <w:rFonts w:hint="default" w:ascii="等线" w:hAnsi="等线"/>
      <w:color w:val="333333"/>
      <w:sz w:val="21"/>
      <w:szCs w:val="21"/>
      <w:u w:val="none"/>
    </w:rPr>
  </w:style>
  <w:style w:type="character" w:customStyle="1" w:styleId="339">
    <w:name w:val="icon-weibo"/>
    <w:autoRedefine/>
    <w:qFormat/>
    <w:uiPriority w:val="0"/>
  </w:style>
  <w:style w:type="character" w:customStyle="1" w:styleId="340">
    <w:name w:val="标题 8 Char1"/>
    <w:autoRedefine/>
    <w:qFormat/>
    <w:uiPriority w:val="0"/>
    <w:rPr>
      <w:rFonts w:ascii="楷体_GB2312" w:hAnsi="楷体_GB2312" w:eastAsia="等线 Light"/>
      <w:color w:val="000000"/>
      <w:kern w:val="2"/>
      <w:sz w:val="32"/>
      <w:szCs w:val="21"/>
      <w:lang w:val="en-US" w:eastAsia="zh-CN" w:bidi="ar-SA"/>
    </w:rPr>
  </w:style>
  <w:style w:type="character" w:customStyle="1" w:styleId="341">
    <w:name w:val=" Char Char Char Char Char Char Char1 Char"/>
    <w:autoRedefine/>
    <w:qFormat/>
    <w:uiPriority w:val="0"/>
    <w:rPr>
      <w:rFonts w:ascii="PMingLiU" w:hAnsi="Lucida Grande" w:eastAsia="PMingLiU"/>
      <w:sz w:val="32"/>
      <w:szCs w:val="32"/>
      <w:lang w:val="en-US" w:eastAsia="en-US" w:bidi="ar-SA"/>
    </w:rPr>
  </w:style>
  <w:style w:type="character" w:customStyle="1" w:styleId="342">
    <w:name w:val="标题 31"/>
    <w:autoRedefine/>
    <w:qFormat/>
    <w:uiPriority w:val="0"/>
    <w:rPr>
      <w:rFonts w:eastAsia="等线 Light"/>
      <w:b/>
      <w:bCs/>
      <w:kern w:val="2"/>
      <w:sz w:val="32"/>
      <w:szCs w:val="32"/>
      <w:lang w:val="en-US" w:eastAsia="zh-CN" w:bidi="ar-SA"/>
    </w:rPr>
  </w:style>
  <w:style w:type="character" w:customStyle="1" w:styleId="343">
    <w:name w:val="标题 5 Char1"/>
    <w:autoRedefine/>
    <w:qFormat/>
    <w:uiPriority w:val="0"/>
    <w:rPr>
      <w:rFonts w:eastAsia="等线 Light"/>
      <w:b/>
      <w:bCs/>
      <w:kern w:val="2"/>
      <w:sz w:val="28"/>
      <w:szCs w:val="28"/>
      <w:lang w:val="en-US" w:eastAsia="zh-CN" w:bidi="ar-SA"/>
    </w:rPr>
  </w:style>
  <w:style w:type="paragraph" w:customStyle="1" w:styleId="344">
    <w:name w:val="xl38"/>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345">
    <w:name w:val="sma."/>
    <w:basedOn w:val="1"/>
    <w:autoRedefine/>
    <w:qFormat/>
    <w:uiPriority w:val="0"/>
    <w:pPr>
      <w:widowControl/>
      <w:tabs>
        <w:tab w:val="left" w:pos="1588"/>
      </w:tabs>
      <w:autoSpaceDE/>
      <w:autoSpaceDN/>
      <w:adjustRightInd/>
      <w:spacing w:before="240" w:line="240" w:lineRule="atLeast"/>
      <w:ind w:left="1588" w:hanging="454"/>
      <w:jc w:val="both"/>
    </w:pPr>
    <w:rPr>
      <w:rFonts w:ascii="Arial Unicode MS" w:hAnsi="Arial Unicode MS"/>
      <w:kern w:val="2"/>
    </w:rPr>
  </w:style>
  <w:style w:type="paragraph" w:customStyle="1" w:styleId="346">
    <w:name w:val="CM16"/>
    <w:basedOn w:val="347"/>
    <w:next w:val="347"/>
    <w:autoRedefine/>
    <w:qFormat/>
    <w:uiPriority w:val="99"/>
    <w:rPr>
      <w:rFonts w:ascii="等线 Light" w:hAnsi="Arial Unicode MS" w:eastAsia="等线 Light" w:cs="幼圆"/>
      <w:color w:val="auto"/>
    </w:rPr>
  </w:style>
  <w:style w:type="paragraph" w:customStyle="1" w:styleId="34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348">
    <w:name w:val="块引用"/>
    <w:basedOn w:val="1"/>
    <w:autoRedefine/>
    <w:qFormat/>
    <w:uiPriority w:val="0"/>
    <w:pPr>
      <w:keepLines/>
      <w:autoSpaceDE/>
      <w:autoSpaceDN/>
      <w:adjustRightInd/>
      <w:ind w:left="360" w:right="360"/>
      <w:jc w:val="center"/>
    </w:pPr>
    <w:rPr>
      <w:rFonts w:ascii="Arial Unicode MS" w:hAnsi="Arial Unicode MS"/>
      <w:i/>
      <w:kern w:val="2"/>
      <w:sz w:val="21"/>
    </w:rPr>
  </w:style>
  <w:style w:type="paragraph" w:customStyle="1" w:styleId="349">
    <w:name w:val="样式 加粗 段前: 7.8 磅 段后: 7.8 磅 行距: 固定值 20 磅"/>
    <w:basedOn w:val="1"/>
    <w:autoRedefine/>
    <w:qFormat/>
    <w:uiPriority w:val="0"/>
    <w:pPr>
      <w:autoSpaceDE/>
      <w:autoSpaceDN/>
      <w:adjustRightInd/>
      <w:spacing w:before="60" w:after="60" w:line="360" w:lineRule="exact"/>
      <w:jc w:val="both"/>
    </w:pPr>
    <w:rPr>
      <w:rFonts w:ascii="Arial Unicode MS" w:hAnsi="Arial Unicode MS" w:cs="等线 Light"/>
      <w:b/>
      <w:bCs/>
      <w:spacing w:val="-2"/>
      <w:kern w:val="2"/>
      <w:szCs w:val="20"/>
    </w:rPr>
  </w:style>
  <w:style w:type="paragraph" w:customStyle="1" w:styleId="350">
    <w:name w:val="14"/>
    <w:basedOn w:val="1"/>
    <w:autoRedefine/>
    <w:qFormat/>
    <w:uiPriority w:val="0"/>
    <w:pPr>
      <w:widowControl/>
      <w:autoSpaceDE/>
      <w:autoSpaceDN/>
      <w:adjustRightInd/>
      <w:spacing w:after="160" w:line="240" w:lineRule="exact"/>
    </w:pPr>
    <w:rPr>
      <w:rFonts w:ascii="Arial Unicode MS" w:hAnsi="Arial Unicode MS"/>
      <w:kern w:val="2"/>
      <w:sz w:val="21"/>
      <w:szCs w:val="20"/>
    </w:rPr>
  </w:style>
  <w:style w:type="paragraph" w:customStyle="1" w:styleId="351">
    <w:name w:val="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52">
    <w:name w:val="space"/>
    <w:autoRedefine/>
    <w:qFormat/>
    <w:uiPriority w:val="0"/>
    <w:rPr>
      <w:rFonts w:ascii="Arial Unicode MS" w:hAnsi="Arial Unicode MS" w:eastAsia="宋体" w:cs="Times New Roman"/>
      <w:caps/>
      <w:lang w:val="en-US" w:eastAsia="zh-CN" w:bidi="ar-SA"/>
    </w:rPr>
  </w:style>
  <w:style w:type="paragraph" w:customStyle="1" w:styleId="353">
    <w:name w:val="Pa8"/>
    <w:basedOn w:val="1"/>
    <w:next w:val="1"/>
    <w:autoRedefine/>
    <w:qFormat/>
    <w:uiPriority w:val="99"/>
    <w:pPr>
      <w:spacing w:line="181" w:lineRule="atLeast"/>
    </w:pPr>
    <w:rPr>
      <w:rFonts w:ascii="font-weight : 400" w:hAnsi="Arial Unicode MS" w:eastAsia="font-weight : 400"/>
    </w:rPr>
  </w:style>
  <w:style w:type="paragraph" w:customStyle="1" w:styleId="354">
    <w:name w:val=" Char"/>
    <w:basedOn w:val="17"/>
    <w:autoRedefine/>
    <w:qFormat/>
    <w:uiPriority w:val="0"/>
    <w:pPr>
      <w:autoSpaceDE/>
      <w:autoSpaceDN/>
      <w:spacing w:line="436" w:lineRule="exact"/>
      <w:ind w:left="357"/>
      <w:outlineLvl w:val="3"/>
    </w:pPr>
    <w:rPr>
      <w:rFonts w:ascii="Calibri" w:hAnsi="Calibri"/>
      <w:b/>
      <w:kern w:val="2"/>
    </w:rPr>
  </w:style>
  <w:style w:type="paragraph" w:customStyle="1" w:styleId="355">
    <w:name w:val="xl39"/>
    <w:basedOn w:val="1"/>
    <w:autoRedefine/>
    <w:qFormat/>
    <w:uiPriority w:val="0"/>
    <w:pPr>
      <w:widowControl/>
      <w:autoSpaceDE/>
      <w:autoSpaceDN/>
      <w:adjustRightInd/>
      <w:spacing w:before="100" w:beforeAutospacing="1" w:after="100" w:afterAutospacing="1"/>
      <w:jc w:val="center"/>
    </w:pPr>
    <w:rPr>
      <w:rFonts w:hAnsi="等线 Light"/>
    </w:rPr>
  </w:style>
  <w:style w:type="paragraph" w:customStyle="1" w:styleId="356">
    <w:name w:val="font9"/>
    <w:basedOn w:val="1"/>
    <w:autoRedefine/>
    <w:qFormat/>
    <w:uiPriority w:val="0"/>
    <w:pPr>
      <w:widowControl/>
      <w:autoSpaceDE/>
      <w:autoSpaceDN/>
      <w:adjustRightInd/>
      <w:spacing w:before="100" w:beforeAutospacing="1" w:after="100" w:afterAutospacing="1"/>
    </w:pPr>
    <w:rPr>
      <w:rFonts w:ascii="Arial Unicode MS" w:hAnsi="Arial Unicode MS"/>
    </w:rPr>
  </w:style>
  <w:style w:type="paragraph" w:customStyle="1" w:styleId="357">
    <w:name w:val="xl49"/>
    <w:basedOn w:val="1"/>
    <w:autoRedefine/>
    <w:qFormat/>
    <w:uiPriority w:val="0"/>
    <w:pPr>
      <w:widowControl/>
      <w:pBdr>
        <w:bottom w:val="single" w:color="auto" w:sz="4" w:space="0"/>
      </w:pBdr>
      <w:autoSpaceDE/>
      <w:autoSpaceDN/>
      <w:adjustRightInd/>
      <w:spacing w:before="100" w:beforeAutospacing="1" w:after="100" w:afterAutospacing="1"/>
    </w:pPr>
    <w:rPr>
      <w:rFonts w:hAnsi="等线 Light" w:cs="等线 Light"/>
    </w:rPr>
  </w:style>
  <w:style w:type="paragraph" w:customStyle="1" w:styleId="358">
    <w:name w:val="YB表格五号宋体"/>
    <w:basedOn w:val="1"/>
    <w:autoRedefine/>
    <w:qFormat/>
    <w:uiPriority w:val="0"/>
    <w:pPr>
      <w:autoSpaceDE/>
      <w:autoSpaceDN/>
      <w:snapToGrid w:val="0"/>
      <w:jc w:val="center"/>
    </w:pPr>
    <w:rPr>
      <w:rFonts w:ascii="Times New Roman" w:hAnsi="Times New Roman" w:eastAsia="宋体" w:cs="Times New Roman"/>
      <w:sz w:val="21"/>
      <w:szCs w:val="20"/>
    </w:rPr>
  </w:style>
  <w:style w:type="paragraph" w:customStyle="1" w:styleId="359">
    <w:name w:val="二级条标题"/>
    <w:basedOn w:val="360"/>
    <w:next w:val="362"/>
    <w:autoRedefine/>
    <w:qFormat/>
    <w:uiPriority w:val="0"/>
    <w:pPr>
      <w:numPr>
        <w:ilvl w:val="3"/>
        <w:numId w:val="3"/>
      </w:numPr>
      <w:tabs>
        <w:tab w:val="left" w:pos="360"/>
        <w:tab w:val="left" w:pos="840"/>
        <w:tab w:val="left" w:pos="1260"/>
        <w:tab w:val="left" w:pos="1680"/>
      </w:tabs>
      <w:outlineLvl w:val="3"/>
    </w:pPr>
  </w:style>
  <w:style w:type="paragraph" w:customStyle="1" w:styleId="360">
    <w:name w:val="一级条标题"/>
    <w:basedOn w:val="361"/>
    <w:next w:val="362"/>
    <w:autoRedefine/>
    <w:qFormat/>
    <w:uiPriority w:val="0"/>
    <w:pPr>
      <w:numPr>
        <w:ilvl w:val="2"/>
        <w:numId w:val="3"/>
      </w:numPr>
      <w:tabs>
        <w:tab w:val="left" w:pos="360"/>
        <w:tab w:val="left" w:pos="840"/>
        <w:tab w:val="left" w:pos="1260"/>
      </w:tabs>
      <w:spacing w:beforeLines="0" w:afterLines="0"/>
      <w:outlineLvl w:val="2"/>
    </w:pPr>
  </w:style>
  <w:style w:type="paragraph" w:customStyle="1" w:styleId="361">
    <w:name w:val="章标题"/>
    <w:next w:val="362"/>
    <w:autoRedefine/>
    <w:qFormat/>
    <w:uiPriority w:val="0"/>
    <w:pPr>
      <w:numPr>
        <w:ilvl w:val="1"/>
        <w:numId w:val="3"/>
      </w:numPr>
      <w:tabs>
        <w:tab w:val="left" w:pos="840"/>
      </w:tabs>
      <w:spacing w:beforeLines="50" w:afterLines="50"/>
      <w:jc w:val="both"/>
      <w:outlineLvl w:val="1"/>
    </w:pPr>
    <w:rPr>
      <w:rFonts w:ascii="PMingLiU" w:hAnsi="Arial Unicode MS" w:eastAsia="PMingLiU" w:cs="Times New Roman"/>
      <w:sz w:val="21"/>
      <w:lang w:val="en-US" w:eastAsia="zh-CN" w:bidi="ar-SA"/>
    </w:rPr>
  </w:style>
  <w:style w:type="paragraph" w:customStyle="1" w:styleId="362">
    <w:name w:val="段"/>
    <w:autoRedefine/>
    <w:qFormat/>
    <w:uiPriority w:val="0"/>
    <w:pPr>
      <w:autoSpaceDE w:val="0"/>
      <w:autoSpaceDN w:val="0"/>
      <w:ind w:firstLine="200" w:firstLineChars="200"/>
      <w:jc w:val="both"/>
    </w:pPr>
    <w:rPr>
      <w:rFonts w:ascii="等线 Light" w:hAnsi="Arial Unicode MS" w:eastAsia="宋体" w:cs="Times New Roman"/>
      <w:sz w:val="21"/>
      <w:lang w:val="en-US" w:eastAsia="zh-CN" w:bidi="ar-SA"/>
    </w:rPr>
  </w:style>
  <w:style w:type="paragraph" w:customStyle="1" w:styleId="363">
    <w:name w:val="List Paragraph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364">
    <w:name w:val="d"/>
    <w:basedOn w:val="1"/>
    <w:autoRedefine/>
    <w:qFormat/>
    <w:uiPriority w:val="0"/>
    <w:pPr>
      <w:overflowPunct w:val="0"/>
      <w:snapToGrid w:val="0"/>
      <w:spacing w:line="360" w:lineRule="auto"/>
      <w:ind w:left="709"/>
      <w:jc w:val="both"/>
    </w:pPr>
    <w:rPr>
      <w:rFonts w:ascii="Arial Unicode MS" w:hAnsi="Arial Unicode MS"/>
      <w:b/>
      <w:snapToGrid w:val="0"/>
      <w:sz w:val="21"/>
      <w:szCs w:val="21"/>
    </w:rPr>
  </w:style>
  <w:style w:type="paragraph" w:customStyle="1" w:styleId="36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6">
    <w:name w:val="三级条标题"/>
    <w:basedOn w:val="359"/>
    <w:next w:val="362"/>
    <w:autoRedefine/>
    <w:qFormat/>
    <w:uiPriority w:val="0"/>
    <w:pPr>
      <w:numPr>
        <w:ilvl w:val="4"/>
        <w:numId w:val="3"/>
      </w:numPr>
      <w:tabs>
        <w:tab w:val="left" w:pos="2100"/>
      </w:tabs>
      <w:outlineLvl w:val="4"/>
    </w:pPr>
  </w:style>
  <w:style w:type="paragraph" w:customStyle="1" w:styleId="367">
    <w:name w:val="样式 四号 行距: 1.5 倍行距"/>
    <w:basedOn w:val="1"/>
    <w:autoRedefine/>
    <w:qFormat/>
    <w:uiPriority w:val="0"/>
    <w:pPr>
      <w:autoSpaceDE/>
      <w:autoSpaceDN/>
      <w:snapToGrid w:val="0"/>
      <w:ind w:firstLine="420" w:firstLineChars="200"/>
      <w:jc w:val="both"/>
    </w:pPr>
    <w:rPr>
      <w:rFonts w:ascii="Arial Unicode MS" w:hAnsi="Arial Unicode MS" w:cs="等线 Light"/>
      <w:kern w:val="2"/>
      <w:sz w:val="21"/>
      <w:szCs w:val="21"/>
    </w:rPr>
  </w:style>
  <w:style w:type="paragraph" w:customStyle="1" w:styleId="368">
    <w:name w:val="xl45"/>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PMingLiU" w:hAnsi="等线 Light" w:eastAsia="PMingLiU"/>
      <w:sz w:val="26"/>
      <w:szCs w:val="26"/>
    </w:rPr>
  </w:style>
  <w:style w:type="paragraph" w:customStyle="1" w:styleId="369">
    <w:name w:val="表头"/>
    <w:basedOn w:val="15"/>
    <w:autoRedefine/>
    <w:qFormat/>
    <w:uiPriority w:val="0"/>
    <w:pPr>
      <w:keepNext/>
      <w:keepLines/>
      <w:widowControl/>
      <w:autoSpaceDE/>
      <w:autoSpaceDN/>
      <w:adjustRightInd/>
      <w:spacing w:before="120" w:after="120" w:line="300" w:lineRule="auto"/>
      <w:jc w:val="center"/>
      <w:textAlignment w:val="baseline"/>
    </w:pPr>
    <w:rPr>
      <w:rFonts w:cs="幼圆"/>
      <w:sz w:val="21"/>
    </w:rPr>
  </w:style>
  <w:style w:type="paragraph" w:customStyle="1" w:styleId="370">
    <w:name w:val="head"/>
    <w:basedOn w:val="1"/>
    <w:autoRedefine/>
    <w:qFormat/>
    <w:uiPriority w:val="0"/>
    <w:pPr>
      <w:widowControl/>
      <w:autoSpaceDE/>
      <w:autoSpaceDN/>
      <w:adjustRightInd/>
      <w:spacing w:before="100" w:beforeAutospacing="1" w:after="100" w:afterAutospacing="1"/>
      <w:jc w:val="center"/>
    </w:pPr>
    <w:rPr>
      <w:rFonts w:hint="eastAsia" w:ascii="PMingLiU" w:hAnsi="等线 Light" w:eastAsia="PMingLiU"/>
      <w:b/>
      <w:bCs/>
      <w:sz w:val="28"/>
      <w:szCs w:val="28"/>
    </w:rPr>
  </w:style>
  <w:style w:type="paragraph" w:customStyle="1" w:styleId="371">
    <w:name w:val="网格表 31"/>
    <w:basedOn w:val="3"/>
    <w:next w:val="1"/>
    <w:autoRedefine/>
    <w:unhideWhenUsed/>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372">
    <w:name w:val="xl24"/>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73">
    <w:name w:val="默认段落字体 Para Char Char Char Char Char Char Char"/>
    <w:basedOn w:val="1"/>
    <w:autoRedefine/>
    <w:qFormat/>
    <w:uiPriority w:val="0"/>
    <w:pPr>
      <w:autoSpaceDE/>
      <w:autoSpaceDN/>
      <w:adjustRightInd/>
      <w:jc w:val="both"/>
    </w:pPr>
    <w:rPr>
      <w:rFonts w:ascii="Arial Unicode MS" w:hAnsi="Arial Unicode MS"/>
      <w:kern w:val="2"/>
      <w:sz w:val="21"/>
      <w:szCs w:val="20"/>
    </w:rPr>
  </w:style>
  <w:style w:type="paragraph" w:customStyle="1" w:styleId="374">
    <w:name w:val="1册标题3"/>
    <w:basedOn w:val="1"/>
    <w:next w:val="1"/>
    <w:autoRedefine/>
    <w:qFormat/>
    <w:uiPriority w:val="0"/>
    <w:pPr>
      <w:keepNext/>
      <w:keepLines/>
      <w:autoSpaceDE/>
      <w:autoSpaceDN/>
      <w:spacing w:before="156" w:beforeLines="50" w:after="156" w:afterLines="50"/>
      <w:jc w:val="both"/>
      <w:textAlignment w:val="baseline"/>
      <w:outlineLvl w:val="2"/>
    </w:pPr>
    <w:rPr>
      <w:rFonts w:ascii="楷体_GB2312" w:hAnsi="楷体_GB2312" w:eastAsia="PMingLiU"/>
      <w:szCs w:val="20"/>
    </w:rPr>
  </w:style>
  <w:style w:type="paragraph" w:customStyle="1" w:styleId="375">
    <w:name w:val="12册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376">
    <w:name w:val="规正文"/>
    <w:basedOn w:val="1"/>
    <w:autoRedefine/>
    <w:qFormat/>
    <w:uiPriority w:val="0"/>
    <w:pPr>
      <w:autoSpaceDE/>
      <w:autoSpaceDN/>
      <w:adjustRightInd/>
      <w:ind w:firstLine="560" w:firstLineChars="200"/>
      <w:jc w:val="both"/>
    </w:pPr>
    <w:rPr>
      <w:rFonts w:ascii="Arial Unicode MS" w:hAnsi="Arial Unicode MS" w:eastAsia="等线 Light" w:cs="幼圆"/>
      <w:kern w:val="2"/>
      <w:sz w:val="28"/>
      <w:szCs w:val="28"/>
    </w:rPr>
  </w:style>
  <w:style w:type="paragraph" w:customStyle="1" w:styleId="377">
    <w:name w:val=" 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78">
    <w:name w:val="A."/>
    <w:basedOn w:val="1"/>
    <w:autoRedefine/>
    <w:qFormat/>
    <w:uiPriority w:val="0"/>
    <w:pPr>
      <w:widowControl/>
      <w:tabs>
        <w:tab w:val="left" w:pos="859"/>
        <w:tab w:val="left" w:pos="1200"/>
      </w:tabs>
      <w:autoSpaceDE/>
      <w:autoSpaceDN/>
      <w:adjustRightInd/>
      <w:spacing w:before="240" w:line="240" w:lineRule="atLeast"/>
      <w:ind w:left="859" w:hanging="453"/>
      <w:jc w:val="both"/>
    </w:pPr>
    <w:rPr>
      <w:rFonts w:ascii="Arial Unicode MS" w:hAnsi="Arial Unicode MS"/>
      <w:kern w:val="2"/>
    </w:rPr>
  </w:style>
  <w:style w:type="paragraph" w:customStyle="1" w:styleId="379">
    <w:name w:val="图"/>
    <w:basedOn w:val="1"/>
    <w:autoRedefine/>
    <w:qFormat/>
    <w:uiPriority w:val="0"/>
    <w:pPr>
      <w:keepNext/>
      <w:autoSpaceDE/>
      <w:autoSpaceDN/>
      <w:spacing w:before="60" w:after="60" w:line="300" w:lineRule="auto"/>
      <w:jc w:val="center"/>
      <w:textAlignment w:val="center"/>
    </w:pPr>
    <w:rPr>
      <w:rFonts w:ascii="幼圆"/>
      <w:snapToGrid w:val="0"/>
      <w:spacing w:val="20"/>
      <w:szCs w:val="20"/>
    </w:rPr>
  </w:style>
  <w:style w:type="paragraph" w:customStyle="1" w:styleId="380">
    <w:name w:val="正文[858D7CFB-ED40-4347-BF05-701D383B685F][858D7CFB-ED40-4347-BF05-701D383B685F]"/>
    <w:autoRedefine/>
    <w:qFormat/>
    <w:uiPriority w:val="0"/>
    <w:pPr>
      <w:widowControl w:val="0"/>
      <w:spacing w:line="360" w:lineRule="auto"/>
      <w:ind w:firstLine="200"/>
      <w:jc w:val="both"/>
    </w:pPr>
    <w:rPr>
      <w:rFonts w:ascii="_x001A_" w:hAnsi="_x001A_" w:eastAsia="宋体" w:cs="Times New Roman"/>
      <w:color w:val="000000"/>
      <w:kern w:val="2"/>
      <w:sz w:val="24"/>
      <w:lang w:val="en-US" w:eastAsia="zh-CN" w:bidi="ar-SA"/>
    </w:rPr>
  </w:style>
  <w:style w:type="paragraph" w:customStyle="1" w:styleId="381">
    <w:name w:val="Char Char1 Char Char Char Char Char Char Char Char Char Char Char Char Char"/>
    <w:basedOn w:val="1"/>
    <w:autoRedefine/>
    <w:qFormat/>
    <w:uiPriority w:val="0"/>
    <w:pPr>
      <w:widowControl/>
      <w:autoSpaceDE/>
      <w:autoSpaceDN/>
      <w:adjustRightInd/>
      <w:spacing w:after="160" w:line="360" w:lineRule="auto"/>
    </w:pPr>
    <w:rPr>
      <w:rFonts w:ascii="Lucida Grande" w:hAnsi="Lucida Grande"/>
      <w:sz w:val="21"/>
      <w:szCs w:val="20"/>
      <w:lang w:eastAsia="en-US"/>
    </w:rPr>
  </w:style>
  <w:style w:type="paragraph" w:customStyle="1" w:styleId="382">
    <w:name w:val="日期1"/>
    <w:basedOn w:val="1"/>
    <w:next w:val="1"/>
    <w:autoRedefine/>
    <w:qFormat/>
    <w:uiPriority w:val="0"/>
    <w:pPr>
      <w:autoSpaceDE/>
      <w:autoSpaceDN/>
      <w:adjustRightInd/>
      <w:ind w:left="100" w:leftChars="2500"/>
      <w:jc w:val="both"/>
    </w:pPr>
    <w:rPr>
      <w:rFonts w:ascii="Arial Unicode MS" w:hAnsi="Arial Unicode MS" w:eastAsia="ˎ̥"/>
      <w:kern w:val="2"/>
      <w:sz w:val="21"/>
    </w:rPr>
  </w:style>
  <w:style w:type="paragraph" w:customStyle="1" w:styleId="383">
    <w:name w:val="样式 标题 2H2Heading 2 HiddenHeading 2 CCBSh22nd levell2Titre...5"/>
    <w:basedOn w:val="2"/>
    <w:autoRedefine/>
    <w:qFormat/>
    <w:uiPriority w:val="0"/>
    <w:pPr>
      <w:keepLines/>
      <w:widowControl/>
      <w:autoSpaceDE/>
      <w:autoSpaceDN/>
      <w:spacing w:before="260" w:after="260" w:line="416" w:lineRule="auto"/>
      <w:jc w:val="both"/>
    </w:pPr>
    <w:rPr>
      <w:rFonts w:ascii="楷体_GB2312" w:hAnsi="楷体_GB2312" w:cs="等线 Light"/>
      <w:b/>
      <w:bCs/>
      <w:kern w:val="2"/>
      <w:sz w:val="32"/>
      <w:szCs w:val="20"/>
    </w:rPr>
  </w:style>
  <w:style w:type="paragraph" w:customStyle="1" w:styleId="384">
    <w:name w:val="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385">
    <w:name w:val="xl2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386">
    <w:name w:val="Char Char Char Char Char Char Char"/>
    <w:basedOn w:val="1"/>
    <w:autoRedefine/>
    <w:qFormat/>
    <w:uiPriority w:val="0"/>
    <w:pPr>
      <w:autoSpaceDE/>
      <w:autoSpaceDN/>
      <w:adjustRightInd/>
      <w:spacing w:line="360" w:lineRule="auto"/>
      <w:ind w:left="420" w:firstLine="420"/>
      <w:jc w:val="both"/>
    </w:pPr>
    <w:rPr>
      <w:rFonts w:ascii="Arial Unicode MS" w:hAnsi="Arial Unicode MS"/>
      <w:szCs w:val="21"/>
    </w:rPr>
  </w:style>
  <w:style w:type="paragraph" w:customStyle="1" w:styleId="387">
    <w:name w:val="修订2"/>
    <w:autoRedefine/>
    <w:unhideWhenUsed/>
    <w:qFormat/>
    <w:uiPriority w:val="99"/>
    <w:rPr>
      <w:rFonts w:ascii="Times New Roman" w:hAnsi="Times New Roman" w:eastAsia="宋体" w:cs="Times New Roman"/>
      <w:kern w:val="2"/>
      <w:sz w:val="21"/>
      <w:szCs w:val="22"/>
      <w:lang w:val="en-US" w:eastAsia="zh-CN" w:bidi="ar-SA"/>
    </w:rPr>
  </w:style>
  <w:style w:type="paragraph" w:customStyle="1" w:styleId="388">
    <w:name w:val="zhang"/>
    <w:basedOn w:val="1"/>
    <w:autoRedefine/>
    <w:qFormat/>
    <w:uiPriority w:val="0"/>
    <w:pPr>
      <w:autoSpaceDE/>
      <w:autoSpaceDN/>
      <w:adjustRightInd/>
      <w:ind w:firstLine="200" w:firstLineChars="200"/>
      <w:jc w:val="both"/>
    </w:pPr>
    <w:rPr>
      <w:rFonts w:ascii="Arial Unicode MS" w:hAnsi="Arial Unicode MS" w:eastAsia="微软雅黑"/>
      <w:bCs/>
      <w:kern w:val="2"/>
      <w:sz w:val="28"/>
      <w:szCs w:val="20"/>
    </w:rPr>
  </w:style>
  <w:style w:type="paragraph" w:customStyle="1" w:styleId="389">
    <w:name w:val="样式 标题 3头小节标题Heading 3 - oldh33rd levelH3l3CTLevel 3 Hea..."/>
    <w:basedOn w:val="2"/>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390">
    <w:name w:val="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391">
    <w:name w:val="Char2"/>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392">
    <w:name w:val=" Char1"/>
    <w:basedOn w:val="1"/>
    <w:autoRedefine/>
    <w:qFormat/>
    <w:uiPriority w:val="0"/>
    <w:pPr>
      <w:tabs>
        <w:tab w:val="left" w:pos="360"/>
      </w:tabs>
      <w:autoSpaceDE/>
      <w:autoSpaceDN/>
      <w:adjustRightInd/>
      <w:jc w:val="both"/>
    </w:pPr>
    <w:rPr>
      <w:rFonts w:ascii="Arial Unicode MS" w:hAnsi="Arial Unicode MS"/>
      <w:kern w:val="2"/>
    </w:rPr>
  </w:style>
  <w:style w:type="paragraph" w:customStyle="1" w:styleId="393">
    <w:name w:val="Char1 Char Char Char1 Char Char Char"/>
    <w:basedOn w:val="1"/>
    <w:autoRedefine/>
    <w:qFormat/>
    <w:uiPriority w:val="0"/>
    <w:pPr>
      <w:autoSpaceDE/>
      <w:autoSpaceDN/>
      <w:adjustRightInd/>
      <w:spacing w:line="360" w:lineRule="auto"/>
    </w:pPr>
    <w:rPr>
      <w:rFonts w:ascii="Arial Unicode MS" w:hAnsi="Arial Unicode MS"/>
      <w:kern w:val="2"/>
      <w:sz w:val="21"/>
    </w:rPr>
  </w:style>
  <w:style w:type="paragraph" w:customStyle="1" w:styleId="394">
    <w:name w:val="样式 样式 小四 首行缩进:  0.85 厘米 + 首行缩进:  2 字符"/>
    <w:basedOn w:val="1"/>
    <w:autoRedefine/>
    <w:qFormat/>
    <w:uiPriority w:val="0"/>
    <w:pPr>
      <w:autoSpaceDE/>
      <w:autoSpaceDN/>
      <w:snapToGrid w:val="0"/>
      <w:spacing w:line="360" w:lineRule="auto"/>
      <w:ind w:firstLine="584" w:firstLineChars="200"/>
      <w:jc w:val="both"/>
    </w:pPr>
    <w:rPr>
      <w:rFonts w:ascii="Arial Unicode MS" w:hAnsi="Arial Unicode MS" w:cs="等线 Light"/>
      <w:snapToGrid w:val="0"/>
      <w:sz w:val="28"/>
      <w:szCs w:val="28"/>
    </w:rPr>
  </w:style>
  <w:style w:type="paragraph" w:customStyle="1" w:styleId="395">
    <w:name w:val="xl40"/>
    <w:basedOn w:val="1"/>
    <w:autoRedefine/>
    <w:qFormat/>
    <w:uiPriority w:val="0"/>
    <w:pPr>
      <w:widowControl/>
      <w:autoSpaceDE/>
      <w:autoSpaceDN/>
      <w:adjustRightInd/>
      <w:spacing w:before="100" w:beforeAutospacing="1" w:after="100" w:afterAutospacing="1"/>
      <w:jc w:val="both"/>
    </w:pPr>
    <w:rPr>
      <w:rFonts w:hAnsi="等线 Light"/>
      <w:b/>
      <w:bCs/>
    </w:rPr>
  </w:style>
  <w:style w:type="paragraph" w:customStyle="1" w:styleId="396">
    <w:name w:val="表格"/>
    <w:basedOn w:val="1"/>
    <w:autoRedefine/>
    <w:qFormat/>
    <w:uiPriority w:val="0"/>
    <w:pPr>
      <w:autoSpaceDE/>
      <w:autoSpaceDN/>
      <w:adjustRightInd/>
      <w:spacing w:line="400" w:lineRule="atLeast"/>
      <w:jc w:val="both"/>
    </w:pPr>
    <w:rPr>
      <w:rFonts w:ascii="Arial Unicode MS" w:hAnsi="Arial Unicode MS"/>
      <w:b/>
      <w:bCs/>
      <w:color w:val="FF00FF"/>
      <w:kern w:val="2"/>
    </w:rPr>
  </w:style>
  <w:style w:type="paragraph" w:customStyle="1" w:styleId="397">
    <w:name w:val="xl31"/>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398">
    <w:name w:val="Char3"/>
    <w:basedOn w:val="1"/>
    <w:autoRedefine/>
    <w:qFormat/>
    <w:uiPriority w:val="99"/>
    <w:pPr>
      <w:widowControl/>
      <w:autoSpaceDE/>
      <w:autoSpaceDN/>
      <w:adjustRightInd/>
      <w:spacing w:line="400" w:lineRule="exact"/>
      <w:jc w:val="center"/>
    </w:pPr>
    <w:rPr>
      <w:rFonts w:ascii="Lucida Grande" w:hAnsi="Lucida Grande"/>
      <w:sz w:val="21"/>
      <w:szCs w:val="20"/>
      <w:lang w:eastAsia="en-US"/>
    </w:rPr>
  </w:style>
  <w:style w:type="paragraph" w:customStyle="1" w:styleId="399">
    <w:name w:val="p0"/>
    <w:basedOn w:val="1"/>
    <w:autoRedefine/>
    <w:qFormat/>
    <w:uiPriority w:val="0"/>
    <w:pPr>
      <w:widowControl/>
      <w:autoSpaceDE/>
      <w:autoSpaceDN/>
      <w:adjustRightInd/>
      <w:jc w:val="both"/>
    </w:pPr>
    <w:rPr>
      <w:rFonts w:ascii="Arial Unicode MS" w:hAnsi="Arial Unicode MS"/>
      <w:sz w:val="21"/>
      <w:szCs w:val="20"/>
    </w:rPr>
  </w:style>
  <w:style w:type="paragraph" w:customStyle="1" w:styleId="400">
    <w:name w:val="1)"/>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401">
    <w:name w:val="样式 标题 5五 + 首行缩进:  2 字符"/>
    <w:basedOn w:val="6"/>
    <w:autoRedefine/>
    <w:qFormat/>
    <w:uiPriority w:val="0"/>
    <w:pPr>
      <w:autoSpaceDE/>
      <w:autoSpaceDN/>
      <w:adjustRightInd/>
      <w:snapToGrid w:val="0"/>
      <w:spacing w:before="0" w:after="0" w:line="360" w:lineRule="auto"/>
      <w:ind w:firstLine="500" w:firstLineChars="200"/>
      <w:jc w:val="both"/>
    </w:pPr>
    <w:rPr>
      <w:rFonts w:ascii="Arial Unicode MS" w:hAnsi="Arial Unicode MS" w:cs="等线 Light"/>
      <w:b w:val="0"/>
      <w:bCs w:val="0"/>
      <w:spacing w:val="20"/>
      <w:kern w:val="2"/>
      <w:sz w:val="24"/>
      <w:szCs w:val="20"/>
    </w:rPr>
  </w:style>
  <w:style w:type="paragraph" w:customStyle="1" w:styleId="402">
    <w:name w:val="1册标题2"/>
    <w:basedOn w:val="4"/>
    <w:next w:val="1"/>
    <w:autoRedefine/>
    <w:qFormat/>
    <w:uiPriority w:val="0"/>
    <w:pPr>
      <w:autoSpaceDE/>
      <w:autoSpaceDN/>
      <w:adjustRightInd/>
      <w:jc w:val="both"/>
      <w:outlineLvl w:val="9"/>
    </w:pPr>
    <w:rPr>
      <w:rFonts w:hAnsi="等线 Light"/>
      <w:color w:val="008000"/>
      <w:kern w:val="2"/>
      <w:sz w:val="21"/>
      <w:szCs w:val="21"/>
    </w:rPr>
  </w:style>
  <w:style w:type="paragraph" w:customStyle="1" w:styleId="403">
    <w:name w:val="xl55"/>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404">
    <w:name w:val="首航所进"/>
    <w:basedOn w:val="1"/>
    <w:autoRedefine/>
    <w:qFormat/>
    <w:uiPriority w:val="0"/>
    <w:pPr>
      <w:autoSpaceDE/>
      <w:autoSpaceDN/>
      <w:adjustRightInd/>
      <w:spacing w:line="300" w:lineRule="auto"/>
      <w:ind w:firstLine="480" w:firstLineChars="200"/>
      <w:jc w:val="both"/>
    </w:pPr>
    <w:rPr>
      <w:rFonts w:ascii="Arial Unicode MS" w:hAnsi="Arial Unicode MS"/>
      <w:kern w:val="2"/>
    </w:rPr>
  </w:style>
  <w:style w:type="paragraph" w:customStyle="1" w:styleId="405">
    <w:name w:val="xl47"/>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pPr>
    <w:rPr>
      <w:rFonts w:hAnsi="等线 Light" w:cs="等线 Light"/>
    </w:rPr>
  </w:style>
  <w:style w:type="paragraph" w:customStyle="1" w:styleId="406">
    <w:name w:val="图/图注"/>
    <w:basedOn w:val="8"/>
    <w:autoRedefine/>
    <w:qFormat/>
    <w:uiPriority w:val="0"/>
    <w:pPr>
      <w:wordWrap/>
      <w:autoSpaceDE/>
      <w:autoSpaceDN/>
      <w:adjustRightInd/>
      <w:spacing w:before="50"/>
      <w:ind w:firstLine="0" w:firstLineChars="0"/>
      <w:jc w:val="center"/>
    </w:pPr>
    <w:rPr>
      <w:rFonts w:ascii="幼圆" w:eastAsia="PMingLiU"/>
      <w:b/>
      <w:kern w:val="2"/>
      <w:sz w:val="21"/>
      <w:szCs w:val="22"/>
    </w:rPr>
  </w:style>
  <w:style w:type="paragraph" w:customStyle="1" w:styleId="407">
    <w:name w:val="_Style 1"/>
    <w:basedOn w:val="1"/>
    <w:autoRedefine/>
    <w:qFormat/>
    <w:uiPriority w:val="34"/>
    <w:pPr>
      <w:autoSpaceDE/>
      <w:autoSpaceDN/>
      <w:adjustRightInd/>
      <w:ind w:firstLine="420" w:firstLineChars="200"/>
      <w:jc w:val="both"/>
    </w:pPr>
    <w:rPr>
      <w:rFonts w:ascii="Arial Unicode MS" w:hAnsi="Arial Unicode MS"/>
      <w:kern w:val="2"/>
      <w:sz w:val="21"/>
      <w:szCs w:val="20"/>
    </w:rPr>
  </w:style>
  <w:style w:type="paragraph" w:customStyle="1" w:styleId="408">
    <w:name w:val="font8"/>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rPr>
  </w:style>
  <w:style w:type="paragraph" w:customStyle="1" w:styleId="409">
    <w:name w:val="列出段落2"/>
    <w:basedOn w:val="1"/>
    <w:autoRedefine/>
    <w:unhideWhenUsed/>
    <w:qFormat/>
    <w:uiPriority w:val="34"/>
    <w:pPr>
      <w:ind w:firstLine="420" w:firstLineChars="200"/>
    </w:pPr>
  </w:style>
  <w:style w:type="paragraph" w:customStyle="1" w:styleId="410">
    <w:name w:val="_Style 26"/>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11">
    <w:name w:val="head3"/>
    <w:autoRedefine/>
    <w:qFormat/>
    <w:uiPriority w:val="0"/>
    <w:pPr>
      <w:spacing w:before="120" w:after="120"/>
    </w:pPr>
    <w:rPr>
      <w:rFonts w:ascii="等线 Light" w:hAnsi="Arial Unicode MS" w:eastAsia="宋体" w:cs="Times New Roman"/>
      <w:b/>
      <w:sz w:val="24"/>
      <w:lang w:val="en-US" w:eastAsia="zh-CN" w:bidi="ar-SA"/>
    </w:rPr>
  </w:style>
  <w:style w:type="paragraph" w:customStyle="1" w:styleId="412">
    <w:name w:val="_Style 142"/>
    <w:basedOn w:val="17"/>
    <w:autoRedefine/>
    <w:qFormat/>
    <w:uiPriority w:val="0"/>
    <w:pPr>
      <w:autoSpaceDE/>
      <w:autoSpaceDN/>
      <w:adjustRightInd/>
      <w:jc w:val="both"/>
    </w:pPr>
    <w:rPr>
      <w:rFonts w:ascii="Arial Unicode MS" w:hAnsi="Arial Unicode MS"/>
      <w:kern w:val="2"/>
      <w:sz w:val="21"/>
    </w:rPr>
  </w:style>
  <w:style w:type="paragraph" w:customStyle="1" w:styleId="413">
    <w:name w:val="批注框文本1"/>
    <w:basedOn w:val="1"/>
    <w:next w:val="38"/>
    <w:autoRedefine/>
    <w:qFormat/>
    <w:uiPriority w:val="0"/>
    <w:pPr>
      <w:autoSpaceDE/>
      <w:autoSpaceDN/>
      <w:adjustRightInd/>
      <w:jc w:val="both"/>
    </w:pPr>
    <w:rPr>
      <w:rFonts w:ascii="Arial Unicode MS" w:hAnsi="Arial Unicode MS" w:eastAsia="ˎ̥"/>
      <w:kern w:val="2"/>
      <w:sz w:val="18"/>
      <w:szCs w:val="18"/>
    </w:rPr>
  </w:style>
  <w:style w:type="paragraph" w:customStyle="1" w:styleId="414">
    <w:name w:val="无间隔1"/>
    <w:autoRedefine/>
    <w:qFormat/>
    <w:uiPriority w:val="1"/>
    <w:pPr>
      <w:widowControl w:val="0"/>
      <w:ind w:left="198" w:hanging="198"/>
      <w:jc w:val="center"/>
    </w:pPr>
    <w:rPr>
      <w:rFonts w:ascii="Arial Unicode MS" w:hAnsi="Arial Unicode MS" w:eastAsia="宋体" w:cs="Times New Roman"/>
      <w:kern w:val="2"/>
      <w:sz w:val="24"/>
      <w:szCs w:val="22"/>
      <w:lang w:val="en-US" w:eastAsia="zh-CN" w:bidi="ar-SA"/>
    </w:rPr>
  </w:style>
  <w:style w:type="paragraph" w:customStyle="1" w:styleId="415">
    <w:name w:val="Char Char1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sz w:val="20"/>
      <w:szCs w:val="20"/>
      <w:lang w:eastAsia="en-US"/>
    </w:rPr>
  </w:style>
  <w:style w:type="paragraph" w:customStyle="1" w:styleId="416">
    <w:name w:val="Char Char Char Char Char Char Char Char Char Char Char Char Char Char Char Char"/>
    <w:basedOn w:val="1"/>
    <w:autoRedefine/>
    <w:qFormat/>
    <w:uiPriority w:val="0"/>
    <w:pPr>
      <w:autoSpaceDE/>
      <w:autoSpaceDN/>
      <w:adjustRightInd/>
      <w:spacing w:line="330" w:lineRule="atLeast"/>
      <w:ind w:left="360" w:firstLine="360" w:firstLineChars="150"/>
    </w:pPr>
    <w:rPr>
      <w:rFonts w:ascii="等线" w:hAnsi="等线" w:cs="等线 Light"/>
      <w:color w:val="51585D"/>
      <w:szCs w:val="18"/>
    </w:rPr>
  </w:style>
  <w:style w:type="paragraph" w:customStyle="1" w:styleId="417">
    <w:name w:val="目录文字"/>
    <w:basedOn w:val="1"/>
    <w:autoRedefine/>
    <w:qFormat/>
    <w:uiPriority w:val="0"/>
    <w:pPr>
      <w:widowControl/>
      <w:autoSpaceDE/>
      <w:autoSpaceDN/>
      <w:adjustRightInd/>
      <w:spacing w:line="480" w:lineRule="auto"/>
    </w:pPr>
    <w:rPr>
      <w:rFonts w:hAnsi="等线 Light"/>
      <w:szCs w:val="20"/>
    </w:rPr>
  </w:style>
  <w:style w:type="paragraph" w:customStyle="1" w:styleId="418">
    <w:name w:val="默认段落字体 Para Char Char Char Char Char Char Char Char Char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419">
    <w:name w:val=" Char Char"/>
    <w:basedOn w:val="1"/>
    <w:autoRedefine/>
    <w:qFormat/>
    <w:uiPriority w:val="0"/>
    <w:pPr>
      <w:autoSpaceDE/>
      <w:autoSpaceDN/>
      <w:adjustRightInd/>
      <w:jc w:val="both"/>
    </w:pPr>
    <w:rPr>
      <w:rFonts w:ascii="Calibri" w:hAnsi="Calibri"/>
      <w:kern w:val="2"/>
      <w:szCs w:val="20"/>
    </w:rPr>
  </w:style>
  <w:style w:type="paragraph" w:customStyle="1" w:styleId="420">
    <w:name w:val="xl53"/>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21">
    <w:name w:val="Char Char Char Char"/>
    <w:basedOn w:val="17"/>
    <w:autoRedefine/>
    <w:qFormat/>
    <w:uiPriority w:val="0"/>
    <w:pPr>
      <w:autoSpaceDE/>
      <w:autoSpaceDN/>
      <w:adjustRightInd/>
      <w:jc w:val="both"/>
    </w:pPr>
    <w:rPr>
      <w:rFonts w:ascii="Arial Unicode MS" w:hAnsi="Arial Unicode MS"/>
      <w:kern w:val="2"/>
    </w:rPr>
  </w:style>
  <w:style w:type="paragraph" w:customStyle="1" w:styleId="422">
    <w:name w:val="xl57"/>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3">
    <w:name w:val="样式 四号 左 行距: 1.5 倍行距 首行缩进:  2 字符"/>
    <w:basedOn w:val="1"/>
    <w:autoRedefine/>
    <w:qFormat/>
    <w:uiPriority w:val="0"/>
    <w:pPr>
      <w:autoSpaceDE/>
      <w:autoSpaceDN/>
      <w:adjustRightInd/>
      <w:spacing w:line="360" w:lineRule="auto"/>
      <w:ind w:firstLine="560" w:firstLineChars="200"/>
    </w:pPr>
    <w:rPr>
      <w:rFonts w:ascii="Arial Unicode MS" w:hAnsi="Arial Unicode MS" w:cs="等线 Light"/>
      <w:kern w:val="2"/>
      <w:szCs w:val="20"/>
    </w:rPr>
  </w:style>
  <w:style w:type="paragraph" w:customStyle="1" w:styleId="424">
    <w:name w:val="保留正文"/>
    <w:basedOn w:val="22"/>
    <w:autoRedefine/>
    <w:qFormat/>
    <w:uiPriority w:val="0"/>
    <w:pPr>
      <w:keepNext/>
      <w:autoSpaceDE/>
      <w:autoSpaceDN/>
      <w:adjustRightInd/>
      <w:spacing w:after="160"/>
      <w:ind w:right="0"/>
      <w:jc w:val="both"/>
    </w:pPr>
    <w:rPr>
      <w:rFonts w:ascii="幼圆" w:hAnsi="幼圆"/>
      <w:b w:val="0"/>
      <w:bCs w:val="0"/>
      <w:kern w:val="2"/>
      <w:sz w:val="21"/>
      <w:szCs w:val="24"/>
      <w:lang w:val="en-US" w:eastAsia="zh-CN"/>
    </w:rPr>
  </w:style>
  <w:style w:type="paragraph" w:customStyle="1" w:styleId="425">
    <w:name w:val="表格内文字"/>
    <w:basedOn w:val="1"/>
    <w:autoRedefine/>
    <w:qFormat/>
    <w:uiPriority w:val="0"/>
    <w:pPr>
      <w:widowControl/>
      <w:autoSpaceDE/>
      <w:autoSpaceDN/>
      <w:snapToGrid w:val="0"/>
      <w:ind w:left="13" w:hanging="13" w:hangingChars="6"/>
      <w:jc w:val="center"/>
    </w:pPr>
    <w:rPr>
      <w:rFonts w:ascii="Arial Unicode MS" w:hAnsi="等线" w:eastAsia="微软雅黑"/>
      <w:snapToGrid w:val="0"/>
      <w:color w:val="333333"/>
      <w:sz w:val="21"/>
      <w:szCs w:val="21"/>
    </w:rPr>
  </w:style>
  <w:style w:type="paragraph" w:customStyle="1" w:styleId="426">
    <w:name w:val="标题5"/>
    <w:autoRedefine/>
    <w:qFormat/>
    <w:uiPriority w:val="0"/>
    <w:pPr>
      <w:adjustRightInd w:val="0"/>
      <w:spacing w:line="400" w:lineRule="exact"/>
      <w:textAlignment w:val="baseline"/>
    </w:pPr>
    <w:rPr>
      <w:rFonts w:ascii="Arial Unicode MS" w:hAnsi="Arial Unicode MS" w:eastAsia="微软雅黑" w:cs="Times New Roman"/>
      <w:b/>
      <w:sz w:val="24"/>
      <w:lang w:val="en-US" w:eastAsia="zh-CN" w:bidi="ar-SA"/>
    </w:rPr>
  </w:style>
  <w:style w:type="paragraph" w:customStyle="1" w:styleId="427">
    <w:name w:val="xl59"/>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428">
    <w:name w:val=" Char Char Char Char Char Char Char"/>
    <w:basedOn w:val="17"/>
    <w:autoRedefine/>
    <w:qFormat/>
    <w:uiPriority w:val="0"/>
    <w:pPr>
      <w:autoSpaceDE/>
      <w:autoSpaceDN/>
      <w:adjustRightInd/>
      <w:jc w:val="both"/>
    </w:pPr>
    <w:rPr>
      <w:rFonts w:ascii="Calibri" w:hAnsi="Calibri"/>
      <w:kern w:val="2"/>
      <w:szCs w:val="20"/>
    </w:rPr>
  </w:style>
  <w:style w:type="paragraph" w:customStyle="1" w:styleId="429">
    <w:name w:val="reader-word-layer"/>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30">
    <w:name w:val="正文缩进6格"/>
    <w:basedOn w:val="431"/>
    <w:autoRedefine/>
    <w:qFormat/>
    <w:uiPriority w:val="0"/>
    <w:pPr>
      <w:spacing w:line="600" w:lineRule="exact"/>
      <w:ind w:left="1758" w:leftChars="854" w:firstLine="403" w:firstLineChars="192"/>
      <w:jc w:val="left"/>
    </w:pPr>
    <w:rPr>
      <w:rFonts w:ascii="微软雅黑" w:eastAsia="微软雅黑"/>
      <w:kern w:val="2"/>
      <w:lang w:val="en-US" w:eastAsia="zh-CN"/>
    </w:rPr>
  </w:style>
  <w:style w:type="paragraph" w:customStyle="1" w:styleId="431">
    <w:name w:val="正文缩进4格"/>
    <w:basedOn w:val="187"/>
    <w:autoRedefine/>
    <w:qFormat/>
    <w:uiPriority w:val="0"/>
    <w:pPr>
      <w:spacing w:line="360" w:lineRule="auto"/>
      <w:ind w:left="964" w:leftChars="314" w:hanging="210" w:hangingChars="100"/>
    </w:pPr>
    <w:rPr>
      <w:rFonts w:ascii="等线 Light" w:eastAsia="等线 Light"/>
      <w:sz w:val="21"/>
      <w:szCs w:val="21"/>
      <w:lang w:val="zh-CN"/>
    </w:rPr>
  </w:style>
  <w:style w:type="paragraph" w:customStyle="1" w:styleId="432">
    <w:name w:val="样式 标题 3头小节标题Heading 3 - oldh33rd levelH3l3CTLevel 3 Hea...6"/>
    <w:basedOn w:val="2"/>
    <w:autoRedefine/>
    <w:qFormat/>
    <w:uiPriority w:val="0"/>
    <w:pPr>
      <w:keepNext/>
      <w:keepLines/>
      <w:tabs>
        <w:tab w:val="left" w:pos="964"/>
      </w:tabs>
      <w:autoSpaceDE/>
      <w:autoSpaceDN/>
      <w:adjustRightInd/>
      <w:spacing w:line="360" w:lineRule="auto"/>
      <w:jc w:val="both"/>
    </w:pPr>
    <w:rPr>
      <w:rFonts w:hAnsi="等线 Light"/>
      <w:bCs/>
      <w:szCs w:val="32"/>
    </w:rPr>
  </w:style>
  <w:style w:type="paragraph" w:customStyle="1" w:styleId="433">
    <w:name w:val="_Style 218"/>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434">
    <w:name w:val="af3-TBL-BR-1"/>
    <w:autoRedefine/>
    <w:qFormat/>
    <w:uiPriority w:val="0"/>
    <w:pPr>
      <w:widowControl w:val="0"/>
      <w:ind w:left="100" w:leftChars="2500"/>
      <w:jc w:val="both"/>
    </w:pPr>
    <w:rPr>
      <w:rFonts w:ascii="Arial Unicode MS" w:hAnsi="Arial Unicode MS" w:eastAsia="宋体" w:cs="Times New Roman"/>
      <w:kern w:val="2"/>
      <w:sz w:val="21"/>
      <w:szCs w:val="24"/>
      <w:lang w:val="en-US" w:eastAsia="zh-CN" w:bidi="ar-SA"/>
    </w:rPr>
  </w:style>
  <w:style w:type="paragraph" w:customStyle="1" w:styleId="435">
    <w:name w:val="Char1 Char Char Char"/>
    <w:basedOn w:val="1"/>
    <w:autoRedefine/>
    <w:qFormat/>
    <w:uiPriority w:val="0"/>
    <w:pPr>
      <w:tabs>
        <w:tab w:val="left" w:pos="4301"/>
      </w:tabs>
      <w:autoSpaceDE/>
      <w:autoSpaceDN/>
      <w:adjustRightInd/>
      <w:ind w:left="4301" w:hanging="420"/>
      <w:jc w:val="both"/>
    </w:pPr>
    <w:rPr>
      <w:rFonts w:ascii="Arial Unicode MS" w:hAnsi="Arial Unicode MS"/>
      <w:kern w:val="2"/>
    </w:rPr>
  </w:style>
  <w:style w:type="paragraph" w:customStyle="1" w:styleId="436">
    <w:name w:val="编号列项（三级）"/>
    <w:autoRedefine/>
    <w:qFormat/>
    <w:uiPriority w:val="0"/>
    <w:pPr>
      <w:ind w:left="800" w:leftChars="600" w:hanging="200" w:hangingChars="200"/>
    </w:pPr>
    <w:rPr>
      <w:rFonts w:ascii="等线 Light" w:hAnsi="Arial Unicode MS" w:eastAsia="宋体" w:cs="Times New Roman"/>
      <w:sz w:val="21"/>
      <w:lang w:val="en-US" w:eastAsia="zh-CN" w:bidi="ar-SA"/>
    </w:rPr>
  </w:style>
  <w:style w:type="paragraph" w:customStyle="1" w:styleId="437">
    <w:name w:val="pa-4"/>
    <w:basedOn w:val="1"/>
    <w:autoRedefine/>
    <w:qFormat/>
    <w:uiPriority w:val="0"/>
    <w:pPr>
      <w:widowControl/>
      <w:autoSpaceDE/>
      <w:autoSpaceDN/>
      <w:adjustRightInd/>
      <w:spacing w:line="360" w:lineRule="atLeast"/>
      <w:jc w:val="both"/>
    </w:pPr>
    <w:rPr>
      <w:rFonts w:hAnsi="等线 Light" w:cs="等线 Light"/>
    </w:rPr>
  </w:style>
  <w:style w:type="paragraph" w:customStyle="1" w:styleId="438">
    <w:name w:val="样式 标题 3 + (中文) 黑体 小四 非加粗 段前: 7.8 磅 段后: 0 磅 行距: 固定值 20 磅"/>
    <w:basedOn w:val="2"/>
    <w:autoRedefine/>
    <w:qFormat/>
    <w:uiPriority w:val="0"/>
    <w:pPr>
      <w:keepNext/>
      <w:keepLines/>
      <w:autoSpaceDE/>
      <w:autoSpaceDN/>
      <w:adjustRightInd/>
      <w:spacing w:line="400" w:lineRule="exact"/>
      <w:jc w:val="both"/>
    </w:pPr>
    <w:rPr>
      <w:rFonts w:ascii="Arial Unicode MS" w:hAnsi="Arial Unicode MS" w:eastAsia="PMingLiU" w:cs="等线 Light"/>
      <w:kern w:val="2"/>
      <w:szCs w:val="20"/>
    </w:rPr>
  </w:style>
  <w:style w:type="paragraph" w:customStyle="1" w:styleId="439">
    <w:name w:val="afff0-TBL-BR-1"/>
    <w:autoRedefine/>
    <w:qFormat/>
    <w:uiPriority w:val="0"/>
    <w:pPr>
      <w:spacing w:line="480" w:lineRule="auto"/>
    </w:pPr>
    <w:rPr>
      <w:rFonts w:ascii="等线 Light" w:hAnsi="等线 Light" w:eastAsia="宋体" w:cs="Times New Roman"/>
      <w:sz w:val="24"/>
      <w:lang w:val="en-US" w:eastAsia="zh-CN" w:bidi="ar-SA"/>
    </w:rPr>
  </w:style>
  <w:style w:type="paragraph" w:customStyle="1" w:styleId="440">
    <w:name w:val="0"/>
    <w:basedOn w:val="1"/>
    <w:autoRedefine/>
    <w:qFormat/>
    <w:uiPriority w:val="0"/>
    <w:pPr>
      <w:widowControl/>
      <w:autoSpaceDE/>
      <w:autoSpaceDN/>
      <w:adjustRightInd/>
      <w:spacing w:before="100" w:beforeAutospacing="1" w:after="100" w:afterAutospacing="1"/>
    </w:pPr>
    <w:rPr>
      <w:rFonts w:hAnsi="等线 Light" w:cs="等线 Light"/>
    </w:rPr>
  </w:style>
  <w:style w:type="paragraph" w:customStyle="1" w:styleId="441">
    <w:name w:val="修订3"/>
    <w:autoRedefine/>
    <w:qFormat/>
    <w:uiPriority w:val="99"/>
    <w:pPr>
      <w:tabs>
        <w:tab w:val="left" w:pos="840"/>
      </w:tabs>
    </w:pPr>
    <w:rPr>
      <w:rFonts w:ascii="Arial Unicode MS" w:hAnsi="Arial Unicode MS" w:eastAsia="宋体" w:cs="Times New Roman"/>
      <w:kern w:val="2"/>
      <w:sz w:val="21"/>
      <w:lang w:val="en-US" w:eastAsia="zh-CN" w:bidi="ar-SA"/>
    </w:rPr>
  </w:style>
  <w:style w:type="paragraph" w:customStyle="1" w:styleId="442">
    <w:name w:val="样式 标题 3头小节标题Heading 3 - oldh33rd levelH3l3CTLevel 3 Hea...4"/>
    <w:basedOn w:val="2"/>
    <w:autoRedefine/>
    <w:qFormat/>
    <w:uiPriority w:val="0"/>
    <w:pPr>
      <w:keepNext/>
      <w:keepLines/>
      <w:tabs>
        <w:tab w:val="left" w:pos="964"/>
      </w:tabs>
      <w:autoSpaceDE/>
      <w:autoSpaceDN/>
      <w:adjustRightInd/>
      <w:spacing w:line="360" w:lineRule="auto"/>
      <w:ind w:firstLine="200" w:firstLineChars="200"/>
      <w:jc w:val="both"/>
    </w:pPr>
    <w:rPr>
      <w:rFonts w:hAnsi="等线 Light" w:cs="等线 Light"/>
      <w:kern w:val="2"/>
      <w:szCs w:val="20"/>
    </w:rPr>
  </w:style>
  <w:style w:type="paragraph" w:customStyle="1" w:styleId="443">
    <w:name w:val="xl101"/>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444">
    <w:name w:val="Char Char Char Char Char Char Char Char Char Char Char Char1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5">
    <w:name w:val="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46">
    <w:name w:val="2册标题5"/>
    <w:basedOn w:val="447"/>
    <w:next w:val="1"/>
    <w:autoRedefine/>
    <w:qFormat/>
    <w:uiPriority w:val="0"/>
    <w:pPr>
      <w:ind w:left="720" w:leftChars="300"/>
      <w:outlineLvl w:val="4"/>
    </w:pPr>
    <w:rPr>
      <w:rFonts w:eastAsia="Cambria Math" w:cs="楷体_GB2312"/>
      <w:b/>
    </w:rPr>
  </w:style>
  <w:style w:type="paragraph" w:customStyle="1" w:styleId="447">
    <w:name w:val="2册标题4"/>
    <w:basedOn w:val="1"/>
    <w:next w:val="1"/>
    <w:autoRedefine/>
    <w:qFormat/>
    <w:uiPriority w:val="0"/>
    <w:pPr>
      <w:autoSpaceDE/>
      <w:autoSpaceDN/>
      <w:adjustRightInd/>
      <w:spacing w:before="156" w:beforeLines="50" w:after="156" w:afterLines="50"/>
      <w:ind w:left="480" w:leftChars="200"/>
      <w:jc w:val="both"/>
      <w:outlineLvl w:val="3"/>
    </w:pPr>
    <w:rPr>
      <w:rFonts w:ascii="楷体_GB2312" w:hAnsi="楷体_GB2312" w:eastAsia="PMingLiU"/>
      <w:kern w:val="2"/>
    </w:rPr>
  </w:style>
  <w:style w:type="paragraph" w:customStyle="1" w:styleId="448">
    <w:name w:val="È±Ê¡ÎÄ±¾"/>
    <w:basedOn w:val="1"/>
    <w:autoRedefine/>
    <w:qFormat/>
    <w:uiPriority w:val="0"/>
    <w:pPr>
      <w:widowControl/>
      <w:overflowPunct w:val="0"/>
      <w:textAlignment w:val="baseline"/>
    </w:pPr>
    <w:rPr>
      <w:rFonts w:ascii="Arial Unicode MS" w:hAnsi="Arial Unicode MS"/>
      <w:szCs w:val="20"/>
    </w:rPr>
  </w:style>
  <w:style w:type="paragraph" w:customStyle="1" w:styleId="449">
    <w:name w:val="1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b/>
      <w:bCs/>
      <w:kern w:val="2"/>
      <w:sz w:val="48"/>
      <w:szCs w:val="20"/>
    </w:rPr>
  </w:style>
  <w:style w:type="paragraph" w:customStyle="1" w:styleId="450">
    <w:name w:val="xl28"/>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51">
    <w:name w:val="i."/>
    <w:basedOn w:val="1"/>
    <w:autoRedefine/>
    <w:qFormat/>
    <w:uiPriority w:val="0"/>
    <w:pPr>
      <w:tabs>
        <w:tab w:val="left" w:pos="2041"/>
        <w:tab w:val="left" w:pos="2308"/>
      </w:tabs>
      <w:autoSpaceDE/>
      <w:autoSpaceDN/>
      <w:adjustRightInd/>
      <w:spacing w:before="60" w:after="60" w:line="264" w:lineRule="auto"/>
      <w:ind w:left="2041" w:hanging="453"/>
      <w:jc w:val="both"/>
    </w:pPr>
    <w:rPr>
      <w:rFonts w:ascii="Arial Unicode MS" w:hAnsi="Arial Unicode MS"/>
      <w:kern w:val="2"/>
      <w:sz w:val="22"/>
      <w:szCs w:val="22"/>
    </w:rPr>
  </w:style>
  <w:style w:type="paragraph" w:customStyle="1" w:styleId="452">
    <w:name w:val="Body Text(ch)1"/>
    <w:basedOn w:val="1"/>
    <w:next w:val="22"/>
    <w:autoRedefine/>
    <w:qFormat/>
    <w:uiPriority w:val="0"/>
    <w:pPr>
      <w:tabs>
        <w:tab w:val="left" w:pos="562"/>
        <w:tab w:val="left" w:pos="3372"/>
        <w:tab w:val="left" w:pos="3653"/>
      </w:tabs>
      <w:autoSpaceDE/>
      <w:autoSpaceDN/>
      <w:adjustRightInd/>
      <w:jc w:val="both"/>
    </w:pPr>
    <w:rPr>
      <w:rFonts w:ascii="Arial Unicode MS" w:hAnsi="Arial Unicode MS"/>
    </w:rPr>
  </w:style>
  <w:style w:type="paragraph" w:customStyle="1" w:styleId="453">
    <w:name w:val="样式 目录 4 + 首行缩进:  2 字符"/>
    <w:basedOn w:val="43"/>
    <w:autoRedefine/>
    <w:qFormat/>
    <w:uiPriority w:val="0"/>
    <w:pPr>
      <w:autoSpaceDE/>
      <w:autoSpaceDN/>
      <w:snapToGrid w:val="0"/>
      <w:ind w:firstLine="360" w:firstLineChars="400"/>
    </w:pPr>
    <w:rPr>
      <w:rFonts w:cs="等线 Light"/>
      <w:kern w:val="2"/>
      <w:szCs w:val="20"/>
    </w:rPr>
  </w:style>
  <w:style w:type="paragraph" w:customStyle="1" w:styleId="454">
    <w:name w:val="xl26"/>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455">
    <w:name w:val="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56">
    <w:name w:val="样式3"/>
    <w:basedOn w:val="26"/>
    <w:autoRedefine/>
    <w:qFormat/>
    <w:uiPriority w:val="0"/>
    <w:pPr>
      <w:autoSpaceDE/>
      <w:autoSpaceDN/>
      <w:adjustRightInd/>
      <w:spacing w:before="240" w:after="60" w:line="360" w:lineRule="auto"/>
      <w:ind w:left="0" w:firstLine="0" w:firstLineChars="0"/>
      <w:jc w:val="center"/>
    </w:pPr>
    <w:rPr>
      <w:rFonts w:ascii="幼圆" w:hAnsi="Arial Unicode MS" w:eastAsia="PMingLiU"/>
      <w:kern w:val="2"/>
      <w:szCs w:val="20"/>
    </w:rPr>
  </w:style>
  <w:style w:type="paragraph" w:customStyle="1" w:styleId="457">
    <w:name w:val="缺省文本"/>
    <w:basedOn w:val="1"/>
    <w:autoRedefine/>
    <w:qFormat/>
    <w:uiPriority w:val="0"/>
    <w:rPr>
      <w:rFonts w:ascii="Arial Unicode MS" w:hAnsi="Arial Unicode MS"/>
    </w:rPr>
  </w:style>
  <w:style w:type="paragraph" w:customStyle="1" w:styleId="458">
    <w:name w:val="6.3.5.5"/>
    <w:basedOn w:val="1"/>
    <w:autoRedefine/>
    <w:qFormat/>
    <w:uiPriority w:val="0"/>
    <w:pPr>
      <w:tabs>
        <w:tab w:val="left" w:pos="851"/>
      </w:tabs>
      <w:autoSpaceDE/>
      <w:autoSpaceDN/>
      <w:adjustRightInd/>
      <w:spacing w:before="120" w:after="120"/>
      <w:jc w:val="both"/>
    </w:pPr>
    <w:rPr>
      <w:rFonts w:ascii="Arial Unicode MS" w:hAnsi="Arial Unicode MS"/>
      <w:kern w:val="2"/>
      <w:szCs w:val="20"/>
    </w:rPr>
  </w:style>
  <w:style w:type="paragraph" w:customStyle="1" w:styleId="459">
    <w:name w:val="LED标题1"/>
    <w:basedOn w:val="1"/>
    <w:next w:val="1"/>
    <w:autoRedefine/>
    <w:qFormat/>
    <w:uiPriority w:val="0"/>
    <w:pPr>
      <w:autoSpaceDE/>
      <w:autoSpaceDN/>
      <w:adjustRightInd/>
      <w:spacing w:before="156" w:beforeLines="50" w:after="156" w:afterLines="50"/>
      <w:ind w:firstLine="320" w:firstLineChars="100"/>
      <w:jc w:val="center"/>
      <w:outlineLvl w:val="0"/>
    </w:pPr>
    <w:rPr>
      <w:rFonts w:ascii="楷体_GB2312" w:hAnsi="楷体_GB2312" w:eastAsia="PMingLiU"/>
      <w:color w:val="FF0000"/>
      <w:kern w:val="2"/>
      <w:sz w:val="32"/>
      <w:szCs w:val="32"/>
    </w:rPr>
  </w:style>
  <w:style w:type="paragraph" w:customStyle="1" w:styleId="460">
    <w:name w:val="修订1"/>
    <w:autoRedefine/>
    <w:unhideWhenUsed/>
    <w:qFormat/>
    <w:uiPriority w:val="0"/>
    <w:rPr>
      <w:rFonts w:ascii="Times New Roman" w:hAnsi="Times New Roman" w:eastAsia="宋体" w:cs="Times New Roman"/>
      <w:kern w:val="2"/>
      <w:sz w:val="21"/>
      <w:szCs w:val="22"/>
      <w:lang w:val="en-US" w:eastAsia="zh-CN" w:bidi="ar-SA"/>
    </w:rPr>
  </w:style>
  <w:style w:type="paragraph" w:customStyle="1" w:styleId="461">
    <w:name w:val=" Char Char Char Char Char Char Char Char Char Char Char Char Char"/>
    <w:basedOn w:val="17"/>
    <w:autoRedefine/>
    <w:qFormat/>
    <w:uiPriority w:val="0"/>
    <w:pPr>
      <w:autoSpaceDE/>
      <w:autoSpaceDN/>
      <w:adjustRightInd/>
      <w:jc w:val="both"/>
    </w:pPr>
    <w:rPr>
      <w:rFonts w:ascii="Arial Unicode MS" w:hAnsi="Arial Unicode MS"/>
      <w:kern w:val="2"/>
      <w:sz w:val="21"/>
      <w:szCs w:val="20"/>
    </w:rPr>
  </w:style>
  <w:style w:type="paragraph" w:customStyle="1" w:styleId="462">
    <w:name w:val="Graphics"/>
    <w:basedOn w:val="1"/>
    <w:autoRedefine/>
    <w:qFormat/>
    <w:uiPriority w:val="0"/>
    <w:pPr>
      <w:widowControl/>
      <w:autoSpaceDE/>
      <w:autoSpaceDN/>
      <w:adjustRightInd/>
      <w:spacing w:before="120"/>
    </w:pPr>
    <w:rPr>
      <w:rFonts w:ascii="Arial Unicode MS" w:hAnsi="Arial Unicode MS"/>
      <w:color w:val="000000"/>
      <w:sz w:val="20"/>
      <w:szCs w:val="20"/>
      <w:lang w:eastAsia="en-US"/>
    </w:rPr>
  </w:style>
  <w:style w:type="paragraph" w:customStyle="1" w:styleId="463">
    <w:name w:val="xl33"/>
    <w:basedOn w:val="1"/>
    <w:autoRedefine/>
    <w:qFormat/>
    <w:uiPriority w:val="0"/>
    <w:pPr>
      <w:widowControl/>
      <w:autoSpaceDE/>
      <w:autoSpaceDN/>
      <w:adjustRightInd/>
      <w:spacing w:before="100" w:beforeAutospacing="1" w:after="100" w:afterAutospacing="1"/>
    </w:pPr>
    <w:rPr>
      <w:rFonts w:hint="eastAsia" w:hAnsi="等线 Light"/>
      <w:sz w:val="20"/>
      <w:szCs w:val="20"/>
    </w:rPr>
  </w:style>
  <w:style w:type="paragraph" w:customStyle="1" w:styleId="464">
    <w:name w:val="Char Char Char Char Char Char Char Char Char Char Char Char1 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65">
    <w:name w:val="表内文"/>
    <w:autoRedefine/>
    <w:qFormat/>
    <w:uiPriority w:val="0"/>
    <w:rPr>
      <w:rFonts w:ascii="Arial Unicode MS" w:hAnsi="Arial Unicode MS" w:eastAsia="宋体" w:cs="Times New Roman"/>
      <w:kern w:val="2"/>
      <w:sz w:val="21"/>
      <w:szCs w:val="22"/>
      <w:lang w:val="en-US" w:eastAsia="zh-CN" w:bidi="ar-SA"/>
    </w:rPr>
  </w:style>
  <w:style w:type="paragraph" w:customStyle="1" w:styleId="466">
    <w:name w:val="编号1"/>
    <w:basedOn w:val="1"/>
    <w:autoRedefine/>
    <w:qFormat/>
    <w:uiPriority w:val="0"/>
    <w:pPr>
      <w:tabs>
        <w:tab w:val="left" w:pos="425"/>
        <w:tab w:val="left" w:pos="851"/>
      </w:tabs>
      <w:autoSpaceDE/>
      <w:autoSpaceDN/>
      <w:adjustRightInd/>
      <w:spacing w:line="360" w:lineRule="auto"/>
      <w:ind w:left="425" w:hanging="425"/>
    </w:pPr>
    <w:rPr>
      <w:rFonts w:hAnsi="等线 Light"/>
      <w:bCs/>
      <w:kern w:val="2"/>
      <w:szCs w:val="20"/>
    </w:rPr>
  </w:style>
  <w:style w:type="paragraph" w:customStyle="1" w:styleId="467">
    <w:name w:val="彩色底纹 - 着色 11"/>
    <w:autoRedefine/>
    <w:qFormat/>
    <w:uiPriority w:val="0"/>
    <w:rPr>
      <w:rFonts w:ascii="等线 Light" w:hAnsi="Times New Roman" w:eastAsia="宋体" w:cs="Times New Roman"/>
      <w:sz w:val="24"/>
      <w:szCs w:val="24"/>
      <w:lang w:val="en-US" w:eastAsia="zh-CN" w:bidi="ar-SA"/>
    </w:rPr>
  </w:style>
  <w:style w:type="paragraph" w:customStyle="1" w:styleId="468">
    <w:name w:val="默认段落字体 Para Char Char Char Char Char Char Char Char Char1 Char Char Char Char Char Char Char"/>
    <w:basedOn w:val="17"/>
    <w:autoRedefine/>
    <w:qFormat/>
    <w:uiPriority w:val="0"/>
    <w:pPr>
      <w:autoSpaceDE/>
      <w:autoSpaceDN/>
      <w:adjustRightInd/>
      <w:jc w:val="both"/>
    </w:pPr>
    <w:rPr>
      <w:rFonts w:ascii="Calibri" w:hAnsi="Calibri"/>
      <w:kern w:val="2"/>
    </w:rPr>
  </w:style>
  <w:style w:type="paragraph" w:customStyle="1" w:styleId="469">
    <w:name w:val="Char Char Char"/>
    <w:basedOn w:val="1"/>
    <w:autoRedefine/>
    <w:qFormat/>
    <w:uiPriority w:val="0"/>
    <w:pPr>
      <w:autoSpaceDE/>
      <w:autoSpaceDN/>
      <w:adjustRightInd/>
      <w:jc w:val="both"/>
    </w:pPr>
    <w:rPr>
      <w:rFonts w:ascii="Calibri" w:hAnsi="Calibri"/>
      <w:kern w:val="2"/>
      <w:szCs w:val="20"/>
    </w:rPr>
  </w:style>
  <w:style w:type="paragraph" w:customStyle="1" w:styleId="470">
    <w:name w:val="Blockquote"/>
    <w:basedOn w:val="1"/>
    <w:autoRedefine/>
    <w:qFormat/>
    <w:uiPriority w:val="0"/>
    <w:pPr>
      <w:spacing w:before="100" w:after="100"/>
      <w:ind w:left="360" w:right="360"/>
    </w:pPr>
    <w:rPr>
      <w:rFonts w:ascii="Arial Unicode MS" w:hAnsi="Arial Unicode MS"/>
      <w:szCs w:val="20"/>
    </w:rPr>
  </w:style>
  <w:style w:type="paragraph" w:customStyle="1" w:styleId="471">
    <w:name w:val="TOC 标题1"/>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72">
    <w:name w:val="xl58"/>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textAlignment w:val="center"/>
    </w:pPr>
    <w:rPr>
      <w:rFonts w:hAnsi="等线 Light"/>
    </w:rPr>
  </w:style>
  <w:style w:type="paragraph" w:customStyle="1" w:styleId="473">
    <w:name w:val="_Style 3"/>
    <w:basedOn w:val="1"/>
    <w:autoRedefine/>
    <w:qFormat/>
    <w:uiPriority w:val="34"/>
    <w:pPr>
      <w:ind w:firstLine="420" w:firstLineChars="200"/>
    </w:pPr>
    <w:rPr>
      <w:kern w:val="2"/>
      <w:sz w:val="21"/>
      <w:szCs w:val="24"/>
    </w:rPr>
  </w:style>
  <w:style w:type="paragraph" w:customStyle="1" w:styleId="474">
    <w:name w:val="xl22"/>
    <w:basedOn w:val="1"/>
    <w:autoRedefine/>
    <w:qFormat/>
    <w:uiPriority w:val="0"/>
    <w:pPr>
      <w:widowControl/>
      <w:autoSpaceDE/>
      <w:autoSpaceDN/>
      <w:adjustRightInd/>
      <w:spacing w:before="100" w:beforeAutospacing="1" w:after="100" w:afterAutospacing="1"/>
    </w:pPr>
    <w:rPr>
      <w:rFonts w:ascii="微软雅黑" w:hAnsi="等线 Light" w:eastAsia="微软雅黑" w:cs="等线 Light"/>
    </w:rPr>
  </w:style>
  <w:style w:type="paragraph" w:customStyle="1" w:styleId="475">
    <w:name w:val="附录章标题"/>
    <w:next w:val="362"/>
    <w:autoRedefine/>
    <w:qFormat/>
    <w:uiPriority w:val="0"/>
    <w:pPr>
      <w:numPr>
        <w:ilvl w:val="1"/>
        <w:numId w:val="4"/>
      </w:numPr>
      <w:tabs>
        <w:tab w:val="left" w:pos="1440"/>
      </w:tabs>
      <w:wordWrap w:val="0"/>
      <w:overflowPunct w:val="0"/>
      <w:autoSpaceDE w:val="0"/>
      <w:spacing w:beforeLines="50" w:afterLines="50"/>
      <w:jc w:val="both"/>
      <w:textAlignment w:val="baseline"/>
      <w:outlineLvl w:val="1"/>
    </w:pPr>
    <w:rPr>
      <w:rFonts w:ascii="PMingLiU" w:hAnsi="Arial Unicode MS" w:eastAsia="PMingLiU" w:cs="Times New Roman"/>
      <w:kern w:val="21"/>
      <w:sz w:val="21"/>
      <w:lang w:val="en-US" w:eastAsia="zh-CN" w:bidi="ar-SA"/>
    </w:rPr>
  </w:style>
  <w:style w:type="paragraph" w:customStyle="1" w:styleId="476">
    <w:name w:val=" 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477">
    <w:name w:val="注×："/>
    <w:autoRedefine/>
    <w:qFormat/>
    <w:uiPriority w:val="0"/>
    <w:pPr>
      <w:widowControl w:val="0"/>
      <w:numPr>
        <w:ilvl w:val="0"/>
        <w:numId w:val="5"/>
      </w:numPr>
      <w:tabs>
        <w:tab w:val="left" w:pos="630"/>
        <w:tab w:val="left" w:pos="3444"/>
      </w:tabs>
      <w:autoSpaceDE w:val="0"/>
      <w:autoSpaceDN w:val="0"/>
      <w:jc w:val="both"/>
    </w:pPr>
    <w:rPr>
      <w:rFonts w:ascii="等线 Light" w:hAnsi="Arial Unicode MS" w:eastAsia="宋体" w:cs="Times New Roman"/>
      <w:sz w:val="18"/>
      <w:lang w:val="en-US" w:eastAsia="zh-CN" w:bidi="ar-SA"/>
    </w:rPr>
  </w:style>
  <w:style w:type="paragraph" w:customStyle="1" w:styleId="478">
    <w:name w:val="Level2Bullet"/>
    <w:basedOn w:val="1"/>
    <w:autoRedefine/>
    <w:qFormat/>
    <w:uiPriority w:val="0"/>
    <w:pPr>
      <w:widowControl/>
      <w:numPr>
        <w:ilvl w:val="8"/>
        <w:numId w:val="6"/>
      </w:numPr>
      <w:tabs>
        <w:tab w:val="left" w:pos="3969"/>
        <w:tab w:val="left" w:pos="5954"/>
        <w:tab w:val="left" w:pos="7938"/>
      </w:tabs>
      <w:autoSpaceDE/>
      <w:autoSpaceDN/>
      <w:adjustRightInd/>
      <w:ind w:left="2268" w:hanging="283"/>
    </w:pPr>
    <w:rPr>
      <w:rFonts w:ascii="Cambria" w:hAnsi="Cambria"/>
      <w:sz w:val="20"/>
      <w:szCs w:val="20"/>
      <w:lang w:val="en-GB"/>
    </w:rPr>
  </w:style>
  <w:style w:type="paragraph" w:customStyle="1" w:styleId="479">
    <w:name w:val="2册标题1"/>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32"/>
      <w:szCs w:val="32"/>
    </w:rPr>
  </w:style>
  <w:style w:type="paragraph" w:customStyle="1" w:styleId="480">
    <w:name w:val="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Arial Unicode MS" w:hAnsi="Arial Unicode MS"/>
      <w:kern w:val="2"/>
    </w:rPr>
  </w:style>
  <w:style w:type="paragraph" w:customStyle="1" w:styleId="481">
    <w:name w:val="批注文字1"/>
    <w:basedOn w:val="1"/>
    <w:next w:val="19"/>
    <w:autoRedefine/>
    <w:qFormat/>
    <w:uiPriority w:val="0"/>
    <w:pPr>
      <w:autoSpaceDE/>
      <w:autoSpaceDN/>
      <w:spacing w:line="360" w:lineRule="atLeast"/>
      <w:ind w:firstLine="480" w:firstLineChars="200"/>
      <w:textAlignment w:val="baseline"/>
    </w:pPr>
    <w:rPr>
      <w:rFonts w:ascii="Arial Unicode MS" w:hAnsi="Arial Unicode MS"/>
      <w:kern w:val="2"/>
      <w:szCs w:val="22"/>
    </w:rPr>
  </w:style>
  <w:style w:type="paragraph" w:customStyle="1" w:styleId="482">
    <w:name w:val="Table Text"/>
    <w:autoRedefine/>
    <w:qFormat/>
    <w:uiPriority w:val="0"/>
    <w:pPr>
      <w:snapToGrid w:val="0"/>
      <w:spacing w:before="80" w:after="80"/>
      <w:ind w:left="51"/>
    </w:pPr>
    <w:rPr>
      <w:rFonts w:ascii="楷体_GB2312" w:hAnsi="楷体_GB2312" w:eastAsia="宋体" w:cs="Times New Roman"/>
      <w:sz w:val="21"/>
      <w:lang w:val="en-US" w:eastAsia="zh-CN" w:bidi="ar-SA"/>
    </w:rPr>
  </w:style>
  <w:style w:type="paragraph" w:customStyle="1" w:styleId="483">
    <w:name w:val="样式 标题 3头小节标题Heading 3 - oldh33rd levelH3l3CTLevel 3 Hea...1"/>
    <w:basedOn w:val="2"/>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484">
    <w:name w:val="表格文字居中"/>
    <w:basedOn w:val="137"/>
    <w:autoRedefine/>
    <w:qFormat/>
    <w:uiPriority w:val="0"/>
    <w:pPr>
      <w:jc w:val="center"/>
    </w:pPr>
    <w:rPr>
      <w:rFonts w:cs="等线 Light"/>
      <w:szCs w:val="20"/>
    </w:rPr>
  </w:style>
  <w:style w:type="paragraph" w:customStyle="1" w:styleId="485">
    <w:name w:val="xl6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486">
    <w:name w:val="TOC 标题2"/>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487">
    <w:name w:val="xl35"/>
    <w:basedOn w:val="1"/>
    <w:autoRedefine/>
    <w:qFormat/>
    <w:uiPriority w:val="0"/>
    <w:pPr>
      <w:widowControl/>
      <w:pBdr>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488">
    <w:name w:val="af0-TBL-BR-1-TBL-BR-1"/>
    <w:autoRedefine/>
    <w:qFormat/>
    <w:uiPriority w:val="0"/>
    <w:pPr>
      <w:widowControl w:val="0"/>
      <w:ind w:left="100" w:leftChars="2500"/>
      <w:jc w:val="both"/>
    </w:pPr>
    <w:rPr>
      <w:rFonts w:ascii="Arial Unicode MS" w:hAnsi="Arial Unicode MS" w:eastAsia="Verdana" w:cs="Times New Roman"/>
      <w:kern w:val="2"/>
      <w:sz w:val="21"/>
      <w:szCs w:val="24"/>
      <w:lang w:val="en-US" w:eastAsia="zh-CN" w:bidi="ar-SA"/>
    </w:rPr>
  </w:style>
  <w:style w:type="paragraph" w:customStyle="1" w:styleId="489">
    <w:name w:val="Default Paragraph Font Para Char"/>
    <w:basedOn w:val="1"/>
    <w:autoRedefine/>
    <w:qFormat/>
    <w:uiPriority w:val="0"/>
    <w:pPr>
      <w:widowControl/>
      <w:autoSpaceDE/>
      <w:autoSpaceDN/>
      <w:adjustRightInd/>
      <w:spacing w:after="160" w:line="240" w:lineRule="exact"/>
    </w:pPr>
    <w:rPr>
      <w:rFonts w:ascii="Arial Unicode MS" w:hAnsi="Arial Unicode MS"/>
      <w:kern w:val="2"/>
      <w:sz w:val="21"/>
    </w:rPr>
  </w:style>
  <w:style w:type="paragraph" w:customStyle="1" w:styleId="490">
    <w:name w:val="pa-3"/>
    <w:basedOn w:val="1"/>
    <w:autoRedefine/>
    <w:qFormat/>
    <w:uiPriority w:val="0"/>
    <w:pPr>
      <w:widowControl/>
      <w:autoSpaceDE/>
      <w:autoSpaceDN/>
      <w:adjustRightInd/>
      <w:spacing w:line="360" w:lineRule="atLeast"/>
      <w:ind w:firstLine="640"/>
      <w:jc w:val="both"/>
    </w:pPr>
    <w:rPr>
      <w:rFonts w:hAnsi="等线 Light" w:cs="等线 Light"/>
    </w:rPr>
  </w:style>
  <w:style w:type="paragraph" w:customStyle="1" w:styleId="491">
    <w:name w:val="样式 左侧:  0 厘米 悬挂缩进: 2.5 字符"/>
    <w:basedOn w:val="1"/>
    <w:autoRedefine/>
    <w:qFormat/>
    <w:uiPriority w:val="0"/>
    <w:pPr>
      <w:autoSpaceDE/>
      <w:autoSpaceDN/>
      <w:adjustRightInd/>
      <w:ind w:left="525" w:hanging="525" w:hangingChars="250"/>
      <w:jc w:val="both"/>
    </w:pPr>
    <w:rPr>
      <w:rFonts w:ascii="Arial Unicode MS" w:hAnsi="Arial Unicode MS"/>
      <w:kern w:val="2"/>
      <w:sz w:val="21"/>
      <w:szCs w:val="20"/>
    </w:rPr>
  </w:style>
  <w:style w:type="paragraph" w:customStyle="1" w:styleId="492">
    <w:name w:val="正文 + 仿宋_GB2312"/>
    <w:basedOn w:val="1"/>
    <w:autoRedefine/>
    <w:qFormat/>
    <w:uiPriority w:val="99"/>
    <w:pPr>
      <w:tabs>
        <w:tab w:val="left" w:pos="-720"/>
      </w:tabs>
      <w:spacing w:line="360" w:lineRule="auto"/>
      <w:ind w:firstLine="620"/>
    </w:pPr>
    <w:rPr>
      <w:rFonts w:ascii="微软雅黑" w:hAnsi="等线 Light" w:cs="等线 Light"/>
      <w:bCs/>
      <w:sz w:val="31"/>
      <w:szCs w:val="31"/>
    </w:rPr>
  </w:style>
  <w:style w:type="paragraph" w:customStyle="1" w:styleId="493">
    <w:name w:val="默认段落字体 Para Char Char Char Char"/>
    <w:basedOn w:val="1"/>
    <w:autoRedefine/>
    <w:qFormat/>
    <w:uiPriority w:val="0"/>
    <w:pPr>
      <w:keepNext/>
      <w:tabs>
        <w:tab w:val="left" w:pos="2940"/>
      </w:tabs>
      <w:ind w:hanging="420"/>
    </w:pPr>
    <w:rPr>
      <w:rFonts w:ascii="Arial Unicode MS" w:hAnsi="Arial Unicode MS"/>
      <w:sz w:val="20"/>
      <w:szCs w:val="20"/>
    </w:rPr>
  </w:style>
  <w:style w:type="paragraph" w:customStyle="1" w:styleId="494">
    <w:name w:val="xl56"/>
    <w:basedOn w:val="1"/>
    <w:autoRedefine/>
    <w:qFormat/>
    <w:uiPriority w:val="0"/>
    <w:pPr>
      <w:widowControl/>
      <w:pBdr>
        <w:top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hAnsi="等线 Light"/>
    </w:rPr>
  </w:style>
  <w:style w:type="paragraph" w:customStyle="1" w:styleId="495">
    <w:name w:val="样式 标题 5 + 非加粗 自动设置"/>
    <w:basedOn w:val="6"/>
    <w:autoRedefine/>
    <w:qFormat/>
    <w:uiPriority w:val="0"/>
    <w:pPr>
      <w:numPr>
        <w:ilvl w:val="4"/>
        <w:numId w:val="3"/>
      </w:numPr>
      <w:tabs>
        <w:tab w:val="left" w:pos="2100"/>
        <w:tab w:val="left" w:pos="2551"/>
      </w:tabs>
      <w:autoSpaceDE/>
      <w:autoSpaceDN/>
      <w:snapToGrid w:val="0"/>
      <w:spacing w:before="0" w:after="0" w:line="360" w:lineRule="auto"/>
      <w:jc w:val="both"/>
      <w:textAlignment w:val="baseline"/>
    </w:pPr>
    <w:rPr>
      <w:rFonts w:hAnsi="Arial Unicode MS"/>
      <w:b w:val="0"/>
      <w:bCs w:val="0"/>
      <w:kern w:val="2"/>
      <w:sz w:val="21"/>
      <w:szCs w:val="21"/>
    </w:rPr>
  </w:style>
  <w:style w:type="paragraph" w:customStyle="1" w:styleId="496">
    <w:name w:val="xl41"/>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ascii="Arial Unicode MS" w:hAnsi="Arial Unicode MS"/>
    </w:rPr>
  </w:style>
  <w:style w:type="paragraph" w:customStyle="1" w:styleId="497">
    <w:name w:val="xl46"/>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jc w:val="center"/>
      <w:textAlignment w:val="top"/>
    </w:pPr>
    <w:rPr>
      <w:rFonts w:ascii="等线 Light" w:hAnsi="等线 Light" w:eastAsia="等线 Light" w:cs="等线 Light"/>
      <w:sz w:val="20"/>
      <w:szCs w:val="20"/>
    </w:rPr>
  </w:style>
  <w:style w:type="paragraph" w:customStyle="1" w:styleId="498">
    <w:name w:val="方案标题3"/>
    <w:basedOn w:val="1"/>
    <w:next w:val="1"/>
    <w:autoRedefine/>
    <w:qFormat/>
    <w:uiPriority w:val="0"/>
    <w:pPr>
      <w:keepLines/>
      <w:numPr>
        <w:ilvl w:val="2"/>
        <w:numId w:val="7"/>
      </w:numPr>
      <w:tabs>
        <w:tab w:val="left" w:pos="360"/>
        <w:tab w:val="left" w:pos="1200"/>
        <w:tab w:val="left" w:pos="2160"/>
        <w:tab w:val="left" w:pos="3300"/>
      </w:tabs>
      <w:autoSpaceDE/>
      <w:autoSpaceDN/>
      <w:spacing w:before="200" w:after="40"/>
      <w:jc w:val="both"/>
      <w:outlineLvl w:val="2"/>
    </w:pPr>
    <w:rPr>
      <w:rFonts w:ascii="楷体_GB2312" w:hAnsi="楷体_GB2312" w:eastAsia="PMingLiU"/>
      <w:spacing w:val="14"/>
      <w:sz w:val="28"/>
      <w:szCs w:val="20"/>
    </w:rPr>
  </w:style>
  <w:style w:type="paragraph" w:customStyle="1" w:styleId="499">
    <w:name w:val="3"/>
    <w:basedOn w:val="1"/>
    <w:next w:val="500"/>
    <w:autoRedefine/>
    <w:qFormat/>
    <w:uiPriority w:val="34"/>
    <w:pPr>
      <w:autoSpaceDE/>
      <w:autoSpaceDN/>
      <w:adjustRightInd/>
      <w:ind w:firstLine="420" w:firstLineChars="200"/>
      <w:jc w:val="both"/>
    </w:pPr>
    <w:rPr>
      <w:rFonts w:ascii="Arial Unicode MS" w:hAnsi="Arial Unicode MS"/>
      <w:kern w:val="2"/>
      <w:sz w:val="21"/>
      <w:szCs w:val="22"/>
    </w:rPr>
  </w:style>
  <w:style w:type="paragraph" w:styleId="500">
    <w:name w:val="List Paragraph"/>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01">
    <w:name w:val="Char Char Char Char Char Char1 Char Char Char Char Char Char Char Char Char Char Char Char Char Char Char Char Char Char Char Char Char Char Char Char Char Char Char Char Char Char Char Char Char 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2">
    <w:name w:val="affa-TBL-BR-1"/>
    <w:autoRedefine/>
    <w:qFormat/>
    <w:uiPriority w:val="0"/>
    <w:pPr>
      <w:spacing w:line="480" w:lineRule="auto"/>
    </w:pPr>
    <w:rPr>
      <w:rFonts w:ascii="等线 Light" w:hAnsi="等线 Light" w:eastAsia="Courier New" w:cs="Times New Roman"/>
      <w:sz w:val="24"/>
      <w:lang w:val="en-US" w:eastAsia="zh-CN" w:bidi="ar-SA"/>
    </w:rPr>
  </w:style>
  <w:style w:type="paragraph" w:customStyle="1" w:styleId="503">
    <w:name w:val="样式 四号 红色 行距: 1.5 倍行距"/>
    <w:basedOn w:val="1"/>
    <w:autoRedefine/>
    <w:qFormat/>
    <w:uiPriority w:val="0"/>
    <w:pPr>
      <w:autoSpaceDE/>
      <w:autoSpaceDN/>
      <w:snapToGrid w:val="0"/>
      <w:spacing w:line="360" w:lineRule="auto"/>
      <w:jc w:val="both"/>
    </w:pPr>
    <w:rPr>
      <w:rFonts w:ascii="Arial Unicode MS" w:hAnsi="Arial Unicode MS" w:cs="等线 Light"/>
      <w:color w:val="FF0000"/>
      <w:kern w:val="2"/>
      <w:sz w:val="28"/>
      <w:szCs w:val="20"/>
    </w:rPr>
  </w:style>
  <w:style w:type="paragraph" w:customStyle="1" w:styleId="504">
    <w:name w:val="样式 标题 2节H2Heading 2 HiddenHeading 2 CCBSheading 2h2节名正文二...1"/>
    <w:basedOn w:val="4"/>
    <w:autoRedefine/>
    <w:qFormat/>
    <w:uiPriority w:val="0"/>
    <w:pPr>
      <w:keepNext/>
      <w:keepLines/>
      <w:autoSpaceDE/>
      <w:autoSpaceDN/>
      <w:adjustRightInd/>
      <w:spacing w:line="360" w:lineRule="auto"/>
      <w:jc w:val="both"/>
    </w:pPr>
    <w:rPr>
      <w:rFonts w:hAnsi="等线 Light"/>
      <w:bCs/>
      <w:caps/>
      <w:kern w:val="2"/>
      <w:szCs w:val="32"/>
    </w:rPr>
  </w:style>
  <w:style w:type="paragraph" w:customStyle="1" w:styleId="505">
    <w:name w:val="样式 目录 2 + 首行缩进:  2 字符"/>
    <w:basedOn w:val="47"/>
    <w:autoRedefine/>
    <w:qFormat/>
    <w:uiPriority w:val="0"/>
    <w:pPr>
      <w:tabs>
        <w:tab w:val="right" w:leader="dot" w:pos="9072"/>
      </w:tabs>
      <w:autoSpaceDE/>
      <w:autoSpaceDN/>
      <w:snapToGrid w:val="0"/>
      <w:spacing w:line="360" w:lineRule="auto"/>
      <w:ind w:left="238" w:right="281" w:rightChars="134" w:firstLine="200" w:firstLineChars="200"/>
    </w:pPr>
    <w:rPr>
      <w:rFonts w:cs="等线 Light"/>
      <w:kern w:val="2"/>
    </w:rPr>
  </w:style>
  <w:style w:type="paragraph" w:customStyle="1" w:styleId="506">
    <w:name w:val="Char"/>
    <w:basedOn w:val="1"/>
    <w:autoRedefine/>
    <w:qFormat/>
    <w:uiPriority w:val="0"/>
    <w:pPr>
      <w:widowControl/>
      <w:autoSpaceDE/>
      <w:autoSpaceDN/>
      <w:adjustRightInd/>
      <w:spacing w:after="160" w:line="240" w:lineRule="exact"/>
    </w:pPr>
    <w:rPr>
      <w:rFonts w:ascii="Lucida Grande" w:hAnsi="Lucida Grande" w:eastAsia="微软雅黑"/>
      <w:szCs w:val="20"/>
      <w:lang w:eastAsia="en-US"/>
    </w:rPr>
  </w:style>
  <w:style w:type="paragraph" w:customStyle="1" w:styleId="507">
    <w:name w:val="xl42"/>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int="eastAsia" w:ascii="微软雅黑" w:hAnsi="等线 Light" w:eastAsia="微软雅黑"/>
      <w:sz w:val="32"/>
      <w:szCs w:val="32"/>
    </w:rPr>
  </w:style>
  <w:style w:type="paragraph" w:customStyle="1" w:styleId="508">
    <w:name w:val="基准标题"/>
    <w:basedOn w:val="22"/>
    <w:next w:val="22"/>
    <w:autoRedefine/>
    <w:qFormat/>
    <w:uiPriority w:val="0"/>
    <w:pPr>
      <w:keepNext/>
      <w:keepLines/>
      <w:widowControl/>
      <w:autoSpaceDE/>
      <w:autoSpaceDN/>
      <w:adjustRightInd/>
      <w:spacing w:line="240" w:lineRule="atLeast"/>
      <w:ind w:right="0"/>
      <w:jc w:val="left"/>
    </w:pPr>
    <w:rPr>
      <w:rFonts w:ascii="仿宋_GB2312" w:hAnsi="仿宋_GB2312"/>
      <w:b w:val="0"/>
      <w:bCs w:val="0"/>
      <w:spacing w:val="-5"/>
      <w:kern w:val="20"/>
      <w:sz w:val="24"/>
      <w:szCs w:val="20"/>
      <w:lang w:val="en-US"/>
    </w:rPr>
  </w:style>
  <w:style w:type="paragraph" w:customStyle="1" w:styleId="509">
    <w:name w:val="a)"/>
    <w:basedOn w:val="1"/>
    <w:autoRedefine/>
    <w:qFormat/>
    <w:uiPriority w:val="0"/>
    <w:pPr>
      <w:autoSpaceDE/>
      <w:autoSpaceDN/>
      <w:adjustRightInd/>
      <w:spacing w:line="264" w:lineRule="auto"/>
      <w:jc w:val="both"/>
    </w:pPr>
    <w:rPr>
      <w:rFonts w:ascii="Arial Unicode MS" w:hAnsi="Arial Unicode MS"/>
      <w:kern w:val="2"/>
    </w:rPr>
  </w:style>
  <w:style w:type="paragraph" w:customStyle="1" w:styleId="510">
    <w:name w:val="版本说明标题"/>
    <w:basedOn w:val="1"/>
    <w:autoRedefine/>
    <w:qFormat/>
    <w:uiPriority w:val="0"/>
    <w:pPr>
      <w:autoSpaceDE/>
      <w:autoSpaceDN/>
      <w:snapToGrid w:val="0"/>
      <w:spacing w:beforeLines="50" w:afterLines="50"/>
      <w:ind w:firstLine="560"/>
      <w:jc w:val="center"/>
      <w:textAlignment w:val="baseline"/>
    </w:pPr>
    <w:rPr>
      <w:rFonts w:ascii="幼圆" w:eastAsia="微软雅黑"/>
      <w:b/>
      <w:color w:val="000000"/>
      <w:kern w:val="2"/>
      <w:sz w:val="28"/>
      <w:szCs w:val="28"/>
    </w:rPr>
  </w:style>
  <w:style w:type="paragraph" w:customStyle="1" w:styleId="511">
    <w:name w:val="1."/>
    <w:basedOn w:val="1"/>
    <w:autoRedefine/>
    <w:qFormat/>
    <w:uiPriority w:val="0"/>
    <w:pPr>
      <w:widowControl/>
      <w:tabs>
        <w:tab w:val="left" w:pos="1134"/>
      </w:tabs>
      <w:autoSpaceDE/>
      <w:autoSpaceDN/>
      <w:adjustRightInd/>
      <w:spacing w:before="240" w:line="240" w:lineRule="atLeast"/>
      <w:ind w:left="1134" w:hanging="454"/>
      <w:jc w:val="both"/>
    </w:pPr>
    <w:rPr>
      <w:rFonts w:ascii="Arial Unicode MS" w:hAnsi="Arial Unicode MS"/>
      <w:kern w:val="2"/>
    </w:rPr>
  </w:style>
  <w:style w:type="paragraph" w:customStyle="1" w:styleId="512">
    <w:name w:val="样式 标题 2节H2Heading 2 HiddenHeading 2 CCBSheading 2h2节名正文二..."/>
    <w:basedOn w:val="4"/>
    <w:autoRedefine/>
    <w:qFormat/>
    <w:uiPriority w:val="0"/>
    <w:pPr>
      <w:keepNext/>
      <w:keepLines/>
      <w:autoSpaceDE/>
      <w:autoSpaceDN/>
      <w:adjustRightInd/>
      <w:spacing w:line="360" w:lineRule="auto"/>
      <w:ind w:firstLine="200" w:firstLineChars="200"/>
      <w:jc w:val="both"/>
    </w:pPr>
    <w:rPr>
      <w:rFonts w:ascii="幼圆" w:cs="等线 Light"/>
      <w:bCs/>
      <w:caps/>
      <w:kern w:val="2"/>
      <w:sz w:val="28"/>
      <w:szCs w:val="20"/>
    </w:rPr>
  </w:style>
  <w:style w:type="paragraph" w:customStyle="1" w:styleId="513">
    <w:name w:val="xl51"/>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both"/>
      <w:textAlignment w:val="center"/>
    </w:pPr>
    <w:rPr>
      <w:rFonts w:ascii="楷体_GB2312" w:hAnsi="楷体_GB2312" w:eastAsia="等线 Light" w:cs="楷体_GB2312"/>
      <w:sz w:val="21"/>
      <w:szCs w:val="21"/>
    </w:rPr>
  </w:style>
  <w:style w:type="paragraph" w:customStyle="1" w:styleId="514">
    <w:name w:val="样式 标题 3H3l3CTh33rd levelLevel 3 HeadHeading 3 - oldISO2..."/>
    <w:basedOn w:val="2"/>
    <w:autoRedefine/>
    <w:qFormat/>
    <w:uiPriority w:val="0"/>
    <w:pPr>
      <w:autoSpaceDE/>
      <w:autoSpaceDN/>
      <w:adjustRightInd/>
      <w:spacing w:line="360" w:lineRule="auto"/>
      <w:ind w:left="737" w:hanging="539"/>
      <w:jc w:val="both"/>
    </w:pPr>
    <w:rPr>
      <w:rFonts w:hAnsi="等线 Light"/>
      <w:b/>
      <w:kern w:val="2"/>
      <w:szCs w:val="20"/>
    </w:rPr>
  </w:style>
  <w:style w:type="paragraph" w:customStyle="1" w:styleId="515">
    <w:name w:val="需求书2"/>
    <w:basedOn w:val="1"/>
    <w:autoRedefine/>
    <w:qFormat/>
    <w:uiPriority w:val="0"/>
    <w:pPr>
      <w:tabs>
        <w:tab w:val="left" w:pos="630"/>
      </w:tabs>
      <w:autoSpaceDE/>
      <w:autoSpaceDN/>
      <w:adjustRightInd/>
      <w:spacing w:line="360" w:lineRule="auto"/>
      <w:jc w:val="both"/>
    </w:pPr>
    <w:rPr>
      <w:rFonts w:hAnsi="Arial Unicode MS"/>
      <w:b/>
      <w:kern w:val="2"/>
    </w:rPr>
  </w:style>
  <w:style w:type="paragraph" w:customStyle="1" w:styleId="516">
    <w:name w:val="r3"/>
    <w:basedOn w:val="1"/>
    <w:autoRedefine/>
    <w:qFormat/>
    <w:uiPriority w:val="0"/>
    <w:pPr>
      <w:autoSpaceDE/>
      <w:autoSpaceDN/>
      <w:spacing w:line="360" w:lineRule="atLeast"/>
      <w:jc w:val="both"/>
      <w:textAlignment w:val="baseline"/>
    </w:pPr>
    <w:rPr>
      <w:rFonts w:hAnsi="楷体_GB2312"/>
      <w:sz w:val="28"/>
      <w:szCs w:val="20"/>
    </w:rPr>
  </w:style>
  <w:style w:type="paragraph" w:customStyle="1" w:styleId="517">
    <w:name w:val="ÆÕÍ¨"/>
    <w:basedOn w:val="1"/>
    <w:autoRedefine/>
    <w:qFormat/>
    <w:uiPriority w:val="0"/>
    <w:pPr>
      <w:widowControl/>
      <w:tabs>
        <w:tab w:val="left" w:pos="1276"/>
      </w:tabs>
      <w:overflowPunct w:val="0"/>
      <w:ind w:left="851"/>
      <w:textAlignment w:val="baseline"/>
    </w:pPr>
    <w:rPr>
      <w:rFonts w:ascii="楷体_GB2312" w:hAnsi="楷体_GB2312"/>
      <w:b/>
      <w:kern w:val="16"/>
      <w:sz w:val="20"/>
      <w:szCs w:val="20"/>
      <w:lang w:val="fr-FR"/>
    </w:rPr>
  </w:style>
  <w:style w:type="paragraph" w:customStyle="1" w:styleId="518">
    <w:name w:val="Normal1"/>
    <w:autoRedefine/>
    <w:qFormat/>
    <w:uiPriority w:val="0"/>
    <w:pPr>
      <w:widowControl w:val="0"/>
      <w:adjustRightInd w:val="0"/>
      <w:spacing w:line="315" w:lineRule="atLeast"/>
      <w:jc w:val="both"/>
      <w:textAlignment w:val="baseline"/>
    </w:pPr>
    <w:rPr>
      <w:rFonts w:ascii="等线 Light" w:hAnsi="Arial Unicode MS" w:eastAsia="宋体" w:cs="Times New Roman"/>
      <w:sz w:val="21"/>
      <w:lang w:val="en-US" w:eastAsia="zh-CN" w:bidi="ar-SA"/>
    </w:rPr>
  </w:style>
  <w:style w:type="paragraph" w:customStyle="1" w:styleId="519">
    <w:name w:val="样式 首行缩进:  1.02 厘米"/>
    <w:basedOn w:val="1"/>
    <w:autoRedefine/>
    <w:qFormat/>
    <w:uiPriority w:val="0"/>
    <w:pPr>
      <w:autoSpaceDE/>
      <w:autoSpaceDN/>
      <w:snapToGrid w:val="0"/>
      <w:spacing w:line="360" w:lineRule="auto"/>
      <w:ind w:firstLine="576"/>
    </w:pPr>
    <w:rPr>
      <w:rFonts w:ascii="Arial Unicode MS" w:hAnsi="Arial Unicode MS" w:cs="等线 Light"/>
      <w:szCs w:val="20"/>
    </w:rPr>
  </w:style>
  <w:style w:type="paragraph" w:customStyle="1" w:styleId="520">
    <w:name w:val="m1"/>
    <w:basedOn w:val="1"/>
    <w:autoRedefine/>
    <w:qFormat/>
    <w:uiPriority w:val="0"/>
    <w:pPr>
      <w:autoSpaceDE/>
      <w:autoSpaceDN/>
      <w:snapToGrid w:val="0"/>
      <w:spacing w:line="320" w:lineRule="atLeast"/>
      <w:textAlignment w:val="bottom"/>
    </w:pPr>
    <w:rPr>
      <w:rFonts w:ascii="Arial Unicode MS" w:hAnsi="Arial Unicode MS" w:eastAsia="_x001A_"/>
      <w:sz w:val="28"/>
      <w:szCs w:val="20"/>
    </w:rPr>
  </w:style>
  <w:style w:type="paragraph" w:customStyle="1" w:styleId="521">
    <w:name w:val="xl61"/>
    <w:basedOn w:val="1"/>
    <w:autoRedefine/>
    <w:qFormat/>
    <w:uiPriority w:val="0"/>
    <w:pPr>
      <w:widowControl/>
      <w:pBdr>
        <w:top w:val="single" w:color="auto" w:sz="4" w:space="0"/>
        <w:left w:val="single" w:color="auto" w:sz="4" w:space="0"/>
        <w:right w:val="single" w:color="auto" w:sz="4" w:space="0"/>
      </w:pBdr>
      <w:autoSpaceDE/>
      <w:autoSpaceDN/>
      <w:adjustRightInd/>
      <w:spacing w:before="100" w:beforeAutospacing="1" w:after="100" w:afterAutospacing="1"/>
      <w:jc w:val="center"/>
      <w:textAlignment w:val="center"/>
    </w:pPr>
    <w:rPr>
      <w:rFonts w:hint="eastAsia" w:hAnsi="等线 Light"/>
    </w:rPr>
  </w:style>
  <w:style w:type="paragraph" w:customStyle="1" w:styleId="522">
    <w:name w:val="正文(一卡通)"/>
    <w:autoRedefine/>
    <w:qFormat/>
    <w:uiPriority w:val="0"/>
    <w:pPr>
      <w:spacing w:line="360" w:lineRule="auto"/>
      <w:ind w:left="108" w:firstLine="482"/>
      <w:jc w:val="both"/>
    </w:pPr>
    <w:rPr>
      <w:rFonts w:ascii="Arial Unicode MS" w:hAnsi="Arial Unicode MS" w:eastAsia="宋体" w:cs="Times New Roman"/>
      <w:kern w:val="2"/>
      <w:sz w:val="24"/>
      <w:lang w:val="en-US" w:eastAsia="zh-CN" w:bidi="ar-SA"/>
    </w:rPr>
  </w:style>
  <w:style w:type="paragraph" w:customStyle="1" w:styleId="523">
    <w:name w:val="规2"/>
    <w:basedOn w:val="1"/>
    <w:autoRedefine/>
    <w:qFormat/>
    <w:uiPriority w:val="0"/>
    <w:pPr>
      <w:autoSpaceDE/>
      <w:autoSpaceDN/>
      <w:adjustRightInd/>
      <w:jc w:val="both"/>
      <w:outlineLvl w:val="1"/>
    </w:pPr>
    <w:rPr>
      <w:rFonts w:ascii="Arial Unicode MS" w:hAnsi="Arial Unicode MS" w:eastAsia="PMingLiU" w:cs="幼圆"/>
      <w:kern w:val="2"/>
      <w:sz w:val="28"/>
      <w:szCs w:val="28"/>
    </w:rPr>
  </w:style>
  <w:style w:type="paragraph" w:customStyle="1" w:styleId="524">
    <w:name w:val="招标文件－表格用正文"/>
    <w:basedOn w:val="1"/>
    <w:autoRedefine/>
    <w:qFormat/>
    <w:uiPriority w:val="0"/>
    <w:pPr>
      <w:autoSpaceDE/>
      <w:autoSpaceDN/>
      <w:adjustRightInd/>
      <w:spacing w:before="156" w:beforeLines="50" w:after="156" w:afterLines="50"/>
      <w:jc w:val="both"/>
    </w:pPr>
    <w:rPr>
      <w:rFonts w:hAnsi="Helv"/>
      <w:snapToGrid w:val="0"/>
      <w:color w:val="000000"/>
      <w:kern w:val="2"/>
      <w:szCs w:val="20"/>
    </w:rPr>
  </w:style>
  <w:style w:type="paragraph" w:customStyle="1" w:styleId="525">
    <w:name w:val="项目编号1"/>
    <w:basedOn w:val="14"/>
    <w:autoRedefine/>
    <w:qFormat/>
    <w:uiPriority w:val="0"/>
    <w:pPr>
      <w:widowControl w:val="0"/>
      <w:numPr>
        <w:ilvl w:val="0"/>
        <w:numId w:val="8"/>
      </w:numPr>
      <w:tabs>
        <w:tab w:val="left" w:pos="851"/>
        <w:tab w:val="left" w:pos="964"/>
      </w:tabs>
      <w:spacing w:line="360" w:lineRule="auto"/>
      <w:ind w:firstLine="0" w:firstLineChars="0"/>
    </w:pPr>
    <w:rPr>
      <w:rFonts w:ascii="Arial Unicode MS" w:hAnsi="Arial Unicode MS"/>
      <w:snapToGrid w:val="0"/>
      <w:kern w:val="21"/>
      <w:sz w:val="21"/>
      <w:szCs w:val="21"/>
    </w:rPr>
  </w:style>
  <w:style w:type="paragraph" w:customStyle="1" w:styleId="526">
    <w:name w:val="偶数页篇眉"/>
    <w:basedOn w:val="40"/>
    <w:autoRedefine/>
    <w:qFormat/>
    <w:uiPriority w:val="0"/>
    <w:pPr>
      <w:keepLines/>
      <w:pBdr>
        <w:bottom w:val="none" w:color="auto" w:sz="0" w:space="0"/>
      </w:pBdr>
      <w:tabs>
        <w:tab w:val="right" w:pos="0"/>
        <w:tab w:val="center" w:pos="7200"/>
        <w:tab w:val="right" w:pos="14400"/>
        <w:tab w:val="clear" w:pos="4153"/>
        <w:tab w:val="clear" w:pos="8306"/>
      </w:tabs>
      <w:autoSpaceDE/>
      <w:autoSpaceDN/>
      <w:adjustRightInd/>
      <w:snapToGrid/>
      <w:jc w:val="right"/>
    </w:pPr>
    <w:rPr>
      <w:rFonts w:ascii="Arial Unicode MS" w:hAnsi="Arial Unicode MS"/>
      <w:spacing w:val="80"/>
      <w:kern w:val="2"/>
      <w:sz w:val="21"/>
      <w:szCs w:val="24"/>
    </w:rPr>
  </w:style>
  <w:style w:type="paragraph" w:customStyle="1" w:styleId="527">
    <w:name w:val="样式 正文缩进 + 首行缩进:  2 字符"/>
    <w:basedOn w:val="14"/>
    <w:autoRedefine/>
    <w:qFormat/>
    <w:uiPriority w:val="0"/>
    <w:pPr>
      <w:widowControl w:val="0"/>
      <w:spacing w:line="360" w:lineRule="auto"/>
      <w:ind w:firstLine="480"/>
      <w:jc w:val="both"/>
    </w:pPr>
    <w:rPr>
      <w:rFonts w:ascii="Arial Unicode MS" w:hAnsi="Arial Unicode MS"/>
      <w:kern w:val="2"/>
      <w:sz w:val="24"/>
    </w:rPr>
  </w:style>
  <w:style w:type="paragraph" w:customStyle="1" w:styleId="528">
    <w:name w:val="Char Char Char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29">
    <w:name w:val="普通(Web)111"/>
    <w:basedOn w:val="1"/>
    <w:next w:val="51"/>
    <w:autoRedefine/>
    <w:qFormat/>
    <w:uiPriority w:val="0"/>
    <w:pPr>
      <w:autoSpaceDE/>
      <w:autoSpaceDN/>
      <w:adjustRightInd/>
      <w:jc w:val="both"/>
    </w:pPr>
    <w:rPr>
      <w:rFonts w:ascii="Arial Unicode MS" w:hAnsi="Arial Unicode MS"/>
      <w:kern w:val="2"/>
    </w:rPr>
  </w:style>
  <w:style w:type="paragraph" w:customStyle="1" w:styleId="530">
    <w:name w:val="A- Arial.9 Normal"/>
    <w:autoRedefine/>
    <w:qFormat/>
    <w:uiPriority w:val="0"/>
    <w:pPr>
      <w:widowControl w:val="0"/>
      <w:spacing w:line="220" w:lineRule="exact"/>
      <w:ind w:left="3572"/>
    </w:pPr>
    <w:rPr>
      <w:rFonts w:ascii="楷体_GB2312" w:hAnsi="楷体_GB2312" w:eastAsia="宋体" w:cs="Times New Roman"/>
      <w:color w:val="000000"/>
      <w:sz w:val="18"/>
      <w:lang w:val="fr-FR" w:eastAsia="zh-CN" w:bidi="ar-SA"/>
    </w:rPr>
  </w:style>
  <w:style w:type="paragraph" w:customStyle="1" w:styleId="531">
    <w:name w:val="Char Char"/>
    <w:basedOn w:val="1"/>
    <w:autoRedefine/>
    <w:qFormat/>
    <w:uiPriority w:val="0"/>
    <w:pPr>
      <w:autoSpaceDE/>
      <w:autoSpaceDN/>
      <w:adjustRightInd/>
      <w:jc w:val="both"/>
    </w:pPr>
    <w:rPr>
      <w:rFonts w:ascii="Calibri" w:hAnsi="Calibri"/>
      <w:kern w:val="2"/>
      <w:szCs w:val="20"/>
    </w:rPr>
  </w:style>
  <w:style w:type="paragraph" w:customStyle="1" w:styleId="532">
    <w:name w:val="(1)"/>
    <w:basedOn w:val="1"/>
    <w:autoRedefine/>
    <w:qFormat/>
    <w:uiPriority w:val="0"/>
    <w:pPr>
      <w:widowControl/>
      <w:tabs>
        <w:tab w:val="left" w:pos="2608"/>
      </w:tabs>
      <w:overflowPunct w:val="0"/>
      <w:spacing w:before="120" w:after="120" w:line="264" w:lineRule="auto"/>
      <w:ind w:left="2608" w:hanging="567"/>
      <w:jc w:val="both"/>
      <w:textAlignment w:val="baseline"/>
    </w:pPr>
    <w:rPr>
      <w:rFonts w:ascii="Arial Unicode MS" w:hAnsi="Arial Unicode MS"/>
      <w:sz w:val="22"/>
      <w:szCs w:val="22"/>
    </w:rPr>
  </w:style>
  <w:style w:type="paragraph" w:customStyle="1" w:styleId="533">
    <w:name w:val="2册标题2"/>
    <w:basedOn w:val="1"/>
    <w:next w:val="1"/>
    <w:autoRedefine/>
    <w:qFormat/>
    <w:uiPriority w:val="0"/>
    <w:pPr>
      <w:tabs>
        <w:tab w:val="left" w:pos="900"/>
        <w:tab w:val="left" w:pos="1410"/>
      </w:tabs>
      <w:autoSpaceDE/>
      <w:autoSpaceDN/>
      <w:adjustRightInd/>
      <w:spacing w:before="156" w:beforeLines="50" w:after="156" w:afterLines="50"/>
      <w:ind w:left="1410" w:hanging="510"/>
      <w:jc w:val="both"/>
      <w:outlineLvl w:val="1"/>
    </w:pPr>
    <w:rPr>
      <w:rFonts w:ascii="楷体_GB2312" w:hAnsi="楷体_GB2312" w:eastAsia="PMingLiU"/>
      <w:kern w:val="2"/>
      <w:sz w:val="30"/>
      <w:szCs w:val="30"/>
    </w:rPr>
  </w:style>
  <w:style w:type="paragraph" w:customStyle="1" w:styleId="534">
    <w:name w:val="WPSOffice手动目录 1"/>
    <w:autoRedefine/>
    <w:qFormat/>
    <w:uiPriority w:val="0"/>
    <w:rPr>
      <w:rFonts w:ascii="Times New Roman" w:hAnsi="Times New Roman" w:eastAsia="宋体" w:cs="Times New Roman"/>
      <w:lang w:val="en-US" w:eastAsia="zh-CN" w:bidi="ar-SA"/>
    </w:rPr>
  </w:style>
  <w:style w:type="paragraph" w:customStyle="1" w:styleId="535">
    <w:name w:val="_Style 349"/>
    <w:next w:val="1"/>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36">
    <w:name w:val="F00"/>
    <w:basedOn w:val="1"/>
    <w:autoRedefine/>
    <w:qFormat/>
    <w:uiPriority w:val="0"/>
    <w:pPr>
      <w:autoSpaceDE/>
      <w:autoSpaceDN/>
      <w:adjustRightInd/>
      <w:spacing w:before="50" w:after="50" w:line="0" w:lineRule="atLeast"/>
      <w:ind w:firstLine="200"/>
      <w:jc w:val="both"/>
    </w:pPr>
    <w:rPr>
      <w:rFonts w:ascii="Arial Unicode MS" w:hAnsi="Arial Unicode MS" w:eastAsia="微软雅黑"/>
      <w:kern w:val="24"/>
      <w:sz w:val="28"/>
    </w:rPr>
  </w:style>
  <w:style w:type="paragraph" w:customStyle="1" w:styleId="537">
    <w:name w:val="默认段落字体 Para Char Char Char Char Char Char Char Char Char Char"/>
    <w:basedOn w:val="1"/>
    <w:autoRedefine/>
    <w:qFormat/>
    <w:uiPriority w:val="0"/>
    <w:pPr>
      <w:autoSpaceDE/>
      <w:autoSpaceDN/>
      <w:adjustRightInd/>
      <w:jc w:val="both"/>
    </w:pPr>
    <w:rPr>
      <w:rFonts w:ascii="Calibri" w:hAnsi="Calibri"/>
      <w:kern w:val="2"/>
      <w:szCs w:val="20"/>
    </w:rPr>
  </w:style>
  <w:style w:type="paragraph" w:customStyle="1" w:styleId="538">
    <w:name w:val="font5"/>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539">
    <w:name w:val="xl32"/>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40">
    <w:name w:val="font0"/>
    <w:basedOn w:val="1"/>
    <w:autoRedefine/>
    <w:qFormat/>
    <w:uiPriority w:val="0"/>
    <w:pPr>
      <w:widowControl/>
      <w:autoSpaceDE/>
      <w:autoSpaceDN/>
      <w:adjustRightInd/>
      <w:spacing w:before="100" w:beforeAutospacing="1" w:after="100" w:afterAutospacing="1"/>
    </w:pPr>
    <w:rPr>
      <w:rFonts w:hint="eastAsia" w:hAnsi="等线 Light"/>
    </w:rPr>
  </w:style>
  <w:style w:type="paragraph" w:customStyle="1" w:styleId="541">
    <w:name w:val="l_text"/>
    <w:basedOn w:val="1"/>
    <w:autoRedefine/>
    <w:qFormat/>
    <w:uiPriority w:val="0"/>
    <w:pPr>
      <w:widowControl/>
      <w:overflowPunct w:val="0"/>
      <w:spacing w:before="120" w:after="120" w:line="360" w:lineRule="auto"/>
      <w:ind w:firstLine="561"/>
      <w:jc w:val="both"/>
      <w:textAlignment w:val="baseline"/>
    </w:pPr>
    <w:rPr>
      <w:rFonts w:ascii="Arial Unicode MS" w:hAnsi="Arial Unicode MS"/>
      <w:kern w:val="28"/>
      <w:sz w:val="28"/>
    </w:rPr>
  </w:style>
  <w:style w:type="paragraph" w:customStyle="1" w:styleId="542">
    <w:name w:val="xl44"/>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hint="eastAsia" w:ascii="等线 Light" w:hAnsi="等线 Light"/>
      <w:kern w:val="0"/>
      <w:sz w:val="24"/>
    </w:rPr>
  </w:style>
  <w:style w:type="paragraph" w:customStyle="1" w:styleId="543">
    <w:name w:val="af0-TBL-BR-1"/>
    <w:autoRedefine/>
    <w:qFormat/>
    <w:uiPriority w:val="0"/>
    <w:pPr>
      <w:widowControl w:val="0"/>
      <w:ind w:left="100" w:leftChars="2500"/>
      <w:jc w:val="both"/>
    </w:pPr>
    <w:rPr>
      <w:rFonts w:ascii="Arial Unicode MS" w:hAnsi="Arial Unicode MS" w:eastAsia="Courier New" w:cs="Times New Roman"/>
      <w:kern w:val="2"/>
      <w:sz w:val="21"/>
      <w:szCs w:val="24"/>
      <w:lang w:val="en-US" w:eastAsia="zh-CN" w:bidi="ar-SA"/>
    </w:rPr>
  </w:style>
  <w:style w:type="paragraph" w:customStyle="1" w:styleId="544">
    <w:name w:val="首航缩进 Char"/>
    <w:basedOn w:val="1"/>
    <w:autoRedefine/>
    <w:qFormat/>
    <w:uiPriority w:val="0"/>
    <w:pPr>
      <w:autoSpaceDE/>
      <w:autoSpaceDN/>
      <w:adjustRightInd/>
      <w:spacing w:line="300" w:lineRule="auto"/>
      <w:ind w:firstLine="480" w:firstLineChars="200"/>
      <w:jc w:val="both"/>
    </w:pPr>
    <w:rPr>
      <w:rFonts w:ascii="Arial Unicode MS" w:hAnsi="Arial Unicode MS" w:eastAsia="微软雅黑"/>
      <w:color w:val="000000"/>
      <w:kern w:val="2"/>
    </w:rPr>
  </w:style>
  <w:style w:type="paragraph" w:customStyle="1" w:styleId="545">
    <w:name w:val="xl102"/>
    <w:basedOn w:val="1"/>
    <w:autoRedefine/>
    <w:qFormat/>
    <w:uiPriority w:val="0"/>
    <w:pPr>
      <w:widowControl/>
      <w:autoSpaceDE/>
      <w:autoSpaceDN/>
      <w:adjustRightInd/>
      <w:spacing w:before="100" w:beforeAutospacing="1" w:after="100" w:afterAutospacing="1"/>
      <w:jc w:val="center"/>
    </w:pPr>
    <w:rPr>
      <w:rFonts w:hAnsi="等线 Light" w:cs="等线 Light"/>
      <w:b/>
      <w:bCs/>
      <w:sz w:val="32"/>
      <w:szCs w:val="32"/>
    </w:rPr>
  </w:style>
  <w:style w:type="paragraph" w:customStyle="1" w:styleId="546">
    <w:name w:val="正文文本缩进1"/>
    <w:basedOn w:val="1"/>
    <w:next w:val="24"/>
    <w:autoRedefine/>
    <w:qFormat/>
    <w:uiPriority w:val="0"/>
    <w:pPr>
      <w:autoSpaceDE/>
      <w:autoSpaceDN/>
      <w:adjustRightInd/>
      <w:spacing w:line="400" w:lineRule="atLeast"/>
      <w:ind w:firstLine="432"/>
      <w:jc w:val="both"/>
    </w:pPr>
    <w:rPr>
      <w:rFonts w:ascii="Arial Unicode MS" w:hAnsi="Arial Unicode MS" w:eastAsia="ˎ̥"/>
      <w:kern w:val="2"/>
    </w:rPr>
  </w:style>
  <w:style w:type="paragraph" w:styleId="547">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8">
    <w:name w:val="通用2"/>
    <w:basedOn w:val="1"/>
    <w:autoRedefine/>
    <w:qFormat/>
    <w:uiPriority w:val="0"/>
    <w:pPr>
      <w:tabs>
        <w:tab w:val="left" w:pos="1391"/>
      </w:tabs>
      <w:autoSpaceDE/>
      <w:autoSpaceDN/>
      <w:adjustRightInd/>
      <w:spacing w:beforeLines="50" w:line="360" w:lineRule="auto"/>
      <w:ind w:left="1391" w:hanging="851"/>
      <w:jc w:val="both"/>
    </w:pPr>
    <w:rPr>
      <w:rFonts w:hAnsi="Arial Unicode MS"/>
      <w:kern w:val="2"/>
      <w:sz w:val="21"/>
      <w:szCs w:val="20"/>
    </w:rPr>
  </w:style>
  <w:style w:type="paragraph" w:customStyle="1" w:styleId="549">
    <w:name w:val="xl37"/>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50">
    <w:name w:val="列表段落1"/>
    <w:basedOn w:val="1"/>
    <w:autoRedefine/>
    <w:qFormat/>
    <w:uiPriority w:val="0"/>
    <w:pPr>
      <w:autoSpaceDE/>
      <w:autoSpaceDN/>
      <w:adjustRightInd/>
      <w:ind w:firstLine="420" w:firstLineChars="200"/>
      <w:jc w:val="both"/>
    </w:pPr>
    <w:rPr>
      <w:rFonts w:ascii="Arial Unicode MS" w:hAnsi="Arial Unicode MS"/>
      <w:kern w:val="2"/>
      <w:sz w:val="21"/>
      <w:szCs w:val="20"/>
    </w:rPr>
  </w:style>
  <w:style w:type="paragraph" w:customStyle="1" w:styleId="551">
    <w:name w:val="样式1"/>
    <w:basedOn w:val="1"/>
    <w:autoRedefine/>
    <w:qFormat/>
    <w:uiPriority w:val="0"/>
    <w:pPr>
      <w:autoSpaceDE/>
      <w:autoSpaceDN/>
      <w:adjustRightInd/>
      <w:spacing w:before="120" w:after="120" w:line="300" w:lineRule="auto"/>
      <w:jc w:val="both"/>
    </w:pPr>
    <w:rPr>
      <w:rFonts w:hAnsi="等线 Light"/>
      <w:b/>
      <w:kern w:val="2"/>
      <w:szCs w:val="20"/>
    </w:rPr>
  </w:style>
  <w:style w:type="paragraph" w:customStyle="1" w:styleId="552">
    <w:name w:val="a0-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53">
    <w:name w:val="6.4.2"/>
    <w:basedOn w:val="2"/>
    <w:autoRedefine/>
    <w:qFormat/>
    <w:uiPriority w:val="0"/>
    <w:pPr>
      <w:tabs>
        <w:tab w:val="left" w:pos="425"/>
        <w:tab w:val="left" w:pos="960"/>
        <w:tab w:val="left" w:pos="1440"/>
        <w:tab w:val="left" w:leader="dot" w:pos="8160"/>
      </w:tabs>
      <w:overflowPunct w:val="0"/>
      <w:adjustRightInd/>
      <w:spacing w:before="260" w:beforeLines="60"/>
      <w:ind w:left="425" w:hanging="425" w:firstLineChars="196"/>
      <w:jc w:val="both"/>
      <w:outlineLvl w:val="9"/>
    </w:pPr>
    <w:rPr>
      <w:rFonts w:hAnsi="等线 Light"/>
      <w:bCs/>
      <w:snapToGrid w:val="0"/>
      <w:sz w:val="28"/>
      <w:szCs w:val="28"/>
    </w:rPr>
  </w:style>
  <w:style w:type="paragraph" w:customStyle="1" w:styleId="554">
    <w:name w:val="SINOPEC-0"/>
    <w:basedOn w:val="1"/>
    <w:autoRedefine/>
    <w:qFormat/>
    <w:uiPriority w:val="0"/>
    <w:pPr>
      <w:autoSpaceDE/>
      <w:autoSpaceDN/>
      <w:adjustRightInd/>
      <w:spacing w:line="360" w:lineRule="auto"/>
      <w:ind w:firstLine="480" w:firstLineChars="200"/>
      <w:jc w:val="both"/>
    </w:pPr>
    <w:rPr>
      <w:rFonts w:ascii="楷体_GB2312" w:hAnsi="楷体_GB2312"/>
      <w:color w:val="0000FF"/>
      <w:kern w:val="2"/>
      <w:szCs w:val="20"/>
    </w:rPr>
  </w:style>
  <w:style w:type="paragraph" w:customStyle="1" w:styleId="555">
    <w:name w:val="xl54"/>
    <w:basedOn w:val="1"/>
    <w:autoRedefine/>
    <w:qFormat/>
    <w:uiPriority w:val="0"/>
    <w:pPr>
      <w:widowControl/>
      <w:pBdr>
        <w:top w:val="single" w:color="auto" w:sz="4" w:space="0"/>
        <w:left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556">
    <w:name w:val="yyn"/>
    <w:basedOn w:val="1"/>
    <w:autoRedefine/>
    <w:qFormat/>
    <w:uiPriority w:val="0"/>
    <w:pPr>
      <w:keepNext/>
      <w:widowControl/>
      <w:overflowPunct w:val="0"/>
      <w:spacing w:line="360" w:lineRule="auto"/>
      <w:ind w:right="562" w:firstLine="576"/>
      <w:jc w:val="both"/>
      <w:textAlignment w:val="baseline"/>
    </w:pPr>
    <w:rPr>
      <w:rFonts w:hAnsi="Arial Unicode MS"/>
      <w:kern w:val="16"/>
      <w:sz w:val="28"/>
      <w:szCs w:val="20"/>
    </w:rPr>
  </w:style>
  <w:style w:type="paragraph" w:customStyle="1" w:styleId="557">
    <w:name w:val="_Style 6"/>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58">
    <w:name w:val="正文2"/>
    <w:basedOn w:val="1"/>
    <w:autoRedefine/>
    <w:qFormat/>
    <w:uiPriority w:val="0"/>
    <w:pPr>
      <w:widowControl/>
      <w:autoSpaceDE/>
      <w:autoSpaceDN/>
      <w:adjustRightInd/>
      <w:spacing w:after="160"/>
      <w:ind w:left="-85" w:firstLine="420" w:firstLineChars="200"/>
      <w:jc w:val="center"/>
    </w:pPr>
    <w:rPr>
      <w:rFonts w:ascii="Lucida Grande" w:hAnsi="Lucida Grande" w:eastAsia="PMingLiU"/>
      <w:sz w:val="21"/>
      <w:szCs w:val="21"/>
    </w:rPr>
  </w:style>
  <w:style w:type="paragraph" w:customStyle="1" w:styleId="5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560">
    <w:name w:val="xl60"/>
    <w:basedOn w:val="1"/>
    <w:autoRedefine/>
    <w:qFormat/>
    <w:uiPriority w:val="0"/>
    <w:pPr>
      <w:widowControl/>
      <w:pBdr>
        <w:left w:val="single" w:color="auto" w:sz="4" w:space="0"/>
        <w:bottom w:val="single" w:color="auto" w:sz="4" w:space="0"/>
        <w:right w:val="single" w:color="auto" w:sz="4" w:space="0"/>
      </w:pBdr>
      <w:autoSpaceDE/>
      <w:autoSpaceDN/>
      <w:adjustRightInd/>
      <w:spacing w:before="100" w:beforeAutospacing="1" w:after="100" w:afterAutospacing="1"/>
      <w:jc w:val="center"/>
      <w:textAlignment w:val="center"/>
    </w:pPr>
    <w:rPr>
      <w:rFonts w:hAnsi="等线 Light"/>
    </w:rPr>
  </w:style>
  <w:style w:type="paragraph" w:customStyle="1" w:styleId="561">
    <w:name w:val="样式 标题 3头小节标题Heading 3 - oldh33rd levelH3l3CTLevel 3 Hea...2"/>
    <w:basedOn w:val="2"/>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kern w:val="2"/>
      <w:szCs w:val="20"/>
    </w:rPr>
  </w:style>
  <w:style w:type="paragraph" w:customStyle="1" w:styleId="562">
    <w:name w:val="xl30"/>
    <w:basedOn w:val="1"/>
    <w:autoRedefine/>
    <w:qFormat/>
    <w:uiPriority w:val="0"/>
    <w:pPr>
      <w:widowControl/>
      <w:pBdr>
        <w:lef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563">
    <w:name w:val="表内容"/>
    <w:basedOn w:val="1"/>
    <w:autoRedefine/>
    <w:qFormat/>
    <w:uiPriority w:val="0"/>
    <w:pPr>
      <w:spacing w:before="60" w:after="60" w:line="288" w:lineRule="auto"/>
      <w:jc w:val="center"/>
      <w:textAlignment w:val="baseline"/>
    </w:pPr>
    <w:rPr>
      <w:rFonts w:ascii="楷体_GB2312" w:hAnsi="楷体_GB2312"/>
      <w:sz w:val="21"/>
      <w:szCs w:val="20"/>
    </w:rPr>
  </w:style>
  <w:style w:type="paragraph" w:customStyle="1" w:styleId="564">
    <w:name w:val="xl23"/>
    <w:basedOn w:val="1"/>
    <w:autoRedefine/>
    <w:qFormat/>
    <w:uiPriority w:val="0"/>
    <w:pPr>
      <w:widowControl/>
      <w:autoSpaceDE/>
      <w:autoSpaceDN/>
      <w:adjustRightInd/>
      <w:spacing w:before="100" w:beforeAutospacing="1" w:after="100" w:afterAutospacing="1"/>
      <w:jc w:val="center"/>
    </w:pPr>
    <w:rPr>
      <w:rFonts w:ascii="微软雅黑" w:hAnsi="等线 Light" w:eastAsia="微软雅黑" w:cs="等线 Light"/>
    </w:rPr>
  </w:style>
  <w:style w:type="paragraph" w:customStyle="1" w:styleId="565">
    <w:name w:val="样式2"/>
    <w:basedOn w:val="6"/>
    <w:autoRedefine/>
    <w:qFormat/>
    <w:uiPriority w:val="0"/>
    <w:pPr>
      <w:tabs>
        <w:tab w:val="left" w:pos="360"/>
        <w:tab w:val="left" w:pos="1931"/>
      </w:tabs>
      <w:autoSpaceDE/>
      <w:autoSpaceDN/>
      <w:snapToGrid w:val="0"/>
      <w:spacing w:before="240" w:after="120" w:line="300" w:lineRule="auto"/>
      <w:ind w:left="360" w:hanging="360" w:hangingChars="200"/>
      <w:jc w:val="both"/>
    </w:pPr>
    <w:rPr>
      <w:rFonts w:ascii="楷体_GB2312" w:hAnsi="楷体_GB2312"/>
      <w:bCs w:val="0"/>
      <w:kern w:val="2"/>
      <w:sz w:val="24"/>
      <w:szCs w:val="20"/>
    </w:rPr>
  </w:style>
  <w:style w:type="paragraph" w:customStyle="1" w:styleId="566">
    <w:name w:val="第12册用标题"/>
    <w:basedOn w:val="1"/>
    <w:next w:val="1"/>
    <w:autoRedefine/>
    <w:qFormat/>
    <w:uiPriority w:val="0"/>
    <w:pPr>
      <w:autoSpaceDE/>
      <w:autoSpaceDN/>
      <w:adjustRightInd/>
      <w:spacing w:before="156" w:beforeLines="50" w:after="156" w:afterLines="50"/>
      <w:jc w:val="center"/>
      <w:outlineLvl w:val="0"/>
    </w:pPr>
    <w:rPr>
      <w:rFonts w:ascii="楷体_GB2312" w:hAnsi="楷体_GB2312" w:eastAsia="PMingLiU"/>
      <w:kern w:val="2"/>
      <w:sz w:val="44"/>
      <w:szCs w:val="20"/>
    </w:rPr>
  </w:style>
  <w:style w:type="paragraph" w:customStyle="1" w:styleId="567">
    <w:name w:val="正文段"/>
    <w:basedOn w:val="1"/>
    <w:autoRedefine/>
    <w:qFormat/>
    <w:uiPriority w:val="0"/>
    <w:pPr>
      <w:widowControl/>
      <w:autoSpaceDE/>
      <w:autoSpaceDN/>
      <w:spacing w:after="240" w:line="360" w:lineRule="atLeast"/>
      <w:ind w:firstLine="454"/>
      <w:jc w:val="both"/>
      <w:textAlignment w:val="bottom"/>
    </w:pPr>
    <w:rPr>
      <w:rFonts w:hAnsi="Arial Unicode MS"/>
      <w:szCs w:val="20"/>
    </w:rPr>
  </w:style>
  <w:style w:type="paragraph" w:customStyle="1" w:styleId="568">
    <w:name w:val="xl36"/>
    <w:basedOn w:val="1"/>
    <w:autoRedefine/>
    <w:qFormat/>
    <w:uiPriority w:val="0"/>
    <w:pPr>
      <w:widowControl/>
      <w:pBdr>
        <w:bottom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69">
    <w:name w:val="_Style 568"/>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70">
    <w:name w:val="black1"/>
    <w:basedOn w:val="1"/>
    <w:autoRedefine/>
    <w:qFormat/>
    <w:uiPriority w:val="0"/>
    <w:pPr>
      <w:widowControl/>
      <w:autoSpaceDE/>
      <w:autoSpaceDN/>
      <w:adjustRightInd/>
      <w:spacing w:before="100" w:beforeAutospacing="1" w:after="100" w:afterAutospacing="1" w:line="280" w:lineRule="atLeast"/>
    </w:pPr>
    <w:rPr>
      <w:rFonts w:ascii="Arial Unicode MS" w:hAnsi="Arial Unicode MS"/>
      <w:color w:val="000000"/>
      <w:sz w:val="18"/>
      <w:szCs w:val="18"/>
    </w:rPr>
  </w:style>
  <w:style w:type="paragraph" w:customStyle="1" w:styleId="571">
    <w:name w:val="_Style 2"/>
    <w:basedOn w:val="1"/>
    <w:autoRedefine/>
    <w:qFormat/>
    <w:uiPriority w:val="34"/>
    <w:pPr>
      <w:autoSpaceDE/>
      <w:autoSpaceDN/>
      <w:adjustRightInd/>
      <w:ind w:firstLine="420" w:firstLineChars="200"/>
      <w:jc w:val="both"/>
    </w:pPr>
    <w:rPr>
      <w:rFonts w:ascii="Arial Unicode MS" w:hAnsi="Arial Unicode MS"/>
      <w:kern w:val="2"/>
      <w:sz w:val="21"/>
      <w:szCs w:val="22"/>
    </w:rPr>
  </w:style>
  <w:style w:type="paragraph" w:customStyle="1" w:styleId="572">
    <w:name w:val="+标题1"/>
    <w:basedOn w:val="3"/>
    <w:autoRedefine/>
    <w:qFormat/>
    <w:uiPriority w:val="0"/>
    <w:pPr>
      <w:keepNext/>
      <w:keepLines/>
      <w:pageBreakBefore/>
      <w:numPr>
        <w:ilvl w:val="0"/>
        <w:numId w:val="9"/>
      </w:numPr>
      <w:autoSpaceDE/>
      <w:autoSpaceDN/>
      <w:adjustRightInd/>
      <w:spacing w:before="240" w:after="240" w:line="360" w:lineRule="auto"/>
      <w:jc w:val="both"/>
    </w:pPr>
    <w:rPr>
      <w:rFonts w:ascii="Arial Unicode MS" w:hAnsi="Arial Unicode MS" w:eastAsia="PMingLiU"/>
      <w:b/>
      <w:bCs/>
      <w:kern w:val="32"/>
      <w:sz w:val="28"/>
      <w:szCs w:val="28"/>
    </w:rPr>
  </w:style>
  <w:style w:type="paragraph" w:customStyle="1" w:styleId="573">
    <w:name w:val="目录"/>
    <w:basedOn w:val="1"/>
    <w:autoRedefine/>
    <w:qFormat/>
    <w:uiPriority w:val="0"/>
    <w:pPr>
      <w:widowControl/>
      <w:autoSpaceDE/>
      <w:autoSpaceDN/>
      <w:adjustRightInd/>
      <w:jc w:val="center"/>
    </w:pPr>
    <w:rPr>
      <w:rFonts w:hAnsi="Arial Unicode MS"/>
      <w:b/>
      <w:sz w:val="36"/>
      <w:szCs w:val="20"/>
    </w:rPr>
  </w:style>
  <w:style w:type="paragraph" w:customStyle="1" w:styleId="574">
    <w:name w:val="纯文本1"/>
    <w:basedOn w:val="1"/>
    <w:autoRedefine/>
    <w:qFormat/>
    <w:uiPriority w:val="0"/>
    <w:pPr>
      <w:autoSpaceDE/>
      <w:autoSpaceDN/>
      <w:jc w:val="both"/>
      <w:textAlignment w:val="baseline"/>
    </w:pPr>
    <w:rPr>
      <w:rFonts w:hAnsi="Helv" w:eastAsia="Cambria Math"/>
      <w:kern w:val="2"/>
      <w:sz w:val="26"/>
      <w:szCs w:val="20"/>
    </w:rPr>
  </w:style>
  <w:style w:type="paragraph" w:customStyle="1" w:styleId="575">
    <w:name w:val="彩色底纹 - 强调文字颜色 11"/>
    <w:autoRedefine/>
    <w:semiHidden/>
    <w:qFormat/>
    <w:uiPriority w:val="99"/>
    <w:rPr>
      <w:rFonts w:ascii="等线 Light" w:hAnsi="Times New Roman" w:eastAsia="宋体" w:cs="Times New Roman"/>
      <w:sz w:val="24"/>
      <w:szCs w:val="24"/>
      <w:lang w:val="en-US" w:eastAsia="zh-CN" w:bidi="ar-SA"/>
    </w:rPr>
  </w:style>
  <w:style w:type="paragraph" w:customStyle="1" w:styleId="576">
    <w:name w:val="列出段落11"/>
    <w:basedOn w:val="1"/>
    <w:autoRedefine/>
    <w:qFormat/>
    <w:uiPriority w:val="34"/>
    <w:pPr>
      <w:ind w:firstLine="420" w:firstLineChars="200"/>
    </w:pPr>
  </w:style>
  <w:style w:type="paragraph" w:customStyle="1" w:styleId="577">
    <w:name w:val="_Style 166"/>
    <w:next w:val="1"/>
    <w:autoRedefine/>
    <w:qFormat/>
    <w:uiPriority w:val="0"/>
    <w:pPr>
      <w:widowControl w:val="0"/>
      <w:jc w:val="both"/>
    </w:pPr>
    <w:rPr>
      <w:rFonts w:ascii="Arial Unicode MS" w:hAnsi="Arial Unicode MS" w:eastAsia="宋体" w:cs="Times New Roman"/>
      <w:kern w:val="2"/>
      <w:sz w:val="21"/>
      <w:szCs w:val="24"/>
      <w:lang w:val="en-US" w:eastAsia="zh-CN" w:bidi="ar-SA"/>
    </w:rPr>
  </w:style>
  <w:style w:type="paragraph" w:customStyle="1" w:styleId="57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Helv" w:hAnsi="Helv"/>
      <w:sz w:val="20"/>
      <w:szCs w:val="20"/>
    </w:rPr>
  </w:style>
  <w:style w:type="paragraph" w:customStyle="1" w:styleId="579">
    <w:name w:val="网格表 32"/>
    <w:basedOn w:val="3"/>
    <w:next w:val="1"/>
    <w:autoRedefine/>
    <w:qFormat/>
    <w:uiPriority w:val="39"/>
    <w:pPr>
      <w:keepNext/>
      <w:keepLines/>
      <w:widowControl/>
      <w:autoSpaceDE/>
      <w:autoSpaceDN/>
      <w:adjustRightInd/>
      <w:spacing w:before="480" w:line="276" w:lineRule="auto"/>
      <w:outlineLvl w:val="9"/>
    </w:pPr>
    <w:rPr>
      <w:rFonts w:ascii="Roman" w:hAnsi="Roman"/>
      <w:b/>
      <w:bCs/>
      <w:color w:val="365F91"/>
      <w:sz w:val="28"/>
      <w:szCs w:val="28"/>
    </w:rPr>
  </w:style>
  <w:style w:type="paragraph" w:customStyle="1" w:styleId="580">
    <w:name w:val=" Char1 Char Char Char"/>
    <w:basedOn w:val="1"/>
    <w:autoRedefine/>
    <w:qFormat/>
    <w:uiPriority w:val="0"/>
    <w:pPr>
      <w:autoSpaceDE/>
      <w:autoSpaceDN/>
      <w:adjustRightInd/>
      <w:jc w:val="both"/>
    </w:pPr>
    <w:rPr>
      <w:rFonts w:ascii="Arial Unicode MS" w:hAnsi="Arial Unicode MS"/>
      <w:kern w:val="2"/>
      <w:sz w:val="21"/>
    </w:rPr>
  </w:style>
  <w:style w:type="paragraph" w:customStyle="1" w:styleId="581">
    <w:name w:val="+标题3"/>
    <w:basedOn w:val="2"/>
    <w:autoRedefine/>
    <w:qFormat/>
    <w:uiPriority w:val="0"/>
    <w:pPr>
      <w:autoSpaceDE/>
      <w:autoSpaceDN/>
      <w:snapToGrid w:val="0"/>
      <w:spacing w:line="360" w:lineRule="auto"/>
      <w:ind w:left="-2" w:leftChars="-1" w:firstLine="420"/>
      <w:jc w:val="both"/>
    </w:pPr>
    <w:rPr>
      <w:rFonts w:hAnsi="等线 Light"/>
      <w:b/>
      <w:sz w:val="32"/>
      <w:szCs w:val="21"/>
    </w:rPr>
  </w:style>
  <w:style w:type="paragraph" w:customStyle="1" w:styleId="582">
    <w:name w:val="2"/>
    <w:basedOn w:val="1"/>
    <w:next w:val="32"/>
    <w:autoRedefine/>
    <w:qFormat/>
    <w:uiPriority w:val="0"/>
    <w:pPr>
      <w:autoSpaceDE/>
      <w:autoSpaceDN/>
      <w:adjustRightInd/>
      <w:jc w:val="both"/>
    </w:pPr>
    <w:rPr>
      <w:rFonts w:hAnsi="Helv"/>
      <w:kern w:val="2"/>
      <w:sz w:val="21"/>
      <w:szCs w:val="20"/>
    </w:rPr>
  </w:style>
  <w:style w:type="paragraph" w:customStyle="1" w:styleId="583">
    <w:name w:val="_Style 582"/>
    <w:autoRedefine/>
    <w:qFormat/>
    <w:uiPriority w:val="99"/>
    <w:rPr>
      <w:rFonts w:ascii="等线 Light" w:hAnsi="Times New Roman" w:eastAsia="宋体" w:cs="Times New Roman"/>
      <w:sz w:val="24"/>
      <w:szCs w:val="24"/>
      <w:lang w:val="en-US" w:eastAsia="zh-CN" w:bidi="ar-SA"/>
    </w:rPr>
  </w:style>
  <w:style w:type="paragraph" w:customStyle="1" w:styleId="584">
    <w:name w:val="编号"/>
    <w:basedOn w:val="1"/>
    <w:autoRedefine/>
    <w:qFormat/>
    <w:uiPriority w:val="0"/>
    <w:pPr>
      <w:numPr>
        <w:ilvl w:val="0"/>
        <w:numId w:val="10"/>
      </w:numPr>
      <w:autoSpaceDE/>
      <w:autoSpaceDN/>
      <w:adjustRightInd/>
      <w:snapToGrid w:val="0"/>
      <w:spacing w:line="300" w:lineRule="auto"/>
      <w:jc w:val="both"/>
    </w:pPr>
    <w:rPr>
      <w:rFonts w:hAnsi="等线 Light"/>
      <w:color w:val="000000"/>
      <w:kern w:val="2"/>
    </w:rPr>
  </w:style>
  <w:style w:type="paragraph" w:customStyle="1" w:styleId="585">
    <w:name w:val="a0-TBL-BR-1-TBL-BR-1"/>
    <w:autoRedefine/>
    <w:qFormat/>
    <w:uiPriority w:val="0"/>
    <w:pPr>
      <w:widowControl w:val="0"/>
      <w:jc w:val="both"/>
    </w:pPr>
    <w:rPr>
      <w:rFonts w:ascii="Arial Unicode MS" w:hAnsi="Arial Unicode MS" w:eastAsia="Verdana" w:cs="Times New Roman"/>
      <w:kern w:val="2"/>
      <w:sz w:val="21"/>
      <w:szCs w:val="24"/>
      <w:lang w:val="en-US" w:eastAsia="zh-CN" w:bidi="ar-SA"/>
    </w:rPr>
  </w:style>
  <w:style w:type="paragraph" w:customStyle="1" w:styleId="586">
    <w:name w:val="head4"/>
    <w:basedOn w:val="411"/>
    <w:autoRedefine/>
    <w:qFormat/>
    <w:uiPriority w:val="0"/>
    <w:pPr>
      <w:jc w:val="both"/>
    </w:pPr>
    <w:rPr>
      <w:b w:val="0"/>
    </w:rPr>
  </w:style>
  <w:style w:type="paragraph" w:customStyle="1" w:styleId="587">
    <w:name w:val="xl34"/>
    <w:basedOn w:val="1"/>
    <w:autoRedefine/>
    <w:qFormat/>
    <w:uiPriority w:val="0"/>
    <w:pPr>
      <w:widowControl/>
      <w:pBdr>
        <w:top w:val="single" w:color="auto" w:sz="4" w:space="0"/>
        <w:right w:val="single" w:color="auto" w:sz="4" w:space="0"/>
      </w:pBdr>
      <w:autoSpaceDE/>
      <w:autoSpaceDN/>
      <w:adjustRightInd/>
      <w:spacing w:before="100" w:beforeAutospacing="1" w:after="100" w:afterAutospacing="1"/>
      <w:jc w:val="center"/>
    </w:pPr>
    <w:rPr>
      <w:rFonts w:hint="eastAsia" w:hAnsi="等线 Light"/>
      <w:sz w:val="20"/>
      <w:szCs w:val="20"/>
    </w:rPr>
  </w:style>
  <w:style w:type="paragraph" w:customStyle="1" w:styleId="588">
    <w:name w:val="xl48"/>
    <w:basedOn w:val="1"/>
    <w:autoRedefine/>
    <w:qFormat/>
    <w:uiPriority w:val="0"/>
    <w:pPr>
      <w:widowControl/>
      <w:pBdr>
        <w:left w:val="single" w:color="auto" w:sz="4" w:space="0"/>
        <w:bottom w:val="single" w:color="auto" w:sz="4" w:space="0"/>
      </w:pBdr>
      <w:autoSpaceDE/>
      <w:autoSpaceDN/>
      <w:adjustRightInd/>
      <w:spacing w:before="100" w:beforeAutospacing="1" w:after="100" w:afterAutospacing="1"/>
    </w:pPr>
    <w:rPr>
      <w:rFonts w:hAnsi="等线 Light" w:cs="等线 Light"/>
    </w:rPr>
  </w:style>
  <w:style w:type="paragraph" w:customStyle="1" w:styleId="589">
    <w:name w:val="_Style 66"/>
    <w:next w:val="1"/>
    <w:autoRedefine/>
    <w:qFormat/>
    <w:uiPriority w:val="99"/>
    <w:pPr>
      <w:widowControl w:val="0"/>
      <w:autoSpaceDE w:val="0"/>
      <w:autoSpaceDN w:val="0"/>
      <w:adjustRightInd w:val="0"/>
    </w:pPr>
    <w:rPr>
      <w:rFonts w:ascii="等线 Light" w:hAnsi="Times New Roman" w:eastAsia="宋体" w:cs="Times New Roman"/>
      <w:sz w:val="24"/>
      <w:szCs w:val="24"/>
      <w:lang w:val="en-US" w:eastAsia="zh-CN" w:bidi="ar-SA"/>
    </w:rPr>
  </w:style>
  <w:style w:type="paragraph" w:customStyle="1" w:styleId="590">
    <w:name w:val=" Char1 Char Char Char1 Char Char Char Char Char Char Char Char Char"/>
    <w:basedOn w:val="1"/>
    <w:autoRedefine/>
    <w:qFormat/>
    <w:uiPriority w:val="0"/>
    <w:pPr>
      <w:widowControl/>
      <w:autoSpaceDE/>
      <w:autoSpaceDN/>
      <w:adjustRightInd/>
      <w:spacing w:after="160" w:line="240" w:lineRule="exact"/>
    </w:pPr>
    <w:rPr>
      <w:rFonts w:ascii="Lucida Grande" w:hAnsi="Lucida Grande" w:eastAsia="Cambria Math"/>
      <w:b/>
      <w:i/>
      <w:iCs/>
      <w:color w:val="000000"/>
      <w:sz w:val="20"/>
      <w:szCs w:val="20"/>
      <w:lang w:eastAsia="en-US"/>
    </w:rPr>
  </w:style>
  <w:style w:type="paragraph" w:customStyle="1" w:styleId="591">
    <w:name w:val=" Char Char Char Char Char Char Char Char Char Char Char Char Char Char 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2">
    <w:name w:val="样式 宋体 行距: 固定值 18 磅"/>
    <w:basedOn w:val="1"/>
    <w:autoRedefine/>
    <w:qFormat/>
    <w:uiPriority w:val="0"/>
    <w:pPr>
      <w:autoSpaceDE/>
      <w:autoSpaceDN/>
      <w:adjustRightInd/>
      <w:spacing w:before="30" w:beforeLines="30" w:line="360" w:lineRule="exact"/>
      <w:jc w:val="both"/>
    </w:pPr>
    <w:rPr>
      <w:rFonts w:hAnsi="等线 Light"/>
      <w:kern w:val="2"/>
      <w:sz w:val="21"/>
      <w:szCs w:val="20"/>
    </w:rPr>
  </w:style>
  <w:style w:type="paragraph" w:customStyle="1" w:styleId="593">
    <w:name w:val="Default Text"/>
    <w:basedOn w:val="1"/>
    <w:autoRedefine/>
    <w:qFormat/>
    <w:uiPriority w:val="0"/>
    <w:rPr>
      <w:rFonts w:ascii="Arial Unicode MS" w:hAnsi="Arial Unicode MS"/>
    </w:rPr>
  </w:style>
  <w:style w:type="paragraph" w:customStyle="1" w:styleId="594">
    <w:name w:val="项目"/>
    <w:basedOn w:val="1"/>
    <w:autoRedefine/>
    <w:qFormat/>
    <w:uiPriority w:val="0"/>
    <w:pPr>
      <w:widowControl/>
      <w:tabs>
        <w:tab w:val="left" w:pos="300"/>
        <w:tab w:val="left" w:pos="840"/>
        <w:tab w:val="left" w:pos="993"/>
      </w:tabs>
      <w:overflowPunct w:val="0"/>
      <w:autoSpaceDE/>
      <w:autoSpaceDN/>
      <w:spacing w:line="336" w:lineRule="auto"/>
      <w:ind w:left="840" w:hanging="420"/>
      <w:jc w:val="both"/>
    </w:pPr>
    <w:rPr>
      <w:rFonts w:ascii="楷体_GB2312" w:hAnsi="Arial Unicode MS"/>
      <w:kern w:val="24"/>
      <w:szCs w:val="20"/>
    </w:rPr>
  </w:style>
  <w:style w:type="paragraph" w:customStyle="1" w:styleId="595">
    <w:name w:val="xl43"/>
    <w:basedOn w:val="1"/>
    <w:autoRedefine/>
    <w:qFormat/>
    <w:uiPriority w:val="0"/>
    <w:pPr>
      <w:widowControl/>
      <w:autoSpaceDE/>
      <w:autoSpaceDN/>
      <w:adjustRightInd/>
      <w:spacing w:before="100" w:beforeAutospacing="1" w:after="100" w:afterAutospacing="1"/>
      <w:jc w:val="center"/>
    </w:pPr>
    <w:rPr>
      <w:rFonts w:hint="eastAsia" w:ascii="微软雅黑" w:hAnsi="等线 Light" w:eastAsia="微软雅黑"/>
    </w:rPr>
  </w:style>
  <w:style w:type="paragraph" w:customStyle="1" w:styleId="596">
    <w:name w:val="Char Char Char Char Char"/>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7">
    <w:name w:val="Char Char Char Char1"/>
    <w:basedOn w:val="1"/>
    <w:autoRedefine/>
    <w:qFormat/>
    <w:uiPriority w:val="0"/>
    <w:pPr>
      <w:widowControl/>
      <w:autoSpaceDE/>
      <w:autoSpaceDN/>
      <w:adjustRightInd/>
      <w:spacing w:after="160" w:line="240" w:lineRule="exact"/>
      <w:jc w:val="center"/>
    </w:pPr>
    <w:rPr>
      <w:rFonts w:ascii="PMingLiU" w:hAnsi="Lucida Grande" w:eastAsia="PMingLiU"/>
      <w:sz w:val="32"/>
      <w:szCs w:val="32"/>
      <w:lang w:eastAsia="en-US"/>
    </w:rPr>
  </w:style>
  <w:style w:type="paragraph" w:customStyle="1" w:styleId="598">
    <w:name w:val="样式 标题 3头小节标题Heading 3 - oldh33rd levelH3l3CTLevel 3 Hea...3"/>
    <w:basedOn w:val="2"/>
    <w:autoRedefine/>
    <w:qFormat/>
    <w:uiPriority w:val="0"/>
    <w:pPr>
      <w:keepNext/>
      <w:keepLines/>
      <w:tabs>
        <w:tab w:val="left" w:pos="964"/>
      </w:tabs>
      <w:autoSpaceDE/>
      <w:autoSpaceDN/>
      <w:adjustRightInd/>
      <w:spacing w:line="360" w:lineRule="auto"/>
      <w:jc w:val="both"/>
    </w:pPr>
    <w:rPr>
      <w:rFonts w:hAnsi="等线 Light"/>
      <w:kern w:val="2"/>
      <w:szCs w:val="32"/>
    </w:rPr>
  </w:style>
  <w:style w:type="paragraph" w:customStyle="1" w:styleId="599">
    <w:name w:val="Char Char Char Char Char Char Char Char Char Char"/>
    <w:basedOn w:val="1"/>
    <w:autoRedefine/>
    <w:qFormat/>
    <w:uiPriority w:val="0"/>
    <w:pPr>
      <w:widowControl/>
      <w:autoSpaceDE/>
      <w:autoSpaceDN/>
      <w:adjustRightInd/>
      <w:spacing w:after="160" w:line="240" w:lineRule="exact"/>
    </w:pPr>
    <w:rPr>
      <w:rFonts w:ascii="Lucida Grande" w:hAnsi="Lucida Grande" w:cs="Lucida Grande"/>
      <w:sz w:val="20"/>
      <w:szCs w:val="20"/>
      <w:lang w:eastAsia="en-US"/>
    </w:rPr>
  </w:style>
  <w:style w:type="paragraph" w:customStyle="1" w:styleId="600">
    <w:name w:val="affa-TBL-BR-1-TBL-BR-1"/>
    <w:autoRedefine/>
    <w:qFormat/>
    <w:uiPriority w:val="0"/>
    <w:pPr>
      <w:spacing w:line="480" w:lineRule="auto"/>
    </w:pPr>
    <w:rPr>
      <w:rFonts w:ascii="等线 Light" w:hAnsi="等线 Light" w:eastAsia="Verdana" w:cs="Times New Roman"/>
      <w:sz w:val="24"/>
      <w:lang w:val="en-US" w:eastAsia="zh-CN" w:bidi="ar-SA"/>
    </w:rPr>
  </w:style>
  <w:style w:type="paragraph" w:customStyle="1" w:styleId="601">
    <w:name w:val="样式 标题 3头小节标题Heading 3 - oldh33rd levelH3l3CTLevel 3 Hea...5"/>
    <w:basedOn w:val="2"/>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2">
    <w:name w:val="样式 标题 3头小节标题Heading 3 - oldh33rd levelH3l3CTLevel 3 Hea...7"/>
    <w:basedOn w:val="2"/>
    <w:autoRedefine/>
    <w:qFormat/>
    <w:uiPriority w:val="0"/>
    <w:pPr>
      <w:keepNext/>
      <w:keepLines/>
      <w:tabs>
        <w:tab w:val="left" w:pos="964"/>
      </w:tabs>
      <w:autoSpaceDE/>
      <w:autoSpaceDN/>
      <w:adjustRightInd/>
      <w:spacing w:line="360" w:lineRule="auto"/>
      <w:ind w:firstLine="482" w:firstLineChars="200"/>
      <w:jc w:val="both"/>
    </w:pPr>
    <w:rPr>
      <w:rFonts w:hAnsi="等线 Light" w:cs="等线 Light"/>
      <w:bCs/>
      <w:szCs w:val="20"/>
    </w:rPr>
  </w:style>
  <w:style w:type="paragraph" w:customStyle="1" w:styleId="603">
    <w:name w:val="正文首缩"/>
    <w:basedOn w:val="1"/>
    <w:next w:val="5"/>
    <w:autoRedefine/>
    <w:qFormat/>
    <w:uiPriority w:val="0"/>
    <w:pPr>
      <w:autoSpaceDE/>
      <w:autoSpaceDN/>
      <w:spacing w:line="324" w:lineRule="auto"/>
      <w:ind w:firstLine="425"/>
      <w:jc w:val="both"/>
      <w:textAlignment w:val="baseline"/>
    </w:pPr>
    <w:rPr>
      <w:rFonts w:ascii="Arial Unicode MS" w:hAnsi="Arial Unicode MS"/>
      <w:sz w:val="28"/>
      <w:szCs w:val="20"/>
    </w:rPr>
  </w:style>
  <w:style w:type="paragraph" w:customStyle="1" w:styleId="604">
    <w:name w:val="默认段落字体 Para Char"/>
    <w:basedOn w:val="1"/>
    <w:autoRedefine/>
    <w:qFormat/>
    <w:uiPriority w:val="0"/>
    <w:pPr>
      <w:autoSpaceDE/>
      <w:autoSpaceDN/>
      <w:spacing w:line="360" w:lineRule="auto"/>
      <w:jc w:val="both"/>
    </w:pPr>
    <w:rPr>
      <w:rFonts w:ascii="Arial Unicode MS" w:hAnsi="Arial Unicode MS"/>
      <w:szCs w:val="20"/>
    </w:rPr>
  </w:style>
  <w:style w:type="paragraph" w:customStyle="1" w:styleId="605">
    <w:name w:val="xl50"/>
    <w:basedOn w:val="1"/>
    <w:autoRedefine/>
    <w:qFormat/>
    <w:uiPriority w:val="0"/>
    <w:pPr>
      <w:widowControl/>
      <w:autoSpaceDE/>
      <w:autoSpaceDN/>
      <w:adjustRightInd/>
      <w:spacing w:before="100" w:beforeAutospacing="1" w:after="100" w:afterAutospacing="1"/>
      <w:jc w:val="center"/>
    </w:pPr>
    <w:rPr>
      <w:rFonts w:hint="eastAsia" w:hAnsi="等线 Light"/>
    </w:rPr>
  </w:style>
  <w:style w:type="paragraph" w:customStyle="1" w:styleId="606">
    <w:name w:val="样式 标题 3头小节标题Heading 3 - oldh33rd levelH3l3CTLevel 3 Hea...8"/>
    <w:basedOn w:val="2"/>
    <w:autoRedefine/>
    <w:qFormat/>
    <w:uiPriority w:val="0"/>
    <w:pPr>
      <w:keepNext/>
      <w:keepLines/>
      <w:tabs>
        <w:tab w:val="left" w:pos="964"/>
      </w:tabs>
      <w:autoSpaceDE/>
      <w:autoSpaceDN/>
      <w:adjustRightInd/>
      <w:spacing w:line="360" w:lineRule="auto"/>
      <w:ind w:firstLine="200" w:firstLineChars="200"/>
      <w:jc w:val="both"/>
    </w:pPr>
    <w:rPr>
      <w:rFonts w:ascii="Arial Unicode MS" w:hAnsi="Arial Unicode MS" w:cs="等线 Light"/>
      <w:kern w:val="2"/>
      <w:szCs w:val="20"/>
    </w:rPr>
  </w:style>
  <w:style w:type="paragraph" w:customStyle="1" w:styleId="607">
    <w:name w:val="正文表标题"/>
    <w:next w:val="1"/>
    <w:autoRedefine/>
    <w:qFormat/>
    <w:uiPriority w:val="0"/>
    <w:pPr>
      <w:numPr>
        <w:ilvl w:val="0"/>
        <w:numId w:val="11"/>
      </w:numPr>
      <w:jc w:val="center"/>
    </w:pPr>
    <w:rPr>
      <w:rFonts w:ascii="PMingLiU" w:hAnsi="Arial Unicode MS" w:eastAsia="PMingLiU" w:cs="Times New Roman"/>
      <w:sz w:val="21"/>
      <w:lang w:val="en-US" w:eastAsia="zh-CN" w:bidi="ar-SA"/>
    </w:rPr>
  </w:style>
  <w:style w:type="paragraph" w:customStyle="1" w:styleId="608">
    <w:name w:val="font7"/>
    <w:basedOn w:val="1"/>
    <w:autoRedefine/>
    <w:qFormat/>
    <w:uiPriority w:val="0"/>
    <w:pPr>
      <w:widowControl/>
      <w:autoSpaceDE/>
      <w:autoSpaceDN/>
      <w:adjustRightInd/>
      <w:spacing w:before="100" w:beforeAutospacing="1" w:after="100" w:afterAutospacing="1"/>
    </w:pPr>
    <w:rPr>
      <w:rFonts w:hint="eastAsia" w:ascii="微软雅黑" w:hAnsi="等线 Light" w:eastAsia="微软雅黑"/>
      <w:sz w:val="32"/>
      <w:szCs w:val="32"/>
    </w:rPr>
  </w:style>
  <w:style w:type="paragraph" w:customStyle="1" w:styleId="609">
    <w:name w:val="xl100"/>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10">
    <w:name w:val="1"/>
    <w:basedOn w:val="1"/>
    <w:next w:val="27"/>
    <w:autoRedefine/>
    <w:qFormat/>
    <w:uiPriority w:val="0"/>
    <w:pPr>
      <w:autoSpaceDE/>
      <w:autoSpaceDN/>
      <w:ind w:left="420" w:right="33"/>
      <w:textAlignment w:val="baseline"/>
    </w:pPr>
    <w:rPr>
      <w:rFonts w:ascii="Arial Unicode MS" w:hAnsi="Arial Unicode MS"/>
      <w:szCs w:val="20"/>
    </w:rPr>
  </w:style>
  <w:style w:type="paragraph" w:customStyle="1" w:styleId="611">
    <w:name w:val="文字"/>
    <w:basedOn w:val="1"/>
    <w:autoRedefine/>
    <w:qFormat/>
    <w:uiPriority w:val="0"/>
    <w:pPr>
      <w:tabs>
        <w:tab w:val="left" w:pos="8520"/>
      </w:tabs>
      <w:autoSpaceDE/>
      <w:autoSpaceDN/>
      <w:adjustRightInd/>
      <w:spacing w:line="312" w:lineRule="auto"/>
      <w:ind w:right="-210" w:firstLine="556"/>
      <w:jc w:val="both"/>
    </w:pPr>
    <w:rPr>
      <w:rFonts w:ascii="Cambria Math" w:hAnsi="Arial Unicode MS" w:eastAsia="Cambria Math"/>
      <w:kern w:val="2"/>
      <w:sz w:val="28"/>
      <w:szCs w:val="20"/>
    </w:rPr>
  </w:style>
  <w:style w:type="paragraph" w:customStyle="1" w:styleId="612">
    <w:name w:val="font6"/>
    <w:basedOn w:val="1"/>
    <w:autoRedefine/>
    <w:qFormat/>
    <w:uiPriority w:val="0"/>
    <w:pPr>
      <w:widowControl/>
      <w:autoSpaceDE/>
      <w:autoSpaceDN/>
      <w:adjustRightInd/>
      <w:spacing w:before="100" w:beforeAutospacing="1" w:after="100" w:afterAutospacing="1"/>
    </w:pPr>
    <w:rPr>
      <w:rFonts w:hint="eastAsia" w:hAnsi="等线 Light"/>
      <w:sz w:val="18"/>
      <w:szCs w:val="18"/>
    </w:rPr>
  </w:style>
  <w:style w:type="paragraph" w:customStyle="1" w:styleId="613">
    <w:name w:val="默认段落字体 Para Char Char Char Char Char Char Char Char Char1 Char Char Char Char Char Char Char Char Char Char"/>
    <w:basedOn w:val="17"/>
    <w:autoRedefine/>
    <w:qFormat/>
    <w:uiPriority w:val="0"/>
    <w:pPr>
      <w:autoSpaceDE/>
      <w:autoSpaceDN/>
      <w:adjustRightInd/>
      <w:ind w:firstLine="540" w:firstLineChars="225"/>
      <w:jc w:val="both"/>
    </w:pPr>
    <w:rPr>
      <w:rFonts w:ascii="Calibri" w:hAnsi="Calibri"/>
      <w:kern w:val="2"/>
      <w:szCs w:val="20"/>
    </w:rPr>
  </w:style>
  <w:style w:type="paragraph" w:customStyle="1" w:styleId="614">
    <w:name w:val="2册标题3"/>
    <w:basedOn w:val="1"/>
    <w:next w:val="1"/>
    <w:autoRedefine/>
    <w:qFormat/>
    <w:uiPriority w:val="0"/>
    <w:pPr>
      <w:autoSpaceDE/>
      <w:autoSpaceDN/>
      <w:adjustRightInd/>
      <w:spacing w:before="156" w:beforeLines="50" w:after="156" w:afterLines="50"/>
      <w:ind w:left="100" w:leftChars="100"/>
      <w:jc w:val="both"/>
      <w:outlineLvl w:val="2"/>
    </w:pPr>
    <w:rPr>
      <w:rFonts w:ascii="楷体_GB2312" w:hAnsi="楷体_GB2312" w:eastAsia="PMingLiU"/>
      <w:kern w:val="2"/>
      <w:sz w:val="28"/>
      <w:szCs w:val="28"/>
    </w:rPr>
  </w:style>
  <w:style w:type="paragraph" w:customStyle="1" w:styleId="615">
    <w:name w:val="样式4"/>
    <w:basedOn w:val="42"/>
    <w:autoRedefine/>
    <w:qFormat/>
    <w:uiPriority w:val="0"/>
    <w:pPr>
      <w:tabs>
        <w:tab w:val="right" w:leader="dot" w:pos="9458"/>
      </w:tabs>
      <w:autoSpaceDE/>
      <w:autoSpaceDN/>
      <w:adjustRightInd/>
    </w:pPr>
    <w:rPr>
      <w:rFonts w:cs="幼圆"/>
      <w:b w:val="0"/>
      <w:kern w:val="2"/>
      <w:sz w:val="21"/>
      <w:szCs w:val="24"/>
    </w:rPr>
  </w:style>
  <w:style w:type="paragraph" w:customStyle="1" w:styleId="616">
    <w:name w:val="xl52"/>
    <w:basedOn w:val="1"/>
    <w:autoRedefine/>
    <w:qFormat/>
    <w:uiPriority w:val="0"/>
    <w:pPr>
      <w:widowControl/>
      <w:pBdr>
        <w:top w:val="single" w:color="auto" w:sz="4" w:space="0"/>
        <w:bottom w:val="single" w:color="auto" w:sz="4" w:space="0"/>
      </w:pBdr>
      <w:autoSpaceDE/>
      <w:autoSpaceDN/>
      <w:adjustRightInd/>
      <w:spacing w:before="100" w:beforeAutospacing="1" w:after="100" w:afterAutospacing="1"/>
      <w:jc w:val="center"/>
    </w:pPr>
    <w:rPr>
      <w:rFonts w:hint="eastAsia" w:hAnsi="等线 Light"/>
    </w:rPr>
  </w:style>
  <w:style w:type="paragraph" w:customStyle="1" w:styleId="617">
    <w:name w:val="标题44"/>
    <w:basedOn w:val="5"/>
    <w:autoRedefine/>
    <w:qFormat/>
    <w:uiPriority w:val="0"/>
    <w:pPr>
      <w:autoSpaceDE/>
      <w:autoSpaceDN/>
      <w:adjustRightInd/>
      <w:spacing w:before="0" w:after="0" w:line="300" w:lineRule="auto"/>
      <w:jc w:val="both"/>
    </w:pPr>
    <w:rPr>
      <w:rFonts w:ascii="幼圆" w:hAnsi="幼圆"/>
      <w:b w:val="0"/>
      <w:kern w:val="2"/>
      <w:sz w:val="24"/>
      <w:szCs w:val="24"/>
    </w:rPr>
  </w:style>
  <w:style w:type="paragraph" w:customStyle="1" w:styleId="618">
    <w:name w:val="xl29"/>
    <w:basedOn w:val="1"/>
    <w:autoRedefine/>
    <w:qFormat/>
    <w:uiPriority w:val="0"/>
    <w:pPr>
      <w:widowControl/>
      <w:pBdr>
        <w:left w:val="single" w:color="auto" w:sz="4" w:space="0"/>
        <w:right w:val="single" w:color="auto" w:sz="4" w:space="0"/>
      </w:pBdr>
      <w:autoSpaceDE/>
      <w:autoSpaceDN/>
      <w:adjustRightInd/>
      <w:spacing w:before="100" w:beforeAutospacing="1" w:after="100" w:afterAutospacing="1"/>
    </w:pPr>
    <w:rPr>
      <w:rFonts w:hint="eastAsia" w:hAnsi="等线 Light"/>
      <w:sz w:val="20"/>
      <w:szCs w:val="20"/>
    </w:rPr>
  </w:style>
  <w:style w:type="paragraph" w:customStyle="1" w:styleId="619">
    <w:name w:val="首行缩进"/>
    <w:basedOn w:val="1"/>
    <w:autoRedefine/>
    <w:qFormat/>
    <w:uiPriority w:val="0"/>
    <w:pPr>
      <w:ind w:firstLine="480" w:firstLineChars="200"/>
    </w:pPr>
    <w:rPr>
      <w:lang w:val="zh-CN"/>
    </w:rPr>
  </w:style>
  <w:style w:type="paragraph" w:customStyle="1" w:styleId="620">
    <w:name w:val="xl99"/>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center"/>
    </w:pPr>
    <w:rPr>
      <w:rFonts w:hAnsi="等线 Light" w:cs="等线 Light"/>
    </w:rPr>
  </w:style>
  <w:style w:type="paragraph" w:customStyle="1" w:styleId="621">
    <w:name w:val=" Char Char Char"/>
    <w:basedOn w:val="1"/>
    <w:autoRedefine/>
    <w:qFormat/>
    <w:uiPriority w:val="0"/>
    <w:pPr>
      <w:autoSpaceDE/>
      <w:autoSpaceDN/>
      <w:adjustRightInd/>
      <w:jc w:val="both"/>
    </w:pPr>
    <w:rPr>
      <w:rFonts w:ascii="Calibri" w:hAnsi="Calibri"/>
      <w:kern w:val="2"/>
      <w:szCs w:val="20"/>
    </w:rPr>
  </w:style>
  <w:style w:type="paragraph" w:customStyle="1" w:styleId="622">
    <w:name w:val="font10"/>
    <w:basedOn w:val="1"/>
    <w:autoRedefine/>
    <w:qFormat/>
    <w:uiPriority w:val="0"/>
    <w:pPr>
      <w:widowControl/>
      <w:autoSpaceDE/>
      <w:autoSpaceDN/>
      <w:adjustRightInd/>
      <w:spacing w:before="100" w:beforeAutospacing="1" w:after="100" w:afterAutospacing="1"/>
    </w:pPr>
    <w:rPr>
      <w:rFonts w:ascii="Arial Unicode MS" w:hAnsi="Arial Unicode MS"/>
      <w:sz w:val="20"/>
      <w:szCs w:val="20"/>
    </w:rPr>
  </w:style>
  <w:style w:type="paragraph" w:customStyle="1" w:styleId="623">
    <w:name w:val="6.3.5.4"/>
    <w:basedOn w:val="1"/>
    <w:autoRedefine/>
    <w:qFormat/>
    <w:uiPriority w:val="0"/>
    <w:pPr>
      <w:tabs>
        <w:tab w:val="left" w:pos="360"/>
        <w:tab w:val="left" w:pos="851"/>
      </w:tabs>
      <w:autoSpaceDE/>
      <w:autoSpaceDN/>
      <w:adjustRightInd/>
      <w:spacing w:before="120" w:after="120"/>
      <w:ind w:left="288" w:hanging="288"/>
      <w:jc w:val="both"/>
    </w:pPr>
    <w:rPr>
      <w:rFonts w:ascii="Arial Unicode MS" w:hAnsi="Arial Unicode MS"/>
      <w:kern w:val="2"/>
      <w:szCs w:val="20"/>
    </w:rPr>
  </w:style>
  <w:style w:type="paragraph" w:customStyle="1" w:styleId="624">
    <w:name w:val="样式 SINOPEC-0"/>
    <w:basedOn w:val="1"/>
    <w:autoRedefine/>
    <w:qFormat/>
    <w:uiPriority w:val="0"/>
    <w:pPr>
      <w:autoSpaceDE/>
      <w:autoSpaceDN/>
      <w:adjustRightInd/>
      <w:spacing w:line="360" w:lineRule="auto"/>
      <w:ind w:firstLine="200" w:firstLineChars="200"/>
      <w:jc w:val="both"/>
    </w:pPr>
    <w:rPr>
      <w:rFonts w:ascii="楷体_GB2312" w:hAnsi="楷体_GB2312"/>
      <w:kern w:val="2"/>
      <w:szCs w:val="20"/>
    </w:rPr>
  </w:style>
  <w:style w:type="paragraph" w:customStyle="1" w:styleId="625">
    <w:name w:val="xl27"/>
    <w:basedOn w:val="1"/>
    <w:autoRedefine/>
    <w:qFormat/>
    <w:uiPriority w:val="0"/>
    <w:pPr>
      <w:widowControl/>
      <w:pBdr>
        <w:top w:val="single" w:color="auto" w:sz="4" w:space="0"/>
        <w:left w:val="single" w:color="auto" w:sz="4" w:space="0"/>
      </w:pBdr>
      <w:autoSpaceDE/>
      <w:autoSpaceDN/>
      <w:adjustRightInd/>
      <w:spacing w:before="100" w:beforeAutospacing="1" w:after="100" w:afterAutospacing="1"/>
    </w:pPr>
    <w:rPr>
      <w:rFonts w:hint="eastAsia" w:hAnsi="等线 Light"/>
      <w:sz w:val="20"/>
      <w:szCs w:val="20"/>
    </w:rPr>
  </w:style>
  <w:style w:type="table" w:customStyle="1" w:styleId="626">
    <w:name w:val="网格型2"/>
    <w:basedOn w:val="55"/>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网格型1"/>
    <w:basedOn w:val="55"/>
    <w:autoRedefine/>
    <w:qFormat/>
    <w:uiPriority w:val="59"/>
    <w:rPr>
      <w:rFonts w:ascii="Arial Unicode MS" w:hAnsi="Arial Unicode MS" w:eastAsia="等线 Light" w:cs="幼圆"/>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8">
    <w:name w:val="正文_0"/>
    <w:autoRedefine/>
    <w:qFormat/>
    <w:uiPriority w:val="0"/>
    <w:pPr>
      <w:adjustRightInd w:val="0"/>
      <w:snapToGrid w:val="0"/>
      <w:spacing w:after="200"/>
    </w:pPr>
    <w:rPr>
      <w:rFonts w:ascii="Tahoma" w:hAnsi="Tahoma" w:eastAsia="宋体" w:cs="Times New Roman"/>
      <w:sz w:val="22"/>
      <w:szCs w:val="22"/>
      <w:lang w:val="en-US" w:eastAsia="zh-CN" w:bidi="ar-SA"/>
    </w:rPr>
  </w:style>
  <w:style w:type="character" w:customStyle="1" w:styleId="629">
    <w:name w:val="cf01"/>
    <w:autoRedefine/>
    <w:qFormat/>
    <w:uiPriority w:val="0"/>
    <w:rPr>
      <w:rFonts w:hint="eastAsia" w:ascii="Microsoft YaHei UI" w:hAnsi="Microsoft YaHei UI" w:eastAsia="Microsoft YaHei UI"/>
      <w:sz w:val="18"/>
      <w:szCs w:val="18"/>
    </w:rPr>
  </w:style>
  <w:style w:type="paragraph" w:customStyle="1" w:styleId="630">
    <w:name w:val="Table Paragraph"/>
    <w:basedOn w:val="1"/>
    <w:autoRedefine/>
    <w:qFormat/>
    <w:uiPriority w:val="1"/>
    <w:pPr>
      <w:autoSpaceDE w:val="0"/>
      <w:autoSpaceDN w:val="0"/>
      <w:ind w:firstLine="0" w:firstLineChars="0"/>
      <w:jc w:val="left"/>
    </w:pPr>
    <w:rPr>
      <w:rFonts w:cs="宋体"/>
      <w:snapToGrid/>
      <w:sz w:val="22"/>
      <w:szCs w:val="22"/>
      <w:lang w:eastAsia="en-US"/>
    </w:rPr>
  </w:style>
  <w:style w:type="paragraph" w:customStyle="1" w:styleId="631">
    <w:name w:val="图表内容格式"/>
    <w:basedOn w:val="1"/>
    <w:autoRedefine/>
    <w:qFormat/>
    <w:uiPriority w:val="0"/>
    <w:pPr>
      <w:ind w:firstLine="0" w:firstLineChars="0"/>
      <w:jc w:val="center"/>
    </w:pPr>
    <w:rPr>
      <w:rFonts w:eastAsia="等线"/>
    </w:rPr>
  </w:style>
  <w:style w:type="paragraph" w:customStyle="1" w:styleId="632">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105</Pages>
  <Words>68161</Words>
  <Characters>70564</Characters>
  <Lines>383</Lines>
  <Paragraphs>107</Paragraphs>
  <TotalTime>0</TotalTime>
  <ScaleCrop>false</ScaleCrop>
  <LinksUpToDate>false</LinksUpToDate>
  <CharactersWithSpaces>73395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2021-07-26T01:01:00Z</dcterms:created>
  <dc:creator>采联（燕）</dc:creator>
  <cp:lastModifiedBy>郑翠婷</cp:lastModifiedBy>
  <cp:lastPrinted>2024-09-18T03:19:00Z</cp:lastPrinted>
  <dcterms:modified xsi:type="dcterms:W3CDTF">2024-10-14T09:15:56Z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F7739D283D5C42C8B562E66512E5530A_13</vt:lpwstr>
  </property>
</Properties>
</file>